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2F2D48" w14:textId="0F060CC9" w:rsidR="00DD29D4" w:rsidRDefault="00DD29D4" w:rsidP="005B08A7">
      <w:pPr>
        <w:pStyle w:val="NoSpacing"/>
        <w:jc w:val="center"/>
        <w:rPr>
          <w:rFonts w:ascii="Times New Roman" w:hAnsi="Times New Roman" w:cs="Times New Roman"/>
          <w:sz w:val="28"/>
          <w:szCs w:val="28"/>
          <w:lang w:val="en-US"/>
        </w:rPr>
      </w:pPr>
      <w:r w:rsidRPr="00DD29D4">
        <w:rPr>
          <w:rFonts w:ascii="Times New Roman" w:hAnsi="Times New Roman" w:cs="Times New Roman"/>
          <w:sz w:val="28"/>
          <w:szCs w:val="28"/>
          <w:lang w:val="en-US"/>
        </w:rPr>
        <w:t>The book of judges: reoccupation, religion, and constitutional adjudication at the origins of the US Supreme Court (1789-1935) and the German Federal Constitutional Court (1951-1969)</w:t>
      </w:r>
    </w:p>
    <w:p w14:paraId="26E428F3" w14:textId="77777777" w:rsidR="00DD29D4" w:rsidRDefault="00DD29D4" w:rsidP="005B08A7">
      <w:pPr>
        <w:pStyle w:val="NoSpacing"/>
        <w:jc w:val="center"/>
        <w:rPr>
          <w:rFonts w:ascii="Times New Roman" w:hAnsi="Times New Roman" w:cs="Times New Roman"/>
          <w:sz w:val="24"/>
          <w:szCs w:val="24"/>
          <w:lang w:val="en-US"/>
        </w:rPr>
      </w:pPr>
    </w:p>
    <w:p w14:paraId="76253742" w14:textId="28E9A824" w:rsidR="00DD29D4" w:rsidRPr="00DD29D4" w:rsidRDefault="00DD29D4" w:rsidP="005B08A7">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Ricardo Spindola Diniz</w:t>
      </w:r>
    </w:p>
    <w:p w14:paraId="1C222CA0" w14:textId="77777777" w:rsidR="00DD29D4" w:rsidRDefault="00DD29D4" w:rsidP="005B08A7">
      <w:pPr>
        <w:pStyle w:val="NoSpacing"/>
        <w:jc w:val="center"/>
        <w:rPr>
          <w:rFonts w:ascii="Times New Roman" w:hAnsi="Times New Roman" w:cs="Times New Roman"/>
          <w:sz w:val="28"/>
          <w:szCs w:val="28"/>
          <w:lang w:val="en-US"/>
        </w:rPr>
      </w:pPr>
    </w:p>
    <w:p w14:paraId="34D08626" w14:textId="6DE8EEE8" w:rsidR="00C81965" w:rsidRPr="005B08A7" w:rsidRDefault="00C81965" w:rsidP="005B08A7">
      <w:pPr>
        <w:pStyle w:val="NoSpacing"/>
        <w:jc w:val="center"/>
        <w:rPr>
          <w:rFonts w:ascii="Times New Roman" w:hAnsi="Times New Roman" w:cs="Times New Roman"/>
          <w:sz w:val="28"/>
          <w:szCs w:val="28"/>
          <w:lang w:val="en-US"/>
        </w:rPr>
      </w:pPr>
      <w:r w:rsidRPr="005B08A7">
        <w:rPr>
          <w:rFonts w:ascii="Times New Roman" w:hAnsi="Times New Roman" w:cs="Times New Roman"/>
          <w:sz w:val="28"/>
          <w:szCs w:val="28"/>
          <w:lang w:val="en-US"/>
        </w:rPr>
        <w:t xml:space="preserve">Chapter </w:t>
      </w:r>
      <w:r w:rsidR="008C2526">
        <w:rPr>
          <w:rFonts w:ascii="Times New Roman" w:hAnsi="Times New Roman" w:cs="Times New Roman"/>
          <w:sz w:val="28"/>
          <w:szCs w:val="28"/>
          <w:lang w:val="en-US"/>
        </w:rPr>
        <w:t>1</w:t>
      </w:r>
    </w:p>
    <w:p w14:paraId="6901B9E3" w14:textId="02453A0C" w:rsidR="00C81965" w:rsidRDefault="00C81965">
      <w:pPr>
        <w:spacing w:after="0" w:line="360" w:lineRule="auto"/>
        <w:jc w:val="center"/>
        <w:rPr>
          <w:rFonts w:ascii="Times New Roman" w:hAnsi="Times New Roman" w:cs="Times New Roman"/>
          <w:sz w:val="28"/>
          <w:szCs w:val="28"/>
          <w:lang w:val="en-US"/>
        </w:rPr>
      </w:pPr>
      <w:r w:rsidRPr="00C81965">
        <w:rPr>
          <w:rFonts w:ascii="Times New Roman" w:hAnsi="Times New Roman" w:cs="Times New Roman"/>
          <w:sz w:val="28"/>
          <w:szCs w:val="28"/>
          <w:lang w:val="en-US"/>
        </w:rPr>
        <w:t xml:space="preserve">Acts of Providence: </w:t>
      </w:r>
    </w:p>
    <w:p w14:paraId="028A0F78" w14:textId="5CE81CD3" w:rsidR="008E0B76" w:rsidRDefault="00C81965">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T</w:t>
      </w:r>
      <w:r w:rsidRPr="00C81965">
        <w:rPr>
          <w:rFonts w:ascii="Times New Roman" w:hAnsi="Times New Roman" w:cs="Times New Roman"/>
          <w:sz w:val="28"/>
          <w:szCs w:val="28"/>
          <w:lang w:val="en-US"/>
        </w:rPr>
        <w:t>he religious</w:t>
      </w:r>
      <w:r w:rsidR="00DD29D4">
        <w:rPr>
          <w:rFonts w:ascii="Times New Roman" w:hAnsi="Times New Roman" w:cs="Times New Roman"/>
          <w:sz w:val="28"/>
          <w:szCs w:val="28"/>
          <w:lang w:val="en-US"/>
        </w:rPr>
        <w:t>ly embedded semantics</w:t>
      </w:r>
      <w:r w:rsidRPr="00C81965">
        <w:rPr>
          <w:rFonts w:ascii="Times New Roman" w:hAnsi="Times New Roman" w:cs="Times New Roman"/>
          <w:sz w:val="28"/>
          <w:szCs w:val="28"/>
          <w:lang w:val="en-US"/>
        </w:rPr>
        <w:t xml:space="preserve"> </w:t>
      </w:r>
      <w:r w:rsidR="00E70EC9">
        <w:rPr>
          <w:rFonts w:ascii="Times New Roman" w:hAnsi="Times New Roman" w:cs="Times New Roman"/>
          <w:sz w:val="28"/>
          <w:szCs w:val="28"/>
          <w:lang w:val="en-US"/>
        </w:rPr>
        <w:t>surrounding</w:t>
      </w:r>
      <w:r w:rsidR="008E0B76">
        <w:rPr>
          <w:rFonts w:ascii="Times New Roman" w:hAnsi="Times New Roman" w:cs="Times New Roman"/>
          <w:sz w:val="28"/>
          <w:szCs w:val="28"/>
          <w:lang w:val="en-US"/>
        </w:rPr>
        <w:t xml:space="preserve"> and shaping</w:t>
      </w:r>
    </w:p>
    <w:p w14:paraId="665A8394" w14:textId="573F5227" w:rsidR="00E70EC9" w:rsidRDefault="00C81965">
      <w:pPr>
        <w:spacing w:after="0" w:line="360" w:lineRule="auto"/>
        <w:jc w:val="center"/>
        <w:rPr>
          <w:rFonts w:ascii="Times New Roman" w:hAnsi="Times New Roman" w:cs="Times New Roman"/>
          <w:i/>
          <w:iCs/>
          <w:sz w:val="28"/>
          <w:szCs w:val="28"/>
          <w:lang w:val="en-US"/>
        </w:rPr>
      </w:pPr>
      <w:r w:rsidRPr="00C81965">
        <w:rPr>
          <w:rFonts w:ascii="Times New Roman" w:hAnsi="Times New Roman" w:cs="Times New Roman"/>
          <w:i/>
          <w:iCs/>
          <w:sz w:val="28"/>
          <w:szCs w:val="28"/>
          <w:lang w:val="en-US"/>
        </w:rPr>
        <w:t>Marbury v. Madison</w:t>
      </w:r>
      <w:r w:rsidRPr="00C81965">
        <w:rPr>
          <w:rFonts w:ascii="Times New Roman" w:hAnsi="Times New Roman" w:cs="Times New Roman"/>
          <w:sz w:val="28"/>
          <w:szCs w:val="28"/>
          <w:lang w:val="en-US"/>
        </w:rPr>
        <w:t xml:space="preserve"> and the </w:t>
      </w:r>
      <w:r w:rsidRPr="00C81965">
        <w:rPr>
          <w:rFonts w:ascii="Times New Roman" w:hAnsi="Times New Roman" w:cs="Times New Roman"/>
          <w:i/>
          <w:iCs/>
          <w:sz w:val="28"/>
          <w:szCs w:val="28"/>
          <w:lang w:val="en-US"/>
        </w:rPr>
        <w:t>Status-</w:t>
      </w:r>
      <w:proofErr w:type="spellStart"/>
      <w:r w:rsidRPr="00C81965">
        <w:rPr>
          <w:rFonts w:ascii="Times New Roman" w:hAnsi="Times New Roman" w:cs="Times New Roman"/>
          <w:i/>
          <w:iCs/>
          <w:sz w:val="28"/>
          <w:szCs w:val="28"/>
          <w:lang w:val="en-US"/>
        </w:rPr>
        <w:t>Denkschrift</w:t>
      </w:r>
      <w:proofErr w:type="spellEnd"/>
    </w:p>
    <w:p w14:paraId="333F8261" w14:textId="77777777" w:rsidR="00B60C3B" w:rsidRPr="00457B74" w:rsidRDefault="00B60C3B" w:rsidP="008E0B76">
      <w:pPr>
        <w:spacing w:after="0" w:line="360" w:lineRule="auto"/>
        <w:jc w:val="center"/>
        <w:rPr>
          <w:rFonts w:ascii="Times New Roman" w:hAnsi="Times New Roman" w:cs="Times New Roman"/>
          <w:sz w:val="24"/>
          <w:szCs w:val="24"/>
          <w:lang w:val="en-US"/>
        </w:rPr>
      </w:pPr>
    </w:p>
    <w:sdt>
      <w:sdtPr>
        <w:rPr>
          <w:rFonts w:ascii="Times New Roman" w:hAnsi="Times New Roman" w:cs="Times New Roman"/>
          <w:sz w:val="24"/>
          <w:szCs w:val="24"/>
        </w:rPr>
        <w:id w:val="1716079019"/>
        <w:docPartObj>
          <w:docPartGallery w:val="Table of Contents"/>
          <w:docPartUnique/>
        </w:docPartObj>
      </w:sdtPr>
      <w:sdtEndPr>
        <w:rPr>
          <w:rFonts w:asciiTheme="minorHAnsi" w:hAnsiTheme="minorHAnsi" w:cstheme="minorBidi"/>
          <w:b/>
          <w:bCs/>
          <w:noProof/>
          <w:sz w:val="22"/>
          <w:szCs w:val="22"/>
        </w:rPr>
      </w:sdtEndPr>
      <w:sdtContent>
        <w:p w14:paraId="7C2F760E" w14:textId="4E13F4B2" w:rsidR="00457B74" w:rsidRPr="00457B74" w:rsidRDefault="00E70EC9">
          <w:pPr>
            <w:pStyle w:val="TOC1"/>
            <w:tabs>
              <w:tab w:val="right" w:leader="dot" w:pos="8494"/>
            </w:tabs>
            <w:rPr>
              <w:rFonts w:ascii="Times New Roman" w:eastAsiaTheme="minorEastAsia" w:hAnsi="Times New Roman" w:cs="Times New Roman"/>
              <w:noProof/>
              <w:lang w:eastAsia="pt-BR"/>
            </w:rPr>
          </w:pPr>
          <w:r w:rsidRPr="00457B74">
            <w:rPr>
              <w:rFonts w:ascii="Times New Roman" w:hAnsi="Times New Roman" w:cs="Times New Roman"/>
              <w:sz w:val="24"/>
              <w:szCs w:val="24"/>
            </w:rPr>
            <w:fldChar w:fldCharType="begin"/>
          </w:r>
          <w:r w:rsidRPr="00457B74">
            <w:rPr>
              <w:rFonts w:ascii="Times New Roman" w:hAnsi="Times New Roman" w:cs="Times New Roman"/>
              <w:sz w:val="24"/>
              <w:szCs w:val="24"/>
            </w:rPr>
            <w:instrText xml:space="preserve"> TOC \o "1-3" \h \z \u </w:instrText>
          </w:r>
          <w:r w:rsidRPr="00457B74">
            <w:rPr>
              <w:rFonts w:ascii="Times New Roman" w:hAnsi="Times New Roman" w:cs="Times New Roman"/>
              <w:sz w:val="24"/>
              <w:szCs w:val="24"/>
            </w:rPr>
            <w:fldChar w:fldCharType="separate"/>
          </w:r>
          <w:hyperlink w:anchor="_Toc120993771" w:history="1">
            <w:r w:rsidR="00457B74" w:rsidRPr="00457B74">
              <w:rPr>
                <w:rStyle w:val="Hyperlink"/>
                <w:rFonts w:ascii="Times New Roman" w:hAnsi="Times New Roman" w:cs="Times New Roman"/>
                <w:noProof/>
                <w:lang w:val="en-US"/>
              </w:rPr>
              <w:t>Introduction: Constitutions and Holy Scriptures, Constitutions as Holy Scriptures – three illustrations</w:t>
            </w:r>
            <w:r w:rsidR="00457B74" w:rsidRPr="00457B74">
              <w:rPr>
                <w:rFonts w:ascii="Times New Roman" w:hAnsi="Times New Roman" w:cs="Times New Roman"/>
                <w:noProof/>
                <w:webHidden/>
              </w:rPr>
              <w:tab/>
            </w:r>
            <w:r w:rsidR="00457B74" w:rsidRPr="00457B74">
              <w:rPr>
                <w:rFonts w:ascii="Times New Roman" w:hAnsi="Times New Roman" w:cs="Times New Roman"/>
                <w:noProof/>
                <w:webHidden/>
              </w:rPr>
              <w:fldChar w:fldCharType="begin"/>
            </w:r>
            <w:r w:rsidR="00457B74" w:rsidRPr="00457B74">
              <w:rPr>
                <w:rFonts w:ascii="Times New Roman" w:hAnsi="Times New Roman" w:cs="Times New Roman"/>
                <w:noProof/>
                <w:webHidden/>
              </w:rPr>
              <w:instrText xml:space="preserve"> PAGEREF _Toc120993771 \h </w:instrText>
            </w:r>
            <w:r w:rsidR="00457B74" w:rsidRPr="00457B74">
              <w:rPr>
                <w:rFonts w:ascii="Times New Roman" w:hAnsi="Times New Roman" w:cs="Times New Roman"/>
                <w:noProof/>
                <w:webHidden/>
              </w:rPr>
            </w:r>
            <w:r w:rsidR="00457B74" w:rsidRPr="00457B74">
              <w:rPr>
                <w:rFonts w:ascii="Times New Roman" w:hAnsi="Times New Roman" w:cs="Times New Roman"/>
                <w:noProof/>
                <w:webHidden/>
              </w:rPr>
              <w:fldChar w:fldCharType="separate"/>
            </w:r>
            <w:r w:rsidR="00457B74" w:rsidRPr="00457B74">
              <w:rPr>
                <w:rFonts w:ascii="Times New Roman" w:hAnsi="Times New Roman" w:cs="Times New Roman"/>
                <w:noProof/>
                <w:webHidden/>
              </w:rPr>
              <w:t>1</w:t>
            </w:r>
            <w:r w:rsidR="00457B74" w:rsidRPr="00457B74">
              <w:rPr>
                <w:rFonts w:ascii="Times New Roman" w:hAnsi="Times New Roman" w:cs="Times New Roman"/>
                <w:noProof/>
                <w:webHidden/>
              </w:rPr>
              <w:fldChar w:fldCharType="end"/>
            </w:r>
          </w:hyperlink>
        </w:p>
        <w:p w14:paraId="43D0F5DD" w14:textId="60A0786F" w:rsidR="00457B74" w:rsidRPr="00457B74" w:rsidRDefault="00457B74">
          <w:pPr>
            <w:pStyle w:val="TOC1"/>
            <w:tabs>
              <w:tab w:val="right" w:leader="dot" w:pos="8494"/>
            </w:tabs>
            <w:rPr>
              <w:rFonts w:ascii="Times New Roman" w:eastAsiaTheme="minorEastAsia" w:hAnsi="Times New Roman" w:cs="Times New Roman"/>
              <w:noProof/>
              <w:lang w:eastAsia="pt-BR"/>
            </w:rPr>
          </w:pPr>
          <w:hyperlink w:anchor="_Toc120993772" w:history="1">
            <w:r w:rsidRPr="00457B74">
              <w:rPr>
                <w:rStyle w:val="Hyperlink"/>
                <w:rFonts w:ascii="Times New Roman" w:hAnsi="Times New Roman" w:cs="Times New Roman"/>
                <w:noProof/>
                <w:lang w:val="en-US"/>
              </w:rPr>
              <w:t>1. About saints and subcutaneous influences: confessional ages, confessional peaks, and the historiographical literature on the relationship between constitutional adjudication and religion in the United States of America and Germany</w:t>
            </w:r>
            <w:r w:rsidRPr="00457B74">
              <w:rPr>
                <w:rFonts w:ascii="Times New Roman" w:hAnsi="Times New Roman" w:cs="Times New Roman"/>
                <w:noProof/>
                <w:webHidden/>
              </w:rPr>
              <w:tab/>
            </w:r>
            <w:r w:rsidRPr="00457B74">
              <w:rPr>
                <w:rFonts w:ascii="Times New Roman" w:hAnsi="Times New Roman" w:cs="Times New Roman"/>
                <w:noProof/>
                <w:webHidden/>
              </w:rPr>
              <w:fldChar w:fldCharType="begin"/>
            </w:r>
            <w:r w:rsidRPr="00457B74">
              <w:rPr>
                <w:rFonts w:ascii="Times New Roman" w:hAnsi="Times New Roman" w:cs="Times New Roman"/>
                <w:noProof/>
                <w:webHidden/>
              </w:rPr>
              <w:instrText xml:space="preserve"> PAGEREF _Toc120993772 \h </w:instrText>
            </w:r>
            <w:r w:rsidRPr="00457B74">
              <w:rPr>
                <w:rFonts w:ascii="Times New Roman" w:hAnsi="Times New Roman" w:cs="Times New Roman"/>
                <w:noProof/>
                <w:webHidden/>
              </w:rPr>
            </w:r>
            <w:r w:rsidRPr="00457B74">
              <w:rPr>
                <w:rFonts w:ascii="Times New Roman" w:hAnsi="Times New Roman" w:cs="Times New Roman"/>
                <w:noProof/>
                <w:webHidden/>
              </w:rPr>
              <w:fldChar w:fldCharType="separate"/>
            </w:r>
            <w:r w:rsidRPr="00457B74">
              <w:rPr>
                <w:rFonts w:ascii="Times New Roman" w:hAnsi="Times New Roman" w:cs="Times New Roman"/>
                <w:noProof/>
                <w:webHidden/>
              </w:rPr>
              <w:t>8</w:t>
            </w:r>
            <w:r w:rsidRPr="00457B74">
              <w:rPr>
                <w:rFonts w:ascii="Times New Roman" w:hAnsi="Times New Roman" w:cs="Times New Roman"/>
                <w:noProof/>
                <w:webHidden/>
              </w:rPr>
              <w:fldChar w:fldCharType="end"/>
            </w:r>
          </w:hyperlink>
        </w:p>
        <w:p w14:paraId="42750603" w14:textId="06AC2BFB" w:rsidR="00457B74" w:rsidRPr="00457B74" w:rsidRDefault="00457B74">
          <w:pPr>
            <w:pStyle w:val="TOC1"/>
            <w:tabs>
              <w:tab w:val="right" w:leader="dot" w:pos="8494"/>
            </w:tabs>
            <w:rPr>
              <w:rFonts w:ascii="Times New Roman" w:eastAsiaTheme="minorEastAsia" w:hAnsi="Times New Roman" w:cs="Times New Roman"/>
              <w:noProof/>
              <w:lang w:eastAsia="pt-BR"/>
            </w:rPr>
          </w:pPr>
          <w:hyperlink w:anchor="_Toc120993773" w:history="1">
            <w:r w:rsidRPr="00457B74">
              <w:rPr>
                <w:rStyle w:val="Hyperlink"/>
                <w:rFonts w:ascii="Times New Roman" w:hAnsi="Times New Roman" w:cs="Times New Roman"/>
                <w:noProof/>
                <w:lang w:val="en-US"/>
              </w:rPr>
              <w:t>2. Stopping before the gates: what does architecture tell us?</w:t>
            </w:r>
            <w:r w:rsidRPr="00457B74">
              <w:rPr>
                <w:rFonts w:ascii="Times New Roman" w:hAnsi="Times New Roman" w:cs="Times New Roman"/>
                <w:noProof/>
                <w:webHidden/>
              </w:rPr>
              <w:tab/>
            </w:r>
            <w:r w:rsidRPr="00457B74">
              <w:rPr>
                <w:rFonts w:ascii="Times New Roman" w:hAnsi="Times New Roman" w:cs="Times New Roman"/>
                <w:noProof/>
                <w:webHidden/>
              </w:rPr>
              <w:fldChar w:fldCharType="begin"/>
            </w:r>
            <w:r w:rsidRPr="00457B74">
              <w:rPr>
                <w:rFonts w:ascii="Times New Roman" w:hAnsi="Times New Roman" w:cs="Times New Roman"/>
                <w:noProof/>
                <w:webHidden/>
              </w:rPr>
              <w:instrText xml:space="preserve"> PAGEREF _Toc120993773 \h </w:instrText>
            </w:r>
            <w:r w:rsidRPr="00457B74">
              <w:rPr>
                <w:rFonts w:ascii="Times New Roman" w:hAnsi="Times New Roman" w:cs="Times New Roman"/>
                <w:noProof/>
                <w:webHidden/>
              </w:rPr>
            </w:r>
            <w:r w:rsidRPr="00457B74">
              <w:rPr>
                <w:rFonts w:ascii="Times New Roman" w:hAnsi="Times New Roman" w:cs="Times New Roman"/>
                <w:noProof/>
                <w:webHidden/>
              </w:rPr>
              <w:fldChar w:fldCharType="separate"/>
            </w:r>
            <w:r w:rsidRPr="00457B74">
              <w:rPr>
                <w:rFonts w:ascii="Times New Roman" w:hAnsi="Times New Roman" w:cs="Times New Roman"/>
                <w:noProof/>
                <w:webHidden/>
              </w:rPr>
              <w:t>12</w:t>
            </w:r>
            <w:r w:rsidRPr="00457B74">
              <w:rPr>
                <w:rFonts w:ascii="Times New Roman" w:hAnsi="Times New Roman" w:cs="Times New Roman"/>
                <w:noProof/>
                <w:webHidden/>
              </w:rPr>
              <w:fldChar w:fldCharType="end"/>
            </w:r>
          </w:hyperlink>
        </w:p>
        <w:p w14:paraId="1E747C0E" w14:textId="33514927" w:rsidR="00457B74" w:rsidRPr="00457B74" w:rsidRDefault="00457B74">
          <w:pPr>
            <w:pStyle w:val="TOC1"/>
            <w:tabs>
              <w:tab w:val="right" w:leader="dot" w:pos="8494"/>
            </w:tabs>
            <w:rPr>
              <w:rFonts w:ascii="Times New Roman" w:eastAsiaTheme="minorEastAsia" w:hAnsi="Times New Roman" w:cs="Times New Roman"/>
              <w:noProof/>
              <w:lang w:eastAsia="pt-BR"/>
            </w:rPr>
          </w:pPr>
          <w:hyperlink w:anchor="_Toc120993774" w:history="1">
            <w:r w:rsidRPr="00457B74">
              <w:rPr>
                <w:rStyle w:val="Hyperlink"/>
                <w:rFonts w:ascii="Times New Roman" w:hAnsi="Times New Roman" w:cs="Times New Roman"/>
                <w:noProof/>
                <w:lang w:val="en-US"/>
              </w:rPr>
              <w:t>3. “And they shall render just decisions for the people:” The consecration of constitutional adjudication</w:t>
            </w:r>
            <w:r w:rsidRPr="00457B74">
              <w:rPr>
                <w:rFonts w:ascii="Times New Roman" w:hAnsi="Times New Roman" w:cs="Times New Roman"/>
                <w:noProof/>
                <w:webHidden/>
              </w:rPr>
              <w:tab/>
            </w:r>
            <w:r w:rsidRPr="00457B74">
              <w:rPr>
                <w:rFonts w:ascii="Times New Roman" w:hAnsi="Times New Roman" w:cs="Times New Roman"/>
                <w:noProof/>
                <w:webHidden/>
              </w:rPr>
              <w:fldChar w:fldCharType="begin"/>
            </w:r>
            <w:r w:rsidRPr="00457B74">
              <w:rPr>
                <w:rFonts w:ascii="Times New Roman" w:hAnsi="Times New Roman" w:cs="Times New Roman"/>
                <w:noProof/>
                <w:webHidden/>
              </w:rPr>
              <w:instrText xml:space="preserve"> PAGEREF _Toc120993774 \h </w:instrText>
            </w:r>
            <w:r w:rsidRPr="00457B74">
              <w:rPr>
                <w:rFonts w:ascii="Times New Roman" w:hAnsi="Times New Roman" w:cs="Times New Roman"/>
                <w:noProof/>
                <w:webHidden/>
              </w:rPr>
            </w:r>
            <w:r w:rsidRPr="00457B74">
              <w:rPr>
                <w:rFonts w:ascii="Times New Roman" w:hAnsi="Times New Roman" w:cs="Times New Roman"/>
                <w:noProof/>
                <w:webHidden/>
              </w:rPr>
              <w:fldChar w:fldCharType="separate"/>
            </w:r>
            <w:r w:rsidRPr="00457B74">
              <w:rPr>
                <w:rFonts w:ascii="Times New Roman" w:hAnsi="Times New Roman" w:cs="Times New Roman"/>
                <w:noProof/>
                <w:webHidden/>
              </w:rPr>
              <w:t>20</w:t>
            </w:r>
            <w:r w:rsidRPr="00457B74">
              <w:rPr>
                <w:rFonts w:ascii="Times New Roman" w:hAnsi="Times New Roman" w:cs="Times New Roman"/>
                <w:noProof/>
                <w:webHidden/>
              </w:rPr>
              <w:fldChar w:fldCharType="end"/>
            </w:r>
          </w:hyperlink>
        </w:p>
        <w:p w14:paraId="75C7EC31" w14:textId="14AE8449" w:rsidR="00457B74" w:rsidRPr="00457B74" w:rsidRDefault="00457B74">
          <w:pPr>
            <w:pStyle w:val="TOC2"/>
            <w:tabs>
              <w:tab w:val="right" w:leader="dot" w:pos="8494"/>
            </w:tabs>
            <w:rPr>
              <w:rFonts w:ascii="Times New Roman" w:eastAsiaTheme="minorEastAsia" w:hAnsi="Times New Roman" w:cs="Times New Roman"/>
              <w:noProof/>
              <w:lang w:eastAsia="pt-BR"/>
            </w:rPr>
          </w:pPr>
          <w:hyperlink w:anchor="_Toc120993775" w:history="1">
            <w:r w:rsidRPr="00457B74">
              <w:rPr>
                <w:rStyle w:val="Hyperlink"/>
                <w:rFonts w:ascii="Times New Roman" w:hAnsi="Times New Roman" w:cs="Times New Roman"/>
                <w:noProof/>
                <w:lang w:val="en-US"/>
              </w:rPr>
              <w:t>3.1. On constitutional personality: Justices as Visible Saints</w:t>
            </w:r>
            <w:r w:rsidRPr="00457B74">
              <w:rPr>
                <w:rFonts w:ascii="Times New Roman" w:hAnsi="Times New Roman" w:cs="Times New Roman"/>
                <w:noProof/>
                <w:webHidden/>
              </w:rPr>
              <w:tab/>
            </w:r>
            <w:r w:rsidRPr="00457B74">
              <w:rPr>
                <w:rFonts w:ascii="Times New Roman" w:hAnsi="Times New Roman" w:cs="Times New Roman"/>
                <w:noProof/>
                <w:webHidden/>
              </w:rPr>
              <w:fldChar w:fldCharType="begin"/>
            </w:r>
            <w:r w:rsidRPr="00457B74">
              <w:rPr>
                <w:rFonts w:ascii="Times New Roman" w:hAnsi="Times New Roman" w:cs="Times New Roman"/>
                <w:noProof/>
                <w:webHidden/>
              </w:rPr>
              <w:instrText xml:space="preserve"> PAGEREF _Toc120993775 \h </w:instrText>
            </w:r>
            <w:r w:rsidRPr="00457B74">
              <w:rPr>
                <w:rFonts w:ascii="Times New Roman" w:hAnsi="Times New Roman" w:cs="Times New Roman"/>
                <w:noProof/>
                <w:webHidden/>
              </w:rPr>
            </w:r>
            <w:r w:rsidRPr="00457B74">
              <w:rPr>
                <w:rFonts w:ascii="Times New Roman" w:hAnsi="Times New Roman" w:cs="Times New Roman"/>
                <w:noProof/>
                <w:webHidden/>
              </w:rPr>
              <w:fldChar w:fldCharType="separate"/>
            </w:r>
            <w:r w:rsidRPr="00457B74">
              <w:rPr>
                <w:rFonts w:ascii="Times New Roman" w:hAnsi="Times New Roman" w:cs="Times New Roman"/>
                <w:noProof/>
                <w:webHidden/>
              </w:rPr>
              <w:t>22</w:t>
            </w:r>
            <w:r w:rsidRPr="00457B74">
              <w:rPr>
                <w:rFonts w:ascii="Times New Roman" w:hAnsi="Times New Roman" w:cs="Times New Roman"/>
                <w:noProof/>
                <w:webHidden/>
              </w:rPr>
              <w:fldChar w:fldCharType="end"/>
            </w:r>
          </w:hyperlink>
        </w:p>
        <w:p w14:paraId="11BCFC1B" w14:textId="03C28429" w:rsidR="00457B74" w:rsidRPr="00457B74" w:rsidRDefault="00457B74">
          <w:pPr>
            <w:pStyle w:val="TOC2"/>
            <w:tabs>
              <w:tab w:val="right" w:leader="dot" w:pos="8494"/>
            </w:tabs>
            <w:rPr>
              <w:rFonts w:ascii="Times New Roman" w:eastAsiaTheme="minorEastAsia" w:hAnsi="Times New Roman" w:cs="Times New Roman"/>
              <w:noProof/>
              <w:lang w:eastAsia="pt-BR"/>
            </w:rPr>
          </w:pPr>
          <w:hyperlink w:anchor="_Toc120993776" w:history="1">
            <w:r w:rsidRPr="00457B74">
              <w:rPr>
                <w:rStyle w:val="Hyperlink"/>
                <w:rFonts w:ascii="Times New Roman" w:hAnsi="Times New Roman" w:cs="Times New Roman"/>
                <w:noProof/>
                <w:lang w:val="en-US"/>
              </w:rPr>
              <w:t xml:space="preserve">3.2. The Redemption of </w:t>
            </w:r>
            <w:r w:rsidRPr="00457B74">
              <w:rPr>
                <w:rStyle w:val="Hyperlink"/>
                <w:rFonts w:ascii="Times New Roman" w:hAnsi="Times New Roman" w:cs="Times New Roman"/>
                <w:i/>
                <w:iCs/>
                <w:noProof/>
                <w:lang w:val="en-US"/>
              </w:rPr>
              <w:t>Verfassungswirklichkeit</w:t>
            </w:r>
            <w:r w:rsidRPr="00457B74">
              <w:rPr>
                <w:rFonts w:ascii="Times New Roman" w:hAnsi="Times New Roman" w:cs="Times New Roman"/>
                <w:noProof/>
                <w:webHidden/>
              </w:rPr>
              <w:tab/>
            </w:r>
            <w:r w:rsidRPr="00457B74">
              <w:rPr>
                <w:rFonts w:ascii="Times New Roman" w:hAnsi="Times New Roman" w:cs="Times New Roman"/>
                <w:noProof/>
                <w:webHidden/>
              </w:rPr>
              <w:fldChar w:fldCharType="begin"/>
            </w:r>
            <w:r w:rsidRPr="00457B74">
              <w:rPr>
                <w:rFonts w:ascii="Times New Roman" w:hAnsi="Times New Roman" w:cs="Times New Roman"/>
                <w:noProof/>
                <w:webHidden/>
              </w:rPr>
              <w:instrText xml:space="preserve"> PAGEREF _Toc120993776 \h </w:instrText>
            </w:r>
            <w:r w:rsidRPr="00457B74">
              <w:rPr>
                <w:rFonts w:ascii="Times New Roman" w:hAnsi="Times New Roman" w:cs="Times New Roman"/>
                <w:noProof/>
                <w:webHidden/>
              </w:rPr>
            </w:r>
            <w:r w:rsidRPr="00457B74">
              <w:rPr>
                <w:rFonts w:ascii="Times New Roman" w:hAnsi="Times New Roman" w:cs="Times New Roman"/>
                <w:noProof/>
                <w:webHidden/>
              </w:rPr>
              <w:fldChar w:fldCharType="separate"/>
            </w:r>
            <w:r w:rsidRPr="00457B74">
              <w:rPr>
                <w:rFonts w:ascii="Times New Roman" w:hAnsi="Times New Roman" w:cs="Times New Roman"/>
                <w:noProof/>
                <w:webHidden/>
              </w:rPr>
              <w:t>30</w:t>
            </w:r>
            <w:r w:rsidRPr="00457B74">
              <w:rPr>
                <w:rFonts w:ascii="Times New Roman" w:hAnsi="Times New Roman" w:cs="Times New Roman"/>
                <w:noProof/>
                <w:webHidden/>
              </w:rPr>
              <w:fldChar w:fldCharType="end"/>
            </w:r>
          </w:hyperlink>
        </w:p>
        <w:p w14:paraId="1A20454B" w14:textId="313D12B9" w:rsidR="00457B74" w:rsidRPr="00457B74" w:rsidRDefault="00457B74">
          <w:pPr>
            <w:pStyle w:val="TOC1"/>
            <w:tabs>
              <w:tab w:val="right" w:leader="dot" w:pos="8494"/>
            </w:tabs>
            <w:rPr>
              <w:rFonts w:ascii="Times New Roman" w:eastAsiaTheme="minorEastAsia" w:hAnsi="Times New Roman" w:cs="Times New Roman"/>
              <w:noProof/>
              <w:lang w:eastAsia="pt-BR"/>
            </w:rPr>
          </w:pPr>
          <w:hyperlink w:anchor="_Toc120993777" w:history="1">
            <w:r w:rsidRPr="00457B74">
              <w:rPr>
                <w:rStyle w:val="Hyperlink"/>
                <w:rFonts w:ascii="Times New Roman" w:hAnsi="Times New Roman" w:cs="Times New Roman"/>
                <w:noProof/>
                <w:lang w:val="en-US"/>
              </w:rPr>
              <w:t>4. “The Lord wraps himself in light as with a garment:” the Bible after precedent and constitutional doctrine</w:t>
            </w:r>
            <w:r w:rsidRPr="00457B74">
              <w:rPr>
                <w:rFonts w:ascii="Times New Roman" w:hAnsi="Times New Roman" w:cs="Times New Roman"/>
                <w:noProof/>
                <w:webHidden/>
              </w:rPr>
              <w:tab/>
            </w:r>
            <w:r w:rsidRPr="00457B74">
              <w:rPr>
                <w:rFonts w:ascii="Times New Roman" w:hAnsi="Times New Roman" w:cs="Times New Roman"/>
                <w:noProof/>
                <w:webHidden/>
              </w:rPr>
              <w:fldChar w:fldCharType="begin"/>
            </w:r>
            <w:r w:rsidRPr="00457B74">
              <w:rPr>
                <w:rFonts w:ascii="Times New Roman" w:hAnsi="Times New Roman" w:cs="Times New Roman"/>
                <w:noProof/>
                <w:webHidden/>
              </w:rPr>
              <w:instrText xml:space="preserve"> PAGEREF _Toc120993777 \h </w:instrText>
            </w:r>
            <w:r w:rsidRPr="00457B74">
              <w:rPr>
                <w:rFonts w:ascii="Times New Roman" w:hAnsi="Times New Roman" w:cs="Times New Roman"/>
                <w:noProof/>
                <w:webHidden/>
              </w:rPr>
            </w:r>
            <w:r w:rsidRPr="00457B74">
              <w:rPr>
                <w:rFonts w:ascii="Times New Roman" w:hAnsi="Times New Roman" w:cs="Times New Roman"/>
                <w:noProof/>
                <w:webHidden/>
              </w:rPr>
              <w:fldChar w:fldCharType="separate"/>
            </w:r>
            <w:r w:rsidRPr="00457B74">
              <w:rPr>
                <w:rFonts w:ascii="Times New Roman" w:hAnsi="Times New Roman" w:cs="Times New Roman"/>
                <w:noProof/>
                <w:webHidden/>
              </w:rPr>
              <w:t>38</w:t>
            </w:r>
            <w:r w:rsidRPr="00457B74">
              <w:rPr>
                <w:rFonts w:ascii="Times New Roman" w:hAnsi="Times New Roman" w:cs="Times New Roman"/>
                <w:noProof/>
                <w:webHidden/>
              </w:rPr>
              <w:fldChar w:fldCharType="end"/>
            </w:r>
          </w:hyperlink>
        </w:p>
        <w:p w14:paraId="630F0B89" w14:textId="36CF4794" w:rsidR="00457B74" w:rsidRPr="00457B74" w:rsidRDefault="00457B74">
          <w:pPr>
            <w:pStyle w:val="TOC2"/>
            <w:tabs>
              <w:tab w:val="right" w:leader="dot" w:pos="8494"/>
            </w:tabs>
            <w:rPr>
              <w:rFonts w:ascii="Times New Roman" w:eastAsiaTheme="minorEastAsia" w:hAnsi="Times New Roman" w:cs="Times New Roman"/>
              <w:noProof/>
              <w:lang w:eastAsia="pt-BR"/>
            </w:rPr>
          </w:pPr>
          <w:hyperlink w:anchor="_Toc120993778" w:history="1">
            <w:r w:rsidRPr="00457B74">
              <w:rPr>
                <w:rStyle w:val="Hyperlink"/>
                <w:rFonts w:ascii="Times New Roman" w:hAnsi="Times New Roman" w:cs="Times New Roman"/>
                <w:noProof/>
                <w:lang w:val="en-US"/>
              </w:rPr>
              <w:t>4.1. The Bible and the Common Law</w:t>
            </w:r>
            <w:r w:rsidRPr="00457B74">
              <w:rPr>
                <w:rFonts w:ascii="Times New Roman" w:hAnsi="Times New Roman" w:cs="Times New Roman"/>
                <w:noProof/>
                <w:webHidden/>
              </w:rPr>
              <w:tab/>
            </w:r>
            <w:r w:rsidRPr="00457B74">
              <w:rPr>
                <w:rFonts w:ascii="Times New Roman" w:hAnsi="Times New Roman" w:cs="Times New Roman"/>
                <w:noProof/>
                <w:webHidden/>
              </w:rPr>
              <w:fldChar w:fldCharType="begin"/>
            </w:r>
            <w:r w:rsidRPr="00457B74">
              <w:rPr>
                <w:rFonts w:ascii="Times New Roman" w:hAnsi="Times New Roman" w:cs="Times New Roman"/>
                <w:noProof/>
                <w:webHidden/>
              </w:rPr>
              <w:instrText xml:space="preserve"> PAGEREF _Toc120993778 \h </w:instrText>
            </w:r>
            <w:r w:rsidRPr="00457B74">
              <w:rPr>
                <w:rFonts w:ascii="Times New Roman" w:hAnsi="Times New Roman" w:cs="Times New Roman"/>
                <w:noProof/>
                <w:webHidden/>
              </w:rPr>
            </w:r>
            <w:r w:rsidRPr="00457B74">
              <w:rPr>
                <w:rFonts w:ascii="Times New Roman" w:hAnsi="Times New Roman" w:cs="Times New Roman"/>
                <w:noProof/>
                <w:webHidden/>
              </w:rPr>
              <w:fldChar w:fldCharType="separate"/>
            </w:r>
            <w:r w:rsidRPr="00457B74">
              <w:rPr>
                <w:rFonts w:ascii="Times New Roman" w:hAnsi="Times New Roman" w:cs="Times New Roman"/>
                <w:noProof/>
                <w:webHidden/>
              </w:rPr>
              <w:t>40</w:t>
            </w:r>
            <w:r w:rsidRPr="00457B74">
              <w:rPr>
                <w:rFonts w:ascii="Times New Roman" w:hAnsi="Times New Roman" w:cs="Times New Roman"/>
                <w:noProof/>
                <w:webHidden/>
              </w:rPr>
              <w:fldChar w:fldCharType="end"/>
            </w:r>
          </w:hyperlink>
        </w:p>
        <w:p w14:paraId="533A76F0" w14:textId="313C8BEF" w:rsidR="00457B74" w:rsidRPr="00457B74" w:rsidRDefault="00457B74">
          <w:pPr>
            <w:pStyle w:val="TOC2"/>
            <w:tabs>
              <w:tab w:val="right" w:leader="dot" w:pos="8494"/>
            </w:tabs>
            <w:rPr>
              <w:rFonts w:ascii="Times New Roman" w:eastAsiaTheme="minorEastAsia" w:hAnsi="Times New Roman" w:cs="Times New Roman"/>
              <w:noProof/>
              <w:lang w:eastAsia="pt-BR"/>
            </w:rPr>
          </w:pPr>
          <w:hyperlink w:anchor="_Toc120993779" w:history="1">
            <w:r w:rsidRPr="00457B74">
              <w:rPr>
                <w:rStyle w:val="Hyperlink"/>
                <w:rFonts w:ascii="Times New Roman" w:hAnsi="Times New Roman" w:cs="Times New Roman"/>
                <w:noProof/>
                <w:lang w:val="en-US"/>
              </w:rPr>
              <w:t xml:space="preserve">4.2. The Bible and </w:t>
            </w:r>
            <w:r w:rsidRPr="00457B74">
              <w:rPr>
                <w:rStyle w:val="Hyperlink"/>
                <w:rFonts w:ascii="Times New Roman" w:hAnsi="Times New Roman" w:cs="Times New Roman"/>
                <w:i/>
                <w:iCs/>
                <w:noProof/>
                <w:lang w:val="en-US"/>
              </w:rPr>
              <w:t>Grundrechte</w:t>
            </w:r>
            <w:r w:rsidRPr="00457B74">
              <w:rPr>
                <w:rFonts w:ascii="Times New Roman" w:hAnsi="Times New Roman" w:cs="Times New Roman"/>
                <w:noProof/>
                <w:webHidden/>
              </w:rPr>
              <w:tab/>
            </w:r>
            <w:r w:rsidRPr="00457B74">
              <w:rPr>
                <w:rFonts w:ascii="Times New Roman" w:hAnsi="Times New Roman" w:cs="Times New Roman"/>
                <w:noProof/>
                <w:webHidden/>
              </w:rPr>
              <w:fldChar w:fldCharType="begin"/>
            </w:r>
            <w:r w:rsidRPr="00457B74">
              <w:rPr>
                <w:rFonts w:ascii="Times New Roman" w:hAnsi="Times New Roman" w:cs="Times New Roman"/>
                <w:noProof/>
                <w:webHidden/>
              </w:rPr>
              <w:instrText xml:space="preserve"> PAGEREF _Toc120993779 \h </w:instrText>
            </w:r>
            <w:r w:rsidRPr="00457B74">
              <w:rPr>
                <w:rFonts w:ascii="Times New Roman" w:hAnsi="Times New Roman" w:cs="Times New Roman"/>
                <w:noProof/>
                <w:webHidden/>
              </w:rPr>
            </w:r>
            <w:r w:rsidRPr="00457B74">
              <w:rPr>
                <w:rFonts w:ascii="Times New Roman" w:hAnsi="Times New Roman" w:cs="Times New Roman"/>
                <w:noProof/>
                <w:webHidden/>
              </w:rPr>
              <w:fldChar w:fldCharType="separate"/>
            </w:r>
            <w:r w:rsidRPr="00457B74">
              <w:rPr>
                <w:rFonts w:ascii="Times New Roman" w:hAnsi="Times New Roman" w:cs="Times New Roman"/>
                <w:noProof/>
                <w:webHidden/>
              </w:rPr>
              <w:t>44</w:t>
            </w:r>
            <w:r w:rsidRPr="00457B74">
              <w:rPr>
                <w:rFonts w:ascii="Times New Roman" w:hAnsi="Times New Roman" w:cs="Times New Roman"/>
                <w:noProof/>
                <w:webHidden/>
              </w:rPr>
              <w:fldChar w:fldCharType="end"/>
            </w:r>
          </w:hyperlink>
        </w:p>
        <w:p w14:paraId="04F1ABCF" w14:textId="21A5AE40" w:rsidR="00457B74" w:rsidRPr="00457B74" w:rsidRDefault="00457B74">
          <w:pPr>
            <w:pStyle w:val="TOC1"/>
            <w:tabs>
              <w:tab w:val="right" w:leader="dot" w:pos="8494"/>
            </w:tabs>
            <w:rPr>
              <w:rFonts w:ascii="Times New Roman" w:eastAsiaTheme="minorEastAsia" w:hAnsi="Times New Roman" w:cs="Times New Roman"/>
              <w:noProof/>
              <w:lang w:eastAsia="pt-BR"/>
            </w:rPr>
          </w:pPr>
          <w:hyperlink w:anchor="_Toc120993780" w:history="1">
            <w:r w:rsidRPr="00457B74">
              <w:rPr>
                <w:rStyle w:val="Hyperlink"/>
                <w:rFonts w:ascii="Times New Roman" w:hAnsi="Times New Roman" w:cs="Times New Roman"/>
                <w:noProof/>
                <w:lang w:val="en-US"/>
              </w:rPr>
              <w:t>Concluding remarks</w:t>
            </w:r>
            <w:r w:rsidRPr="00457B74">
              <w:rPr>
                <w:rFonts w:ascii="Times New Roman" w:hAnsi="Times New Roman" w:cs="Times New Roman"/>
                <w:noProof/>
                <w:webHidden/>
              </w:rPr>
              <w:tab/>
            </w:r>
            <w:r w:rsidRPr="00457B74">
              <w:rPr>
                <w:rFonts w:ascii="Times New Roman" w:hAnsi="Times New Roman" w:cs="Times New Roman"/>
                <w:noProof/>
                <w:webHidden/>
              </w:rPr>
              <w:fldChar w:fldCharType="begin"/>
            </w:r>
            <w:r w:rsidRPr="00457B74">
              <w:rPr>
                <w:rFonts w:ascii="Times New Roman" w:hAnsi="Times New Roman" w:cs="Times New Roman"/>
                <w:noProof/>
                <w:webHidden/>
              </w:rPr>
              <w:instrText xml:space="preserve"> PAGEREF _Toc120993780 \h </w:instrText>
            </w:r>
            <w:r w:rsidRPr="00457B74">
              <w:rPr>
                <w:rFonts w:ascii="Times New Roman" w:hAnsi="Times New Roman" w:cs="Times New Roman"/>
                <w:noProof/>
                <w:webHidden/>
              </w:rPr>
            </w:r>
            <w:r w:rsidRPr="00457B74">
              <w:rPr>
                <w:rFonts w:ascii="Times New Roman" w:hAnsi="Times New Roman" w:cs="Times New Roman"/>
                <w:noProof/>
                <w:webHidden/>
              </w:rPr>
              <w:fldChar w:fldCharType="separate"/>
            </w:r>
            <w:r w:rsidRPr="00457B74">
              <w:rPr>
                <w:rFonts w:ascii="Times New Roman" w:hAnsi="Times New Roman" w:cs="Times New Roman"/>
                <w:noProof/>
                <w:webHidden/>
              </w:rPr>
              <w:t>47</w:t>
            </w:r>
            <w:r w:rsidRPr="00457B74">
              <w:rPr>
                <w:rFonts w:ascii="Times New Roman" w:hAnsi="Times New Roman" w:cs="Times New Roman"/>
                <w:noProof/>
                <w:webHidden/>
              </w:rPr>
              <w:fldChar w:fldCharType="end"/>
            </w:r>
          </w:hyperlink>
        </w:p>
        <w:p w14:paraId="0A256A5C" w14:textId="4658D6C7" w:rsidR="00E70EC9" w:rsidRPr="00E70EC9" w:rsidRDefault="00E70EC9" w:rsidP="00E70EC9">
          <w:r w:rsidRPr="00457B74">
            <w:rPr>
              <w:rFonts w:ascii="Times New Roman" w:hAnsi="Times New Roman" w:cs="Times New Roman"/>
              <w:b/>
              <w:bCs/>
              <w:noProof/>
              <w:sz w:val="24"/>
              <w:szCs w:val="24"/>
            </w:rPr>
            <w:fldChar w:fldCharType="end"/>
          </w:r>
        </w:p>
      </w:sdtContent>
    </w:sdt>
    <w:p w14:paraId="0DB0B160" w14:textId="62B73F77" w:rsidR="00DC0252" w:rsidRPr="00007C8E" w:rsidRDefault="00E536F5" w:rsidP="00DB3323">
      <w:pPr>
        <w:pStyle w:val="Heading1"/>
        <w:jc w:val="both"/>
        <w:rPr>
          <w:rFonts w:ascii="Times New Roman" w:hAnsi="Times New Roman" w:cs="Times New Roman"/>
          <w:color w:val="auto"/>
          <w:sz w:val="24"/>
          <w:szCs w:val="24"/>
          <w:lang w:val="en-US"/>
        </w:rPr>
      </w:pPr>
      <w:bookmarkStart w:id="0" w:name="_Toc120993771"/>
      <w:r w:rsidRPr="00007C8E">
        <w:rPr>
          <w:rFonts w:ascii="Times New Roman" w:hAnsi="Times New Roman" w:cs="Times New Roman"/>
          <w:color w:val="auto"/>
          <w:sz w:val="24"/>
          <w:szCs w:val="24"/>
          <w:lang w:val="en-US"/>
        </w:rPr>
        <w:t>Introduction</w:t>
      </w:r>
      <w:r w:rsidR="00DB3323">
        <w:rPr>
          <w:rFonts w:ascii="Times New Roman" w:hAnsi="Times New Roman" w:cs="Times New Roman"/>
          <w:color w:val="auto"/>
          <w:sz w:val="24"/>
          <w:szCs w:val="24"/>
          <w:lang w:val="en-US"/>
        </w:rPr>
        <w:t xml:space="preserve">: </w:t>
      </w:r>
      <w:r w:rsidR="00DB3323" w:rsidRPr="00007C8E">
        <w:rPr>
          <w:rFonts w:ascii="Times New Roman" w:hAnsi="Times New Roman" w:cs="Times New Roman"/>
          <w:color w:val="auto"/>
          <w:sz w:val="24"/>
          <w:szCs w:val="24"/>
          <w:lang w:val="en-US"/>
        </w:rPr>
        <w:t>Constitutions and Holy Scriptures, Constitutions as Holy Scriptures</w:t>
      </w:r>
      <w:r w:rsidR="00DB3323">
        <w:rPr>
          <w:rFonts w:ascii="Times New Roman" w:hAnsi="Times New Roman" w:cs="Times New Roman"/>
          <w:color w:val="auto"/>
          <w:sz w:val="24"/>
          <w:szCs w:val="24"/>
          <w:lang w:val="en-US"/>
        </w:rPr>
        <w:t xml:space="preserve"> –</w:t>
      </w:r>
      <w:r w:rsidR="00DB3323" w:rsidRPr="00007C8E">
        <w:rPr>
          <w:rFonts w:ascii="Times New Roman" w:hAnsi="Times New Roman" w:cs="Times New Roman"/>
          <w:color w:val="auto"/>
          <w:sz w:val="24"/>
          <w:szCs w:val="24"/>
          <w:lang w:val="en-US"/>
        </w:rPr>
        <w:t xml:space="preserve"> three illustrations</w:t>
      </w:r>
      <w:bookmarkEnd w:id="0"/>
    </w:p>
    <w:p w14:paraId="1C82BC28" w14:textId="31F7395F" w:rsidR="00E536F5" w:rsidRDefault="00E536F5" w:rsidP="00E536F5">
      <w:pPr>
        <w:spacing w:after="0" w:line="360" w:lineRule="auto"/>
        <w:jc w:val="both"/>
        <w:rPr>
          <w:rFonts w:ascii="Times New Roman" w:hAnsi="Times New Roman" w:cs="Times New Roman"/>
          <w:sz w:val="24"/>
          <w:szCs w:val="24"/>
          <w:lang w:val="en-US"/>
        </w:rPr>
      </w:pPr>
      <w:bookmarkStart w:id="1" w:name="_Hlk108020021"/>
    </w:p>
    <w:p w14:paraId="0D49EAD9" w14:textId="50DF151B" w:rsidR="007E0EBD" w:rsidRDefault="00C23DC5" w:rsidP="0027280F">
      <w:pPr>
        <w:spacing w:after="0" w:line="360" w:lineRule="auto"/>
        <w:ind w:firstLine="113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Franklin D. </w:t>
      </w:r>
      <w:r w:rsidR="00000419">
        <w:rPr>
          <w:rFonts w:ascii="Times New Roman" w:hAnsi="Times New Roman" w:cs="Times New Roman"/>
          <w:sz w:val="24"/>
          <w:szCs w:val="24"/>
          <w:lang w:val="en-US"/>
        </w:rPr>
        <w:t>Roosevelt recommended that “like the Bible, [the Constitution] ought to be read again and again.”</w:t>
      </w:r>
      <w:r w:rsidR="00000419">
        <w:rPr>
          <w:rStyle w:val="FootnoteReference"/>
          <w:rFonts w:ascii="Times New Roman" w:hAnsi="Times New Roman" w:cs="Times New Roman"/>
          <w:sz w:val="24"/>
          <w:szCs w:val="24"/>
          <w:lang w:val="en-US"/>
        </w:rPr>
        <w:footnoteReference w:id="1"/>
      </w:r>
      <w:r w:rsidR="00000419">
        <w:rPr>
          <w:rFonts w:ascii="Times New Roman" w:hAnsi="Times New Roman" w:cs="Times New Roman"/>
          <w:sz w:val="24"/>
          <w:szCs w:val="24"/>
          <w:lang w:val="en-US"/>
        </w:rPr>
        <w:t xml:space="preserve"> Gustav Heinemann </w:t>
      </w:r>
      <w:r w:rsidR="00D423CE">
        <w:rPr>
          <w:rFonts w:ascii="Times New Roman" w:hAnsi="Times New Roman" w:cs="Times New Roman"/>
          <w:sz w:val="24"/>
          <w:szCs w:val="24"/>
          <w:lang w:val="en-US"/>
        </w:rPr>
        <w:t xml:space="preserve">portrayed </w:t>
      </w:r>
      <w:r w:rsidR="00000419">
        <w:rPr>
          <w:rFonts w:ascii="Times New Roman" w:hAnsi="Times New Roman" w:cs="Times New Roman"/>
          <w:sz w:val="24"/>
          <w:szCs w:val="24"/>
          <w:lang w:val="en-US"/>
        </w:rPr>
        <w:t xml:space="preserve">the </w:t>
      </w:r>
      <w:proofErr w:type="spellStart"/>
      <w:r w:rsidR="00000419" w:rsidRPr="00AF4854">
        <w:rPr>
          <w:rFonts w:ascii="Times New Roman" w:hAnsi="Times New Roman" w:cs="Times New Roman"/>
          <w:i/>
          <w:iCs/>
          <w:sz w:val="24"/>
          <w:szCs w:val="24"/>
          <w:lang w:val="en-US"/>
        </w:rPr>
        <w:t>Grundgesetz</w:t>
      </w:r>
      <w:proofErr w:type="spellEnd"/>
      <w:r w:rsidR="00000419">
        <w:rPr>
          <w:rFonts w:ascii="Times New Roman" w:hAnsi="Times New Roman" w:cs="Times New Roman"/>
          <w:sz w:val="24"/>
          <w:szCs w:val="24"/>
          <w:lang w:val="en-US"/>
        </w:rPr>
        <w:t xml:space="preserve"> as a </w:t>
      </w:r>
      <w:r w:rsidR="00000419">
        <w:rPr>
          <w:rFonts w:ascii="Times New Roman" w:hAnsi="Times New Roman" w:cs="Times New Roman"/>
          <w:sz w:val="24"/>
          <w:szCs w:val="24"/>
          <w:lang w:val="en-US"/>
        </w:rPr>
        <w:lastRenderedPageBreak/>
        <w:t>“great offering,” whose words must become flesh.</w:t>
      </w:r>
      <w:r w:rsidR="00000419">
        <w:rPr>
          <w:rStyle w:val="FootnoteReference"/>
          <w:rFonts w:ascii="Times New Roman" w:hAnsi="Times New Roman" w:cs="Times New Roman"/>
          <w:sz w:val="24"/>
          <w:szCs w:val="24"/>
          <w:lang w:val="en-US"/>
        </w:rPr>
        <w:footnoteReference w:id="2"/>
      </w:r>
      <w:r w:rsidR="00000419">
        <w:rPr>
          <w:rFonts w:ascii="Times New Roman" w:hAnsi="Times New Roman" w:cs="Times New Roman"/>
          <w:sz w:val="24"/>
          <w:szCs w:val="24"/>
          <w:lang w:val="en-US"/>
        </w:rPr>
        <w:t xml:space="preserve"> It is difficult, I believe, to overstate how significant is the interplay between the two “good books” for the articulation of each</w:t>
      </w:r>
      <w:r w:rsidR="0027280F">
        <w:rPr>
          <w:rFonts w:ascii="Times New Roman" w:hAnsi="Times New Roman" w:cs="Times New Roman"/>
          <w:sz w:val="24"/>
          <w:szCs w:val="24"/>
          <w:lang w:val="en-US"/>
        </w:rPr>
        <w:t xml:space="preserve"> legal and political order’s</w:t>
      </w:r>
      <w:r w:rsidR="00000419">
        <w:rPr>
          <w:rFonts w:ascii="Times New Roman" w:hAnsi="Times New Roman" w:cs="Times New Roman"/>
          <w:sz w:val="24"/>
          <w:szCs w:val="24"/>
          <w:lang w:val="en-US"/>
        </w:rPr>
        <w:t xml:space="preserve"> constitutional </w:t>
      </w:r>
      <w:r w:rsidR="00370BEB">
        <w:rPr>
          <w:rFonts w:ascii="Times New Roman" w:hAnsi="Times New Roman" w:cs="Times New Roman"/>
          <w:sz w:val="24"/>
          <w:szCs w:val="24"/>
          <w:lang w:val="en-US"/>
        </w:rPr>
        <w:t>language</w:t>
      </w:r>
      <w:r w:rsidR="00000419">
        <w:rPr>
          <w:rFonts w:ascii="Times New Roman" w:hAnsi="Times New Roman" w:cs="Times New Roman"/>
          <w:sz w:val="24"/>
          <w:szCs w:val="24"/>
          <w:lang w:val="en-US"/>
        </w:rPr>
        <w:t>.</w:t>
      </w:r>
      <w:r w:rsidR="0027280F">
        <w:rPr>
          <w:rFonts w:ascii="Times New Roman" w:hAnsi="Times New Roman" w:cs="Times New Roman"/>
          <w:sz w:val="24"/>
          <w:szCs w:val="24"/>
          <w:lang w:val="en-US"/>
        </w:rPr>
        <w:t xml:space="preserve"> Nevertheless, does this have any bearing </w:t>
      </w:r>
      <w:r w:rsidR="00D423CE">
        <w:rPr>
          <w:rFonts w:ascii="Times New Roman" w:hAnsi="Times New Roman" w:cs="Times New Roman"/>
          <w:sz w:val="24"/>
          <w:szCs w:val="24"/>
          <w:lang w:val="en-US"/>
        </w:rPr>
        <w:t xml:space="preserve">on </w:t>
      </w:r>
      <w:r w:rsidR="0027280F">
        <w:rPr>
          <w:rFonts w:ascii="Times New Roman" w:hAnsi="Times New Roman" w:cs="Times New Roman"/>
          <w:sz w:val="24"/>
          <w:szCs w:val="24"/>
          <w:lang w:val="en-US"/>
        </w:rPr>
        <w:t>constitutional adjudication?</w:t>
      </w:r>
      <w:r>
        <w:rPr>
          <w:rFonts w:ascii="Times New Roman" w:hAnsi="Times New Roman" w:cs="Times New Roman"/>
          <w:sz w:val="24"/>
          <w:szCs w:val="24"/>
          <w:lang w:val="en-US"/>
        </w:rPr>
        <w:t xml:space="preserve"> Although presidents didn’t shy </w:t>
      </w:r>
      <w:r w:rsidR="00D423CE">
        <w:rPr>
          <w:rFonts w:ascii="Times New Roman" w:hAnsi="Times New Roman" w:cs="Times New Roman"/>
          <w:sz w:val="24"/>
          <w:szCs w:val="24"/>
          <w:lang w:val="en-US"/>
        </w:rPr>
        <w:t xml:space="preserve">about </w:t>
      </w:r>
      <w:r>
        <w:rPr>
          <w:rFonts w:ascii="Times New Roman" w:hAnsi="Times New Roman" w:cs="Times New Roman"/>
          <w:sz w:val="24"/>
          <w:szCs w:val="24"/>
          <w:lang w:val="en-US"/>
        </w:rPr>
        <w:t>handling their respective constitutions as bibles, have justices and constitutional scholars proceeded otherwise?</w:t>
      </w:r>
      <w:r w:rsidR="007E0EBD">
        <w:rPr>
          <w:rFonts w:ascii="Times New Roman" w:hAnsi="Times New Roman" w:cs="Times New Roman"/>
          <w:sz w:val="24"/>
          <w:szCs w:val="24"/>
          <w:lang w:val="en-US"/>
        </w:rPr>
        <w:t xml:space="preserve"> One could imagine common</w:t>
      </w:r>
      <w:r w:rsidR="0038646F">
        <w:rPr>
          <w:rFonts w:ascii="Times New Roman" w:hAnsi="Times New Roman" w:cs="Times New Roman"/>
          <w:sz w:val="24"/>
          <w:szCs w:val="24"/>
          <w:lang w:val="en-US"/>
        </w:rPr>
        <w:t>, liberal</w:t>
      </w:r>
      <w:r w:rsidR="007E0EBD">
        <w:rPr>
          <w:rFonts w:ascii="Times New Roman" w:hAnsi="Times New Roman" w:cs="Times New Roman"/>
          <w:sz w:val="24"/>
          <w:szCs w:val="24"/>
          <w:lang w:val="en-US"/>
        </w:rPr>
        <w:t xml:space="preserve"> wisdom answering yes, they did</w:t>
      </w:r>
      <w:r w:rsidR="0038646F">
        <w:rPr>
          <w:rFonts w:ascii="Times New Roman" w:hAnsi="Times New Roman" w:cs="Times New Roman"/>
          <w:sz w:val="24"/>
          <w:szCs w:val="24"/>
          <w:lang w:val="en-US"/>
        </w:rPr>
        <w:t>, whether in US English or German</w:t>
      </w:r>
      <w:r w:rsidR="007E0EBD">
        <w:rPr>
          <w:rFonts w:ascii="Times New Roman" w:hAnsi="Times New Roman" w:cs="Times New Roman"/>
          <w:sz w:val="24"/>
          <w:szCs w:val="24"/>
          <w:lang w:val="en-US"/>
        </w:rPr>
        <w:t>. The aim of my study is to show that this</w:t>
      </w:r>
      <w:r w:rsidR="004716DE">
        <w:rPr>
          <w:rFonts w:ascii="Times New Roman" w:hAnsi="Times New Roman" w:cs="Times New Roman"/>
          <w:sz w:val="24"/>
          <w:szCs w:val="24"/>
          <w:lang w:val="en-US"/>
        </w:rPr>
        <w:t xml:space="preserve"> is</w:t>
      </w:r>
      <w:r w:rsidR="007E0EBD">
        <w:rPr>
          <w:rFonts w:ascii="Times New Roman" w:hAnsi="Times New Roman" w:cs="Times New Roman"/>
          <w:sz w:val="24"/>
          <w:szCs w:val="24"/>
          <w:lang w:val="en-US"/>
        </w:rPr>
        <w:t xml:space="preserve"> not quite the case.</w:t>
      </w:r>
      <w:r w:rsidR="00615D4B">
        <w:rPr>
          <w:rFonts w:ascii="Times New Roman" w:hAnsi="Times New Roman" w:cs="Times New Roman"/>
          <w:sz w:val="24"/>
          <w:szCs w:val="24"/>
          <w:lang w:val="en-US"/>
        </w:rPr>
        <w:t xml:space="preserve"> In order to both become and remain convincing and attractive enough to warrant pervasive endorsement,</w:t>
      </w:r>
      <w:r w:rsidR="008F3BD4">
        <w:rPr>
          <w:rFonts w:ascii="Times New Roman" w:hAnsi="Times New Roman" w:cs="Times New Roman"/>
          <w:sz w:val="24"/>
          <w:szCs w:val="24"/>
          <w:lang w:val="en-US"/>
        </w:rPr>
        <w:t xml:space="preserve"> two prototypical</w:t>
      </w:r>
      <w:r w:rsidR="00615D4B">
        <w:rPr>
          <w:rFonts w:ascii="Times New Roman" w:hAnsi="Times New Roman" w:cs="Times New Roman"/>
          <w:sz w:val="24"/>
          <w:szCs w:val="24"/>
          <w:lang w:val="en-US"/>
        </w:rPr>
        <w:t xml:space="preserve"> constitutional courts in their daily practice and language </w:t>
      </w:r>
      <w:r w:rsidR="008F3BD4">
        <w:rPr>
          <w:rFonts w:ascii="Times New Roman" w:hAnsi="Times New Roman" w:cs="Times New Roman"/>
          <w:sz w:val="24"/>
          <w:szCs w:val="24"/>
          <w:lang w:val="en-US"/>
        </w:rPr>
        <w:t>appealed to</w:t>
      </w:r>
      <w:r w:rsidR="00615D4B">
        <w:rPr>
          <w:rFonts w:ascii="Times New Roman" w:hAnsi="Times New Roman" w:cs="Times New Roman"/>
          <w:sz w:val="24"/>
          <w:szCs w:val="24"/>
          <w:lang w:val="en-US"/>
        </w:rPr>
        <w:t xml:space="preserve"> words, images, and frames of thought that bear a clear relation to religion.</w:t>
      </w:r>
      <w:r w:rsidR="008F3BD4">
        <w:rPr>
          <w:rFonts w:ascii="Times New Roman" w:hAnsi="Times New Roman" w:cs="Times New Roman"/>
          <w:sz w:val="24"/>
          <w:szCs w:val="24"/>
          <w:lang w:val="en-US"/>
        </w:rPr>
        <w:t xml:space="preserve"> Occasiona</w:t>
      </w:r>
      <w:r w:rsidR="00D423CE">
        <w:rPr>
          <w:rFonts w:ascii="Times New Roman" w:hAnsi="Times New Roman" w:cs="Times New Roman"/>
          <w:sz w:val="24"/>
          <w:szCs w:val="24"/>
          <w:lang w:val="en-US"/>
        </w:rPr>
        <w:t>l</w:t>
      </w:r>
      <w:r w:rsidR="008F3BD4">
        <w:rPr>
          <w:rFonts w:ascii="Times New Roman" w:hAnsi="Times New Roman" w:cs="Times New Roman"/>
          <w:sz w:val="24"/>
          <w:szCs w:val="24"/>
          <w:lang w:val="en-US"/>
        </w:rPr>
        <w:t>ly, such initially explicit and th</w:t>
      </w:r>
      <w:r w:rsidR="00D423CE">
        <w:rPr>
          <w:rFonts w:ascii="Times New Roman" w:hAnsi="Times New Roman" w:cs="Times New Roman"/>
          <w:sz w:val="24"/>
          <w:szCs w:val="24"/>
          <w:lang w:val="en-US"/>
        </w:rPr>
        <w:t>e</w:t>
      </w:r>
      <w:r w:rsidR="008F3BD4">
        <w:rPr>
          <w:rFonts w:ascii="Times New Roman" w:hAnsi="Times New Roman" w:cs="Times New Roman"/>
          <w:sz w:val="24"/>
          <w:szCs w:val="24"/>
          <w:lang w:val="en-US"/>
        </w:rPr>
        <w:t>n enduringly implicit reliance may have affected the way they approach the ministration of constitutional justice.</w:t>
      </w:r>
    </w:p>
    <w:p w14:paraId="1B761C81" w14:textId="6E33DE6C" w:rsidR="00615D4B" w:rsidRDefault="007E0EBD">
      <w:pPr>
        <w:spacing w:after="0" w:line="360" w:lineRule="auto"/>
        <w:ind w:firstLine="113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BA5647">
        <w:rPr>
          <w:rFonts w:ascii="Times New Roman" w:hAnsi="Times New Roman" w:cs="Times New Roman"/>
          <w:sz w:val="24"/>
          <w:szCs w:val="24"/>
          <w:lang w:val="en-US"/>
        </w:rPr>
        <w:t>While the plausibility of constitutional adjudication</w:t>
      </w:r>
      <w:r w:rsidR="004C15AD">
        <w:rPr>
          <w:rFonts w:ascii="Times New Roman" w:hAnsi="Times New Roman" w:cs="Times New Roman"/>
          <w:sz w:val="24"/>
          <w:szCs w:val="24"/>
          <w:lang w:val="en-US"/>
        </w:rPr>
        <w:t xml:space="preserve"> in liberal democracies</w:t>
      </w:r>
      <w:r w:rsidR="00BA5647">
        <w:rPr>
          <w:rFonts w:ascii="Times New Roman" w:hAnsi="Times New Roman" w:cs="Times New Roman"/>
          <w:sz w:val="24"/>
          <w:szCs w:val="24"/>
          <w:lang w:val="en-US"/>
        </w:rPr>
        <w:t xml:space="preserve"> hardly pivoted on semantics and media </w:t>
      </w:r>
      <w:r w:rsidR="00E24D2D">
        <w:rPr>
          <w:rFonts w:ascii="Times New Roman" w:hAnsi="Times New Roman" w:cs="Times New Roman"/>
          <w:sz w:val="24"/>
          <w:szCs w:val="24"/>
          <w:lang w:val="en-US"/>
        </w:rPr>
        <w:t>embedded</w:t>
      </w:r>
      <w:r w:rsidR="00BA5647">
        <w:rPr>
          <w:rFonts w:ascii="Times New Roman" w:hAnsi="Times New Roman" w:cs="Times New Roman"/>
          <w:sz w:val="24"/>
          <w:szCs w:val="24"/>
          <w:lang w:val="en-US"/>
        </w:rPr>
        <w:t xml:space="preserve"> with religious connotations, its </w:t>
      </w:r>
      <w:r w:rsidR="00BA5647" w:rsidRPr="00AC7AE0">
        <w:rPr>
          <w:rFonts w:ascii="Times New Roman" w:hAnsi="Times New Roman" w:cs="Times New Roman"/>
          <w:sz w:val="24"/>
          <w:szCs w:val="24"/>
          <w:lang w:val="en-US"/>
        </w:rPr>
        <w:t>evidence</w:t>
      </w:r>
      <w:r w:rsidR="00BA5647">
        <w:rPr>
          <w:rFonts w:ascii="Times New Roman" w:hAnsi="Times New Roman" w:cs="Times New Roman"/>
          <w:sz w:val="24"/>
          <w:szCs w:val="24"/>
          <w:lang w:val="en-US"/>
        </w:rPr>
        <w:t xml:space="preserve"> did.</w:t>
      </w:r>
      <w:r w:rsidR="00AC7AE0">
        <w:rPr>
          <w:rFonts w:ascii="Times New Roman" w:hAnsi="Times New Roman" w:cs="Times New Roman"/>
          <w:sz w:val="24"/>
          <w:szCs w:val="24"/>
          <w:lang w:val="en-US"/>
        </w:rPr>
        <w:t xml:space="preserve"> This is my research’s </w:t>
      </w:r>
      <w:r w:rsidR="00CF12FA">
        <w:rPr>
          <w:rFonts w:ascii="Times New Roman" w:hAnsi="Times New Roman" w:cs="Times New Roman"/>
          <w:sz w:val="24"/>
          <w:szCs w:val="24"/>
          <w:lang w:val="en-US"/>
        </w:rPr>
        <w:t>main</w:t>
      </w:r>
      <w:r w:rsidR="0027280F">
        <w:rPr>
          <w:rFonts w:ascii="Times New Roman" w:hAnsi="Times New Roman" w:cs="Times New Roman"/>
          <w:sz w:val="24"/>
          <w:szCs w:val="24"/>
          <w:lang w:val="en-US"/>
        </w:rPr>
        <w:t xml:space="preserve"> </w:t>
      </w:r>
      <w:r w:rsidR="00AC7AE0">
        <w:rPr>
          <w:rFonts w:ascii="Times New Roman" w:hAnsi="Times New Roman" w:cs="Times New Roman"/>
          <w:sz w:val="24"/>
          <w:szCs w:val="24"/>
          <w:lang w:val="en-US"/>
        </w:rPr>
        <w:t>hypothesis.</w:t>
      </w:r>
      <w:r w:rsidR="00BA5647">
        <w:rPr>
          <w:rFonts w:ascii="Times New Roman" w:hAnsi="Times New Roman" w:cs="Times New Roman"/>
          <w:sz w:val="24"/>
          <w:szCs w:val="24"/>
          <w:lang w:val="en-US"/>
        </w:rPr>
        <w:t xml:space="preserve"> </w:t>
      </w:r>
      <w:r w:rsidR="00B66554">
        <w:rPr>
          <w:rFonts w:ascii="Times New Roman" w:hAnsi="Times New Roman" w:cs="Times New Roman"/>
          <w:sz w:val="24"/>
          <w:szCs w:val="24"/>
          <w:lang w:val="en-US"/>
        </w:rPr>
        <w:t xml:space="preserve">“Plausibility” and “evidence” are two terms of art proposed by </w:t>
      </w:r>
      <w:proofErr w:type="spellStart"/>
      <w:r w:rsidR="00B66554">
        <w:rPr>
          <w:rFonts w:ascii="Times New Roman" w:hAnsi="Times New Roman" w:cs="Times New Roman"/>
          <w:sz w:val="24"/>
          <w:szCs w:val="24"/>
          <w:lang w:val="en-US"/>
        </w:rPr>
        <w:t>Niklas</w:t>
      </w:r>
      <w:proofErr w:type="spellEnd"/>
      <w:r w:rsidR="00B66554">
        <w:rPr>
          <w:rFonts w:ascii="Times New Roman" w:hAnsi="Times New Roman" w:cs="Times New Roman"/>
          <w:sz w:val="24"/>
          <w:szCs w:val="24"/>
          <w:lang w:val="en-US"/>
        </w:rPr>
        <w:t xml:space="preserve"> </w:t>
      </w:r>
      <w:proofErr w:type="spellStart"/>
      <w:r w:rsidR="00B66554">
        <w:rPr>
          <w:rFonts w:ascii="Times New Roman" w:hAnsi="Times New Roman" w:cs="Times New Roman"/>
          <w:sz w:val="24"/>
          <w:szCs w:val="24"/>
          <w:lang w:val="en-US"/>
        </w:rPr>
        <w:t>Luhmann</w:t>
      </w:r>
      <w:proofErr w:type="spellEnd"/>
      <w:r w:rsidR="00B66554">
        <w:rPr>
          <w:rFonts w:ascii="Times New Roman" w:hAnsi="Times New Roman" w:cs="Times New Roman"/>
          <w:sz w:val="24"/>
          <w:szCs w:val="24"/>
          <w:lang w:val="en-US"/>
        </w:rPr>
        <w:t xml:space="preserve"> in the course of his contribution to the sociology of knowledge.</w:t>
      </w:r>
      <w:r w:rsidR="00AC7AE0">
        <w:rPr>
          <w:rStyle w:val="FootnoteReference"/>
          <w:rFonts w:ascii="Times New Roman" w:hAnsi="Times New Roman" w:cs="Times New Roman"/>
          <w:sz w:val="24"/>
          <w:szCs w:val="24"/>
          <w:lang w:val="en-US"/>
        </w:rPr>
        <w:footnoteReference w:id="3"/>
      </w:r>
      <w:r w:rsidR="00B66554">
        <w:rPr>
          <w:rFonts w:ascii="Times New Roman" w:hAnsi="Times New Roman" w:cs="Times New Roman"/>
          <w:sz w:val="24"/>
          <w:szCs w:val="24"/>
          <w:lang w:val="en-US"/>
        </w:rPr>
        <w:t xml:space="preserve"> </w:t>
      </w:r>
      <w:r w:rsidR="000F388F">
        <w:rPr>
          <w:rFonts w:ascii="Times New Roman" w:hAnsi="Times New Roman" w:cs="Times New Roman"/>
          <w:sz w:val="24"/>
          <w:szCs w:val="24"/>
          <w:lang w:val="en-US"/>
        </w:rPr>
        <w:t xml:space="preserve">As I approach them, </w:t>
      </w:r>
      <w:r w:rsidR="00637CBB">
        <w:rPr>
          <w:rFonts w:ascii="Times New Roman" w:hAnsi="Times New Roman" w:cs="Times New Roman"/>
          <w:sz w:val="24"/>
          <w:szCs w:val="24"/>
          <w:lang w:val="en-US"/>
        </w:rPr>
        <w:t>“</w:t>
      </w:r>
      <w:r w:rsidR="000F388F">
        <w:rPr>
          <w:rFonts w:ascii="Times New Roman" w:hAnsi="Times New Roman" w:cs="Times New Roman"/>
          <w:sz w:val="24"/>
          <w:szCs w:val="24"/>
          <w:lang w:val="en-US"/>
        </w:rPr>
        <w:t>plausibility</w:t>
      </w:r>
      <w:r w:rsidR="00637CBB">
        <w:rPr>
          <w:rFonts w:ascii="Times New Roman" w:hAnsi="Times New Roman" w:cs="Times New Roman"/>
          <w:sz w:val="24"/>
          <w:szCs w:val="24"/>
          <w:lang w:val="en-US"/>
        </w:rPr>
        <w:t>”</w:t>
      </w:r>
      <w:r w:rsidR="000F388F">
        <w:rPr>
          <w:rFonts w:ascii="Times New Roman" w:hAnsi="Times New Roman" w:cs="Times New Roman"/>
          <w:sz w:val="24"/>
          <w:szCs w:val="24"/>
          <w:lang w:val="en-US"/>
        </w:rPr>
        <w:t xml:space="preserve"> stands </w:t>
      </w:r>
      <w:r w:rsidR="00637CBB">
        <w:rPr>
          <w:rFonts w:ascii="Times New Roman" w:hAnsi="Times New Roman" w:cs="Times New Roman"/>
          <w:sz w:val="24"/>
          <w:szCs w:val="24"/>
          <w:lang w:val="en-US"/>
        </w:rPr>
        <w:t>for</w:t>
      </w:r>
      <w:r w:rsidR="000F388F">
        <w:rPr>
          <w:rFonts w:ascii="Times New Roman" w:hAnsi="Times New Roman" w:cs="Times New Roman"/>
          <w:sz w:val="24"/>
          <w:szCs w:val="24"/>
          <w:lang w:val="en-US"/>
        </w:rPr>
        <w:t xml:space="preserve"> the limits of possibility </w:t>
      </w:r>
      <w:r w:rsidR="00637CBB">
        <w:rPr>
          <w:rFonts w:ascii="Times New Roman" w:hAnsi="Times New Roman" w:cs="Times New Roman"/>
          <w:sz w:val="24"/>
          <w:szCs w:val="24"/>
          <w:lang w:val="en-US"/>
        </w:rPr>
        <w:t>concer</w:t>
      </w:r>
      <w:r w:rsidR="00F730F0">
        <w:rPr>
          <w:rFonts w:ascii="Times New Roman" w:hAnsi="Times New Roman" w:cs="Times New Roman"/>
          <w:sz w:val="24"/>
          <w:szCs w:val="24"/>
          <w:lang w:val="en-US"/>
        </w:rPr>
        <w:t>n</w:t>
      </w:r>
      <w:r w:rsidR="00637CBB">
        <w:rPr>
          <w:rFonts w:ascii="Times New Roman" w:hAnsi="Times New Roman" w:cs="Times New Roman"/>
          <w:sz w:val="24"/>
          <w:szCs w:val="24"/>
          <w:lang w:val="en-US"/>
        </w:rPr>
        <w:t>ing</w:t>
      </w:r>
      <w:r w:rsidR="000F388F">
        <w:rPr>
          <w:rFonts w:ascii="Times New Roman" w:hAnsi="Times New Roman" w:cs="Times New Roman"/>
          <w:sz w:val="24"/>
          <w:szCs w:val="24"/>
          <w:lang w:val="en-US"/>
        </w:rPr>
        <w:t xml:space="preserve"> </w:t>
      </w:r>
      <w:r w:rsidR="00370BEB">
        <w:rPr>
          <w:rFonts w:ascii="Times New Roman" w:hAnsi="Times New Roman" w:cs="Times New Roman"/>
          <w:sz w:val="24"/>
          <w:szCs w:val="24"/>
          <w:lang w:val="en-US"/>
        </w:rPr>
        <w:t xml:space="preserve">the </w:t>
      </w:r>
      <w:r w:rsidR="000F388F">
        <w:rPr>
          <w:rFonts w:ascii="Times New Roman" w:hAnsi="Times New Roman" w:cs="Times New Roman"/>
          <w:sz w:val="24"/>
          <w:szCs w:val="24"/>
          <w:lang w:val="en-US"/>
        </w:rPr>
        <w:t>formation</w:t>
      </w:r>
      <w:r w:rsidR="00370BEB">
        <w:rPr>
          <w:rFonts w:ascii="Times New Roman" w:hAnsi="Times New Roman" w:cs="Times New Roman"/>
          <w:sz w:val="24"/>
          <w:szCs w:val="24"/>
          <w:lang w:val="en-US"/>
        </w:rPr>
        <w:t xml:space="preserve"> of social structures</w:t>
      </w:r>
      <w:r w:rsidR="00A27EFF">
        <w:rPr>
          <w:rFonts w:ascii="Times New Roman" w:hAnsi="Times New Roman" w:cs="Times New Roman"/>
          <w:sz w:val="24"/>
          <w:szCs w:val="24"/>
          <w:lang w:val="en-US"/>
        </w:rPr>
        <w:t>.</w:t>
      </w:r>
      <w:r w:rsidR="000F388F">
        <w:rPr>
          <w:rFonts w:ascii="Times New Roman" w:hAnsi="Times New Roman" w:cs="Times New Roman"/>
          <w:sz w:val="24"/>
          <w:szCs w:val="24"/>
          <w:lang w:val="en-US"/>
        </w:rPr>
        <w:t xml:space="preserve"> </w:t>
      </w:r>
      <w:r w:rsidR="00A27EFF">
        <w:rPr>
          <w:rFonts w:ascii="Times New Roman" w:hAnsi="Times New Roman" w:cs="Times New Roman"/>
          <w:sz w:val="24"/>
          <w:szCs w:val="24"/>
          <w:lang w:val="en-US"/>
        </w:rPr>
        <w:t>For any transformation in the social milieu to take place</w:t>
      </w:r>
      <w:r w:rsidR="000F388F">
        <w:rPr>
          <w:rFonts w:ascii="Times New Roman" w:hAnsi="Times New Roman" w:cs="Times New Roman"/>
          <w:sz w:val="24"/>
          <w:szCs w:val="24"/>
          <w:lang w:val="en-US"/>
        </w:rPr>
        <w:t xml:space="preserve">, however conflictual and in variation with </w:t>
      </w:r>
      <w:r w:rsidR="00637CBB">
        <w:rPr>
          <w:rFonts w:ascii="Times New Roman" w:hAnsi="Times New Roman" w:cs="Times New Roman"/>
          <w:sz w:val="24"/>
          <w:szCs w:val="24"/>
          <w:lang w:val="en-US"/>
        </w:rPr>
        <w:t>what is established, it must be “understandable,” hence, it must be “plausible.” Evidence, in its turn, concerns the semantic effect inherent to the fulfillment of s</w:t>
      </w:r>
      <w:r w:rsidR="00A27EFF">
        <w:rPr>
          <w:rFonts w:ascii="Times New Roman" w:hAnsi="Times New Roman" w:cs="Times New Roman"/>
          <w:sz w:val="24"/>
          <w:szCs w:val="24"/>
          <w:lang w:val="en-US"/>
        </w:rPr>
        <w:t>ocial change</w:t>
      </w:r>
      <w:r w:rsidR="00461925">
        <w:rPr>
          <w:rFonts w:ascii="Times New Roman" w:hAnsi="Times New Roman" w:cs="Times New Roman"/>
          <w:sz w:val="24"/>
          <w:szCs w:val="24"/>
          <w:lang w:val="en-US"/>
        </w:rPr>
        <w:t>.</w:t>
      </w:r>
      <w:r w:rsidR="00637CBB">
        <w:rPr>
          <w:rFonts w:ascii="Times New Roman" w:hAnsi="Times New Roman" w:cs="Times New Roman"/>
          <w:sz w:val="24"/>
          <w:szCs w:val="24"/>
          <w:lang w:val="en-US"/>
        </w:rPr>
        <w:t xml:space="preserve"> </w:t>
      </w:r>
      <w:r w:rsidR="00461925">
        <w:rPr>
          <w:rFonts w:ascii="Times New Roman" w:hAnsi="Times New Roman" w:cs="Times New Roman"/>
          <w:sz w:val="24"/>
          <w:szCs w:val="24"/>
          <w:lang w:val="en-US"/>
        </w:rPr>
        <w:t>W</w:t>
      </w:r>
      <w:r w:rsidR="00637CBB">
        <w:rPr>
          <w:rFonts w:ascii="Times New Roman" w:hAnsi="Times New Roman" w:cs="Times New Roman"/>
          <w:sz w:val="24"/>
          <w:szCs w:val="24"/>
          <w:lang w:val="en-US"/>
        </w:rPr>
        <w:t>hen something starts to appear as “evident,” this means it achieved “stabilization,”</w:t>
      </w:r>
      <w:r w:rsidR="00AC7AE0">
        <w:rPr>
          <w:rFonts w:ascii="Times New Roman" w:hAnsi="Times New Roman" w:cs="Times New Roman"/>
          <w:sz w:val="24"/>
          <w:szCs w:val="24"/>
          <w:lang w:val="en-US"/>
        </w:rPr>
        <w:t xml:space="preserve"> as</w:t>
      </w:r>
      <w:r w:rsidR="00637CBB">
        <w:rPr>
          <w:rFonts w:ascii="Times New Roman" w:hAnsi="Times New Roman" w:cs="Times New Roman"/>
          <w:sz w:val="24"/>
          <w:szCs w:val="24"/>
          <w:lang w:val="en-US"/>
        </w:rPr>
        <w:t xml:space="preserve"> its semantic embeddedness </w:t>
      </w:r>
      <w:r w:rsidR="00AC7AE0">
        <w:rPr>
          <w:rFonts w:ascii="Times New Roman" w:hAnsi="Times New Roman" w:cs="Times New Roman"/>
          <w:sz w:val="24"/>
          <w:szCs w:val="24"/>
          <w:lang w:val="en-US"/>
        </w:rPr>
        <w:t>abridges the need for further argumentation. Something evident is as it is</w:t>
      </w:r>
      <w:r w:rsidR="00EE3394">
        <w:rPr>
          <w:rFonts w:ascii="Times New Roman" w:hAnsi="Times New Roman" w:cs="Times New Roman"/>
          <w:sz w:val="24"/>
          <w:szCs w:val="24"/>
          <w:lang w:val="en-US"/>
        </w:rPr>
        <w:t xml:space="preserve"> – enough said.</w:t>
      </w:r>
      <w:r w:rsidR="00AC7AE0">
        <w:rPr>
          <w:rFonts w:ascii="Times New Roman" w:hAnsi="Times New Roman" w:cs="Times New Roman"/>
          <w:sz w:val="24"/>
          <w:szCs w:val="24"/>
          <w:lang w:val="en-US"/>
        </w:rPr>
        <w:t xml:space="preserve"> </w:t>
      </w:r>
    </w:p>
    <w:p w14:paraId="1B161346" w14:textId="272B6A07" w:rsidR="00673CD2" w:rsidRDefault="00DB2031">
      <w:pPr>
        <w:spacing w:after="0" w:line="360" w:lineRule="auto"/>
        <w:ind w:firstLine="113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It is one thing to </w:t>
      </w:r>
      <w:r w:rsidR="00E24D2D">
        <w:rPr>
          <w:rFonts w:ascii="Times New Roman" w:hAnsi="Times New Roman" w:cs="Times New Roman"/>
          <w:sz w:val="24"/>
          <w:szCs w:val="24"/>
          <w:lang w:val="en-US"/>
        </w:rPr>
        <w:t>argue</w:t>
      </w:r>
      <w:r>
        <w:rPr>
          <w:rFonts w:ascii="Times New Roman" w:hAnsi="Times New Roman" w:cs="Times New Roman"/>
          <w:sz w:val="24"/>
          <w:szCs w:val="24"/>
          <w:lang w:val="en-US"/>
        </w:rPr>
        <w:t xml:space="preserve"> constitutional </w:t>
      </w:r>
      <w:proofErr w:type="gramStart"/>
      <w:r>
        <w:rPr>
          <w:rFonts w:ascii="Times New Roman" w:hAnsi="Times New Roman" w:cs="Times New Roman"/>
          <w:sz w:val="24"/>
          <w:szCs w:val="24"/>
          <w:lang w:val="en-US"/>
        </w:rPr>
        <w:t>courts</w:t>
      </w:r>
      <w:r w:rsidR="00C364F1">
        <w:rPr>
          <w:rFonts w:ascii="Times New Roman" w:hAnsi="Times New Roman" w:cs="Times New Roman"/>
          <w:sz w:val="24"/>
          <w:szCs w:val="24"/>
          <w:lang w:val="en-US"/>
        </w:rPr>
        <w:t>’</w:t>
      </w:r>
      <w:proofErr w:type="gramEnd"/>
      <w:r w:rsidR="00C364F1">
        <w:rPr>
          <w:rFonts w:ascii="Times New Roman" w:hAnsi="Times New Roman" w:cs="Times New Roman"/>
          <w:sz w:val="24"/>
          <w:szCs w:val="24"/>
          <w:lang w:val="en-US"/>
        </w:rPr>
        <w:t xml:space="preserve"> should have something to say about how power is exercised in a given polity, another that this is a derivation of adopting </w:t>
      </w:r>
      <w:r w:rsidR="00C364F1">
        <w:rPr>
          <w:rFonts w:ascii="Times New Roman" w:hAnsi="Times New Roman" w:cs="Times New Roman"/>
          <w:sz w:val="24"/>
          <w:szCs w:val="24"/>
          <w:lang w:val="en-US"/>
        </w:rPr>
        <w:lastRenderedPageBreak/>
        <w:t>a written constitution.</w:t>
      </w:r>
      <w:r w:rsidR="00F730F0">
        <w:rPr>
          <w:rFonts w:ascii="Times New Roman" w:hAnsi="Times New Roman" w:cs="Times New Roman"/>
          <w:sz w:val="24"/>
          <w:szCs w:val="24"/>
          <w:lang w:val="en-US"/>
        </w:rPr>
        <w:t xml:space="preserve"> Between one and the other</w:t>
      </w:r>
      <w:r w:rsidR="00D423CE">
        <w:rPr>
          <w:rFonts w:ascii="Times New Roman" w:hAnsi="Times New Roman" w:cs="Times New Roman"/>
          <w:sz w:val="24"/>
          <w:szCs w:val="24"/>
          <w:lang w:val="en-US"/>
        </w:rPr>
        <w:t>,</w:t>
      </w:r>
      <w:r w:rsidR="00F730F0">
        <w:rPr>
          <w:rFonts w:ascii="Times New Roman" w:hAnsi="Times New Roman" w:cs="Times New Roman"/>
          <w:sz w:val="24"/>
          <w:szCs w:val="24"/>
          <w:lang w:val="en-US"/>
        </w:rPr>
        <w:t xml:space="preserve"> we have the threshold separating plausibility and evidence.</w:t>
      </w:r>
      <w:r w:rsidR="00615D4B">
        <w:rPr>
          <w:rFonts w:ascii="Times New Roman" w:hAnsi="Times New Roman" w:cs="Times New Roman"/>
          <w:sz w:val="24"/>
          <w:szCs w:val="24"/>
          <w:lang w:val="en-US"/>
        </w:rPr>
        <w:t xml:space="preserve"> To go from </w:t>
      </w:r>
      <w:r w:rsidR="00D423CE">
        <w:rPr>
          <w:rFonts w:ascii="Times New Roman" w:hAnsi="Times New Roman" w:cs="Times New Roman"/>
          <w:sz w:val="24"/>
          <w:szCs w:val="24"/>
          <w:lang w:val="en-US"/>
        </w:rPr>
        <w:t>plausibility to evidence</w:t>
      </w:r>
      <w:r w:rsidR="00615D4B">
        <w:rPr>
          <w:rFonts w:ascii="Times New Roman" w:hAnsi="Times New Roman" w:cs="Times New Roman"/>
          <w:sz w:val="24"/>
          <w:szCs w:val="24"/>
          <w:lang w:val="en-US"/>
        </w:rPr>
        <w:t>, in face of</w:t>
      </w:r>
      <w:r w:rsidR="00E24D2D">
        <w:rPr>
          <w:rFonts w:ascii="Times New Roman" w:hAnsi="Times New Roman" w:cs="Times New Roman"/>
          <w:sz w:val="24"/>
          <w:szCs w:val="24"/>
          <w:lang w:val="en-US"/>
        </w:rPr>
        <w:t xml:space="preserve"> how</w:t>
      </w:r>
      <w:r w:rsidR="00615D4B">
        <w:rPr>
          <w:rFonts w:ascii="Times New Roman" w:hAnsi="Times New Roman" w:cs="Times New Roman"/>
          <w:sz w:val="24"/>
          <w:szCs w:val="24"/>
          <w:lang w:val="en-US"/>
        </w:rPr>
        <w:t xml:space="preserve"> disruptive differentiation between law and politics was and is, political and social elites in 19</w:t>
      </w:r>
      <w:r w:rsidR="00615D4B" w:rsidRPr="004F1CE6">
        <w:rPr>
          <w:rFonts w:ascii="Times New Roman" w:hAnsi="Times New Roman" w:cs="Times New Roman"/>
          <w:sz w:val="24"/>
          <w:szCs w:val="24"/>
          <w:vertAlign w:val="superscript"/>
          <w:lang w:val="en-US"/>
        </w:rPr>
        <w:t>th</w:t>
      </w:r>
      <w:r w:rsidR="00615D4B">
        <w:rPr>
          <w:rFonts w:ascii="Times New Roman" w:hAnsi="Times New Roman" w:cs="Times New Roman"/>
          <w:sz w:val="24"/>
          <w:szCs w:val="24"/>
          <w:lang w:val="en-US"/>
        </w:rPr>
        <w:t xml:space="preserve"> century United States and 20</w:t>
      </w:r>
      <w:r w:rsidR="00615D4B" w:rsidRPr="004F1CE6">
        <w:rPr>
          <w:rFonts w:ascii="Times New Roman" w:hAnsi="Times New Roman" w:cs="Times New Roman"/>
          <w:sz w:val="24"/>
          <w:szCs w:val="24"/>
          <w:vertAlign w:val="superscript"/>
          <w:lang w:val="en-US"/>
        </w:rPr>
        <w:t>th</w:t>
      </w:r>
      <w:r w:rsidR="00615D4B">
        <w:rPr>
          <w:rFonts w:ascii="Times New Roman" w:hAnsi="Times New Roman" w:cs="Times New Roman"/>
          <w:sz w:val="24"/>
          <w:szCs w:val="24"/>
          <w:vertAlign w:val="superscript"/>
          <w:lang w:val="en-US"/>
        </w:rPr>
        <w:t xml:space="preserve"> </w:t>
      </w:r>
      <w:r w:rsidR="00615D4B">
        <w:rPr>
          <w:rFonts w:ascii="Times New Roman" w:hAnsi="Times New Roman" w:cs="Times New Roman"/>
          <w:sz w:val="24"/>
          <w:szCs w:val="24"/>
          <w:lang w:val="en-US"/>
        </w:rPr>
        <w:t xml:space="preserve">century Germany frequently, if not invariably, </w:t>
      </w:r>
      <w:r w:rsidR="008F3BD4">
        <w:rPr>
          <w:rFonts w:ascii="Times New Roman" w:hAnsi="Times New Roman" w:cs="Times New Roman"/>
          <w:sz w:val="24"/>
          <w:szCs w:val="24"/>
          <w:lang w:val="en-US"/>
        </w:rPr>
        <w:t>relied – sometimes more, sometime</w:t>
      </w:r>
      <w:r w:rsidR="00D423CE">
        <w:rPr>
          <w:rFonts w:ascii="Times New Roman" w:hAnsi="Times New Roman" w:cs="Times New Roman"/>
          <w:sz w:val="24"/>
          <w:szCs w:val="24"/>
          <w:lang w:val="en-US"/>
        </w:rPr>
        <w:t>s</w:t>
      </w:r>
      <w:r w:rsidR="008F3BD4">
        <w:rPr>
          <w:rFonts w:ascii="Times New Roman" w:hAnsi="Times New Roman" w:cs="Times New Roman"/>
          <w:sz w:val="24"/>
          <w:szCs w:val="24"/>
          <w:lang w:val="en-US"/>
        </w:rPr>
        <w:t xml:space="preserve"> less stealthily – upon</w:t>
      </w:r>
      <w:r w:rsidR="00615D4B">
        <w:rPr>
          <w:rFonts w:ascii="Times New Roman" w:hAnsi="Times New Roman" w:cs="Times New Roman"/>
          <w:sz w:val="24"/>
          <w:szCs w:val="24"/>
          <w:lang w:val="en-US"/>
        </w:rPr>
        <w:t xml:space="preserve"> religious resources</w:t>
      </w:r>
      <w:r w:rsidR="00E24D2D">
        <w:rPr>
          <w:rFonts w:ascii="Times New Roman" w:hAnsi="Times New Roman" w:cs="Times New Roman"/>
          <w:sz w:val="24"/>
          <w:szCs w:val="24"/>
          <w:lang w:val="en-US"/>
        </w:rPr>
        <w:t>.</w:t>
      </w:r>
    </w:p>
    <w:p w14:paraId="4AA49C7C" w14:textId="4117237F" w:rsidR="001F04A7" w:rsidRDefault="00E154ED" w:rsidP="00232F51">
      <w:pPr>
        <w:spacing w:after="0" w:line="360" w:lineRule="auto"/>
        <w:ind w:firstLine="1134"/>
        <w:jc w:val="both"/>
        <w:rPr>
          <w:rFonts w:ascii="Times New Roman" w:hAnsi="Times New Roman" w:cs="Times New Roman"/>
          <w:sz w:val="24"/>
          <w:szCs w:val="24"/>
          <w:lang w:val="en-US"/>
        </w:rPr>
      </w:pPr>
      <w:r>
        <w:rPr>
          <w:rFonts w:ascii="Times New Roman" w:hAnsi="Times New Roman" w:cs="Times New Roman"/>
          <w:sz w:val="24"/>
          <w:szCs w:val="24"/>
          <w:lang w:val="en-US"/>
        </w:rPr>
        <w:t>My</w:t>
      </w:r>
      <w:r w:rsidR="00BA5647">
        <w:rPr>
          <w:rFonts w:ascii="Times New Roman" w:hAnsi="Times New Roman" w:cs="Times New Roman"/>
          <w:sz w:val="24"/>
          <w:szCs w:val="24"/>
          <w:lang w:val="en-US"/>
        </w:rPr>
        <w:t xml:space="preserve"> hypothesis</w:t>
      </w:r>
      <w:r w:rsidR="00AC7AE0">
        <w:rPr>
          <w:rFonts w:ascii="Times New Roman" w:hAnsi="Times New Roman" w:cs="Times New Roman"/>
          <w:sz w:val="24"/>
          <w:szCs w:val="24"/>
          <w:lang w:val="en-US"/>
        </w:rPr>
        <w:t xml:space="preserve"> is the following:</w:t>
      </w:r>
      <w:r w:rsidR="00BA5647">
        <w:rPr>
          <w:rFonts w:ascii="Times New Roman" w:hAnsi="Times New Roman" w:cs="Times New Roman"/>
          <w:sz w:val="24"/>
          <w:szCs w:val="24"/>
          <w:lang w:val="en-US"/>
        </w:rPr>
        <w:t xml:space="preserve"> the evidence of constitutional adjudication for liberal democracies depended on the instrumentalization of religiously marked</w:t>
      </w:r>
      <w:r w:rsidR="00B66554">
        <w:rPr>
          <w:rFonts w:ascii="Times New Roman" w:hAnsi="Times New Roman" w:cs="Times New Roman"/>
          <w:sz w:val="24"/>
          <w:szCs w:val="24"/>
          <w:lang w:val="en-US"/>
        </w:rPr>
        <w:t xml:space="preserve"> semantics and</w:t>
      </w:r>
      <w:r w:rsidR="00BA5647">
        <w:rPr>
          <w:rFonts w:ascii="Times New Roman" w:hAnsi="Times New Roman" w:cs="Times New Roman"/>
          <w:sz w:val="24"/>
          <w:szCs w:val="24"/>
          <w:lang w:val="en-US"/>
        </w:rPr>
        <w:t xml:space="preserve"> media by actors</w:t>
      </w:r>
      <w:r w:rsidR="00232F51">
        <w:rPr>
          <w:rFonts w:ascii="Times New Roman" w:hAnsi="Times New Roman" w:cs="Times New Roman"/>
          <w:sz w:val="24"/>
          <w:szCs w:val="24"/>
          <w:lang w:val="en-US"/>
        </w:rPr>
        <w:t xml:space="preserve"> – judges, politicians, scholars –</w:t>
      </w:r>
      <w:r w:rsidR="00BA5647">
        <w:rPr>
          <w:rFonts w:ascii="Times New Roman" w:hAnsi="Times New Roman" w:cs="Times New Roman"/>
          <w:sz w:val="24"/>
          <w:szCs w:val="24"/>
          <w:lang w:val="en-US"/>
        </w:rPr>
        <w:t xml:space="preserve"> engaged in the articulation and implementation of </w:t>
      </w:r>
      <w:proofErr w:type="gramStart"/>
      <w:r w:rsidR="00BA5647">
        <w:rPr>
          <w:rFonts w:ascii="Times New Roman" w:hAnsi="Times New Roman" w:cs="Times New Roman"/>
          <w:sz w:val="24"/>
          <w:szCs w:val="24"/>
          <w:lang w:val="en-US"/>
        </w:rPr>
        <w:t>law’s</w:t>
      </w:r>
      <w:proofErr w:type="gramEnd"/>
      <w:r w:rsidR="00BA5647">
        <w:rPr>
          <w:rFonts w:ascii="Times New Roman" w:hAnsi="Times New Roman" w:cs="Times New Roman"/>
          <w:sz w:val="24"/>
          <w:szCs w:val="24"/>
          <w:lang w:val="en-US"/>
        </w:rPr>
        <w:t xml:space="preserve"> and politics’ respective “contingency formulas.”</w:t>
      </w:r>
      <w:r w:rsidR="00232F51">
        <w:rPr>
          <w:rFonts w:ascii="Times New Roman" w:hAnsi="Times New Roman" w:cs="Times New Roman"/>
          <w:sz w:val="24"/>
          <w:szCs w:val="24"/>
          <w:lang w:val="en-US"/>
        </w:rPr>
        <w:t xml:space="preserve"> </w:t>
      </w:r>
      <w:r>
        <w:rPr>
          <w:rFonts w:ascii="Times New Roman" w:hAnsi="Times New Roman" w:cs="Times New Roman"/>
          <w:sz w:val="24"/>
          <w:szCs w:val="24"/>
          <w:lang w:val="en-US"/>
        </w:rPr>
        <w:t>In order to test this hypothesis, I pursue it in reference to two, leading liberal democratic constitutional courts, the US Supreme Court and the German Federal Constitutional Court [</w:t>
      </w:r>
      <w:proofErr w:type="spellStart"/>
      <w:r w:rsidRPr="00232F51">
        <w:rPr>
          <w:rFonts w:ascii="Times New Roman" w:hAnsi="Times New Roman" w:cs="Times New Roman"/>
          <w:i/>
          <w:iCs/>
          <w:sz w:val="24"/>
          <w:szCs w:val="24"/>
          <w:lang w:val="en-US"/>
        </w:rPr>
        <w:t>Bundesverfassungsgericht</w:t>
      </w:r>
      <w:proofErr w:type="spellEnd"/>
      <w:r>
        <w:rPr>
          <w:rFonts w:ascii="Times New Roman" w:hAnsi="Times New Roman" w:cs="Times New Roman"/>
          <w:sz w:val="24"/>
          <w:szCs w:val="24"/>
          <w:lang w:val="en-US"/>
        </w:rPr>
        <w:t>].</w:t>
      </w:r>
    </w:p>
    <w:p w14:paraId="12A051DD" w14:textId="7579387D" w:rsidR="000B37E6" w:rsidRDefault="00232F51" w:rsidP="00232F51">
      <w:pPr>
        <w:spacing w:after="0" w:line="360" w:lineRule="auto"/>
        <w:ind w:firstLine="1134"/>
        <w:jc w:val="both"/>
        <w:rPr>
          <w:rFonts w:ascii="Times New Roman" w:hAnsi="Times New Roman" w:cs="Times New Roman"/>
          <w:sz w:val="24"/>
          <w:szCs w:val="24"/>
          <w:lang w:val="en-US"/>
        </w:rPr>
      </w:pPr>
      <w:r>
        <w:rPr>
          <w:rFonts w:ascii="Times New Roman" w:hAnsi="Times New Roman" w:cs="Times New Roman"/>
          <w:sz w:val="24"/>
          <w:szCs w:val="24"/>
          <w:lang w:val="en-US"/>
        </w:rPr>
        <w:t>Contingency formulas, again another term of art, indicate the set of fundamental semantic patterns</w:t>
      </w:r>
      <w:r w:rsidR="00183892">
        <w:rPr>
          <w:rFonts w:ascii="Times New Roman" w:hAnsi="Times New Roman" w:cs="Times New Roman"/>
          <w:sz w:val="24"/>
          <w:szCs w:val="24"/>
          <w:lang w:val="en-US"/>
        </w:rPr>
        <w:t xml:space="preserve"> and symbols</w:t>
      </w:r>
      <w:r>
        <w:rPr>
          <w:rFonts w:ascii="Times New Roman" w:hAnsi="Times New Roman" w:cs="Times New Roman"/>
          <w:sz w:val="24"/>
          <w:szCs w:val="24"/>
          <w:lang w:val="en-US"/>
        </w:rPr>
        <w:t xml:space="preserve"> </w:t>
      </w:r>
      <w:r w:rsidR="00183892">
        <w:rPr>
          <w:rFonts w:ascii="Times New Roman" w:hAnsi="Times New Roman" w:cs="Times New Roman"/>
          <w:sz w:val="24"/>
          <w:szCs w:val="24"/>
          <w:lang w:val="en-US"/>
        </w:rPr>
        <w:t>circumscribing to a given social domain</w:t>
      </w:r>
      <w:r>
        <w:rPr>
          <w:rFonts w:ascii="Times New Roman" w:hAnsi="Times New Roman" w:cs="Times New Roman"/>
          <w:sz w:val="24"/>
          <w:szCs w:val="24"/>
          <w:lang w:val="en-US"/>
        </w:rPr>
        <w:t xml:space="preserve"> the right degree of internal consistency, on the one hand, and of indifference and sensibility regarding its environment, on the other.</w:t>
      </w:r>
      <w:r w:rsidR="00636986">
        <w:rPr>
          <w:rFonts w:ascii="Times New Roman" w:hAnsi="Times New Roman" w:cs="Times New Roman"/>
          <w:sz w:val="24"/>
          <w:szCs w:val="24"/>
          <w:lang w:val="en-US"/>
        </w:rPr>
        <w:t xml:space="preserve"> Think, for instance, of John Marshall’s famous admonition</w:t>
      </w:r>
      <w:r w:rsidR="001F04A7">
        <w:rPr>
          <w:rFonts w:ascii="Times New Roman" w:hAnsi="Times New Roman" w:cs="Times New Roman"/>
          <w:sz w:val="24"/>
          <w:szCs w:val="24"/>
          <w:lang w:val="en-US"/>
        </w:rPr>
        <w:t>:</w:t>
      </w:r>
      <w:r w:rsidR="00636986">
        <w:rPr>
          <w:rFonts w:ascii="Times New Roman" w:hAnsi="Times New Roman" w:cs="Times New Roman"/>
          <w:sz w:val="24"/>
          <w:szCs w:val="24"/>
          <w:lang w:val="en-US"/>
        </w:rPr>
        <w:t xml:space="preserve"> “[w]e </w:t>
      </w:r>
      <w:r w:rsidR="00FA25BB">
        <w:rPr>
          <w:rFonts w:ascii="Times New Roman" w:hAnsi="Times New Roman" w:cs="Times New Roman"/>
          <w:sz w:val="24"/>
          <w:szCs w:val="24"/>
          <w:lang w:val="en-US"/>
        </w:rPr>
        <w:t>must</w:t>
      </w:r>
      <w:r w:rsidR="00636986">
        <w:rPr>
          <w:rFonts w:ascii="Times New Roman" w:hAnsi="Times New Roman" w:cs="Times New Roman"/>
          <w:sz w:val="24"/>
          <w:szCs w:val="24"/>
          <w:lang w:val="en-US"/>
        </w:rPr>
        <w:t xml:space="preserve"> never forget</w:t>
      </w:r>
      <w:r w:rsidR="00FA25BB">
        <w:rPr>
          <w:rFonts w:ascii="Times New Roman" w:hAnsi="Times New Roman" w:cs="Times New Roman"/>
          <w:sz w:val="24"/>
          <w:szCs w:val="24"/>
          <w:lang w:val="en-US"/>
        </w:rPr>
        <w:t>,</w:t>
      </w:r>
      <w:r w:rsidR="00636986">
        <w:rPr>
          <w:rFonts w:ascii="Times New Roman" w:hAnsi="Times New Roman" w:cs="Times New Roman"/>
          <w:sz w:val="24"/>
          <w:szCs w:val="24"/>
          <w:lang w:val="en-US"/>
        </w:rPr>
        <w:t xml:space="preserve"> </w:t>
      </w:r>
      <w:r w:rsidR="00FA25BB">
        <w:rPr>
          <w:rFonts w:ascii="Times New Roman" w:hAnsi="Times New Roman" w:cs="Times New Roman"/>
          <w:sz w:val="24"/>
          <w:szCs w:val="24"/>
          <w:lang w:val="en-US"/>
        </w:rPr>
        <w:t xml:space="preserve">that </w:t>
      </w:r>
      <w:r w:rsidR="00636986">
        <w:rPr>
          <w:rFonts w:ascii="Times New Roman" w:hAnsi="Times New Roman" w:cs="Times New Roman"/>
          <w:sz w:val="24"/>
          <w:szCs w:val="24"/>
          <w:lang w:val="en-US"/>
        </w:rPr>
        <w:t xml:space="preserve">it is a </w:t>
      </w:r>
      <w:r w:rsidR="00FA25BB" w:rsidRPr="00FA25BB">
        <w:rPr>
          <w:rFonts w:ascii="Times New Roman" w:hAnsi="Times New Roman" w:cs="Times New Roman"/>
          <w:i/>
          <w:iCs/>
          <w:sz w:val="24"/>
          <w:szCs w:val="24"/>
          <w:lang w:val="en-US"/>
        </w:rPr>
        <w:t>c</w:t>
      </w:r>
      <w:r w:rsidR="00636986" w:rsidRPr="00FA25BB">
        <w:rPr>
          <w:rFonts w:ascii="Times New Roman" w:hAnsi="Times New Roman" w:cs="Times New Roman"/>
          <w:i/>
          <w:iCs/>
          <w:sz w:val="24"/>
          <w:szCs w:val="24"/>
          <w:lang w:val="en-US"/>
        </w:rPr>
        <w:t>onstitu</w:t>
      </w:r>
      <w:r w:rsidR="00164A99">
        <w:rPr>
          <w:rFonts w:ascii="Times New Roman" w:hAnsi="Times New Roman" w:cs="Times New Roman"/>
          <w:i/>
          <w:iCs/>
          <w:sz w:val="24"/>
          <w:szCs w:val="24"/>
          <w:lang w:val="en-US"/>
        </w:rPr>
        <w:t>t</w:t>
      </w:r>
      <w:r w:rsidR="00636986" w:rsidRPr="00FA25BB">
        <w:rPr>
          <w:rFonts w:ascii="Times New Roman" w:hAnsi="Times New Roman" w:cs="Times New Roman"/>
          <w:i/>
          <w:iCs/>
          <w:sz w:val="24"/>
          <w:szCs w:val="24"/>
          <w:lang w:val="en-US"/>
        </w:rPr>
        <w:t>ion</w:t>
      </w:r>
      <w:r w:rsidR="00636986">
        <w:rPr>
          <w:rFonts w:ascii="Times New Roman" w:hAnsi="Times New Roman" w:cs="Times New Roman"/>
          <w:sz w:val="24"/>
          <w:szCs w:val="24"/>
          <w:lang w:val="en-US"/>
        </w:rPr>
        <w:t xml:space="preserve"> we are expounding.”</w:t>
      </w:r>
      <w:r w:rsidR="00636986">
        <w:rPr>
          <w:rStyle w:val="FootnoteReference"/>
          <w:rFonts w:ascii="Times New Roman" w:hAnsi="Times New Roman" w:cs="Times New Roman"/>
          <w:sz w:val="24"/>
          <w:szCs w:val="24"/>
          <w:lang w:val="en-US"/>
        </w:rPr>
        <w:footnoteReference w:id="4"/>
      </w:r>
      <w:r w:rsidR="00636986">
        <w:rPr>
          <w:rFonts w:ascii="Times New Roman" w:hAnsi="Times New Roman" w:cs="Times New Roman"/>
          <w:sz w:val="24"/>
          <w:szCs w:val="24"/>
          <w:lang w:val="en-US"/>
        </w:rPr>
        <w:t xml:space="preserve"> Underlying this statement </w:t>
      </w:r>
      <w:r w:rsidR="00B12703">
        <w:rPr>
          <w:rFonts w:ascii="Times New Roman" w:hAnsi="Times New Roman" w:cs="Times New Roman"/>
          <w:sz w:val="24"/>
          <w:szCs w:val="24"/>
          <w:lang w:val="en-US"/>
        </w:rPr>
        <w:t>we find</w:t>
      </w:r>
      <w:r w:rsidR="00636986">
        <w:rPr>
          <w:rFonts w:ascii="Times New Roman" w:hAnsi="Times New Roman" w:cs="Times New Roman"/>
          <w:sz w:val="24"/>
          <w:szCs w:val="24"/>
          <w:lang w:val="en-US"/>
        </w:rPr>
        <w:t xml:space="preserve"> the </w:t>
      </w:r>
      <w:r w:rsidR="003F62A5">
        <w:rPr>
          <w:rFonts w:ascii="Times New Roman" w:hAnsi="Times New Roman" w:cs="Times New Roman"/>
          <w:sz w:val="24"/>
          <w:szCs w:val="24"/>
          <w:lang w:val="en-US"/>
        </w:rPr>
        <w:t>framing</w:t>
      </w:r>
      <w:r w:rsidR="00636986">
        <w:rPr>
          <w:rFonts w:ascii="Times New Roman" w:hAnsi="Times New Roman" w:cs="Times New Roman"/>
          <w:sz w:val="24"/>
          <w:szCs w:val="24"/>
          <w:lang w:val="en-US"/>
        </w:rPr>
        <w:t xml:space="preserve"> of the Constitution </w:t>
      </w:r>
      <w:r w:rsidR="001F04A7">
        <w:rPr>
          <w:rFonts w:ascii="Times New Roman" w:hAnsi="Times New Roman" w:cs="Times New Roman"/>
          <w:sz w:val="24"/>
          <w:szCs w:val="24"/>
          <w:lang w:val="en-US"/>
        </w:rPr>
        <w:t>as a</w:t>
      </w:r>
      <w:r w:rsidR="00636986">
        <w:rPr>
          <w:rFonts w:ascii="Times New Roman" w:hAnsi="Times New Roman" w:cs="Times New Roman"/>
          <w:sz w:val="24"/>
          <w:szCs w:val="24"/>
          <w:lang w:val="en-US"/>
        </w:rPr>
        <w:t xml:space="preserve"> “layman’s document, not a lawyer’s contract</w:t>
      </w:r>
      <w:r w:rsidR="00FA25BB">
        <w:rPr>
          <w:rFonts w:ascii="Times New Roman" w:hAnsi="Times New Roman" w:cs="Times New Roman"/>
          <w:sz w:val="24"/>
          <w:szCs w:val="24"/>
          <w:lang w:val="en-US"/>
        </w:rPr>
        <w:t>.</w:t>
      </w:r>
      <w:r w:rsidR="00636986">
        <w:rPr>
          <w:rFonts w:ascii="Times New Roman" w:hAnsi="Times New Roman" w:cs="Times New Roman"/>
          <w:sz w:val="24"/>
          <w:szCs w:val="24"/>
          <w:lang w:val="en-US"/>
        </w:rPr>
        <w:t>”</w:t>
      </w:r>
      <w:r w:rsidR="00636986">
        <w:rPr>
          <w:rStyle w:val="FootnoteReference"/>
          <w:rFonts w:ascii="Times New Roman" w:hAnsi="Times New Roman" w:cs="Times New Roman"/>
          <w:sz w:val="24"/>
          <w:szCs w:val="24"/>
          <w:lang w:val="en-US"/>
        </w:rPr>
        <w:footnoteReference w:id="5"/>
      </w:r>
      <w:r w:rsidR="00636986">
        <w:rPr>
          <w:rFonts w:ascii="Times New Roman" w:hAnsi="Times New Roman" w:cs="Times New Roman"/>
          <w:sz w:val="24"/>
          <w:szCs w:val="24"/>
          <w:lang w:val="en-US"/>
        </w:rPr>
        <w:t xml:space="preserve"> </w:t>
      </w:r>
      <w:r w:rsidR="00FA25BB">
        <w:rPr>
          <w:rFonts w:ascii="Times New Roman" w:hAnsi="Times New Roman" w:cs="Times New Roman"/>
          <w:sz w:val="24"/>
          <w:szCs w:val="24"/>
          <w:lang w:val="en-US"/>
        </w:rPr>
        <w:t>B</w:t>
      </w:r>
      <w:r w:rsidR="00636986">
        <w:rPr>
          <w:rFonts w:ascii="Times New Roman" w:hAnsi="Times New Roman" w:cs="Times New Roman"/>
          <w:sz w:val="24"/>
          <w:szCs w:val="24"/>
          <w:lang w:val="en-US"/>
        </w:rPr>
        <w:t>oth</w:t>
      </w:r>
      <w:r w:rsidR="00AB0084">
        <w:rPr>
          <w:rFonts w:ascii="Times New Roman" w:hAnsi="Times New Roman" w:cs="Times New Roman"/>
          <w:sz w:val="24"/>
          <w:szCs w:val="24"/>
          <w:lang w:val="en-US"/>
        </w:rPr>
        <w:t xml:space="preserve"> are</w:t>
      </w:r>
      <w:r w:rsidR="00FA25BB">
        <w:rPr>
          <w:rFonts w:ascii="Times New Roman" w:hAnsi="Times New Roman" w:cs="Times New Roman"/>
          <w:sz w:val="24"/>
          <w:szCs w:val="24"/>
          <w:lang w:val="en-US"/>
        </w:rPr>
        <w:t xml:space="preserve"> </w:t>
      </w:r>
      <w:proofErr w:type="spellStart"/>
      <w:r w:rsidR="00FA25BB">
        <w:rPr>
          <w:rFonts w:ascii="Times New Roman" w:hAnsi="Times New Roman" w:cs="Times New Roman"/>
          <w:sz w:val="24"/>
          <w:szCs w:val="24"/>
          <w:lang w:val="en-US"/>
        </w:rPr>
        <w:t>iteractions</w:t>
      </w:r>
      <w:proofErr w:type="spellEnd"/>
      <w:r w:rsidR="003F62A5">
        <w:rPr>
          <w:rFonts w:ascii="Times New Roman" w:hAnsi="Times New Roman" w:cs="Times New Roman"/>
          <w:sz w:val="24"/>
          <w:szCs w:val="24"/>
          <w:lang w:val="en-US"/>
        </w:rPr>
        <w:t>, one coming from a judicial point of view, the other from a political one,</w:t>
      </w:r>
      <w:r w:rsidR="00FA25BB">
        <w:rPr>
          <w:rFonts w:ascii="Times New Roman" w:hAnsi="Times New Roman" w:cs="Times New Roman"/>
          <w:sz w:val="24"/>
          <w:szCs w:val="24"/>
          <w:lang w:val="en-US"/>
        </w:rPr>
        <w:t xml:space="preserve"> of one ingredient feature of law’s contingency formula</w:t>
      </w:r>
      <w:r w:rsidR="00AB0084">
        <w:rPr>
          <w:rFonts w:ascii="Times New Roman" w:hAnsi="Times New Roman" w:cs="Times New Roman"/>
          <w:sz w:val="24"/>
          <w:szCs w:val="24"/>
          <w:lang w:val="en-US"/>
        </w:rPr>
        <w:t xml:space="preserve">. As such, it commands </w:t>
      </w:r>
      <w:r w:rsidR="00636986">
        <w:rPr>
          <w:rFonts w:ascii="Times New Roman" w:hAnsi="Times New Roman" w:cs="Times New Roman"/>
          <w:sz w:val="24"/>
          <w:szCs w:val="24"/>
          <w:lang w:val="en-US"/>
        </w:rPr>
        <w:t xml:space="preserve">the </w:t>
      </w:r>
      <w:r w:rsidR="00FA25BB">
        <w:rPr>
          <w:rFonts w:ascii="Times New Roman" w:hAnsi="Times New Roman" w:cs="Times New Roman"/>
          <w:sz w:val="24"/>
          <w:szCs w:val="24"/>
          <w:lang w:val="en-US"/>
        </w:rPr>
        <w:t>attention</w:t>
      </w:r>
      <w:r w:rsidR="00AB0084">
        <w:rPr>
          <w:rFonts w:ascii="Times New Roman" w:hAnsi="Times New Roman" w:cs="Times New Roman"/>
          <w:sz w:val="24"/>
          <w:szCs w:val="24"/>
          <w:lang w:val="en-US"/>
        </w:rPr>
        <w:t xml:space="preserve"> of</w:t>
      </w:r>
      <w:r w:rsidR="00636986">
        <w:rPr>
          <w:rFonts w:ascii="Times New Roman" w:hAnsi="Times New Roman" w:cs="Times New Roman"/>
          <w:sz w:val="24"/>
          <w:szCs w:val="24"/>
          <w:lang w:val="en-US"/>
        </w:rPr>
        <w:t xml:space="preserve"> judges to</w:t>
      </w:r>
      <w:r w:rsidR="00AB0084">
        <w:rPr>
          <w:rFonts w:ascii="Times New Roman" w:hAnsi="Times New Roman" w:cs="Times New Roman"/>
          <w:sz w:val="24"/>
          <w:szCs w:val="24"/>
          <w:lang w:val="en-US"/>
        </w:rPr>
        <w:t>ward</w:t>
      </w:r>
      <w:r w:rsidR="00636986">
        <w:rPr>
          <w:rFonts w:ascii="Times New Roman" w:hAnsi="Times New Roman" w:cs="Times New Roman"/>
          <w:sz w:val="24"/>
          <w:szCs w:val="24"/>
          <w:lang w:val="en-US"/>
        </w:rPr>
        <w:t xml:space="preserve"> public </w:t>
      </w:r>
      <w:r w:rsidR="00FA25BB">
        <w:rPr>
          <w:rFonts w:ascii="Times New Roman" w:hAnsi="Times New Roman" w:cs="Times New Roman"/>
          <w:sz w:val="24"/>
          <w:szCs w:val="24"/>
          <w:lang w:val="en-US"/>
        </w:rPr>
        <w:t>opinion and political practice while interpreting the constitutional document.</w:t>
      </w:r>
      <w:r w:rsidR="001F04A7">
        <w:rPr>
          <w:rFonts w:ascii="Times New Roman" w:hAnsi="Times New Roman" w:cs="Times New Roman"/>
          <w:sz w:val="24"/>
          <w:szCs w:val="24"/>
          <w:lang w:val="en-US"/>
        </w:rPr>
        <w:t xml:space="preserve"> </w:t>
      </w:r>
      <w:r w:rsidR="009C70DD">
        <w:rPr>
          <w:rFonts w:ascii="Times New Roman" w:hAnsi="Times New Roman" w:cs="Times New Roman"/>
          <w:sz w:val="24"/>
          <w:szCs w:val="24"/>
          <w:lang w:val="en-US"/>
        </w:rPr>
        <w:t>Indeed</w:t>
      </w:r>
      <w:r w:rsidR="001F04A7">
        <w:rPr>
          <w:rFonts w:ascii="Times New Roman" w:hAnsi="Times New Roman" w:cs="Times New Roman"/>
          <w:sz w:val="24"/>
          <w:szCs w:val="24"/>
          <w:lang w:val="en-US"/>
        </w:rPr>
        <w:t xml:space="preserve">, Marshall would often borrow from </w:t>
      </w:r>
      <w:r w:rsidR="00DF0912">
        <w:rPr>
          <w:rFonts w:ascii="Times New Roman" w:hAnsi="Times New Roman" w:cs="Times New Roman"/>
          <w:sz w:val="24"/>
          <w:szCs w:val="24"/>
          <w:lang w:val="en-US"/>
        </w:rPr>
        <w:t>speeches</w:t>
      </w:r>
      <w:r w:rsidR="001F04A7">
        <w:rPr>
          <w:rFonts w:ascii="Times New Roman" w:hAnsi="Times New Roman" w:cs="Times New Roman"/>
          <w:sz w:val="24"/>
          <w:szCs w:val="24"/>
          <w:lang w:val="en-US"/>
        </w:rPr>
        <w:t xml:space="preserve"> </w:t>
      </w:r>
      <w:r w:rsidR="00DF0912">
        <w:rPr>
          <w:rFonts w:ascii="Times New Roman" w:hAnsi="Times New Roman" w:cs="Times New Roman"/>
          <w:sz w:val="24"/>
          <w:szCs w:val="24"/>
          <w:lang w:val="en-US"/>
        </w:rPr>
        <w:t>delivered</w:t>
      </w:r>
      <w:r w:rsidR="001F04A7">
        <w:rPr>
          <w:rFonts w:ascii="Times New Roman" w:hAnsi="Times New Roman" w:cs="Times New Roman"/>
          <w:sz w:val="24"/>
          <w:szCs w:val="24"/>
          <w:lang w:val="en-US"/>
        </w:rPr>
        <w:t xml:space="preserve"> in both houses of Congress</w:t>
      </w:r>
      <w:r w:rsidR="00DF0912">
        <w:rPr>
          <w:rFonts w:ascii="Times New Roman" w:hAnsi="Times New Roman" w:cs="Times New Roman"/>
          <w:sz w:val="24"/>
          <w:szCs w:val="24"/>
          <w:lang w:val="en-US"/>
        </w:rPr>
        <w:t xml:space="preserve"> and circulated in </w:t>
      </w:r>
      <w:r w:rsidR="00D423CE">
        <w:rPr>
          <w:rFonts w:ascii="Times New Roman" w:hAnsi="Times New Roman" w:cs="Times New Roman"/>
          <w:sz w:val="24"/>
          <w:szCs w:val="24"/>
          <w:lang w:val="en-US"/>
        </w:rPr>
        <w:t xml:space="preserve">the </w:t>
      </w:r>
      <w:r w:rsidR="00DF0912">
        <w:rPr>
          <w:rFonts w:ascii="Times New Roman" w:hAnsi="Times New Roman" w:cs="Times New Roman"/>
          <w:sz w:val="24"/>
          <w:szCs w:val="24"/>
          <w:lang w:val="en-US"/>
        </w:rPr>
        <w:t>press as he drafted the Court’s opinions.</w:t>
      </w:r>
      <w:r w:rsidR="00DF0912">
        <w:rPr>
          <w:rStyle w:val="FootnoteReference"/>
          <w:rFonts w:ascii="Times New Roman" w:hAnsi="Times New Roman" w:cs="Times New Roman"/>
          <w:sz w:val="24"/>
          <w:szCs w:val="24"/>
          <w:lang w:val="en-US"/>
        </w:rPr>
        <w:footnoteReference w:id="6"/>
      </w:r>
    </w:p>
    <w:p w14:paraId="5EE872CB" w14:textId="51D43DEF" w:rsidR="00050664" w:rsidRDefault="00E154ED" w:rsidP="00232F51">
      <w:pPr>
        <w:spacing w:after="0" w:line="360" w:lineRule="auto"/>
        <w:ind w:firstLine="1134"/>
        <w:jc w:val="both"/>
        <w:rPr>
          <w:rFonts w:ascii="Times New Roman" w:hAnsi="Times New Roman" w:cs="Times New Roman"/>
          <w:sz w:val="24"/>
          <w:szCs w:val="24"/>
          <w:lang w:val="en-US"/>
        </w:rPr>
      </w:pPr>
      <w:r>
        <w:rPr>
          <w:rFonts w:ascii="Times New Roman" w:hAnsi="Times New Roman" w:cs="Times New Roman"/>
          <w:sz w:val="24"/>
          <w:szCs w:val="24"/>
          <w:lang w:val="en-US"/>
        </w:rPr>
        <w:t>Yet,</w:t>
      </w:r>
      <w:r w:rsidR="00232F51">
        <w:rPr>
          <w:rFonts w:ascii="Times New Roman" w:hAnsi="Times New Roman" w:cs="Times New Roman"/>
          <w:sz w:val="24"/>
          <w:szCs w:val="24"/>
          <w:lang w:val="en-US"/>
        </w:rPr>
        <w:t xml:space="preserve"> </w:t>
      </w:r>
      <w:r>
        <w:rPr>
          <w:rFonts w:ascii="Times New Roman" w:hAnsi="Times New Roman" w:cs="Times New Roman"/>
          <w:sz w:val="24"/>
          <w:szCs w:val="24"/>
          <w:lang w:val="en-US"/>
        </w:rPr>
        <w:t>s</w:t>
      </w:r>
      <w:r w:rsidR="00232F51">
        <w:rPr>
          <w:rFonts w:ascii="Times New Roman" w:hAnsi="Times New Roman" w:cs="Times New Roman"/>
          <w:sz w:val="24"/>
          <w:szCs w:val="24"/>
          <w:lang w:val="en-US"/>
        </w:rPr>
        <w:t xml:space="preserve">hould such religious resources have been instrumentalized as suggested by </w:t>
      </w:r>
      <w:r>
        <w:rPr>
          <w:rFonts w:ascii="Times New Roman" w:hAnsi="Times New Roman" w:cs="Times New Roman"/>
          <w:sz w:val="24"/>
          <w:szCs w:val="24"/>
          <w:lang w:val="en-US"/>
        </w:rPr>
        <w:t>my hypothesis</w:t>
      </w:r>
      <w:r w:rsidR="00232F51">
        <w:rPr>
          <w:rFonts w:ascii="Times New Roman" w:hAnsi="Times New Roman" w:cs="Times New Roman"/>
          <w:sz w:val="24"/>
          <w:szCs w:val="24"/>
          <w:lang w:val="en-US"/>
        </w:rPr>
        <w:t xml:space="preserve">, do they </w:t>
      </w:r>
      <w:r w:rsidR="00232F51" w:rsidRPr="00232F51">
        <w:rPr>
          <w:rFonts w:ascii="Times New Roman" w:hAnsi="Times New Roman" w:cs="Times New Roman"/>
          <w:sz w:val="24"/>
          <w:szCs w:val="24"/>
          <w:lang w:val="en-US"/>
        </w:rPr>
        <w:t xml:space="preserve">still </w:t>
      </w:r>
      <w:r w:rsidR="00232F51">
        <w:rPr>
          <w:rFonts w:ascii="Times New Roman" w:hAnsi="Times New Roman" w:cs="Times New Roman"/>
          <w:sz w:val="24"/>
          <w:szCs w:val="24"/>
          <w:lang w:val="en-US"/>
        </w:rPr>
        <w:t>impact</w:t>
      </w:r>
      <w:r w:rsidR="00BA5647" w:rsidRPr="00232F51">
        <w:rPr>
          <w:rFonts w:ascii="Times New Roman" w:hAnsi="Times New Roman" w:cs="Times New Roman"/>
          <w:sz w:val="24"/>
          <w:szCs w:val="24"/>
          <w:lang w:val="en-US"/>
        </w:rPr>
        <w:t xml:space="preserve"> how liberal democratic constitutional courts envision politics</w:t>
      </w:r>
      <w:r w:rsidR="00AB0084">
        <w:rPr>
          <w:rFonts w:ascii="Times New Roman" w:hAnsi="Times New Roman" w:cs="Times New Roman"/>
          <w:sz w:val="24"/>
          <w:szCs w:val="24"/>
          <w:lang w:val="en-US"/>
        </w:rPr>
        <w:t>?</w:t>
      </w:r>
      <w:r w:rsidR="000B37E6">
        <w:rPr>
          <w:rFonts w:ascii="Times New Roman" w:hAnsi="Times New Roman" w:cs="Times New Roman"/>
          <w:sz w:val="24"/>
          <w:szCs w:val="24"/>
          <w:lang w:val="en-US"/>
        </w:rPr>
        <w:t xml:space="preserve"> </w:t>
      </w:r>
      <w:r w:rsidR="00AB0084">
        <w:rPr>
          <w:rFonts w:ascii="Times New Roman" w:hAnsi="Times New Roman" w:cs="Times New Roman"/>
          <w:sz w:val="24"/>
          <w:szCs w:val="24"/>
          <w:lang w:val="en-US"/>
        </w:rPr>
        <w:t>O</w:t>
      </w:r>
      <w:r w:rsidR="000B37E6">
        <w:rPr>
          <w:rFonts w:ascii="Times New Roman" w:hAnsi="Times New Roman" w:cs="Times New Roman"/>
          <w:sz w:val="24"/>
          <w:szCs w:val="24"/>
          <w:lang w:val="en-US"/>
        </w:rPr>
        <w:t>r</w:t>
      </w:r>
      <w:r w:rsidR="00AB0084">
        <w:rPr>
          <w:rFonts w:ascii="Times New Roman" w:hAnsi="Times New Roman" w:cs="Times New Roman"/>
          <w:sz w:val="24"/>
          <w:szCs w:val="24"/>
          <w:lang w:val="en-US"/>
        </w:rPr>
        <w:t xml:space="preserve"> rather,</w:t>
      </w:r>
      <w:r w:rsidR="000B37E6">
        <w:rPr>
          <w:rFonts w:ascii="Times New Roman" w:hAnsi="Times New Roman" w:cs="Times New Roman"/>
          <w:sz w:val="24"/>
          <w:szCs w:val="24"/>
          <w:lang w:val="en-US"/>
        </w:rPr>
        <w:t xml:space="preserve"> were </w:t>
      </w:r>
      <w:r w:rsidR="00CF12FA">
        <w:rPr>
          <w:rFonts w:ascii="Times New Roman" w:hAnsi="Times New Roman" w:cs="Times New Roman"/>
          <w:sz w:val="24"/>
          <w:szCs w:val="24"/>
          <w:lang w:val="en-US"/>
        </w:rPr>
        <w:t>judges, scholars and politicians</w:t>
      </w:r>
      <w:r w:rsidR="000B37E6">
        <w:rPr>
          <w:rFonts w:ascii="Times New Roman" w:hAnsi="Times New Roman" w:cs="Times New Roman"/>
          <w:sz w:val="24"/>
          <w:szCs w:val="24"/>
          <w:lang w:val="en-US"/>
        </w:rPr>
        <w:t xml:space="preserve"> </w:t>
      </w:r>
      <w:r w:rsidR="00CF12FA">
        <w:rPr>
          <w:rFonts w:ascii="Times New Roman" w:hAnsi="Times New Roman" w:cs="Times New Roman"/>
          <w:sz w:val="24"/>
          <w:szCs w:val="24"/>
          <w:lang w:val="en-US"/>
        </w:rPr>
        <w:t>involved</w:t>
      </w:r>
      <w:r w:rsidR="000B37E6">
        <w:rPr>
          <w:rFonts w:ascii="Times New Roman" w:hAnsi="Times New Roman" w:cs="Times New Roman"/>
          <w:sz w:val="24"/>
          <w:szCs w:val="24"/>
          <w:lang w:val="en-US"/>
        </w:rPr>
        <w:t xml:space="preserve"> able to </w:t>
      </w:r>
      <w:r w:rsidR="000B37E6">
        <w:rPr>
          <w:rFonts w:ascii="Times New Roman" w:hAnsi="Times New Roman" w:cs="Times New Roman"/>
          <w:sz w:val="24"/>
          <w:szCs w:val="24"/>
          <w:lang w:val="en-US"/>
        </w:rPr>
        <w:lastRenderedPageBreak/>
        <w:t xml:space="preserve">“rationalize” </w:t>
      </w:r>
      <w:r w:rsidR="00B6510C">
        <w:rPr>
          <w:rFonts w:ascii="Times New Roman" w:hAnsi="Times New Roman" w:cs="Times New Roman"/>
          <w:sz w:val="24"/>
          <w:szCs w:val="24"/>
          <w:lang w:val="en-US"/>
        </w:rPr>
        <w:t>the initial instrumentalization</w:t>
      </w:r>
      <w:r w:rsidR="00D423CE">
        <w:rPr>
          <w:rFonts w:ascii="Times New Roman" w:hAnsi="Times New Roman" w:cs="Times New Roman"/>
          <w:sz w:val="24"/>
          <w:szCs w:val="24"/>
          <w:lang w:val="en-US"/>
        </w:rPr>
        <w:t>,</w:t>
      </w:r>
      <w:r w:rsidR="00CF12FA">
        <w:rPr>
          <w:rFonts w:ascii="Times New Roman" w:hAnsi="Times New Roman" w:cs="Times New Roman"/>
          <w:sz w:val="24"/>
          <w:szCs w:val="24"/>
          <w:lang w:val="en-US"/>
        </w:rPr>
        <w:t xml:space="preserve"> in the long run</w:t>
      </w:r>
      <w:r w:rsidR="00B6510C">
        <w:rPr>
          <w:rFonts w:ascii="Times New Roman" w:hAnsi="Times New Roman" w:cs="Times New Roman"/>
          <w:sz w:val="24"/>
          <w:szCs w:val="24"/>
          <w:lang w:val="en-US"/>
        </w:rPr>
        <w:t>, submitting the great questions and hopes attached to the reoccupied semantics and media to a sort of purification</w:t>
      </w:r>
      <w:r w:rsidR="00232F51" w:rsidRPr="00232F51">
        <w:rPr>
          <w:rFonts w:ascii="Times New Roman" w:hAnsi="Times New Roman" w:cs="Times New Roman"/>
          <w:sz w:val="24"/>
          <w:szCs w:val="24"/>
          <w:lang w:val="en-US"/>
        </w:rPr>
        <w:t>?</w:t>
      </w:r>
      <w:r w:rsidR="00232F51">
        <w:rPr>
          <w:rFonts w:ascii="Times New Roman" w:hAnsi="Times New Roman" w:cs="Times New Roman"/>
          <w:sz w:val="24"/>
          <w:szCs w:val="24"/>
          <w:lang w:val="en-US"/>
        </w:rPr>
        <w:t xml:space="preserve"> </w:t>
      </w:r>
    </w:p>
    <w:p w14:paraId="52BA212D" w14:textId="25ED729A" w:rsidR="00BA5647" w:rsidRDefault="00232F51" w:rsidP="00232F51">
      <w:pPr>
        <w:spacing w:after="0" w:line="360" w:lineRule="auto"/>
        <w:ind w:firstLine="113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 test </w:t>
      </w:r>
      <w:r w:rsidR="00E154ED">
        <w:rPr>
          <w:rFonts w:ascii="Times New Roman" w:hAnsi="Times New Roman" w:cs="Times New Roman"/>
          <w:sz w:val="24"/>
          <w:szCs w:val="24"/>
          <w:lang w:val="en-US"/>
        </w:rPr>
        <w:t xml:space="preserve">my hypothesis </w:t>
      </w:r>
      <w:r w:rsidR="00D423CE">
        <w:rPr>
          <w:rFonts w:ascii="Times New Roman" w:hAnsi="Times New Roman" w:cs="Times New Roman"/>
          <w:sz w:val="24"/>
          <w:szCs w:val="24"/>
          <w:lang w:val="en-US"/>
        </w:rPr>
        <w:t xml:space="preserve">by </w:t>
      </w:r>
      <w:r>
        <w:rPr>
          <w:rFonts w:ascii="Times New Roman" w:hAnsi="Times New Roman" w:cs="Times New Roman"/>
          <w:sz w:val="24"/>
          <w:szCs w:val="24"/>
          <w:lang w:val="en-US"/>
        </w:rPr>
        <w:t xml:space="preserve">attending </w:t>
      </w:r>
      <w:r w:rsidR="000B37E6">
        <w:rPr>
          <w:rFonts w:ascii="Times New Roman" w:hAnsi="Times New Roman" w:cs="Times New Roman"/>
          <w:sz w:val="24"/>
          <w:szCs w:val="24"/>
          <w:lang w:val="en-US"/>
        </w:rPr>
        <w:t xml:space="preserve">to </w:t>
      </w:r>
      <w:r>
        <w:rPr>
          <w:rFonts w:ascii="Times New Roman" w:hAnsi="Times New Roman" w:cs="Times New Roman"/>
          <w:sz w:val="24"/>
          <w:szCs w:val="24"/>
          <w:lang w:val="en-US"/>
        </w:rPr>
        <w:t xml:space="preserve">the chain of documents constitutive of and registering the </w:t>
      </w:r>
      <w:r w:rsidR="000B37E6">
        <w:rPr>
          <w:rFonts w:ascii="Times New Roman" w:hAnsi="Times New Roman" w:cs="Times New Roman"/>
          <w:sz w:val="24"/>
          <w:szCs w:val="24"/>
          <w:lang w:val="en-US"/>
        </w:rPr>
        <w:t xml:space="preserve">vindication of constitutional adjudication in these two </w:t>
      </w:r>
      <w:r w:rsidR="000B37E6" w:rsidRPr="000B37E6">
        <w:rPr>
          <w:rFonts w:ascii="Times New Roman" w:hAnsi="Times New Roman" w:cs="Times New Roman"/>
          <w:sz w:val="24"/>
          <w:szCs w:val="24"/>
          <w:lang w:val="en-US"/>
        </w:rPr>
        <w:t>contexts</w:t>
      </w:r>
      <w:r w:rsidR="00050664">
        <w:rPr>
          <w:rFonts w:ascii="Times New Roman" w:hAnsi="Times New Roman" w:cs="Times New Roman"/>
          <w:sz w:val="24"/>
          <w:szCs w:val="24"/>
          <w:lang w:val="en-US"/>
        </w:rPr>
        <w:t>.</w:t>
      </w:r>
      <w:r w:rsidR="00E154ED">
        <w:rPr>
          <w:rFonts w:ascii="Times New Roman" w:hAnsi="Times New Roman" w:cs="Times New Roman"/>
          <w:sz w:val="24"/>
          <w:szCs w:val="24"/>
          <w:lang w:val="en-US"/>
        </w:rPr>
        <w:t xml:space="preserve"> That notwithstanding, in order to capture the effects of those immanent </w:t>
      </w:r>
      <w:proofErr w:type="gramStart"/>
      <w:r w:rsidR="00E154ED">
        <w:rPr>
          <w:rFonts w:ascii="Times New Roman" w:hAnsi="Times New Roman" w:cs="Times New Roman"/>
          <w:sz w:val="24"/>
          <w:szCs w:val="24"/>
          <w:lang w:val="en-US"/>
        </w:rPr>
        <w:t>rationalities</w:t>
      </w:r>
      <w:proofErr w:type="gramEnd"/>
      <w:r w:rsidR="00E154ED">
        <w:rPr>
          <w:rFonts w:ascii="Times New Roman" w:hAnsi="Times New Roman" w:cs="Times New Roman"/>
          <w:sz w:val="24"/>
          <w:szCs w:val="24"/>
          <w:lang w:val="en-US"/>
        </w:rPr>
        <w:t xml:space="preserve"> ingredient to religious materials</w:t>
      </w:r>
      <w:r w:rsidR="00050664">
        <w:rPr>
          <w:rFonts w:ascii="Times New Roman" w:hAnsi="Times New Roman" w:cs="Times New Roman"/>
          <w:sz w:val="24"/>
          <w:szCs w:val="24"/>
          <w:lang w:val="en-US"/>
        </w:rPr>
        <w:t>,</w:t>
      </w:r>
      <w:r w:rsidR="000B37E6" w:rsidRPr="000B37E6">
        <w:rPr>
          <w:rFonts w:ascii="Times New Roman" w:hAnsi="Times New Roman" w:cs="Times New Roman"/>
          <w:sz w:val="24"/>
          <w:szCs w:val="24"/>
          <w:lang w:val="en-US"/>
        </w:rPr>
        <w:t xml:space="preserve"> I</w:t>
      </w:r>
      <w:r w:rsidR="00673CD2" w:rsidRPr="000B37E6">
        <w:rPr>
          <w:rFonts w:ascii="Times New Roman" w:hAnsi="Times New Roman" w:cs="Times New Roman"/>
          <w:sz w:val="24"/>
          <w:szCs w:val="24"/>
          <w:lang w:val="en-US"/>
        </w:rPr>
        <w:t xml:space="preserve"> </w:t>
      </w:r>
      <w:r w:rsidR="000B37E6" w:rsidRPr="000B37E6">
        <w:rPr>
          <w:rFonts w:ascii="Times New Roman" w:hAnsi="Times New Roman" w:cs="Times New Roman"/>
          <w:sz w:val="24"/>
          <w:szCs w:val="24"/>
          <w:lang w:val="en-US"/>
        </w:rPr>
        <w:t>turn to</w:t>
      </w:r>
      <w:r w:rsidR="00673CD2" w:rsidRPr="000B37E6">
        <w:rPr>
          <w:rFonts w:ascii="Times New Roman" w:hAnsi="Times New Roman" w:cs="Times New Roman"/>
          <w:sz w:val="24"/>
          <w:szCs w:val="24"/>
          <w:lang w:val="en-US"/>
        </w:rPr>
        <w:t xml:space="preserve"> carefully read the underlying rationale subtending</w:t>
      </w:r>
      <w:r w:rsidR="00BA5647" w:rsidRPr="000B37E6">
        <w:rPr>
          <w:rFonts w:ascii="Times New Roman" w:hAnsi="Times New Roman" w:cs="Times New Roman"/>
          <w:sz w:val="24"/>
          <w:szCs w:val="24"/>
          <w:lang w:val="en-US"/>
        </w:rPr>
        <w:t xml:space="preserve"> </w:t>
      </w:r>
      <w:r w:rsidR="00050664">
        <w:rPr>
          <w:rFonts w:ascii="Times New Roman" w:hAnsi="Times New Roman" w:cs="Times New Roman"/>
          <w:sz w:val="24"/>
          <w:szCs w:val="24"/>
          <w:lang w:val="en-US"/>
        </w:rPr>
        <w:t>both</w:t>
      </w:r>
      <w:r w:rsidR="000B37E6" w:rsidRPr="000B37E6">
        <w:rPr>
          <w:rFonts w:ascii="Times New Roman" w:hAnsi="Times New Roman" w:cs="Times New Roman"/>
          <w:sz w:val="24"/>
          <w:szCs w:val="24"/>
          <w:lang w:val="en-US"/>
        </w:rPr>
        <w:t xml:space="preserve"> courts’</w:t>
      </w:r>
      <w:r w:rsidR="00BA5647" w:rsidRPr="000B37E6">
        <w:rPr>
          <w:rFonts w:ascii="Times New Roman" w:hAnsi="Times New Roman" w:cs="Times New Roman"/>
          <w:sz w:val="24"/>
          <w:szCs w:val="24"/>
          <w:lang w:val="en-US"/>
        </w:rPr>
        <w:t xml:space="preserve"> rule</w:t>
      </w:r>
      <w:r w:rsidR="00673CD2" w:rsidRPr="000B37E6">
        <w:rPr>
          <w:rFonts w:ascii="Times New Roman" w:hAnsi="Times New Roman" w:cs="Times New Roman"/>
          <w:sz w:val="24"/>
          <w:szCs w:val="24"/>
          <w:lang w:val="en-US"/>
        </w:rPr>
        <w:t>s</w:t>
      </w:r>
      <w:r w:rsidR="00BA5647" w:rsidRPr="000B37E6">
        <w:rPr>
          <w:rFonts w:ascii="Times New Roman" w:hAnsi="Times New Roman" w:cs="Times New Roman"/>
          <w:sz w:val="24"/>
          <w:szCs w:val="24"/>
          <w:lang w:val="en-US"/>
        </w:rPr>
        <w:t xml:space="preserve"> on political matters</w:t>
      </w:r>
      <w:r w:rsidR="00E154ED">
        <w:rPr>
          <w:rFonts w:ascii="Times New Roman" w:hAnsi="Times New Roman" w:cs="Times New Roman"/>
          <w:sz w:val="24"/>
          <w:szCs w:val="24"/>
          <w:lang w:val="en-US"/>
        </w:rPr>
        <w:t xml:space="preserve"> in its first years</w:t>
      </w:r>
      <w:r w:rsidR="00BA5647" w:rsidRPr="000B37E6">
        <w:rPr>
          <w:rFonts w:ascii="Times New Roman" w:hAnsi="Times New Roman" w:cs="Times New Roman"/>
          <w:sz w:val="24"/>
          <w:szCs w:val="24"/>
          <w:lang w:val="en-US"/>
        </w:rPr>
        <w:t>.</w:t>
      </w:r>
      <w:r w:rsidR="000B37E6">
        <w:rPr>
          <w:rFonts w:ascii="Times New Roman" w:hAnsi="Times New Roman" w:cs="Times New Roman"/>
          <w:sz w:val="24"/>
          <w:szCs w:val="24"/>
          <w:lang w:val="en-US"/>
        </w:rPr>
        <w:t xml:space="preserve"> </w:t>
      </w:r>
      <w:r w:rsidR="00673CD2">
        <w:rPr>
          <w:rFonts w:ascii="Times New Roman" w:hAnsi="Times New Roman" w:cs="Times New Roman"/>
          <w:sz w:val="24"/>
          <w:szCs w:val="24"/>
          <w:lang w:val="en-US"/>
        </w:rPr>
        <w:t xml:space="preserve">As </w:t>
      </w:r>
      <w:r w:rsidR="00E154ED">
        <w:rPr>
          <w:rFonts w:ascii="Times New Roman" w:hAnsi="Times New Roman" w:cs="Times New Roman"/>
          <w:sz w:val="24"/>
          <w:szCs w:val="24"/>
          <w:lang w:val="en-US"/>
        </w:rPr>
        <w:t>Constitutional</w:t>
      </w:r>
      <w:r w:rsidR="00673CD2">
        <w:rPr>
          <w:rFonts w:ascii="Times New Roman" w:hAnsi="Times New Roman" w:cs="Times New Roman"/>
          <w:sz w:val="24"/>
          <w:szCs w:val="24"/>
          <w:lang w:val="en-US"/>
        </w:rPr>
        <w:t xml:space="preserve"> Courts are called to decide on these issues, they cannot but face the question </w:t>
      </w:r>
      <w:r w:rsidR="00050664">
        <w:rPr>
          <w:rFonts w:ascii="Times New Roman" w:hAnsi="Times New Roman" w:cs="Times New Roman"/>
          <w:sz w:val="24"/>
          <w:szCs w:val="24"/>
          <w:lang w:val="en-US"/>
        </w:rPr>
        <w:t>of</w:t>
      </w:r>
      <w:r w:rsidR="00673CD2">
        <w:rPr>
          <w:rFonts w:ascii="Times New Roman" w:hAnsi="Times New Roman" w:cs="Times New Roman"/>
          <w:sz w:val="24"/>
          <w:szCs w:val="24"/>
          <w:lang w:val="en-US"/>
        </w:rPr>
        <w:t xml:space="preserve"> “what politics is about</w:t>
      </w:r>
      <w:r w:rsidR="000B37E6">
        <w:rPr>
          <w:rFonts w:ascii="Times New Roman" w:hAnsi="Times New Roman" w:cs="Times New Roman"/>
          <w:sz w:val="24"/>
          <w:szCs w:val="24"/>
          <w:lang w:val="en-US"/>
        </w:rPr>
        <w:t>.</w:t>
      </w:r>
      <w:r w:rsidR="00673CD2">
        <w:rPr>
          <w:rFonts w:ascii="Times New Roman" w:hAnsi="Times New Roman" w:cs="Times New Roman"/>
          <w:sz w:val="24"/>
          <w:szCs w:val="24"/>
          <w:lang w:val="en-US"/>
        </w:rPr>
        <w:t>”</w:t>
      </w:r>
      <w:r w:rsidR="000B37E6">
        <w:rPr>
          <w:rFonts w:ascii="Times New Roman" w:hAnsi="Times New Roman" w:cs="Times New Roman"/>
          <w:sz w:val="24"/>
          <w:szCs w:val="24"/>
          <w:lang w:val="en-US"/>
        </w:rPr>
        <w:t xml:space="preserve"> Correspondingly, they cannot do so w</w:t>
      </w:r>
      <w:r w:rsidR="00A27EFF">
        <w:rPr>
          <w:rFonts w:ascii="Times New Roman" w:hAnsi="Times New Roman" w:cs="Times New Roman"/>
          <w:sz w:val="24"/>
          <w:szCs w:val="24"/>
          <w:lang w:val="en-US"/>
        </w:rPr>
        <w:t>ithout</w:t>
      </w:r>
      <w:r w:rsidR="000B37E6">
        <w:rPr>
          <w:rFonts w:ascii="Times New Roman" w:hAnsi="Times New Roman" w:cs="Times New Roman"/>
          <w:sz w:val="24"/>
          <w:szCs w:val="24"/>
          <w:lang w:val="en-US"/>
        </w:rPr>
        <w:t xml:space="preserve"> also implicitly or explicitly stating what constitutional adjudication is about vis-à-vis politics. This is where </w:t>
      </w:r>
      <w:r w:rsidR="00B6510C">
        <w:rPr>
          <w:rFonts w:ascii="Times New Roman" w:hAnsi="Times New Roman" w:cs="Times New Roman"/>
          <w:sz w:val="24"/>
          <w:szCs w:val="24"/>
          <w:lang w:val="en-US"/>
        </w:rPr>
        <w:t xml:space="preserve">the </w:t>
      </w:r>
      <w:r w:rsidR="000B37E6">
        <w:rPr>
          <w:rFonts w:ascii="Times New Roman" w:hAnsi="Times New Roman" w:cs="Times New Roman"/>
          <w:sz w:val="24"/>
          <w:szCs w:val="24"/>
          <w:lang w:val="en-US"/>
        </w:rPr>
        <w:t xml:space="preserve">daily </w:t>
      </w:r>
      <w:r w:rsidR="00B6510C">
        <w:rPr>
          <w:rFonts w:ascii="Times New Roman" w:hAnsi="Times New Roman" w:cs="Times New Roman"/>
          <w:sz w:val="24"/>
          <w:szCs w:val="24"/>
          <w:lang w:val="en-US"/>
        </w:rPr>
        <w:t>administration of constitutional justice</w:t>
      </w:r>
      <w:r w:rsidR="000B37E6">
        <w:rPr>
          <w:rFonts w:ascii="Times New Roman" w:hAnsi="Times New Roman" w:cs="Times New Roman"/>
          <w:sz w:val="24"/>
          <w:szCs w:val="24"/>
          <w:lang w:val="en-US"/>
        </w:rPr>
        <w:t xml:space="preserve"> and its semantic apparatus meet</w:t>
      </w:r>
      <w:r w:rsidR="00CF12FA">
        <w:rPr>
          <w:rFonts w:ascii="Times New Roman" w:hAnsi="Times New Roman" w:cs="Times New Roman"/>
          <w:sz w:val="24"/>
          <w:szCs w:val="24"/>
          <w:lang w:val="en-US"/>
        </w:rPr>
        <w:t xml:space="preserve"> an essential parcel of</w:t>
      </w:r>
      <w:r w:rsidR="000B37E6">
        <w:rPr>
          <w:rFonts w:ascii="Times New Roman" w:hAnsi="Times New Roman" w:cs="Times New Roman"/>
          <w:sz w:val="24"/>
          <w:szCs w:val="24"/>
          <w:lang w:val="en-US"/>
        </w:rPr>
        <w:t xml:space="preserve"> </w:t>
      </w:r>
      <w:r w:rsidR="00183892">
        <w:rPr>
          <w:rFonts w:ascii="Times New Roman" w:hAnsi="Times New Roman" w:cs="Times New Roman"/>
          <w:sz w:val="24"/>
          <w:szCs w:val="24"/>
          <w:lang w:val="en-US"/>
        </w:rPr>
        <w:t>law’s</w:t>
      </w:r>
      <w:r w:rsidR="000B37E6">
        <w:rPr>
          <w:rFonts w:ascii="Times New Roman" w:hAnsi="Times New Roman" w:cs="Times New Roman"/>
          <w:sz w:val="24"/>
          <w:szCs w:val="24"/>
          <w:lang w:val="en-US"/>
        </w:rPr>
        <w:t xml:space="preserve"> subtending contingency formula.</w:t>
      </w:r>
    </w:p>
    <w:p w14:paraId="4DD3DCB0" w14:textId="38D4B10C" w:rsidR="005B08A7" w:rsidRDefault="005B08A7" w:rsidP="005B08A7">
      <w:pPr>
        <w:spacing w:after="0" w:line="360" w:lineRule="auto"/>
        <w:ind w:firstLine="113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Why would there be a need for such religious resources in the first place? Because communication must fascinate. It must draw the attention of individual consciences and shape the behavior of bodies, organizing and distributing them in distinct social roles, therefore including (and excluding) individuals into social communication. Now, such drawing and shaping, the bulk of fascination, falls </w:t>
      </w:r>
      <w:r w:rsidRPr="004A35D3">
        <w:rPr>
          <w:rFonts w:ascii="Times New Roman" w:hAnsi="Times New Roman" w:cs="Times New Roman"/>
          <w:sz w:val="24"/>
          <w:szCs w:val="24"/>
          <w:lang w:val="en-US"/>
        </w:rPr>
        <w:t>trad</w:t>
      </w:r>
      <w:r>
        <w:rPr>
          <w:rFonts w:ascii="Times New Roman" w:hAnsi="Times New Roman" w:cs="Times New Roman"/>
          <w:sz w:val="24"/>
          <w:szCs w:val="24"/>
          <w:lang w:val="en-US"/>
        </w:rPr>
        <w:t>it</w:t>
      </w:r>
      <w:r w:rsidRPr="004A35D3">
        <w:rPr>
          <w:rFonts w:ascii="Times New Roman" w:hAnsi="Times New Roman" w:cs="Times New Roman"/>
          <w:sz w:val="24"/>
          <w:szCs w:val="24"/>
          <w:lang w:val="en-US"/>
        </w:rPr>
        <w:t>ionally</w:t>
      </w:r>
      <w:r>
        <w:rPr>
          <w:rFonts w:ascii="Times New Roman" w:hAnsi="Times New Roman" w:cs="Times New Roman"/>
          <w:sz w:val="24"/>
          <w:szCs w:val="24"/>
          <w:lang w:val="en-US"/>
        </w:rPr>
        <w:t xml:space="preserve"> within</w:t>
      </w:r>
      <w:r w:rsidRPr="004A35D3">
        <w:rPr>
          <w:rFonts w:ascii="Times New Roman" w:hAnsi="Times New Roman" w:cs="Times New Roman"/>
          <w:sz w:val="24"/>
          <w:szCs w:val="24"/>
          <w:lang w:val="en-US"/>
        </w:rPr>
        <w:t xml:space="preserve"> the </w:t>
      </w:r>
      <w:r>
        <w:rPr>
          <w:rFonts w:ascii="Times New Roman" w:hAnsi="Times New Roman" w:cs="Times New Roman"/>
          <w:sz w:val="24"/>
          <w:szCs w:val="24"/>
          <w:lang w:val="en-US"/>
        </w:rPr>
        <w:t>domain</w:t>
      </w:r>
      <w:r w:rsidRPr="004A35D3">
        <w:rPr>
          <w:rFonts w:ascii="Times New Roman" w:hAnsi="Times New Roman" w:cs="Times New Roman"/>
          <w:sz w:val="24"/>
          <w:szCs w:val="24"/>
          <w:lang w:val="en-US"/>
        </w:rPr>
        <w:t xml:space="preserve"> of religion.</w:t>
      </w:r>
      <w:r>
        <w:rPr>
          <w:rStyle w:val="FootnoteReference"/>
          <w:rFonts w:ascii="Times New Roman" w:hAnsi="Times New Roman" w:cs="Times New Roman"/>
          <w:sz w:val="24"/>
          <w:szCs w:val="24"/>
          <w:lang w:val="en-US"/>
        </w:rPr>
        <w:footnoteReference w:id="7"/>
      </w:r>
      <w:r w:rsidRPr="004A35D3">
        <w:rPr>
          <w:rFonts w:ascii="Times New Roman" w:hAnsi="Times New Roman" w:cs="Times New Roman"/>
          <w:sz w:val="24"/>
          <w:szCs w:val="24"/>
          <w:lang w:val="en-US"/>
        </w:rPr>
        <w:t xml:space="preserve"> Even when religion is displaced, its materials may still retain some of its force. In such circu</w:t>
      </w:r>
      <w:r>
        <w:rPr>
          <w:rFonts w:ascii="Times New Roman" w:hAnsi="Times New Roman" w:cs="Times New Roman"/>
          <w:sz w:val="24"/>
          <w:szCs w:val="24"/>
          <w:lang w:val="en-US"/>
        </w:rPr>
        <w:t>m</w:t>
      </w:r>
      <w:r w:rsidRPr="004A35D3">
        <w:rPr>
          <w:rFonts w:ascii="Times New Roman" w:hAnsi="Times New Roman" w:cs="Times New Roman"/>
          <w:sz w:val="24"/>
          <w:szCs w:val="24"/>
          <w:lang w:val="en-US"/>
        </w:rPr>
        <w:t xml:space="preserve">stances, one may speak of religious resources deployed in the communications of other social domains, by dint of their </w:t>
      </w:r>
      <w:r>
        <w:rPr>
          <w:rFonts w:ascii="Times New Roman" w:hAnsi="Times New Roman" w:cs="Times New Roman"/>
          <w:sz w:val="24"/>
          <w:szCs w:val="24"/>
          <w:lang w:val="en-US"/>
        </w:rPr>
        <w:t>“</w:t>
      </w:r>
      <w:r w:rsidRPr="004A35D3">
        <w:rPr>
          <w:rFonts w:ascii="Times New Roman" w:hAnsi="Times New Roman" w:cs="Times New Roman"/>
          <w:sz w:val="24"/>
          <w:szCs w:val="24"/>
          <w:lang w:val="en-US"/>
        </w:rPr>
        <w:t>consecration and familiarity.</w:t>
      </w:r>
      <w:r>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8"/>
      </w:r>
      <w:r>
        <w:rPr>
          <w:rFonts w:ascii="Times New Roman" w:hAnsi="Times New Roman" w:cs="Times New Roman"/>
          <w:sz w:val="24"/>
          <w:szCs w:val="24"/>
          <w:lang w:val="en-US"/>
        </w:rPr>
        <w:t xml:space="preserve"> In other words, these materials still attract and hold the gaze of individuals.</w:t>
      </w:r>
      <w:r w:rsidRPr="004A35D3">
        <w:rPr>
          <w:rFonts w:ascii="Times New Roman" w:hAnsi="Times New Roman" w:cs="Times New Roman"/>
          <w:sz w:val="24"/>
          <w:szCs w:val="24"/>
          <w:lang w:val="en-US"/>
        </w:rPr>
        <w:t xml:space="preserve"> Of course, consecration and familiarity are contingent, while they also offer important materials</w:t>
      </w:r>
      <w:r>
        <w:rPr>
          <w:rFonts w:ascii="Times New Roman" w:hAnsi="Times New Roman" w:cs="Times New Roman"/>
          <w:sz w:val="24"/>
          <w:szCs w:val="24"/>
          <w:lang w:val="en-US"/>
        </w:rPr>
        <w:t xml:space="preserve"> to deal with the threat of contingency. Regarding the circumstances of my two case studies, two “creatures of reason,” the US Supreme Court and the </w:t>
      </w:r>
      <w:proofErr w:type="spellStart"/>
      <w:r w:rsidRPr="00183892">
        <w:rPr>
          <w:rFonts w:ascii="Times New Roman" w:hAnsi="Times New Roman" w:cs="Times New Roman"/>
          <w:i/>
          <w:iCs/>
          <w:sz w:val="24"/>
          <w:szCs w:val="24"/>
          <w:lang w:val="en-US"/>
        </w:rPr>
        <w:t>Bundesverfassungsgericht</w:t>
      </w:r>
      <w:proofErr w:type="spellEnd"/>
      <w:r>
        <w:rPr>
          <w:rFonts w:ascii="Times New Roman" w:hAnsi="Times New Roman" w:cs="Times New Roman"/>
          <w:sz w:val="24"/>
          <w:szCs w:val="24"/>
          <w:lang w:val="en-US"/>
        </w:rPr>
        <w:t>, these features pivot on the dynamics of confessionalization and secularization during the 19</w:t>
      </w:r>
      <w:r w:rsidRPr="00EF58EA">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and 20</w:t>
      </w:r>
      <w:r w:rsidRPr="00EF58EA">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centuries.</w:t>
      </w:r>
      <w:r>
        <w:rPr>
          <w:rStyle w:val="FootnoteReference"/>
          <w:rFonts w:ascii="Times New Roman" w:hAnsi="Times New Roman" w:cs="Times New Roman"/>
          <w:sz w:val="24"/>
          <w:szCs w:val="24"/>
          <w:lang w:val="en-US"/>
        </w:rPr>
        <w:footnoteReference w:id="9"/>
      </w:r>
      <w:r>
        <w:rPr>
          <w:rFonts w:ascii="Times New Roman" w:hAnsi="Times New Roman" w:cs="Times New Roman"/>
          <w:sz w:val="24"/>
          <w:szCs w:val="24"/>
          <w:lang w:val="en-US"/>
        </w:rPr>
        <w:t xml:space="preserve"> </w:t>
      </w:r>
    </w:p>
    <w:p w14:paraId="0C6545D0" w14:textId="6926DFC8" w:rsidR="00050664" w:rsidRDefault="00E536F5" w:rsidP="00BD3702">
      <w:pPr>
        <w:spacing w:after="0" w:line="360" w:lineRule="auto"/>
        <w:ind w:firstLine="113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That being the case, we are before a particular instance of what Hans </w:t>
      </w:r>
      <w:proofErr w:type="spellStart"/>
      <w:r>
        <w:rPr>
          <w:rFonts w:ascii="Times New Roman" w:hAnsi="Times New Roman" w:cs="Times New Roman"/>
          <w:sz w:val="24"/>
          <w:szCs w:val="24"/>
          <w:lang w:val="en-US"/>
        </w:rPr>
        <w:t>Blumenberg</w:t>
      </w:r>
      <w:proofErr w:type="spellEnd"/>
      <w:r>
        <w:rPr>
          <w:rFonts w:ascii="Times New Roman" w:hAnsi="Times New Roman" w:cs="Times New Roman"/>
          <w:sz w:val="24"/>
          <w:szCs w:val="24"/>
          <w:lang w:val="en-US"/>
        </w:rPr>
        <w:t xml:space="preserve"> depicts as “reoccupations.” </w:t>
      </w:r>
      <w:r w:rsidR="004A35D3" w:rsidRPr="004A35D3">
        <w:rPr>
          <w:rFonts w:ascii="Times New Roman" w:hAnsi="Times New Roman" w:cs="Times New Roman"/>
          <w:sz w:val="24"/>
          <w:szCs w:val="24"/>
          <w:lang w:val="en-US"/>
        </w:rPr>
        <w:t>Social a</w:t>
      </w:r>
      <w:r w:rsidRPr="004A35D3">
        <w:rPr>
          <w:rFonts w:ascii="Times New Roman" w:hAnsi="Times New Roman" w:cs="Times New Roman"/>
          <w:sz w:val="24"/>
          <w:szCs w:val="24"/>
          <w:lang w:val="en-US"/>
        </w:rPr>
        <w:t>ctors</w:t>
      </w:r>
      <w:r w:rsidR="004A35D3" w:rsidRPr="004A35D3">
        <w:rPr>
          <w:rFonts w:ascii="Times New Roman" w:hAnsi="Times New Roman" w:cs="Times New Roman"/>
          <w:sz w:val="24"/>
          <w:szCs w:val="24"/>
          <w:lang w:val="en-US"/>
        </w:rPr>
        <w:t>, working</w:t>
      </w:r>
      <w:r w:rsidR="004A35D3">
        <w:rPr>
          <w:rFonts w:ascii="Times New Roman" w:hAnsi="Times New Roman" w:cs="Times New Roman"/>
          <w:sz w:val="24"/>
          <w:szCs w:val="24"/>
          <w:lang w:val="en-US"/>
        </w:rPr>
        <w:t xml:space="preserve"> </w:t>
      </w:r>
      <w:r w:rsidR="00D423CE">
        <w:rPr>
          <w:rFonts w:ascii="Times New Roman" w:hAnsi="Times New Roman" w:cs="Times New Roman"/>
          <w:sz w:val="24"/>
          <w:szCs w:val="24"/>
          <w:lang w:val="en-US"/>
        </w:rPr>
        <w:t xml:space="preserve">in </w:t>
      </w:r>
      <w:r w:rsidR="004A35D3">
        <w:rPr>
          <w:rFonts w:ascii="Times New Roman" w:hAnsi="Times New Roman" w:cs="Times New Roman"/>
          <w:sz w:val="24"/>
          <w:szCs w:val="24"/>
          <w:lang w:val="en-US"/>
        </w:rPr>
        <w:t xml:space="preserve">different social </w:t>
      </w:r>
      <w:r w:rsidR="004A35D3">
        <w:rPr>
          <w:rFonts w:ascii="Times New Roman" w:hAnsi="Times New Roman" w:cs="Times New Roman"/>
          <w:sz w:val="24"/>
          <w:szCs w:val="24"/>
          <w:lang w:val="en-US"/>
        </w:rPr>
        <w:lastRenderedPageBreak/>
        <w:t>domains</w:t>
      </w:r>
      <w:r w:rsidR="00BD3702">
        <w:rPr>
          <w:rFonts w:ascii="Times New Roman" w:hAnsi="Times New Roman" w:cs="Times New Roman"/>
          <w:sz w:val="24"/>
          <w:szCs w:val="24"/>
          <w:lang w:val="en-US"/>
        </w:rPr>
        <w:t xml:space="preserve"> – such as politics and law, but also science and the economy –</w:t>
      </w:r>
      <w:r w:rsidR="004A35D3">
        <w:rPr>
          <w:rFonts w:ascii="Times New Roman" w:hAnsi="Times New Roman" w:cs="Times New Roman"/>
          <w:sz w:val="24"/>
          <w:szCs w:val="24"/>
          <w:lang w:val="en-US"/>
        </w:rPr>
        <w:t>,</w:t>
      </w:r>
      <w:r w:rsidR="00050664">
        <w:rPr>
          <w:rFonts w:ascii="Times New Roman" w:hAnsi="Times New Roman" w:cs="Times New Roman"/>
          <w:sz w:val="24"/>
          <w:szCs w:val="24"/>
          <w:lang w:val="en-US"/>
        </w:rPr>
        <w:t xml:space="preserve"> </w:t>
      </w:r>
      <w:r w:rsidR="004A35D3">
        <w:rPr>
          <w:rFonts w:ascii="Times New Roman" w:hAnsi="Times New Roman" w:cs="Times New Roman"/>
          <w:sz w:val="24"/>
          <w:szCs w:val="24"/>
          <w:lang w:val="en-US"/>
        </w:rPr>
        <w:t>occasiona</w:t>
      </w:r>
      <w:r w:rsidR="00D423CE">
        <w:rPr>
          <w:rFonts w:ascii="Times New Roman" w:hAnsi="Times New Roman" w:cs="Times New Roman"/>
          <w:sz w:val="24"/>
          <w:szCs w:val="24"/>
          <w:lang w:val="en-US"/>
        </w:rPr>
        <w:t>l</w:t>
      </w:r>
      <w:r w:rsidR="004A35D3">
        <w:rPr>
          <w:rFonts w:ascii="Times New Roman" w:hAnsi="Times New Roman" w:cs="Times New Roman"/>
          <w:sz w:val="24"/>
          <w:szCs w:val="24"/>
          <w:lang w:val="en-US"/>
        </w:rPr>
        <w:t>ly</w:t>
      </w:r>
      <w:r>
        <w:rPr>
          <w:rFonts w:ascii="Times New Roman" w:hAnsi="Times New Roman" w:cs="Times New Roman"/>
          <w:sz w:val="24"/>
          <w:szCs w:val="24"/>
          <w:lang w:val="en-US"/>
        </w:rPr>
        <w:t xml:space="preserve"> </w:t>
      </w:r>
      <w:r w:rsidRPr="004A35D3">
        <w:rPr>
          <w:rFonts w:ascii="Times New Roman" w:hAnsi="Times New Roman" w:cs="Times New Roman"/>
          <w:sz w:val="24"/>
          <w:szCs w:val="24"/>
          <w:lang w:val="en-US"/>
        </w:rPr>
        <w:t>instrumentalize religious semantics and media</w:t>
      </w:r>
      <w:r w:rsidR="004A35D3" w:rsidRPr="004A35D3">
        <w:rPr>
          <w:rFonts w:ascii="Times New Roman" w:hAnsi="Times New Roman" w:cs="Times New Roman"/>
          <w:sz w:val="24"/>
          <w:szCs w:val="24"/>
          <w:lang w:val="en-US"/>
        </w:rPr>
        <w:t>.</w:t>
      </w:r>
      <w:r w:rsidR="00050664">
        <w:rPr>
          <w:rFonts w:ascii="Times New Roman" w:hAnsi="Times New Roman" w:cs="Times New Roman"/>
          <w:sz w:val="24"/>
          <w:szCs w:val="24"/>
          <w:lang w:val="en-US"/>
        </w:rPr>
        <w:t xml:space="preserve"> Think of the market’s invisible hand or Stephan Hawking’s popular science books.</w:t>
      </w:r>
      <w:r w:rsidR="004A35D3" w:rsidRPr="004A35D3">
        <w:rPr>
          <w:rFonts w:ascii="Times New Roman" w:hAnsi="Times New Roman" w:cs="Times New Roman"/>
          <w:sz w:val="24"/>
          <w:szCs w:val="24"/>
          <w:lang w:val="en-US"/>
        </w:rPr>
        <w:t xml:space="preserve"> </w:t>
      </w:r>
      <w:r w:rsidR="00E24D2D">
        <w:rPr>
          <w:rFonts w:ascii="Times New Roman" w:hAnsi="Times New Roman" w:cs="Times New Roman"/>
          <w:sz w:val="24"/>
          <w:szCs w:val="24"/>
          <w:lang w:val="en-US"/>
        </w:rPr>
        <w:t>Both the invisible hand in 18</w:t>
      </w:r>
      <w:r w:rsidR="00E24D2D" w:rsidRPr="00E24D2D">
        <w:rPr>
          <w:rFonts w:ascii="Times New Roman" w:hAnsi="Times New Roman" w:cs="Times New Roman"/>
          <w:sz w:val="24"/>
          <w:szCs w:val="24"/>
          <w:vertAlign w:val="superscript"/>
          <w:lang w:val="en-US"/>
        </w:rPr>
        <w:t>th</w:t>
      </w:r>
      <w:r w:rsidR="00E24D2D">
        <w:rPr>
          <w:rFonts w:ascii="Times New Roman" w:hAnsi="Times New Roman" w:cs="Times New Roman"/>
          <w:sz w:val="24"/>
          <w:szCs w:val="24"/>
          <w:lang w:val="en-US"/>
        </w:rPr>
        <w:t xml:space="preserve"> century in economic discourse and Hawking’s approach to the big ban can be seen as reoccupations, in the sense that each</w:t>
      </w:r>
      <w:r w:rsidR="004A35D3" w:rsidRPr="004A35D3">
        <w:rPr>
          <w:rFonts w:ascii="Times New Roman" w:hAnsi="Times New Roman" w:cs="Times New Roman"/>
          <w:sz w:val="24"/>
          <w:szCs w:val="24"/>
          <w:lang w:val="en-US"/>
        </w:rPr>
        <w:t xml:space="preserve"> </w:t>
      </w:r>
      <w:r w:rsidRPr="004A35D3">
        <w:rPr>
          <w:rFonts w:ascii="Times New Roman" w:hAnsi="Times New Roman" w:cs="Times New Roman"/>
          <w:sz w:val="24"/>
          <w:szCs w:val="24"/>
          <w:lang w:val="en-US"/>
        </w:rPr>
        <w:t>reoccup</w:t>
      </w:r>
      <w:r w:rsidR="00E24D2D">
        <w:rPr>
          <w:rFonts w:ascii="Times New Roman" w:hAnsi="Times New Roman" w:cs="Times New Roman"/>
          <w:sz w:val="24"/>
          <w:szCs w:val="24"/>
          <w:lang w:val="en-US"/>
        </w:rPr>
        <w:t>ies</w:t>
      </w:r>
      <w:r w:rsidRPr="004A35D3">
        <w:rPr>
          <w:rFonts w:ascii="Times New Roman" w:hAnsi="Times New Roman" w:cs="Times New Roman"/>
          <w:sz w:val="24"/>
          <w:szCs w:val="24"/>
          <w:lang w:val="en-US"/>
        </w:rPr>
        <w:t xml:space="preserve"> positions made vacant</w:t>
      </w:r>
      <w:r w:rsidR="004A35D3" w:rsidRPr="004A35D3">
        <w:rPr>
          <w:rFonts w:ascii="Times New Roman" w:hAnsi="Times New Roman" w:cs="Times New Roman"/>
          <w:sz w:val="24"/>
          <w:szCs w:val="24"/>
          <w:lang w:val="en-US"/>
        </w:rPr>
        <w:t xml:space="preserve"> by the demise of earlier (religious) answers</w:t>
      </w:r>
      <w:r w:rsidRPr="004A35D3">
        <w:rPr>
          <w:rFonts w:ascii="Times New Roman" w:hAnsi="Times New Roman" w:cs="Times New Roman"/>
          <w:sz w:val="24"/>
          <w:szCs w:val="24"/>
          <w:lang w:val="en-US"/>
        </w:rPr>
        <w:t>, whose appendant questions and hopes</w:t>
      </w:r>
      <w:r w:rsidR="004A35D3" w:rsidRPr="004A35D3">
        <w:rPr>
          <w:rFonts w:ascii="Times New Roman" w:hAnsi="Times New Roman" w:cs="Times New Roman"/>
          <w:sz w:val="24"/>
          <w:szCs w:val="24"/>
          <w:lang w:val="en-US"/>
        </w:rPr>
        <w:t>, but also the terms, in the sense of the symbolics, semantics and media in which they are embedded,</w:t>
      </w:r>
      <w:r w:rsidRPr="004A35D3">
        <w:rPr>
          <w:rFonts w:ascii="Times New Roman" w:hAnsi="Times New Roman" w:cs="Times New Roman"/>
          <w:sz w:val="24"/>
          <w:szCs w:val="24"/>
          <w:lang w:val="en-US"/>
        </w:rPr>
        <w:t xml:space="preserve"> cannot be eliminated.</w:t>
      </w:r>
      <w:r w:rsidR="006E4BAA">
        <w:rPr>
          <w:rStyle w:val="FootnoteReference"/>
          <w:rFonts w:ascii="Times New Roman" w:hAnsi="Times New Roman" w:cs="Times New Roman"/>
          <w:sz w:val="24"/>
          <w:szCs w:val="24"/>
          <w:lang w:val="en-US"/>
        </w:rPr>
        <w:footnoteReference w:id="10"/>
      </w:r>
      <w:r w:rsidRPr="004A35D3">
        <w:rPr>
          <w:rFonts w:ascii="Times New Roman" w:hAnsi="Times New Roman" w:cs="Times New Roman"/>
          <w:sz w:val="24"/>
          <w:szCs w:val="24"/>
          <w:lang w:val="en-US"/>
        </w:rPr>
        <w:t xml:space="preserve"> In</w:t>
      </w:r>
      <w:r>
        <w:rPr>
          <w:rFonts w:ascii="Times New Roman" w:hAnsi="Times New Roman" w:cs="Times New Roman"/>
          <w:sz w:val="24"/>
          <w:szCs w:val="24"/>
          <w:lang w:val="en-US"/>
        </w:rPr>
        <w:t xml:space="preserve"> doing so,</w:t>
      </w:r>
      <w:r w:rsidR="00406285">
        <w:rPr>
          <w:rFonts w:ascii="Times New Roman" w:hAnsi="Times New Roman" w:cs="Times New Roman"/>
          <w:sz w:val="24"/>
          <w:szCs w:val="24"/>
          <w:lang w:val="en-US"/>
        </w:rPr>
        <w:t xml:space="preserve"> as suggested at the outset, social actors abridge the space for rejection</w:t>
      </w:r>
      <w:r w:rsidR="00183892">
        <w:rPr>
          <w:rFonts w:ascii="Times New Roman" w:hAnsi="Times New Roman" w:cs="Times New Roman"/>
          <w:sz w:val="24"/>
          <w:szCs w:val="24"/>
          <w:lang w:val="en-US"/>
        </w:rPr>
        <w:t xml:space="preserve"> of their novel proposals</w:t>
      </w:r>
      <w:r w:rsidR="00406285">
        <w:rPr>
          <w:rFonts w:ascii="Times New Roman" w:hAnsi="Times New Roman" w:cs="Times New Roman"/>
          <w:sz w:val="24"/>
          <w:szCs w:val="24"/>
          <w:lang w:val="en-US"/>
        </w:rPr>
        <w:t>, moving</w:t>
      </w:r>
      <w:r>
        <w:rPr>
          <w:rFonts w:ascii="Times New Roman" w:hAnsi="Times New Roman" w:cs="Times New Roman"/>
          <w:sz w:val="24"/>
          <w:szCs w:val="24"/>
          <w:lang w:val="en-US"/>
        </w:rPr>
        <w:t xml:space="preserve"> towards the evidence of stabilization. As such, they </w:t>
      </w:r>
      <w:r w:rsidR="00D4624B">
        <w:rPr>
          <w:rFonts w:ascii="Times New Roman" w:hAnsi="Times New Roman" w:cs="Times New Roman"/>
          <w:sz w:val="24"/>
          <w:szCs w:val="24"/>
          <w:lang w:val="en-US"/>
        </w:rPr>
        <w:t>enforce and endorse the dawning epoch</w:t>
      </w:r>
      <w:r>
        <w:rPr>
          <w:rFonts w:ascii="Times New Roman" w:hAnsi="Times New Roman" w:cs="Times New Roman"/>
          <w:sz w:val="24"/>
          <w:szCs w:val="24"/>
          <w:lang w:val="en-US"/>
        </w:rPr>
        <w:t>.</w:t>
      </w:r>
    </w:p>
    <w:p w14:paraId="39EBDC56" w14:textId="77777777" w:rsidR="00E154ED" w:rsidRDefault="00E154ED" w:rsidP="00E154ED">
      <w:pPr>
        <w:spacing w:after="0" w:line="360" w:lineRule="auto"/>
        <w:ind w:firstLine="113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If and when “constitutionalism” reoccupies the position of religion, I believe it is fair to speak of “constitutional worship.” The emergence of “constitutional worship” is undoubtfully contingent. In its wake, however, one may paraphrase Edward Corwin’s statement, and submit that it furnishes government “with its dignified, its ceremonial </w:t>
      </w:r>
      <w:proofErr w:type="gramStart"/>
      <w:r>
        <w:rPr>
          <w:rFonts w:ascii="Times New Roman" w:hAnsi="Times New Roman" w:cs="Times New Roman"/>
          <w:sz w:val="24"/>
          <w:szCs w:val="24"/>
          <w:lang w:val="en-US"/>
        </w:rPr>
        <w:t>elements[</w:t>
      </w:r>
      <w:proofErr w:type="gramEnd"/>
      <w:r>
        <w:rPr>
          <w:rFonts w:ascii="Times New Roman" w:hAnsi="Times New Roman" w:cs="Times New Roman"/>
          <w:sz w:val="24"/>
          <w:szCs w:val="24"/>
          <w:lang w:val="en-US"/>
        </w:rPr>
        <w:t>,]” strengthening it “with the strength of religion.”</w:t>
      </w:r>
      <w:r>
        <w:rPr>
          <w:rStyle w:val="FootnoteReference"/>
          <w:rFonts w:ascii="Times New Roman" w:hAnsi="Times New Roman" w:cs="Times New Roman"/>
          <w:sz w:val="24"/>
          <w:szCs w:val="24"/>
          <w:lang w:val="en-US"/>
        </w:rPr>
        <w:footnoteReference w:id="11"/>
      </w:r>
      <w:r>
        <w:rPr>
          <w:rFonts w:ascii="Times New Roman" w:hAnsi="Times New Roman" w:cs="Times New Roman"/>
          <w:sz w:val="24"/>
          <w:szCs w:val="24"/>
          <w:lang w:val="en-US"/>
        </w:rPr>
        <w:t xml:space="preserve"> Of course, constitutional worship is one ingredient feature of the rhetorical ensemble of many different constitutional forms, not only constitutional adjudication. A comprehensive take of this phenomenon, however, even if circumscribed to the USA and Germany, would demand to account for many other repertoires of performance beyond constitutional deliberation.</w:t>
      </w:r>
    </w:p>
    <w:p w14:paraId="1C3860F2" w14:textId="23350C69" w:rsidR="00E154ED" w:rsidRDefault="00E154ED" w:rsidP="00E154ED">
      <w:pPr>
        <w:spacing w:after="0" w:line="360" w:lineRule="auto"/>
        <w:ind w:firstLine="113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When and where constitutional worship – or say, </w:t>
      </w:r>
      <w:proofErr w:type="spellStart"/>
      <w:r w:rsidRPr="00873579">
        <w:rPr>
          <w:rFonts w:ascii="Times New Roman" w:hAnsi="Times New Roman" w:cs="Times New Roman"/>
          <w:i/>
          <w:iCs/>
          <w:sz w:val="24"/>
          <w:szCs w:val="24"/>
          <w:lang w:val="en-US"/>
        </w:rPr>
        <w:t>Verfassungspatriotismus</w:t>
      </w:r>
      <w:proofErr w:type="spellEnd"/>
      <w:r w:rsidRPr="004103D1">
        <w:rPr>
          <w:rStyle w:val="FootnoteReference"/>
          <w:rFonts w:ascii="Times New Roman" w:hAnsi="Times New Roman" w:cs="Times New Roman"/>
          <w:sz w:val="24"/>
          <w:szCs w:val="24"/>
          <w:lang w:val="en-US"/>
        </w:rPr>
        <w:footnoteReference w:id="12"/>
      </w:r>
      <w:r w:rsidRPr="004103D1">
        <w:rPr>
          <w:rFonts w:ascii="Times New Roman" w:hAnsi="Times New Roman" w:cs="Times New Roman"/>
          <w:sz w:val="24"/>
          <w:szCs w:val="24"/>
          <w:lang w:val="en-US"/>
        </w:rPr>
        <w:t xml:space="preserve"> – t</w:t>
      </w:r>
      <w:r>
        <w:rPr>
          <w:rFonts w:ascii="Times New Roman" w:hAnsi="Times New Roman" w:cs="Times New Roman"/>
          <w:sz w:val="24"/>
          <w:szCs w:val="24"/>
          <w:lang w:val="en-US"/>
        </w:rPr>
        <w:t xml:space="preserve">akes shape, one can say that its history pivots on a chain of catachresis. Indeed, catachresis, as the deliberate deviating and rhetorical use of a word or expression, would be perhaps the rhetorical figure which best embodies the antinomy between the need for history and the experience of history, whose heart is, precisely, the phenomena of reoccupations. To borrow one of Hans </w:t>
      </w:r>
      <w:proofErr w:type="spellStart"/>
      <w:r>
        <w:rPr>
          <w:rFonts w:ascii="Times New Roman" w:hAnsi="Times New Roman" w:cs="Times New Roman"/>
          <w:sz w:val="24"/>
          <w:szCs w:val="24"/>
          <w:lang w:val="en-US"/>
        </w:rPr>
        <w:t>Blumenberg’s</w:t>
      </w:r>
      <w:proofErr w:type="spellEnd"/>
      <w:r>
        <w:rPr>
          <w:rFonts w:ascii="Times New Roman" w:hAnsi="Times New Roman" w:cs="Times New Roman"/>
          <w:sz w:val="24"/>
          <w:szCs w:val="24"/>
          <w:lang w:val="en-US"/>
        </w:rPr>
        <w:t xml:space="preserve"> most perspicuous dicta, what was once meant metaphorically can be understood literally, such historical misunderstandings being productive in their own way.</w:t>
      </w:r>
      <w:r>
        <w:rPr>
          <w:rStyle w:val="FootnoteReference"/>
          <w:rFonts w:ascii="Times New Roman" w:hAnsi="Times New Roman" w:cs="Times New Roman"/>
          <w:sz w:val="24"/>
          <w:szCs w:val="24"/>
          <w:lang w:val="en-US"/>
        </w:rPr>
        <w:footnoteReference w:id="13"/>
      </w:r>
      <w:r>
        <w:rPr>
          <w:rFonts w:ascii="Times New Roman" w:hAnsi="Times New Roman" w:cs="Times New Roman"/>
          <w:sz w:val="24"/>
          <w:szCs w:val="24"/>
          <w:lang w:val="en-US"/>
        </w:rPr>
        <w:t xml:space="preserve"> </w:t>
      </w:r>
    </w:p>
    <w:p w14:paraId="7D15710B" w14:textId="205D5B84" w:rsidR="00E536F5" w:rsidRDefault="00050664" w:rsidP="00BD3702">
      <w:pPr>
        <w:spacing w:after="0" w:line="360" w:lineRule="auto"/>
        <w:ind w:firstLine="1134"/>
        <w:jc w:val="both"/>
        <w:rPr>
          <w:rFonts w:ascii="Times New Roman" w:hAnsi="Times New Roman" w:cs="Times New Roman"/>
          <w:sz w:val="24"/>
          <w:szCs w:val="24"/>
          <w:lang w:val="en-US"/>
        </w:rPr>
      </w:pPr>
      <w:r>
        <w:rPr>
          <w:rFonts w:ascii="Times New Roman" w:hAnsi="Times New Roman" w:cs="Times New Roman"/>
          <w:sz w:val="24"/>
          <w:szCs w:val="24"/>
          <w:lang w:val="en-US"/>
        </w:rPr>
        <w:t>Regarding constitutional adjudication, t</w:t>
      </w:r>
      <w:r w:rsidR="00E536F5">
        <w:rPr>
          <w:rFonts w:ascii="Times New Roman" w:hAnsi="Times New Roman" w:cs="Times New Roman"/>
          <w:sz w:val="24"/>
          <w:szCs w:val="24"/>
          <w:lang w:val="en-US"/>
        </w:rPr>
        <w:t>hese</w:t>
      </w:r>
      <w:r w:rsidR="006B6945">
        <w:rPr>
          <w:rFonts w:ascii="Times New Roman" w:hAnsi="Times New Roman" w:cs="Times New Roman"/>
          <w:sz w:val="24"/>
          <w:szCs w:val="24"/>
          <w:lang w:val="en-US"/>
        </w:rPr>
        <w:t xml:space="preserve"> productive</w:t>
      </w:r>
      <w:r w:rsidR="00E536F5">
        <w:rPr>
          <w:rFonts w:ascii="Times New Roman" w:hAnsi="Times New Roman" w:cs="Times New Roman"/>
          <w:sz w:val="24"/>
          <w:szCs w:val="24"/>
          <w:lang w:val="en-US"/>
        </w:rPr>
        <w:t xml:space="preserve"> </w:t>
      </w:r>
      <w:r w:rsidR="006B6945">
        <w:rPr>
          <w:rFonts w:ascii="Times New Roman" w:hAnsi="Times New Roman" w:cs="Times New Roman"/>
          <w:sz w:val="24"/>
          <w:szCs w:val="24"/>
          <w:lang w:val="en-US"/>
        </w:rPr>
        <w:t>historical misunderstandings</w:t>
      </w:r>
      <w:r w:rsidR="00E536F5">
        <w:rPr>
          <w:rFonts w:ascii="Times New Roman" w:hAnsi="Times New Roman" w:cs="Times New Roman"/>
          <w:sz w:val="24"/>
          <w:szCs w:val="24"/>
          <w:lang w:val="en-US"/>
        </w:rPr>
        <w:t xml:space="preserve"> take place both – whether simultaneously, subsequently, or even </w:t>
      </w:r>
      <w:r w:rsidR="00E536F5">
        <w:rPr>
          <w:rFonts w:ascii="Times New Roman" w:hAnsi="Times New Roman" w:cs="Times New Roman"/>
          <w:sz w:val="24"/>
          <w:szCs w:val="24"/>
          <w:lang w:val="en-US"/>
        </w:rPr>
        <w:lastRenderedPageBreak/>
        <w:t xml:space="preserve">retroactively, as past registers are dressed with new clothes – </w:t>
      </w:r>
      <w:r w:rsidR="00D423CE">
        <w:rPr>
          <w:rFonts w:ascii="Times New Roman" w:hAnsi="Times New Roman" w:cs="Times New Roman"/>
          <w:sz w:val="24"/>
          <w:szCs w:val="24"/>
          <w:lang w:val="en-US"/>
        </w:rPr>
        <w:t xml:space="preserve">in </w:t>
      </w:r>
      <w:r w:rsidR="00E536F5">
        <w:rPr>
          <w:rFonts w:ascii="Times New Roman" w:hAnsi="Times New Roman" w:cs="Times New Roman"/>
          <w:sz w:val="24"/>
          <w:szCs w:val="24"/>
          <w:lang w:val="en-US"/>
        </w:rPr>
        <w:t>the discursive field of constitutional hermeneutics and the medial constellation of constitutional ceremony. In any case,</w:t>
      </w:r>
      <w:r w:rsidR="00EC0E79">
        <w:rPr>
          <w:rFonts w:ascii="Times New Roman" w:hAnsi="Times New Roman" w:cs="Times New Roman"/>
          <w:sz w:val="24"/>
          <w:szCs w:val="24"/>
          <w:lang w:val="en-US"/>
        </w:rPr>
        <w:t xml:space="preserve"> as</w:t>
      </w:r>
      <w:r w:rsidR="00E536F5">
        <w:rPr>
          <w:rFonts w:ascii="Times New Roman" w:hAnsi="Times New Roman" w:cs="Times New Roman"/>
          <w:sz w:val="24"/>
          <w:szCs w:val="24"/>
          <w:lang w:val="en-US"/>
        </w:rPr>
        <w:t xml:space="preserve"> constitutional adjudication</w:t>
      </w:r>
      <w:r w:rsidR="00EC0E79">
        <w:rPr>
          <w:rFonts w:ascii="Times New Roman" w:hAnsi="Times New Roman" w:cs="Times New Roman"/>
          <w:sz w:val="24"/>
          <w:szCs w:val="24"/>
          <w:lang w:val="en-US"/>
        </w:rPr>
        <w:t xml:space="preserve"> manages to fascinate, it also</w:t>
      </w:r>
      <w:r w:rsidR="00E536F5">
        <w:rPr>
          <w:rFonts w:ascii="Times New Roman" w:hAnsi="Times New Roman" w:cs="Times New Roman"/>
          <w:sz w:val="24"/>
          <w:szCs w:val="24"/>
          <w:lang w:val="en-US"/>
        </w:rPr>
        <w:t xml:space="preserve"> becomes popular. </w:t>
      </w:r>
    </w:p>
    <w:p w14:paraId="3A9EAAF5" w14:textId="77777777" w:rsidR="00E536F5" w:rsidRDefault="00E536F5" w:rsidP="00E536F5">
      <w:pPr>
        <w:spacing w:after="0" w:line="360" w:lineRule="auto"/>
        <w:ind w:firstLine="113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More than 40 years after </w:t>
      </w:r>
      <w:r w:rsidRPr="00054BD8">
        <w:rPr>
          <w:rFonts w:ascii="Times New Roman" w:hAnsi="Times New Roman" w:cs="Times New Roman"/>
          <w:i/>
          <w:iCs/>
          <w:sz w:val="24"/>
          <w:szCs w:val="24"/>
          <w:lang w:val="en-US"/>
        </w:rPr>
        <w:t>Marbury</w:t>
      </w:r>
      <w:r>
        <w:rPr>
          <w:rFonts w:ascii="Times New Roman" w:hAnsi="Times New Roman" w:cs="Times New Roman"/>
          <w:sz w:val="24"/>
          <w:szCs w:val="24"/>
          <w:lang w:val="en-US"/>
        </w:rPr>
        <w:t xml:space="preserve">, the </w:t>
      </w:r>
      <w:r w:rsidRPr="007C79FB">
        <w:rPr>
          <w:rFonts w:ascii="Times New Roman" w:hAnsi="Times New Roman" w:cs="Times New Roman"/>
          <w:i/>
          <w:iCs/>
          <w:sz w:val="24"/>
          <w:szCs w:val="24"/>
          <w:lang w:val="en-US"/>
        </w:rPr>
        <w:t>New York Herald</w:t>
      </w:r>
      <w:r>
        <w:rPr>
          <w:rFonts w:ascii="Times New Roman" w:hAnsi="Times New Roman" w:cs="Times New Roman"/>
          <w:sz w:val="24"/>
          <w:szCs w:val="24"/>
          <w:lang w:val="en-US"/>
        </w:rPr>
        <w:t xml:space="preserve"> gave the following description of the “great fun” the hearing ceremony was (and, apparently, still is):</w:t>
      </w:r>
      <w:r>
        <w:rPr>
          <w:rStyle w:val="FootnoteReference"/>
          <w:rFonts w:ascii="Times New Roman" w:hAnsi="Times New Roman" w:cs="Times New Roman"/>
          <w:sz w:val="24"/>
          <w:szCs w:val="24"/>
          <w:lang w:val="en-US"/>
        </w:rPr>
        <w:footnoteReference w:id="14"/>
      </w:r>
    </w:p>
    <w:p w14:paraId="74114B7F" w14:textId="362CD67D" w:rsidR="00E536F5" w:rsidRPr="008770F5" w:rsidRDefault="00E536F5" w:rsidP="00C03429">
      <w:pPr>
        <w:spacing w:after="0" w:line="240" w:lineRule="auto"/>
        <w:ind w:left="2268"/>
        <w:jc w:val="both"/>
        <w:rPr>
          <w:rFonts w:ascii="Times New Roman" w:hAnsi="Times New Roman" w:cs="Times New Roman"/>
          <w:lang w:val="en-US"/>
        </w:rPr>
      </w:pPr>
      <w:r w:rsidRPr="008770F5">
        <w:rPr>
          <w:rFonts w:ascii="Times New Roman" w:hAnsi="Times New Roman" w:cs="Times New Roman"/>
          <w:lang w:val="en-US"/>
        </w:rPr>
        <w:t>Throughout the Court-room there is a great silence, save now and then when a bevy of ladies come</w:t>
      </w:r>
      <w:r>
        <w:rPr>
          <w:rFonts w:ascii="Times New Roman" w:hAnsi="Times New Roman" w:cs="Times New Roman"/>
          <w:lang w:val="en-US"/>
        </w:rPr>
        <w:t>s</w:t>
      </w:r>
      <w:r w:rsidRPr="008770F5">
        <w:rPr>
          <w:rFonts w:ascii="Times New Roman" w:hAnsi="Times New Roman" w:cs="Times New Roman"/>
          <w:lang w:val="en-US"/>
        </w:rPr>
        <w:t xml:space="preserve"> in. In fact, it looks more like a ballroom sometimes; and if old Lord Eldon and the defunct Judges of Westminster would walk in from their graves, each particular whalebone in their wigs would stand on end at this mixture of men and women, law and politeness, ogling and flirtation, bowing and </w:t>
      </w:r>
      <w:proofErr w:type="spellStart"/>
      <w:r w:rsidRPr="008770F5">
        <w:rPr>
          <w:rFonts w:ascii="Times New Roman" w:hAnsi="Times New Roman" w:cs="Times New Roman"/>
          <w:lang w:val="en-US"/>
        </w:rPr>
        <w:t>curtesying</w:t>
      </w:r>
      <w:proofErr w:type="spellEnd"/>
      <w:r w:rsidRPr="008770F5">
        <w:rPr>
          <w:rFonts w:ascii="Times New Roman" w:hAnsi="Times New Roman" w:cs="Times New Roman"/>
          <w:lang w:val="en-US"/>
        </w:rPr>
        <w:t xml:space="preserve">, going on in the highest tribunal in America. […] There is a tremendous squeeze, you can scarcely get a case knife in edgeways… Hundreds and hundreds went away, unable to obtain admittance. There never were so many persons in the Court-room since it was built. Over 200 ladies were there; crowded, squeezed and almost jammed in that little room; in front of the Judges and behind the Judges; in front of Mr. Webster and behind him and on each side of him were rows and rows of beautiful women dressed ‘to the highest.’ Senators, Members of the House, Whigs and Locos, </w:t>
      </w:r>
      <w:r w:rsidR="00D423CE">
        <w:rPr>
          <w:rFonts w:ascii="Times New Roman" w:hAnsi="Times New Roman" w:cs="Times New Roman"/>
          <w:lang w:val="en-US"/>
        </w:rPr>
        <w:t>F</w:t>
      </w:r>
      <w:r w:rsidR="00D423CE" w:rsidRPr="008770F5">
        <w:rPr>
          <w:rFonts w:ascii="Times New Roman" w:hAnsi="Times New Roman" w:cs="Times New Roman"/>
          <w:lang w:val="en-US"/>
        </w:rPr>
        <w:t xml:space="preserve">oreign </w:t>
      </w:r>
      <w:r w:rsidRPr="008770F5">
        <w:rPr>
          <w:rFonts w:ascii="Times New Roman" w:hAnsi="Times New Roman" w:cs="Times New Roman"/>
          <w:lang w:val="en-US"/>
        </w:rPr>
        <w:t>Ministers, Cabinet officers, old and young – all kinds of people were there.</w:t>
      </w:r>
      <w:r>
        <w:rPr>
          <w:rStyle w:val="FootnoteReference"/>
          <w:rFonts w:ascii="Times New Roman" w:hAnsi="Times New Roman" w:cs="Times New Roman"/>
          <w:lang w:val="en-US"/>
        </w:rPr>
        <w:footnoteReference w:id="15"/>
      </w:r>
    </w:p>
    <w:p w14:paraId="568A46D0" w14:textId="77777777" w:rsidR="00E536F5" w:rsidRDefault="00E536F5" w:rsidP="00E536F5">
      <w:pPr>
        <w:spacing w:after="0" w:line="360" w:lineRule="auto"/>
        <w:ind w:firstLine="1134"/>
        <w:jc w:val="both"/>
        <w:rPr>
          <w:rFonts w:ascii="Times New Roman" w:hAnsi="Times New Roman" w:cs="Times New Roman"/>
          <w:sz w:val="24"/>
          <w:szCs w:val="24"/>
          <w:lang w:val="en-US"/>
        </w:rPr>
      </w:pPr>
    </w:p>
    <w:p w14:paraId="11CB8730" w14:textId="7E7C33AC" w:rsidR="00E536F5" w:rsidRDefault="00E536F5" w:rsidP="00EC0E79">
      <w:pPr>
        <w:spacing w:after="0" w:line="360" w:lineRule="auto"/>
        <w:ind w:firstLine="113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Concerning the </w:t>
      </w:r>
      <w:proofErr w:type="spellStart"/>
      <w:r w:rsidRPr="00351587">
        <w:rPr>
          <w:rFonts w:ascii="Times New Roman" w:hAnsi="Times New Roman" w:cs="Times New Roman"/>
          <w:i/>
          <w:iCs/>
          <w:sz w:val="24"/>
          <w:szCs w:val="24"/>
          <w:lang w:val="en-US"/>
        </w:rPr>
        <w:t>Bundesverfassungsgericht</w:t>
      </w:r>
      <w:proofErr w:type="spellEnd"/>
      <w:r>
        <w:rPr>
          <w:rFonts w:ascii="Times New Roman" w:hAnsi="Times New Roman" w:cs="Times New Roman"/>
          <w:sz w:val="24"/>
          <w:szCs w:val="24"/>
          <w:lang w:val="en-US"/>
        </w:rPr>
        <w:t>, unfortunately</w:t>
      </w:r>
      <w:r w:rsidR="00D423CE">
        <w:rPr>
          <w:rFonts w:ascii="Times New Roman" w:hAnsi="Times New Roman" w:cs="Times New Roman"/>
          <w:sz w:val="24"/>
          <w:szCs w:val="24"/>
          <w:lang w:val="en-US"/>
        </w:rPr>
        <w:t>,</w:t>
      </w:r>
      <w:r>
        <w:rPr>
          <w:rFonts w:ascii="Times New Roman" w:hAnsi="Times New Roman" w:cs="Times New Roman"/>
          <w:sz w:val="24"/>
          <w:szCs w:val="24"/>
          <w:lang w:val="en-US"/>
        </w:rPr>
        <w:t xml:space="preserve"> I couldn’t find </w:t>
      </w:r>
      <w:r w:rsidR="00D423CE">
        <w:rPr>
          <w:rFonts w:ascii="Times New Roman" w:hAnsi="Times New Roman" w:cs="Times New Roman"/>
          <w:sz w:val="24"/>
          <w:szCs w:val="24"/>
          <w:lang w:val="en-US"/>
        </w:rPr>
        <w:t xml:space="preserve">many </w:t>
      </w:r>
      <w:r>
        <w:rPr>
          <w:rFonts w:ascii="Times New Roman" w:hAnsi="Times New Roman" w:cs="Times New Roman"/>
          <w:sz w:val="24"/>
          <w:szCs w:val="24"/>
          <w:lang w:val="en-US"/>
        </w:rPr>
        <w:t xml:space="preserve">lively descriptions of how its </w:t>
      </w:r>
      <w:r w:rsidR="00EC0E79">
        <w:rPr>
          <w:rFonts w:ascii="Times New Roman" w:hAnsi="Times New Roman" w:cs="Times New Roman"/>
          <w:sz w:val="24"/>
          <w:szCs w:val="24"/>
          <w:lang w:val="en-US"/>
        </w:rPr>
        <w:t>courtroom</w:t>
      </w:r>
      <w:r>
        <w:rPr>
          <w:rFonts w:ascii="Times New Roman" w:hAnsi="Times New Roman" w:cs="Times New Roman"/>
          <w:sz w:val="24"/>
          <w:szCs w:val="24"/>
          <w:lang w:val="en-US"/>
        </w:rPr>
        <w:t xml:space="preserve"> was put into use by the audience. Interestingly, available photographs prefer showing the sobriety of empty chairs.</w:t>
      </w:r>
      <w:r w:rsidR="00774E35">
        <w:rPr>
          <w:rFonts w:ascii="Times New Roman" w:hAnsi="Times New Roman" w:cs="Times New Roman"/>
          <w:sz w:val="24"/>
          <w:szCs w:val="24"/>
          <w:lang w:val="en-US"/>
        </w:rPr>
        <w:t xml:space="preserve"> In the capitalized words </w:t>
      </w:r>
      <w:r w:rsidR="005643FD">
        <w:rPr>
          <w:rFonts w:ascii="Times New Roman" w:hAnsi="Times New Roman" w:cs="Times New Roman"/>
          <w:sz w:val="24"/>
          <w:szCs w:val="24"/>
          <w:lang w:val="en-US"/>
        </w:rPr>
        <w:t>of the Court’s 2021 Annual report,</w:t>
      </w:r>
      <w:r w:rsidR="00FB73F7">
        <w:rPr>
          <w:rFonts w:ascii="Times New Roman" w:hAnsi="Times New Roman" w:cs="Times New Roman"/>
          <w:sz w:val="24"/>
          <w:szCs w:val="24"/>
          <w:lang w:val="en-US"/>
        </w:rPr>
        <w:t xml:space="preserve"> which quotes Art. 19, paragraph 4, proposition 1 of the German Constitution,</w:t>
      </w:r>
      <w:r w:rsidR="005643FD">
        <w:rPr>
          <w:rFonts w:ascii="Times New Roman" w:hAnsi="Times New Roman" w:cs="Times New Roman"/>
          <w:sz w:val="24"/>
          <w:szCs w:val="24"/>
          <w:lang w:val="en-US"/>
        </w:rPr>
        <w:t xml:space="preserve"> “[a]s someone is hurt in his rights through public power [</w:t>
      </w:r>
      <w:proofErr w:type="spellStart"/>
      <w:r w:rsidR="005643FD" w:rsidRPr="005643FD">
        <w:rPr>
          <w:rFonts w:ascii="Times New Roman" w:hAnsi="Times New Roman" w:cs="Times New Roman"/>
          <w:i/>
          <w:iCs/>
          <w:sz w:val="24"/>
          <w:szCs w:val="24"/>
          <w:lang w:val="en-US"/>
        </w:rPr>
        <w:t>öffentliche</w:t>
      </w:r>
      <w:proofErr w:type="spellEnd"/>
      <w:r w:rsidR="005643FD" w:rsidRPr="005643FD">
        <w:rPr>
          <w:rFonts w:ascii="Times New Roman" w:hAnsi="Times New Roman" w:cs="Times New Roman"/>
          <w:i/>
          <w:iCs/>
          <w:sz w:val="24"/>
          <w:szCs w:val="24"/>
          <w:lang w:val="en-US"/>
        </w:rPr>
        <w:t xml:space="preserve"> </w:t>
      </w:r>
      <w:proofErr w:type="spellStart"/>
      <w:r w:rsidR="005643FD" w:rsidRPr="005643FD">
        <w:rPr>
          <w:rFonts w:ascii="Times New Roman" w:hAnsi="Times New Roman" w:cs="Times New Roman"/>
          <w:i/>
          <w:iCs/>
          <w:sz w:val="24"/>
          <w:szCs w:val="24"/>
          <w:lang w:val="en-US"/>
        </w:rPr>
        <w:t>Gewalt</w:t>
      </w:r>
      <w:proofErr w:type="spellEnd"/>
      <w:r w:rsidR="005643FD">
        <w:rPr>
          <w:rFonts w:ascii="Times New Roman" w:hAnsi="Times New Roman" w:cs="Times New Roman"/>
          <w:sz w:val="24"/>
          <w:szCs w:val="24"/>
          <w:lang w:val="en-US"/>
        </w:rPr>
        <w:t>], then the access to the Court [</w:t>
      </w:r>
      <w:proofErr w:type="spellStart"/>
      <w:r w:rsidR="005643FD" w:rsidRPr="005643FD">
        <w:rPr>
          <w:rFonts w:ascii="Times New Roman" w:hAnsi="Times New Roman" w:cs="Times New Roman"/>
          <w:i/>
          <w:iCs/>
          <w:sz w:val="24"/>
          <w:szCs w:val="24"/>
          <w:lang w:val="en-US"/>
        </w:rPr>
        <w:t>Rechtsweg</w:t>
      </w:r>
      <w:proofErr w:type="spellEnd"/>
      <w:r w:rsidR="005643FD">
        <w:rPr>
          <w:rFonts w:ascii="Times New Roman" w:hAnsi="Times New Roman" w:cs="Times New Roman"/>
          <w:sz w:val="24"/>
          <w:szCs w:val="24"/>
          <w:lang w:val="en-US"/>
        </w:rPr>
        <w:t>] stands open to him.”</w:t>
      </w:r>
      <w:r w:rsidR="005A2185">
        <w:rPr>
          <w:rStyle w:val="FootnoteReference"/>
          <w:rFonts w:ascii="Times New Roman" w:hAnsi="Times New Roman" w:cs="Times New Roman"/>
          <w:sz w:val="24"/>
          <w:szCs w:val="24"/>
          <w:lang w:val="en-US"/>
        </w:rPr>
        <w:footnoteReference w:id="16"/>
      </w:r>
      <w:r w:rsidR="005643F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Yet, empirical research states and </w:t>
      </w:r>
      <w:r w:rsidRPr="00983294">
        <w:rPr>
          <w:rFonts w:ascii="Times New Roman" w:hAnsi="Times New Roman" w:cs="Times New Roman"/>
          <w:sz w:val="24"/>
          <w:szCs w:val="24"/>
          <w:lang w:val="en-US"/>
        </w:rPr>
        <w:t>confirms the popularity of Karlsruhe</w:t>
      </w:r>
      <w:r w:rsidR="00024291" w:rsidRPr="00983294">
        <w:rPr>
          <w:rStyle w:val="FootnoteReference"/>
          <w:rFonts w:ascii="Times New Roman" w:hAnsi="Times New Roman" w:cs="Times New Roman"/>
          <w:sz w:val="24"/>
          <w:szCs w:val="24"/>
          <w:lang w:val="en-US"/>
        </w:rPr>
        <w:footnoteReference w:id="17"/>
      </w:r>
      <w:r w:rsidRPr="00983294">
        <w:rPr>
          <w:rFonts w:ascii="Times New Roman" w:hAnsi="Times New Roman" w:cs="Times New Roman"/>
          <w:sz w:val="24"/>
          <w:szCs w:val="24"/>
          <w:lang w:val="en-US"/>
        </w:rPr>
        <w:t xml:space="preserve"> – comparable polls and investigations being available on the US Supreme Court as well</w:t>
      </w:r>
      <w:r w:rsidR="007C042A">
        <w:rPr>
          <w:rFonts w:ascii="Times New Roman" w:hAnsi="Times New Roman" w:cs="Times New Roman"/>
          <w:sz w:val="24"/>
          <w:szCs w:val="24"/>
          <w:lang w:val="en-US"/>
        </w:rPr>
        <w:t>.</w:t>
      </w:r>
      <w:r w:rsidRPr="00983294">
        <w:rPr>
          <w:rStyle w:val="FootnoteReference"/>
          <w:rFonts w:ascii="Times New Roman" w:hAnsi="Times New Roman" w:cs="Times New Roman"/>
          <w:sz w:val="24"/>
          <w:szCs w:val="24"/>
          <w:lang w:val="en-US"/>
        </w:rPr>
        <w:footnoteReference w:id="18"/>
      </w:r>
      <w:r w:rsidRPr="00983294">
        <w:rPr>
          <w:rFonts w:ascii="Times New Roman" w:hAnsi="Times New Roman" w:cs="Times New Roman"/>
          <w:sz w:val="24"/>
          <w:szCs w:val="24"/>
          <w:lang w:val="en-US"/>
        </w:rPr>
        <w:t xml:space="preserve"> </w:t>
      </w:r>
      <w:r w:rsidR="007C042A">
        <w:rPr>
          <w:rFonts w:ascii="Times New Roman" w:hAnsi="Times New Roman" w:cs="Times New Roman"/>
          <w:sz w:val="24"/>
          <w:szCs w:val="24"/>
          <w:lang w:val="en-US"/>
        </w:rPr>
        <w:lastRenderedPageBreak/>
        <w:t>They also note how</w:t>
      </w:r>
      <w:r w:rsidRPr="00983294">
        <w:rPr>
          <w:rFonts w:ascii="Times New Roman" w:hAnsi="Times New Roman" w:cs="Times New Roman"/>
          <w:sz w:val="24"/>
          <w:szCs w:val="24"/>
          <w:lang w:val="en-US"/>
        </w:rPr>
        <w:t xml:space="preserve"> radio, and then radio and television increasingly started to mediate the relationship between the court and its audience.</w:t>
      </w:r>
      <w:r w:rsidR="00EC0E79">
        <w:rPr>
          <w:rFonts w:ascii="Times New Roman" w:hAnsi="Times New Roman" w:cs="Times New Roman"/>
          <w:sz w:val="24"/>
          <w:szCs w:val="24"/>
          <w:lang w:val="en-US"/>
        </w:rPr>
        <w:t xml:space="preserve"> Mass media in general, its semantic apparatus, and the corresponding attentiveness intertwined </w:t>
      </w:r>
      <w:r w:rsidR="00D423CE">
        <w:rPr>
          <w:rFonts w:ascii="Times New Roman" w:hAnsi="Times New Roman" w:cs="Times New Roman"/>
          <w:sz w:val="24"/>
          <w:szCs w:val="24"/>
          <w:lang w:val="en-US"/>
        </w:rPr>
        <w:t>with</w:t>
      </w:r>
      <w:r w:rsidR="00EC0E79">
        <w:rPr>
          <w:rFonts w:ascii="Times New Roman" w:hAnsi="Times New Roman" w:cs="Times New Roman"/>
          <w:sz w:val="24"/>
          <w:szCs w:val="24"/>
          <w:lang w:val="en-US"/>
        </w:rPr>
        <w:t xml:space="preserve"> the space of constitutional deliberation changed radically since then.</w:t>
      </w:r>
    </w:p>
    <w:p w14:paraId="1BF9667B" w14:textId="4667BAB8" w:rsidR="008E21EF" w:rsidRDefault="002D06E8" w:rsidP="00BA5647">
      <w:pPr>
        <w:spacing w:after="0" w:line="360" w:lineRule="auto"/>
        <w:ind w:firstLine="1134"/>
        <w:jc w:val="both"/>
        <w:rPr>
          <w:rFonts w:ascii="Times New Roman" w:hAnsi="Times New Roman" w:cs="Times New Roman"/>
          <w:sz w:val="24"/>
          <w:szCs w:val="24"/>
          <w:lang w:val="en-US"/>
        </w:rPr>
      </w:pPr>
      <w:r>
        <w:rPr>
          <w:rFonts w:ascii="Times New Roman" w:hAnsi="Times New Roman" w:cs="Times New Roman"/>
          <w:sz w:val="24"/>
          <w:szCs w:val="24"/>
          <w:lang w:val="en-US"/>
        </w:rPr>
        <w:t>I cannot answer within current research constrains what</w:t>
      </w:r>
      <w:r w:rsidR="00C03429">
        <w:rPr>
          <w:rFonts w:ascii="Times New Roman" w:hAnsi="Times New Roman" w:cs="Times New Roman"/>
          <w:sz w:val="24"/>
          <w:szCs w:val="24"/>
          <w:lang w:val="en-US"/>
        </w:rPr>
        <w:t xml:space="preserve"> precisely</w:t>
      </w:r>
      <w:r>
        <w:rPr>
          <w:rFonts w:ascii="Times New Roman" w:hAnsi="Times New Roman" w:cs="Times New Roman"/>
          <w:sz w:val="24"/>
          <w:szCs w:val="24"/>
          <w:lang w:val="en-US"/>
        </w:rPr>
        <w:t xml:space="preserve"> attracted the gaze of public opinion or what commanded its respectfulness </w:t>
      </w:r>
      <w:r w:rsidR="007C042A">
        <w:rPr>
          <w:rFonts w:ascii="Times New Roman" w:hAnsi="Times New Roman" w:cs="Times New Roman"/>
          <w:sz w:val="24"/>
          <w:szCs w:val="24"/>
          <w:lang w:val="en-US"/>
        </w:rPr>
        <w:t xml:space="preserve">in </w:t>
      </w:r>
      <w:r>
        <w:rPr>
          <w:rFonts w:ascii="Times New Roman" w:hAnsi="Times New Roman" w:cs="Times New Roman"/>
          <w:sz w:val="24"/>
          <w:szCs w:val="24"/>
          <w:lang w:val="en-US"/>
        </w:rPr>
        <w:t xml:space="preserve">dealing </w:t>
      </w:r>
      <w:r w:rsidR="007C042A">
        <w:rPr>
          <w:rFonts w:ascii="Times New Roman" w:hAnsi="Times New Roman" w:cs="Times New Roman"/>
          <w:sz w:val="24"/>
          <w:szCs w:val="24"/>
          <w:lang w:val="en-US"/>
        </w:rPr>
        <w:t xml:space="preserve">with </w:t>
      </w:r>
      <w:r>
        <w:rPr>
          <w:rFonts w:ascii="Times New Roman" w:hAnsi="Times New Roman" w:cs="Times New Roman"/>
          <w:sz w:val="24"/>
          <w:szCs w:val="24"/>
          <w:lang w:val="en-US"/>
        </w:rPr>
        <w:t xml:space="preserve">and transmitting the performances of these singular </w:t>
      </w:r>
      <w:r w:rsidR="007C042A">
        <w:rPr>
          <w:rFonts w:ascii="Times New Roman" w:hAnsi="Times New Roman" w:cs="Times New Roman"/>
          <w:sz w:val="24"/>
          <w:szCs w:val="24"/>
          <w:lang w:val="en-US"/>
        </w:rPr>
        <w:t xml:space="preserve">oracles </w:t>
      </w:r>
      <w:r>
        <w:rPr>
          <w:rFonts w:ascii="Times New Roman" w:hAnsi="Times New Roman" w:cs="Times New Roman"/>
          <w:sz w:val="24"/>
          <w:szCs w:val="24"/>
          <w:lang w:val="en-US"/>
        </w:rPr>
        <w:t>of the law. That would be a completely different endeavor,</w:t>
      </w:r>
      <w:r w:rsidR="00C03429">
        <w:rPr>
          <w:rFonts w:ascii="Times New Roman" w:hAnsi="Times New Roman" w:cs="Times New Roman"/>
          <w:sz w:val="24"/>
          <w:szCs w:val="24"/>
          <w:lang w:val="en-US"/>
        </w:rPr>
        <w:t xml:space="preserve"> concerning the intricate relationship between mass media and courtrooms,</w:t>
      </w:r>
      <w:r>
        <w:rPr>
          <w:rFonts w:ascii="Times New Roman" w:hAnsi="Times New Roman" w:cs="Times New Roman"/>
          <w:sz w:val="24"/>
          <w:szCs w:val="24"/>
          <w:lang w:val="en-US"/>
        </w:rPr>
        <w:t xml:space="preserve"> a</w:t>
      </w:r>
      <w:r w:rsidR="00C03429">
        <w:rPr>
          <w:rFonts w:ascii="Times New Roman" w:hAnsi="Times New Roman" w:cs="Times New Roman"/>
          <w:sz w:val="24"/>
          <w:szCs w:val="24"/>
          <w:lang w:val="en-US"/>
        </w:rPr>
        <w:t>nd certainly a</w:t>
      </w:r>
      <w:r>
        <w:rPr>
          <w:rFonts w:ascii="Times New Roman" w:hAnsi="Times New Roman" w:cs="Times New Roman"/>
          <w:sz w:val="24"/>
          <w:szCs w:val="24"/>
          <w:lang w:val="en-US"/>
        </w:rPr>
        <w:t xml:space="preserve"> highly relevant one. </w:t>
      </w:r>
      <w:r w:rsidR="00167125">
        <w:rPr>
          <w:rFonts w:ascii="Times New Roman" w:hAnsi="Times New Roman" w:cs="Times New Roman"/>
          <w:sz w:val="24"/>
          <w:szCs w:val="24"/>
          <w:lang w:val="en-US"/>
        </w:rPr>
        <w:t xml:space="preserve">I strive to ascertain, however, how the </w:t>
      </w:r>
      <w:r w:rsidR="00D06296">
        <w:rPr>
          <w:rFonts w:ascii="Times New Roman" w:hAnsi="Times New Roman" w:cs="Times New Roman"/>
          <w:sz w:val="24"/>
          <w:szCs w:val="24"/>
          <w:lang w:val="en-US"/>
        </w:rPr>
        <w:t xml:space="preserve">godly </w:t>
      </w:r>
      <w:r w:rsidR="00167125">
        <w:rPr>
          <w:rFonts w:ascii="Times New Roman" w:hAnsi="Times New Roman" w:cs="Times New Roman"/>
          <w:sz w:val="24"/>
          <w:szCs w:val="24"/>
          <w:lang w:val="en-US"/>
        </w:rPr>
        <w:t xml:space="preserve">ballrooms of two liberal democracies came </w:t>
      </w:r>
      <w:r w:rsidR="007342FA">
        <w:rPr>
          <w:rFonts w:ascii="Times New Roman" w:hAnsi="Times New Roman" w:cs="Times New Roman"/>
          <w:sz w:val="24"/>
          <w:szCs w:val="24"/>
          <w:lang w:val="en-US"/>
        </w:rPr>
        <w:t>into existence</w:t>
      </w:r>
      <w:r w:rsidR="007C042A">
        <w:rPr>
          <w:rFonts w:ascii="Times New Roman" w:hAnsi="Times New Roman" w:cs="Times New Roman"/>
          <w:sz w:val="24"/>
          <w:szCs w:val="24"/>
          <w:lang w:val="en-US"/>
        </w:rPr>
        <w:t>, that is, how constitutional</w:t>
      </w:r>
      <w:r w:rsidR="002D46CB">
        <w:rPr>
          <w:rFonts w:ascii="Times New Roman" w:hAnsi="Times New Roman" w:cs="Times New Roman"/>
          <w:sz w:val="24"/>
          <w:szCs w:val="24"/>
          <w:lang w:val="en-US"/>
        </w:rPr>
        <w:t xml:space="preserve"> courts assumed the pride of place in liberal democratic thought, becoming</w:t>
      </w:r>
      <w:r w:rsidR="00D423CE">
        <w:rPr>
          <w:rFonts w:ascii="Times New Roman" w:hAnsi="Times New Roman" w:cs="Times New Roman"/>
          <w:sz w:val="24"/>
          <w:szCs w:val="24"/>
          <w:lang w:val="en-US"/>
        </w:rPr>
        <w:t>,</w:t>
      </w:r>
      <w:r w:rsidR="002D46CB">
        <w:rPr>
          <w:rFonts w:ascii="Times New Roman" w:hAnsi="Times New Roman" w:cs="Times New Roman"/>
          <w:sz w:val="24"/>
          <w:szCs w:val="24"/>
          <w:lang w:val="en-US"/>
        </w:rPr>
        <w:t xml:space="preserve"> therefore “creatures of reason.”</w:t>
      </w:r>
    </w:p>
    <w:p w14:paraId="395EAD96" w14:textId="38CD1086" w:rsidR="00B611BC" w:rsidRDefault="00B611BC" w:rsidP="00DB3323">
      <w:pPr>
        <w:spacing w:after="0" w:line="360" w:lineRule="auto"/>
        <w:ind w:firstLine="1134"/>
        <w:jc w:val="both"/>
        <w:rPr>
          <w:rFonts w:ascii="Times New Roman" w:hAnsi="Times New Roman" w:cs="Times New Roman"/>
          <w:sz w:val="24"/>
          <w:szCs w:val="24"/>
          <w:lang w:val="en-US"/>
        </w:rPr>
      </w:pPr>
      <w:r w:rsidRPr="00441AF5">
        <w:rPr>
          <w:rFonts w:ascii="Times New Roman" w:hAnsi="Times New Roman" w:cs="Times New Roman"/>
          <w:sz w:val="24"/>
          <w:szCs w:val="24"/>
          <w:lang w:val="en-US"/>
        </w:rPr>
        <w:t xml:space="preserve">The main purpose of this chapter is to offer an illustration of the kind of phenomena, sources, and </w:t>
      </w:r>
      <w:r w:rsidR="002D46CB">
        <w:rPr>
          <w:rFonts w:ascii="Times New Roman" w:hAnsi="Times New Roman" w:cs="Times New Roman"/>
          <w:sz w:val="24"/>
          <w:szCs w:val="24"/>
          <w:lang w:val="en-US"/>
        </w:rPr>
        <w:t>analysis</w:t>
      </w:r>
      <w:r w:rsidR="002D46CB" w:rsidRPr="00441AF5">
        <w:rPr>
          <w:rFonts w:ascii="Times New Roman" w:hAnsi="Times New Roman" w:cs="Times New Roman"/>
          <w:sz w:val="24"/>
          <w:szCs w:val="24"/>
          <w:lang w:val="en-US"/>
        </w:rPr>
        <w:t xml:space="preserve"> </w:t>
      </w:r>
      <w:r w:rsidRPr="00441AF5">
        <w:rPr>
          <w:rFonts w:ascii="Times New Roman" w:hAnsi="Times New Roman" w:cs="Times New Roman"/>
          <w:sz w:val="24"/>
          <w:szCs w:val="24"/>
          <w:lang w:val="en-US"/>
        </w:rPr>
        <w:t xml:space="preserve">thereof </w:t>
      </w:r>
      <w:r w:rsidR="002D46CB">
        <w:rPr>
          <w:rFonts w:ascii="Times New Roman" w:hAnsi="Times New Roman" w:cs="Times New Roman"/>
          <w:sz w:val="24"/>
          <w:szCs w:val="24"/>
          <w:lang w:val="en-US"/>
        </w:rPr>
        <w:t xml:space="preserve">that will be addressed in </w:t>
      </w:r>
      <w:r w:rsidR="00E154ED">
        <w:rPr>
          <w:rFonts w:ascii="Times New Roman" w:hAnsi="Times New Roman" w:cs="Times New Roman"/>
          <w:sz w:val="24"/>
          <w:szCs w:val="24"/>
          <w:lang w:val="en-US"/>
        </w:rPr>
        <w:t>my</w:t>
      </w:r>
      <w:r w:rsidR="002D46CB">
        <w:rPr>
          <w:rFonts w:ascii="Times New Roman" w:hAnsi="Times New Roman" w:cs="Times New Roman"/>
          <w:sz w:val="24"/>
          <w:szCs w:val="24"/>
          <w:lang w:val="en-US"/>
        </w:rPr>
        <w:t xml:space="preserve"> </w:t>
      </w:r>
      <w:r w:rsidRPr="00441AF5">
        <w:rPr>
          <w:rFonts w:ascii="Times New Roman" w:hAnsi="Times New Roman" w:cs="Times New Roman"/>
          <w:sz w:val="24"/>
          <w:szCs w:val="24"/>
          <w:lang w:val="en-US"/>
        </w:rPr>
        <w:t>thesis.</w:t>
      </w:r>
      <w:r w:rsidR="005245F3" w:rsidRPr="00441AF5">
        <w:rPr>
          <w:rFonts w:ascii="Times New Roman" w:hAnsi="Times New Roman" w:cs="Times New Roman"/>
          <w:sz w:val="24"/>
          <w:szCs w:val="24"/>
          <w:lang w:val="en-US"/>
        </w:rPr>
        <w:t xml:space="preserve"> </w:t>
      </w:r>
      <w:r w:rsidR="007C212A" w:rsidRPr="00441AF5">
        <w:rPr>
          <w:rFonts w:ascii="Times New Roman" w:hAnsi="Times New Roman" w:cs="Times New Roman"/>
          <w:sz w:val="24"/>
          <w:szCs w:val="24"/>
          <w:lang w:val="en-US"/>
        </w:rPr>
        <w:t xml:space="preserve">A </w:t>
      </w:r>
      <w:r w:rsidR="00D423CE" w:rsidRPr="00441AF5">
        <w:rPr>
          <w:rFonts w:ascii="Times New Roman" w:hAnsi="Times New Roman" w:cs="Times New Roman"/>
          <w:sz w:val="24"/>
          <w:szCs w:val="24"/>
          <w:lang w:val="en-US"/>
        </w:rPr>
        <w:t xml:space="preserve">thorough </w:t>
      </w:r>
      <w:r w:rsidR="0007079D" w:rsidRPr="00441AF5">
        <w:rPr>
          <w:rFonts w:ascii="Times New Roman" w:hAnsi="Times New Roman" w:cs="Times New Roman"/>
          <w:sz w:val="24"/>
          <w:szCs w:val="24"/>
          <w:lang w:val="en-US"/>
        </w:rPr>
        <w:t xml:space="preserve">presentation of my conceptual tools will </w:t>
      </w:r>
      <w:r w:rsidR="0014208F" w:rsidRPr="00441AF5">
        <w:rPr>
          <w:rFonts w:ascii="Times New Roman" w:hAnsi="Times New Roman" w:cs="Times New Roman"/>
          <w:sz w:val="24"/>
          <w:szCs w:val="24"/>
          <w:lang w:val="en-US"/>
        </w:rPr>
        <w:t>continue for the remaining of</w:t>
      </w:r>
      <w:r w:rsidR="00050664">
        <w:rPr>
          <w:rFonts w:ascii="Times New Roman" w:hAnsi="Times New Roman" w:cs="Times New Roman"/>
          <w:sz w:val="24"/>
          <w:szCs w:val="24"/>
          <w:lang w:val="en-US"/>
        </w:rPr>
        <w:t xml:space="preserve"> this thesis’</w:t>
      </w:r>
      <w:r w:rsidR="0014208F" w:rsidRPr="00441AF5">
        <w:rPr>
          <w:rFonts w:ascii="Times New Roman" w:hAnsi="Times New Roman" w:cs="Times New Roman"/>
          <w:sz w:val="24"/>
          <w:szCs w:val="24"/>
          <w:lang w:val="en-US"/>
        </w:rPr>
        <w:t xml:space="preserve"> part one</w:t>
      </w:r>
      <w:r w:rsidRPr="00441AF5">
        <w:rPr>
          <w:rFonts w:ascii="Times New Roman" w:hAnsi="Times New Roman" w:cs="Times New Roman"/>
          <w:sz w:val="24"/>
          <w:szCs w:val="24"/>
          <w:lang w:val="en-US"/>
        </w:rPr>
        <w:t xml:space="preserve">. In the meanwhile, the theoretical armature will remain </w:t>
      </w:r>
      <w:r w:rsidR="00050664">
        <w:rPr>
          <w:rFonts w:ascii="Times New Roman" w:hAnsi="Times New Roman" w:cs="Times New Roman"/>
          <w:sz w:val="24"/>
          <w:szCs w:val="24"/>
          <w:lang w:val="en-US"/>
        </w:rPr>
        <w:t>in</w:t>
      </w:r>
      <w:r w:rsidRPr="00441AF5">
        <w:rPr>
          <w:rFonts w:ascii="Times New Roman" w:hAnsi="Times New Roman" w:cs="Times New Roman"/>
          <w:sz w:val="24"/>
          <w:szCs w:val="24"/>
          <w:lang w:val="en-US"/>
        </w:rPr>
        <w:t xml:space="preserve"> the background, informing the selection of sources, their intertwining, their interpretation, and the main conclusions I </w:t>
      </w:r>
      <w:r w:rsidR="009C70DD">
        <w:rPr>
          <w:rFonts w:ascii="Times New Roman" w:hAnsi="Times New Roman" w:cs="Times New Roman"/>
          <w:sz w:val="24"/>
          <w:szCs w:val="24"/>
          <w:lang w:val="en-US"/>
        </w:rPr>
        <w:t>draw from them</w:t>
      </w:r>
      <w:r w:rsidRPr="00441AF5">
        <w:rPr>
          <w:rFonts w:ascii="Times New Roman" w:hAnsi="Times New Roman" w:cs="Times New Roman"/>
          <w:sz w:val="24"/>
          <w:szCs w:val="24"/>
          <w:lang w:val="en-US"/>
        </w:rPr>
        <w:t>.</w:t>
      </w:r>
    </w:p>
    <w:p w14:paraId="569B7728" w14:textId="16B017EA" w:rsidR="004733CC" w:rsidRPr="00441AF5" w:rsidRDefault="004733CC" w:rsidP="006A6405">
      <w:pPr>
        <w:spacing w:after="0" w:line="360" w:lineRule="auto"/>
        <w:ind w:firstLine="113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What I propose for the remainder, therefore, is to use the conceptual equipment herein suggested in reference to three constellations of phenomena related to the articulation of constitutional adjudication as a space of communication across the two </w:t>
      </w:r>
      <w:r w:rsidR="00E24D2D">
        <w:rPr>
          <w:rFonts w:ascii="Times New Roman" w:hAnsi="Times New Roman" w:cs="Times New Roman"/>
          <w:sz w:val="24"/>
          <w:szCs w:val="24"/>
          <w:lang w:val="en-US"/>
        </w:rPr>
        <w:t>“</w:t>
      </w:r>
      <w:r>
        <w:rPr>
          <w:rFonts w:ascii="Times New Roman" w:hAnsi="Times New Roman" w:cs="Times New Roman"/>
          <w:sz w:val="24"/>
          <w:szCs w:val="24"/>
          <w:lang w:val="en-US"/>
        </w:rPr>
        <w:t>law-worlds</w:t>
      </w:r>
      <w:r w:rsidR="00E24D2D">
        <w:rPr>
          <w:rFonts w:ascii="Times New Roman" w:hAnsi="Times New Roman" w:cs="Times New Roman"/>
          <w:sz w:val="24"/>
          <w:szCs w:val="24"/>
          <w:lang w:val="en-US"/>
        </w:rPr>
        <w:t>”</w:t>
      </w:r>
      <w:r w:rsidR="00E24D2D">
        <w:rPr>
          <w:rStyle w:val="FootnoteReference"/>
          <w:rFonts w:ascii="Times New Roman" w:hAnsi="Times New Roman" w:cs="Times New Roman"/>
          <w:sz w:val="24"/>
          <w:szCs w:val="24"/>
          <w:lang w:val="en-US"/>
        </w:rPr>
        <w:footnoteReference w:id="19"/>
      </w:r>
      <w:r>
        <w:rPr>
          <w:rFonts w:ascii="Times New Roman" w:hAnsi="Times New Roman" w:cs="Times New Roman"/>
          <w:sz w:val="24"/>
          <w:szCs w:val="24"/>
          <w:lang w:val="en-US"/>
        </w:rPr>
        <w:t xml:space="preserve"> I already signed out. The idea is to first show what my theoretical armature allows me to do, before turning to its slow and detailed construction.  I also wish to give the reader a chance to habituate to the kind of phenomena it underscores. And that ahead of facing the technical wiring of Hans </w:t>
      </w:r>
      <w:proofErr w:type="spellStart"/>
      <w:r>
        <w:rPr>
          <w:rFonts w:ascii="Times New Roman" w:hAnsi="Times New Roman" w:cs="Times New Roman"/>
          <w:sz w:val="24"/>
          <w:szCs w:val="24"/>
          <w:lang w:val="en-US"/>
        </w:rPr>
        <w:t>Blumenberg</w:t>
      </w:r>
      <w:proofErr w:type="spellEnd"/>
      <w:r>
        <w:rPr>
          <w:rFonts w:ascii="Times New Roman" w:hAnsi="Times New Roman" w:cs="Times New Roman"/>
          <w:sz w:val="24"/>
          <w:szCs w:val="24"/>
          <w:lang w:val="en-US"/>
        </w:rPr>
        <w:t xml:space="preserve"> and </w:t>
      </w:r>
      <w:proofErr w:type="spellStart"/>
      <w:r>
        <w:rPr>
          <w:rFonts w:ascii="Times New Roman" w:hAnsi="Times New Roman" w:cs="Times New Roman"/>
          <w:sz w:val="24"/>
          <w:szCs w:val="24"/>
          <w:lang w:val="en-US"/>
        </w:rPr>
        <w:t>Niklas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Luhmann</w:t>
      </w:r>
      <w:proofErr w:type="spellEnd"/>
      <w:r>
        <w:rPr>
          <w:rFonts w:ascii="Times New Roman" w:hAnsi="Times New Roman" w:cs="Times New Roman"/>
          <w:sz w:val="24"/>
          <w:szCs w:val="24"/>
          <w:lang w:val="en-US"/>
        </w:rPr>
        <w:t>, on the one hand, and the framing of constitutional adjudication as a space of communication, and constitutional deliberation as a ceremonial procedure, on the other.</w:t>
      </w:r>
    </w:p>
    <w:p w14:paraId="5BF515F4" w14:textId="19398A06" w:rsidR="00560FB8" w:rsidRDefault="00B611BC" w:rsidP="006A6405">
      <w:pPr>
        <w:spacing w:after="0" w:line="360" w:lineRule="auto"/>
        <w:ind w:firstLine="1134"/>
        <w:jc w:val="both"/>
        <w:rPr>
          <w:rFonts w:ascii="Times New Roman" w:hAnsi="Times New Roman" w:cs="Times New Roman"/>
          <w:sz w:val="24"/>
          <w:szCs w:val="24"/>
          <w:lang w:val="en-US"/>
        </w:rPr>
      </w:pPr>
      <w:r w:rsidRPr="00441AF5">
        <w:rPr>
          <w:rFonts w:ascii="Times New Roman" w:hAnsi="Times New Roman" w:cs="Times New Roman"/>
          <w:sz w:val="24"/>
          <w:szCs w:val="24"/>
          <w:lang w:val="en-US"/>
        </w:rPr>
        <w:lastRenderedPageBreak/>
        <w:t>This happens in three parts</w:t>
      </w:r>
      <w:r w:rsidR="000B7EFA">
        <w:rPr>
          <w:rFonts w:ascii="Times New Roman" w:hAnsi="Times New Roman" w:cs="Times New Roman"/>
          <w:sz w:val="24"/>
          <w:szCs w:val="24"/>
          <w:lang w:val="en-US"/>
        </w:rPr>
        <w:t>: (1)</w:t>
      </w:r>
      <w:r w:rsidR="001A0241" w:rsidRPr="00441AF5">
        <w:rPr>
          <w:rFonts w:ascii="Times New Roman" w:hAnsi="Times New Roman" w:cs="Times New Roman"/>
          <w:sz w:val="24"/>
          <w:szCs w:val="24"/>
          <w:lang w:val="en-US"/>
        </w:rPr>
        <w:t xml:space="preserve"> </w:t>
      </w:r>
      <w:r w:rsidR="000B7EFA">
        <w:rPr>
          <w:rFonts w:ascii="Times New Roman" w:hAnsi="Times New Roman" w:cs="Times New Roman"/>
          <w:sz w:val="24"/>
          <w:szCs w:val="24"/>
          <w:lang w:val="en-US"/>
        </w:rPr>
        <w:t>I</w:t>
      </w:r>
      <w:r w:rsidR="001F2957" w:rsidRPr="00441AF5">
        <w:rPr>
          <w:rFonts w:ascii="Times New Roman" w:hAnsi="Times New Roman" w:cs="Times New Roman"/>
          <w:sz w:val="24"/>
          <w:szCs w:val="24"/>
          <w:lang w:val="en-US"/>
        </w:rPr>
        <w:t xml:space="preserve"> </w:t>
      </w:r>
      <w:r w:rsidR="001A0241" w:rsidRPr="00441AF5">
        <w:rPr>
          <w:rFonts w:ascii="Times New Roman" w:hAnsi="Times New Roman" w:cs="Times New Roman"/>
          <w:sz w:val="24"/>
          <w:szCs w:val="24"/>
          <w:lang w:val="en-US"/>
        </w:rPr>
        <w:t xml:space="preserve">will </w:t>
      </w:r>
      <w:r w:rsidR="001F2957" w:rsidRPr="00441AF5">
        <w:rPr>
          <w:rFonts w:ascii="Times New Roman" w:hAnsi="Times New Roman" w:cs="Times New Roman"/>
          <w:sz w:val="24"/>
          <w:szCs w:val="24"/>
          <w:lang w:val="en-US"/>
        </w:rPr>
        <w:t>engage with court architecture</w:t>
      </w:r>
      <w:r w:rsidR="000B7EFA">
        <w:rPr>
          <w:rFonts w:ascii="Times New Roman" w:hAnsi="Times New Roman" w:cs="Times New Roman"/>
          <w:sz w:val="24"/>
          <w:szCs w:val="24"/>
          <w:lang w:val="en-US"/>
        </w:rPr>
        <w:t xml:space="preserve">, understood as a testimony to </w:t>
      </w:r>
      <w:r w:rsidR="00364AD9">
        <w:rPr>
          <w:rFonts w:ascii="Times New Roman" w:hAnsi="Times New Roman" w:cs="Times New Roman"/>
          <w:sz w:val="24"/>
          <w:szCs w:val="24"/>
          <w:lang w:val="en-US"/>
        </w:rPr>
        <w:t>each</w:t>
      </w:r>
      <w:r w:rsidR="000B7EFA">
        <w:rPr>
          <w:rFonts w:ascii="Times New Roman" w:hAnsi="Times New Roman" w:cs="Times New Roman"/>
          <w:sz w:val="24"/>
          <w:szCs w:val="24"/>
          <w:lang w:val="en-US"/>
        </w:rPr>
        <w:t xml:space="preserve"> institution’s articulation for self-</w:t>
      </w:r>
      <w:r w:rsidR="00364AD9">
        <w:rPr>
          <w:rFonts w:ascii="Times New Roman" w:hAnsi="Times New Roman" w:cs="Times New Roman"/>
          <w:sz w:val="24"/>
          <w:szCs w:val="24"/>
          <w:lang w:val="en-US"/>
        </w:rPr>
        <w:t>justification</w:t>
      </w:r>
      <w:r w:rsidR="000B7EFA">
        <w:rPr>
          <w:rFonts w:ascii="Times New Roman" w:hAnsi="Times New Roman" w:cs="Times New Roman"/>
          <w:sz w:val="24"/>
          <w:szCs w:val="24"/>
          <w:lang w:val="en-US"/>
        </w:rPr>
        <w:t xml:space="preserve"> and self-empowerment; (2)</w:t>
      </w:r>
      <w:r w:rsidR="001F2957" w:rsidRPr="00441AF5">
        <w:rPr>
          <w:rFonts w:ascii="Times New Roman" w:hAnsi="Times New Roman" w:cs="Times New Roman"/>
          <w:sz w:val="24"/>
          <w:szCs w:val="24"/>
          <w:lang w:val="en-US"/>
        </w:rPr>
        <w:t xml:space="preserve"> the</w:t>
      </w:r>
      <w:r w:rsidR="0014208F" w:rsidRPr="00441AF5">
        <w:rPr>
          <w:rFonts w:ascii="Times New Roman" w:hAnsi="Times New Roman" w:cs="Times New Roman"/>
          <w:sz w:val="24"/>
          <w:szCs w:val="24"/>
          <w:lang w:val="en-US"/>
        </w:rPr>
        <w:t xml:space="preserve"> semantic</w:t>
      </w:r>
      <w:r w:rsidR="001F2957" w:rsidRPr="00441AF5">
        <w:rPr>
          <w:rFonts w:ascii="Times New Roman" w:hAnsi="Times New Roman" w:cs="Times New Roman"/>
          <w:sz w:val="24"/>
          <w:szCs w:val="24"/>
          <w:lang w:val="en-US"/>
        </w:rPr>
        <w:t xml:space="preserve"> </w:t>
      </w:r>
      <w:r w:rsidR="0014208F" w:rsidRPr="00441AF5">
        <w:rPr>
          <w:rFonts w:ascii="Times New Roman" w:hAnsi="Times New Roman" w:cs="Times New Roman"/>
          <w:sz w:val="24"/>
          <w:szCs w:val="24"/>
          <w:lang w:val="en-US"/>
        </w:rPr>
        <w:t>consecration</w:t>
      </w:r>
      <w:r w:rsidR="001F2957" w:rsidRPr="00441AF5">
        <w:rPr>
          <w:rFonts w:ascii="Times New Roman" w:hAnsi="Times New Roman" w:cs="Times New Roman"/>
          <w:sz w:val="24"/>
          <w:szCs w:val="24"/>
          <w:lang w:val="en-US"/>
        </w:rPr>
        <w:t xml:space="preserve"> of constitutional adjudication vis-à-vis politics</w:t>
      </w:r>
      <w:r w:rsidR="000B7EFA">
        <w:rPr>
          <w:rFonts w:ascii="Times New Roman" w:hAnsi="Times New Roman" w:cs="Times New Roman"/>
          <w:sz w:val="24"/>
          <w:szCs w:val="24"/>
          <w:lang w:val="en-US"/>
        </w:rPr>
        <w:t>, as it took place in the struggles over what was implied by the i</w:t>
      </w:r>
      <w:r w:rsidR="00D423CE">
        <w:rPr>
          <w:rFonts w:ascii="Times New Roman" w:hAnsi="Times New Roman" w:cs="Times New Roman"/>
          <w:sz w:val="24"/>
          <w:szCs w:val="24"/>
          <w:lang w:val="en-US"/>
        </w:rPr>
        <w:t>n</w:t>
      </w:r>
      <w:r w:rsidR="000B7EFA">
        <w:rPr>
          <w:rFonts w:ascii="Times New Roman" w:hAnsi="Times New Roman" w:cs="Times New Roman"/>
          <w:sz w:val="24"/>
          <w:szCs w:val="24"/>
          <w:lang w:val="en-US"/>
        </w:rPr>
        <w:t xml:space="preserve">novations pushed forward in the contexts of </w:t>
      </w:r>
      <w:r w:rsidR="000B7EFA" w:rsidRPr="004F1CE6">
        <w:rPr>
          <w:rFonts w:ascii="Times New Roman" w:hAnsi="Times New Roman" w:cs="Times New Roman"/>
          <w:i/>
          <w:sz w:val="24"/>
          <w:szCs w:val="24"/>
          <w:lang w:val="en-US"/>
        </w:rPr>
        <w:t>Marbury v. Madison</w:t>
      </w:r>
      <w:r w:rsidR="000B7EFA">
        <w:rPr>
          <w:rFonts w:ascii="Times New Roman" w:hAnsi="Times New Roman" w:cs="Times New Roman"/>
          <w:sz w:val="24"/>
          <w:szCs w:val="24"/>
          <w:lang w:val="en-US"/>
        </w:rPr>
        <w:t>,</w:t>
      </w:r>
      <w:r w:rsidR="00D15F47">
        <w:rPr>
          <w:rFonts w:ascii="Times New Roman" w:hAnsi="Times New Roman" w:cs="Times New Roman"/>
          <w:sz w:val="24"/>
          <w:szCs w:val="24"/>
          <w:lang w:val="en-US"/>
        </w:rPr>
        <w:t xml:space="preserve"> especially in the writings of former US Supreme Court Justice Joseph Story,</w:t>
      </w:r>
      <w:r w:rsidR="000B7EFA">
        <w:rPr>
          <w:rFonts w:ascii="Times New Roman" w:hAnsi="Times New Roman" w:cs="Times New Roman"/>
          <w:sz w:val="24"/>
          <w:szCs w:val="24"/>
          <w:lang w:val="en-US"/>
        </w:rPr>
        <w:t xml:space="preserve"> on the one hand, and of the German Constitutional Court’s </w:t>
      </w:r>
      <w:r w:rsidR="000B7EFA" w:rsidRPr="004F1CE6">
        <w:rPr>
          <w:rFonts w:ascii="Times New Roman" w:hAnsi="Times New Roman" w:cs="Times New Roman"/>
          <w:i/>
          <w:sz w:val="24"/>
          <w:szCs w:val="24"/>
          <w:lang w:val="en-US"/>
        </w:rPr>
        <w:t>Status-</w:t>
      </w:r>
      <w:proofErr w:type="spellStart"/>
      <w:r w:rsidR="000B7EFA" w:rsidRPr="004F1CE6">
        <w:rPr>
          <w:rFonts w:ascii="Times New Roman" w:hAnsi="Times New Roman" w:cs="Times New Roman"/>
          <w:i/>
          <w:sz w:val="24"/>
          <w:szCs w:val="24"/>
          <w:lang w:val="en-US"/>
        </w:rPr>
        <w:t>Denkschrift</w:t>
      </w:r>
      <w:proofErr w:type="spellEnd"/>
      <w:r w:rsidR="000B7EFA">
        <w:rPr>
          <w:rFonts w:ascii="Times New Roman" w:hAnsi="Times New Roman" w:cs="Times New Roman"/>
          <w:sz w:val="24"/>
          <w:szCs w:val="24"/>
          <w:lang w:val="en-US"/>
        </w:rPr>
        <w:t>,</w:t>
      </w:r>
      <w:r w:rsidR="00D15F47">
        <w:rPr>
          <w:rFonts w:ascii="Times New Roman" w:hAnsi="Times New Roman" w:cs="Times New Roman"/>
          <w:sz w:val="24"/>
          <w:szCs w:val="24"/>
          <w:lang w:val="en-US"/>
        </w:rPr>
        <w:t xml:space="preserve"> again with particular reference to the work of former constitutional judge Gerhard </w:t>
      </w:r>
      <w:proofErr w:type="spellStart"/>
      <w:r w:rsidR="00D15F47">
        <w:rPr>
          <w:rFonts w:ascii="Times New Roman" w:hAnsi="Times New Roman" w:cs="Times New Roman"/>
          <w:sz w:val="24"/>
          <w:szCs w:val="24"/>
          <w:lang w:val="en-US"/>
        </w:rPr>
        <w:t>Leibholz</w:t>
      </w:r>
      <w:proofErr w:type="spellEnd"/>
      <w:r w:rsidR="00D15F47">
        <w:rPr>
          <w:rFonts w:ascii="Times New Roman" w:hAnsi="Times New Roman" w:cs="Times New Roman"/>
          <w:sz w:val="24"/>
          <w:szCs w:val="24"/>
          <w:lang w:val="en-US"/>
        </w:rPr>
        <w:t>,</w:t>
      </w:r>
      <w:r w:rsidR="000B7EFA">
        <w:rPr>
          <w:rFonts w:ascii="Times New Roman" w:hAnsi="Times New Roman" w:cs="Times New Roman"/>
          <w:sz w:val="24"/>
          <w:szCs w:val="24"/>
          <w:lang w:val="en-US"/>
        </w:rPr>
        <w:t xml:space="preserve"> on the other; (3)</w:t>
      </w:r>
      <w:r w:rsidR="001F2957" w:rsidRPr="00441AF5">
        <w:rPr>
          <w:rFonts w:ascii="Times New Roman" w:hAnsi="Times New Roman" w:cs="Times New Roman"/>
          <w:sz w:val="24"/>
          <w:szCs w:val="24"/>
          <w:lang w:val="en-US"/>
        </w:rPr>
        <w:t xml:space="preserve"> and legal-methodological debates on the relationship between the Christian Bible and constitutional provisions</w:t>
      </w:r>
      <w:r w:rsidR="00364AD9">
        <w:rPr>
          <w:rFonts w:ascii="Times New Roman" w:hAnsi="Times New Roman" w:cs="Times New Roman"/>
          <w:sz w:val="24"/>
          <w:szCs w:val="24"/>
          <w:lang w:val="en-US"/>
        </w:rPr>
        <w:t xml:space="preserve"> that run in parallel and connection to these two landmark events</w:t>
      </w:r>
      <w:r w:rsidR="00D15F47">
        <w:rPr>
          <w:rFonts w:ascii="Times New Roman" w:hAnsi="Times New Roman" w:cs="Times New Roman"/>
          <w:sz w:val="24"/>
          <w:szCs w:val="24"/>
          <w:lang w:val="en-US"/>
        </w:rPr>
        <w:t xml:space="preserve">, regarding which I highlight the controversy between Story and Thomas Jefferson on the maxim “Christianity is part of the common law,” and the disputes on the “super-positive” character of the fundamental rights of the </w:t>
      </w:r>
      <w:proofErr w:type="spellStart"/>
      <w:r w:rsidR="00D15F47" w:rsidRPr="00D15F47">
        <w:rPr>
          <w:rFonts w:ascii="Times New Roman" w:hAnsi="Times New Roman" w:cs="Times New Roman"/>
          <w:i/>
          <w:iCs/>
          <w:sz w:val="24"/>
          <w:szCs w:val="24"/>
          <w:lang w:val="en-US"/>
        </w:rPr>
        <w:t>Grundgesetz</w:t>
      </w:r>
      <w:proofErr w:type="spellEnd"/>
      <w:r w:rsidR="00D15F47">
        <w:rPr>
          <w:rFonts w:ascii="Times New Roman" w:hAnsi="Times New Roman" w:cs="Times New Roman"/>
          <w:sz w:val="24"/>
          <w:szCs w:val="24"/>
          <w:lang w:val="en-US"/>
        </w:rPr>
        <w:t xml:space="preserve"> (with reference to the work of authors such as </w:t>
      </w:r>
      <w:proofErr w:type="spellStart"/>
      <w:r w:rsidR="00D15F47">
        <w:rPr>
          <w:rFonts w:ascii="Times New Roman" w:hAnsi="Times New Roman" w:cs="Times New Roman"/>
          <w:sz w:val="24"/>
          <w:szCs w:val="24"/>
          <w:lang w:val="en-US"/>
        </w:rPr>
        <w:t>Leibholz</w:t>
      </w:r>
      <w:proofErr w:type="spellEnd"/>
      <w:r w:rsidR="00D15F47">
        <w:rPr>
          <w:rFonts w:ascii="Times New Roman" w:hAnsi="Times New Roman" w:cs="Times New Roman"/>
          <w:sz w:val="24"/>
          <w:szCs w:val="24"/>
          <w:lang w:val="en-US"/>
        </w:rPr>
        <w:t xml:space="preserve">, </w:t>
      </w:r>
      <w:proofErr w:type="spellStart"/>
      <w:r w:rsidR="00FC667A">
        <w:rPr>
          <w:rFonts w:ascii="Times New Roman" w:hAnsi="Times New Roman" w:cs="Times New Roman"/>
          <w:sz w:val="24"/>
          <w:szCs w:val="24"/>
          <w:lang w:val="en-US"/>
        </w:rPr>
        <w:t>Maunz</w:t>
      </w:r>
      <w:proofErr w:type="spellEnd"/>
      <w:r w:rsidR="00FC667A">
        <w:rPr>
          <w:rFonts w:ascii="Times New Roman" w:hAnsi="Times New Roman" w:cs="Times New Roman"/>
          <w:sz w:val="24"/>
          <w:szCs w:val="24"/>
          <w:lang w:val="en-US"/>
        </w:rPr>
        <w:t xml:space="preserve">, </w:t>
      </w:r>
      <w:proofErr w:type="spellStart"/>
      <w:r w:rsidR="00FC667A" w:rsidRPr="00FC667A">
        <w:rPr>
          <w:rFonts w:ascii="Times New Roman" w:hAnsi="Times New Roman" w:cs="Times New Roman"/>
          <w:sz w:val="24"/>
          <w:szCs w:val="24"/>
          <w:lang w:val="en-US"/>
        </w:rPr>
        <w:t>Schneuer</w:t>
      </w:r>
      <w:proofErr w:type="spellEnd"/>
      <w:r w:rsidR="00FC667A">
        <w:rPr>
          <w:rFonts w:ascii="Times New Roman" w:hAnsi="Times New Roman" w:cs="Times New Roman"/>
          <w:sz w:val="24"/>
          <w:szCs w:val="24"/>
          <w:lang w:val="en-US"/>
        </w:rPr>
        <w:t xml:space="preserve">, </w:t>
      </w:r>
      <w:proofErr w:type="spellStart"/>
      <w:r w:rsidR="00FC667A">
        <w:rPr>
          <w:rFonts w:ascii="Times New Roman" w:hAnsi="Times New Roman" w:cs="Times New Roman"/>
          <w:sz w:val="24"/>
          <w:szCs w:val="24"/>
          <w:lang w:val="en-US"/>
        </w:rPr>
        <w:t>Appelt</w:t>
      </w:r>
      <w:proofErr w:type="spellEnd"/>
      <w:r w:rsidR="00FC667A">
        <w:rPr>
          <w:rFonts w:ascii="Times New Roman" w:hAnsi="Times New Roman" w:cs="Times New Roman"/>
          <w:sz w:val="24"/>
          <w:szCs w:val="24"/>
          <w:lang w:val="en-US"/>
        </w:rPr>
        <w:t xml:space="preserve"> and others)</w:t>
      </w:r>
      <w:r w:rsidR="001F2957" w:rsidRPr="00441AF5">
        <w:rPr>
          <w:rFonts w:ascii="Times New Roman" w:hAnsi="Times New Roman" w:cs="Times New Roman"/>
          <w:sz w:val="24"/>
          <w:szCs w:val="24"/>
          <w:lang w:val="en-US"/>
        </w:rPr>
        <w:t xml:space="preserve">. I will strive to show how different actors engaged with the establishment of the US Supreme Court and the </w:t>
      </w:r>
      <w:proofErr w:type="spellStart"/>
      <w:r w:rsidR="001F2957" w:rsidRPr="00441AF5">
        <w:rPr>
          <w:rFonts w:ascii="Times New Roman" w:hAnsi="Times New Roman" w:cs="Times New Roman"/>
          <w:i/>
          <w:iCs/>
          <w:sz w:val="24"/>
          <w:szCs w:val="24"/>
          <w:lang w:val="en-US"/>
        </w:rPr>
        <w:t>Bundesverfassungsgericht</w:t>
      </w:r>
      <w:proofErr w:type="spellEnd"/>
      <w:r w:rsidR="001F2957" w:rsidRPr="00441AF5">
        <w:rPr>
          <w:rFonts w:ascii="Times New Roman" w:hAnsi="Times New Roman" w:cs="Times New Roman"/>
          <w:sz w:val="24"/>
          <w:szCs w:val="24"/>
          <w:lang w:val="en-US"/>
        </w:rPr>
        <w:t xml:space="preserve"> proceeded to rhetorically instrumentalize religious </w:t>
      </w:r>
      <w:r w:rsidR="003561BA" w:rsidRPr="00441AF5">
        <w:rPr>
          <w:rFonts w:ascii="Times New Roman" w:hAnsi="Times New Roman" w:cs="Times New Roman"/>
          <w:sz w:val="24"/>
          <w:szCs w:val="24"/>
          <w:lang w:val="en-US"/>
        </w:rPr>
        <w:t xml:space="preserve">(or religiously tainted) </w:t>
      </w:r>
      <w:r w:rsidR="001F2957" w:rsidRPr="00441AF5">
        <w:rPr>
          <w:rFonts w:ascii="Times New Roman" w:hAnsi="Times New Roman" w:cs="Times New Roman"/>
          <w:sz w:val="24"/>
          <w:szCs w:val="24"/>
          <w:lang w:val="en-US"/>
        </w:rPr>
        <w:t>semantics and media</w:t>
      </w:r>
      <w:r w:rsidR="003561BA" w:rsidRPr="00441AF5">
        <w:rPr>
          <w:rFonts w:ascii="Times New Roman" w:hAnsi="Times New Roman" w:cs="Times New Roman"/>
          <w:sz w:val="24"/>
          <w:szCs w:val="24"/>
          <w:lang w:val="en-US"/>
        </w:rPr>
        <w:t>,</w:t>
      </w:r>
      <w:r w:rsidR="001F2957" w:rsidRPr="00441AF5">
        <w:rPr>
          <w:rFonts w:ascii="Times New Roman" w:hAnsi="Times New Roman" w:cs="Times New Roman"/>
          <w:sz w:val="24"/>
          <w:szCs w:val="24"/>
          <w:lang w:val="en-US"/>
        </w:rPr>
        <w:t xml:space="preserve"> </w:t>
      </w:r>
      <w:r w:rsidR="003561BA" w:rsidRPr="00441AF5">
        <w:rPr>
          <w:rFonts w:ascii="Times New Roman" w:hAnsi="Times New Roman" w:cs="Times New Roman"/>
          <w:sz w:val="24"/>
          <w:szCs w:val="24"/>
          <w:lang w:val="en-US"/>
        </w:rPr>
        <w:t xml:space="preserve">thereby endorsing but also </w:t>
      </w:r>
      <w:r w:rsidR="001F2957" w:rsidRPr="00441AF5">
        <w:rPr>
          <w:rFonts w:ascii="Times New Roman" w:hAnsi="Times New Roman" w:cs="Times New Roman"/>
          <w:sz w:val="24"/>
          <w:szCs w:val="24"/>
          <w:lang w:val="en-US"/>
        </w:rPr>
        <w:t xml:space="preserve">qualifying Frankenberg’s striking </w:t>
      </w:r>
      <w:r w:rsidR="003561BA" w:rsidRPr="00441AF5">
        <w:rPr>
          <w:rFonts w:ascii="Times New Roman" w:hAnsi="Times New Roman" w:cs="Times New Roman"/>
          <w:sz w:val="24"/>
          <w:szCs w:val="24"/>
          <w:lang w:val="en-US"/>
        </w:rPr>
        <w:t xml:space="preserve">observation that </w:t>
      </w:r>
      <w:r w:rsidR="001F2957" w:rsidRPr="00441AF5">
        <w:rPr>
          <w:rFonts w:ascii="Times New Roman" w:hAnsi="Times New Roman" w:cs="Times New Roman"/>
          <w:sz w:val="24"/>
          <w:szCs w:val="24"/>
          <w:lang w:val="en-US"/>
        </w:rPr>
        <w:t>“constitutionalism” came to reoccupy the position of “religion” regarding political legitimacy.</w:t>
      </w:r>
      <w:r w:rsidR="001F2957" w:rsidRPr="00441AF5">
        <w:rPr>
          <w:rStyle w:val="FootnoteReference"/>
          <w:rFonts w:ascii="Times New Roman" w:hAnsi="Times New Roman" w:cs="Times New Roman"/>
          <w:sz w:val="24"/>
          <w:szCs w:val="24"/>
          <w:lang w:val="en-US"/>
        </w:rPr>
        <w:footnoteReference w:id="20"/>
      </w:r>
      <w:r w:rsidR="001F2957" w:rsidRPr="00441AF5">
        <w:rPr>
          <w:rFonts w:ascii="Times New Roman" w:hAnsi="Times New Roman" w:cs="Times New Roman"/>
          <w:sz w:val="24"/>
          <w:szCs w:val="24"/>
          <w:lang w:val="en-US"/>
        </w:rPr>
        <w:t xml:space="preserve">  </w:t>
      </w:r>
    </w:p>
    <w:p w14:paraId="4F70BA28" w14:textId="32A2704A" w:rsidR="0038646F" w:rsidRDefault="0038646F" w:rsidP="006A6405">
      <w:pPr>
        <w:spacing w:after="0" w:line="360" w:lineRule="auto"/>
        <w:ind w:firstLine="1134"/>
        <w:jc w:val="both"/>
        <w:rPr>
          <w:rFonts w:ascii="Times New Roman" w:hAnsi="Times New Roman" w:cs="Times New Roman"/>
          <w:sz w:val="24"/>
          <w:szCs w:val="24"/>
          <w:lang w:val="en-US"/>
        </w:rPr>
      </w:pPr>
    </w:p>
    <w:p w14:paraId="1CBAA5F8" w14:textId="0AAB9E9F" w:rsidR="0038646F" w:rsidRPr="00694910" w:rsidRDefault="0038646F" w:rsidP="00694910">
      <w:pPr>
        <w:pStyle w:val="Heading1"/>
        <w:jc w:val="both"/>
        <w:rPr>
          <w:rFonts w:ascii="Times New Roman" w:hAnsi="Times New Roman" w:cs="Times New Roman"/>
          <w:color w:val="auto"/>
          <w:sz w:val="24"/>
          <w:szCs w:val="24"/>
          <w:lang w:val="en-US"/>
        </w:rPr>
      </w:pPr>
      <w:bookmarkStart w:id="3" w:name="_Toc120993772"/>
      <w:r w:rsidRPr="00694910">
        <w:rPr>
          <w:rFonts w:ascii="Times New Roman" w:hAnsi="Times New Roman" w:cs="Times New Roman"/>
          <w:color w:val="auto"/>
          <w:sz w:val="24"/>
          <w:szCs w:val="24"/>
          <w:lang w:val="en-US"/>
        </w:rPr>
        <w:t xml:space="preserve">1. About saints and subcutaneous influences: </w:t>
      </w:r>
      <w:r w:rsidR="002D456D">
        <w:rPr>
          <w:rFonts w:ascii="Times New Roman" w:hAnsi="Times New Roman" w:cs="Times New Roman"/>
          <w:color w:val="auto"/>
          <w:sz w:val="24"/>
          <w:szCs w:val="24"/>
          <w:lang w:val="en-US"/>
        </w:rPr>
        <w:t xml:space="preserve">confessional ages, confessional peaks, and the </w:t>
      </w:r>
      <w:r w:rsidRPr="00694910">
        <w:rPr>
          <w:rFonts w:ascii="Times New Roman" w:hAnsi="Times New Roman" w:cs="Times New Roman"/>
          <w:color w:val="auto"/>
          <w:sz w:val="24"/>
          <w:szCs w:val="24"/>
          <w:lang w:val="en-US"/>
        </w:rPr>
        <w:t>historiographical literature on the relationship between constitutional adjudication and religion in the United States of America and Germany</w:t>
      </w:r>
      <w:bookmarkEnd w:id="3"/>
    </w:p>
    <w:p w14:paraId="32E965AE" w14:textId="3EEEA146" w:rsidR="0038646F" w:rsidRDefault="0038646F" w:rsidP="0038646F">
      <w:pPr>
        <w:spacing w:after="0" w:line="360" w:lineRule="auto"/>
        <w:jc w:val="both"/>
        <w:rPr>
          <w:rFonts w:ascii="Times New Roman" w:hAnsi="Times New Roman" w:cs="Times New Roman"/>
          <w:sz w:val="24"/>
          <w:szCs w:val="24"/>
          <w:lang w:val="en-US"/>
        </w:rPr>
      </w:pPr>
    </w:p>
    <w:p w14:paraId="4A25ABF7" w14:textId="69419BF0" w:rsidR="0038646F" w:rsidRPr="0038646F" w:rsidRDefault="0038646F" w:rsidP="0038646F">
      <w:pPr>
        <w:spacing w:after="0" w:line="360" w:lineRule="auto"/>
        <w:ind w:firstLine="1134"/>
        <w:jc w:val="both"/>
        <w:rPr>
          <w:rFonts w:ascii="Times New Roman" w:hAnsi="Times New Roman" w:cs="Times New Roman"/>
          <w:sz w:val="24"/>
          <w:szCs w:val="24"/>
          <w:lang w:val="en-US"/>
        </w:rPr>
      </w:pPr>
      <w:r w:rsidRPr="0038646F">
        <w:rPr>
          <w:rFonts w:ascii="Times New Roman" w:hAnsi="Times New Roman" w:cs="Times New Roman"/>
          <w:sz w:val="24"/>
          <w:szCs w:val="24"/>
          <w:lang w:val="en-US"/>
        </w:rPr>
        <w:t>My research concerns the emergence and consolidation of constitutional adjudication in the context of two prototypical</w:t>
      </w:r>
      <w:r w:rsidR="009065B7">
        <w:rPr>
          <w:rFonts w:ascii="Times New Roman" w:hAnsi="Times New Roman" w:cs="Times New Roman"/>
          <w:sz w:val="24"/>
          <w:szCs w:val="24"/>
          <w:lang w:val="en-US"/>
        </w:rPr>
        <w:t xml:space="preserve"> “liberal-democratic</w:t>
      </w:r>
      <w:r w:rsidRPr="0038646F">
        <w:rPr>
          <w:rFonts w:ascii="Times New Roman" w:hAnsi="Times New Roman" w:cs="Times New Roman"/>
          <w:sz w:val="24"/>
          <w:szCs w:val="24"/>
          <w:lang w:val="en-US"/>
        </w:rPr>
        <w:t>,</w:t>
      </w:r>
      <w:r w:rsidR="009065B7">
        <w:rPr>
          <w:rFonts w:ascii="Times New Roman" w:hAnsi="Times New Roman" w:cs="Times New Roman"/>
          <w:sz w:val="24"/>
          <w:szCs w:val="24"/>
          <w:lang w:val="en-US"/>
        </w:rPr>
        <w:t>”</w:t>
      </w:r>
      <w:r w:rsidRPr="0038646F">
        <w:rPr>
          <w:rFonts w:ascii="Times New Roman" w:hAnsi="Times New Roman" w:cs="Times New Roman"/>
          <w:sz w:val="24"/>
          <w:szCs w:val="24"/>
          <w:lang w:val="en-US"/>
        </w:rPr>
        <w:t xml:space="preserve"> geopolitically rather relevant “law-worlds.” I read the movement from the bootstrapping of constitutional adjudication towards its stabilization having religion as my main variable. I’m not arguing, however, that the social structures constitutive of constitutional adjudication, such as, say, the role of the constitutional judge or the program of judicial review are but the “transposition” of religious dogma – so that US constitutional judges are but Puritan </w:t>
      </w:r>
      <w:r w:rsidRPr="0038646F">
        <w:rPr>
          <w:rFonts w:ascii="Times New Roman" w:hAnsi="Times New Roman" w:cs="Times New Roman"/>
          <w:sz w:val="24"/>
          <w:szCs w:val="24"/>
          <w:lang w:val="en-US"/>
        </w:rPr>
        <w:lastRenderedPageBreak/>
        <w:t>visible saints, the “</w:t>
      </w:r>
      <w:r w:rsidR="009065B7">
        <w:rPr>
          <w:rFonts w:ascii="Times New Roman" w:hAnsi="Times New Roman" w:cs="Times New Roman"/>
          <w:sz w:val="24"/>
          <w:szCs w:val="24"/>
          <w:lang w:val="en-US"/>
        </w:rPr>
        <w:t>constitutional development</w:t>
      </w:r>
      <w:r w:rsidRPr="0038646F">
        <w:rPr>
          <w:rFonts w:ascii="Times New Roman" w:hAnsi="Times New Roman" w:cs="Times New Roman"/>
          <w:sz w:val="24"/>
          <w:szCs w:val="24"/>
          <w:lang w:val="en-US"/>
        </w:rPr>
        <w:t>”</w:t>
      </w:r>
      <w:r w:rsidR="009065B7">
        <w:rPr>
          <w:rFonts w:ascii="Times New Roman" w:hAnsi="Times New Roman" w:cs="Times New Roman"/>
          <w:sz w:val="24"/>
          <w:szCs w:val="24"/>
          <w:lang w:val="en-US"/>
        </w:rPr>
        <w:t xml:space="preserve"> led by the Federal Constitutional Court nothing more than</w:t>
      </w:r>
      <w:r w:rsidRPr="0038646F">
        <w:rPr>
          <w:rFonts w:ascii="Times New Roman" w:hAnsi="Times New Roman" w:cs="Times New Roman"/>
          <w:sz w:val="24"/>
          <w:szCs w:val="24"/>
          <w:lang w:val="en-US"/>
        </w:rPr>
        <w:t xml:space="preserve"> the secularization of providence. Avoiding such spurious argumentation is one of the main reasons I chose to compare two case studies. This demanded abandoning any typical-ideal notion I once entertained about the many iterations of Christianity – in the sense that “x” is clearly “protestant,” and “y” is of course “catholic” –, while reaching for concrete renditions of religion’s “treasures</w:t>
      </w:r>
      <w:r w:rsidR="00137CF6">
        <w:rPr>
          <w:rFonts w:ascii="Times New Roman" w:hAnsi="Times New Roman" w:cs="Times New Roman"/>
          <w:sz w:val="24"/>
          <w:szCs w:val="24"/>
          <w:lang w:val="en-US"/>
        </w:rPr>
        <w:t xml:space="preserve">,” </w:t>
      </w:r>
      <w:r w:rsidRPr="0038646F">
        <w:rPr>
          <w:rFonts w:ascii="Times New Roman" w:hAnsi="Times New Roman" w:cs="Times New Roman"/>
          <w:sz w:val="24"/>
          <w:szCs w:val="24"/>
          <w:lang w:val="en-US"/>
        </w:rPr>
        <w:t>and tracing their connections and chain of transmission to legal actors directly engaged with the establishment and consecration of constitutional adjudication.</w:t>
      </w:r>
    </w:p>
    <w:p w14:paraId="2242FAD9" w14:textId="02EA3CF7" w:rsidR="0038646F" w:rsidRPr="0038646F" w:rsidRDefault="0038646F" w:rsidP="0038646F">
      <w:pPr>
        <w:spacing w:after="0" w:line="360" w:lineRule="auto"/>
        <w:ind w:firstLine="1134"/>
        <w:jc w:val="both"/>
        <w:rPr>
          <w:rFonts w:ascii="Times New Roman" w:hAnsi="Times New Roman" w:cs="Times New Roman"/>
          <w:sz w:val="24"/>
          <w:szCs w:val="24"/>
          <w:lang w:val="en-US"/>
        </w:rPr>
      </w:pPr>
      <w:r w:rsidRPr="0038646F">
        <w:rPr>
          <w:rFonts w:ascii="Times New Roman" w:hAnsi="Times New Roman" w:cs="Times New Roman"/>
          <w:sz w:val="24"/>
          <w:szCs w:val="24"/>
          <w:lang w:val="en-US"/>
        </w:rPr>
        <w:t xml:space="preserve">Originally, I imagined there would be a lot of religious traces embedding US constitutional adjudication. Yet, I thought the opposite would be the case for Germany. I expected, due to my previous knowledge of how Carl Schmitt and his “school” were first completely excluded of the circles of public law, and then later admitted only with grains of salt, and in reason of the different time span, that Germany’s </w:t>
      </w:r>
      <w:proofErr w:type="spellStart"/>
      <w:r w:rsidRPr="00694910">
        <w:rPr>
          <w:rFonts w:ascii="Times New Roman" w:hAnsi="Times New Roman" w:cs="Times New Roman"/>
          <w:i/>
          <w:iCs/>
          <w:sz w:val="24"/>
          <w:szCs w:val="24"/>
          <w:lang w:val="en-US"/>
        </w:rPr>
        <w:t>Verfassungsgerichtsbarkeit</w:t>
      </w:r>
      <w:proofErr w:type="spellEnd"/>
      <w:r w:rsidRPr="0038646F">
        <w:rPr>
          <w:rFonts w:ascii="Times New Roman" w:hAnsi="Times New Roman" w:cs="Times New Roman"/>
          <w:sz w:val="24"/>
          <w:szCs w:val="24"/>
          <w:lang w:val="en-US"/>
        </w:rPr>
        <w:t xml:space="preserve"> would be almost absent of any religious traces.  I was clearly wrong. In both cases, there is a lot of references to religion, whether explicitly or in more indirect and suggestive ways, following the patterns of secularization here understood, in </w:t>
      </w:r>
      <w:proofErr w:type="spellStart"/>
      <w:r w:rsidRPr="0038646F">
        <w:rPr>
          <w:rFonts w:ascii="Times New Roman" w:hAnsi="Times New Roman" w:cs="Times New Roman"/>
          <w:sz w:val="24"/>
          <w:szCs w:val="24"/>
          <w:lang w:val="en-US"/>
        </w:rPr>
        <w:t>Blumenberg’s</w:t>
      </w:r>
      <w:proofErr w:type="spellEnd"/>
      <w:r w:rsidRPr="0038646F">
        <w:rPr>
          <w:rFonts w:ascii="Times New Roman" w:hAnsi="Times New Roman" w:cs="Times New Roman"/>
          <w:sz w:val="24"/>
          <w:szCs w:val="24"/>
          <w:lang w:val="en-US"/>
        </w:rPr>
        <w:t xml:space="preserve"> terms, as an “intentional rhetorical style.” This was the first issue I faced, when it came to trying to make sense of my sources. Turning to the social history of religion, however, I started to entertain the following assumption, based on the argument and approach of the social historian Olaf </w:t>
      </w:r>
      <w:proofErr w:type="spellStart"/>
      <w:r w:rsidRPr="0038646F">
        <w:rPr>
          <w:rFonts w:ascii="Times New Roman" w:hAnsi="Times New Roman" w:cs="Times New Roman"/>
          <w:sz w:val="24"/>
          <w:szCs w:val="24"/>
          <w:lang w:val="en-US"/>
        </w:rPr>
        <w:t>Blaschke</w:t>
      </w:r>
      <w:proofErr w:type="spellEnd"/>
      <w:r w:rsidRPr="0038646F">
        <w:rPr>
          <w:rFonts w:ascii="Times New Roman" w:hAnsi="Times New Roman" w:cs="Times New Roman"/>
          <w:sz w:val="24"/>
          <w:szCs w:val="24"/>
          <w:lang w:val="en-US"/>
        </w:rPr>
        <w:t>.</w:t>
      </w:r>
      <w:r w:rsidR="00694910">
        <w:rPr>
          <w:rStyle w:val="FootnoteReference"/>
          <w:rFonts w:ascii="Times New Roman" w:hAnsi="Times New Roman" w:cs="Times New Roman"/>
          <w:sz w:val="24"/>
          <w:szCs w:val="24"/>
          <w:lang w:val="en-US"/>
        </w:rPr>
        <w:footnoteReference w:id="21"/>
      </w:r>
      <w:r w:rsidRPr="0038646F">
        <w:rPr>
          <w:rFonts w:ascii="Times New Roman" w:hAnsi="Times New Roman" w:cs="Times New Roman"/>
          <w:sz w:val="24"/>
          <w:szCs w:val="24"/>
          <w:lang w:val="en-US"/>
        </w:rPr>
        <w:t xml:space="preserve"> </w:t>
      </w:r>
    </w:p>
    <w:p w14:paraId="63ADC4D5" w14:textId="01413514" w:rsidR="0038646F" w:rsidRDefault="0038646F" w:rsidP="0038646F">
      <w:pPr>
        <w:spacing w:after="0" w:line="360" w:lineRule="auto"/>
        <w:ind w:firstLine="1134"/>
        <w:jc w:val="both"/>
        <w:rPr>
          <w:rFonts w:ascii="Times New Roman" w:hAnsi="Times New Roman" w:cs="Times New Roman"/>
          <w:sz w:val="24"/>
          <w:szCs w:val="24"/>
          <w:lang w:val="en-US"/>
        </w:rPr>
      </w:pPr>
      <w:r w:rsidRPr="0038646F">
        <w:rPr>
          <w:rFonts w:ascii="Times New Roman" w:hAnsi="Times New Roman" w:cs="Times New Roman"/>
          <w:sz w:val="24"/>
          <w:szCs w:val="24"/>
          <w:lang w:val="en-US"/>
        </w:rPr>
        <w:t xml:space="preserve">First, there is an intensification and realization of processes of </w:t>
      </w:r>
      <w:proofErr w:type="spellStart"/>
      <w:r w:rsidRPr="0038646F">
        <w:rPr>
          <w:rFonts w:ascii="Times New Roman" w:hAnsi="Times New Roman" w:cs="Times New Roman"/>
          <w:sz w:val="24"/>
          <w:szCs w:val="24"/>
          <w:lang w:val="en-US"/>
        </w:rPr>
        <w:t>disciplinarization</w:t>
      </w:r>
      <w:proofErr w:type="spellEnd"/>
      <w:r w:rsidRPr="0038646F">
        <w:rPr>
          <w:rFonts w:ascii="Times New Roman" w:hAnsi="Times New Roman" w:cs="Times New Roman"/>
          <w:sz w:val="24"/>
          <w:szCs w:val="24"/>
          <w:lang w:val="en-US"/>
        </w:rPr>
        <w:t>, professionalization, and traditionalization within the domain of religious organizations in the 19th century, harkening back to initiatives first carried forth in the 16th and 17th centuries.</w:t>
      </w:r>
      <w:r w:rsidR="002D456D">
        <w:rPr>
          <w:rStyle w:val="FootnoteReference"/>
          <w:rFonts w:ascii="Times New Roman" w:hAnsi="Times New Roman" w:cs="Times New Roman"/>
          <w:sz w:val="24"/>
          <w:szCs w:val="24"/>
          <w:lang w:val="en-US"/>
        </w:rPr>
        <w:footnoteReference w:id="22"/>
      </w:r>
      <w:r w:rsidRPr="0038646F">
        <w:rPr>
          <w:rFonts w:ascii="Times New Roman" w:hAnsi="Times New Roman" w:cs="Times New Roman"/>
          <w:sz w:val="24"/>
          <w:szCs w:val="24"/>
          <w:lang w:val="en-US"/>
        </w:rPr>
        <w:t xml:space="preserve"> These processes led to an expansion and diversification of confessions in the United States of America, something occasionally framed in the </w:t>
      </w:r>
      <w:r w:rsidRPr="0038646F">
        <w:rPr>
          <w:rFonts w:ascii="Times New Roman" w:hAnsi="Times New Roman" w:cs="Times New Roman"/>
          <w:sz w:val="24"/>
          <w:szCs w:val="24"/>
          <w:lang w:val="en-US"/>
        </w:rPr>
        <w:lastRenderedPageBreak/>
        <w:t>literature as the “democratization” of religion.</w:t>
      </w:r>
      <w:r w:rsidR="00694910">
        <w:rPr>
          <w:rStyle w:val="FootnoteReference"/>
          <w:rFonts w:ascii="Times New Roman" w:hAnsi="Times New Roman" w:cs="Times New Roman"/>
          <w:sz w:val="24"/>
          <w:szCs w:val="24"/>
          <w:lang w:val="en-US"/>
        </w:rPr>
        <w:footnoteReference w:id="23"/>
      </w:r>
      <w:r w:rsidRPr="0038646F">
        <w:rPr>
          <w:rFonts w:ascii="Times New Roman" w:hAnsi="Times New Roman" w:cs="Times New Roman"/>
          <w:sz w:val="24"/>
          <w:szCs w:val="24"/>
          <w:lang w:val="en-US"/>
        </w:rPr>
        <w:t xml:space="preserve"> Second, it also prompted the expansion and adaptation of religious </w:t>
      </w:r>
      <w:r w:rsidR="00694910" w:rsidRPr="0038646F">
        <w:rPr>
          <w:rFonts w:ascii="Times New Roman" w:hAnsi="Times New Roman" w:cs="Times New Roman"/>
          <w:sz w:val="24"/>
          <w:szCs w:val="24"/>
          <w:lang w:val="en-US"/>
        </w:rPr>
        <w:t>organizations</w:t>
      </w:r>
      <w:r w:rsidRPr="0038646F">
        <w:rPr>
          <w:rFonts w:ascii="Times New Roman" w:hAnsi="Times New Roman" w:cs="Times New Roman"/>
          <w:sz w:val="24"/>
          <w:szCs w:val="24"/>
          <w:lang w:val="en-US"/>
        </w:rPr>
        <w:t xml:space="preserve"> and practices to the novel surroundings of politics and the economy in Germany.</w:t>
      </w:r>
      <w:r w:rsidR="00A30EB6">
        <w:rPr>
          <w:rStyle w:val="FootnoteReference"/>
          <w:rFonts w:ascii="Times New Roman" w:hAnsi="Times New Roman" w:cs="Times New Roman"/>
          <w:sz w:val="24"/>
          <w:szCs w:val="24"/>
          <w:lang w:val="en-US"/>
        </w:rPr>
        <w:footnoteReference w:id="24"/>
      </w:r>
      <w:r w:rsidRPr="0038646F">
        <w:rPr>
          <w:rFonts w:ascii="Times New Roman" w:hAnsi="Times New Roman" w:cs="Times New Roman"/>
          <w:sz w:val="24"/>
          <w:szCs w:val="24"/>
          <w:lang w:val="en-US"/>
        </w:rPr>
        <w:t xml:space="preserve"> In both, these threads took place amidst a remarkable increase of church attendance – the sources of which are themselves product of such process of </w:t>
      </w:r>
      <w:proofErr w:type="spellStart"/>
      <w:r w:rsidRPr="0038646F">
        <w:rPr>
          <w:rFonts w:ascii="Times New Roman" w:hAnsi="Times New Roman" w:cs="Times New Roman"/>
          <w:sz w:val="24"/>
          <w:szCs w:val="24"/>
          <w:lang w:val="en-US"/>
        </w:rPr>
        <w:t>disciplinarization</w:t>
      </w:r>
      <w:proofErr w:type="spellEnd"/>
      <w:r w:rsidRPr="0038646F">
        <w:rPr>
          <w:rFonts w:ascii="Times New Roman" w:hAnsi="Times New Roman" w:cs="Times New Roman"/>
          <w:sz w:val="24"/>
          <w:szCs w:val="24"/>
          <w:lang w:val="en-US"/>
        </w:rPr>
        <w:t xml:space="preserve">, pivoting on the administration of strict techniques of discipline and their materialization in attendance registers. Hence, it may make sense to approach the 19th century in these two settings as a “second confessional age” – the first confessional age comprehending the 16-17th centuries. Further, when Germany is of concern, </w:t>
      </w:r>
      <w:proofErr w:type="spellStart"/>
      <w:r w:rsidRPr="0038646F">
        <w:rPr>
          <w:rFonts w:ascii="Times New Roman" w:hAnsi="Times New Roman" w:cs="Times New Roman"/>
          <w:sz w:val="24"/>
          <w:szCs w:val="24"/>
          <w:lang w:val="en-US"/>
        </w:rPr>
        <w:t>Blaschke</w:t>
      </w:r>
      <w:proofErr w:type="spellEnd"/>
      <w:r w:rsidRPr="0038646F">
        <w:rPr>
          <w:rFonts w:ascii="Times New Roman" w:hAnsi="Times New Roman" w:cs="Times New Roman"/>
          <w:sz w:val="24"/>
          <w:szCs w:val="24"/>
          <w:lang w:val="en-US"/>
        </w:rPr>
        <w:t xml:space="preserve"> and others occasionally suggest that the long 19th century is rather quite long.</w:t>
      </w:r>
      <w:r w:rsidR="00694910">
        <w:rPr>
          <w:rStyle w:val="FootnoteReference"/>
          <w:rFonts w:ascii="Times New Roman" w:hAnsi="Times New Roman" w:cs="Times New Roman"/>
          <w:sz w:val="24"/>
          <w:szCs w:val="24"/>
          <w:lang w:val="en-US"/>
        </w:rPr>
        <w:footnoteReference w:id="25"/>
      </w:r>
      <w:r w:rsidRPr="0038646F">
        <w:rPr>
          <w:rFonts w:ascii="Times New Roman" w:hAnsi="Times New Roman" w:cs="Times New Roman"/>
          <w:sz w:val="24"/>
          <w:szCs w:val="24"/>
          <w:lang w:val="en-US"/>
        </w:rPr>
        <w:t xml:space="preserve"> While in the United States of America it appears to be fair to describe what started to unfold more or less in parallel to the Constitutional Convention of 1787 in the field of religion as a “confessional peak” – the so-called religious revivals of the late 18th and early 19th century –, there seems to be another “confessional peak” in Germany, in the wake of the 2nd World War. I’m not suggesting here that these peaks were caused by these political events. Nevertheless, these peaks affected how these and other political events were shaped, experienced and communicated. </w:t>
      </w:r>
      <w:r w:rsidR="009065B7">
        <w:rPr>
          <w:rFonts w:ascii="Times New Roman" w:hAnsi="Times New Roman" w:cs="Times New Roman"/>
          <w:sz w:val="24"/>
          <w:szCs w:val="24"/>
          <w:lang w:val="en-US"/>
        </w:rPr>
        <w:t xml:space="preserve">Additionally, </w:t>
      </w:r>
      <w:r w:rsidRPr="0038646F">
        <w:rPr>
          <w:rFonts w:ascii="Times New Roman" w:hAnsi="Times New Roman" w:cs="Times New Roman"/>
          <w:sz w:val="24"/>
          <w:szCs w:val="24"/>
          <w:lang w:val="en-US"/>
        </w:rPr>
        <w:t>such “coincidence of contingencies,” as it were, supports the case selection and the time frame for both cases</w:t>
      </w:r>
      <w:r w:rsidR="00694910">
        <w:rPr>
          <w:rFonts w:ascii="Times New Roman" w:hAnsi="Times New Roman" w:cs="Times New Roman"/>
          <w:sz w:val="24"/>
          <w:szCs w:val="24"/>
          <w:lang w:val="en-US"/>
        </w:rPr>
        <w:t>.</w:t>
      </w:r>
    </w:p>
    <w:p w14:paraId="17302740" w14:textId="4D312297" w:rsidR="00430410" w:rsidRDefault="00694910" w:rsidP="00694910">
      <w:pPr>
        <w:spacing w:after="0" w:line="360" w:lineRule="auto"/>
        <w:ind w:firstLine="1134"/>
        <w:jc w:val="both"/>
        <w:rPr>
          <w:rFonts w:ascii="Times New Roman" w:hAnsi="Times New Roman" w:cs="Times New Roman"/>
          <w:sz w:val="24"/>
          <w:szCs w:val="24"/>
          <w:lang w:val="en-US"/>
        </w:rPr>
      </w:pPr>
      <w:r w:rsidRPr="00694910">
        <w:rPr>
          <w:rFonts w:ascii="Times New Roman" w:hAnsi="Times New Roman" w:cs="Times New Roman"/>
          <w:sz w:val="24"/>
          <w:szCs w:val="24"/>
          <w:lang w:val="en-US"/>
        </w:rPr>
        <w:t xml:space="preserve">I readily admit that there is a lot of theoretical wiring underlying </w:t>
      </w:r>
      <w:r>
        <w:rPr>
          <w:rFonts w:ascii="Times New Roman" w:hAnsi="Times New Roman" w:cs="Times New Roman"/>
          <w:sz w:val="24"/>
          <w:szCs w:val="24"/>
          <w:lang w:val="en-US"/>
        </w:rPr>
        <w:t>this</w:t>
      </w:r>
      <w:r w:rsidRPr="00694910">
        <w:rPr>
          <w:rFonts w:ascii="Times New Roman" w:hAnsi="Times New Roman" w:cs="Times New Roman"/>
          <w:sz w:val="24"/>
          <w:szCs w:val="24"/>
          <w:lang w:val="en-US"/>
        </w:rPr>
        <w:t xml:space="preserve"> work.</w:t>
      </w:r>
      <w:r>
        <w:rPr>
          <w:rFonts w:ascii="Times New Roman" w:hAnsi="Times New Roman" w:cs="Times New Roman"/>
          <w:sz w:val="24"/>
          <w:szCs w:val="24"/>
          <w:lang w:val="en-US"/>
        </w:rPr>
        <w:t xml:space="preserve"> L</w:t>
      </w:r>
      <w:r w:rsidRPr="00694910">
        <w:rPr>
          <w:rFonts w:ascii="Times New Roman" w:hAnsi="Times New Roman" w:cs="Times New Roman"/>
          <w:sz w:val="24"/>
          <w:szCs w:val="24"/>
          <w:lang w:val="en-US"/>
        </w:rPr>
        <w:t xml:space="preserve">et me defend why </w:t>
      </w:r>
      <w:r>
        <w:rPr>
          <w:rFonts w:ascii="Times New Roman" w:hAnsi="Times New Roman" w:cs="Times New Roman"/>
          <w:sz w:val="24"/>
          <w:szCs w:val="24"/>
          <w:lang w:val="en-US"/>
        </w:rPr>
        <w:t>this reliance</w:t>
      </w:r>
      <w:r w:rsidRPr="00694910">
        <w:rPr>
          <w:rFonts w:ascii="Times New Roman" w:hAnsi="Times New Roman" w:cs="Times New Roman"/>
          <w:sz w:val="24"/>
          <w:szCs w:val="24"/>
          <w:lang w:val="en-US"/>
        </w:rPr>
        <w:t xml:space="preserve"> is necessary, given how this issue – the deployment of religious resources by constitutional justices and scholars regarding especially, but not only, the imagination constitutional adjudication – has been addressed by the literature, and how I approach it in this text. </w:t>
      </w:r>
      <w:r w:rsidR="00567859">
        <w:rPr>
          <w:rFonts w:ascii="Times New Roman" w:hAnsi="Times New Roman" w:cs="Times New Roman"/>
          <w:sz w:val="24"/>
          <w:szCs w:val="24"/>
          <w:lang w:val="en-US"/>
        </w:rPr>
        <w:t>I</w:t>
      </w:r>
      <w:r w:rsidRPr="00694910">
        <w:rPr>
          <w:rFonts w:ascii="Times New Roman" w:hAnsi="Times New Roman" w:cs="Times New Roman"/>
          <w:sz w:val="24"/>
          <w:szCs w:val="24"/>
          <w:lang w:val="en-US"/>
        </w:rPr>
        <w:t>f we turn to the historiographical literature, there is clear acknowledgement of such reliance on religious materials. Yet, apparently, scholarship always stop short of investigating how, why, and that this reliance took place, when it is not hostage to the later effects of these very instrumentalizations.</w:t>
      </w:r>
    </w:p>
    <w:p w14:paraId="28B4CF5C" w14:textId="31474AA3" w:rsidR="00694910" w:rsidRDefault="00694910" w:rsidP="00694910">
      <w:pPr>
        <w:spacing w:after="0" w:line="360" w:lineRule="auto"/>
        <w:ind w:firstLine="1134"/>
        <w:jc w:val="both"/>
        <w:rPr>
          <w:rFonts w:ascii="Times New Roman" w:hAnsi="Times New Roman" w:cs="Times New Roman"/>
          <w:sz w:val="24"/>
          <w:szCs w:val="24"/>
          <w:lang w:val="en-US"/>
        </w:rPr>
      </w:pPr>
      <w:r w:rsidRPr="00694910">
        <w:rPr>
          <w:rFonts w:ascii="Times New Roman" w:hAnsi="Times New Roman" w:cs="Times New Roman"/>
          <w:sz w:val="24"/>
          <w:szCs w:val="24"/>
          <w:lang w:val="en-US"/>
        </w:rPr>
        <w:t xml:space="preserve">Consider first Robert McCloskey’s seminal </w:t>
      </w:r>
      <w:r w:rsidRPr="00694910">
        <w:rPr>
          <w:rFonts w:ascii="Times New Roman" w:hAnsi="Times New Roman" w:cs="Times New Roman"/>
          <w:i/>
          <w:iCs/>
          <w:sz w:val="24"/>
          <w:szCs w:val="24"/>
          <w:lang w:val="en-US"/>
        </w:rPr>
        <w:t>The American Constitutional Court</w:t>
      </w:r>
      <w:r w:rsidRPr="00694910">
        <w:rPr>
          <w:rFonts w:ascii="Times New Roman" w:hAnsi="Times New Roman" w:cs="Times New Roman"/>
          <w:sz w:val="24"/>
          <w:szCs w:val="24"/>
          <w:lang w:val="en-US"/>
        </w:rPr>
        <w:t xml:space="preserve">. A widely read textbook on the history of the US Constitutional Court, current in its sixth edition, under the care of the famous US constitutional scholar Sanford Levinson, McCloskey is happy, despite his background on political science, to attribute the endurance and evidence of the innovations introduced during the Marshall era to the </w:t>
      </w:r>
      <w:r w:rsidRPr="00694910">
        <w:rPr>
          <w:rFonts w:ascii="Times New Roman" w:hAnsi="Times New Roman" w:cs="Times New Roman"/>
          <w:sz w:val="24"/>
          <w:szCs w:val="24"/>
          <w:lang w:val="en-US"/>
        </w:rPr>
        <w:lastRenderedPageBreak/>
        <w:t>legendary Chief Justice’s charming personality. McCloskey goes further, arguing that while such personality was crucial during Marshall’s lifetime to secure the evidence for judicial supremacy, his death was even more important, because, for starters, and in his own words, Marshall became a “saint.”</w:t>
      </w:r>
      <w:r w:rsidR="00A314B1">
        <w:rPr>
          <w:rStyle w:val="FootnoteReference"/>
          <w:rFonts w:ascii="Times New Roman" w:hAnsi="Times New Roman" w:cs="Times New Roman"/>
          <w:sz w:val="24"/>
          <w:szCs w:val="24"/>
          <w:lang w:val="en-US"/>
        </w:rPr>
        <w:footnoteReference w:id="26"/>
      </w:r>
      <w:r w:rsidRPr="00694910">
        <w:rPr>
          <w:rFonts w:ascii="Times New Roman" w:hAnsi="Times New Roman" w:cs="Times New Roman"/>
          <w:sz w:val="24"/>
          <w:szCs w:val="24"/>
          <w:lang w:val="en-US"/>
        </w:rPr>
        <w:t xml:space="preserve"> That Marshall became a saint, for the sake of securing the pride of place to constitutional adjudication, and how this took place doesn’t fall inside McCloskey’s scope. And while it is completely reasonable that this remains outside the purview of a textbook, to the best of my knowledge, despite innumerous biographies, monographs and articles dedicated whether to Marshall or to the Court during his leadership,</w:t>
      </w:r>
      <w:r w:rsidR="005C7D9D">
        <w:rPr>
          <w:rStyle w:val="FootnoteReference"/>
          <w:rFonts w:ascii="Times New Roman" w:hAnsi="Times New Roman" w:cs="Times New Roman"/>
          <w:sz w:val="24"/>
          <w:szCs w:val="24"/>
          <w:lang w:val="en-US"/>
        </w:rPr>
        <w:footnoteReference w:id="27"/>
      </w:r>
      <w:r w:rsidRPr="00694910">
        <w:rPr>
          <w:rFonts w:ascii="Times New Roman" w:hAnsi="Times New Roman" w:cs="Times New Roman"/>
          <w:sz w:val="24"/>
          <w:szCs w:val="24"/>
          <w:lang w:val="en-US"/>
        </w:rPr>
        <w:t xml:space="preserve"> the best depiction of how his sanctification came to be still remains one of the bronze panels on the door at the main entrance of the US Supreme Court’s building</w:t>
      </w:r>
      <w:r w:rsidR="00A314B1">
        <w:rPr>
          <w:rFonts w:ascii="Times New Roman" w:hAnsi="Times New Roman" w:cs="Times New Roman"/>
          <w:sz w:val="24"/>
          <w:szCs w:val="24"/>
          <w:lang w:val="en-US"/>
        </w:rPr>
        <w:t>, as discussed below.</w:t>
      </w:r>
    </w:p>
    <w:p w14:paraId="524955CE" w14:textId="228D896F" w:rsidR="00A314B1" w:rsidRDefault="00A314B1" w:rsidP="00A314B1">
      <w:pPr>
        <w:spacing w:after="0" w:line="360" w:lineRule="auto"/>
        <w:ind w:firstLine="1134"/>
        <w:jc w:val="both"/>
        <w:rPr>
          <w:rFonts w:ascii="Times New Roman" w:hAnsi="Times New Roman" w:cs="Times New Roman"/>
          <w:sz w:val="24"/>
          <w:szCs w:val="24"/>
          <w:lang w:val="en-US"/>
        </w:rPr>
      </w:pPr>
      <w:r w:rsidRPr="00A314B1">
        <w:rPr>
          <w:rFonts w:ascii="Times New Roman" w:hAnsi="Times New Roman" w:cs="Times New Roman"/>
          <w:sz w:val="24"/>
          <w:szCs w:val="24"/>
          <w:lang w:val="de-DE"/>
        </w:rPr>
        <w:t xml:space="preserve">Consider now the fourth volume of Michael Stolleis’ </w:t>
      </w:r>
      <w:r w:rsidRPr="00A314B1">
        <w:rPr>
          <w:rFonts w:ascii="Times New Roman" w:hAnsi="Times New Roman" w:cs="Times New Roman"/>
          <w:i/>
          <w:iCs/>
          <w:sz w:val="24"/>
          <w:szCs w:val="24"/>
          <w:lang w:val="de-DE"/>
        </w:rPr>
        <w:t>Geschichte des öffentlichen Rechts in Deutschland</w:t>
      </w:r>
      <w:r w:rsidRPr="00A314B1">
        <w:rPr>
          <w:rFonts w:ascii="Times New Roman" w:hAnsi="Times New Roman" w:cs="Times New Roman"/>
          <w:sz w:val="24"/>
          <w:szCs w:val="24"/>
          <w:lang w:val="de-DE"/>
        </w:rPr>
        <w:t xml:space="preserve">. </w:t>
      </w:r>
      <w:r w:rsidRPr="00A314B1">
        <w:rPr>
          <w:rFonts w:ascii="Times New Roman" w:hAnsi="Times New Roman" w:cs="Times New Roman"/>
          <w:sz w:val="24"/>
          <w:szCs w:val="24"/>
          <w:lang w:val="en-US"/>
        </w:rPr>
        <w:t xml:space="preserve">As </w:t>
      </w:r>
      <w:proofErr w:type="spellStart"/>
      <w:r w:rsidRPr="00A314B1">
        <w:rPr>
          <w:rFonts w:ascii="Times New Roman" w:hAnsi="Times New Roman" w:cs="Times New Roman"/>
          <w:sz w:val="24"/>
          <w:szCs w:val="24"/>
          <w:lang w:val="en-US"/>
        </w:rPr>
        <w:t>Stolleis</w:t>
      </w:r>
      <w:proofErr w:type="spellEnd"/>
      <w:r w:rsidRPr="00A314B1">
        <w:rPr>
          <w:rFonts w:ascii="Times New Roman" w:hAnsi="Times New Roman" w:cs="Times New Roman"/>
          <w:sz w:val="24"/>
          <w:szCs w:val="24"/>
          <w:lang w:val="en-US"/>
        </w:rPr>
        <w:t xml:space="preserve"> glosses some of the key concepts setting the stage for the early and middle years of the </w:t>
      </w:r>
      <w:proofErr w:type="spellStart"/>
      <w:r w:rsidRPr="00A314B1">
        <w:rPr>
          <w:rFonts w:ascii="Times New Roman" w:hAnsi="Times New Roman" w:cs="Times New Roman"/>
          <w:sz w:val="24"/>
          <w:szCs w:val="24"/>
          <w:lang w:val="en-US"/>
        </w:rPr>
        <w:t>Bundesverfassungsgericht’s</w:t>
      </w:r>
      <w:proofErr w:type="spellEnd"/>
      <w:r w:rsidRPr="00A314B1">
        <w:rPr>
          <w:rFonts w:ascii="Times New Roman" w:hAnsi="Times New Roman" w:cs="Times New Roman"/>
          <w:sz w:val="24"/>
          <w:szCs w:val="24"/>
          <w:lang w:val="en-US"/>
        </w:rPr>
        <w:t xml:space="preserve"> judicature, such as “integration” or “practical concordance,” he underscores how their widespread acceptance should be explained both by the “fundamental mood” prevailing in the Federal Republic at the time, but also and just as importantly, on the “subcutaneous influence” of ecclesiastical traditions of thought.</w:t>
      </w:r>
      <w:r>
        <w:rPr>
          <w:rStyle w:val="FootnoteReference"/>
          <w:rFonts w:ascii="Times New Roman" w:hAnsi="Times New Roman" w:cs="Times New Roman"/>
          <w:sz w:val="24"/>
          <w:szCs w:val="24"/>
          <w:lang w:val="en-US"/>
        </w:rPr>
        <w:footnoteReference w:id="28"/>
      </w:r>
      <w:r w:rsidRPr="00A314B1">
        <w:rPr>
          <w:rFonts w:ascii="Times New Roman" w:hAnsi="Times New Roman" w:cs="Times New Roman"/>
          <w:sz w:val="24"/>
          <w:szCs w:val="24"/>
          <w:lang w:val="en-US"/>
        </w:rPr>
        <w:t xml:space="preserve"> Notwithstanding the obvious quality of </w:t>
      </w:r>
      <w:proofErr w:type="spellStart"/>
      <w:r w:rsidRPr="00A314B1">
        <w:rPr>
          <w:rFonts w:ascii="Times New Roman" w:hAnsi="Times New Roman" w:cs="Times New Roman"/>
          <w:sz w:val="24"/>
          <w:szCs w:val="24"/>
          <w:lang w:val="en-US"/>
        </w:rPr>
        <w:t>Stolleis</w:t>
      </w:r>
      <w:proofErr w:type="spellEnd"/>
      <w:r w:rsidRPr="00A314B1">
        <w:rPr>
          <w:rFonts w:ascii="Times New Roman" w:hAnsi="Times New Roman" w:cs="Times New Roman"/>
          <w:sz w:val="24"/>
          <w:szCs w:val="24"/>
          <w:lang w:val="en-US"/>
        </w:rPr>
        <w:t>’ work, one can easily admit “subcutaneous influence” does not lead us much further, regarding which sources should one interrogate, so as to get underneath the skin of legal practice, to keep with the metaphor.</w:t>
      </w:r>
    </w:p>
    <w:p w14:paraId="2C4A4DD2" w14:textId="31ACA438" w:rsidR="00A314B1" w:rsidRDefault="00A314B1" w:rsidP="00A314B1">
      <w:pPr>
        <w:spacing w:after="0" w:line="360" w:lineRule="auto"/>
        <w:ind w:firstLine="1134"/>
        <w:jc w:val="both"/>
        <w:rPr>
          <w:rFonts w:ascii="Times New Roman" w:hAnsi="Times New Roman" w:cs="Times New Roman"/>
          <w:sz w:val="24"/>
          <w:szCs w:val="24"/>
          <w:lang w:val="en-US"/>
        </w:rPr>
      </w:pPr>
      <w:r w:rsidRPr="00A314B1">
        <w:rPr>
          <w:rFonts w:ascii="Times New Roman" w:hAnsi="Times New Roman" w:cs="Times New Roman"/>
          <w:sz w:val="24"/>
          <w:szCs w:val="24"/>
          <w:lang w:val="en-US"/>
        </w:rPr>
        <w:t xml:space="preserve">Once again, one could argue this is way beyond the scope of </w:t>
      </w:r>
      <w:proofErr w:type="spellStart"/>
      <w:r w:rsidRPr="00A314B1">
        <w:rPr>
          <w:rFonts w:ascii="Times New Roman" w:hAnsi="Times New Roman" w:cs="Times New Roman"/>
          <w:sz w:val="24"/>
          <w:szCs w:val="24"/>
          <w:lang w:val="en-US"/>
        </w:rPr>
        <w:t>Stolleis</w:t>
      </w:r>
      <w:proofErr w:type="spellEnd"/>
      <w:r w:rsidRPr="00A314B1">
        <w:rPr>
          <w:rFonts w:ascii="Times New Roman" w:hAnsi="Times New Roman" w:cs="Times New Roman"/>
          <w:sz w:val="24"/>
          <w:szCs w:val="24"/>
          <w:lang w:val="en-US"/>
        </w:rPr>
        <w:t xml:space="preserve">’ magnum opus. Yet, should we turn to the two monographs dedicated to the history of the </w:t>
      </w:r>
      <w:proofErr w:type="spellStart"/>
      <w:r w:rsidRPr="00A314B1">
        <w:rPr>
          <w:rFonts w:ascii="Times New Roman" w:hAnsi="Times New Roman" w:cs="Times New Roman"/>
          <w:sz w:val="24"/>
          <w:szCs w:val="24"/>
          <w:lang w:val="en-US"/>
        </w:rPr>
        <w:t>Bundesverfassungsgericht</w:t>
      </w:r>
      <w:proofErr w:type="spellEnd"/>
      <w:r w:rsidRPr="00A314B1">
        <w:rPr>
          <w:rFonts w:ascii="Times New Roman" w:hAnsi="Times New Roman" w:cs="Times New Roman"/>
          <w:sz w:val="24"/>
          <w:szCs w:val="24"/>
          <w:lang w:val="en-US"/>
        </w:rPr>
        <w:t>, authored respectively by Uwe Wesel and Justin Collin</w:t>
      </w:r>
      <w:r w:rsidR="00626918">
        <w:rPr>
          <w:rFonts w:ascii="Times New Roman" w:hAnsi="Times New Roman" w:cs="Times New Roman"/>
          <w:sz w:val="24"/>
          <w:szCs w:val="24"/>
          <w:lang w:val="en-US"/>
        </w:rPr>
        <w:t>g</w:t>
      </w:r>
      <w:r w:rsidRPr="00A314B1">
        <w:rPr>
          <w:rFonts w:ascii="Times New Roman" w:hAnsi="Times New Roman" w:cs="Times New Roman"/>
          <w:sz w:val="24"/>
          <w:szCs w:val="24"/>
          <w:lang w:val="en-US"/>
        </w:rPr>
        <w:t>s,</w:t>
      </w:r>
      <w:r>
        <w:rPr>
          <w:rStyle w:val="FootnoteReference"/>
          <w:rFonts w:ascii="Times New Roman" w:hAnsi="Times New Roman" w:cs="Times New Roman"/>
          <w:sz w:val="24"/>
          <w:szCs w:val="24"/>
          <w:lang w:val="en-US"/>
        </w:rPr>
        <w:footnoteReference w:id="29"/>
      </w:r>
      <w:r w:rsidRPr="00A314B1">
        <w:rPr>
          <w:rFonts w:ascii="Times New Roman" w:hAnsi="Times New Roman" w:cs="Times New Roman"/>
          <w:sz w:val="24"/>
          <w:szCs w:val="24"/>
          <w:lang w:val="en-US"/>
        </w:rPr>
        <w:t xml:space="preserve"> there is no reference at all to religion, although when one turn to the discussions of the </w:t>
      </w:r>
      <w:proofErr w:type="spellStart"/>
      <w:r w:rsidRPr="00A314B1">
        <w:rPr>
          <w:rFonts w:ascii="Times New Roman" w:hAnsi="Times New Roman" w:cs="Times New Roman"/>
          <w:sz w:val="24"/>
          <w:szCs w:val="24"/>
          <w:lang w:val="en-US"/>
        </w:rPr>
        <w:t>Vereinigung</w:t>
      </w:r>
      <w:proofErr w:type="spellEnd"/>
      <w:r w:rsidRPr="00A314B1">
        <w:rPr>
          <w:rFonts w:ascii="Times New Roman" w:hAnsi="Times New Roman" w:cs="Times New Roman"/>
          <w:sz w:val="24"/>
          <w:szCs w:val="24"/>
          <w:lang w:val="en-US"/>
        </w:rPr>
        <w:t xml:space="preserve"> der </w:t>
      </w:r>
      <w:proofErr w:type="spellStart"/>
      <w:r w:rsidRPr="00A314B1">
        <w:rPr>
          <w:rFonts w:ascii="Times New Roman" w:hAnsi="Times New Roman" w:cs="Times New Roman"/>
          <w:sz w:val="24"/>
          <w:szCs w:val="24"/>
          <w:lang w:val="en-US"/>
        </w:rPr>
        <w:t>Deutschen</w:t>
      </w:r>
      <w:proofErr w:type="spellEnd"/>
      <w:r w:rsidRPr="00A314B1">
        <w:rPr>
          <w:rFonts w:ascii="Times New Roman" w:hAnsi="Times New Roman" w:cs="Times New Roman"/>
          <w:sz w:val="24"/>
          <w:szCs w:val="24"/>
          <w:lang w:val="en-US"/>
        </w:rPr>
        <w:t xml:space="preserve"> </w:t>
      </w:r>
      <w:proofErr w:type="spellStart"/>
      <w:r w:rsidRPr="00A314B1">
        <w:rPr>
          <w:rFonts w:ascii="Times New Roman" w:hAnsi="Times New Roman" w:cs="Times New Roman"/>
          <w:sz w:val="24"/>
          <w:szCs w:val="24"/>
          <w:lang w:val="en-US"/>
        </w:rPr>
        <w:t>Staatsrechtslehrer</w:t>
      </w:r>
      <w:proofErr w:type="spellEnd"/>
      <w:r w:rsidRPr="00A314B1">
        <w:rPr>
          <w:rFonts w:ascii="Times New Roman" w:hAnsi="Times New Roman" w:cs="Times New Roman"/>
          <w:sz w:val="24"/>
          <w:szCs w:val="24"/>
          <w:lang w:val="en-US"/>
        </w:rPr>
        <w:t xml:space="preserve">, the main doctrinal contributions, and even </w:t>
      </w:r>
      <w:r w:rsidRPr="00A314B1">
        <w:rPr>
          <w:rFonts w:ascii="Times New Roman" w:hAnsi="Times New Roman" w:cs="Times New Roman"/>
          <w:sz w:val="24"/>
          <w:szCs w:val="24"/>
          <w:lang w:val="en-US"/>
        </w:rPr>
        <w:lastRenderedPageBreak/>
        <w:t xml:space="preserve">some of the main decisions of the early </w:t>
      </w:r>
      <w:proofErr w:type="spellStart"/>
      <w:r w:rsidRPr="00A314B1">
        <w:rPr>
          <w:rFonts w:ascii="Times New Roman" w:hAnsi="Times New Roman" w:cs="Times New Roman"/>
          <w:sz w:val="24"/>
          <w:szCs w:val="24"/>
          <w:lang w:val="en-US"/>
        </w:rPr>
        <w:t>Bundesverfassungsgericht</w:t>
      </w:r>
      <w:proofErr w:type="spellEnd"/>
      <w:r w:rsidRPr="00A314B1">
        <w:rPr>
          <w:rFonts w:ascii="Times New Roman" w:hAnsi="Times New Roman" w:cs="Times New Roman"/>
          <w:sz w:val="24"/>
          <w:szCs w:val="24"/>
          <w:lang w:val="en-US"/>
        </w:rPr>
        <w:t>, all of them overflow with religious references, whether if they frame positivism as the “greatest sin” of modernity, or highlight how the constitutional concept of personality is a “secularized, Christian concept,” referring then to Catholic and Evangelical ethical treatises, or even remissions to the “Christian-Western tradition” within the scope of judicial rulings</w:t>
      </w:r>
      <w:r>
        <w:rPr>
          <w:rFonts w:ascii="Times New Roman" w:hAnsi="Times New Roman" w:cs="Times New Roman"/>
          <w:sz w:val="24"/>
          <w:szCs w:val="24"/>
          <w:lang w:val="en-US"/>
        </w:rPr>
        <w:t>, some of which are duly discussed below</w:t>
      </w:r>
      <w:r w:rsidRPr="00A314B1">
        <w:rPr>
          <w:rFonts w:ascii="Times New Roman" w:hAnsi="Times New Roman" w:cs="Times New Roman"/>
          <w:sz w:val="24"/>
          <w:szCs w:val="24"/>
          <w:lang w:val="en-US"/>
        </w:rPr>
        <w:t xml:space="preserve">. </w:t>
      </w:r>
    </w:p>
    <w:p w14:paraId="1732F6E3" w14:textId="3440DF63" w:rsidR="00A314B1" w:rsidRPr="00A314B1" w:rsidRDefault="00A314B1" w:rsidP="00A314B1">
      <w:pPr>
        <w:spacing w:after="0" w:line="360" w:lineRule="auto"/>
        <w:ind w:firstLine="1134"/>
        <w:jc w:val="both"/>
        <w:rPr>
          <w:rFonts w:ascii="Times New Roman" w:hAnsi="Times New Roman" w:cs="Times New Roman"/>
          <w:sz w:val="24"/>
          <w:szCs w:val="24"/>
          <w:lang w:val="en-US"/>
        </w:rPr>
      </w:pPr>
      <w:r w:rsidRPr="00A314B1">
        <w:rPr>
          <w:rFonts w:ascii="Times New Roman" w:hAnsi="Times New Roman" w:cs="Times New Roman"/>
          <w:sz w:val="24"/>
          <w:szCs w:val="24"/>
          <w:lang w:val="en-US"/>
        </w:rPr>
        <w:t xml:space="preserve">Of course, should one consider the works of </w:t>
      </w:r>
      <w:proofErr w:type="spellStart"/>
      <w:r w:rsidRPr="00A314B1">
        <w:rPr>
          <w:rFonts w:ascii="Times New Roman" w:hAnsi="Times New Roman" w:cs="Times New Roman"/>
          <w:sz w:val="24"/>
          <w:szCs w:val="24"/>
          <w:lang w:val="en-US"/>
        </w:rPr>
        <w:t>Schmittian</w:t>
      </w:r>
      <w:proofErr w:type="spellEnd"/>
      <w:r w:rsidRPr="00A314B1">
        <w:rPr>
          <w:rFonts w:ascii="Times New Roman" w:hAnsi="Times New Roman" w:cs="Times New Roman"/>
          <w:sz w:val="24"/>
          <w:szCs w:val="24"/>
          <w:lang w:val="en-US"/>
        </w:rPr>
        <w:t xml:space="preserve"> scholars, such as </w:t>
      </w:r>
      <w:proofErr w:type="spellStart"/>
      <w:r w:rsidRPr="00A314B1">
        <w:rPr>
          <w:rFonts w:ascii="Times New Roman" w:hAnsi="Times New Roman" w:cs="Times New Roman"/>
          <w:sz w:val="24"/>
          <w:szCs w:val="24"/>
          <w:lang w:val="en-US"/>
        </w:rPr>
        <w:t>Böckenförde</w:t>
      </w:r>
      <w:proofErr w:type="spellEnd"/>
      <w:r w:rsidRPr="00A314B1">
        <w:rPr>
          <w:rFonts w:ascii="Times New Roman" w:hAnsi="Times New Roman" w:cs="Times New Roman"/>
          <w:sz w:val="24"/>
          <w:szCs w:val="24"/>
          <w:lang w:val="en-US"/>
        </w:rPr>
        <w:t xml:space="preserve">, </w:t>
      </w:r>
      <w:proofErr w:type="spellStart"/>
      <w:r w:rsidRPr="00A314B1">
        <w:rPr>
          <w:rFonts w:ascii="Times New Roman" w:hAnsi="Times New Roman" w:cs="Times New Roman"/>
          <w:sz w:val="24"/>
          <w:szCs w:val="24"/>
          <w:lang w:val="en-US"/>
        </w:rPr>
        <w:t>Isensee</w:t>
      </w:r>
      <w:proofErr w:type="spellEnd"/>
      <w:r w:rsidRPr="00A314B1">
        <w:rPr>
          <w:rFonts w:ascii="Times New Roman" w:hAnsi="Times New Roman" w:cs="Times New Roman"/>
          <w:sz w:val="24"/>
          <w:szCs w:val="24"/>
          <w:lang w:val="en-US"/>
        </w:rPr>
        <w:t xml:space="preserve">, and others, one sees the exact opposite. Religion is everywhere. </w:t>
      </w:r>
      <w:proofErr w:type="spellStart"/>
      <w:r w:rsidRPr="00A314B1">
        <w:rPr>
          <w:rFonts w:ascii="Times New Roman" w:hAnsi="Times New Roman" w:cs="Times New Roman"/>
          <w:sz w:val="24"/>
          <w:szCs w:val="24"/>
          <w:lang w:val="en-US"/>
        </w:rPr>
        <w:t>Isensee</w:t>
      </w:r>
      <w:proofErr w:type="spellEnd"/>
      <w:r w:rsidRPr="00A314B1">
        <w:rPr>
          <w:rFonts w:ascii="Times New Roman" w:hAnsi="Times New Roman" w:cs="Times New Roman"/>
          <w:sz w:val="24"/>
          <w:szCs w:val="24"/>
          <w:lang w:val="en-US"/>
        </w:rPr>
        <w:t xml:space="preserve">, for instance, goes as far as portraying the judicial decisions of the </w:t>
      </w:r>
      <w:proofErr w:type="spellStart"/>
      <w:r w:rsidRPr="00A314B1">
        <w:rPr>
          <w:rFonts w:ascii="Times New Roman" w:hAnsi="Times New Roman" w:cs="Times New Roman"/>
          <w:sz w:val="24"/>
          <w:szCs w:val="24"/>
          <w:lang w:val="en-US"/>
        </w:rPr>
        <w:t>Bundesverfassungsgericht</w:t>
      </w:r>
      <w:proofErr w:type="spellEnd"/>
      <w:r w:rsidRPr="00A314B1">
        <w:rPr>
          <w:rFonts w:ascii="Times New Roman" w:hAnsi="Times New Roman" w:cs="Times New Roman"/>
          <w:sz w:val="24"/>
          <w:szCs w:val="24"/>
          <w:lang w:val="en-US"/>
        </w:rPr>
        <w:t xml:space="preserve"> as akin to papal encyclicals – Karlsruhe </w:t>
      </w:r>
      <w:proofErr w:type="spellStart"/>
      <w:r w:rsidRPr="00A314B1">
        <w:rPr>
          <w:rFonts w:ascii="Times New Roman" w:hAnsi="Times New Roman" w:cs="Times New Roman"/>
          <w:sz w:val="24"/>
          <w:szCs w:val="24"/>
          <w:lang w:val="en-US"/>
        </w:rPr>
        <w:t>locuta</w:t>
      </w:r>
      <w:proofErr w:type="spellEnd"/>
      <w:r w:rsidRPr="00A314B1">
        <w:rPr>
          <w:rFonts w:ascii="Times New Roman" w:hAnsi="Times New Roman" w:cs="Times New Roman"/>
          <w:sz w:val="24"/>
          <w:szCs w:val="24"/>
          <w:lang w:val="en-US"/>
        </w:rPr>
        <w:t xml:space="preserve">, causa </w:t>
      </w:r>
      <w:proofErr w:type="spellStart"/>
      <w:r w:rsidRPr="00A314B1">
        <w:rPr>
          <w:rFonts w:ascii="Times New Roman" w:hAnsi="Times New Roman" w:cs="Times New Roman"/>
          <w:sz w:val="24"/>
          <w:szCs w:val="24"/>
          <w:lang w:val="en-US"/>
        </w:rPr>
        <w:t>finita</w:t>
      </w:r>
      <w:proofErr w:type="spellEnd"/>
      <w:r w:rsidRPr="00A314B1">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30"/>
      </w:r>
      <w:r w:rsidRPr="00A314B1">
        <w:rPr>
          <w:rFonts w:ascii="Times New Roman" w:hAnsi="Times New Roman" w:cs="Times New Roman"/>
          <w:sz w:val="24"/>
          <w:szCs w:val="24"/>
          <w:lang w:val="en-US"/>
        </w:rPr>
        <w:t xml:space="preserve"> Again, however, these are not so much investigations which have religion as a variable, but actually an instance of the deployment of religion in order to rhetorically enforce and endorse one’s positions.</w:t>
      </w:r>
    </w:p>
    <w:p w14:paraId="71CB5508" w14:textId="77777777" w:rsidR="00E154ED" w:rsidRDefault="00E154ED" w:rsidP="00560FB8">
      <w:pPr>
        <w:spacing w:after="0" w:line="360" w:lineRule="auto"/>
        <w:jc w:val="both"/>
        <w:rPr>
          <w:rFonts w:ascii="Times New Roman" w:hAnsi="Times New Roman" w:cs="Times New Roman"/>
          <w:sz w:val="24"/>
          <w:szCs w:val="24"/>
          <w:lang w:val="en-US"/>
        </w:rPr>
      </w:pPr>
    </w:p>
    <w:p w14:paraId="0CBBC14E" w14:textId="744FE8F2" w:rsidR="00560FB8" w:rsidRPr="002D456D" w:rsidRDefault="0038646F" w:rsidP="00694910">
      <w:pPr>
        <w:pStyle w:val="Heading1"/>
        <w:rPr>
          <w:rFonts w:ascii="Times New Roman" w:hAnsi="Times New Roman" w:cs="Times New Roman"/>
          <w:color w:val="auto"/>
          <w:sz w:val="24"/>
          <w:szCs w:val="24"/>
          <w:lang w:val="en-US"/>
        </w:rPr>
      </w:pPr>
      <w:bookmarkStart w:id="4" w:name="_Toc120993773"/>
      <w:r w:rsidRPr="002D456D">
        <w:rPr>
          <w:rFonts w:ascii="Times New Roman" w:hAnsi="Times New Roman" w:cs="Times New Roman"/>
          <w:color w:val="auto"/>
          <w:sz w:val="24"/>
          <w:szCs w:val="24"/>
          <w:lang w:val="en-US"/>
        </w:rPr>
        <w:t>2</w:t>
      </w:r>
      <w:r w:rsidR="00560FB8" w:rsidRPr="002D456D">
        <w:rPr>
          <w:rFonts w:ascii="Times New Roman" w:hAnsi="Times New Roman" w:cs="Times New Roman"/>
          <w:color w:val="auto"/>
          <w:sz w:val="24"/>
          <w:szCs w:val="24"/>
          <w:lang w:val="en-US"/>
        </w:rPr>
        <w:t xml:space="preserve">. Stopping before the gates: what </w:t>
      </w:r>
      <w:r w:rsidR="00D423CE" w:rsidRPr="002D456D">
        <w:rPr>
          <w:rFonts w:ascii="Times New Roman" w:hAnsi="Times New Roman" w:cs="Times New Roman"/>
          <w:color w:val="auto"/>
          <w:sz w:val="24"/>
          <w:szCs w:val="24"/>
          <w:lang w:val="en-US"/>
        </w:rPr>
        <w:t xml:space="preserve">does </w:t>
      </w:r>
      <w:r w:rsidR="00560FB8" w:rsidRPr="002D456D">
        <w:rPr>
          <w:rFonts w:ascii="Times New Roman" w:hAnsi="Times New Roman" w:cs="Times New Roman"/>
          <w:color w:val="auto"/>
          <w:sz w:val="24"/>
          <w:szCs w:val="24"/>
          <w:lang w:val="en-US"/>
        </w:rPr>
        <w:t>architecture tell us?</w:t>
      </w:r>
      <w:bookmarkEnd w:id="4"/>
    </w:p>
    <w:p w14:paraId="19F38E4D" w14:textId="77777777" w:rsidR="00560FB8" w:rsidRPr="002D456D" w:rsidRDefault="00560FB8" w:rsidP="00560FB8">
      <w:pPr>
        <w:spacing w:after="0" w:line="360" w:lineRule="auto"/>
        <w:ind w:firstLine="1134"/>
        <w:jc w:val="both"/>
        <w:rPr>
          <w:rFonts w:ascii="Times New Roman" w:hAnsi="Times New Roman" w:cs="Times New Roman"/>
          <w:sz w:val="24"/>
          <w:szCs w:val="24"/>
          <w:lang w:val="en-US"/>
        </w:rPr>
      </w:pPr>
    </w:p>
    <w:p w14:paraId="1E2BC381" w14:textId="77777777" w:rsidR="00694910" w:rsidRDefault="00DF1D03" w:rsidP="0016306A">
      <w:pPr>
        <w:spacing w:after="0" w:line="360" w:lineRule="auto"/>
        <w:ind w:firstLine="1134"/>
        <w:jc w:val="both"/>
        <w:rPr>
          <w:rFonts w:ascii="Times New Roman" w:hAnsi="Times New Roman" w:cs="Times New Roman"/>
          <w:sz w:val="24"/>
          <w:szCs w:val="24"/>
          <w:lang w:val="en-US"/>
        </w:rPr>
      </w:pPr>
      <w:r w:rsidRPr="002D456D">
        <w:rPr>
          <w:rFonts w:ascii="Times New Roman" w:hAnsi="Times New Roman" w:cs="Times New Roman"/>
          <w:sz w:val="24"/>
          <w:szCs w:val="24"/>
          <w:lang w:val="en-US"/>
        </w:rPr>
        <w:t xml:space="preserve">In the endeavor of enrolling individuals to partake in at times highly codified and </w:t>
      </w:r>
      <w:r w:rsidR="00D423CE" w:rsidRPr="002D456D">
        <w:rPr>
          <w:rFonts w:ascii="Times New Roman" w:hAnsi="Times New Roman" w:cs="Times New Roman"/>
          <w:sz w:val="24"/>
          <w:szCs w:val="24"/>
          <w:lang w:val="en-US"/>
        </w:rPr>
        <w:t>technical</w:t>
      </w:r>
      <w:r w:rsidRPr="002D456D">
        <w:rPr>
          <w:rFonts w:ascii="Times New Roman" w:hAnsi="Times New Roman" w:cs="Times New Roman"/>
          <w:sz w:val="24"/>
          <w:szCs w:val="24"/>
          <w:lang w:val="en-US"/>
        </w:rPr>
        <w:t xml:space="preserve"> communication, buildings</w:t>
      </w:r>
      <w:r>
        <w:rPr>
          <w:rFonts w:ascii="Times New Roman" w:hAnsi="Times New Roman" w:cs="Times New Roman"/>
          <w:sz w:val="24"/>
          <w:szCs w:val="24"/>
          <w:lang w:val="en-US"/>
        </w:rPr>
        <w:t>, their façade</w:t>
      </w:r>
      <w:r w:rsidR="00E24D2D">
        <w:rPr>
          <w:rFonts w:ascii="Times New Roman" w:hAnsi="Times New Roman" w:cs="Times New Roman"/>
          <w:sz w:val="24"/>
          <w:szCs w:val="24"/>
          <w:lang w:val="en-US"/>
        </w:rPr>
        <w:t>,</w:t>
      </w:r>
      <w:r>
        <w:rPr>
          <w:rFonts w:ascii="Times New Roman" w:hAnsi="Times New Roman" w:cs="Times New Roman"/>
          <w:sz w:val="24"/>
          <w:szCs w:val="24"/>
          <w:lang w:val="en-US"/>
        </w:rPr>
        <w:t xml:space="preserve"> and </w:t>
      </w:r>
      <w:r w:rsidR="00E24D2D">
        <w:rPr>
          <w:rFonts w:ascii="Times New Roman" w:hAnsi="Times New Roman" w:cs="Times New Roman"/>
          <w:sz w:val="24"/>
          <w:szCs w:val="24"/>
          <w:lang w:val="en-US"/>
        </w:rPr>
        <w:t xml:space="preserve">their </w:t>
      </w:r>
      <w:r>
        <w:rPr>
          <w:rFonts w:ascii="Times New Roman" w:hAnsi="Times New Roman" w:cs="Times New Roman"/>
          <w:sz w:val="24"/>
          <w:szCs w:val="24"/>
          <w:lang w:val="en-US"/>
        </w:rPr>
        <w:t>internal organization have a crucial role.</w:t>
      </w:r>
      <w:r w:rsidR="0096664D">
        <w:rPr>
          <w:rStyle w:val="FootnoteReference"/>
          <w:rFonts w:ascii="Times New Roman" w:hAnsi="Times New Roman" w:cs="Times New Roman"/>
          <w:sz w:val="24"/>
          <w:szCs w:val="24"/>
          <w:lang w:val="en-US"/>
        </w:rPr>
        <w:footnoteReference w:id="31"/>
      </w:r>
      <w:r>
        <w:rPr>
          <w:rFonts w:ascii="Times New Roman" w:hAnsi="Times New Roman" w:cs="Times New Roman"/>
          <w:sz w:val="24"/>
          <w:szCs w:val="24"/>
          <w:lang w:val="en-US"/>
        </w:rPr>
        <w:t xml:space="preserve"> As one enters a courthouse,</w:t>
      </w:r>
      <w:r w:rsidR="005235CD">
        <w:rPr>
          <w:rFonts w:ascii="Times New Roman" w:hAnsi="Times New Roman" w:cs="Times New Roman"/>
          <w:sz w:val="24"/>
          <w:szCs w:val="24"/>
          <w:lang w:val="en-US"/>
        </w:rPr>
        <w:t xml:space="preserve"> either as one of its performers, its supporting staff or as a part of the audience,</w:t>
      </w:r>
      <w:r>
        <w:rPr>
          <w:rFonts w:ascii="Times New Roman" w:hAnsi="Times New Roman" w:cs="Times New Roman"/>
          <w:sz w:val="24"/>
          <w:szCs w:val="24"/>
          <w:lang w:val="en-US"/>
        </w:rPr>
        <w:t xml:space="preserve"> one should have more than enough to realize she crossed the gates of the law, behaving accordingly so that the chain of operations and the administration of justice</w:t>
      </w:r>
      <w:r w:rsidR="0096664D">
        <w:rPr>
          <w:rFonts w:ascii="Times New Roman" w:hAnsi="Times New Roman" w:cs="Times New Roman"/>
          <w:sz w:val="24"/>
          <w:szCs w:val="24"/>
          <w:lang w:val="en-US"/>
        </w:rPr>
        <w:t xml:space="preserve"> may</w:t>
      </w:r>
      <w:r>
        <w:rPr>
          <w:rFonts w:ascii="Times New Roman" w:hAnsi="Times New Roman" w:cs="Times New Roman"/>
          <w:sz w:val="24"/>
          <w:szCs w:val="24"/>
          <w:lang w:val="en-US"/>
        </w:rPr>
        <w:t xml:space="preserve"> run providentially as possible</w:t>
      </w:r>
      <w:r w:rsidR="0096664D">
        <w:rPr>
          <w:rFonts w:ascii="Times New Roman" w:hAnsi="Times New Roman" w:cs="Times New Roman"/>
          <w:sz w:val="24"/>
          <w:szCs w:val="24"/>
          <w:lang w:val="en-US"/>
        </w:rPr>
        <w:t xml:space="preserve"> – Justice is </w:t>
      </w:r>
      <w:r w:rsidR="0096664D" w:rsidRPr="0096664D">
        <w:rPr>
          <w:rFonts w:ascii="Times New Roman" w:hAnsi="Times New Roman" w:cs="Times New Roman"/>
          <w:i/>
          <w:iCs/>
          <w:sz w:val="24"/>
          <w:szCs w:val="24"/>
          <w:lang w:val="en-US"/>
        </w:rPr>
        <w:t>seen</w:t>
      </w:r>
      <w:r w:rsidR="0096664D">
        <w:rPr>
          <w:rFonts w:ascii="Times New Roman" w:hAnsi="Times New Roman" w:cs="Times New Roman"/>
          <w:sz w:val="24"/>
          <w:szCs w:val="24"/>
          <w:lang w:val="en-US"/>
        </w:rPr>
        <w:t xml:space="preserve"> done</w:t>
      </w:r>
      <w:r>
        <w:rPr>
          <w:rFonts w:ascii="Times New Roman" w:hAnsi="Times New Roman" w:cs="Times New Roman"/>
          <w:sz w:val="24"/>
          <w:szCs w:val="24"/>
          <w:lang w:val="en-US"/>
        </w:rPr>
        <w:t xml:space="preserve">. </w:t>
      </w:r>
    </w:p>
    <w:p w14:paraId="71FD35BD" w14:textId="663B9B3C" w:rsidR="00694910" w:rsidRDefault="00694910" w:rsidP="00694910">
      <w:pPr>
        <w:spacing w:after="0" w:line="360" w:lineRule="auto"/>
        <w:ind w:firstLine="1134"/>
        <w:jc w:val="both"/>
        <w:rPr>
          <w:rFonts w:ascii="Times New Roman" w:hAnsi="Times New Roman" w:cs="Times New Roman"/>
          <w:sz w:val="24"/>
          <w:szCs w:val="24"/>
          <w:lang w:val="en-US"/>
        </w:rPr>
      </w:pPr>
      <w:r w:rsidRPr="00694910">
        <w:rPr>
          <w:rFonts w:ascii="Times New Roman" w:hAnsi="Times New Roman" w:cs="Times New Roman"/>
          <w:sz w:val="24"/>
          <w:szCs w:val="24"/>
          <w:lang w:val="en-US"/>
        </w:rPr>
        <w:t xml:space="preserve">As fascination warrants the enrollment of individuals’ consciences and bodies for the sake of social communication, it also distributes those consciences and bodies, in terms of different roles. Relying on Rudolf </w:t>
      </w:r>
      <w:proofErr w:type="spellStart"/>
      <w:r w:rsidRPr="00694910">
        <w:rPr>
          <w:rFonts w:ascii="Times New Roman" w:hAnsi="Times New Roman" w:cs="Times New Roman"/>
          <w:sz w:val="24"/>
          <w:szCs w:val="24"/>
          <w:lang w:val="en-US"/>
        </w:rPr>
        <w:t>Stichweh’s</w:t>
      </w:r>
      <w:proofErr w:type="spellEnd"/>
      <w:r w:rsidRPr="00694910">
        <w:rPr>
          <w:rFonts w:ascii="Times New Roman" w:hAnsi="Times New Roman" w:cs="Times New Roman"/>
          <w:sz w:val="24"/>
          <w:szCs w:val="24"/>
          <w:lang w:val="en-US"/>
        </w:rPr>
        <w:t xml:space="preserve"> development of this part of </w:t>
      </w:r>
      <w:proofErr w:type="spellStart"/>
      <w:r w:rsidRPr="00694910">
        <w:rPr>
          <w:rFonts w:ascii="Times New Roman" w:hAnsi="Times New Roman" w:cs="Times New Roman"/>
          <w:sz w:val="24"/>
          <w:szCs w:val="24"/>
          <w:lang w:val="en-US"/>
        </w:rPr>
        <w:lastRenderedPageBreak/>
        <w:t>Luhmann’s</w:t>
      </w:r>
      <w:proofErr w:type="spellEnd"/>
      <w:r w:rsidRPr="00694910">
        <w:rPr>
          <w:rFonts w:ascii="Times New Roman" w:hAnsi="Times New Roman" w:cs="Times New Roman"/>
          <w:sz w:val="24"/>
          <w:szCs w:val="24"/>
          <w:lang w:val="en-US"/>
        </w:rPr>
        <w:t xml:space="preserve"> conceptual equipment,</w:t>
      </w:r>
      <w:r>
        <w:rPr>
          <w:rStyle w:val="FootnoteReference"/>
          <w:rFonts w:ascii="Times New Roman" w:hAnsi="Times New Roman" w:cs="Times New Roman"/>
          <w:sz w:val="24"/>
          <w:szCs w:val="24"/>
          <w:lang w:val="en-US"/>
        </w:rPr>
        <w:footnoteReference w:id="32"/>
      </w:r>
      <w:r w:rsidRPr="00694910">
        <w:rPr>
          <w:rFonts w:ascii="Times New Roman" w:hAnsi="Times New Roman" w:cs="Times New Roman"/>
          <w:sz w:val="24"/>
          <w:szCs w:val="24"/>
          <w:lang w:val="en-US"/>
        </w:rPr>
        <w:t xml:space="preserve"> it makes sense to distinguish between performance-roles, which organize the array of professions devoted to an organization’s tasks, such as judges, lawyers, and clerks, and those who are the subject of such performances, in the sense of audience-roles, which may range from very determinate positions, such as those of the parties to a given legal dispute, to more indeterminate roles, going from politicians, for instance, to “the people” themselves. Each role corresponds to a more or less cultivated figure of inclusion and a corresponding network of schemes, scripts, and semantic patterns, whose development cut across the material, temporal, and social dimensions of meaning. There is, however, borderline cases, in which individuals who otherwise belong to the indeterminate audience of an organization partake into the production and preservation of its communicative conditions, that is, communication’s fascination. Architects, engineers, and construction workers, but also cleaning and kitchen staff are great examples thereof. From my perspective, this is what makes buildings and their architecture a very relevant source, alongside any kind of register on how individuals pertaining to the audience behaved in such spaces – both offer a glimpse of how legal communications and their identity are seen by those immersed in their surroundings and corners.</w:t>
      </w:r>
    </w:p>
    <w:p w14:paraId="23AB22DE" w14:textId="2BDDAB31" w:rsidR="00CF12FA" w:rsidRDefault="005235CD" w:rsidP="0016306A">
      <w:pPr>
        <w:spacing w:after="0" w:line="360" w:lineRule="auto"/>
        <w:ind w:firstLine="113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present headquarters of the US Supreme Court and the German Federal Constitutional Court both </w:t>
      </w:r>
      <w:r w:rsidR="00D423CE">
        <w:rPr>
          <w:rFonts w:ascii="Times New Roman" w:hAnsi="Times New Roman" w:cs="Times New Roman"/>
          <w:sz w:val="24"/>
          <w:szCs w:val="24"/>
          <w:lang w:val="en-US"/>
        </w:rPr>
        <w:t xml:space="preserve">followed </w:t>
      </w:r>
      <w:r>
        <w:rPr>
          <w:rFonts w:ascii="Times New Roman" w:hAnsi="Times New Roman" w:cs="Times New Roman"/>
          <w:sz w:val="24"/>
          <w:szCs w:val="24"/>
          <w:lang w:val="en-US"/>
        </w:rPr>
        <w:t xml:space="preserve">their institutions’ bootstrap. As architects, </w:t>
      </w:r>
      <w:r w:rsidR="00D423CE">
        <w:rPr>
          <w:rFonts w:ascii="Times New Roman" w:hAnsi="Times New Roman" w:cs="Times New Roman"/>
          <w:sz w:val="24"/>
          <w:szCs w:val="24"/>
          <w:lang w:val="en-US"/>
        </w:rPr>
        <w:t>engineers</w:t>
      </w:r>
      <w:r>
        <w:rPr>
          <w:rFonts w:ascii="Times New Roman" w:hAnsi="Times New Roman" w:cs="Times New Roman"/>
          <w:sz w:val="24"/>
          <w:szCs w:val="24"/>
          <w:lang w:val="en-US"/>
        </w:rPr>
        <w:t>, sculptors</w:t>
      </w:r>
      <w:r w:rsidR="0096664D">
        <w:rPr>
          <w:rFonts w:ascii="Times New Roman" w:hAnsi="Times New Roman" w:cs="Times New Roman"/>
          <w:sz w:val="24"/>
          <w:szCs w:val="24"/>
          <w:lang w:val="en-US"/>
        </w:rPr>
        <w:t xml:space="preserve">, construction workers and many </w:t>
      </w:r>
      <w:r>
        <w:rPr>
          <w:rFonts w:ascii="Times New Roman" w:hAnsi="Times New Roman" w:cs="Times New Roman"/>
          <w:sz w:val="24"/>
          <w:szCs w:val="24"/>
          <w:lang w:val="en-US"/>
        </w:rPr>
        <w:t>others worked to bring whether Washington’s Marble Palace (1935) or Karlsruhe’s Walls of Glass</w:t>
      </w:r>
      <w:r w:rsidR="0096664D">
        <w:rPr>
          <w:rFonts w:ascii="Times New Roman" w:hAnsi="Times New Roman" w:cs="Times New Roman"/>
          <w:sz w:val="24"/>
          <w:szCs w:val="24"/>
          <w:lang w:val="en-US"/>
        </w:rPr>
        <w:t xml:space="preserve"> (1969)</w:t>
      </w:r>
      <w:r>
        <w:rPr>
          <w:rFonts w:ascii="Times New Roman" w:hAnsi="Times New Roman" w:cs="Times New Roman"/>
          <w:sz w:val="24"/>
          <w:szCs w:val="24"/>
          <w:lang w:val="en-US"/>
        </w:rPr>
        <w:t xml:space="preserve"> to completion, </w:t>
      </w:r>
      <w:r w:rsidR="0096664D">
        <w:rPr>
          <w:rFonts w:ascii="Times New Roman" w:hAnsi="Times New Roman" w:cs="Times New Roman"/>
          <w:sz w:val="24"/>
          <w:szCs w:val="24"/>
          <w:lang w:val="en-US"/>
        </w:rPr>
        <w:t>they had before them volumes of paperwork comprehending the imaginary space of each organization to translate into the material dimension of entrances, corridors, rooms, and walls. To the extent that the dynamics of reoccupations</w:t>
      </w:r>
      <w:r w:rsidR="00E06077">
        <w:rPr>
          <w:rFonts w:ascii="Times New Roman" w:hAnsi="Times New Roman" w:cs="Times New Roman"/>
          <w:sz w:val="24"/>
          <w:szCs w:val="24"/>
          <w:lang w:val="en-US"/>
        </w:rPr>
        <w:t xml:space="preserve"> engender</w:t>
      </w:r>
      <w:r w:rsidR="0096664D">
        <w:rPr>
          <w:rFonts w:ascii="Times New Roman" w:hAnsi="Times New Roman" w:cs="Times New Roman"/>
          <w:sz w:val="24"/>
          <w:szCs w:val="24"/>
          <w:lang w:val="en-US"/>
        </w:rPr>
        <w:t xml:space="preserve"> </w:t>
      </w:r>
      <w:r w:rsidR="00E06077">
        <w:rPr>
          <w:rFonts w:ascii="Times New Roman" w:hAnsi="Times New Roman" w:cs="Times New Roman"/>
          <w:sz w:val="24"/>
          <w:szCs w:val="24"/>
          <w:lang w:val="en-US"/>
        </w:rPr>
        <w:t>a constellation of truly elusive phenomena</w:t>
      </w:r>
      <w:r w:rsidR="0016306A">
        <w:rPr>
          <w:rFonts w:ascii="Times New Roman" w:hAnsi="Times New Roman" w:cs="Times New Roman"/>
          <w:sz w:val="24"/>
          <w:szCs w:val="24"/>
          <w:lang w:val="en-US"/>
        </w:rPr>
        <w:t xml:space="preserve"> – metaphors, latent identities, </w:t>
      </w:r>
      <w:proofErr w:type="spellStart"/>
      <w:r w:rsidR="0016306A">
        <w:rPr>
          <w:rFonts w:ascii="Times New Roman" w:hAnsi="Times New Roman" w:cs="Times New Roman"/>
          <w:sz w:val="24"/>
          <w:szCs w:val="24"/>
          <w:lang w:val="en-US"/>
        </w:rPr>
        <w:t>prefigurations</w:t>
      </w:r>
      <w:proofErr w:type="spellEnd"/>
      <w:r w:rsidR="0016306A">
        <w:rPr>
          <w:rFonts w:ascii="Times New Roman" w:hAnsi="Times New Roman" w:cs="Times New Roman"/>
          <w:sz w:val="24"/>
          <w:szCs w:val="24"/>
          <w:lang w:val="en-US"/>
        </w:rPr>
        <w:t xml:space="preserve">, </w:t>
      </w:r>
      <w:proofErr w:type="spellStart"/>
      <w:r w:rsidR="0016306A">
        <w:rPr>
          <w:rFonts w:ascii="Times New Roman" w:hAnsi="Times New Roman" w:cs="Times New Roman"/>
          <w:sz w:val="24"/>
          <w:szCs w:val="24"/>
          <w:lang w:val="en-US"/>
        </w:rPr>
        <w:t>mirrorings</w:t>
      </w:r>
      <w:proofErr w:type="spellEnd"/>
      <w:r w:rsidR="0016306A">
        <w:rPr>
          <w:rFonts w:ascii="Times New Roman" w:hAnsi="Times New Roman" w:cs="Times New Roman"/>
          <w:sz w:val="24"/>
          <w:szCs w:val="24"/>
          <w:lang w:val="en-US"/>
        </w:rPr>
        <w:t xml:space="preserve"> and so forth</w:t>
      </w:r>
      <w:r w:rsidR="00213B97">
        <w:rPr>
          <w:rFonts w:ascii="Times New Roman" w:hAnsi="Times New Roman" w:cs="Times New Roman"/>
          <w:sz w:val="24"/>
          <w:szCs w:val="24"/>
          <w:lang w:val="en-US"/>
        </w:rPr>
        <w:t>,</w:t>
      </w:r>
      <w:r w:rsidR="0016306A">
        <w:rPr>
          <w:rFonts w:ascii="Times New Roman" w:hAnsi="Times New Roman" w:cs="Times New Roman"/>
          <w:sz w:val="24"/>
          <w:szCs w:val="24"/>
          <w:lang w:val="en-US"/>
        </w:rPr>
        <w:t xml:space="preserve"> –</w:t>
      </w:r>
      <w:r w:rsidR="00E06077">
        <w:rPr>
          <w:rFonts w:ascii="Times New Roman" w:hAnsi="Times New Roman" w:cs="Times New Roman"/>
          <w:sz w:val="24"/>
          <w:szCs w:val="24"/>
          <w:lang w:val="en-US"/>
        </w:rPr>
        <w:t xml:space="preserve"> maybe we do well </w:t>
      </w:r>
      <w:r w:rsidR="0016306A">
        <w:rPr>
          <w:rFonts w:ascii="Times New Roman" w:hAnsi="Times New Roman" w:cs="Times New Roman"/>
          <w:sz w:val="24"/>
          <w:szCs w:val="24"/>
          <w:lang w:val="en-US"/>
        </w:rPr>
        <w:t xml:space="preserve">to </w:t>
      </w:r>
      <w:r w:rsidR="00E95075">
        <w:rPr>
          <w:rFonts w:ascii="Times New Roman" w:hAnsi="Times New Roman" w:cs="Times New Roman"/>
          <w:sz w:val="24"/>
          <w:szCs w:val="24"/>
          <w:lang w:val="en-US"/>
        </w:rPr>
        <w:t xml:space="preserve">get started </w:t>
      </w:r>
      <w:r w:rsidR="000C5F85">
        <w:rPr>
          <w:rFonts w:ascii="Times New Roman" w:hAnsi="Times New Roman" w:cs="Times New Roman"/>
          <w:sz w:val="24"/>
          <w:szCs w:val="24"/>
          <w:lang w:val="en-US"/>
        </w:rPr>
        <w:t>by</w:t>
      </w:r>
      <w:r w:rsidR="00E06077">
        <w:rPr>
          <w:rFonts w:ascii="Times New Roman" w:hAnsi="Times New Roman" w:cs="Times New Roman"/>
          <w:sz w:val="24"/>
          <w:szCs w:val="24"/>
          <w:lang w:val="en-US"/>
        </w:rPr>
        <w:t xml:space="preserve"> letting the stones</w:t>
      </w:r>
      <w:r w:rsidR="0016306A">
        <w:rPr>
          <w:rFonts w:ascii="Times New Roman" w:hAnsi="Times New Roman" w:cs="Times New Roman"/>
          <w:sz w:val="24"/>
          <w:szCs w:val="24"/>
          <w:lang w:val="en-US"/>
        </w:rPr>
        <w:t xml:space="preserve"> themselves</w:t>
      </w:r>
      <w:r w:rsidR="00E06077">
        <w:rPr>
          <w:rFonts w:ascii="Times New Roman" w:hAnsi="Times New Roman" w:cs="Times New Roman"/>
          <w:sz w:val="24"/>
          <w:szCs w:val="24"/>
          <w:lang w:val="en-US"/>
        </w:rPr>
        <w:t xml:space="preserve"> </w:t>
      </w:r>
      <w:r w:rsidR="0016306A">
        <w:rPr>
          <w:rFonts w:ascii="Times New Roman" w:hAnsi="Times New Roman" w:cs="Times New Roman"/>
          <w:sz w:val="24"/>
          <w:szCs w:val="24"/>
          <w:lang w:val="en-US"/>
        </w:rPr>
        <w:t>testify about what was written upon them</w:t>
      </w:r>
      <w:r w:rsidR="00E06077">
        <w:rPr>
          <w:rFonts w:ascii="Times New Roman" w:hAnsi="Times New Roman" w:cs="Times New Roman"/>
          <w:sz w:val="24"/>
          <w:szCs w:val="24"/>
          <w:lang w:val="en-US"/>
        </w:rPr>
        <w:t>.</w:t>
      </w:r>
    </w:p>
    <w:p w14:paraId="2FA6E5F5" w14:textId="3470AF78" w:rsidR="00560FB8" w:rsidRDefault="00E154ED" w:rsidP="00E154ED">
      <w:pPr>
        <w:spacing w:after="0" w:line="360" w:lineRule="auto"/>
        <w:ind w:firstLine="1134"/>
        <w:jc w:val="both"/>
        <w:rPr>
          <w:rFonts w:ascii="Times New Roman" w:hAnsi="Times New Roman" w:cs="Times New Roman"/>
          <w:sz w:val="24"/>
          <w:szCs w:val="24"/>
          <w:lang w:val="en-US"/>
        </w:rPr>
      </w:pPr>
      <w:r>
        <w:rPr>
          <w:rFonts w:ascii="Times New Roman" w:hAnsi="Times New Roman" w:cs="Times New Roman"/>
          <w:sz w:val="24"/>
          <w:szCs w:val="24"/>
          <w:lang w:val="en-US"/>
        </w:rPr>
        <w:t>One of such phenomena bring</w:t>
      </w:r>
      <w:r w:rsidR="000C5F85">
        <w:rPr>
          <w:rFonts w:ascii="Times New Roman" w:hAnsi="Times New Roman" w:cs="Times New Roman"/>
          <w:sz w:val="24"/>
          <w:szCs w:val="24"/>
          <w:lang w:val="en-US"/>
        </w:rPr>
        <w:t>s</w:t>
      </w:r>
      <w:r>
        <w:rPr>
          <w:rFonts w:ascii="Times New Roman" w:hAnsi="Times New Roman" w:cs="Times New Roman"/>
          <w:sz w:val="24"/>
          <w:szCs w:val="24"/>
          <w:lang w:val="en-US"/>
        </w:rPr>
        <w:t xml:space="preserve"> together the US Supreme Court building, the Marble Palace, and the famous </w:t>
      </w:r>
      <w:r w:rsidRPr="00E154ED">
        <w:rPr>
          <w:rFonts w:ascii="Times New Roman" w:hAnsi="Times New Roman" w:cs="Times New Roman"/>
          <w:i/>
          <w:iCs/>
          <w:sz w:val="24"/>
          <w:szCs w:val="24"/>
          <w:lang w:val="en-US"/>
        </w:rPr>
        <w:t>Calvin</w:t>
      </w:r>
      <w:r>
        <w:rPr>
          <w:rFonts w:ascii="Times New Roman" w:hAnsi="Times New Roman" w:cs="Times New Roman"/>
          <w:i/>
          <w:iCs/>
          <w:sz w:val="24"/>
          <w:szCs w:val="24"/>
          <w:lang w:val="en-US"/>
        </w:rPr>
        <w:t>’s</w:t>
      </w:r>
      <w:r w:rsidRPr="00E154ED">
        <w:rPr>
          <w:rFonts w:ascii="Times New Roman" w:hAnsi="Times New Roman" w:cs="Times New Roman"/>
          <w:i/>
          <w:iCs/>
          <w:sz w:val="24"/>
          <w:szCs w:val="24"/>
          <w:lang w:val="en-US"/>
        </w:rPr>
        <w:t xml:space="preserve"> case</w:t>
      </w:r>
      <w:r>
        <w:rPr>
          <w:rFonts w:ascii="Times New Roman" w:hAnsi="Times New Roman" w:cs="Times New Roman"/>
          <w:sz w:val="24"/>
          <w:szCs w:val="24"/>
          <w:lang w:val="en-US"/>
        </w:rPr>
        <w:t xml:space="preserve">. Approaching this constellation chronologically, let me begin with the latter. One can hardly ascertain whatever Edward Coke had in mind when reporting the notorious </w:t>
      </w:r>
      <w:r w:rsidRPr="00CF13C0">
        <w:rPr>
          <w:rFonts w:ascii="Times New Roman" w:hAnsi="Times New Roman" w:cs="Times New Roman"/>
          <w:i/>
          <w:iCs/>
          <w:sz w:val="24"/>
          <w:szCs w:val="24"/>
          <w:lang w:val="en-US"/>
        </w:rPr>
        <w:t>Calvin’s Case</w:t>
      </w:r>
      <w:r>
        <w:rPr>
          <w:rFonts w:ascii="Times New Roman" w:hAnsi="Times New Roman" w:cs="Times New Roman"/>
          <w:sz w:val="24"/>
          <w:szCs w:val="24"/>
          <w:lang w:val="en-US"/>
        </w:rPr>
        <w:t xml:space="preserve">. This is especially the case </w:t>
      </w:r>
      <w:r>
        <w:rPr>
          <w:rFonts w:ascii="Times New Roman" w:hAnsi="Times New Roman" w:cs="Times New Roman"/>
          <w:sz w:val="24"/>
          <w:szCs w:val="24"/>
          <w:lang w:val="en-US"/>
        </w:rPr>
        <w:lastRenderedPageBreak/>
        <w:t>as he turns to gloss the “law of nature” under which the “</w:t>
      </w:r>
      <w:proofErr w:type="spellStart"/>
      <w:r>
        <w:rPr>
          <w:rFonts w:ascii="Times New Roman" w:hAnsi="Times New Roman" w:cs="Times New Roman"/>
          <w:sz w:val="24"/>
          <w:szCs w:val="24"/>
          <w:lang w:val="en-US"/>
        </w:rPr>
        <w:t>ligeance</w:t>
      </w:r>
      <w:proofErr w:type="spellEnd"/>
      <w:r>
        <w:rPr>
          <w:rFonts w:ascii="Times New Roman" w:hAnsi="Times New Roman" w:cs="Times New Roman"/>
          <w:sz w:val="24"/>
          <w:szCs w:val="24"/>
          <w:lang w:val="en-US"/>
        </w:rPr>
        <w:t xml:space="preserve"> or obedience of the subject to the Sovereign is due.” “[B]y this law, written with the finger of God in the heart of man,” Coke expounds, “were the people of God a long time governed before the law was written by Moses, who was the first reporter or writer of law in the world.”</w:t>
      </w:r>
      <w:r>
        <w:rPr>
          <w:rStyle w:val="FootnoteReference"/>
          <w:rFonts w:ascii="Times New Roman" w:hAnsi="Times New Roman" w:cs="Times New Roman"/>
          <w:sz w:val="24"/>
          <w:szCs w:val="24"/>
          <w:lang w:val="en-US"/>
        </w:rPr>
        <w:footnoteReference w:id="33"/>
      </w:r>
      <w:r>
        <w:rPr>
          <w:rFonts w:ascii="Times New Roman" w:hAnsi="Times New Roman" w:cs="Times New Roman"/>
          <w:sz w:val="24"/>
          <w:szCs w:val="24"/>
          <w:lang w:val="en-US"/>
        </w:rPr>
        <w:t xml:space="preserve">  </w:t>
      </w:r>
      <w:r w:rsidR="00D423CE">
        <w:rPr>
          <w:rFonts w:ascii="Times New Roman" w:hAnsi="Times New Roman" w:cs="Times New Roman"/>
          <w:sz w:val="24"/>
          <w:szCs w:val="24"/>
          <w:lang w:val="en-US"/>
        </w:rPr>
        <w:t xml:space="preserve">On </w:t>
      </w:r>
      <w:r w:rsidR="00560FB8">
        <w:rPr>
          <w:rFonts w:ascii="Times New Roman" w:hAnsi="Times New Roman" w:cs="Times New Roman"/>
          <w:sz w:val="24"/>
          <w:szCs w:val="24"/>
          <w:lang w:val="en-US"/>
        </w:rPr>
        <w:t>the other side of this historical chain, one must notice how what could have been only a</w:t>
      </w:r>
      <w:r w:rsidR="00213B97">
        <w:rPr>
          <w:rFonts w:ascii="Times New Roman" w:hAnsi="Times New Roman" w:cs="Times New Roman"/>
          <w:sz w:val="24"/>
          <w:szCs w:val="24"/>
          <w:lang w:val="en-US"/>
        </w:rPr>
        <w:t xml:space="preserve"> pompous </w:t>
      </w:r>
      <w:r w:rsidR="00560FB8">
        <w:rPr>
          <w:rFonts w:ascii="Times New Roman" w:hAnsi="Times New Roman" w:cs="Times New Roman"/>
          <w:sz w:val="24"/>
          <w:szCs w:val="24"/>
          <w:lang w:val="en-US"/>
        </w:rPr>
        <w:t>metaphor became literal as stone and metal. Moses figures shoulde</w:t>
      </w:r>
      <w:r w:rsidR="00213B97">
        <w:rPr>
          <w:rFonts w:ascii="Times New Roman" w:hAnsi="Times New Roman" w:cs="Times New Roman"/>
          <w:sz w:val="24"/>
          <w:szCs w:val="24"/>
          <w:lang w:val="en-US"/>
        </w:rPr>
        <w:t xml:space="preserve">r to </w:t>
      </w:r>
      <w:r w:rsidR="00560FB8">
        <w:rPr>
          <w:rFonts w:ascii="Times New Roman" w:hAnsi="Times New Roman" w:cs="Times New Roman"/>
          <w:sz w:val="24"/>
          <w:szCs w:val="24"/>
          <w:lang w:val="en-US"/>
        </w:rPr>
        <w:t>shoulder with Confucius and Solon on the east pediment of the US Supreme Court’s Marble Palace,</w:t>
      </w:r>
      <w:r w:rsidR="00560FB8">
        <w:rPr>
          <w:rStyle w:val="FootnoteReference"/>
          <w:rFonts w:ascii="Times New Roman" w:hAnsi="Times New Roman" w:cs="Times New Roman"/>
          <w:sz w:val="24"/>
          <w:szCs w:val="24"/>
          <w:lang w:val="en-US"/>
        </w:rPr>
        <w:footnoteReference w:id="34"/>
      </w:r>
      <w:r w:rsidR="00560FB8">
        <w:rPr>
          <w:rFonts w:ascii="Times New Roman" w:hAnsi="Times New Roman" w:cs="Times New Roman"/>
          <w:sz w:val="24"/>
          <w:szCs w:val="24"/>
          <w:lang w:val="en-US"/>
        </w:rPr>
        <w:t xml:space="preserve"> while its thirteen tons’ bronze doors at the front depict eight historic scenes on “the development of the law.” They range from the Shield of Achilles to the Magna Charta</w:t>
      </w:r>
      <w:r w:rsidR="008E1022">
        <w:rPr>
          <w:rFonts w:ascii="Times New Roman" w:hAnsi="Times New Roman" w:cs="Times New Roman"/>
          <w:sz w:val="24"/>
          <w:szCs w:val="24"/>
          <w:lang w:val="en-US"/>
        </w:rPr>
        <w:t xml:space="preserve">, depicting rightly after </w:t>
      </w:r>
      <w:r w:rsidR="00560FB8">
        <w:rPr>
          <w:rFonts w:ascii="Times New Roman" w:hAnsi="Times New Roman" w:cs="Times New Roman"/>
          <w:sz w:val="24"/>
          <w:szCs w:val="24"/>
          <w:lang w:val="en-US"/>
        </w:rPr>
        <w:t xml:space="preserve">the confrontation between Coke and James I in </w:t>
      </w:r>
      <w:r w:rsidR="00560FB8" w:rsidRPr="00984CC5">
        <w:rPr>
          <w:rFonts w:ascii="Times New Roman" w:hAnsi="Times New Roman" w:cs="Times New Roman"/>
          <w:i/>
          <w:iCs/>
          <w:sz w:val="24"/>
          <w:szCs w:val="24"/>
          <w:lang w:val="en-US"/>
        </w:rPr>
        <w:t>Calvin</w:t>
      </w:r>
      <w:r w:rsidR="00560FB8">
        <w:rPr>
          <w:rFonts w:ascii="Times New Roman" w:hAnsi="Times New Roman" w:cs="Times New Roman"/>
          <w:sz w:val="24"/>
          <w:szCs w:val="24"/>
          <w:lang w:val="en-US"/>
        </w:rPr>
        <w:t>, to conclude with Chief Justice John Marshall handing the Marbury v. Madison decision to Justice Joseph Story.</w:t>
      </w:r>
      <w:r w:rsidR="00560FB8">
        <w:rPr>
          <w:rStyle w:val="FootnoteReference"/>
          <w:rFonts w:ascii="Times New Roman" w:hAnsi="Times New Roman" w:cs="Times New Roman"/>
          <w:sz w:val="24"/>
          <w:szCs w:val="24"/>
          <w:lang w:val="en-US"/>
        </w:rPr>
        <w:footnoteReference w:id="35"/>
      </w:r>
    </w:p>
    <w:p w14:paraId="30D0B482" w14:textId="48BC0C76" w:rsidR="00560FB8" w:rsidRDefault="00560FB8" w:rsidP="00560FB8">
      <w:pPr>
        <w:spacing w:after="0" w:line="360" w:lineRule="auto"/>
        <w:ind w:firstLine="1134"/>
        <w:jc w:val="both"/>
        <w:rPr>
          <w:rFonts w:ascii="Times New Roman" w:hAnsi="Times New Roman" w:cs="Times New Roman"/>
          <w:sz w:val="24"/>
          <w:szCs w:val="24"/>
          <w:lang w:val="en-US"/>
        </w:rPr>
      </w:pPr>
      <w:r>
        <w:rPr>
          <w:rFonts w:ascii="Times New Roman" w:hAnsi="Times New Roman" w:cs="Times New Roman"/>
          <w:sz w:val="24"/>
          <w:szCs w:val="24"/>
          <w:lang w:val="en-US"/>
        </w:rPr>
        <w:t>Interestingly, on July 5</w:t>
      </w:r>
      <w:r w:rsidR="00D423CE">
        <w:rPr>
          <w:rFonts w:ascii="Times New Roman" w:hAnsi="Times New Roman" w:cs="Times New Roman"/>
          <w:sz w:val="24"/>
          <w:szCs w:val="24"/>
          <w:lang w:val="en-US"/>
        </w:rPr>
        <w:t>,</w:t>
      </w:r>
      <w:r>
        <w:rPr>
          <w:rFonts w:ascii="Times New Roman" w:hAnsi="Times New Roman" w:cs="Times New Roman"/>
          <w:sz w:val="24"/>
          <w:szCs w:val="24"/>
          <w:lang w:val="en-US"/>
        </w:rPr>
        <w:t xml:space="preserve"> 1936, historians were quick to point out the apparent historical inadequacy of portraying Marshall giving the decision to Story, who was appointed to the court only 8 years later</w:t>
      </w:r>
      <w:r w:rsidR="008E1022">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8E1022">
        <w:rPr>
          <w:rFonts w:ascii="Times New Roman" w:hAnsi="Times New Roman" w:cs="Times New Roman"/>
          <w:sz w:val="24"/>
          <w:szCs w:val="24"/>
          <w:lang w:val="en-US"/>
        </w:rPr>
        <w:t>T</w:t>
      </w:r>
      <w:r>
        <w:rPr>
          <w:rFonts w:ascii="Times New Roman" w:hAnsi="Times New Roman" w:cs="Times New Roman"/>
          <w:sz w:val="24"/>
          <w:szCs w:val="24"/>
          <w:lang w:val="en-US"/>
        </w:rPr>
        <w:t>he fact ma</w:t>
      </w:r>
      <w:r w:rsidR="008E1022">
        <w:rPr>
          <w:rFonts w:ascii="Times New Roman" w:hAnsi="Times New Roman" w:cs="Times New Roman"/>
          <w:sz w:val="24"/>
          <w:szCs w:val="24"/>
          <w:lang w:val="en-US"/>
        </w:rPr>
        <w:t>de</w:t>
      </w:r>
      <w:r>
        <w:rPr>
          <w:rFonts w:ascii="Times New Roman" w:hAnsi="Times New Roman" w:cs="Times New Roman"/>
          <w:sz w:val="24"/>
          <w:szCs w:val="24"/>
          <w:lang w:val="en-US"/>
        </w:rPr>
        <w:t xml:space="preserve"> its way to the first page of The New York Times.</w:t>
      </w:r>
      <w:r>
        <w:rPr>
          <w:rStyle w:val="FootnoteReference"/>
          <w:rFonts w:ascii="Times New Roman" w:hAnsi="Times New Roman" w:cs="Times New Roman"/>
          <w:sz w:val="24"/>
          <w:szCs w:val="24"/>
          <w:lang w:val="en-US"/>
        </w:rPr>
        <w:footnoteReference w:id="36"/>
      </w:r>
      <w:r>
        <w:rPr>
          <w:rFonts w:ascii="Times New Roman" w:hAnsi="Times New Roman" w:cs="Times New Roman"/>
          <w:sz w:val="24"/>
          <w:szCs w:val="24"/>
          <w:lang w:val="en-US"/>
        </w:rPr>
        <w:t xml:space="preserve"> Nevertheless, as </w:t>
      </w:r>
      <w:r w:rsidR="008C2526">
        <w:rPr>
          <w:rFonts w:ascii="Times New Roman" w:hAnsi="Times New Roman" w:cs="Times New Roman"/>
          <w:sz w:val="24"/>
          <w:szCs w:val="24"/>
          <w:lang w:val="en-US"/>
        </w:rPr>
        <w:t>different</w:t>
      </w:r>
      <w:r>
        <w:rPr>
          <w:rFonts w:ascii="Times New Roman" w:hAnsi="Times New Roman" w:cs="Times New Roman"/>
          <w:sz w:val="24"/>
          <w:szCs w:val="24"/>
          <w:lang w:val="en-US"/>
        </w:rPr>
        <w:t xml:space="preserve"> sculptors gathered together Moses, Coke, Marshall and Story, this </w:t>
      </w:r>
      <w:r w:rsidR="00E24D2D">
        <w:rPr>
          <w:rFonts w:ascii="Times New Roman" w:hAnsi="Times New Roman" w:cs="Times New Roman"/>
          <w:sz w:val="24"/>
          <w:szCs w:val="24"/>
          <w:lang w:val="en-US"/>
        </w:rPr>
        <w:t>first</w:t>
      </w:r>
      <w:r>
        <w:rPr>
          <w:rFonts w:ascii="Times New Roman" w:hAnsi="Times New Roman" w:cs="Times New Roman"/>
          <w:sz w:val="24"/>
          <w:szCs w:val="24"/>
          <w:lang w:val="en-US"/>
        </w:rPr>
        <w:t xml:space="preserve"> speaks to the need for history in contrast to the experience of history</w:t>
      </w:r>
      <w:r w:rsidR="00E24D2D">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E24D2D">
        <w:rPr>
          <w:rFonts w:ascii="Times New Roman" w:hAnsi="Times New Roman" w:cs="Times New Roman"/>
          <w:sz w:val="24"/>
          <w:szCs w:val="24"/>
          <w:lang w:val="en-US"/>
        </w:rPr>
        <w:t>Second, it</w:t>
      </w:r>
      <w:r>
        <w:rPr>
          <w:rFonts w:ascii="Times New Roman" w:hAnsi="Times New Roman" w:cs="Times New Roman"/>
          <w:sz w:val="24"/>
          <w:szCs w:val="24"/>
          <w:lang w:val="en-US"/>
        </w:rPr>
        <w:t xml:space="preserve"> also </w:t>
      </w:r>
      <w:proofErr w:type="gramStart"/>
      <w:r w:rsidR="00E24D2D">
        <w:rPr>
          <w:rFonts w:ascii="Times New Roman" w:hAnsi="Times New Roman" w:cs="Times New Roman"/>
          <w:sz w:val="24"/>
          <w:szCs w:val="24"/>
          <w:lang w:val="en-US"/>
        </w:rPr>
        <w:t>show</w:t>
      </w:r>
      <w:proofErr w:type="gramEnd"/>
      <w:r>
        <w:rPr>
          <w:rFonts w:ascii="Times New Roman" w:hAnsi="Times New Roman" w:cs="Times New Roman"/>
          <w:sz w:val="24"/>
          <w:szCs w:val="24"/>
          <w:lang w:val="en-US"/>
        </w:rPr>
        <w:t xml:space="preserve"> </w:t>
      </w:r>
      <w:r w:rsidRPr="00C646B3">
        <w:rPr>
          <w:rFonts w:ascii="Times New Roman" w:hAnsi="Times New Roman" w:cs="Times New Roman"/>
          <w:i/>
          <w:iCs/>
          <w:sz w:val="24"/>
          <w:szCs w:val="24"/>
          <w:lang w:val="en-US"/>
        </w:rPr>
        <w:t>pace</w:t>
      </w:r>
      <w:r>
        <w:rPr>
          <w:rFonts w:ascii="Times New Roman" w:hAnsi="Times New Roman" w:cs="Times New Roman"/>
          <w:sz w:val="24"/>
          <w:szCs w:val="24"/>
          <w:lang w:val="en-US"/>
        </w:rPr>
        <w:t xml:space="preserve"> contemporary historiographic wisdom how Story was of crucial significance for the reception and consecration of what </w:t>
      </w:r>
      <w:r w:rsidRPr="00FD0041">
        <w:rPr>
          <w:rFonts w:ascii="Times New Roman" w:hAnsi="Times New Roman" w:cs="Times New Roman"/>
          <w:i/>
          <w:iCs/>
          <w:sz w:val="24"/>
          <w:szCs w:val="24"/>
          <w:lang w:val="en-US"/>
        </w:rPr>
        <w:t>Marbury v. Madison</w:t>
      </w:r>
      <w:r>
        <w:rPr>
          <w:rFonts w:ascii="Times New Roman" w:hAnsi="Times New Roman" w:cs="Times New Roman"/>
          <w:sz w:val="24"/>
          <w:szCs w:val="24"/>
          <w:lang w:val="en-US"/>
        </w:rPr>
        <w:t xml:space="preserve"> came to mean, making room for the mirroring constitutive of the bronze doors.</w:t>
      </w:r>
      <w:r w:rsidR="006079FD">
        <w:rPr>
          <w:rStyle w:val="FootnoteReference"/>
          <w:rFonts w:ascii="Times New Roman" w:hAnsi="Times New Roman" w:cs="Times New Roman"/>
          <w:sz w:val="24"/>
          <w:szCs w:val="24"/>
          <w:lang w:val="en-US"/>
        </w:rPr>
        <w:footnoteReference w:id="37"/>
      </w:r>
    </w:p>
    <w:p w14:paraId="51A9A429" w14:textId="77777777" w:rsidR="00560FB8" w:rsidRDefault="00560FB8" w:rsidP="00560FB8">
      <w:pPr>
        <w:spacing w:after="0" w:line="360" w:lineRule="auto"/>
        <w:ind w:firstLine="1134"/>
        <w:jc w:val="both"/>
        <w:rPr>
          <w:rFonts w:ascii="Times New Roman" w:hAnsi="Times New Roman" w:cs="Times New Roman"/>
          <w:sz w:val="24"/>
          <w:szCs w:val="24"/>
          <w:lang w:val="en-US"/>
        </w:rPr>
      </w:pPr>
      <w:r>
        <w:rPr>
          <w:noProof/>
          <w:lang w:eastAsia="pt-BR"/>
        </w:rPr>
        <w:lastRenderedPageBreak/>
        <w:drawing>
          <wp:anchor distT="0" distB="0" distL="114300" distR="114300" simplePos="0" relativeHeight="251660288" behindDoc="0" locked="0" layoutInCell="1" allowOverlap="1" wp14:anchorId="0ECF9AC2" wp14:editId="4D70B7E0">
            <wp:simplePos x="0" y="0"/>
            <wp:positionH relativeFrom="column">
              <wp:posOffset>-51435</wp:posOffset>
            </wp:positionH>
            <wp:positionV relativeFrom="paragraph">
              <wp:posOffset>135255</wp:posOffset>
            </wp:positionV>
            <wp:extent cx="2419350" cy="3568065"/>
            <wp:effectExtent l="0" t="0" r="0" b="0"/>
            <wp:wrapSquare wrapText="bothSides"/>
            <wp:docPr id="6" name="Picture 6" descr="postal - massive sliding bronze doors of the su - Buy Old Postcards from  America at todocoleccion - 101472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stal - massive sliding bronze doors of the su - Buy Old Postcards from  America at todocoleccion - 101472995"/>
                    <pic:cNvPicPr>
                      <a:picLocks noChangeAspect="1" noChangeArrowheads="1"/>
                    </pic:cNvPicPr>
                  </pic:nvPicPr>
                  <pic:blipFill rotWithShape="1">
                    <a:blip r:embed="rId8">
                      <a:extLst>
                        <a:ext uri="{28A0092B-C50C-407E-A947-70E740481C1C}">
                          <a14:useLocalDpi xmlns:a14="http://schemas.microsoft.com/office/drawing/2010/main" val="0"/>
                        </a:ext>
                      </a:extLst>
                    </a:blip>
                    <a:srcRect l="10883" t="6122" r="9601" b="5934"/>
                    <a:stretch/>
                  </pic:blipFill>
                  <pic:spPr bwMode="auto">
                    <a:xfrm>
                      <a:off x="0" y="0"/>
                      <a:ext cx="2419350" cy="3568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pt-BR"/>
        </w:rPr>
        <w:drawing>
          <wp:anchor distT="0" distB="0" distL="114300" distR="114300" simplePos="0" relativeHeight="251659264" behindDoc="0" locked="0" layoutInCell="1" allowOverlap="1" wp14:anchorId="784AFD70" wp14:editId="6FE9B58F">
            <wp:simplePos x="0" y="0"/>
            <wp:positionH relativeFrom="column">
              <wp:posOffset>2555875</wp:posOffset>
            </wp:positionH>
            <wp:positionV relativeFrom="paragraph">
              <wp:posOffset>281940</wp:posOffset>
            </wp:positionV>
            <wp:extent cx="3381375" cy="3386455"/>
            <wp:effectExtent l="0" t="0" r="9525" b="444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81375" cy="3386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0B96ED" w14:textId="3B3A4CB7" w:rsidR="00560FB8" w:rsidRDefault="00560FB8" w:rsidP="00560FB8">
      <w:pPr>
        <w:spacing w:after="0" w:line="360" w:lineRule="auto"/>
        <w:ind w:firstLine="1134"/>
        <w:jc w:val="both"/>
        <w:rPr>
          <w:rFonts w:ascii="Times New Roman" w:hAnsi="Times New Roman" w:cs="Times New Roman"/>
          <w:sz w:val="24"/>
          <w:szCs w:val="24"/>
          <w:lang w:val="en-US"/>
        </w:rPr>
      </w:pPr>
    </w:p>
    <w:p w14:paraId="7BAA00B9" w14:textId="469DD3DC" w:rsidR="00560FB8" w:rsidRDefault="007E5180" w:rsidP="00560FB8">
      <w:pPr>
        <w:spacing w:after="0" w:line="360" w:lineRule="auto"/>
        <w:ind w:firstLine="1134"/>
        <w:jc w:val="both"/>
        <w:rPr>
          <w:rFonts w:ascii="Times New Roman" w:hAnsi="Times New Roman" w:cs="Times New Roman"/>
          <w:sz w:val="24"/>
          <w:szCs w:val="24"/>
          <w:lang w:val="en-US"/>
        </w:rPr>
      </w:pPr>
      <w:r>
        <w:rPr>
          <w:noProof/>
          <w:lang w:eastAsia="pt-BR"/>
        </w:rPr>
        <w:drawing>
          <wp:anchor distT="0" distB="0" distL="114300" distR="114300" simplePos="0" relativeHeight="251662336" behindDoc="0" locked="0" layoutInCell="1" allowOverlap="1" wp14:anchorId="73E72329" wp14:editId="2672F8A7">
            <wp:simplePos x="0" y="0"/>
            <wp:positionH relativeFrom="margin">
              <wp:posOffset>-400050</wp:posOffset>
            </wp:positionH>
            <wp:positionV relativeFrom="paragraph">
              <wp:posOffset>217170</wp:posOffset>
            </wp:positionV>
            <wp:extent cx="2969260" cy="1933575"/>
            <wp:effectExtent l="0" t="0" r="254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9260"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pt-BR"/>
        </w:rPr>
        <w:drawing>
          <wp:anchor distT="0" distB="0" distL="114300" distR="114300" simplePos="0" relativeHeight="251661312" behindDoc="0" locked="0" layoutInCell="1" allowOverlap="1" wp14:anchorId="09420EF0" wp14:editId="4C022785">
            <wp:simplePos x="0" y="0"/>
            <wp:positionH relativeFrom="column">
              <wp:posOffset>2729865</wp:posOffset>
            </wp:positionH>
            <wp:positionV relativeFrom="paragraph">
              <wp:posOffset>11430</wp:posOffset>
            </wp:positionV>
            <wp:extent cx="3181350" cy="2216150"/>
            <wp:effectExtent l="0" t="0" r="0" b="0"/>
            <wp:wrapSquare wrapText="bothSides"/>
            <wp:docPr id="7" name="Picture 7" descr="Hermon MacNeil's Supreme Court Sculptures: ~ ~ ~ Moses Revisited ~ ~ ~ ::  Hermon A. MacN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rmon MacNeil's Supreme Court Sculptures: ~ ~ ~ Moses Revisited ~ ~ ~ ::  Hermon A. MacNeil"/>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25000"/>
                              </a14:imgEffect>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3181350" cy="2216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066BB3" w14:textId="6AF2582D" w:rsidR="00560FB8" w:rsidRDefault="00560FB8" w:rsidP="00560FB8">
      <w:pPr>
        <w:spacing w:after="0" w:line="360" w:lineRule="auto"/>
        <w:jc w:val="both"/>
        <w:rPr>
          <w:rFonts w:ascii="Times New Roman" w:hAnsi="Times New Roman" w:cs="Times New Roman"/>
          <w:sz w:val="24"/>
          <w:szCs w:val="24"/>
          <w:lang w:val="en-US"/>
        </w:rPr>
      </w:pPr>
    </w:p>
    <w:p w14:paraId="2ED2B344" w14:textId="0C7048D6" w:rsidR="001A461A" w:rsidRDefault="00560FB8" w:rsidP="00560FB8">
      <w:pPr>
        <w:spacing w:after="0" w:line="360" w:lineRule="auto"/>
        <w:ind w:firstLine="113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comparison to the somehow kitsch amalgam of legal-theological relics, the “walls of glass” of the </w:t>
      </w:r>
      <w:proofErr w:type="spellStart"/>
      <w:r w:rsidRPr="00973D25">
        <w:rPr>
          <w:rFonts w:ascii="Times New Roman" w:hAnsi="Times New Roman" w:cs="Times New Roman"/>
          <w:i/>
          <w:iCs/>
          <w:sz w:val="24"/>
          <w:szCs w:val="24"/>
          <w:lang w:val="en-US"/>
        </w:rPr>
        <w:t>Bundesverfassungsgericht</w:t>
      </w:r>
      <w:proofErr w:type="spellEnd"/>
      <w:r>
        <w:rPr>
          <w:rFonts w:ascii="Times New Roman" w:hAnsi="Times New Roman" w:cs="Times New Roman"/>
          <w:sz w:val="24"/>
          <w:szCs w:val="24"/>
          <w:lang w:val="en-US"/>
        </w:rPr>
        <w:t xml:space="preserve"> strike as a rather stern, iconoclast edifice. If the claim that constitutional deliberation should be seen as a kind of ceremony holds some water,</w:t>
      </w:r>
      <w:r w:rsidR="008E1022">
        <w:rPr>
          <w:rStyle w:val="FootnoteReference"/>
          <w:rFonts w:ascii="Times New Roman" w:hAnsi="Times New Roman" w:cs="Times New Roman"/>
          <w:sz w:val="24"/>
          <w:szCs w:val="24"/>
          <w:lang w:val="en-US"/>
        </w:rPr>
        <w:footnoteReference w:id="38"/>
      </w:r>
      <w:r>
        <w:rPr>
          <w:rFonts w:ascii="Times New Roman" w:hAnsi="Times New Roman" w:cs="Times New Roman"/>
          <w:sz w:val="24"/>
          <w:szCs w:val="24"/>
          <w:lang w:val="en-US"/>
        </w:rPr>
        <w:t xml:space="preserve"> especially as one notices that like the US Supreme Court, justice’s administration preceded its </w:t>
      </w:r>
      <w:r w:rsidR="00E55F31">
        <w:rPr>
          <w:rFonts w:ascii="Times New Roman" w:hAnsi="Times New Roman" w:cs="Times New Roman"/>
          <w:sz w:val="24"/>
          <w:szCs w:val="24"/>
          <w:lang w:val="en-US"/>
        </w:rPr>
        <w:t>setting</w:t>
      </w:r>
      <w:r>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39"/>
      </w:r>
      <w:r>
        <w:rPr>
          <w:rFonts w:ascii="Times New Roman" w:hAnsi="Times New Roman" w:cs="Times New Roman"/>
          <w:sz w:val="24"/>
          <w:szCs w:val="24"/>
          <w:lang w:val="en-US"/>
        </w:rPr>
        <w:t xml:space="preserve"> one could even advance a doctrinal correspondence for its obvious choice for “transparency</w:t>
      </w:r>
      <w:r w:rsidR="008E1022">
        <w:rPr>
          <w:rFonts w:ascii="Times New Roman" w:hAnsi="Times New Roman" w:cs="Times New Roman"/>
          <w:sz w:val="24"/>
          <w:szCs w:val="24"/>
          <w:lang w:val="en-US"/>
        </w:rPr>
        <w:t xml:space="preserve">.” A correspondence, therefore, between the </w:t>
      </w:r>
      <w:r w:rsidR="008E1022">
        <w:rPr>
          <w:rFonts w:ascii="Times New Roman" w:hAnsi="Times New Roman" w:cs="Times New Roman"/>
          <w:sz w:val="24"/>
          <w:szCs w:val="24"/>
          <w:lang w:val="en-US"/>
        </w:rPr>
        <w:lastRenderedPageBreak/>
        <w:t>“material” and “social dimensions” of meaning, the “medial substrate” and the “semantic apparatus” of constitutional adjudication.</w:t>
      </w:r>
    </w:p>
    <w:p w14:paraId="075EB4A2" w14:textId="4AC27C64" w:rsidR="00560FB8" w:rsidRDefault="00462E17" w:rsidP="00560FB8">
      <w:pPr>
        <w:spacing w:after="0" w:line="360" w:lineRule="auto"/>
        <w:ind w:firstLine="1134"/>
        <w:jc w:val="both"/>
        <w:rPr>
          <w:rFonts w:ascii="Times New Roman" w:hAnsi="Times New Roman" w:cs="Times New Roman"/>
          <w:sz w:val="24"/>
          <w:szCs w:val="24"/>
          <w:lang w:val="en-US"/>
        </w:rPr>
      </w:pPr>
      <w:r>
        <w:rPr>
          <w:rFonts w:ascii="Times New Roman" w:hAnsi="Times New Roman" w:cs="Times New Roman"/>
          <w:sz w:val="24"/>
          <w:szCs w:val="24"/>
          <w:lang w:val="en-US"/>
        </w:rPr>
        <w:t>In contrast to the windowless, baroque buildings of imperial courts,</w:t>
      </w:r>
      <w:r>
        <w:rPr>
          <w:rStyle w:val="FootnoteReference"/>
          <w:rFonts w:ascii="Times New Roman" w:hAnsi="Times New Roman" w:cs="Times New Roman"/>
          <w:sz w:val="24"/>
          <w:szCs w:val="24"/>
          <w:lang w:val="en-US"/>
        </w:rPr>
        <w:footnoteReference w:id="40"/>
      </w:r>
      <w:r>
        <w:rPr>
          <w:rFonts w:ascii="Times New Roman" w:hAnsi="Times New Roman" w:cs="Times New Roman"/>
          <w:sz w:val="24"/>
          <w:szCs w:val="24"/>
          <w:lang w:val="en-US"/>
        </w:rPr>
        <w:t xml:space="preserve"> prone to secrecy as even Hegel thought necessary to underscore,</w:t>
      </w:r>
      <w:r>
        <w:rPr>
          <w:rStyle w:val="FootnoteReference"/>
          <w:rFonts w:ascii="Times New Roman" w:hAnsi="Times New Roman" w:cs="Times New Roman"/>
          <w:sz w:val="24"/>
          <w:szCs w:val="24"/>
          <w:lang w:val="en-US"/>
        </w:rPr>
        <w:footnoteReference w:id="41"/>
      </w:r>
      <w:r>
        <w:rPr>
          <w:rFonts w:ascii="Times New Roman" w:hAnsi="Times New Roman" w:cs="Times New Roman"/>
          <w:sz w:val="24"/>
          <w:szCs w:val="24"/>
          <w:lang w:val="en-US"/>
        </w:rPr>
        <w:t xml:space="preserve"> the choice for glass could be felt as embodying the rupture </w:t>
      </w:r>
      <w:r w:rsidR="00E24D2D">
        <w:rPr>
          <w:rFonts w:ascii="Times New Roman" w:hAnsi="Times New Roman" w:cs="Times New Roman"/>
          <w:sz w:val="24"/>
          <w:szCs w:val="24"/>
          <w:lang w:val="en-US"/>
        </w:rPr>
        <w:t xml:space="preserve">that </w:t>
      </w:r>
      <w:r>
        <w:rPr>
          <w:rFonts w:ascii="Times New Roman" w:hAnsi="Times New Roman" w:cs="Times New Roman"/>
          <w:sz w:val="24"/>
          <w:szCs w:val="24"/>
          <w:lang w:val="en-US"/>
        </w:rPr>
        <w:t>constitutional scholarship tirelessly emphasized “constitutional adjudication” represented to “the German constitutional tradition.”</w:t>
      </w:r>
      <w:r>
        <w:rPr>
          <w:rStyle w:val="FootnoteReference"/>
          <w:rFonts w:ascii="Times New Roman" w:hAnsi="Times New Roman" w:cs="Times New Roman"/>
          <w:sz w:val="24"/>
          <w:szCs w:val="24"/>
          <w:lang w:val="en-US"/>
        </w:rPr>
        <w:footnoteReference w:id="42"/>
      </w:r>
      <w:r>
        <w:rPr>
          <w:rFonts w:ascii="Times New Roman" w:hAnsi="Times New Roman" w:cs="Times New Roman"/>
          <w:sz w:val="24"/>
          <w:szCs w:val="24"/>
          <w:lang w:val="en-US"/>
        </w:rPr>
        <w:t xml:space="preserve"> Correspondingly, t</w:t>
      </w:r>
      <w:r w:rsidR="008F3BD4">
        <w:rPr>
          <w:rFonts w:ascii="Times New Roman" w:hAnsi="Times New Roman" w:cs="Times New Roman"/>
          <w:sz w:val="24"/>
          <w:szCs w:val="24"/>
          <w:lang w:val="en-US"/>
        </w:rPr>
        <w:t>he choice for transparency</w:t>
      </w:r>
      <w:r w:rsidR="00560FB8">
        <w:rPr>
          <w:rFonts w:ascii="Times New Roman" w:hAnsi="Times New Roman" w:cs="Times New Roman"/>
          <w:sz w:val="24"/>
          <w:szCs w:val="24"/>
          <w:lang w:val="en-US"/>
        </w:rPr>
        <w:t xml:space="preserve"> could perfectly speak to the development of post-war “Bonn” constitutional jurisprudence, as Karlsruhe counterposed the natural law inclinations of the court across the street, with the laicity of an “objective order of values.” </w:t>
      </w:r>
    </w:p>
    <w:p w14:paraId="7411E22E" w14:textId="54BB8A0A" w:rsidR="000A005C" w:rsidRDefault="000A005C" w:rsidP="004F1CE6">
      <w:pPr>
        <w:pStyle w:val="FootnoteText"/>
        <w:spacing w:line="360" w:lineRule="auto"/>
        <w:ind w:firstLine="1134"/>
        <w:jc w:val="both"/>
        <w:rPr>
          <w:rFonts w:ascii="Times New Roman" w:hAnsi="Times New Roman" w:cs="Times New Roman"/>
          <w:sz w:val="24"/>
          <w:szCs w:val="24"/>
          <w:lang w:val="en-US"/>
        </w:rPr>
      </w:pPr>
      <w:r>
        <w:rPr>
          <w:rFonts w:ascii="Times New Roman" w:hAnsi="Times New Roman" w:cs="Times New Roman"/>
          <w:sz w:val="24"/>
          <w:szCs w:val="24"/>
          <w:lang w:val="en-US"/>
        </w:rPr>
        <w:t>The tone of rupture has been highlighted by</w:t>
      </w:r>
      <w:r w:rsidR="00462E17">
        <w:rPr>
          <w:rFonts w:ascii="Times New Roman" w:hAnsi="Times New Roman" w:cs="Times New Roman"/>
          <w:sz w:val="24"/>
          <w:szCs w:val="24"/>
          <w:lang w:val="en-US"/>
        </w:rPr>
        <w:t xml:space="preserve"> one leading German constitutional scholar, Stephan</w:t>
      </w:r>
      <w:r w:rsidR="00462E17" w:rsidRPr="00462E17">
        <w:rPr>
          <w:rFonts w:ascii="Times New Roman" w:hAnsi="Times New Roman" w:cs="Times New Roman"/>
          <w:sz w:val="24"/>
          <w:szCs w:val="24"/>
          <w:lang w:val="en-US"/>
        </w:rPr>
        <w:t xml:space="preserve"> </w:t>
      </w:r>
      <w:proofErr w:type="spellStart"/>
      <w:r w:rsidR="00462E17" w:rsidRPr="00462E17">
        <w:rPr>
          <w:rFonts w:ascii="Times New Roman" w:hAnsi="Times New Roman" w:cs="Times New Roman"/>
          <w:sz w:val="24"/>
          <w:szCs w:val="24"/>
          <w:lang w:val="en-US"/>
        </w:rPr>
        <w:t>K</w:t>
      </w:r>
      <w:r>
        <w:rPr>
          <w:rFonts w:ascii="Times New Roman" w:hAnsi="Times New Roman" w:cs="Times New Roman"/>
          <w:sz w:val="24"/>
          <w:szCs w:val="24"/>
          <w:lang w:val="en-US"/>
        </w:rPr>
        <w:t>orioth</w:t>
      </w:r>
      <w:proofErr w:type="spellEnd"/>
      <w:r>
        <w:rPr>
          <w:rFonts w:ascii="Times New Roman" w:hAnsi="Times New Roman" w:cs="Times New Roman"/>
          <w:sz w:val="24"/>
          <w:szCs w:val="24"/>
          <w:lang w:val="en-US"/>
        </w:rPr>
        <w:t>. I</w:t>
      </w:r>
      <w:r w:rsidR="00462E17" w:rsidRPr="00462E17">
        <w:rPr>
          <w:rFonts w:ascii="Times New Roman" w:hAnsi="Times New Roman" w:cs="Times New Roman"/>
          <w:sz w:val="24"/>
          <w:szCs w:val="24"/>
          <w:lang w:val="en-US"/>
        </w:rPr>
        <w:t>n contrast to the “renaissance of natural law”</w:t>
      </w:r>
      <w:r w:rsidR="003B2947">
        <w:rPr>
          <w:rFonts w:ascii="Times New Roman" w:hAnsi="Times New Roman" w:cs="Times New Roman"/>
          <w:sz w:val="24"/>
          <w:szCs w:val="24"/>
          <w:lang w:val="en-US"/>
        </w:rPr>
        <w:t xml:space="preserve"> and its confessional, religious thrust,</w:t>
      </w:r>
      <w:r w:rsidR="00462E17" w:rsidRPr="00462E17">
        <w:rPr>
          <w:rFonts w:ascii="Times New Roman" w:hAnsi="Times New Roman" w:cs="Times New Roman"/>
          <w:sz w:val="24"/>
          <w:szCs w:val="24"/>
          <w:lang w:val="en-US"/>
        </w:rPr>
        <w:t xml:space="preserve"> which was at its peak across German legal circles, the “order of values” case law on fundamental rights that marked the first decades of the German constitutional court </w:t>
      </w:r>
      <w:r w:rsidR="00462E17" w:rsidRPr="004F1CE6">
        <w:rPr>
          <w:rFonts w:ascii="Times New Roman" w:hAnsi="Times New Roman" w:cs="Times New Roman"/>
          <w:sz w:val="24"/>
          <w:szCs w:val="24"/>
          <w:lang w:val="en-US"/>
        </w:rPr>
        <w:t>would have “immunized constitutional law vis-à-vis confessional influences.</w:t>
      </w:r>
      <w:r>
        <w:rPr>
          <w:rFonts w:ascii="Times New Roman" w:hAnsi="Times New Roman" w:cs="Times New Roman"/>
          <w:sz w:val="24"/>
          <w:szCs w:val="24"/>
          <w:lang w:val="en-US"/>
        </w:rPr>
        <w:t xml:space="preserve"> </w:t>
      </w:r>
      <w:r w:rsidR="003B2947">
        <w:rPr>
          <w:rFonts w:ascii="Times New Roman" w:hAnsi="Times New Roman" w:cs="Times New Roman"/>
          <w:sz w:val="24"/>
          <w:szCs w:val="24"/>
          <w:lang w:val="en-US"/>
        </w:rPr>
        <w:t>T</w:t>
      </w:r>
      <w:r w:rsidR="00462E17" w:rsidRPr="004F1CE6">
        <w:rPr>
          <w:rFonts w:ascii="Times New Roman" w:hAnsi="Times New Roman" w:cs="Times New Roman"/>
          <w:sz w:val="24"/>
          <w:szCs w:val="24"/>
          <w:lang w:val="en-US"/>
        </w:rPr>
        <w:t xml:space="preserve">he thought of an order of values was a counter-project to natural law thinking, which certainly and opportunely impregnated the case law of the </w:t>
      </w:r>
      <w:proofErr w:type="spellStart"/>
      <w:r w:rsidR="00462E17" w:rsidRPr="004F1CE6">
        <w:rPr>
          <w:rFonts w:ascii="Times New Roman" w:hAnsi="Times New Roman" w:cs="Times New Roman"/>
          <w:i/>
          <w:sz w:val="24"/>
          <w:szCs w:val="24"/>
          <w:lang w:val="en-US"/>
        </w:rPr>
        <w:t>Bundesgerichtshof</w:t>
      </w:r>
      <w:proofErr w:type="spellEnd"/>
      <w:r w:rsidR="00462E17" w:rsidRPr="004F1CE6">
        <w:rPr>
          <w:rFonts w:ascii="Times New Roman" w:hAnsi="Times New Roman" w:cs="Times New Roman"/>
          <w:sz w:val="24"/>
          <w:szCs w:val="24"/>
          <w:lang w:val="en-US"/>
        </w:rPr>
        <w:t xml:space="preserve"> in</w:t>
      </w:r>
      <w:r w:rsidR="00462E17" w:rsidRPr="00462E17">
        <w:rPr>
          <w:rFonts w:ascii="Times New Roman" w:hAnsi="Times New Roman" w:cs="Times New Roman"/>
          <w:sz w:val="24"/>
          <w:szCs w:val="24"/>
          <w:lang w:val="en-US"/>
        </w:rPr>
        <w:t xml:space="preserve"> the</w:t>
      </w:r>
      <w:r w:rsidR="00462E17" w:rsidRPr="004F1CE6">
        <w:rPr>
          <w:rFonts w:ascii="Times New Roman" w:hAnsi="Times New Roman" w:cs="Times New Roman"/>
          <w:sz w:val="24"/>
          <w:szCs w:val="24"/>
          <w:lang w:val="en-US"/>
        </w:rPr>
        <w:t xml:space="preserve"> post-war era[.]”</w:t>
      </w:r>
      <w:r w:rsidR="00462E17" w:rsidRPr="00462E17">
        <w:rPr>
          <w:rStyle w:val="FootnoteReference"/>
          <w:rFonts w:ascii="Times New Roman" w:hAnsi="Times New Roman" w:cs="Times New Roman"/>
          <w:sz w:val="24"/>
          <w:szCs w:val="24"/>
          <w:lang w:val="en-US"/>
        </w:rPr>
        <w:footnoteReference w:id="43"/>
      </w:r>
      <w:r w:rsidR="00462E17" w:rsidRPr="00462E17">
        <w:rPr>
          <w:rFonts w:ascii="Times New Roman" w:hAnsi="Times New Roman" w:cs="Times New Roman"/>
          <w:sz w:val="24"/>
          <w:szCs w:val="24"/>
          <w:lang w:val="en-US"/>
        </w:rPr>
        <w:t xml:space="preserve"> </w:t>
      </w:r>
    </w:p>
    <w:p w14:paraId="61F572DF" w14:textId="3D67A98A" w:rsidR="00462E17" w:rsidRDefault="00462E17" w:rsidP="004F1CE6">
      <w:pPr>
        <w:pStyle w:val="FootnoteText"/>
        <w:spacing w:line="360" w:lineRule="auto"/>
        <w:ind w:firstLine="1134"/>
        <w:jc w:val="both"/>
        <w:rPr>
          <w:rFonts w:ascii="Times New Roman" w:hAnsi="Times New Roman" w:cs="Times New Roman"/>
          <w:sz w:val="24"/>
          <w:szCs w:val="24"/>
          <w:lang w:val="en-US"/>
        </w:rPr>
      </w:pPr>
      <w:r w:rsidRPr="004F1CE6">
        <w:rPr>
          <w:rFonts w:ascii="Times New Roman" w:hAnsi="Times New Roman" w:cs="Times New Roman"/>
          <w:sz w:val="24"/>
          <w:szCs w:val="24"/>
          <w:lang w:val="en-US"/>
        </w:rPr>
        <w:t xml:space="preserve">Although properly discussed </w:t>
      </w:r>
      <w:r w:rsidR="00D423CE">
        <w:rPr>
          <w:rFonts w:ascii="Times New Roman" w:hAnsi="Times New Roman" w:cs="Times New Roman"/>
          <w:sz w:val="24"/>
          <w:szCs w:val="24"/>
          <w:lang w:val="en-US"/>
        </w:rPr>
        <w:t>i</w:t>
      </w:r>
      <w:r w:rsidRPr="004F1CE6">
        <w:rPr>
          <w:rFonts w:ascii="Times New Roman" w:hAnsi="Times New Roman" w:cs="Times New Roman"/>
          <w:sz w:val="24"/>
          <w:szCs w:val="24"/>
          <w:lang w:val="en-US"/>
        </w:rPr>
        <w:t xml:space="preserve">n part two of this work, I partially agree with </w:t>
      </w:r>
      <w:proofErr w:type="spellStart"/>
      <w:r w:rsidRPr="004F1CE6">
        <w:rPr>
          <w:rFonts w:ascii="Times New Roman" w:hAnsi="Times New Roman" w:cs="Times New Roman"/>
          <w:sz w:val="24"/>
          <w:szCs w:val="24"/>
          <w:lang w:val="en-US"/>
        </w:rPr>
        <w:t>Korioth</w:t>
      </w:r>
      <w:proofErr w:type="spellEnd"/>
      <w:r w:rsidRPr="004F1CE6">
        <w:rPr>
          <w:rFonts w:ascii="Times New Roman" w:hAnsi="Times New Roman" w:cs="Times New Roman"/>
          <w:sz w:val="24"/>
          <w:szCs w:val="24"/>
          <w:lang w:val="en-US"/>
        </w:rPr>
        <w:t xml:space="preserve">. The cultivation of semantic patterns such as those organized around the notion </w:t>
      </w:r>
      <w:r w:rsidRPr="004F1CE6">
        <w:rPr>
          <w:rFonts w:ascii="Times New Roman" w:hAnsi="Times New Roman" w:cs="Times New Roman"/>
          <w:sz w:val="24"/>
          <w:szCs w:val="24"/>
          <w:lang w:val="en-US"/>
        </w:rPr>
        <w:lastRenderedPageBreak/>
        <w:t>of an “order of values” worked as a sort of “rationalization,” following the initial reoccupation and instrumentalization of Christian embedded positions. Yet, to what extent this rationalization actually “immunized” constitutional law against confessional influences appear</w:t>
      </w:r>
      <w:r w:rsidR="00D423CE">
        <w:rPr>
          <w:rFonts w:ascii="Times New Roman" w:hAnsi="Times New Roman" w:cs="Times New Roman"/>
          <w:sz w:val="24"/>
          <w:szCs w:val="24"/>
          <w:lang w:val="en-US"/>
        </w:rPr>
        <w:t>s</w:t>
      </w:r>
      <w:r w:rsidRPr="004F1CE6">
        <w:rPr>
          <w:rFonts w:ascii="Times New Roman" w:hAnsi="Times New Roman" w:cs="Times New Roman"/>
          <w:sz w:val="24"/>
          <w:szCs w:val="24"/>
          <w:lang w:val="en-US"/>
        </w:rPr>
        <w:t xml:space="preserve"> to my foreign eyes </w:t>
      </w:r>
      <w:r w:rsidR="001A461A">
        <w:rPr>
          <w:rFonts w:ascii="Times New Roman" w:hAnsi="Times New Roman" w:cs="Times New Roman"/>
          <w:sz w:val="24"/>
          <w:szCs w:val="24"/>
          <w:lang w:val="en-US"/>
        </w:rPr>
        <w:t>facing more or less</w:t>
      </w:r>
      <w:r w:rsidRPr="004F1CE6">
        <w:rPr>
          <w:rFonts w:ascii="Times New Roman" w:hAnsi="Times New Roman" w:cs="Times New Roman"/>
          <w:sz w:val="24"/>
          <w:szCs w:val="24"/>
          <w:lang w:val="en-US"/>
        </w:rPr>
        <w:t xml:space="preserve"> the</w:t>
      </w:r>
      <w:r w:rsidR="001A461A">
        <w:rPr>
          <w:rFonts w:ascii="Times New Roman" w:hAnsi="Times New Roman" w:cs="Times New Roman"/>
          <w:sz w:val="24"/>
          <w:szCs w:val="24"/>
          <w:lang w:val="en-US"/>
        </w:rPr>
        <w:t xml:space="preserve"> same</w:t>
      </w:r>
      <w:r w:rsidRPr="004F1CE6">
        <w:rPr>
          <w:rFonts w:ascii="Times New Roman" w:hAnsi="Times New Roman" w:cs="Times New Roman"/>
          <w:sz w:val="24"/>
          <w:szCs w:val="24"/>
          <w:lang w:val="en-US"/>
        </w:rPr>
        <w:t xml:space="preserve"> sources as rather </w:t>
      </w:r>
      <w:r w:rsidR="000C5F85">
        <w:rPr>
          <w:rFonts w:ascii="Times New Roman" w:hAnsi="Times New Roman" w:cs="Times New Roman"/>
          <w:sz w:val="24"/>
          <w:szCs w:val="24"/>
          <w:lang w:val="en-US"/>
        </w:rPr>
        <w:t>doubtful</w:t>
      </w:r>
      <w:r w:rsidR="001A461A">
        <w:rPr>
          <w:rFonts w:ascii="Times New Roman" w:hAnsi="Times New Roman" w:cs="Times New Roman"/>
          <w:sz w:val="24"/>
          <w:szCs w:val="24"/>
          <w:lang w:val="en-US"/>
        </w:rPr>
        <w:t>.</w:t>
      </w:r>
    </w:p>
    <w:p w14:paraId="2408E4A4" w14:textId="12DE4D10" w:rsidR="00B8175F" w:rsidRDefault="001A461A" w:rsidP="00B8175F">
      <w:pPr>
        <w:spacing w:after="0" w:line="360" w:lineRule="auto"/>
        <w:ind w:firstLine="1134"/>
        <w:jc w:val="both"/>
        <w:rPr>
          <w:rFonts w:ascii="Times New Roman" w:hAnsi="Times New Roman" w:cs="Times New Roman"/>
          <w:sz w:val="24"/>
          <w:szCs w:val="24"/>
          <w:lang w:val="en-US"/>
        </w:rPr>
      </w:pPr>
      <w:r>
        <w:rPr>
          <w:rFonts w:ascii="Times New Roman" w:hAnsi="Times New Roman" w:cs="Times New Roman"/>
          <w:sz w:val="24"/>
          <w:szCs w:val="24"/>
          <w:lang w:val="en-US"/>
        </w:rPr>
        <w:t>Therefore</w:t>
      </w:r>
      <w:r w:rsidR="00462E17">
        <w:rPr>
          <w:rFonts w:ascii="Times New Roman" w:hAnsi="Times New Roman" w:cs="Times New Roman"/>
          <w:sz w:val="24"/>
          <w:szCs w:val="24"/>
          <w:lang w:val="en-US"/>
        </w:rPr>
        <w:t>, a</w:t>
      </w:r>
      <w:r w:rsidR="00560FB8">
        <w:rPr>
          <w:rFonts w:ascii="Times New Roman" w:hAnsi="Times New Roman" w:cs="Times New Roman"/>
          <w:sz w:val="24"/>
          <w:szCs w:val="24"/>
          <w:lang w:val="en-US"/>
        </w:rPr>
        <w:t xml:space="preserve">t the same time, in a certain sense, continuity enforces itself. </w:t>
      </w:r>
      <w:r w:rsidR="003B2947">
        <w:rPr>
          <w:rFonts w:ascii="Times New Roman" w:hAnsi="Times New Roman" w:cs="Times New Roman"/>
          <w:sz w:val="24"/>
          <w:szCs w:val="24"/>
          <w:lang w:val="en-US"/>
        </w:rPr>
        <w:t>Here as well</w:t>
      </w:r>
      <w:r w:rsidR="00560FB8">
        <w:rPr>
          <w:rFonts w:ascii="Times New Roman" w:hAnsi="Times New Roman" w:cs="Times New Roman"/>
          <w:sz w:val="24"/>
          <w:szCs w:val="24"/>
          <w:lang w:val="en-US"/>
        </w:rPr>
        <w:t xml:space="preserve"> one may notice what Horst Bredekamp has </w:t>
      </w:r>
      <w:r w:rsidR="003B2947">
        <w:rPr>
          <w:rFonts w:ascii="Times New Roman" w:hAnsi="Times New Roman" w:cs="Times New Roman"/>
          <w:sz w:val="24"/>
          <w:szCs w:val="24"/>
          <w:lang w:val="en-US"/>
        </w:rPr>
        <w:t xml:space="preserve">pointed out </w:t>
      </w:r>
      <w:r w:rsidR="00D423CE">
        <w:rPr>
          <w:rFonts w:ascii="Times New Roman" w:hAnsi="Times New Roman" w:cs="Times New Roman"/>
          <w:sz w:val="24"/>
          <w:szCs w:val="24"/>
          <w:lang w:val="en-US"/>
        </w:rPr>
        <w:t>about</w:t>
      </w:r>
      <w:r w:rsidR="00560FB8">
        <w:rPr>
          <w:rFonts w:ascii="Times New Roman" w:hAnsi="Times New Roman" w:cs="Times New Roman"/>
          <w:sz w:val="24"/>
          <w:szCs w:val="24"/>
          <w:lang w:val="en-US"/>
        </w:rPr>
        <w:t xml:space="preserve"> the celebration embodying the signature of the German fundamental law.</w:t>
      </w:r>
      <w:r w:rsidR="00560FB8">
        <w:rPr>
          <w:rStyle w:val="FootnoteReference"/>
          <w:rFonts w:ascii="Times New Roman" w:hAnsi="Times New Roman" w:cs="Times New Roman"/>
          <w:sz w:val="24"/>
          <w:szCs w:val="24"/>
          <w:lang w:val="en-US"/>
        </w:rPr>
        <w:footnoteReference w:id="44"/>
      </w:r>
      <w:r w:rsidR="00560FB8">
        <w:rPr>
          <w:rFonts w:ascii="Times New Roman" w:hAnsi="Times New Roman" w:cs="Times New Roman"/>
          <w:sz w:val="24"/>
          <w:szCs w:val="24"/>
          <w:lang w:val="en-US"/>
        </w:rPr>
        <w:t xml:space="preserve"> </w:t>
      </w:r>
      <w:r w:rsidR="00E154ED">
        <w:rPr>
          <w:rFonts w:ascii="Times New Roman" w:hAnsi="Times New Roman" w:cs="Times New Roman"/>
          <w:sz w:val="24"/>
          <w:szCs w:val="24"/>
          <w:lang w:val="en-US"/>
        </w:rPr>
        <w:t xml:space="preserve"> The German federal constitutional court’s building may be approached as a great illustration of</w:t>
      </w:r>
      <w:r w:rsidR="003B2947">
        <w:rPr>
          <w:rFonts w:ascii="Times New Roman" w:hAnsi="Times New Roman" w:cs="Times New Roman"/>
          <w:sz w:val="24"/>
          <w:szCs w:val="24"/>
          <w:lang w:val="en-US"/>
        </w:rPr>
        <w:t xml:space="preserve"> this effort to dress rupture as the reenactment of continuity with the past in face of a momentaneous interruption</w:t>
      </w:r>
      <w:r w:rsidR="0032056F">
        <w:rPr>
          <w:rFonts w:ascii="Times New Roman" w:hAnsi="Times New Roman" w:cs="Times New Roman"/>
          <w:sz w:val="24"/>
          <w:szCs w:val="24"/>
          <w:lang w:val="en-US"/>
        </w:rPr>
        <w:t>. As the title of the book dedicated to the anniversary of the Court’s institutional seat suggests,</w:t>
      </w:r>
      <w:r w:rsidR="0032056F">
        <w:rPr>
          <w:rStyle w:val="FootnoteReference"/>
          <w:rFonts w:ascii="Times New Roman" w:hAnsi="Times New Roman" w:cs="Times New Roman"/>
          <w:sz w:val="24"/>
          <w:szCs w:val="24"/>
          <w:lang w:val="en-US"/>
        </w:rPr>
        <w:footnoteReference w:id="45"/>
      </w:r>
      <w:r w:rsidR="0032056F">
        <w:rPr>
          <w:rFonts w:ascii="Times New Roman" w:hAnsi="Times New Roman" w:cs="Times New Roman"/>
          <w:sz w:val="24"/>
          <w:szCs w:val="24"/>
          <w:lang w:val="en-US"/>
        </w:rPr>
        <w:t xml:space="preserve"> transparency and dignity hint</w:t>
      </w:r>
      <w:r w:rsidR="00560FB8">
        <w:rPr>
          <w:rFonts w:ascii="Times New Roman" w:hAnsi="Times New Roman" w:cs="Times New Roman"/>
          <w:sz w:val="24"/>
          <w:szCs w:val="24"/>
          <w:lang w:val="en-US"/>
        </w:rPr>
        <w:t xml:space="preserve"> </w:t>
      </w:r>
      <w:r w:rsidR="0032056F">
        <w:rPr>
          <w:rFonts w:ascii="Times New Roman" w:hAnsi="Times New Roman" w:cs="Times New Roman"/>
          <w:sz w:val="24"/>
          <w:szCs w:val="24"/>
          <w:lang w:val="en-US"/>
        </w:rPr>
        <w:t>at</w:t>
      </w:r>
      <w:r w:rsidR="00D423CE">
        <w:rPr>
          <w:rFonts w:ascii="Times New Roman" w:hAnsi="Times New Roman" w:cs="Times New Roman"/>
          <w:sz w:val="24"/>
          <w:szCs w:val="24"/>
          <w:lang w:val="en-US"/>
        </w:rPr>
        <w:t xml:space="preserve"> </w:t>
      </w:r>
      <w:r w:rsidR="00560FB8">
        <w:rPr>
          <w:rFonts w:ascii="Times New Roman" w:hAnsi="Times New Roman" w:cs="Times New Roman"/>
          <w:sz w:val="24"/>
          <w:szCs w:val="24"/>
          <w:lang w:val="en-US"/>
        </w:rPr>
        <w:t>traces of enormous religious incisiveness, which, importantly, cuts through confessional lines.</w:t>
      </w:r>
      <w:r w:rsidR="00560FB8">
        <w:rPr>
          <w:rStyle w:val="FootnoteReference"/>
          <w:rFonts w:ascii="Times New Roman" w:hAnsi="Times New Roman" w:cs="Times New Roman"/>
          <w:sz w:val="24"/>
          <w:szCs w:val="24"/>
          <w:lang w:val="en-US"/>
        </w:rPr>
        <w:footnoteReference w:id="46"/>
      </w:r>
      <w:r w:rsidR="00560FB8">
        <w:rPr>
          <w:rFonts w:ascii="Times New Roman" w:hAnsi="Times New Roman" w:cs="Times New Roman"/>
          <w:sz w:val="24"/>
          <w:szCs w:val="24"/>
          <w:lang w:val="en-US"/>
        </w:rPr>
        <w:t xml:space="preserve"> </w:t>
      </w:r>
      <w:r w:rsidR="0032056F">
        <w:rPr>
          <w:rFonts w:ascii="Times New Roman" w:hAnsi="Times New Roman" w:cs="Times New Roman"/>
          <w:sz w:val="24"/>
          <w:szCs w:val="24"/>
          <w:lang w:val="en-US"/>
        </w:rPr>
        <w:t>While dignity and its “</w:t>
      </w:r>
      <w:proofErr w:type="spellStart"/>
      <w:r w:rsidR="0032056F">
        <w:rPr>
          <w:rFonts w:ascii="Times New Roman" w:hAnsi="Times New Roman" w:cs="Times New Roman"/>
          <w:sz w:val="24"/>
          <w:szCs w:val="24"/>
          <w:lang w:val="en-US"/>
        </w:rPr>
        <w:t>Menschenbild</w:t>
      </w:r>
      <w:proofErr w:type="spellEnd"/>
      <w:r w:rsidR="0032056F">
        <w:rPr>
          <w:rFonts w:ascii="Times New Roman" w:hAnsi="Times New Roman" w:cs="Times New Roman"/>
          <w:sz w:val="24"/>
          <w:szCs w:val="24"/>
          <w:lang w:val="en-US"/>
        </w:rPr>
        <w:t xml:space="preserve">” will concern the most of my attention when I turn to close analysis of </w:t>
      </w:r>
      <w:r w:rsidR="0032056F" w:rsidRPr="000C5F85">
        <w:rPr>
          <w:rFonts w:ascii="Times New Roman" w:hAnsi="Times New Roman" w:cs="Times New Roman"/>
          <w:i/>
          <w:iCs/>
          <w:sz w:val="24"/>
          <w:szCs w:val="24"/>
          <w:lang w:val="en-US"/>
        </w:rPr>
        <w:t>Luth</w:t>
      </w:r>
      <w:r w:rsidR="0032056F">
        <w:rPr>
          <w:rFonts w:ascii="Times New Roman" w:hAnsi="Times New Roman" w:cs="Times New Roman"/>
          <w:sz w:val="24"/>
          <w:szCs w:val="24"/>
          <w:lang w:val="en-US"/>
        </w:rPr>
        <w:t xml:space="preserve"> and other famous decisions of the </w:t>
      </w:r>
      <w:proofErr w:type="spellStart"/>
      <w:r w:rsidR="0032056F" w:rsidRPr="0032056F">
        <w:rPr>
          <w:rFonts w:ascii="Times New Roman" w:hAnsi="Times New Roman" w:cs="Times New Roman"/>
          <w:i/>
          <w:iCs/>
          <w:sz w:val="24"/>
          <w:szCs w:val="24"/>
          <w:lang w:val="en-US"/>
        </w:rPr>
        <w:t>Bundesverfassungsgericht</w:t>
      </w:r>
      <w:r w:rsidR="0032056F">
        <w:rPr>
          <w:rFonts w:ascii="Times New Roman" w:hAnsi="Times New Roman" w:cs="Times New Roman"/>
          <w:sz w:val="24"/>
          <w:szCs w:val="24"/>
          <w:lang w:val="en-US"/>
        </w:rPr>
        <w:t>’s</w:t>
      </w:r>
      <w:proofErr w:type="spellEnd"/>
      <w:r w:rsidR="0032056F">
        <w:rPr>
          <w:rFonts w:ascii="Times New Roman" w:hAnsi="Times New Roman" w:cs="Times New Roman"/>
          <w:sz w:val="24"/>
          <w:szCs w:val="24"/>
          <w:lang w:val="en-US"/>
        </w:rPr>
        <w:t xml:space="preserve"> early </w:t>
      </w:r>
      <w:proofErr w:type="spellStart"/>
      <w:r w:rsidR="0032056F" w:rsidRPr="0032056F">
        <w:rPr>
          <w:rFonts w:ascii="Times New Roman" w:hAnsi="Times New Roman" w:cs="Times New Roman"/>
          <w:i/>
          <w:iCs/>
          <w:sz w:val="24"/>
          <w:szCs w:val="24"/>
          <w:lang w:val="en-US"/>
        </w:rPr>
        <w:t>Judikatur</w:t>
      </w:r>
      <w:proofErr w:type="spellEnd"/>
      <w:r w:rsidR="0032056F">
        <w:rPr>
          <w:rFonts w:ascii="Times New Roman" w:hAnsi="Times New Roman" w:cs="Times New Roman"/>
          <w:sz w:val="24"/>
          <w:szCs w:val="24"/>
          <w:lang w:val="en-US"/>
        </w:rPr>
        <w:t>, let me focus now on transparency.</w:t>
      </w:r>
    </w:p>
    <w:p w14:paraId="7DF80240" w14:textId="467E9386" w:rsidR="003B2947" w:rsidRPr="00B8175F" w:rsidRDefault="003B2947" w:rsidP="00B8175F">
      <w:pPr>
        <w:spacing w:after="0" w:line="360" w:lineRule="auto"/>
        <w:ind w:firstLine="1134"/>
        <w:jc w:val="both"/>
        <w:rPr>
          <w:rFonts w:ascii="Times New Roman" w:hAnsi="Times New Roman" w:cs="Times New Roman"/>
          <w:sz w:val="24"/>
          <w:lang w:val="en-US"/>
        </w:rPr>
      </w:pPr>
      <w:r>
        <w:rPr>
          <w:rFonts w:ascii="Times New Roman" w:hAnsi="Times New Roman" w:cs="Times New Roman"/>
          <w:sz w:val="24"/>
          <w:szCs w:val="24"/>
          <w:lang w:val="en-US"/>
        </w:rPr>
        <w:t>Glass and transparency were a popular material and a prevailing architectonic value in the post-war Federal Republic of Germany.</w:t>
      </w:r>
      <w:r>
        <w:rPr>
          <w:rStyle w:val="FootnoteReference"/>
          <w:rFonts w:ascii="Times New Roman" w:hAnsi="Times New Roman" w:cs="Times New Roman"/>
          <w:sz w:val="24"/>
          <w:szCs w:val="24"/>
          <w:lang w:val="en-US"/>
        </w:rPr>
        <w:footnoteReference w:id="47"/>
      </w:r>
      <w:r>
        <w:rPr>
          <w:rFonts w:ascii="Times New Roman" w:hAnsi="Times New Roman" w:cs="Times New Roman"/>
          <w:sz w:val="24"/>
          <w:szCs w:val="24"/>
          <w:lang w:val="en-US"/>
        </w:rPr>
        <w:t xml:space="preserve"> Following Daniel </w:t>
      </w:r>
      <w:proofErr w:type="spellStart"/>
      <w:r>
        <w:rPr>
          <w:rFonts w:ascii="Times New Roman" w:hAnsi="Times New Roman" w:cs="Times New Roman"/>
          <w:sz w:val="24"/>
          <w:szCs w:val="24"/>
          <w:lang w:val="en-US"/>
        </w:rPr>
        <w:t>Damler’s</w:t>
      </w:r>
      <w:proofErr w:type="spellEnd"/>
      <w:r>
        <w:rPr>
          <w:rFonts w:ascii="Times New Roman" w:hAnsi="Times New Roman" w:cs="Times New Roman"/>
          <w:sz w:val="24"/>
          <w:szCs w:val="24"/>
          <w:lang w:val="en-US"/>
        </w:rPr>
        <w:t xml:space="preserve"> interpretation, one should also </w:t>
      </w:r>
      <w:r w:rsidRPr="000E342D">
        <w:rPr>
          <w:rFonts w:ascii="Times New Roman" w:hAnsi="Times New Roman" w:cs="Times New Roman"/>
          <w:sz w:val="24"/>
          <w:szCs w:val="24"/>
          <w:lang w:val="en-US"/>
        </w:rPr>
        <w:t>see here the entanglement of glass, transparency</w:t>
      </w:r>
      <w:r w:rsidR="00D423CE">
        <w:rPr>
          <w:rFonts w:ascii="Times New Roman" w:hAnsi="Times New Roman" w:cs="Times New Roman"/>
          <w:sz w:val="24"/>
          <w:szCs w:val="24"/>
          <w:lang w:val="en-US"/>
        </w:rPr>
        <w:t>,</w:t>
      </w:r>
      <w:r w:rsidRPr="000E342D">
        <w:rPr>
          <w:rFonts w:ascii="Times New Roman" w:hAnsi="Times New Roman" w:cs="Times New Roman"/>
          <w:sz w:val="24"/>
          <w:szCs w:val="24"/>
          <w:lang w:val="en-US"/>
        </w:rPr>
        <w:t xml:space="preserve"> and </w:t>
      </w:r>
      <w:proofErr w:type="spellStart"/>
      <w:r w:rsidRPr="000E342D">
        <w:rPr>
          <w:rFonts w:ascii="Times New Roman" w:hAnsi="Times New Roman" w:cs="Times New Roman"/>
          <w:sz w:val="24"/>
          <w:szCs w:val="24"/>
          <w:lang w:val="en-US"/>
        </w:rPr>
        <w:t>ordoliberalism</w:t>
      </w:r>
      <w:proofErr w:type="spellEnd"/>
      <w:r w:rsidRPr="000E342D">
        <w:rPr>
          <w:rFonts w:ascii="Times New Roman" w:hAnsi="Times New Roman" w:cs="Times New Roman"/>
          <w:sz w:val="24"/>
          <w:szCs w:val="24"/>
          <w:lang w:val="en-US"/>
        </w:rPr>
        <w:t>, across politics and the economy</w:t>
      </w:r>
      <w:r>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48"/>
      </w:r>
      <w:r>
        <w:rPr>
          <w:rFonts w:ascii="Times New Roman" w:hAnsi="Times New Roman" w:cs="Times New Roman"/>
          <w:sz w:val="24"/>
          <w:szCs w:val="24"/>
          <w:lang w:val="en-US"/>
        </w:rPr>
        <w:t xml:space="preserve"> </w:t>
      </w:r>
      <w:r w:rsidR="00897A8F">
        <w:rPr>
          <w:rFonts w:ascii="Times New Roman" w:hAnsi="Times New Roman" w:cs="Times New Roman"/>
          <w:sz w:val="24"/>
          <w:szCs w:val="24"/>
          <w:lang w:val="en-US"/>
        </w:rPr>
        <w:t xml:space="preserve">Of course, transparency and glass were already at the center of the </w:t>
      </w:r>
      <w:proofErr w:type="spellStart"/>
      <w:r w:rsidR="00897A8F" w:rsidRPr="00897A8F">
        <w:rPr>
          <w:rFonts w:ascii="Times New Roman" w:hAnsi="Times New Roman" w:cs="Times New Roman"/>
          <w:i/>
          <w:iCs/>
          <w:sz w:val="24"/>
          <w:szCs w:val="24"/>
          <w:lang w:val="en-US"/>
        </w:rPr>
        <w:t>Neue</w:t>
      </w:r>
      <w:r w:rsidR="00B8175F">
        <w:rPr>
          <w:rFonts w:ascii="Times New Roman" w:hAnsi="Times New Roman" w:cs="Times New Roman"/>
          <w:i/>
          <w:iCs/>
          <w:sz w:val="24"/>
          <w:szCs w:val="24"/>
          <w:lang w:val="en-US"/>
        </w:rPr>
        <w:t>s</w:t>
      </w:r>
      <w:proofErr w:type="spellEnd"/>
      <w:r w:rsidR="00897A8F" w:rsidRPr="00897A8F">
        <w:rPr>
          <w:rFonts w:ascii="Times New Roman" w:hAnsi="Times New Roman" w:cs="Times New Roman"/>
          <w:i/>
          <w:iCs/>
          <w:sz w:val="24"/>
          <w:szCs w:val="24"/>
          <w:lang w:val="en-US"/>
        </w:rPr>
        <w:t xml:space="preserve"> </w:t>
      </w:r>
      <w:proofErr w:type="spellStart"/>
      <w:r w:rsidR="00897A8F" w:rsidRPr="00897A8F">
        <w:rPr>
          <w:rFonts w:ascii="Times New Roman" w:hAnsi="Times New Roman" w:cs="Times New Roman"/>
          <w:i/>
          <w:iCs/>
          <w:sz w:val="24"/>
          <w:szCs w:val="24"/>
          <w:lang w:val="en-US"/>
        </w:rPr>
        <w:t>Bauen</w:t>
      </w:r>
      <w:proofErr w:type="spellEnd"/>
      <w:r w:rsidR="00897A8F">
        <w:rPr>
          <w:rFonts w:ascii="Times New Roman" w:hAnsi="Times New Roman" w:cs="Times New Roman"/>
          <w:sz w:val="24"/>
          <w:szCs w:val="24"/>
          <w:lang w:val="en-US"/>
        </w:rPr>
        <w:t xml:space="preserve">, the architectural branch of the artistic movement </w:t>
      </w:r>
      <w:proofErr w:type="spellStart"/>
      <w:r w:rsidR="00897A8F" w:rsidRPr="00897A8F">
        <w:rPr>
          <w:rFonts w:ascii="Times New Roman" w:hAnsi="Times New Roman" w:cs="Times New Roman"/>
          <w:i/>
          <w:iCs/>
          <w:sz w:val="24"/>
          <w:szCs w:val="24"/>
          <w:lang w:val="en-US"/>
        </w:rPr>
        <w:t>Neuen</w:t>
      </w:r>
      <w:proofErr w:type="spellEnd"/>
      <w:r w:rsidR="00897A8F" w:rsidRPr="00897A8F">
        <w:rPr>
          <w:rFonts w:ascii="Times New Roman" w:hAnsi="Times New Roman" w:cs="Times New Roman"/>
          <w:i/>
          <w:iCs/>
          <w:sz w:val="24"/>
          <w:szCs w:val="24"/>
          <w:lang w:val="en-US"/>
        </w:rPr>
        <w:t xml:space="preserve"> </w:t>
      </w:r>
      <w:proofErr w:type="spellStart"/>
      <w:r w:rsidR="00897A8F" w:rsidRPr="00897A8F">
        <w:rPr>
          <w:rFonts w:ascii="Times New Roman" w:hAnsi="Times New Roman" w:cs="Times New Roman"/>
          <w:i/>
          <w:iCs/>
          <w:sz w:val="24"/>
          <w:szCs w:val="24"/>
          <w:lang w:val="en-US"/>
        </w:rPr>
        <w:t>Sachlichkeit</w:t>
      </w:r>
      <w:proofErr w:type="spellEnd"/>
      <w:r w:rsidR="00897A8F">
        <w:rPr>
          <w:rFonts w:ascii="Times New Roman" w:hAnsi="Times New Roman" w:cs="Times New Roman"/>
          <w:sz w:val="24"/>
          <w:szCs w:val="24"/>
          <w:lang w:val="en-US"/>
        </w:rPr>
        <w:t>, to which the building’s architect, Paul Baumgarten, belonged</w:t>
      </w:r>
      <w:r w:rsidR="00B8175F">
        <w:rPr>
          <w:rFonts w:ascii="Times New Roman" w:hAnsi="Times New Roman" w:cs="Times New Roman"/>
          <w:sz w:val="24"/>
          <w:szCs w:val="24"/>
          <w:lang w:val="en-US"/>
        </w:rPr>
        <w:t xml:space="preserve">, and that encompassed much of German artistic scene </w:t>
      </w:r>
      <w:r w:rsidR="000917CD">
        <w:rPr>
          <w:rFonts w:ascii="Times New Roman" w:hAnsi="Times New Roman" w:cs="Times New Roman"/>
          <w:sz w:val="24"/>
          <w:szCs w:val="24"/>
          <w:lang w:val="en-US"/>
        </w:rPr>
        <w:t>immediately after</w:t>
      </w:r>
      <w:r w:rsidR="00B8175F">
        <w:rPr>
          <w:rFonts w:ascii="Times New Roman" w:hAnsi="Times New Roman" w:cs="Times New Roman"/>
          <w:sz w:val="24"/>
          <w:szCs w:val="24"/>
          <w:lang w:val="en-US"/>
        </w:rPr>
        <w:t xml:space="preserve"> the</w:t>
      </w:r>
      <w:r w:rsidR="000917CD">
        <w:rPr>
          <w:rFonts w:ascii="Times New Roman" w:hAnsi="Times New Roman" w:cs="Times New Roman"/>
          <w:sz w:val="24"/>
          <w:szCs w:val="24"/>
          <w:lang w:val="en-US"/>
        </w:rPr>
        <w:t xml:space="preserve"> end of the</w:t>
      </w:r>
      <w:r w:rsidR="00B8175F">
        <w:rPr>
          <w:rFonts w:ascii="Times New Roman" w:hAnsi="Times New Roman" w:cs="Times New Roman"/>
          <w:sz w:val="24"/>
          <w:szCs w:val="24"/>
          <w:lang w:val="en-US"/>
        </w:rPr>
        <w:t xml:space="preserve"> First World War until the end of the Weimar Republic</w:t>
      </w:r>
      <w:r w:rsidR="00897A8F">
        <w:rPr>
          <w:rFonts w:ascii="Times New Roman" w:hAnsi="Times New Roman" w:cs="Times New Roman"/>
          <w:sz w:val="24"/>
          <w:szCs w:val="24"/>
          <w:lang w:val="en-US"/>
        </w:rPr>
        <w:t>.</w:t>
      </w:r>
      <w:r w:rsidR="00897A8F">
        <w:rPr>
          <w:rStyle w:val="FootnoteReference"/>
          <w:rFonts w:ascii="Times New Roman" w:hAnsi="Times New Roman" w:cs="Times New Roman"/>
          <w:sz w:val="24"/>
          <w:szCs w:val="24"/>
          <w:lang w:val="en-US"/>
        </w:rPr>
        <w:footnoteReference w:id="49"/>
      </w:r>
      <w:r w:rsidR="00897A8F">
        <w:rPr>
          <w:rFonts w:ascii="Times New Roman" w:hAnsi="Times New Roman" w:cs="Times New Roman"/>
          <w:sz w:val="24"/>
          <w:szCs w:val="24"/>
          <w:lang w:val="en-US"/>
        </w:rPr>
        <w:t xml:space="preserve"> With its emphasis on rationalization, typification, and the economy, along with the reliance on novel materials, such as glass, there </w:t>
      </w:r>
      <w:r w:rsidR="00B8175F">
        <w:rPr>
          <w:rFonts w:ascii="Times New Roman" w:hAnsi="Times New Roman" w:cs="Times New Roman"/>
          <w:sz w:val="24"/>
          <w:szCs w:val="24"/>
          <w:lang w:val="en-US"/>
        </w:rPr>
        <w:t>would be</w:t>
      </w:r>
      <w:r w:rsidR="00897A8F">
        <w:rPr>
          <w:rFonts w:ascii="Times New Roman" w:hAnsi="Times New Roman" w:cs="Times New Roman"/>
          <w:sz w:val="24"/>
          <w:szCs w:val="24"/>
          <w:lang w:val="en-US"/>
        </w:rPr>
        <w:t xml:space="preserve"> apparently no room at all to religious references – and this despite its clear </w:t>
      </w:r>
      <w:r w:rsidR="00897A8F">
        <w:rPr>
          <w:rFonts w:ascii="Times New Roman" w:hAnsi="Times New Roman" w:cs="Times New Roman"/>
          <w:sz w:val="24"/>
          <w:szCs w:val="24"/>
          <w:lang w:val="en-US"/>
        </w:rPr>
        <w:lastRenderedPageBreak/>
        <w:t>ascetic character.</w:t>
      </w:r>
      <w:r w:rsidR="00897A8F">
        <w:rPr>
          <w:rStyle w:val="FootnoteReference"/>
          <w:rFonts w:ascii="Times New Roman" w:hAnsi="Times New Roman" w:cs="Times New Roman"/>
          <w:sz w:val="24"/>
          <w:szCs w:val="24"/>
          <w:lang w:val="en-US"/>
        </w:rPr>
        <w:footnoteReference w:id="50"/>
      </w:r>
      <w:r w:rsidR="00897A8F">
        <w:rPr>
          <w:rFonts w:ascii="Times New Roman" w:hAnsi="Times New Roman" w:cs="Times New Roman"/>
          <w:sz w:val="24"/>
          <w:szCs w:val="24"/>
          <w:lang w:val="en-US"/>
        </w:rPr>
        <w:t xml:space="preserve">  </w:t>
      </w:r>
      <w:r w:rsidR="00897A8F">
        <w:rPr>
          <w:rFonts w:ascii="Times New Roman" w:hAnsi="Times New Roman" w:cs="Times New Roman"/>
          <w:sz w:val="24"/>
          <w:lang w:val="en-US"/>
        </w:rPr>
        <w:t xml:space="preserve">Yet, here one can harvest the clear gains of </w:t>
      </w:r>
      <w:proofErr w:type="spellStart"/>
      <w:r w:rsidR="00897A8F">
        <w:rPr>
          <w:rFonts w:ascii="Times New Roman" w:hAnsi="Times New Roman" w:cs="Times New Roman"/>
          <w:sz w:val="24"/>
          <w:lang w:val="en-US"/>
        </w:rPr>
        <w:t>Blumenberg’s</w:t>
      </w:r>
      <w:proofErr w:type="spellEnd"/>
      <w:r w:rsidR="00897A8F">
        <w:rPr>
          <w:rFonts w:ascii="Times New Roman" w:hAnsi="Times New Roman" w:cs="Times New Roman"/>
          <w:sz w:val="24"/>
          <w:lang w:val="en-US"/>
        </w:rPr>
        <w:t xml:space="preserve"> methodological insights: reoccupation</w:t>
      </w:r>
      <w:r w:rsidR="00B8175F">
        <w:rPr>
          <w:rFonts w:ascii="Times New Roman" w:hAnsi="Times New Roman" w:cs="Times New Roman"/>
          <w:sz w:val="24"/>
          <w:lang w:val="en-US"/>
        </w:rPr>
        <w:t>s</w:t>
      </w:r>
      <w:r w:rsidR="00897A8F">
        <w:rPr>
          <w:rFonts w:ascii="Times New Roman" w:hAnsi="Times New Roman" w:cs="Times New Roman"/>
          <w:sz w:val="24"/>
          <w:lang w:val="en-US"/>
        </w:rPr>
        <w:t xml:space="preserve"> don’t concern</w:t>
      </w:r>
      <w:r w:rsidR="00B8175F">
        <w:rPr>
          <w:rFonts w:ascii="Times New Roman" w:hAnsi="Times New Roman" w:cs="Times New Roman"/>
          <w:sz w:val="24"/>
          <w:lang w:val="en-US"/>
        </w:rPr>
        <w:t xml:space="preserve"> the origin of the materials assembled to articulate novel social structures, only the consecration they receive so as to appear as evident.</w:t>
      </w:r>
      <w:r w:rsidR="00B8175F">
        <w:rPr>
          <w:rStyle w:val="FootnoteReference"/>
          <w:rFonts w:ascii="Times New Roman" w:hAnsi="Times New Roman" w:cs="Times New Roman"/>
          <w:sz w:val="24"/>
          <w:lang w:val="en-US"/>
        </w:rPr>
        <w:footnoteReference w:id="51"/>
      </w:r>
      <w:r w:rsidR="00B8175F">
        <w:rPr>
          <w:rFonts w:ascii="Times New Roman" w:hAnsi="Times New Roman" w:cs="Times New Roman"/>
          <w:sz w:val="24"/>
          <w:lang w:val="en-US"/>
        </w:rPr>
        <w:t xml:space="preserve"> Just as </w:t>
      </w:r>
      <w:r w:rsidR="00B8175F" w:rsidRPr="00B8175F">
        <w:rPr>
          <w:rFonts w:ascii="Times New Roman" w:hAnsi="Times New Roman" w:cs="Times New Roman"/>
          <w:i/>
          <w:iCs/>
          <w:sz w:val="24"/>
          <w:lang w:val="en-US"/>
        </w:rPr>
        <w:t>Bauhaus</w:t>
      </w:r>
      <w:r w:rsidR="00B8175F">
        <w:rPr>
          <w:rFonts w:ascii="Times New Roman" w:hAnsi="Times New Roman" w:cs="Times New Roman"/>
          <w:sz w:val="24"/>
          <w:lang w:val="en-US"/>
        </w:rPr>
        <w:t xml:space="preserve">, perhaps the most well-known derivation of the </w:t>
      </w:r>
      <w:proofErr w:type="spellStart"/>
      <w:r w:rsidR="00B8175F" w:rsidRPr="00B8175F">
        <w:rPr>
          <w:rFonts w:ascii="Times New Roman" w:hAnsi="Times New Roman" w:cs="Times New Roman"/>
          <w:i/>
          <w:iCs/>
          <w:sz w:val="24"/>
          <w:lang w:val="en-US"/>
        </w:rPr>
        <w:t>Neue</w:t>
      </w:r>
      <w:r w:rsidR="00B8175F">
        <w:rPr>
          <w:rFonts w:ascii="Times New Roman" w:hAnsi="Times New Roman" w:cs="Times New Roman"/>
          <w:i/>
          <w:iCs/>
          <w:sz w:val="24"/>
          <w:lang w:val="en-US"/>
        </w:rPr>
        <w:t>s</w:t>
      </w:r>
      <w:proofErr w:type="spellEnd"/>
      <w:r w:rsidR="00B8175F" w:rsidRPr="00B8175F">
        <w:rPr>
          <w:rFonts w:ascii="Times New Roman" w:hAnsi="Times New Roman" w:cs="Times New Roman"/>
          <w:i/>
          <w:iCs/>
          <w:sz w:val="24"/>
          <w:lang w:val="en-US"/>
        </w:rPr>
        <w:t xml:space="preserve"> </w:t>
      </w:r>
      <w:proofErr w:type="spellStart"/>
      <w:r w:rsidR="00B8175F" w:rsidRPr="00B8175F">
        <w:rPr>
          <w:rFonts w:ascii="Times New Roman" w:hAnsi="Times New Roman" w:cs="Times New Roman"/>
          <w:i/>
          <w:iCs/>
          <w:sz w:val="24"/>
          <w:lang w:val="en-US"/>
        </w:rPr>
        <w:t>Bauen</w:t>
      </w:r>
      <w:proofErr w:type="spellEnd"/>
      <w:r w:rsidR="00B8175F">
        <w:rPr>
          <w:rFonts w:ascii="Times New Roman" w:hAnsi="Times New Roman" w:cs="Times New Roman"/>
          <w:sz w:val="24"/>
          <w:lang w:val="en-US"/>
        </w:rPr>
        <w:t xml:space="preserve"> approach, reached for cathedrals and their work of light and glass to ornate the cover of its launching manifest</w:t>
      </w:r>
      <w:r w:rsidR="00BB2A3F">
        <w:rPr>
          <w:rFonts w:ascii="Times New Roman" w:hAnsi="Times New Roman" w:cs="Times New Roman"/>
          <w:sz w:val="24"/>
          <w:lang w:val="en-US"/>
        </w:rPr>
        <w:t>o and program</w:t>
      </w:r>
      <w:r w:rsidR="00B8175F">
        <w:rPr>
          <w:rFonts w:ascii="Times New Roman" w:hAnsi="Times New Roman" w:cs="Times New Roman"/>
          <w:sz w:val="24"/>
          <w:lang w:val="en-US"/>
        </w:rPr>
        <w:t>,</w:t>
      </w:r>
      <w:r w:rsidR="00B5408B">
        <w:rPr>
          <w:rStyle w:val="FootnoteReference"/>
          <w:rFonts w:ascii="Times New Roman" w:hAnsi="Times New Roman" w:cs="Times New Roman"/>
          <w:sz w:val="24"/>
          <w:lang w:val="en-US"/>
        </w:rPr>
        <w:footnoteReference w:id="52"/>
      </w:r>
      <w:r w:rsidR="00B8175F">
        <w:rPr>
          <w:rFonts w:ascii="Times New Roman" w:hAnsi="Times New Roman" w:cs="Times New Roman"/>
          <w:sz w:val="24"/>
          <w:lang w:val="en-US"/>
        </w:rPr>
        <w:t xml:space="preserve"> one must have</w:t>
      </w:r>
      <w:r w:rsidRPr="000E342D">
        <w:rPr>
          <w:rFonts w:ascii="Times New Roman" w:hAnsi="Times New Roman" w:cs="Times New Roman"/>
          <w:sz w:val="24"/>
          <w:lang w:val="en-US"/>
        </w:rPr>
        <w:t xml:space="preserve"> in mind the confessional background of ordoliberal authors such as Walter Eucken,</w:t>
      </w:r>
      <w:r>
        <w:rPr>
          <w:rStyle w:val="FootnoteReference"/>
          <w:rFonts w:ascii="Times New Roman" w:hAnsi="Times New Roman" w:cs="Times New Roman"/>
          <w:sz w:val="24"/>
          <w:lang w:val="en-US"/>
        </w:rPr>
        <w:footnoteReference w:id="53"/>
      </w:r>
      <w:r w:rsidRPr="000E342D">
        <w:rPr>
          <w:rFonts w:ascii="Times New Roman" w:hAnsi="Times New Roman" w:cs="Times New Roman"/>
          <w:sz w:val="24"/>
          <w:lang w:val="en-US"/>
        </w:rPr>
        <w:t xml:space="preserve"> as well as his connections with</w:t>
      </w:r>
      <w:r>
        <w:rPr>
          <w:rFonts w:ascii="Times New Roman" w:hAnsi="Times New Roman" w:cs="Times New Roman"/>
          <w:sz w:val="24"/>
          <w:lang w:val="en-US"/>
        </w:rPr>
        <w:t xml:space="preserve"> equally pious</w:t>
      </w:r>
      <w:r w:rsidRPr="000E342D">
        <w:rPr>
          <w:rFonts w:ascii="Times New Roman" w:hAnsi="Times New Roman" w:cs="Times New Roman"/>
          <w:sz w:val="24"/>
          <w:lang w:val="en-US"/>
        </w:rPr>
        <w:t xml:space="preserve"> leading legal scholars, such as Helmut </w:t>
      </w:r>
      <w:proofErr w:type="spellStart"/>
      <w:r w:rsidRPr="000E342D">
        <w:rPr>
          <w:rFonts w:ascii="Times New Roman" w:hAnsi="Times New Roman" w:cs="Times New Roman"/>
          <w:sz w:val="24"/>
          <w:lang w:val="en-US"/>
        </w:rPr>
        <w:t>Coing</w:t>
      </w:r>
      <w:proofErr w:type="spellEnd"/>
      <w:r w:rsidRPr="000E342D">
        <w:rPr>
          <w:rFonts w:ascii="Times New Roman" w:hAnsi="Times New Roman" w:cs="Times New Roman"/>
          <w:sz w:val="24"/>
          <w:lang w:val="en-US"/>
        </w:rPr>
        <w:t>,</w:t>
      </w:r>
      <w:r>
        <w:rPr>
          <w:rStyle w:val="FootnoteReference"/>
          <w:rFonts w:ascii="Times New Roman" w:hAnsi="Times New Roman" w:cs="Times New Roman"/>
          <w:sz w:val="24"/>
          <w:lang w:val="en-US"/>
        </w:rPr>
        <w:footnoteReference w:id="54"/>
      </w:r>
      <w:r w:rsidRPr="000E342D">
        <w:rPr>
          <w:rFonts w:ascii="Times New Roman" w:hAnsi="Times New Roman" w:cs="Times New Roman"/>
          <w:sz w:val="24"/>
          <w:lang w:val="en-US"/>
        </w:rPr>
        <w:t xml:space="preserve"> </w:t>
      </w:r>
      <w:r w:rsidR="00B8175F">
        <w:rPr>
          <w:rFonts w:ascii="Times New Roman" w:hAnsi="Times New Roman" w:cs="Times New Roman"/>
          <w:sz w:val="24"/>
          <w:lang w:val="en-US"/>
        </w:rPr>
        <w:t>to bring to the fore</w:t>
      </w:r>
      <w:r>
        <w:rPr>
          <w:rFonts w:ascii="Times New Roman" w:hAnsi="Times New Roman" w:cs="Times New Roman"/>
          <w:sz w:val="24"/>
          <w:lang w:val="en-US"/>
        </w:rPr>
        <w:t xml:space="preserve"> the</w:t>
      </w:r>
      <w:r w:rsidR="00B8175F">
        <w:rPr>
          <w:rFonts w:ascii="Times New Roman" w:hAnsi="Times New Roman" w:cs="Times New Roman"/>
          <w:sz w:val="24"/>
          <w:lang w:val="en-US"/>
        </w:rPr>
        <w:t xml:space="preserve"> </w:t>
      </w:r>
      <w:r w:rsidR="00B8175F" w:rsidRPr="000E342D">
        <w:rPr>
          <w:rFonts w:ascii="Times New Roman" w:hAnsi="Times New Roman" w:cs="Times New Roman"/>
          <w:sz w:val="24"/>
          <w:lang w:val="en-US"/>
        </w:rPr>
        <w:t>relig</w:t>
      </w:r>
      <w:r w:rsidR="00B8175F">
        <w:rPr>
          <w:rFonts w:ascii="Times New Roman" w:hAnsi="Times New Roman" w:cs="Times New Roman"/>
          <w:sz w:val="24"/>
          <w:lang w:val="en-US"/>
        </w:rPr>
        <w:t>ious undertones surrounding the</w:t>
      </w:r>
      <w:r>
        <w:rPr>
          <w:rFonts w:ascii="Times New Roman" w:hAnsi="Times New Roman" w:cs="Times New Roman"/>
          <w:sz w:val="24"/>
          <w:lang w:val="en-US"/>
        </w:rPr>
        <w:t xml:space="preserve"> appeal of transparency to lawyers, economists, and politicians</w:t>
      </w:r>
      <w:r w:rsidR="00B8175F">
        <w:rPr>
          <w:rFonts w:ascii="Times New Roman" w:hAnsi="Times New Roman" w:cs="Times New Roman"/>
          <w:sz w:val="24"/>
          <w:lang w:val="en-US"/>
        </w:rPr>
        <w:t>.</w:t>
      </w:r>
    </w:p>
    <w:p w14:paraId="72992891" w14:textId="4E613497" w:rsidR="00560FB8" w:rsidRDefault="00EB4C04" w:rsidP="00560FB8">
      <w:pPr>
        <w:spacing w:after="0" w:line="360" w:lineRule="auto"/>
        <w:ind w:firstLine="1134"/>
        <w:jc w:val="both"/>
        <w:rPr>
          <w:rFonts w:ascii="Times New Roman" w:hAnsi="Times New Roman" w:cs="Times New Roman"/>
          <w:sz w:val="24"/>
          <w:szCs w:val="24"/>
          <w:lang w:val="en-US"/>
        </w:rPr>
      </w:pPr>
      <w:r>
        <w:rPr>
          <w:rFonts w:ascii="Times New Roman" w:hAnsi="Times New Roman" w:cs="Times New Roman"/>
          <w:sz w:val="24"/>
          <w:szCs w:val="24"/>
          <w:lang w:val="en-US"/>
        </w:rPr>
        <w:t>O</w:t>
      </w:r>
      <w:r w:rsidR="00560FB8">
        <w:rPr>
          <w:rFonts w:ascii="Times New Roman" w:hAnsi="Times New Roman" w:cs="Times New Roman"/>
          <w:sz w:val="24"/>
          <w:szCs w:val="24"/>
          <w:lang w:val="en-US"/>
        </w:rPr>
        <w:t xml:space="preserve">ne could think of at least two </w:t>
      </w:r>
      <w:r>
        <w:rPr>
          <w:rFonts w:ascii="Times New Roman" w:hAnsi="Times New Roman" w:cs="Times New Roman"/>
          <w:sz w:val="24"/>
          <w:szCs w:val="24"/>
          <w:lang w:val="en-US"/>
        </w:rPr>
        <w:t xml:space="preserve">traditional </w:t>
      </w:r>
      <w:r w:rsidR="00560FB8">
        <w:rPr>
          <w:rFonts w:ascii="Times New Roman" w:hAnsi="Times New Roman" w:cs="Times New Roman"/>
          <w:sz w:val="24"/>
          <w:szCs w:val="24"/>
          <w:lang w:val="en-US"/>
        </w:rPr>
        <w:t xml:space="preserve">instances of </w:t>
      </w:r>
      <w:r>
        <w:rPr>
          <w:rFonts w:ascii="Times New Roman" w:hAnsi="Times New Roman" w:cs="Times New Roman"/>
          <w:sz w:val="24"/>
          <w:szCs w:val="24"/>
          <w:lang w:val="en-US"/>
        </w:rPr>
        <w:t>how Christian religion values transparency</w:t>
      </w:r>
      <w:r w:rsidR="00560FB8">
        <w:rPr>
          <w:rFonts w:ascii="Times New Roman" w:hAnsi="Times New Roman" w:cs="Times New Roman"/>
          <w:sz w:val="24"/>
          <w:szCs w:val="24"/>
          <w:lang w:val="en-US"/>
        </w:rPr>
        <w:t xml:space="preserve">. On the one hand, think of the huge problem Thomas Aquinas faces in the Supplements to the </w:t>
      </w:r>
      <w:r w:rsidR="00560FB8" w:rsidRPr="001F596D">
        <w:rPr>
          <w:rFonts w:ascii="Times New Roman" w:hAnsi="Times New Roman" w:cs="Times New Roman"/>
          <w:i/>
          <w:iCs/>
          <w:sz w:val="24"/>
          <w:szCs w:val="24"/>
          <w:lang w:val="en-US"/>
        </w:rPr>
        <w:t>Summa Theologica</w:t>
      </w:r>
      <w:r w:rsidR="00560FB8">
        <w:rPr>
          <w:rFonts w:ascii="Times New Roman" w:hAnsi="Times New Roman" w:cs="Times New Roman"/>
          <w:sz w:val="24"/>
          <w:szCs w:val="24"/>
          <w:lang w:val="en-US"/>
        </w:rPr>
        <w:t>, whether the souls of the redeemed can be seen by the eyes of the damned. Aquinas answer</w:t>
      </w:r>
      <w:r w:rsidR="0034796D">
        <w:rPr>
          <w:rFonts w:ascii="Times New Roman" w:hAnsi="Times New Roman" w:cs="Times New Roman"/>
          <w:sz w:val="24"/>
          <w:szCs w:val="24"/>
          <w:lang w:val="en-US"/>
        </w:rPr>
        <w:t>s</w:t>
      </w:r>
      <w:r w:rsidR="00560FB8">
        <w:rPr>
          <w:rFonts w:ascii="Times New Roman" w:hAnsi="Times New Roman" w:cs="Times New Roman"/>
          <w:sz w:val="24"/>
          <w:szCs w:val="24"/>
          <w:lang w:val="en-US"/>
        </w:rPr>
        <w:t xml:space="preserve"> positively</w:t>
      </w:r>
      <w:r w:rsidR="00F25348">
        <w:rPr>
          <w:rFonts w:ascii="Times New Roman" w:hAnsi="Times New Roman" w:cs="Times New Roman"/>
          <w:sz w:val="24"/>
          <w:szCs w:val="24"/>
          <w:lang w:val="en-US"/>
        </w:rPr>
        <w:t>.</w:t>
      </w:r>
      <w:r w:rsidR="00560FB8">
        <w:rPr>
          <w:rFonts w:ascii="Times New Roman" w:hAnsi="Times New Roman" w:cs="Times New Roman"/>
          <w:sz w:val="24"/>
          <w:szCs w:val="24"/>
          <w:lang w:val="en-US"/>
        </w:rPr>
        <w:t xml:space="preserve"> </w:t>
      </w:r>
      <w:r w:rsidR="00F25348">
        <w:rPr>
          <w:rFonts w:ascii="Times New Roman" w:hAnsi="Times New Roman" w:cs="Times New Roman"/>
          <w:sz w:val="24"/>
          <w:szCs w:val="24"/>
          <w:lang w:val="en-US"/>
        </w:rPr>
        <w:t>T</w:t>
      </w:r>
      <w:r w:rsidR="00560FB8">
        <w:rPr>
          <w:rFonts w:ascii="Times New Roman" w:hAnsi="Times New Roman" w:cs="Times New Roman"/>
          <w:sz w:val="24"/>
          <w:szCs w:val="24"/>
          <w:lang w:val="en-US"/>
        </w:rPr>
        <w:t>he souls of the blessed are transparent as glass</w:t>
      </w:r>
      <w:r w:rsidR="003F0189">
        <w:rPr>
          <w:rFonts w:ascii="Times New Roman" w:hAnsi="Times New Roman" w:cs="Times New Roman"/>
          <w:sz w:val="24"/>
          <w:szCs w:val="24"/>
          <w:lang w:val="en-US"/>
        </w:rPr>
        <w:t>.</w:t>
      </w:r>
      <w:r w:rsidR="00560FB8">
        <w:rPr>
          <w:rFonts w:ascii="Times New Roman" w:hAnsi="Times New Roman" w:cs="Times New Roman"/>
          <w:sz w:val="24"/>
          <w:szCs w:val="24"/>
          <w:lang w:val="en-US"/>
        </w:rPr>
        <w:t xml:space="preserve"> </w:t>
      </w:r>
      <w:r w:rsidR="003F0189">
        <w:rPr>
          <w:rFonts w:ascii="Times New Roman" w:hAnsi="Times New Roman" w:cs="Times New Roman"/>
          <w:sz w:val="24"/>
          <w:szCs w:val="24"/>
          <w:lang w:val="en-US"/>
        </w:rPr>
        <w:t>More precisely, they dwell</w:t>
      </w:r>
      <w:r w:rsidR="00560FB8" w:rsidRPr="0034796D">
        <w:rPr>
          <w:rFonts w:ascii="Times New Roman" w:hAnsi="Times New Roman" w:cs="Times New Roman"/>
          <w:color w:val="FF0000"/>
          <w:sz w:val="24"/>
          <w:szCs w:val="24"/>
          <w:lang w:val="en-US"/>
        </w:rPr>
        <w:t xml:space="preserve"> </w:t>
      </w:r>
      <w:r w:rsidR="00560FB8">
        <w:rPr>
          <w:rFonts w:ascii="Times New Roman" w:hAnsi="Times New Roman" w:cs="Times New Roman"/>
          <w:sz w:val="24"/>
          <w:szCs w:val="24"/>
          <w:lang w:val="en-US"/>
        </w:rPr>
        <w:t>in a medium of glass and gold, something that rests upon the authority of none other than Gregory the Great: “</w:t>
      </w:r>
      <w:r w:rsidR="00560FB8" w:rsidRPr="001F596D">
        <w:rPr>
          <w:rFonts w:ascii="Times New Roman" w:hAnsi="Times New Roman" w:cs="Times New Roman"/>
          <w:i/>
          <w:iCs/>
          <w:sz w:val="24"/>
          <w:szCs w:val="24"/>
          <w:lang w:val="en-US"/>
        </w:rPr>
        <w:t xml:space="preserve">Gregorius </w:t>
      </w:r>
      <w:proofErr w:type="spellStart"/>
      <w:r w:rsidR="00560FB8" w:rsidRPr="001F596D">
        <w:rPr>
          <w:rFonts w:ascii="Times New Roman" w:hAnsi="Times New Roman" w:cs="Times New Roman"/>
          <w:i/>
          <w:iCs/>
          <w:sz w:val="24"/>
          <w:szCs w:val="24"/>
          <w:lang w:val="en-US"/>
        </w:rPr>
        <w:t>comparat</w:t>
      </w:r>
      <w:proofErr w:type="spellEnd"/>
      <w:r w:rsidR="00560FB8" w:rsidRPr="001F596D">
        <w:rPr>
          <w:rFonts w:ascii="Times New Roman" w:hAnsi="Times New Roman" w:cs="Times New Roman"/>
          <w:i/>
          <w:iCs/>
          <w:sz w:val="24"/>
          <w:szCs w:val="24"/>
          <w:lang w:val="en-US"/>
        </w:rPr>
        <w:t xml:space="preserve"> corpora gloriosa </w:t>
      </w:r>
      <w:proofErr w:type="spellStart"/>
      <w:r w:rsidR="00560FB8" w:rsidRPr="001F596D">
        <w:rPr>
          <w:rFonts w:ascii="Times New Roman" w:hAnsi="Times New Roman" w:cs="Times New Roman"/>
          <w:i/>
          <w:iCs/>
          <w:sz w:val="24"/>
          <w:szCs w:val="24"/>
          <w:lang w:val="en-US"/>
        </w:rPr>
        <w:t>auro</w:t>
      </w:r>
      <w:proofErr w:type="spellEnd"/>
      <w:r w:rsidR="00560FB8" w:rsidRPr="001F596D">
        <w:rPr>
          <w:rFonts w:ascii="Times New Roman" w:hAnsi="Times New Roman" w:cs="Times New Roman"/>
          <w:i/>
          <w:iCs/>
          <w:sz w:val="24"/>
          <w:szCs w:val="24"/>
          <w:lang w:val="en-US"/>
        </w:rPr>
        <w:t xml:space="preserve"> et vitro; </w:t>
      </w:r>
      <w:proofErr w:type="spellStart"/>
      <w:r w:rsidR="00560FB8" w:rsidRPr="001F596D">
        <w:rPr>
          <w:rFonts w:ascii="Times New Roman" w:hAnsi="Times New Roman" w:cs="Times New Roman"/>
          <w:i/>
          <w:iCs/>
          <w:sz w:val="24"/>
          <w:szCs w:val="24"/>
          <w:lang w:val="en-US"/>
        </w:rPr>
        <w:t>auro</w:t>
      </w:r>
      <w:proofErr w:type="spellEnd"/>
      <w:r w:rsidR="00560FB8" w:rsidRPr="001F596D">
        <w:rPr>
          <w:rFonts w:ascii="Times New Roman" w:hAnsi="Times New Roman" w:cs="Times New Roman"/>
          <w:i/>
          <w:iCs/>
          <w:sz w:val="24"/>
          <w:szCs w:val="24"/>
          <w:lang w:val="en-US"/>
        </w:rPr>
        <w:t xml:space="preserve"> propter </w:t>
      </w:r>
      <w:proofErr w:type="spellStart"/>
      <w:r w:rsidR="00560FB8" w:rsidRPr="001F596D">
        <w:rPr>
          <w:rFonts w:ascii="Times New Roman" w:hAnsi="Times New Roman" w:cs="Times New Roman"/>
          <w:i/>
          <w:iCs/>
          <w:sz w:val="24"/>
          <w:szCs w:val="24"/>
          <w:lang w:val="en-US"/>
        </w:rPr>
        <w:t>claritatem</w:t>
      </w:r>
      <w:proofErr w:type="spellEnd"/>
      <w:r w:rsidR="00560FB8" w:rsidRPr="001F596D">
        <w:rPr>
          <w:rFonts w:ascii="Times New Roman" w:hAnsi="Times New Roman" w:cs="Times New Roman"/>
          <w:i/>
          <w:iCs/>
          <w:sz w:val="24"/>
          <w:szCs w:val="24"/>
          <w:lang w:val="en-US"/>
        </w:rPr>
        <w:t xml:space="preserve"> &amp; vitro propter hoc </w:t>
      </w:r>
      <w:proofErr w:type="spellStart"/>
      <w:r w:rsidR="00560FB8" w:rsidRPr="001F596D">
        <w:rPr>
          <w:rFonts w:ascii="Times New Roman" w:hAnsi="Times New Roman" w:cs="Times New Roman"/>
          <w:i/>
          <w:iCs/>
          <w:sz w:val="24"/>
          <w:szCs w:val="24"/>
          <w:lang w:val="en-US"/>
        </w:rPr>
        <w:t>quod</w:t>
      </w:r>
      <w:proofErr w:type="spellEnd"/>
      <w:r w:rsidR="00560FB8" w:rsidRPr="001F596D">
        <w:rPr>
          <w:rFonts w:ascii="Times New Roman" w:hAnsi="Times New Roman" w:cs="Times New Roman"/>
          <w:i/>
          <w:iCs/>
          <w:sz w:val="24"/>
          <w:szCs w:val="24"/>
          <w:lang w:val="en-US"/>
        </w:rPr>
        <w:t xml:space="preserve"> </w:t>
      </w:r>
      <w:proofErr w:type="spellStart"/>
      <w:r w:rsidR="00560FB8" w:rsidRPr="001F596D">
        <w:rPr>
          <w:rFonts w:ascii="Times New Roman" w:hAnsi="Times New Roman" w:cs="Times New Roman"/>
          <w:i/>
          <w:iCs/>
          <w:sz w:val="24"/>
          <w:szCs w:val="24"/>
          <w:lang w:val="en-US"/>
        </w:rPr>
        <w:t>translucebunt</w:t>
      </w:r>
      <w:proofErr w:type="spellEnd"/>
      <w:r w:rsidR="00560FB8">
        <w:rPr>
          <w:rFonts w:ascii="Times New Roman" w:hAnsi="Times New Roman" w:cs="Times New Roman"/>
          <w:sz w:val="24"/>
          <w:szCs w:val="24"/>
          <w:lang w:val="en-US"/>
        </w:rPr>
        <w:t>.”</w:t>
      </w:r>
      <w:r w:rsidR="00560FB8">
        <w:rPr>
          <w:rStyle w:val="FootnoteReference"/>
          <w:rFonts w:ascii="Times New Roman" w:hAnsi="Times New Roman" w:cs="Times New Roman"/>
          <w:sz w:val="24"/>
          <w:szCs w:val="24"/>
          <w:lang w:val="en-US"/>
        </w:rPr>
        <w:footnoteReference w:id="55"/>
      </w:r>
      <w:r w:rsidR="00C97D6B">
        <w:rPr>
          <w:rFonts w:ascii="Times New Roman" w:hAnsi="Times New Roman" w:cs="Times New Roman"/>
          <w:sz w:val="24"/>
          <w:szCs w:val="24"/>
          <w:lang w:val="en-US"/>
        </w:rPr>
        <w:t xml:space="preserve"> “Gregory compares the glorious bodies to gold and glass; gold in reason of its clarity and glass due to its transparency.”</w:t>
      </w:r>
      <w:r w:rsidR="00560FB8">
        <w:rPr>
          <w:rFonts w:ascii="Times New Roman" w:hAnsi="Times New Roman" w:cs="Times New Roman"/>
          <w:sz w:val="24"/>
          <w:szCs w:val="24"/>
          <w:lang w:val="en-US"/>
        </w:rPr>
        <w:t xml:space="preserve"> On the other, consider Luther’s stance on the relationship between the soul of the “Christian man” and the word of God. Glossing Matthew 4, 4, Luther </w:t>
      </w:r>
      <w:r w:rsidR="00D423CE">
        <w:rPr>
          <w:rFonts w:ascii="Times New Roman" w:hAnsi="Times New Roman" w:cs="Times New Roman"/>
          <w:sz w:val="24"/>
          <w:szCs w:val="24"/>
          <w:lang w:val="en-US"/>
        </w:rPr>
        <w:t>concludes</w:t>
      </w:r>
      <w:r w:rsidR="00560FB8">
        <w:rPr>
          <w:rFonts w:ascii="Times New Roman" w:hAnsi="Times New Roman" w:cs="Times New Roman"/>
          <w:sz w:val="24"/>
          <w:szCs w:val="24"/>
          <w:lang w:val="en-US"/>
        </w:rPr>
        <w:t xml:space="preserve"> that all things besides the word of God are inessential.</w:t>
      </w:r>
      <w:r w:rsidR="00560FB8">
        <w:rPr>
          <w:rStyle w:val="FootnoteReference"/>
          <w:rFonts w:ascii="Times New Roman" w:hAnsi="Times New Roman" w:cs="Times New Roman"/>
          <w:sz w:val="24"/>
          <w:szCs w:val="24"/>
          <w:lang w:val="en-US"/>
        </w:rPr>
        <w:footnoteReference w:id="56"/>
      </w:r>
      <w:r w:rsidR="00560FB8">
        <w:rPr>
          <w:rFonts w:ascii="Times New Roman" w:hAnsi="Times New Roman" w:cs="Times New Roman"/>
          <w:sz w:val="24"/>
          <w:szCs w:val="24"/>
          <w:lang w:val="en-US"/>
        </w:rPr>
        <w:t xml:space="preserve"> Accordingly, we should abandon the whole splendor of visible things, such “as chasubles, </w:t>
      </w:r>
      <w:r w:rsidR="00560FB8">
        <w:rPr>
          <w:rFonts w:ascii="Times New Roman" w:hAnsi="Times New Roman" w:cs="Times New Roman"/>
          <w:sz w:val="24"/>
          <w:szCs w:val="24"/>
          <w:lang w:val="en-US"/>
        </w:rPr>
        <w:lastRenderedPageBreak/>
        <w:t>embellishments, chants, prayers, organs, [and] lights,” setting our eyes and minds “on nothing else but the words of Christ.”</w:t>
      </w:r>
      <w:r w:rsidR="00560FB8">
        <w:rPr>
          <w:rStyle w:val="FootnoteReference"/>
          <w:rFonts w:ascii="Times New Roman" w:hAnsi="Times New Roman" w:cs="Times New Roman"/>
          <w:sz w:val="24"/>
          <w:szCs w:val="24"/>
          <w:lang w:val="en-US"/>
        </w:rPr>
        <w:footnoteReference w:id="57"/>
      </w:r>
      <w:r w:rsidR="00560FB8">
        <w:rPr>
          <w:rFonts w:ascii="Times New Roman" w:hAnsi="Times New Roman" w:cs="Times New Roman"/>
          <w:sz w:val="24"/>
          <w:szCs w:val="24"/>
          <w:lang w:val="en-US"/>
        </w:rPr>
        <w:t xml:space="preserve"> </w:t>
      </w:r>
      <w:r w:rsidR="000917CD">
        <w:rPr>
          <w:rFonts w:ascii="Times New Roman" w:hAnsi="Times New Roman" w:cs="Times New Roman"/>
          <w:sz w:val="24"/>
          <w:szCs w:val="24"/>
          <w:lang w:val="en-US"/>
        </w:rPr>
        <w:t>Although I don’t have the space to follow the chain of transmission</w:t>
      </w:r>
      <w:r w:rsidR="0099575F">
        <w:rPr>
          <w:rFonts w:ascii="Times New Roman" w:hAnsi="Times New Roman" w:cs="Times New Roman"/>
          <w:sz w:val="24"/>
          <w:szCs w:val="24"/>
          <w:lang w:val="en-US"/>
        </w:rPr>
        <w:t>, iteration and catachresis</w:t>
      </w:r>
      <w:r w:rsidR="000917CD">
        <w:rPr>
          <w:rFonts w:ascii="Times New Roman" w:hAnsi="Times New Roman" w:cs="Times New Roman"/>
          <w:sz w:val="24"/>
          <w:szCs w:val="24"/>
          <w:lang w:val="en-US"/>
        </w:rPr>
        <w:t xml:space="preserve"> binding Thomas’ ode for the transparency of the blessed soul</w:t>
      </w:r>
      <w:r w:rsidR="00FD2036">
        <w:rPr>
          <w:rFonts w:ascii="Times New Roman" w:hAnsi="Times New Roman" w:cs="Times New Roman"/>
          <w:sz w:val="24"/>
          <w:szCs w:val="24"/>
          <w:lang w:val="en-US"/>
        </w:rPr>
        <w:t>s</w:t>
      </w:r>
      <w:r w:rsidR="000917CD">
        <w:rPr>
          <w:rFonts w:ascii="Times New Roman" w:hAnsi="Times New Roman" w:cs="Times New Roman"/>
          <w:sz w:val="24"/>
          <w:szCs w:val="24"/>
          <w:lang w:val="en-US"/>
        </w:rPr>
        <w:t xml:space="preserve"> to Luther’s rendition of it into a liturgical principle,</w:t>
      </w:r>
      <w:r w:rsidR="000917CD">
        <w:rPr>
          <w:rStyle w:val="FootnoteReference"/>
          <w:rFonts w:ascii="Times New Roman" w:hAnsi="Times New Roman" w:cs="Times New Roman"/>
          <w:sz w:val="24"/>
          <w:szCs w:val="24"/>
          <w:lang w:val="en-US"/>
        </w:rPr>
        <w:footnoteReference w:id="58"/>
      </w:r>
      <w:r w:rsidR="000917CD">
        <w:rPr>
          <w:rFonts w:ascii="Times New Roman" w:hAnsi="Times New Roman" w:cs="Times New Roman"/>
          <w:sz w:val="24"/>
          <w:szCs w:val="24"/>
          <w:lang w:val="en-US"/>
        </w:rPr>
        <w:t xml:space="preserve"> nor how such evaluation ingredient to Lutheranism was transposed to German nationalism, demanding, therefore, an adequate response</w:t>
      </w:r>
      <w:r w:rsidR="00FD2036">
        <w:rPr>
          <w:rFonts w:ascii="Times New Roman" w:hAnsi="Times New Roman" w:cs="Times New Roman"/>
          <w:sz w:val="24"/>
          <w:szCs w:val="24"/>
          <w:lang w:val="en-US"/>
        </w:rPr>
        <w:t xml:space="preserve"> from the side of German Catholicism,</w:t>
      </w:r>
      <w:r w:rsidR="00FD2036">
        <w:rPr>
          <w:rStyle w:val="FootnoteReference"/>
          <w:rFonts w:ascii="Times New Roman" w:hAnsi="Times New Roman" w:cs="Times New Roman"/>
          <w:sz w:val="24"/>
          <w:szCs w:val="24"/>
          <w:lang w:val="en-US"/>
        </w:rPr>
        <w:footnoteReference w:id="59"/>
      </w:r>
      <w:r w:rsidR="00FD2036">
        <w:rPr>
          <w:rFonts w:ascii="Times New Roman" w:hAnsi="Times New Roman" w:cs="Times New Roman"/>
          <w:sz w:val="24"/>
          <w:szCs w:val="24"/>
          <w:lang w:val="en-US"/>
        </w:rPr>
        <w:t xml:space="preserve"> whether one focuses on the blessed, especially as they are dressed in velvet red, or the offering of the Constitution, the words of promise that </w:t>
      </w:r>
      <w:r w:rsidR="0032056F">
        <w:rPr>
          <w:rFonts w:ascii="Times New Roman" w:hAnsi="Times New Roman" w:cs="Times New Roman"/>
          <w:sz w:val="24"/>
          <w:szCs w:val="24"/>
          <w:lang w:val="en-US"/>
        </w:rPr>
        <w:t>judges concord and declare</w:t>
      </w:r>
      <w:r w:rsidR="00FD2036">
        <w:rPr>
          <w:rFonts w:ascii="Times New Roman" w:hAnsi="Times New Roman" w:cs="Times New Roman"/>
          <w:sz w:val="24"/>
          <w:szCs w:val="24"/>
          <w:lang w:val="en-US"/>
        </w:rPr>
        <w:t>, walls of glass fit perfectly well to compose the view.</w:t>
      </w:r>
      <w:r w:rsidR="00FD2036">
        <w:rPr>
          <w:rStyle w:val="FootnoteReference"/>
          <w:rFonts w:ascii="Times New Roman" w:hAnsi="Times New Roman" w:cs="Times New Roman"/>
          <w:sz w:val="24"/>
          <w:szCs w:val="24"/>
          <w:lang w:val="en-US"/>
        </w:rPr>
        <w:footnoteReference w:id="60"/>
      </w:r>
    </w:p>
    <w:p w14:paraId="4554A3DC" w14:textId="77777777" w:rsidR="00EB4C04" w:rsidRDefault="00EB4C04" w:rsidP="00560FB8">
      <w:pPr>
        <w:spacing w:after="0" w:line="360" w:lineRule="auto"/>
        <w:ind w:firstLine="1134"/>
        <w:jc w:val="both"/>
        <w:rPr>
          <w:rFonts w:ascii="Times New Roman" w:hAnsi="Times New Roman" w:cs="Times New Roman"/>
          <w:sz w:val="24"/>
          <w:szCs w:val="24"/>
          <w:lang w:val="en-US"/>
        </w:rPr>
      </w:pPr>
    </w:p>
    <w:p w14:paraId="02A0C9F5" w14:textId="3BC3BEC3" w:rsidR="00560FB8" w:rsidRDefault="00560FB8" w:rsidP="00B56745">
      <w:pPr>
        <w:spacing w:after="0" w:line="360" w:lineRule="auto"/>
        <w:ind w:firstLine="1134"/>
        <w:jc w:val="both"/>
        <w:rPr>
          <w:rFonts w:ascii="Times New Roman" w:hAnsi="Times New Roman" w:cs="Times New Roman"/>
          <w:sz w:val="24"/>
          <w:szCs w:val="24"/>
          <w:lang w:val="en-US"/>
        </w:rPr>
      </w:pPr>
      <w:r>
        <w:rPr>
          <w:noProof/>
          <w:lang w:eastAsia="pt-BR"/>
        </w:rPr>
        <w:drawing>
          <wp:anchor distT="0" distB="0" distL="114300" distR="114300" simplePos="0" relativeHeight="251663360" behindDoc="0" locked="0" layoutInCell="1" allowOverlap="1" wp14:anchorId="31769D98" wp14:editId="2E8896A7">
            <wp:simplePos x="0" y="0"/>
            <wp:positionH relativeFrom="column">
              <wp:posOffset>-480060</wp:posOffset>
            </wp:positionH>
            <wp:positionV relativeFrom="paragraph">
              <wp:posOffset>1270</wp:posOffset>
            </wp:positionV>
            <wp:extent cx="3257550" cy="1823085"/>
            <wp:effectExtent l="0" t="0" r="0" b="5715"/>
            <wp:wrapSquare wrapText="bothSides"/>
            <wp:docPr id="4" name="Picture 4" descr="Das Reichsgericht vor 75 Jahren: Schrecklich ba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s Reichsgericht vor 75 Jahren: Schrecklich bana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57550" cy="18230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pt-BR"/>
        </w:rPr>
        <w:drawing>
          <wp:anchor distT="0" distB="0" distL="114300" distR="114300" simplePos="0" relativeHeight="251665408" behindDoc="0" locked="0" layoutInCell="1" allowOverlap="1" wp14:anchorId="4908549E" wp14:editId="5FA303F8">
            <wp:simplePos x="0" y="0"/>
            <wp:positionH relativeFrom="column">
              <wp:posOffset>2987040</wp:posOffset>
            </wp:positionH>
            <wp:positionV relativeFrom="paragraph">
              <wp:posOffset>0</wp:posOffset>
            </wp:positionV>
            <wp:extent cx="3019425" cy="192405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19425"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pt-BR"/>
        </w:rPr>
        <w:drawing>
          <wp:anchor distT="0" distB="0" distL="114300" distR="114300" simplePos="0" relativeHeight="251666432" behindDoc="0" locked="0" layoutInCell="1" allowOverlap="1" wp14:anchorId="0BDC2161" wp14:editId="16F94960">
            <wp:simplePos x="0" y="0"/>
            <wp:positionH relativeFrom="column">
              <wp:posOffset>2853690</wp:posOffset>
            </wp:positionH>
            <wp:positionV relativeFrom="paragraph">
              <wp:posOffset>2178685</wp:posOffset>
            </wp:positionV>
            <wp:extent cx="3352800" cy="192849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52800" cy="19284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pt-BR"/>
        </w:rPr>
        <w:drawing>
          <wp:anchor distT="0" distB="0" distL="114300" distR="114300" simplePos="0" relativeHeight="251664384" behindDoc="1" locked="0" layoutInCell="1" allowOverlap="1" wp14:anchorId="7480B81F" wp14:editId="09246BB6">
            <wp:simplePos x="0" y="0"/>
            <wp:positionH relativeFrom="column">
              <wp:posOffset>-546735</wp:posOffset>
            </wp:positionH>
            <wp:positionV relativeFrom="paragraph">
              <wp:posOffset>2124075</wp:posOffset>
            </wp:positionV>
            <wp:extent cx="3264535" cy="2066925"/>
            <wp:effectExtent l="0" t="0" r="0" b="9525"/>
            <wp:wrapTight wrapText="bothSides">
              <wp:wrapPolygon edited="0">
                <wp:start x="0" y="0"/>
                <wp:lineTo x="0" y="21500"/>
                <wp:lineTo x="21428" y="21500"/>
                <wp:lineTo x="2142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64535" cy="2066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8B78F6" w14:textId="3C161FAD" w:rsidR="00B56745" w:rsidRPr="00795176" w:rsidRDefault="00B56745" w:rsidP="00795176">
      <w:pPr>
        <w:spacing w:after="0" w:line="360" w:lineRule="auto"/>
        <w:jc w:val="both"/>
        <w:rPr>
          <w:rFonts w:ascii="Times New Roman" w:hAnsi="Times New Roman" w:cs="Times New Roman"/>
          <w:sz w:val="16"/>
          <w:szCs w:val="16"/>
          <w:lang w:val="en-US"/>
        </w:rPr>
      </w:pPr>
    </w:p>
    <w:p w14:paraId="5E0077F3" w14:textId="64F299AD" w:rsidR="005D6C03" w:rsidRPr="0032056F" w:rsidRDefault="00560FB8" w:rsidP="0032056F">
      <w:pPr>
        <w:spacing w:after="0" w:line="360" w:lineRule="auto"/>
        <w:ind w:firstLine="113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Court architecture </w:t>
      </w:r>
      <w:r w:rsidR="00D423CE">
        <w:rPr>
          <w:rFonts w:ascii="Times New Roman" w:hAnsi="Times New Roman" w:cs="Times New Roman"/>
          <w:sz w:val="24"/>
          <w:szCs w:val="24"/>
          <w:lang w:val="en-US"/>
        </w:rPr>
        <w:t>testifies</w:t>
      </w:r>
      <w:r>
        <w:rPr>
          <w:rFonts w:ascii="Times New Roman" w:hAnsi="Times New Roman" w:cs="Times New Roman"/>
          <w:sz w:val="24"/>
          <w:szCs w:val="24"/>
          <w:lang w:val="en-US"/>
        </w:rPr>
        <w:t xml:space="preserve"> to the dynamics of reoccupations, the clash between the need for history and the experience of history. It registers the endeavors of a manifold of actors – among constitutional judges and scholars, sculptors and architects – for self-assertion, as they strive to circumscribe the space-index of constitutional adjudication, and, therefore, articulate and implement law’s contingency formula, in its mutual indifference and sensibility for politics. Arguably, both monuments draw our attention to two questions: </w:t>
      </w:r>
      <w:r w:rsidR="005D6C03" w:rsidRPr="0032056F">
        <w:rPr>
          <w:rFonts w:ascii="Times New Roman" w:hAnsi="Times New Roman" w:cs="Times New Roman"/>
          <w:sz w:val="24"/>
          <w:szCs w:val="24"/>
          <w:lang w:val="en-US"/>
        </w:rPr>
        <w:t>I</w:t>
      </w:r>
      <w:r w:rsidRPr="0032056F">
        <w:rPr>
          <w:rFonts w:ascii="Times New Roman" w:hAnsi="Times New Roman" w:cs="Times New Roman"/>
          <w:sz w:val="24"/>
          <w:szCs w:val="24"/>
          <w:lang w:val="en-US"/>
        </w:rPr>
        <w:t xml:space="preserve">n what sense did Story receive the law from Marshall’s hands – who, perhaps, inherited it from Coke, who, in his turn, got it from Moses? </w:t>
      </w:r>
      <w:r w:rsidR="0032056F">
        <w:rPr>
          <w:rFonts w:ascii="Times New Roman" w:hAnsi="Times New Roman" w:cs="Times New Roman"/>
          <w:sz w:val="24"/>
          <w:szCs w:val="24"/>
          <w:lang w:val="en-US"/>
        </w:rPr>
        <w:t xml:space="preserve"> </w:t>
      </w:r>
      <w:r w:rsidRPr="0032056F">
        <w:rPr>
          <w:rFonts w:ascii="Times New Roman" w:hAnsi="Times New Roman" w:cs="Times New Roman"/>
          <w:sz w:val="24"/>
          <w:szCs w:val="24"/>
          <w:lang w:val="en-US"/>
        </w:rPr>
        <w:t>And who are the damned who gaze the souls of justice in Karlsruhe?</w:t>
      </w:r>
    </w:p>
    <w:p w14:paraId="0CD2301D" w14:textId="063249CE" w:rsidR="00560FB8" w:rsidRDefault="00560FB8" w:rsidP="0093667E">
      <w:pPr>
        <w:spacing w:after="0" w:line="360" w:lineRule="auto"/>
        <w:ind w:firstLine="113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To answer them, I shift to documentary sources on the semantic struggles untwining each organization’s foundations. </w:t>
      </w:r>
    </w:p>
    <w:p w14:paraId="768C89B8" w14:textId="77777777" w:rsidR="00560FB8" w:rsidRDefault="00560FB8" w:rsidP="00560FB8">
      <w:pPr>
        <w:spacing w:after="0" w:line="360" w:lineRule="auto"/>
        <w:jc w:val="both"/>
        <w:rPr>
          <w:rFonts w:ascii="Times New Roman" w:hAnsi="Times New Roman" w:cs="Times New Roman"/>
          <w:sz w:val="24"/>
          <w:szCs w:val="24"/>
          <w:lang w:val="en-US"/>
        </w:rPr>
      </w:pPr>
    </w:p>
    <w:p w14:paraId="5AD6267C" w14:textId="6EB50D42" w:rsidR="00560FB8" w:rsidRPr="00007C8E" w:rsidRDefault="00694910" w:rsidP="00694910">
      <w:pPr>
        <w:pStyle w:val="Heading1"/>
        <w:rPr>
          <w:lang w:val="en-US"/>
        </w:rPr>
      </w:pPr>
      <w:bookmarkStart w:id="5" w:name="_Toc120993774"/>
      <w:r>
        <w:rPr>
          <w:lang w:val="en-US"/>
        </w:rPr>
        <w:t>3</w:t>
      </w:r>
      <w:r w:rsidR="00560FB8" w:rsidRPr="00007C8E">
        <w:rPr>
          <w:lang w:val="en-US"/>
        </w:rPr>
        <w:t xml:space="preserve">. “And they shall render just decisions for the people:” The </w:t>
      </w:r>
      <w:r w:rsidR="00430410">
        <w:rPr>
          <w:lang w:val="en-US"/>
        </w:rPr>
        <w:t>consecration</w:t>
      </w:r>
      <w:r w:rsidR="00560FB8" w:rsidRPr="00007C8E">
        <w:rPr>
          <w:lang w:val="en-US"/>
        </w:rPr>
        <w:t xml:space="preserve"> of constitutional adjudication</w:t>
      </w:r>
      <w:bookmarkEnd w:id="5"/>
    </w:p>
    <w:p w14:paraId="648F4F77" w14:textId="77777777" w:rsidR="00560FB8" w:rsidRDefault="00560FB8" w:rsidP="00560FB8">
      <w:pPr>
        <w:spacing w:after="0" w:line="360" w:lineRule="auto"/>
        <w:jc w:val="both"/>
        <w:rPr>
          <w:rFonts w:ascii="Times New Roman" w:hAnsi="Times New Roman" w:cs="Times New Roman"/>
          <w:sz w:val="24"/>
          <w:szCs w:val="24"/>
          <w:lang w:val="en-US"/>
        </w:rPr>
      </w:pPr>
    </w:p>
    <w:p w14:paraId="68E88210" w14:textId="43411F87" w:rsidR="00560FB8" w:rsidRDefault="00560FB8" w:rsidP="00560FB8">
      <w:pPr>
        <w:spacing w:after="0" w:line="360" w:lineRule="auto"/>
        <w:ind w:firstLine="1134"/>
        <w:jc w:val="both"/>
        <w:rPr>
          <w:rFonts w:ascii="Times New Roman" w:hAnsi="Times New Roman" w:cs="Times New Roman"/>
          <w:sz w:val="24"/>
          <w:szCs w:val="24"/>
          <w:lang w:val="en-US"/>
        </w:rPr>
      </w:pPr>
      <w:r>
        <w:rPr>
          <w:rFonts w:ascii="Times New Roman" w:hAnsi="Times New Roman" w:cs="Times New Roman"/>
          <w:sz w:val="24"/>
          <w:szCs w:val="24"/>
          <w:lang w:val="en-US"/>
        </w:rPr>
        <w:t>Occasionally, therefore, the net effects of reoccupations are monumental. In these two liberal democracies, constitutional adjudication under</w:t>
      </w:r>
      <w:r w:rsidR="00E24D2D">
        <w:rPr>
          <w:rFonts w:ascii="Times New Roman" w:hAnsi="Times New Roman" w:cs="Times New Roman"/>
          <w:sz w:val="24"/>
          <w:szCs w:val="24"/>
          <w:lang w:val="en-US"/>
        </w:rPr>
        <w:t>went</w:t>
      </w:r>
      <w:r>
        <w:rPr>
          <w:rFonts w:ascii="Times New Roman" w:hAnsi="Times New Roman" w:cs="Times New Roman"/>
          <w:sz w:val="24"/>
          <w:szCs w:val="24"/>
          <w:lang w:val="en-US"/>
        </w:rPr>
        <w:t xml:space="preserve"> a transubstantiation</w:t>
      </w:r>
      <w:r w:rsidR="00EB4C04">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EB4C04">
        <w:rPr>
          <w:rFonts w:ascii="Times New Roman" w:hAnsi="Times New Roman" w:cs="Times New Roman"/>
          <w:sz w:val="24"/>
          <w:szCs w:val="24"/>
          <w:lang w:val="en-US"/>
        </w:rPr>
        <w:t xml:space="preserve">Constitutional adjudication </w:t>
      </w:r>
      <w:r>
        <w:rPr>
          <w:rFonts w:ascii="Times New Roman" w:hAnsi="Times New Roman" w:cs="Times New Roman"/>
          <w:sz w:val="24"/>
          <w:szCs w:val="24"/>
          <w:lang w:val="en-US"/>
        </w:rPr>
        <w:t xml:space="preserve">goes from being something strange, contestable, </w:t>
      </w:r>
      <w:r w:rsidR="00D423CE">
        <w:rPr>
          <w:rFonts w:ascii="Times New Roman" w:hAnsi="Times New Roman" w:cs="Times New Roman"/>
          <w:sz w:val="24"/>
          <w:szCs w:val="24"/>
          <w:lang w:val="en-US"/>
        </w:rPr>
        <w:t xml:space="preserve">and </w:t>
      </w:r>
      <w:r>
        <w:rPr>
          <w:rFonts w:ascii="Times New Roman" w:hAnsi="Times New Roman" w:cs="Times New Roman"/>
          <w:sz w:val="24"/>
          <w:szCs w:val="24"/>
          <w:lang w:val="en-US"/>
        </w:rPr>
        <w:t>even unprecedented to the status of a simple deduction</w:t>
      </w:r>
      <w:r w:rsidR="00EB4C04">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EB4C04">
        <w:rPr>
          <w:rFonts w:ascii="Times New Roman" w:hAnsi="Times New Roman" w:cs="Times New Roman"/>
          <w:sz w:val="24"/>
          <w:szCs w:val="24"/>
          <w:lang w:val="en-US"/>
        </w:rPr>
        <w:t>to adopt a</w:t>
      </w:r>
      <w:r>
        <w:rPr>
          <w:rFonts w:ascii="Times New Roman" w:hAnsi="Times New Roman" w:cs="Times New Roman"/>
          <w:sz w:val="24"/>
          <w:szCs w:val="24"/>
          <w:lang w:val="en-US"/>
        </w:rPr>
        <w:t xml:space="preserve"> “written constitution”</w:t>
      </w:r>
      <w:r w:rsidR="00EB4C04">
        <w:rPr>
          <w:rFonts w:ascii="Times New Roman" w:hAnsi="Times New Roman" w:cs="Times New Roman"/>
          <w:sz w:val="24"/>
          <w:szCs w:val="24"/>
          <w:lang w:val="en-US"/>
        </w:rPr>
        <w:t xml:space="preserve"> necessarily implies establishing constitutional adjudication.</w:t>
      </w:r>
      <w:r>
        <w:rPr>
          <w:rFonts w:ascii="Times New Roman" w:hAnsi="Times New Roman" w:cs="Times New Roman"/>
          <w:sz w:val="24"/>
          <w:szCs w:val="24"/>
          <w:lang w:val="en-US"/>
        </w:rPr>
        <w:t xml:space="preserve"> </w:t>
      </w:r>
      <w:r w:rsidR="00E55F31">
        <w:rPr>
          <w:rFonts w:ascii="Times New Roman" w:hAnsi="Times New Roman" w:cs="Times New Roman"/>
          <w:sz w:val="24"/>
          <w:szCs w:val="24"/>
          <w:lang w:val="en-US"/>
        </w:rPr>
        <w:t>A</w:t>
      </w:r>
      <w:r>
        <w:rPr>
          <w:rFonts w:ascii="Times New Roman" w:hAnsi="Times New Roman" w:cs="Times New Roman"/>
          <w:sz w:val="24"/>
          <w:szCs w:val="24"/>
          <w:lang w:val="en-US"/>
        </w:rPr>
        <w:t xml:space="preserve">nd, if duly interpreted, </w:t>
      </w:r>
      <w:r w:rsidR="00EB4C04">
        <w:rPr>
          <w:rFonts w:ascii="Times New Roman" w:hAnsi="Times New Roman" w:cs="Times New Roman"/>
          <w:sz w:val="24"/>
          <w:szCs w:val="24"/>
          <w:lang w:val="en-US"/>
        </w:rPr>
        <w:t xml:space="preserve">one may realize that the novel practice </w:t>
      </w:r>
      <w:r>
        <w:rPr>
          <w:rFonts w:ascii="Times New Roman" w:hAnsi="Times New Roman" w:cs="Times New Roman"/>
          <w:sz w:val="24"/>
          <w:szCs w:val="24"/>
          <w:lang w:val="en-US"/>
        </w:rPr>
        <w:t>enjoy</w:t>
      </w:r>
      <w:r w:rsidR="00E55F31">
        <w:rPr>
          <w:rFonts w:ascii="Times New Roman" w:hAnsi="Times New Roman" w:cs="Times New Roman"/>
          <w:sz w:val="24"/>
          <w:szCs w:val="24"/>
          <w:lang w:val="en-US"/>
        </w:rPr>
        <w:t>s</w:t>
      </w:r>
      <w:r>
        <w:rPr>
          <w:rFonts w:ascii="Times New Roman" w:hAnsi="Times New Roman" w:cs="Times New Roman"/>
          <w:sz w:val="24"/>
          <w:szCs w:val="24"/>
          <w:lang w:val="en-US"/>
        </w:rPr>
        <w:t xml:space="preserve"> antecedent </w:t>
      </w:r>
      <w:proofErr w:type="spellStart"/>
      <w:r>
        <w:rPr>
          <w:rFonts w:ascii="Times New Roman" w:hAnsi="Times New Roman" w:cs="Times New Roman"/>
          <w:sz w:val="24"/>
          <w:szCs w:val="24"/>
          <w:lang w:val="en-US"/>
        </w:rPr>
        <w:t>prefigurations</w:t>
      </w:r>
      <w:proofErr w:type="spellEnd"/>
      <w:r>
        <w:rPr>
          <w:rFonts w:ascii="Times New Roman" w:hAnsi="Times New Roman" w:cs="Times New Roman"/>
          <w:sz w:val="24"/>
          <w:szCs w:val="24"/>
          <w:lang w:val="en-US"/>
        </w:rPr>
        <w:t xml:space="preserve"> deeply carved into tradition. Coke against James, Marshall versus Jackson, isn’t it obvious that Calvin’s case prefigures </w:t>
      </w:r>
      <w:r w:rsidRPr="00231555">
        <w:rPr>
          <w:rFonts w:ascii="Times New Roman" w:hAnsi="Times New Roman" w:cs="Times New Roman"/>
          <w:i/>
          <w:iCs/>
          <w:sz w:val="24"/>
          <w:szCs w:val="24"/>
          <w:lang w:val="en-US"/>
        </w:rPr>
        <w:t>Marbury v. Madison</w:t>
      </w:r>
      <w:r>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61"/>
      </w:r>
      <w:r>
        <w:rPr>
          <w:rFonts w:ascii="Times New Roman" w:hAnsi="Times New Roman" w:cs="Times New Roman"/>
          <w:sz w:val="24"/>
          <w:szCs w:val="24"/>
          <w:lang w:val="en-US"/>
        </w:rPr>
        <w:t xml:space="preserve"> </w:t>
      </w:r>
      <w:r w:rsidR="00B84ECD">
        <w:rPr>
          <w:rFonts w:ascii="Times New Roman" w:hAnsi="Times New Roman" w:cs="Times New Roman"/>
          <w:sz w:val="24"/>
          <w:szCs w:val="24"/>
          <w:lang w:val="en-US"/>
        </w:rPr>
        <w:t>All the while, apparently</w:t>
      </w:r>
      <w:r>
        <w:rPr>
          <w:rFonts w:ascii="Times New Roman" w:hAnsi="Times New Roman" w:cs="Times New Roman"/>
          <w:sz w:val="24"/>
          <w:szCs w:val="24"/>
          <w:lang w:val="en-US"/>
        </w:rPr>
        <w:t>, notwithstanding its novelty, constitutional complain</w:t>
      </w:r>
      <w:r w:rsidR="00D423CE">
        <w:rPr>
          <w:rFonts w:ascii="Times New Roman" w:hAnsi="Times New Roman" w:cs="Times New Roman"/>
          <w:sz w:val="24"/>
          <w:szCs w:val="24"/>
          <w:lang w:val="en-US"/>
        </w:rPr>
        <w:t>t</w:t>
      </w:r>
      <w:r>
        <w:rPr>
          <w:rFonts w:ascii="Times New Roman" w:hAnsi="Times New Roman" w:cs="Times New Roman"/>
          <w:sz w:val="24"/>
          <w:szCs w:val="24"/>
          <w:lang w:val="en-US"/>
        </w:rPr>
        <w:t>s [</w:t>
      </w:r>
      <w:proofErr w:type="spellStart"/>
      <w:r w:rsidRPr="00B26C10">
        <w:rPr>
          <w:rFonts w:ascii="Times New Roman" w:hAnsi="Times New Roman" w:cs="Times New Roman"/>
          <w:i/>
          <w:iCs/>
          <w:sz w:val="24"/>
          <w:szCs w:val="24"/>
          <w:lang w:val="en-US"/>
        </w:rPr>
        <w:t>Verfassungsbeschwerde</w:t>
      </w:r>
      <w:proofErr w:type="spellEnd"/>
      <w:r>
        <w:rPr>
          <w:rFonts w:ascii="Times New Roman" w:hAnsi="Times New Roman" w:cs="Times New Roman"/>
          <w:sz w:val="24"/>
          <w:szCs w:val="24"/>
          <w:lang w:val="en-US"/>
        </w:rPr>
        <w:t>] were already imagined in 1849</w:t>
      </w:r>
      <w:r w:rsidR="00B84ECD">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62"/>
      </w:r>
    </w:p>
    <w:p w14:paraId="3AD286FD" w14:textId="75E6E38E" w:rsidR="00560FB8" w:rsidRDefault="00025BC2" w:rsidP="00560FB8">
      <w:pPr>
        <w:spacing w:after="0" w:line="360" w:lineRule="auto"/>
        <w:ind w:firstLine="1134"/>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00560FB8">
        <w:rPr>
          <w:rFonts w:ascii="Times New Roman" w:hAnsi="Times New Roman" w:cs="Times New Roman"/>
          <w:sz w:val="24"/>
          <w:szCs w:val="24"/>
          <w:lang w:val="en-US"/>
        </w:rPr>
        <w:t xml:space="preserve">hese two usages </w:t>
      </w:r>
      <w:r>
        <w:rPr>
          <w:rFonts w:ascii="Times New Roman" w:hAnsi="Times New Roman" w:cs="Times New Roman"/>
          <w:sz w:val="24"/>
          <w:szCs w:val="24"/>
          <w:lang w:val="en-US"/>
        </w:rPr>
        <w:t xml:space="preserve">resonate </w:t>
      </w:r>
      <w:r w:rsidR="00560FB8">
        <w:rPr>
          <w:rFonts w:ascii="Times New Roman" w:hAnsi="Times New Roman" w:cs="Times New Roman"/>
          <w:sz w:val="24"/>
          <w:szCs w:val="24"/>
          <w:lang w:val="en-US"/>
        </w:rPr>
        <w:t xml:space="preserve">with a crucial methodological caveat </w:t>
      </w:r>
      <w:r w:rsidR="0093667E">
        <w:rPr>
          <w:rFonts w:ascii="Times New Roman" w:hAnsi="Times New Roman" w:cs="Times New Roman"/>
          <w:sz w:val="24"/>
          <w:szCs w:val="24"/>
          <w:lang w:val="en-US"/>
        </w:rPr>
        <w:t xml:space="preserve">Hans </w:t>
      </w:r>
      <w:proofErr w:type="spellStart"/>
      <w:r w:rsidR="00560FB8">
        <w:rPr>
          <w:rFonts w:ascii="Times New Roman" w:hAnsi="Times New Roman" w:cs="Times New Roman"/>
          <w:sz w:val="24"/>
          <w:szCs w:val="24"/>
          <w:lang w:val="en-US"/>
        </w:rPr>
        <w:t>Blumenberg</w:t>
      </w:r>
      <w:proofErr w:type="spellEnd"/>
      <w:r w:rsidR="00560FB8">
        <w:rPr>
          <w:rFonts w:ascii="Times New Roman" w:hAnsi="Times New Roman" w:cs="Times New Roman"/>
          <w:sz w:val="24"/>
          <w:szCs w:val="24"/>
          <w:lang w:val="en-US"/>
        </w:rPr>
        <w:t xml:space="preserve"> insisted upon</w:t>
      </w:r>
      <w:r w:rsidR="00765722">
        <w:rPr>
          <w:rFonts w:ascii="Times New Roman" w:hAnsi="Times New Roman" w:cs="Times New Roman"/>
          <w:sz w:val="24"/>
          <w:szCs w:val="24"/>
          <w:lang w:val="en-US"/>
        </w:rPr>
        <w:t>, briefly mentioned above</w:t>
      </w:r>
      <w:r>
        <w:rPr>
          <w:rFonts w:ascii="Times New Roman" w:hAnsi="Times New Roman" w:cs="Times New Roman"/>
          <w:sz w:val="24"/>
          <w:szCs w:val="24"/>
          <w:lang w:val="en-US"/>
        </w:rPr>
        <w:t>.</w:t>
      </w:r>
      <w:r w:rsidR="00560FB8">
        <w:rPr>
          <w:rFonts w:ascii="Times New Roman" w:hAnsi="Times New Roman" w:cs="Times New Roman"/>
          <w:sz w:val="24"/>
          <w:szCs w:val="24"/>
          <w:lang w:val="en-US"/>
        </w:rPr>
        <w:t xml:space="preserve"> </w:t>
      </w:r>
      <w:r>
        <w:rPr>
          <w:rFonts w:ascii="Times New Roman" w:hAnsi="Times New Roman" w:cs="Times New Roman"/>
          <w:sz w:val="24"/>
          <w:szCs w:val="24"/>
          <w:lang w:val="en-US"/>
        </w:rPr>
        <w:t>R</w:t>
      </w:r>
      <w:r w:rsidR="00560FB8">
        <w:rPr>
          <w:rFonts w:ascii="Times New Roman" w:hAnsi="Times New Roman" w:cs="Times New Roman"/>
          <w:sz w:val="24"/>
          <w:szCs w:val="24"/>
          <w:lang w:val="en-US"/>
        </w:rPr>
        <w:t>eoccupations don’t say much about the origin of the new materials th</w:t>
      </w:r>
      <w:r w:rsidR="002C53F7">
        <w:rPr>
          <w:rFonts w:ascii="Times New Roman" w:hAnsi="Times New Roman" w:cs="Times New Roman"/>
          <w:sz w:val="24"/>
          <w:szCs w:val="24"/>
          <w:lang w:val="en-US"/>
        </w:rPr>
        <w:t>at the</w:t>
      </w:r>
      <w:r w:rsidR="00560FB8">
        <w:rPr>
          <w:rFonts w:ascii="Times New Roman" w:hAnsi="Times New Roman" w:cs="Times New Roman"/>
          <w:sz w:val="24"/>
          <w:szCs w:val="24"/>
          <w:lang w:val="en-US"/>
        </w:rPr>
        <w:t xml:space="preserve"> actors across an epochal threshold come to assemble, “only which consecration [</w:t>
      </w:r>
      <w:proofErr w:type="spellStart"/>
      <w:r w:rsidR="00560FB8" w:rsidRPr="00807D13">
        <w:rPr>
          <w:rFonts w:ascii="Times New Roman" w:hAnsi="Times New Roman" w:cs="Times New Roman"/>
          <w:i/>
          <w:iCs/>
          <w:sz w:val="24"/>
          <w:szCs w:val="24"/>
          <w:lang w:val="en-US"/>
        </w:rPr>
        <w:t>Weihen</w:t>
      </w:r>
      <w:proofErr w:type="spellEnd"/>
      <w:r w:rsidR="00560FB8">
        <w:rPr>
          <w:rFonts w:ascii="Times New Roman" w:hAnsi="Times New Roman" w:cs="Times New Roman"/>
          <w:sz w:val="24"/>
          <w:szCs w:val="24"/>
          <w:lang w:val="en-US"/>
        </w:rPr>
        <w:t xml:space="preserve">] [they] </w:t>
      </w:r>
      <w:proofErr w:type="spellStart"/>
      <w:r w:rsidR="00560FB8">
        <w:rPr>
          <w:rFonts w:ascii="Times New Roman" w:hAnsi="Times New Roman" w:cs="Times New Roman"/>
          <w:sz w:val="24"/>
          <w:szCs w:val="24"/>
          <w:lang w:val="en-US"/>
        </w:rPr>
        <w:t>receiv</w:t>
      </w:r>
      <w:proofErr w:type="spellEnd"/>
      <w:r w:rsidR="00560FB8">
        <w:rPr>
          <w:rFonts w:ascii="Times New Roman" w:hAnsi="Times New Roman" w:cs="Times New Roman"/>
          <w:sz w:val="24"/>
          <w:szCs w:val="24"/>
          <w:lang w:val="en-US"/>
        </w:rPr>
        <w:t>[e].”</w:t>
      </w:r>
      <w:r w:rsidR="00560FB8">
        <w:rPr>
          <w:rStyle w:val="FootnoteReference"/>
          <w:rFonts w:ascii="Times New Roman" w:hAnsi="Times New Roman" w:cs="Times New Roman"/>
          <w:sz w:val="24"/>
          <w:szCs w:val="24"/>
          <w:lang w:val="en-US"/>
        </w:rPr>
        <w:footnoteReference w:id="63"/>
      </w:r>
      <w:r w:rsidR="00560FB8">
        <w:rPr>
          <w:rFonts w:ascii="Times New Roman" w:hAnsi="Times New Roman" w:cs="Times New Roman"/>
          <w:sz w:val="24"/>
          <w:szCs w:val="24"/>
          <w:lang w:val="en-US"/>
        </w:rPr>
        <w:t xml:space="preserve"> Pushing towards </w:t>
      </w:r>
      <w:r w:rsidR="00560FB8">
        <w:rPr>
          <w:rFonts w:ascii="Times New Roman" w:hAnsi="Times New Roman" w:cs="Times New Roman"/>
          <w:sz w:val="24"/>
          <w:szCs w:val="24"/>
          <w:lang w:val="en-US"/>
        </w:rPr>
        <w:lastRenderedPageBreak/>
        <w:t>conceptual clarity, this implies that the deployment of religious resources mostly relate not to the plausibility of selected variations, but their stabilization in terms of evidence (and</w:t>
      </w:r>
      <w:r w:rsidR="0093667E">
        <w:rPr>
          <w:rFonts w:ascii="Times New Roman" w:hAnsi="Times New Roman" w:cs="Times New Roman"/>
          <w:sz w:val="24"/>
          <w:szCs w:val="24"/>
          <w:lang w:val="en-US"/>
        </w:rPr>
        <w:t>, as suggested at the outstart, fascination</w:t>
      </w:r>
      <w:r w:rsidR="00560FB8">
        <w:rPr>
          <w:rFonts w:ascii="Times New Roman" w:hAnsi="Times New Roman" w:cs="Times New Roman"/>
          <w:sz w:val="24"/>
          <w:szCs w:val="24"/>
          <w:lang w:val="en-US"/>
        </w:rPr>
        <w:t xml:space="preserve">). In </w:t>
      </w:r>
      <w:proofErr w:type="spellStart"/>
      <w:r w:rsidR="00560FB8">
        <w:rPr>
          <w:rFonts w:ascii="Times New Roman" w:hAnsi="Times New Roman" w:cs="Times New Roman"/>
          <w:sz w:val="24"/>
          <w:szCs w:val="24"/>
          <w:lang w:val="en-US"/>
        </w:rPr>
        <w:t>Blumenberg’s</w:t>
      </w:r>
      <w:proofErr w:type="spellEnd"/>
      <w:r w:rsidR="00560FB8">
        <w:rPr>
          <w:rFonts w:ascii="Times New Roman" w:hAnsi="Times New Roman" w:cs="Times New Roman"/>
          <w:sz w:val="24"/>
          <w:szCs w:val="24"/>
          <w:lang w:val="en-US"/>
        </w:rPr>
        <w:t xml:space="preserve"> </w:t>
      </w:r>
      <w:r w:rsidR="002C53F7">
        <w:rPr>
          <w:rFonts w:ascii="Times New Roman" w:hAnsi="Times New Roman" w:cs="Times New Roman"/>
          <w:sz w:val="24"/>
          <w:szCs w:val="24"/>
          <w:lang w:val="en-US"/>
        </w:rPr>
        <w:t xml:space="preserve">somewhat cryptical </w:t>
      </w:r>
      <w:r w:rsidR="00560FB8">
        <w:rPr>
          <w:rFonts w:ascii="Times New Roman" w:hAnsi="Times New Roman" w:cs="Times New Roman"/>
          <w:sz w:val="24"/>
          <w:szCs w:val="24"/>
          <w:lang w:val="en-US"/>
        </w:rPr>
        <w:t>words, as an act of selection comes to be repeated</w:t>
      </w:r>
      <w:r w:rsidR="0093667E">
        <w:rPr>
          <w:rFonts w:ascii="Times New Roman" w:hAnsi="Times New Roman" w:cs="Times New Roman"/>
          <w:sz w:val="24"/>
          <w:szCs w:val="24"/>
          <w:lang w:val="en-US"/>
        </w:rPr>
        <w:t>, “</w:t>
      </w:r>
      <w:r w:rsidR="00560FB8">
        <w:rPr>
          <w:rFonts w:ascii="Times New Roman" w:hAnsi="Times New Roman" w:cs="Times New Roman"/>
          <w:sz w:val="24"/>
          <w:szCs w:val="24"/>
          <w:lang w:val="en-US"/>
        </w:rPr>
        <w:t xml:space="preserve">through </w:t>
      </w:r>
      <w:r w:rsidR="00765722">
        <w:rPr>
          <w:rFonts w:ascii="Times New Roman" w:hAnsi="Times New Roman" w:cs="Times New Roman"/>
          <w:sz w:val="24"/>
          <w:szCs w:val="24"/>
          <w:lang w:val="en-US"/>
        </w:rPr>
        <w:t>‘</w:t>
      </w:r>
      <w:r w:rsidR="00560FB8">
        <w:rPr>
          <w:rFonts w:ascii="Times New Roman" w:hAnsi="Times New Roman" w:cs="Times New Roman"/>
          <w:sz w:val="24"/>
          <w:szCs w:val="24"/>
          <w:lang w:val="en-US"/>
        </w:rPr>
        <w:t>repetition</w:t>
      </w:r>
      <w:r w:rsidR="00765722">
        <w:rPr>
          <w:rFonts w:ascii="Times New Roman" w:hAnsi="Times New Roman" w:cs="Times New Roman"/>
          <w:sz w:val="24"/>
          <w:szCs w:val="24"/>
          <w:lang w:val="en-US"/>
        </w:rPr>
        <w:t>’</w:t>
      </w:r>
      <w:r w:rsidR="00560FB8">
        <w:rPr>
          <w:rFonts w:ascii="Times New Roman" w:hAnsi="Times New Roman" w:cs="Times New Roman"/>
          <w:sz w:val="24"/>
          <w:szCs w:val="24"/>
          <w:lang w:val="en-US"/>
        </w:rPr>
        <w:t xml:space="preserve"> the </w:t>
      </w:r>
      <w:r w:rsidR="00765722">
        <w:rPr>
          <w:rFonts w:ascii="Times New Roman" w:hAnsi="Times New Roman" w:cs="Times New Roman"/>
          <w:sz w:val="24"/>
          <w:szCs w:val="24"/>
          <w:lang w:val="en-US"/>
        </w:rPr>
        <w:t>‘</w:t>
      </w:r>
      <w:r w:rsidR="00560FB8">
        <w:rPr>
          <w:rFonts w:ascii="Times New Roman" w:hAnsi="Times New Roman" w:cs="Times New Roman"/>
          <w:sz w:val="24"/>
          <w:szCs w:val="24"/>
          <w:lang w:val="en-US"/>
        </w:rPr>
        <w:t>repeated,</w:t>
      </w:r>
      <w:r w:rsidR="00765722">
        <w:rPr>
          <w:rFonts w:ascii="Times New Roman" w:hAnsi="Times New Roman" w:cs="Times New Roman"/>
          <w:sz w:val="24"/>
          <w:szCs w:val="24"/>
          <w:lang w:val="en-US"/>
        </w:rPr>
        <w:t>’</w:t>
      </w:r>
      <w:r w:rsidR="00560FB8">
        <w:rPr>
          <w:rFonts w:ascii="Times New Roman" w:hAnsi="Times New Roman" w:cs="Times New Roman"/>
          <w:sz w:val="24"/>
          <w:szCs w:val="24"/>
          <w:lang w:val="en-US"/>
        </w:rPr>
        <w:t xml:space="preserve"> whose contingency is to be repressed, becomes a mythical program.”</w:t>
      </w:r>
      <w:r w:rsidR="00560FB8">
        <w:rPr>
          <w:rStyle w:val="FootnoteReference"/>
          <w:rFonts w:ascii="Times New Roman" w:hAnsi="Times New Roman" w:cs="Times New Roman"/>
          <w:sz w:val="24"/>
          <w:szCs w:val="24"/>
          <w:lang w:val="en-US"/>
        </w:rPr>
        <w:footnoteReference w:id="64"/>
      </w:r>
      <w:r w:rsidR="00560FB8">
        <w:rPr>
          <w:rFonts w:ascii="Times New Roman" w:hAnsi="Times New Roman" w:cs="Times New Roman"/>
          <w:sz w:val="24"/>
          <w:szCs w:val="24"/>
          <w:lang w:val="en-US"/>
        </w:rPr>
        <w:t xml:space="preserve"> </w:t>
      </w:r>
    </w:p>
    <w:p w14:paraId="6AC7867D" w14:textId="251105D9" w:rsidR="00EB6871" w:rsidRDefault="00560FB8" w:rsidP="00560FB8">
      <w:pPr>
        <w:spacing w:after="0" w:line="360" w:lineRule="auto"/>
        <w:ind w:firstLine="113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What </w:t>
      </w:r>
      <w:proofErr w:type="spellStart"/>
      <w:r>
        <w:rPr>
          <w:rFonts w:ascii="Times New Roman" w:hAnsi="Times New Roman" w:cs="Times New Roman"/>
          <w:sz w:val="24"/>
          <w:szCs w:val="24"/>
          <w:lang w:val="en-US"/>
        </w:rPr>
        <w:t>Blumenberg</w:t>
      </w:r>
      <w:proofErr w:type="spellEnd"/>
      <w:r>
        <w:rPr>
          <w:rFonts w:ascii="Times New Roman" w:hAnsi="Times New Roman" w:cs="Times New Roman"/>
          <w:sz w:val="24"/>
          <w:szCs w:val="24"/>
          <w:lang w:val="en-US"/>
        </w:rPr>
        <w:t xml:space="preserve"> wrote on </w:t>
      </w:r>
      <w:proofErr w:type="spellStart"/>
      <w:r>
        <w:rPr>
          <w:rFonts w:ascii="Times New Roman" w:hAnsi="Times New Roman" w:cs="Times New Roman"/>
          <w:sz w:val="24"/>
          <w:szCs w:val="24"/>
          <w:lang w:val="en-US"/>
        </w:rPr>
        <w:t>prefigurations</w:t>
      </w:r>
      <w:proofErr w:type="spellEnd"/>
      <w:r w:rsidR="00E55F31">
        <w:rPr>
          <w:rFonts w:ascii="Times New Roman" w:hAnsi="Times New Roman" w:cs="Times New Roman"/>
          <w:sz w:val="24"/>
          <w:szCs w:val="24"/>
          <w:lang w:val="en-US"/>
        </w:rPr>
        <w:t>,</w:t>
      </w:r>
      <w:r>
        <w:rPr>
          <w:rFonts w:ascii="Times New Roman" w:hAnsi="Times New Roman" w:cs="Times New Roman"/>
          <w:sz w:val="24"/>
          <w:szCs w:val="24"/>
          <w:lang w:val="en-US"/>
        </w:rPr>
        <w:t xml:space="preserve"> a specific instrument for generating meaningfulness, may probably apply to </w:t>
      </w:r>
      <w:r w:rsidR="00025BC2">
        <w:rPr>
          <w:rFonts w:ascii="Times New Roman" w:hAnsi="Times New Roman" w:cs="Times New Roman"/>
          <w:sz w:val="24"/>
          <w:szCs w:val="24"/>
          <w:lang w:val="en-US"/>
        </w:rPr>
        <w:t>other rhetoric means</w:t>
      </w:r>
      <w:r>
        <w:rPr>
          <w:rFonts w:ascii="Times New Roman" w:hAnsi="Times New Roman" w:cs="Times New Roman"/>
          <w:sz w:val="24"/>
          <w:szCs w:val="24"/>
          <w:lang w:val="en-US"/>
        </w:rPr>
        <w:t>.</w:t>
      </w:r>
      <w:r w:rsidR="00E55F31">
        <w:rPr>
          <w:rFonts w:ascii="Times New Roman" w:hAnsi="Times New Roman" w:cs="Times New Roman"/>
          <w:sz w:val="24"/>
          <w:szCs w:val="24"/>
          <w:lang w:val="en-US"/>
        </w:rPr>
        <w:t xml:space="preserve"> In his case, </w:t>
      </w:r>
      <w:proofErr w:type="spellStart"/>
      <w:r w:rsidR="00E55F31">
        <w:rPr>
          <w:rFonts w:ascii="Times New Roman" w:hAnsi="Times New Roman" w:cs="Times New Roman"/>
          <w:sz w:val="24"/>
          <w:szCs w:val="24"/>
          <w:lang w:val="en-US"/>
        </w:rPr>
        <w:t>Blumenberg</w:t>
      </w:r>
      <w:proofErr w:type="spellEnd"/>
      <w:r w:rsidR="00E55F31">
        <w:rPr>
          <w:rFonts w:ascii="Times New Roman" w:hAnsi="Times New Roman" w:cs="Times New Roman"/>
          <w:sz w:val="24"/>
          <w:szCs w:val="24"/>
          <w:lang w:val="en-US"/>
        </w:rPr>
        <w:t xml:space="preserve"> had in mind Jesus and </w:t>
      </w:r>
      <w:proofErr w:type="spellStart"/>
      <w:r w:rsidR="00E55F31">
        <w:rPr>
          <w:rFonts w:ascii="Times New Roman" w:hAnsi="Times New Roman" w:cs="Times New Roman"/>
          <w:sz w:val="24"/>
          <w:szCs w:val="24"/>
          <w:lang w:val="en-US"/>
        </w:rPr>
        <w:t>Friederich</w:t>
      </w:r>
      <w:proofErr w:type="spellEnd"/>
      <w:r w:rsidR="00E55F31">
        <w:rPr>
          <w:rFonts w:ascii="Times New Roman" w:hAnsi="Times New Roman" w:cs="Times New Roman"/>
          <w:sz w:val="24"/>
          <w:szCs w:val="24"/>
          <w:lang w:val="en-US"/>
        </w:rPr>
        <w:t xml:space="preserve"> II, Der </w:t>
      </w:r>
      <w:proofErr w:type="spellStart"/>
      <w:r w:rsidR="00E55F31">
        <w:rPr>
          <w:rFonts w:ascii="Times New Roman" w:hAnsi="Times New Roman" w:cs="Times New Roman"/>
          <w:sz w:val="24"/>
          <w:szCs w:val="24"/>
          <w:lang w:val="en-US"/>
        </w:rPr>
        <w:t>Staufer</w:t>
      </w:r>
      <w:proofErr w:type="spellEnd"/>
      <w:r w:rsidR="00E55F31">
        <w:rPr>
          <w:rFonts w:ascii="Times New Roman" w:hAnsi="Times New Roman" w:cs="Times New Roman"/>
          <w:sz w:val="24"/>
          <w:szCs w:val="24"/>
          <w:lang w:val="en-US"/>
        </w:rPr>
        <w:t xml:space="preserve">, and then </w:t>
      </w:r>
      <w:proofErr w:type="spellStart"/>
      <w:r w:rsidR="00E55F31">
        <w:rPr>
          <w:rFonts w:ascii="Times New Roman" w:hAnsi="Times New Roman" w:cs="Times New Roman"/>
          <w:sz w:val="24"/>
          <w:szCs w:val="24"/>
          <w:lang w:val="en-US"/>
        </w:rPr>
        <w:t>Friederich</w:t>
      </w:r>
      <w:proofErr w:type="spellEnd"/>
      <w:r w:rsidR="00E55F31">
        <w:rPr>
          <w:rFonts w:ascii="Times New Roman" w:hAnsi="Times New Roman" w:cs="Times New Roman"/>
          <w:sz w:val="24"/>
          <w:szCs w:val="24"/>
          <w:lang w:val="en-US"/>
        </w:rPr>
        <w:t xml:space="preserve"> and Napoleon and </w:t>
      </w:r>
      <w:proofErr w:type="spellStart"/>
      <w:r w:rsidR="00E55F31">
        <w:rPr>
          <w:rFonts w:ascii="Times New Roman" w:hAnsi="Times New Roman" w:cs="Times New Roman"/>
          <w:sz w:val="24"/>
          <w:szCs w:val="24"/>
          <w:lang w:val="en-US"/>
        </w:rPr>
        <w:t>Friederich</w:t>
      </w:r>
      <w:proofErr w:type="spellEnd"/>
      <w:r w:rsidR="00E55F31">
        <w:rPr>
          <w:rFonts w:ascii="Times New Roman" w:hAnsi="Times New Roman" w:cs="Times New Roman"/>
          <w:sz w:val="24"/>
          <w:szCs w:val="24"/>
          <w:lang w:val="en-US"/>
        </w:rPr>
        <w:t xml:space="preserve"> and Hitler. In ours, we can think of Marshall as Coke, Coke as Moses, a chain of Visible Saints. And also</w:t>
      </w:r>
      <w:r w:rsidR="00B8175F">
        <w:rPr>
          <w:rFonts w:ascii="Times New Roman" w:hAnsi="Times New Roman" w:cs="Times New Roman"/>
          <w:sz w:val="24"/>
          <w:szCs w:val="24"/>
          <w:lang w:val="en-US"/>
        </w:rPr>
        <w:t>, as I explore below,</w:t>
      </w:r>
      <w:r w:rsidR="00E55F31">
        <w:rPr>
          <w:rFonts w:ascii="Times New Roman" w:hAnsi="Times New Roman" w:cs="Times New Roman"/>
          <w:sz w:val="24"/>
          <w:szCs w:val="24"/>
          <w:lang w:val="en-US"/>
        </w:rPr>
        <w:t xml:space="preserve"> </w:t>
      </w:r>
      <w:proofErr w:type="spellStart"/>
      <w:r w:rsidR="00E55F31" w:rsidRPr="004232E5">
        <w:rPr>
          <w:rFonts w:ascii="Times New Roman" w:hAnsi="Times New Roman" w:cs="Times New Roman"/>
          <w:i/>
          <w:iCs/>
          <w:sz w:val="24"/>
          <w:szCs w:val="24"/>
          <w:lang w:val="en-US"/>
        </w:rPr>
        <w:t>Verfassungsrichter</w:t>
      </w:r>
      <w:proofErr w:type="spellEnd"/>
      <w:r w:rsidR="00E55F31">
        <w:rPr>
          <w:rFonts w:ascii="Times New Roman" w:hAnsi="Times New Roman" w:cs="Times New Roman"/>
          <w:sz w:val="24"/>
          <w:szCs w:val="24"/>
          <w:lang w:val="en-US"/>
        </w:rPr>
        <w:t xml:space="preserve"> as </w:t>
      </w:r>
      <w:proofErr w:type="spellStart"/>
      <w:r w:rsidR="00E55F31" w:rsidRPr="004232E5">
        <w:rPr>
          <w:rFonts w:ascii="Times New Roman" w:hAnsi="Times New Roman" w:cs="Times New Roman"/>
          <w:i/>
          <w:iCs/>
          <w:sz w:val="24"/>
          <w:szCs w:val="24"/>
          <w:lang w:val="en-US"/>
        </w:rPr>
        <w:t>Schöffen</w:t>
      </w:r>
      <w:proofErr w:type="spellEnd"/>
      <w:r>
        <w:rPr>
          <w:rFonts w:ascii="Times New Roman" w:hAnsi="Times New Roman" w:cs="Times New Roman"/>
          <w:sz w:val="24"/>
          <w:szCs w:val="24"/>
          <w:lang w:val="en-US"/>
        </w:rPr>
        <w:t xml:space="preserve"> In his words, </w:t>
      </w:r>
      <w:proofErr w:type="spellStart"/>
      <w:r>
        <w:rPr>
          <w:rFonts w:ascii="Times New Roman" w:hAnsi="Times New Roman" w:cs="Times New Roman"/>
          <w:sz w:val="24"/>
          <w:szCs w:val="24"/>
          <w:lang w:val="en-US"/>
        </w:rPr>
        <w:t>prefigurations</w:t>
      </w:r>
      <w:proofErr w:type="spellEnd"/>
      <w:r>
        <w:rPr>
          <w:rFonts w:ascii="Times New Roman" w:hAnsi="Times New Roman" w:cs="Times New Roman"/>
          <w:sz w:val="24"/>
          <w:szCs w:val="24"/>
          <w:lang w:val="en-US"/>
        </w:rPr>
        <w:t xml:space="preserve"> are particularly useful to anoint “weakly justifiable situations of action,” pivoting on the “incisiveness” of the figure of reference</w:t>
      </w:r>
      <w:r w:rsidR="00EB6871">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EB6871">
        <w:rPr>
          <w:rFonts w:ascii="Times New Roman" w:hAnsi="Times New Roman" w:cs="Times New Roman"/>
          <w:sz w:val="24"/>
          <w:szCs w:val="24"/>
          <w:lang w:val="en-US"/>
        </w:rPr>
        <w:t>T</w:t>
      </w:r>
      <w:r>
        <w:rPr>
          <w:rFonts w:ascii="Times New Roman" w:hAnsi="Times New Roman" w:cs="Times New Roman"/>
          <w:sz w:val="24"/>
          <w:szCs w:val="24"/>
          <w:lang w:val="en-US"/>
        </w:rPr>
        <w:t>he weigh</w:t>
      </w:r>
      <w:r w:rsidR="00D423CE">
        <w:rPr>
          <w:rFonts w:ascii="Times New Roman" w:hAnsi="Times New Roman" w:cs="Times New Roman"/>
          <w:sz w:val="24"/>
          <w:szCs w:val="24"/>
          <w:lang w:val="en-US"/>
        </w:rPr>
        <w:t>t</w:t>
      </w:r>
      <w:r>
        <w:rPr>
          <w:rFonts w:ascii="Times New Roman" w:hAnsi="Times New Roman" w:cs="Times New Roman"/>
          <w:sz w:val="24"/>
          <w:szCs w:val="24"/>
          <w:lang w:val="en-US"/>
        </w:rPr>
        <w:t xml:space="preserve"> therein – always a contingent issue – render</w:t>
      </w:r>
      <w:r w:rsidR="00EB6871">
        <w:rPr>
          <w:rFonts w:ascii="Times New Roman" w:hAnsi="Times New Roman" w:cs="Times New Roman"/>
          <w:sz w:val="24"/>
          <w:szCs w:val="24"/>
          <w:lang w:val="en-US"/>
        </w:rPr>
        <w:t>s</w:t>
      </w:r>
      <w:r>
        <w:rPr>
          <w:rFonts w:ascii="Times New Roman" w:hAnsi="Times New Roman" w:cs="Times New Roman"/>
          <w:sz w:val="24"/>
          <w:szCs w:val="24"/>
          <w:lang w:val="en-US"/>
        </w:rPr>
        <w:t xml:space="preserve"> it impossible “to let </w:t>
      </w:r>
      <w:r w:rsidR="002C53F7">
        <w:rPr>
          <w:rFonts w:ascii="Times New Roman" w:hAnsi="Times New Roman" w:cs="Times New Roman"/>
          <w:sz w:val="24"/>
          <w:szCs w:val="24"/>
          <w:lang w:val="en-US"/>
        </w:rPr>
        <w:t>[the figure]</w:t>
      </w:r>
      <w:r>
        <w:rPr>
          <w:rFonts w:ascii="Times New Roman" w:hAnsi="Times New Roman" w:cs="Times New Roman"/>
          <w:sz w:val="24"/>
          <w:szCs w:val="24"/>
          <w:lang w:val="en-US"/>
        </w:rPr>
        <w:t xml:space="preserve"> remain unusable</w:t>
      </w:r>
      <w:r w:rsidR="002C53F7">
        <w:rPr>
          <w:rFonts w:ascii="Times New Roman" w:hAnsi="Times New Roman" w:cs="Times New Roman"/>
          <w:sz w:val="24"/>
          <w:szCs w:val="24"/>
          <w:lang w:val="en-US"/>
        </w:rPr>
        <w:t>,</w:t>
      </w:r>
      <w:r>
        <w:rPr>
          <w:rFonts w:ascii="Times New Roman" w:hAnsi="Times New Roman" w:cs="Times New Roman"/>
          <w:sz w:val="24"/>
          <w:szCs w:val="24"/>
          <w:lang w:val="en-US"/>
        </w:rPr>
        <w:t xml:space="preserve">” especially as </w:t>
      </w:r>
      <w:r w:rsidR="002C53F7">
        <w:rPr>
          <w:rFonts w:ascii="Times New Roman" w:hAnsi="Times New Roman" w:cs="Times New Roman"/>
          <w:sz w:val="24"/>
          <w:szCs w:val="24"/>
          <w:lang w:val="en-US"/>
        </w:rPr>
        <w:t xml:space="preserve">such </w:t>
      </w:r>
      <w:r w:rsidR="00D423CE">
        <w:rPr>
          <w:rFonts w:ascii="Times New Roman" w:hAnsi="Times New Roman" w:cs="Times New Roman"/>
          <w:sz w:val="24"/>
          <w:szCs w:val="24"/>
          <w:lang w:val="en-US"/>
        </w:rPr>
        <w:t xml:space="preserve">a </w:t>
      </w:r>
      <w:r>
        <w:rPr>
          <w:rFonts w:ascii="Times New Roman" w:hAnsi="Times New Roman" w:cs="Times New Roman"/>
          <w:sz w:val="24"/>
          <w:szCs w:val="24"/>
          <w:lang w:val="en-US"/>
        </w:rPr>
        <w:t>figure is “always potentially available to be deployed by others.”</w:t>
      </w:r>
      <w:r>
        <w:rPr>
          <w:rStyle w:val="FootnoteReference"/>
          <w:rFonts w:ascii="Times New Roman" w:hAnsi="Times New Roman" w:cs="Times New Roman"/>
          <w:sz w:val="24"/>
          <w:szCs w:val="24"/>
          <w:lang w:val="en-US"/>
        </w:rPr>
        <w:footnoteReference w:id="65"/>
      </w:r>
      <w:r>
        <w:rPr>
          <w:rFonts w:ascii="Times New Roman" w:hAnsi="Times New Roman" w:cs="Times New Roman"/>
          <w:sz w:val="24"/>
          <w:szCs w:val="24"/>
          <w:lang w:val="en-US"/>
        </w:rPr>
        <w:t xml:space="preserve"> </w:t>
      </w:r>
    </w:p>
    <w:p w14:paraId="39917652" w14:textId="43B7416A" w:rsidR="00560FB8" w:rsidRDefault="00560FB8" w:rsidP="00560FB8">
      <w:pPr>
        <w:spacing w:after="0" w:line="360" w:lineRule="auto"/>
        <w:ind w:firstLine="1134"/>
        <w:jc w:val="both"/>
        <w:rPr>
          <w:rFonts w:ascii="Times New Roman" w:hAnsi="Times New Roman" w:cs="Times New Roman"/>
          <w:sz w:val="24"/>
          <w:szCs w:val="24"/>
          <w:lang w:val="en-US"/>
        </w:rPr>
      </w:pPr>
      <w:r>
        <w:rPr>
          <w:rFonts w:ascii="Times New Roman" w:hAnsi="Times New Roman" w:cs="Times New Roman"/>
          <w:sz w:val="24"/>
          <w:szCs w:val="24"/>
          <w:lang w:val="en-US"/>
        </w:rPr>
        <w:t>Now, “the nuisance of contingency” which every new institution invites, “as soon as they see themselves under the coercion to legitimation</w:t>
      </w:r>
      <w:r w:rsidR="00E55F31">
        <w:rPr>
          <w:rFonts w:ascii="Times New Roman" w:hAnsi="Times New Roman" w:cs="Times New Roman"/>
          <w:sz w:val="24"/>
          <w:szCs w:val="24"/>
          <w:lang w:val="en-US"/>
        </w:rPr>
        <w:t>,</w:t>
      </w:r>
      <w:r>
        <w:rPr>
          <w:rFonts w:ascii="Times New Roman" w:hAnsi="Times New Roman" w:cs="Times New Roman"/>
          <w:sz w:val="24"/>
          <w:szCs w:val="24"/>
          <w:lang w:val="en-US"/>
        </w:rPr>
        <w:t xml:space="preserve"> potentiates myth</w:t>
      </w:r>
      <w:r w:rsidR="0093667E">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93667E">
        <w:rPr>
          <w:rFonts w:ascii="Times New Roman" w:hAnsi="Times New Roman" w:cs="Times New Roman"/>
          <w:sz w:val="24"/>
          <w:szCs w:val="24"/>
          <w:lang w:val="en-US"/>
        </w:rPr>
        <w:t>M</w:t>
      </w:r>
      <w:r>
        <w:rPr>
          <w:rFonts w:ascii="Times New Roman" w:hAnsi="Times New Roman" w:cs="Times New Roman"/>
          <w:sz w:val="24"/>
          <w:szCs w:val="24"/>
          <w:lang w:val="en-US"/>
        </w:rPr>
        <w:t>yth (but also dogma)</w:t>
      </w:r>
      <w:r w:rsidR="0093667E">
        <w:rPr>
          <w:rFonts w:ascii="Times New Roman" w:hAnsi="Times New Roman" w:cs="Times New Roman"/>
          <w:sz w:val="24"/>
          <w:szCs w:val="24"/>
          <w:lang w:val="en-US"/>
        </w:rPr>
        <w:t xml:space="preserve">, according to </w:t>
      </w:r>
      <w:proofErr w:type="spellStart"/>
      <w:r w:rsidR="0093667E">
        <w:rPr>
          <w:rFonts w:ascii="Times New Roman" w:hAnsi="Times New Roman" w:cs="Times New Roman"/>
          <w:sz w:val="24"/>
          <w:szCs w:val="24"/>
          <w:lang w:val="en-US"/>
        </w:rPr>
        <w:t>Blumenberg</w:t>
      </w:r>
      <w:proofErr w:type="spellEnd"/>
      <w:r w:rsidR="0093667E">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93667E">
        <w:rPr>
          <w:rFonts w:ascii="Times New Roman" w:hAnsi="Times New Roman" w:cs="Times New Roman"/>
          <w:sz w:val="24"/>
          <w:szCs w:val="24"/>
          <w:lang w:val="en-US"/>
        </w:rPr>
        <w:t>grounds</w:t>
      </w:r>
      <w:r>
        <w:rPr>
          <w:rFonts w:ascii="Times New Roman" w:hAnsi="Times New Roman" w:cs="Times New Roman"/>
          <w:sz w:val="24"/>
          <w:szCs w:val="24"/>
          <w:lang w:val="en-US"/>
        </w:rPr>
        <w:t xml:space="preserve"> the refusal to give justifications at every instance of hindrance</w:t>
      </w:r>
      <w:r w:rsidR="00025BC2">
        <w:rPr>
          <w:rFonts w:ascii="Times New Roman" w:hAnsi="Times New Roman" w:cs="Times New Roman"/>
          <w:sz w:val="24"/>
          <w:szCs w:val="24"/>
          <w:lang w:val="en-US"/>
        </w:rPr>
        <w:t xml:space="preserve">, as myth </w:t>
      </w:r>
      <w:r w:rsidR="00E24D2D">
        <w:rPr>
          <w:rFonts w:ascii="Times New Roman" w:hAnsi="Times New Roman" w:cs="Times New Roman"/>
          <w:sz w:val="24"/>
          <w:szCs w:val="24"/>
          <w:lang w:val="en-US"/>
        </w:rPr>
        <w:t>anoints</w:t>
      </w:r>
      <w:r w:rsidR="00025BC2">
        <w:rPr>
          <w:rFonts w:ascii="Times New Roman" w:hAnsi="Times New Roman" w:cs="Times New Roman"/>
          <w:sz w:val="24"/>
          <w:szCs w:val="24"/>
          <w:lang w:val="en-US"/>
        </w:rPr>
        <w:t xml:space="preserve"> the</w:t>
      </w:r>
      <w:r>
        <w:rPr>
          <w:rFonts w:ascii="Times New Roman" w:hAnsi="Times New Roman" w:cs="Times New Roman"/>
          <w:sz w:val="24"/>
          <w:szCs w:val="24"/>
          <w:lang w:val="en-US"/>
        </w:rPr>
        <w:t xml:space="preserve"> institution</w:t>
      </w:r>
      <w:r w:rsidR="00025BC2">
        <w:rPr>
          <w:rFonts w:ascii="Times New Roman" w:hAnsi="Times New Roman" w:cs="Times New Roman"/>
          <w:sz w:val="24"/>
          <w:szCs w:val="24"/>
          <w:lang w:val="en-US"/>
        </w:rPr>
        <w:t xml:space="preserve"> with</w:t>
      </w:r>
      <w:r>
        <w:rPr>
          <w:rFonts w:ascii="Times New Roman" w:hAnsi="Times New Roman" w:cs="Times New Roman"/>
          <w:sz w:val="24"/>
          <w:szCs w:val="24"/>
          <w:lang w:val="en-US"/>
        </w:rPr>
        <w:t xml:space="preserve"> evidence.</w:t>
      </w:r>
      <w:r>
        <w:rPr>
          <w:rStyle w:val="FootnoteReference"/>
          <w:rFonts w:ascii="Times New Roman" w:hAnsi="Times New Roman" w:cs="Times New Roman"/>
          <w:sz w:val="24"/>
          <w:szCs w:val="24"/>
          <w:lang w:val="en-US"/>
        </w:rPr>
        <w:footnoteReference w:id="66"/>
      </w:r>
      <w:r>
        <w:rPr>
          <w:rFonts w:ascii="Times New Roman" w:hAnsi="Times New Roman" w:cs="Times New Roman"/>
          <w:sz w:val="24"/>
          <w:szCs w:val="24"/>
          <w:lang w:val="en-US"/>
        </w:rPr>
        <w:t xml:space="preserve"> “Instances of hindrance” always follow variations, as conflicts over what is possible within a given domain of practice. What </w:t>
      </w:r>
      <w:proofErr w:type="spellStart"/>
      <w:r>
        <w:rPr>
          <w:rFonts w:ascii="Times New Roman" w:hAnsi="Times New Roman" w:cs="Times New Roman"/>
          <w:sz w:val="24"/>
          <w:szCs w:val="24"/>
          <w:lang w:val="en-US"/>
        </w:rPr>
        <w:t>Blumenberg</w:t>
      </w:r>
      <w:proofErr w:type="spellEnd"/>
      <w:r>
        <w:rPr>
          <w:rFonts w:ascii="Times New Roman" w:hAnsi="Times New Roman" w:cs="Times New Roman"/>
          <w:sz w:val="24"/>
          <w:szCs w:val="24"/>
          <w:lang w:val="en-US"/>
        </w:rPr>
        <w:t xml:space="preserve"> indicates openly as a “myth,” and that we may also grasp as “religious resources,” abbreviates the transition from selection to stabilization. </w:t>
      </w:r>
      <w:r w:rsidR="007E25E1">
        <w:rPr>
          <w:rFonts w:ascii="Times New Roman" w:hAnsi="Times New Roman" w:cs="Times New Roman"/>
          <w:sz w:val="24"/>
          <w:szCs w:val="24"/>
          <w:lang w:val="en-US"/>
        </w:rPr>
        <w:t>I argue that this</w:t>
      </w:r>
      <w:r>
        <w:rPr>
          <w:rFonts w:ascii="Times New Roman" w:hAnsi="Times New Roman" w:cs="Times New Roman"/>
          <w:sz w:val="24"/>
          <w:szCs w:val="24"/>
          <w:lang w:val="en-US"/>
        </w:rPr>
        <w:t xml:space="preserve"> is precisely what took place around the establishment of constitutional adjudication </w:t>
      </w:r>
      <w:r w:rsidR="00E24D2D">
        <w:rPr>
          <w:rFonts w:ascii="Times New Roman" w:hAnsi="Times New Roman" w:cs="Times New Roman"/>
          <w:sz w:val="24"/>
          <w:szCs w:val="24"/>
          <w:lang w:val="en-US"/>
        </w:rPr>
        <w:t>regarding</w:t>
      </w:r>
      <w:r>
        <w:rPr>
          <w:rFonts w:ascii="Times New Roman" w:hAnsi="Times New Roman" w:cs="Times New Roman"/>
          <w:sz w:val="24"/>
          <w:szCs w:val="24"/>
          <w:lang w:val="en-US"/>
        </w:rPr>
        <w:t xml:space="preserve"> the US Supreme Court and the </w:t>
      </w:r>
      <w:proofErr w:type="spellStart"/>
      <w:r w:rsidRPr="00EC293B">
        <w:rPr>
          <w:rFonts w:ascii="Times New Roman" w:hAnsi="Times New Roman" w:cs="Times New Roman"/>
          <w:i/>
          <w:iCs/>
          <w:sz w:val="24"/>
          <w:szCs w:val="24"/>
          <w:lang w:val="en-US"/>
        </w:rPr>
        <w:t>Bundesvefassungsgericht</w:t>
      </w:r>
      <w:proofErr w:type="spellEnd"/>
      <w:r>
        <w:rPr>
          <w:rFonts w:ascii="Times New Roman" w:hAnsi="Times New Roman" w:cs="Times New Roman"/>
          <w:sz w:val="24"/>
          <w:szCs w:val="24"/>
          <w:lang w:val="en-US"/>
        </w:rPr>
        <w:t xml:space="preserve">. </w:t>
      </w:r>
    </w:p>
    <w:p w14:paraId="1C74FC89" w14:textId="77777777" w:rsidR="00560FB8" w:rsidRPr="00713683" w:rsidRDefault="00560FB8" w:rsidP="00560FB8">
      <w:pPr>
        <w:spacing w:after="0" w:line="360" w:lineRule="auto"/>
        <w:jc w:val="both"/>
        <w:rPr>
          <w:rFonts w:ascii="Times New Roman" w:hAnsi="Times New Roman" w:cs="Times New Roman"/>
          <w:sz w:val="24"/>
          <w:szCs w:val="24"/>
          <w:lang w:val="en-US"/>
        </w:rPr>
      </w:pPr>
    </w:p>
    <w:p w14:paraId="4F08D7F4" w14:textId="77777777" w:rsidR="00560FB8" w:rsidRPr="00713683" w:rsidRDefault="00560FB8" w:rsidP="00694910">
      <w:pPr>
        <w:pStyle w:val="Heading2"/>
        <w:rPr>
          <w:lang w:val="en-US"/>
        </w:rPr>
      </w:pPr>
    </w:p>
    <w:p w14:paraId="215190B9" w14:textId="572E5823" w:rsidR="00560FB8" w:rsidRPr="00007C8E" w:rsidRDefault="00694910" w:rsidP="00694910">
      <w:pPr>
        <w:pStyle w:val="Heading2"/>
        <w:rPr>
          <w:color w:val="auto"/>
          <w:lang w:val="en-US"/>
        </w:rPr>
      </w:pPr>
      <w:bookmarkStart w:id="6" w:name="_Toc120993775"/>
      <w:r>
        <w:rPr>
          <w:color w:val="auto"/>
          <w:lang w:val="en-US"/>
        </w:rPr>
        <w:t>3</w:t>
      </w:r>
      <w:r w:rsidR="00560FB8" w:rsidRPr="00007C8E">
        <w:rPr>
          <w:color w:val="auto"/>
          <w:lang w:val="en-US"/>
        </w:rPr>
        <w:t>.1. On constitutional personality: Justices as Visible Saints</w:t>
      </w:r>
      <w:bookmarkEnd w:id="6"/>
    </w:p>
    <w:p w14:paraId="5129BDF5" w14:textId="77777777" w:rsidR="00560FB8" w:rsidRDefault="00560FB8" w:rsidP="00560FB8">
      <w:pPr>
        <w:spacing w:after="0" w:line="360" w:lineRule="auto"/>
        <w:jc w:val="both"/>
        <w:rPr>
          <w:rFonts w:ascii="Times New Roman" w:hAnsi="Times New Roman" w:cs="Times New Roman"/>
          <w:sz w:val="24"/>
          <w:szCs w:val="24"/>
          <w:lang w:val="en-US"/>
        </w:rPr>
      </w:pPr>
    </w:p>
    <w:p w14:paraId="4969350C" w14:textId="787DDA23" w:rsidR="00560FB8" w:rsidRDefault="00560FB8" w:rsidP="00560FB8">
      <w:pPr>
        <w:spacing w:after="0" w:line="360" w:lineRule="auto"/>
        <w:ind w:firstLine="1134"/>
        <w:jc w:val="both"/>
        <w:rPr>
          <w:rFonts w:ascii="Times New Roman" w:hAnsi="Times New Roman" w:cs="Times New Roman"/>
          <w:sz w:val="24"/>
          <w:szCs w:val="24"/>
          <w:lang w:val="en-US"/>
        </w:rPr>
      </w:pPr>
      <w:r>
        <w:rPr>
          <w:rFonts w:ascii="Times New Roman" w:hAnsi="Times New Roman" w:cs="Times New Roman"/>
          <w:sz w:val="24"/>
          <w:szCs w:val="24"/>
          <w:lang w:val="en-US"/>
        </w:rPr>
        <w:t>The state of the debate on the origins of “judicial review” in US legal-historical literature, doubtless an obsession,</w:t>
      </w:r>
      <w:r>
        <w:rPr>
          <w:rStyle w:val="FootnoteReference"/>
          <w:rFonts w:ascii="Times New Roman" w:hAnsi="Times New Roman" w:cs="Times New Roman"/>
          <w:sz w:val="24"/>
          <w:szCs w:val="24"/>
          <w:lang w:val="en-US"/>
        </w:rPr>
        <w:footnoteReference w:id="67"/>
      </w:r>
      <w:r>
        <w:rPr>
          <w:rFonts w:ascii="Times New Roman" w:hAnsi="Times New Roman" w:cs="Times New Roman"/>
          <w:sz w:val="24"/>
          <w:szCs w:val="24"/>
          <w:lang w:val="en-US"/>
        </w:rPr>
        <w:t xml:space="preserve"> arguably betrays how it may fashion as an </w:t>
      </w:r>
      <w:r>
        <w:rPr>
          <w:rFonts w:ascii="Times New Roman" w:hAnsi="Times New Roman" w:cs="Times New Roman"/>
          <w:sz w:val="24"/>
          <w:szCs w:val="24"/>
          <w:lang w:val="en-US"/>
        </w:rPr>
        <w:lastRenderedPageBreak/>
        <w:t>exemplar of “working on myth.” Despite the best of efforts to shape a chronology, which</w:t>
      </w:r>
      <w:r w:rsidR="002C53F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is every anew pushed into the past – but then, if from Marshall it returns to Coke, it goes down to Moses –, to foreign eyes the historiographical discussion remains </w:t>
      </w:r>
      <w:r w:rsidR="00D423CE">
        <w:rPr>
          <w:rFonts w:ascii="Times New Roman" w:hAnsi="Times New Roman" w:cs="Times New Roman"/>
          <w:sz w:val="24"/>
          <w:szCs w:val="24"/>
          <w:lang w:val="en-US"/>
        </w:rPr>
        <w:t>inconclusive</w:t>
      </w:r>
      <w:r>
        <w:rPr>
          <w:rFonts w:ascii="Times New Roman" w:hAnsi="Times New Roman" w:cs="Times New Roman"/>
          <w:sz w:val="24"/>
          <w:szCs w:val="24"/>
          <w:lang w:val="en-US"/>
        </w:rPr>
        <w:t xml:space="preserve">, while the aura of meaningfulness endures. From the theoretical standpoint here advocated, much of its findings would concern the materials first-generation Justices ensembled together – one could almost say “naturally” – to bootstrap the Court’s operations in terms of its semantic apparatus. </w:t>
      </w:r>
    </w:p>
    <w:p w14:paraId="68F1708E" w14:textId="0B1CBD63" w:rsidR="00765722" w:rsidRDefault="00765722" w:rsidP="00765722">
      <w:pPr>
        <w:spacing w:after="0" w:line="360" w:lineRule="auto"/>
        <w:ind w:firstLine="113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Of particular interest is the practice of rendering unanimous (and after some years, also majoritarian, with concurrences and dissents) Opinions of the Court. As especially Mary Sarah </w:t>
      </w:r>
      <w:proofErr w:type="spellStart"/>
      <w:r>
        <w:rPr>
          <w:rFonts w:ascii="Times New Roman" w:hAnsi="Times New Roman" w:cs="Times New Roman"/>
          <w:sz w:val="24"/>
          <w:szCs w:val="24"/>
          <w:lang w:val="en-US"/>
        </w:rPr>
        <w:t>Bilder</w:t>
      </w:r>
      <w:proofErr w:type="spellEnd"/>
      <w:r>
        <w:rPr>
          <w:rFonts w:ascii="Times New Roman" w:hAnsi="Times New Roman" w:cs="Times New Roman"/>
          <w:sz w:val="24"/>
          <w:szCs w:val="24"/>
          <w:lang w:val="en-US"/>
        </w:rPr>
        <w:t xml:space="preserve"> has convincingly argued, both judicial review and the unanimous opinion had </w:t>
      </w:r>
      <w:r w:rsidR="00E24D2D">
        <w:rPr>
          <w:rFonts w:ascii="Times New Roman" w:hAnsi="Times New Roman" w:cs="Times New Roman"/>
          <w:sz w:val="24"/>
          <w:szCs w:val="24"/>
          <w:lang w:val="en-US"/>
        </w:rPr>
        <w:t>an essential</w:t>
      </w:r>
      <w:r>
        <w:rPr>
          <w:rFonts w:ascii="Times New Roman" w:hAnsi="Times New Roman" w:cs="Times New Roman"/>
          <w:sz w:val="24"/>
          <w:szCs w:val="24"/>
          <w:lang w:val="en-US"/>
        </w:rPr>
        <w:t xml:space="preserve"> precedent in the colonial law practice of “repugnancy.” This practice was epitomized in the requirement that lawmaking authority should be pursued “as </w:t>
      </w:r>
      <w:proofErr w:type="spellStart"/>
      <w:r>
        <w:rPr>
          <w:rFonts w:ascii="Times New Roman" w:hAnsi="Times New Roman" w:cs="Times New Roman"/>
          <w:sz w:val="24"/>
          <w:szCs w:val="24"/>
          <w:lang w:val="en-US"/>
        </w:rPr>
        <w:t>neere</w:t>
      </w:r>
      <w:proofErr w:type="spellEnd"/>
      <w:r>
        <w:rPr>
          <w:rFonts w:ascii="Times New Roman" w:hAnsi="Times New Roman" w:cs="Times New Roman"/>
          <w:sz w:val="24"/>
          <w:szCs w:val="24"/>
          <w:lang w:val="en-US"/>
        </w:rPr>
        <w:t xml:space="preserve"> as conveniently may, agreeable to the </w:t>
      </w:r>
      <w:proofErr w:type="spellStart"/>
      <w:r>
        <w:rPr>
          <w:rFonts w:ascii="Times New Roman" w:hAnsi="Times New Roman" w:cs="Times New Roman"/>
          <w:sz w:val="24"/>
          <w:szCs w:val="24"/>
          <w:lang w:val="en-US"/>
        </w:rPr>
        <w:t>forme</w:t>
      </w:r>
      <w:proofErr w:type="spellEnd"/>
      <w:r>
        <w:rPr>
          <w:rFonts w:ascii="Times New Roman" w:hAnsi="Times New Roman" w:cs="Times New Roman"/>
          <w:sz w:val="24"/>
          <w:szCs w:val="24"/>
          <w:lang w:val="en-US"/>
        </w:rPr>
        <w:t xml:space="preserve"> of the </w:t>
      </w:r>
      <w:proofErr w:type="spellStart"/>
      <w:r>
        <w:rPr>
          <w:rFonts w:ascii="Times New Roman" w:hAnsi="Times New Roman" w:cs="Times New Roman"/>
          <w:sz w:val="24"/>
          <w:szCs w:val="24"/>
          <w:lang w:val="en-US"/>
        </w:rPr>
        <w:t>lawes</w:t>
      </w:r>
      <w:proofErr w:type="spellEnd"/>
      <w:r>
        <w:rPr>
          <w:rFonts w:ascii="Times New Roman" w:hAnsi="Times New Roman" w:cs="Times New Roman"/>
          <w:sz w:val="24"/>
          <w:szCs w:val="24"/>
          <w:lang w:val="en-US"/>
        </w:rPr>
        <w:t xml:space="preserve"> &amp; policy of England.” Hierarchically speaking, the highest venue for discussions of “repugnancy” between colonial law and the “laws of England” was the King’s Privy Council. In contrast to the King’s Bench, the King’s Privy Council delivered not seriatim, but unanimous opinions. Such practice stood on the reasoning that as the King himself, its Privy Council should have just one voice. As </w:t>
      </w:r>
      <w:proofErr w:type="spellStart"/>
      <w:r>
        <w:rPr>
          <w:rFonts w:ascii="Times New Roman" w:hAnsi="Times New Roman" w:cs="Times New Roman"/>
          <w:sz w:val="24"/>
          <w:szCs w:val="24"/>
          <w:lang w:val="en-US"/>
        </w:rPr>
        <w:t>Bilder</w:t>
      </w:r>
      <w:proofErr w:type="spellEnd"/>
      <w:r>
        <w:rPr>
          <w:rFonts w:ascii="Times New Roman" w:hAnsi="Times New Roman" w:cs="Times New Roman"/>
          <w:sz w:val="24"/>
          <w:szCs w:val="24"/>
          <w:lang w:val="en-US"/>
        </w:rPr>
        <w:t xml:space="preserve"> summarizes her findings, “the colonial American practice of bounded legislation under a repugnancy standard is causally responsible for the existence of American judicial review.”</w:t>
      </w:r>
      <w:r>
        <w:rPr>
          <w:rStyle w:val="FootnoteReference"/>
          <w:rFonts w:ascii="Times New Roman" w:hAnsi="Times New Roman" w:cs="Times New Roman"/>
          <w:sz w:val="24"/>
          <w:szCs w:val="24"/>
          <w:lang w:val="en-US"/>
        </w:rPr>
        <w:footnoteReference w:id="68"/>
      </w:r>
      <w:r>
        <w:rPr>
          <w:rFonts w:ascii="Times New Roman" w:hAnsi="Times New Roman" w:cs="Times New Roman"/>
          <w:sz w:val="24"/>
          <w:szCs w:val="24"/>
          <w:lang w:val="en-US"/>
        </w:rPr>
        <w:t xml:space="preserve"> </w:t>
      </w:r>
    </w:p>
    <w:p w14:paraId="1177E1C3" w14:textId="77777777" w:rsidR="00765722" w:rsidRDefault="00765722" w:rsidP="00765722">
      <w:pPr>
        <w:spacing w:after="0" w:line="360" w:lineRule="auto"/>
        <w:ind w:firstLine="1134"/>
        <w:jc w:val="both"/>
        <w:rPr>
          <w:rFonts w:ascii="Times New Roman" w:hAnsi="Times New Roman" w:cs="Times New Roman"/>
          <w:sz w:val="24"/>
          <w:szCs w:val="24"/>
          <w:lang w:val="en-US"/>
        </w:rPr>
      </w:pPr>
      <w:r>
        <w:rPr>
          <w:rFonts w:ascii="Times New Roman" w:hAnsi="Times New Roman" w:cs="Times New Roman"/>
          <w:sz w:val="24"/>
          <w:szCs w:val="24"/>
          <w:lang w:val="en-US"/>
        </w:rPr>
        <w:t>Yet, the practice and its script only came together as the Court “coalesced,” under the leadership of John Marshall. In the words of legal historian Katherine Fischer, the Court then attained the character of a “dignified, corporate and cohesive” institution. Marshall persuaded his associates “to board together [to Washington] without their families, creating a hothouse climate of negotiation.” In Fischer’s opinion, such an atmosphere paved the way for the “new custom of largely unanimous decisions, replacing the seriatim [ones],”</w:t>
      </w:r>
      <w:r>
        <w:rPr>
          <w:rStyle w:val="FootnoteReference"/>
          <w:rFonts w:ascii="Times New Roman" w:hAnsi="Times New Roman" w:cs="Times New Roman"/>
          <w:sz w:val="24"/>
          <w:szCs w:val="24"/>
          <w:lang w:val="en-US"/>
        </w:rPr>
        <w:footnoteReference w:id="69"/>
      </w:r>
      <w:r>
        <w:rPr>
          <w:rFonts w:ascii="Times New Roman" w:hAnsi="Times New Roman" w:cs="Times New Roman"/>
          <w:sz w:val="24"/>
          <w:szCs w:val="24"/>
          <w:lang w:val="en-US"/>
        </w:rPr>
        <w:t xml:space="preserve"> like the ones of the King’s Privy Council, and in contrast to the </w:t>
      </w:r>
      <w:r>
        <w:rPr>
          <w:rFonts w:ascii="Times New Roman" w:hAnsi="Times New Roman" w:cs="Times New Roman"/>
          <w:sz w:val="24"/>
          <w:szCs w:val="24"/>
          <w:lang w:val="en-US"/>
        </w:rPr>
        <w:lastRenderedPageBreak/>
        <w:t>practice of the King’s bench, in which each “lordship” drafted and delivered an individual judicial opinion – hence, “seriatim,” one after the other.</w:t>
      </w:r>
      <w:r>
        <w:rPr>
          <w:rStyle w:val="FootnoteReference"/>
          <w:rFonts w:ascii="Times New Roman" w:hAnsi="Times New Roman" w:cs="Times New Roman"/>
          <w:sz w:val="24"/>
          <w:szCs w:val="24"/>
          <w:lang w:val="en-US"/>
        </w:rPr>
        <w:footnoteReference w:id="70"/>
      </w:r>
    </w:p>
    <w:p w14:paraId="1EBFC751" w14:textId="6E9054AD" w:rsidR="002124EE" w:rsidRDefault="00560FB8" w:rsidP="00560FB8">
      <w:pPr>
        <w:spacing w:after="0" w:line="360" w:lineRule="auto"/>
        <w:ind w:firstLine="1134"/>
        <w:jc w:val="both"/>
        <w:rPr>
          <w:rFonts w:ascii="Times New Roman" w:hAnsi="Times New Roman" w:cs="Times New Roman"/>
          <w:sz w:val="24"/>
          <w:szCs w:val="24"/>
          <w:lang w:val="en-US"/>
        </w:rPr>
      </w:pPr>
      <w:r>
        <w:rPr>
          <w:rFonts w:ascii="Times New Roman" w:hAnsi="Times New Roman" w:cs="Times New Roman"/>
          <w:sz w:val="24"/>
          <w:szCs w:val="24"/>
          <w:lang w:val="en-US"/>
        </w:rPr>
        <w:t>This variation, however, inspired as it could have been in the recent past, as it was directly motivated by the political opportunities in the middle of the clash between Federalists and Republicans as the presidency transited from John Adams to Thomas Jefferson,</w:t>
      </w:r>
      <w:r>
        <w:rPr>
          <w:rStyle w:val="FootnoteReference"/>
          <w:rFonts w:ascii="Times New Roman" w:hAnsi="Times New Roman" w:cs="Times New Roman"/>
          <w:sz w:val="24"/>
          <w:szCs w:val="24"/>
          <w:lang w:val="en-US"/>
        </w:rPr>
        <w:footnoteReference w:id="71"/>
      </w:r>
      <w:r>
        <w:rPr>
          <w:rFonts w:ascii="Times New Roman" w:hAnsi="Times New Roman" w:cs="Times New Roman"/>
          <w:sz w:val="24"/>
          <w:szCs w:val="24"/>
          <w:lang w:val="en-US"/>
        </w:rPr>
        <w:t xml:space="preserve"> </w:t>
      </w:r>
      <w:r w:rsidR="00D423CE">
        <w:rPr>
          <w:rFonts w:ascii="Times New Roman" w:hAnsi="Times New Roman" w:cs="Times New Roman"/>
          <w:sz w:val="24"/>
          <w:szCs w:val="24"/>
          <w:lang w:val="en-US"/>
        </w:rPr>
        <w:t xml:space="preserve">prompted </w:t>
      </w:r>
      <w:r>
        <w:rPr>
          <w:rFonts w:ascii="Times New Roman" w:hAnsi="Times New Roman" w:cs="Times New Roman"/>
          <w:sz w:val="24"/>
          <w:szCs w:val="24"/>
          <w:lang w:val="en-US"/>
        </w:rPr>
        <w:t>stark contestation</w:t>
      </w:r>
      <w:r w:rsidR="002124EE">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2124EE">
        <w:rPr>
          <w:rFonts w:ascii="Times New Roman" w:hAnsi="Times New Roman" w:cs="Times New Roman"/>
          <w:sz w:val="24"/>
          <w:szCs w:val="24"/>
          <w:lang w:val="en-US"/>
        </w:rPr>
        <w:t>T</w:t>
      </w:r>
      <w:r>
        <w:rPr>
          <w:rFonts w:ascii="Times New Roman" w:hAnsi="Times New Roman" w:cs="Times New Roman"/>
          <w:sz w:val="24"/>
          <w:szCs w:val="24"/>
          <w:lang w:val="en-US"/>
        </w:rPr>
        <w:t>he terms of</w:t>
      </w:r>
      <w:r w:rsidR="002124EE">
        <w:rPr>
          <w:rFonts w:ascii="Times New Roman" w:hAnsi="Times New Roman" w:cs="Times New Roman"/>
          <w:sz w:val="24"/>
          <w:szCs w:val="24"/>
          <w:lang w:val="en-US"/>
        </w:rPr>
        <w:t xml:space="preserve"> the debate introduce much of the materials understood under the rubrics of</w:t>
      </w:r>
      <w:r>
        <w:rPr>
          <w:rFonts w:ascii="Times New Roman" w:hAnsi="Times New Roman" w:cs="Times New Roman"/>
          <w:sz w:val="24"/>
          <w:szCs w:val="24"/>
          <w:lang w:val="en-US"/>
        </w:rPr>
        <w:t xml:space="preserve"> “judicial supremacy” </w:t>
      </w:r>
      <w:r w:rsidR="002124EE">
        <w:rPr>
          <w:rFonts w:ascii="Times New Roman" w:hAnsi="Times New Roman" w:cs="Times New Roman"/>
          <w:sz w:val="24"/>
          <w:szCs w:val="24"/>
          <w:lang w:val="en-US"/>
        </w:rPr>
        <w:t>and</w:t>
      </w:r>
      <w:r>
        <w:rPr>
          <w:rFonts w:ascii="Times New Roman" w:hAnsi="Times New Roman" w:cs="Times New Roman"/>
          <w:sz w:val="24"/>
          <w:szCs w:val="24"/>
          <w:lang w:val="en-US"/>
        </w:rPr>
        <w:t xml:space="preserve"> “departmentalism</w:t>
      </w:r>
      <w:r w:rsidR="002124EE">
        <w:rPr>
          <w:rFonts w:ascii="Times New Roman" w:hAnsi="Times New Roman" w:cs="Times New Roman"/>
          <w:sz w:val="24"/>
          <w:szCs w:val="24"/>
          <w:lang w:val="en-US"/>
        </w:rPr>
        <w:t>,</w:t>
      </w:r>
      <w:r>
        <w:rPr>
          <w:rFonts w:ascii="Times New Roman" w:hAnsi="Times New Roman" w:cs="Times New Roman"/>
          <w:sz w:val="24"/>
          <w:szCs w:val="24"/>
          <w:lang w:val="en-US"/>
        </w:rPr>
        <w:t>”</w:t>
      </w:r>
      <w:r w:rsidR="002124EE">
        <w:rPr>
          <w:rFonts w:ascii="Times New Roman" w:hAnsi="Times New Roman" w:cs="Times New Roman"/>
          <w:sz w:val="24"/>
          <w:szCs w:val="24"/>
          <w:lang w:val="en-US"/>
        </w:rPr>
        <w:t xml:space="preserve"> both of which</w:t>
      </w:r>
      <w:r>
        <w:rPr>
          <w:rFonts w:ascii="Times New Roman" w:hAnsi="Times New Roman" w:cs="Times New Roman"/>
          <w:sz w:val="24"/>
          <w:szCs w:val="24"/>
          <w:lang w:val="en-US"/>
        </w:rPr>
        <w:t xml:space="preserve"> continue to stir </w:t>
      </w:r>
      <w:r w:rsidR="002124EE">
        <w:rPr>
          <w:rFonts w:ascii="Times New Roman" w:hAnsi="Times New Roman" w:cs="Times New Roman"/>
          <w:sz w:val="24"/>
          <w:szCs w:val="24"/>
          <w:lang w:val="en-US"/>
        </w:rPr>
        <w:t>controversy</w:t>
      </w:r>
      <w:r>
        <w:rPr>
          <w:rFonts w:ascii="Times New Roman" w:hAnsi="Times New Roman" w:cs="Times New Roman"/>
          <w:sz w:val="24"/>
          <w:szCs w:val="24"/>
          <w:lang w:val="en-US"/>
        </w:rPr>
        <w:t xml:space="preserve"> until today.</w:t>
      </w:r>
      <w:r>
        <w:rPr>
          <w:rStyle w:val="FootnoteReference"/>
          <w:rFonts w:ascii="Times New Roman" w:hAnsi="Times New Roman" w:cs="Times New Roman"/>
          <w:sz w:val="24"/>
          <w:szCs w:val="24"/>
          <w:lang w:val="en-US"/>
        </w:rPr>
        <w:footnoteReference w:id="72"/>
      </w:r>
      <w:r>
        <w:rPr>
          <w:rFonts w:ascii="Times New Roman" w:hAnsi="Times New Roman" w:cs="Times New Roman"/>
          <w:sz w:val="24"/>
          <w:szCs w:val="24"/>
          <w:lang w:val="en-US"/>
        </w:rPr>
        <w:t xml:space="preserve"> </w:t>
      </w:r>
    </w:p>
    <w:p w14:paraId="77B4F676" w14:textId="320D64EA" w:rsidR="00560FB8" w:rsidRDefault="002124EE" w:rsidP="00560FB8">
      <w:pPr>
        <w:spacing w:after="0" w:line="360" w:lineRule="auto"/>
        <w:ind w:firstLine="1134"/>
        <w:jc w:val="both"/>
        <w:rPr>
          <w:rFonts w:ascii="Times New Roman" w:hAnsi="Times New Roman" w:cs="Times New Roman"/>
          <w:sz w:val="24"/>
          <w:szCs w:val="24"/>
          <w:lang w:val="en-US"/>
        </w:rPr>
      </w:pPr>
      <w:r>
        <w:rPr>
          <w:rFonts w:ascii="Times New Roman" w:hAnsi="Times New Roman" w:cs="Times New Roman"/>
          <w:sz w:val="24"/>
          <w:szCs w:val="24"/>
          <w:lang w:val="en-US"/>
        </w:rPr>
        <w:t>Attacking the new custom head</w:t>
      </w:r>
      <w:r w:rsidR="00D423CE">
        <w:rPr>
          <w:rFonts w:ascii="Times New Roman" w:hAnsi="Times New Roman" w:cs="Times New Roman"/>
          <w:sz w:val="24"/>
          <w:szCs w:val="24"/>
          <w:lang w:val="en-US"/>
        </w:rPr>
        <w:t xml:space="preserve">s </w:t>
      </w:r>
      <w:r>
        <w:rPr>
          <w:rFonts w:ascii="Times New Roman" w:hAnsi="Times New Roman" w:cs="Times New Roman"/>
          <w:sz w:val="24"/>
          <w:szCs w:val="24"/>
          <w:lang w:val="en-US"/>
        </w:rPr>
        <w:t>on, Thomas</w:t>
      </w:r>
      <w:r w:rsidR="00560FB8">
        <w:rPr>
          <w:rFonts w:ascii="Times New Roman" w:hAnsi="Times New Roman" w:cs="Times New Roman"/>
          <w:sz w:val="24"/>
          <w:szCs w:val="24"/>
          <w:lang w:val="en-US"/>
        </w:rPr>
        <w:t xml:space="preserve"> Jefferson </w:t>
      </w:r>
      <w:r>
        <w:rPr>
          <w:rFonts w:ascii="Times New Roman" w:hAnsi="Times New Roman" w:cs="Times New Roman"/>
          <w:sz w:val="24"/>
          <w:szCs w:val="24"/>
          <w:lang w:val="en-US"/>
        </w:rPr>
        <w:t>argued that</w:t>
      </w:r>
      <w:r w:rsidR="00560FB8">
        <w:rPr>
          <w:rFonts w:ascii="Times New Roman" w:hAnsi="Times New Roman" w:cs="Times New Roman"/>
          <w:sz w:val="24"/>
          <w:szCs w:val="24"/>
          <w:lang w:val="en-US"/>
        </w:rPr>
        <w:t xml:space="preserve"> “ultimately” what “must […] sustain the court in public confidence is the character and independence of the judges.” Henceforth, why should “they sculk from responsibility to public opinion, the only remaining hold on them, under a practice first introduced into England by Lord Mansfield?” </w:t>
      </w:r>
      <w:r w:rsidR="00560FB8" w:rsidRPr="00DE54D2">
        <w:rPr>
          <w:rFonts w:ascii="Times New Roman" w:hAnsi="Times New Roman" w:cs="Times New Roman"/>
          <w:sz w:val="24"/>
          <w:szCs w:val="24"/>
          <w:lang w:val="en-US"/>
        </w:rPr>
        <w:t>Why not let every judge give “the only evidence they can give of fidelity to</w:t>
      </w:r>
      <w:r w:rsidR="00560FB8">
        <w:rPr>
          <w:rFonts w:ascii="Times New Roman" w:hAnsi="Times New Roman" w:cs="Times New Roman"/>
          <w:sz w:val="24"/>
          <w:szCs w:val="24"/>
          <w:lang w:val="en-US"/>
        </w:rPr>
        <w:t xml:space="preserve"> </w:t>
      </w:r>
      <w:r w:rsidR="00560FB8" w:rsidRPr="00DE54D2">
        <w:rPr>
          <w:rFonts w:ascii="Times New Roman" w:hAnsi="Times New Roman" w:cs="Times New Roman"/>
          <w:sz w:val="24"/>
          <w:szCs w:val="24"/>
          <w:lang w:val="en-US"/>
        </w:rPr>
        <w:t xml:space="preserve">his constitution and integrity in the administration of its laws; that is to say, by </w:t>
      </w:r>
      <w:proofErr w:type="spellStart"/>
      <w:r w:rsidR="00560FB8" w:rsidRPr="00DE54D2">
        <w:rPr>
          <w:rFonts w:ascii="Times New Roman" w:hAnsi="Times New Roman" w:cs="Times New Roman"/>
          <w:sz w:val="24"/>
          <w:szCs w:val="24"/>
          <w:lang w:val="en-US"/>
        </w:rPr>
        <w:t>every</w:t>
      </w:r>
      <w:r w:rsidR="00560FB8">
        <w:rPr>
          <w:rFonts w:ascii="Times New Roman" w:hAnsi="Times New Roman" w:cs="Times New Roman"/>
          <w:sz w:val="24"/>
          <w:szCs w:val="24"/>
          <w:lang w:val="en-US"/>
        </w:rPr>
        <w:t xml:space="preserve"> </w:t>
      </w:r>
      <w:r w:rsidR="00560FB8" w:rsidRPr="00DE54D2">
        <w:rPr>
          <w:rFonts w:ascii="Times New Roman" w:hAnsi="Times New Roman" w:cs="Times New Roman"/>
          <w:sz w:val="24"/>
          <w:szCs w:val="24"/>
          <w:lang w:val="en-US"/>
        </w:rPr>
        <w:t>one</w:t>
      </w:r>
      <w:proofErr w:type="spellEnd"/>
      <w:r w:rsidR="00560FB8" w:rsidRPr="00DE54D2">
        <w:rPr>
          <w:rFonts w:ascii="Times New Roman" w:hAnsi="Times New Roman" w:cs="Times New Roman"/>
          <w:sz w:val="24"/>
          <w:szCs w:val="24"/>
          <w:lang w:val="en-US"/>
        </w:rPr>
        <w:t xml:space="preserve"> giving his opinion seriatim and publicly on the cases he decides[?]” “Let him prove</w:t>
      </w:r>
      <w:r w:rsidR="00560FB8">
        <w:rPr>
          <w:rFonts w:ascii="Times New Roman" w:hAnsi="Times New Roman" w:cs="Times New Roman"/>
          <w:sz w:val="24"/>
          <w:szCs w:val="24"/>
          <w:lang w:val="en-US"/>
        </w:rPr>
        <w:t xml:space="preserve"> </w:t>
      </w:r>
      <w:r w:rsidR="00560FB8" w:rsidRPr="00DE54D2">
        <w:rPr>
          <w:rFonts w:ascii="Times New Roman" w:hAnsi="Times New Roman" w:cs="Times New Roman"/>
          <w:sz w:val="24"/>
          <w:szCs w:val="24"/>
          <w:lang w:val="en-US"/>
        </w:rPr>
        <w:t>by his reasoning[,]” Jefferson underscored, “that he has read the papers, that he has</w:t>
      </w:r>
      <w:r w:rsidR="00560FB8">
        <w:rPr>
          <w:rFonts w:ascii="Times New Roman" w:hAnsi="Times New Roman" w:cs="Times New Roman"/>
          <w:sz w:val="24"/>
          <w:szCs w:val="24"/>
          <w:lang w:val="en-US"/>
        </w:rPr>
        <w:t xml:space="preserve"> </w:t>
      </w:r>
      <w:r w:rsidR="00560FB8" w:rsidRPr="00DE54D2">
        <w:rPr>
          <w:rFonts w:ascii="Times New Roman" w:hAnsi="Times New Roman" w:cs="Times New Roman"/>
          <w:sz w:val="24"/>
          <w:szCs w:val="24"/>
          <w:lang w:val="en-US"/>
        </w:rPr>
        <w:t>considered the case, that in the application of the law to it, he uses his own judgment</w:t>
      </w:r>
      <w:r w:rsidR="00560FB8">
        <w:rPr>
          <w:rFonts w:ascii="Times New Roman" w:hAnsi="Times New Roman" w:cs="Times New Roman"/>
          <w:sz w:val="24"/>
          <w:szCs w:val="24"/>
          <w:lang w:val="en-US"/>
        </w:rPr>
        <w:t xml:space="preserve"> </w:t>
      </w:r>
      <w:r w:rsidR="00560FB8" w:rsidRPr="00DE54D2">
        <w:rPr>
          <w:rFonts w:ascii="Times New Roman" w:hAnsi="Times New Roman" w:cs="Times New Roman"/>
          <w:sz w:val="24"/>
          <w:szCs w:val="24"/>
          <w:lang w:val="en-US"/>
        </w:rPr>
        <w:t>independently and unbiased by party views and personal favor or disfavor. Thrown</w:t>
      </w:r>
      <w:r w:rsidR="00560FB8">
        <w:rPr>
          <w:rFonts w:ascii="Times New Roman" w:hAnsi="Times New Roman" w:cs="Times New Roman"/>
          <w:sz w:val="24"/>
          <w:szCs w:val="24"/>
          <w:lang w:val="en-US"/>
        </w:rPr>
        <w:t xml:space="preserve"> </w:t>
      </w:r>
      <w:r w:rsidR="00560FB8" w:rsidRPr="00DE54D2">
        <w:rPr>
          <w:rFonts w:ascii="Times New Roman" w:hAnsi="Times New Roman" w:cs="Times New Roman"/>
          <w:sz w:val="24"/>
          <w:szCs w:val="24"/>
          <w:lang w:val="en-US"/>
        </w:rPr>
        <w:t>himself in every case on God and his country; both will excuse him for error and value</w:t>
      </w:r>
      <w:r w:rsidR="00560FB8">
        <w:rPr>
          <w:rFonts w:ascii="Times New Roman" w:hAnsi="Times New Roman" w:cs="Times New Roman"/>
          <w:sz w:val="24"/>
          <w:szCs w:val="24"/>
          <w:lang w:val="en-US"/>
        </w:rPr>
        <w:t xml:space="preserve"> </w:t>
      </w:r>
      <w:r w:rsidR="00560FB8" w:rsidRPr="00DE54D2">
        <w:rPr>
          <w:rFonts w:ascii="Times New Roman" w:hAnsi="Times New Roman" w:cs="Times New Roman"/>
          <w:sz w:val="24"/>
          <w:szCs w:val="24"/>
          <w:lang w:val="en-US"/>
        </w:rPr>
        <w:t>him for his honesty.”</w:t>
      </w:r>
      <w:r w:rsidR="00560FB8">
        <w:rPr>
          <w:rStyle w:val="FootnoteReference"/>
          <w:rFonts w:ascii="Times New Roman" w:hAnsi="Times New Roman" w:cs="Times New Roman"/>
          <w:sz w:val="24"/>
          <w:szCs w:val="24"/>
          <w:lang w:val="en-US"/>
        </w:rPr>
        <w:footnoteReference w:id="73"/>
      </w:r>
    </w:p>
    <w:p w14:paraId="7BF16CDF" w14:textId="088B3BF8" w:rsidR="002124EE" w:rsidRDefault="00560FB8" w:rsidP="00560FB8">
      <w:pPr>
        <w:spacing w:after="0" w:line="360" w:lineRule="auto"/>
        <w:ind w:firstLine="1134"/>
        <w:jc w:val="both"/>
        <w:rPr>
          <w:rFonts w:ascii="Times New Roman" w:hAnsi="Times New Roman" w:cs="Times New Roman"/>
          <w:sz w:val="24"/>
          <w:szCs w:val="24"/>
          <w:lang w:val="en-US"/>
        </w:rPr>
      </w:pPr>
      <w:r w:rsidRPr="00255352">
        <w:rPr>
          <w:rFonts w:ascii="Times New Roman" w:hAnsi="Times New Roman" w:cs="Times New Roman"/>
          <w:sz w:val="24"/>
          <w:szCs w:val="24"/>
          <w:lang w:val="en-US"/>
        </w:rPr>
        <w:t xml:space="preserve">Jefferson found in Joseph Story’s </w:t>
      </w:r>
      <w:r w:rsidRPr="004103D1">
        <w:rPr>
          <w:rFonts w:ascii="Times New Roman" w:hAnsi="Times New Roman" w:cs="Times New Roman"/>
          <w:i/>
          <w:iCs/>
          <w:sz w:val="24"/>
          <w:szCs w:val="24"/>
          <w:lang w:val="en-US"/>
        </w:rPr>
        <w:t>Commentaries</w:t>
      </w:r>
      <w:r w:rsidRPr="00255352">
        <w:rPr>
          <w:rFonts w:ascii="Times New Roman" w:hAnsi="Times New Roman" w:cs="Times New Roman"/>
          <w:sz w:val="24"/>
          <w:szCs w:val="24"/>
          <w:lang w:val="en-US"/>
        </w:rPr>
        <w:t xml:space="preserve"> one fierce rebuke,</w:t>
      </w:r>
      <w:r>
        <w:rPr>
          <w:rStyle w:val="FootnoteReference"/>
          <w:rFonts w:ascii="Times New Roman" w:hAnsi="Times New Roman" w:cs="Times New Roman"/>
          <w:sz w:val="24"/>
          <w:szCs w:val="24"/>
          <w:lang w:val="en-US"/>
        </w:rPr>
        <w:footnoteReference w:id="74"/>
      </w:r>
      <w:r w:rsidRPr="00255352">
        <w:rPr>
          <w:rFonts w:ascii="Times New Roman" w:hAnsi="Times New Roman" w:cs="Times New Roman"/>
          <w:sz w:val="24"/>
          <w:szCs w:val="24"/>
          <w:lang w:val="en-US"/>
        </w:rPr>
        <w:t xml:space="preserve"> just as Marshall was submitted to a process of ascension.</w:t>
      </w:r>
      <w:r>
        <w:rPr>
          <w:rFonts w:ascii="Times New Roman" w:hAnsi="Times New Roman" w:cs="Times New Roman"/>
          <w:sz w:val="24"/>
          <w:szCs w:val="24"/>
          <w:lang w:val="en-US"/>
        </w:rPr>
        <w:t xml:space="preserve"> Of course, Marshall’s reputation </w:t>
      </w:r>
      <w:r>
        <w:rPr>
          <w:rFonts w:ascii="Times New Roman" w:hAnsi="Times New Roman" w:cs="Times New Roman"/>
          <w:sz w:val="24"/>
          <w:szCs w:val="24"/>
          <w:lang w:val="en-US"/>
        </w:rPr>
        <w:lastRenderedPageBreak/>
        <w:t>underwent oscillations across the years.</w:t>
      </w:r>
      <w:r>
        <w:rPr>
          <w:rStyle w:val="FootnoteReference"/>
          <w:rFonts w:ascii="Times New Roman" w:hAnsi="Times New Roman" w:cs="Times New Roman"/>
          <w:sz w:val="24"/>
          <w:szCs w:val="24"/>
          <w:lang w:val="en-US"/>
        </w:rPr>
        <w:footnoteReference w:id="75"/>
      </w:r>
      <w:r>
        <w:rPr>
          <w:rFonts w:ascii="Times New Roman" w:hAnsi="Times New Roman" w:cs="Times New Roman"/>
          <w:sz w:val="24"/>
          <w:szCs w:val="24"/>
          <w:lang w:val="en-US"/>
        </w:rPr>
        <w:t xml:space="preserve"> Yet, as the correspondent of the </w:t>
      </w:r>
      <w:r w:rsidRPr="00346505">
        <w:rPr>
          <w:rFonts w:ascii="Times New Roman" w:hAnsi="Times New Roman" w:cs="Times New Roman"/>
          <w:i/>
          <w:iCs/>
          <w:sz w:val="24"/>
          <w:szCs w:val="24"/>
          <w:lang w:val="en-US"/>
        </w:rPr>
        <w:t>American Law Register</w:t>
      </w:r>
      <w:r>
        <w:rPr>
          <w:rFonts w:ascii="Times New Roman" w:hAnsi="Times New Roman" w:cs="Times New Roman"/>
          <w:sz w:val="24"/>
          <w:szCs w:val="24"/>
          <w:lang w:val="en-US"/>
        </w:rPr>
        <w:t xml:space="preserve"> described, during the term of 1853-1854, as the US Supreme Court was established in the Capitol’s basement, “[</w:t>
      </w:r>
      <w:proofErr w:type="spellStart"/>
      <w:r>
        <w:rPr>
          <w:rFonts w:ascii="Times New Roman" w:hAnsi="Times New Roman" w:cs="Times New Roman"/>
          <w:sz w:val="24"/>
          <w:szCs w:val="24"/>
          <w:lang w:val="en-US"/>
        </w:rPr>
        <w:t>i</w:t>
      </w:r>
      <w:proofErr w:type="spellEnd"/>
      <w:r>
        <w:rPr>
          <w:rFonts w:ascii="Times New Roman" w:hAnsi="Times New Roman" w:cs="Times New Roman"/>
          <w:sz w:val="24"/>
          <w:szCs w:val="24"/>
          <w:lang w:val="en-US"/>
        </w:rPr>
        <w:t>]n an alcove back of the seat of the Chief Justice and nearly up to the ceiling is a small portrait of Chief Justice Marshall – the only ornament… except a representation of the scales of justice worked in marble, on the opposite side of the room.”</w:t>
      </w:r>
      <w:r>
        <w:rPr>
          <w:rStyle w:val="FootnoteReference"/>
          <w:rFonts w:ascii="Times New Roman" w:hAnsi="Times New Roman" w:cs="Times New Roman"/>
          <w:sz w:val="24"/>
          <w:szCs w:val="24"/>
          <w:lang w:val="en-US"/>
        </w:rPr>
        <w:footnoteReference w:id="76"/>
      </w:r>
      <w:r>
        <w:rPr>
          <w:rFonts w:ascii="Times New Roman" w:hAnsi="Times New Roman" w:cs="Times New Roman"/>
          <w:sz w:val="24"/>
          <w:szCs w:val="24"/>
          <w:lang w:val="en-US"/>
        </w:rPr>
        <w:t xml:space="preserve"> </w:t>
      </w:r>
      <w:r w:rsidRPr="00255352">
        <w:rPr>
          <w:rFonts w:ascii="Times New Roman" w:hAnsi="Times New Roman" w:cs="Times New Roman"/>
          <w:sz w:val="24"/>
          <w:szCs w:val="24"/>
          <w:lang w:val="en-US"/>
        </w:rPr>
        <w:t xml:space="preserve"> </w:t>
      </w:r>
    </w:p>
    <w:p w14:paraId="74600FD7" w14:textId="3A3CCED5" w:rsidR="00560FB8" w:rsidRPr="00255352" w:rsidRDefault="00B60C3B" w:rsidP="002124EE">
      <w:pPr>
        <w:spacing w:after="0" w:line="360" w:lineRule="auto"/>
        <w:ind w:firstLine="113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Story’s </w:t>
      </w:r>
      <w:r w:rsidRPr="004F1CE6">
        <w:rPr>
          <w:rFonts w:ascii="Times New Roman" w:hAnsi="Times New Roman" w:cs="Times New Roman"/>
          <w:i/>
          <w:sz w:val="24"/>
          <w:szCs w:val="24"/>
          <w:lang w:val="en-US"/>
        </w:rPr>
        <w:t>Commentaries</w:t>
      </w:r>
      <w:r>
        <w:rPr>
          <w:rFonts w:ascii="Times New Roman" w:hAnsi="Times New Roman" w:cs="Times New Roman"/>
          <w:sz w:val="24"/>
          <w:szCs w:val="24"/>
          <w:lang w:val="en-US"/>
        </w:rPr>
        <w:t xml:space="preserve"> open</w:t>
      </w:r>
      <w:r w:rsidR="000A2C60">
        <w:rPr>
          <w:rFonts w:ascii="Times New Roman" w:hAnsi="Times New Roman" w:cs="Times New Roman"/>
          <w:sz w:val="24"/>
          <w:szCs w:val="24"/>
          <w:lang w:val="en-US"/>
        </w:rPr>
        <w:t>s</w:t>
      </w:r>
      <w:r w:rsidR="00560FB8" w:rsidRPr="00255352">
        <w:rPr>
          <w:rFonts w:ascii="Times New Roman" w:hAnsi="Times New Roman" w:cs="Times New Roman"/>
          <w:sz w:val="24"/>
          <w:szCs w:val="24"/>
          <w:lang w:val="en-US"/>
        </w:rPr>
        <w:t xml:space="preserve"> consecrating Marshall</w:t>
      </w:r>
      <w:r w:rsidR="002124EE">
        <w:rPr>
          <w:rFonts w:ascii="Times New Roman" w:hAnsi="Times New Roman" w:cs="Times New Roman"/>
          <w:sz w:val="24"/>
          <w:szCs w:val="24"/>
          <w:lang w:val="en-US"/>
        </w:rPr>
        <w:t>’s birth</w:t>
      </w:r>
      <w:r w:rsidR="00560FB8" w:rsidRPr="00255352">
        <w:rPr>
          <w:rFonts w:ascii="Times New Roman" w:hAnsi="Times New Roman" w:cs="Times New Roman"/>
          <w:sz w:val="24"/>
          <w:szCs w:val="24"/>
          <w:lang w:val="en-US"/>
        </w:rPr>
        <w:t xml:space="preserve"> as an act of providence</w:t>
      </w:r>
      <w:r>
        <w:rPr>
          <w:rFonts w:ascii="Times New Roman" w:hAnsi="Times New Roman" w:cs="Times New Roman"/>
          <w:sz w:val="24"/>
          <w:szCs w:val="24"/>
          <w:lang w:val="en-US"/>
        </w:rPr>
        <w:t xml:space="preserve">. More importantly, </w:t>
      </w:r>
      <w:r w:rsidR="000A2C60">
        <w:rPr>
          <w:rFonts w:ascii="Times New Roman" w:hAnsi="Times New Roman" w:cs="Times New Roman"/>
          <w:sz w:val="24"/>
          <w:szCs w:val="24"/>
          <w:lang w:val="en-US"/>
        </w:rPr>
        <w:t>it</w:t>
      </w:r>
      <w:r>
        <w:rPr>
          <w:rFonts w:ascii="Times New Roman" w:hAnsi="Times New Roman" w:cs="Times New Roman"/>
          <w:sz w:val="24"/>
          <w:szCs w:val="24"/>
          <w:lang w:val="en-US"/>
        </w:rPr>
        <w:t xml:space="preserve"> </w:t>
      </w:r>
      <w:r w:rsidR="00560FB8" w:rsidRPr="00255352">
        <w:rPr>
          <w:rFonts w:ascii="Times New Roman" w:hAnsi="Times New Roman" w:cs="Times New Roman"/>
          <w:sz w:val="24"/>
          <w:szCs w:val="24"/>
          <w:lang w:val="en-US"/>
        </w:rPr>
        <w:t>mobilized much of the same resources hinted in Jefferson’s frivolous remissions to personality and God</w:t>
      </w:r>
      <w:r>
        <w:rPr>
          <w:rFonts w:ascii="Times New Roman" w:hAnsi="Times New Roman" w:cs="Times New Roman"/>
          <w:sz w:val="24"/>
          <w:szCs w:val="24"/>
          <w:lang w:val="en-US"/>
        </w:rPr>
        <w:t xml:space="preserve">. </w:t>
      </w:r>
      <w:r w:rsidR="000A2C60">
        <w:rPr>
          <w:rFonts w:ascii="Times New Roman" w:hAnsi="Times New Roman" w:cs="Times New Roman"/>
          <w:sz w:val="24"/>
          <w:szCs w:val="24"/>
          <w:lang w:val="en-US"/>
        </w:rPr>
        <w:t>It</w:t>
      </w:r>
      <w:r>
        <w:rPr>
          <w:rFonts w:ascii="Times New Roman" w:hAnsi="Times New Roman" w:cs="Times New Roman"/>
          <w:sz w:val="24"/>
          <w:szCs w:val="24"/>
          <w:lang w:val="en-US"/>
        </w:rPr>
        <w:t xml:space="preserve"> do</w:t>
      </w:r>
      <w:r w:rsidR="000A2C60">
        <w:rPr>
          <w:rFonts w:ascii="Times New Roman" w:hAnsi="Times New Roman" w:cs="Times New Roman"/>
          <w:sz w:val="24"/>
          <w:szCs w:val="24"/>
          <w:lang w:val="en-US"/>
        </w:rPr>
        <w:t>es</w:t>
      </w:r>
      <w:r>
        <w:rPr>
          <w:rFonts w:ascii="Times New Roman" w:hAnsi="Times New Roman" w:cs="Times New Roman"/>
          <w:sz w:val="24"/>
          <w:szCs w:val="24"/>
          <w:lang w:val="en-US"/>
        </w:rPr>
        <w:t xml:space="preserve"> so, however,</w:t>
      </w:r>
      <w:r w:rsidR="00560FB8" w:rsidRPr="00255352">
        <w:rPr>
          <w:rFonts w:ascii="Times New Roman" w:hAnsi="Times New Roman" w:cs="Times New Roman"/>
          <w:sz w:val="24"/>
          <w:szCs w:val="24"/>
          <w:lang w:val="en-US"/>
        </w:rPr>
        <w:t xml:space="preserve"> in the complete opposite direction. Independently </w:t>
      </w:r>
      <w:r w:rsidR="00D423CE" w:rsidRPr="00255352">
        <w:rPr>
          <w:rFonts w:ascii="Times New Roman" w:hAnsi="Times New Roman" w:cs="Times New Roman"/>
          <w:sz w:val="24"/>
          <w:szCs w:val="24"/>
          <w:lang w:val="en-US"/>
        </w:rPr>
        <w:t>o</w:t>
      </w:r>
      <w:r w:rsidR="00D423CE">
        <w:rPr>
          <w:rFonts w:ascii="Times New Roman" w:hAnsi="Times New Roman" w:cs="Times New Roman"/>
          <w:sz w:val="24"/>
          <w:szCs w:val="24"/>
          <w:lang w:val="en-US"/>
        </w:rPr>
        <w:t>n</w:t>
      </w:r>
      <w:r w:rsidR="00D423CE" w:rsidRPr="00255352">
        <w:rPr>
          <w:rFonts w:ascii="Times New Roman" w:hAnsi="Times New Roman" w:cs="Times New Roman"/>
          <w:sz w:val="24"/>
          <w:szCs w:val="24"/>
          <w:lang w:val="en-US"/>
        </w:rPr>
        <w:t xml:space="preserve"> </w:t>
      </w:r>
      <w:r w:rsidR="00560FB8" w:rsidRPr="00255352">
        <w:rPr>
          <w:rFonts w:ascii="Times New Roman" w:hAnsi="Times New Roman" w:cs="Times New Roman"/>
          <w:sz w:val="24"/>
          <w:szCs w:val="24"/>
          <w:lang w:val="en-US"/>
        </w:rPr>
        <w:t>how one assesses the sources concerning the relationship of the founding generation to religion, or how religiously or irreligiously they conceived</w:t>
      </w:r>
      <w:r w:rsidR="002124EE">
        <w:rPr>
          <w:rFonts w:ascii="Times New Roman" w:hAnsi="Times New Roman" w:cs="Times New Roman"/>
          <w:sz w:val="24"/>
          <w:szCs w:val="24"/>
          <w:lang w:val="en-US"/>
        </w:rPr>
        <w:t xml:space="preserve"> of</w:t>
      </w:r>
      <w:r w:rsidR="00560FB8" w:rsidRPr="00255352">
        <w:rPr>
          <w:rFonts w:ascii="Times New Roman" w:hAnsi="Times New Roman" w:cs="Times New Roman"/>
          <w:sz w:val="24"/>
          <w:szCs w:val="24"/>
          <w:lang w:val="en-US"/>
        </w:rPr>
        <w:t xml:space="preserve"> “the character of the Constitution and American republican </w:t>
      </w:r>
      <w:proofErr w:type="gramStart"/>
      <w:r w:rsidR="00560FB8" w:rsidRPr="00255352">
        <w:rPr>
          <w:rFonts w:ascii="Times New Roman" w:hAnsi="Times New Roman" w:cs="Times New Roman"/>
          <w:sz w:val="24"/>
          <w:szCs w:val="24"/>
          <w:lang w:val="en-US"/>
        </w:rPr>
        <w:t>government[</w:t>
      </w:r>
      <w:proofErr w:type="gramEnd"/>
      <w:r w:rsidR="00560FB8" w:rsidRPr="00255352">
        <w:rPr>
          <w:rFonts w:ascii="Times New Roman" w:hAnsi="Times New Roman" w:cs="Times New Roman"/>
          <w:sz w:val="24"/>
          <w:szCs w:val="24"/>
          <w:lang w:val="en-US"/>
        </w:rPr>
        <w:t>,]”</w:t>
      </w:r>
      <w:r w:rsidR="00560FB8">
        <w:rPr>
          <w:rStyle w:val="FootnoteReference"/>
          <w:rFonts w:ascii="Times New Roman" w:hAnsi="Times New Roman" w:cs="Times New Roman"/>
          <w:sz w:val="24"/>
          <w:szCs w:val="24"/>
          <w:lang w:val="en-US"/>
        </w:rPr>
        <w:footnoteReference w:id="77"/>
      </w:r>
      <w:r w:rsidR="00560FB8" w:rsidRPr="00255352">
        <w:rPr>
          <w:rFonts w:ascii="Times New Roman" w:hAnsi="Times New Roman" w:cs="Times New Roman"/>
          <w:sz w:val="24"/>
          <w:szCs w:val="24"/>
          <w:lang w:val="en-US"/>
        </w:rPr>
        <w:t xml:space="preserve"> it appears to be certain that in the middle of the nineteenth century leading interpreters managed to paint the American Revolution, Constitution, and republican government in godly colors. Story is, arguably, one of its most prominent representatives, as he deploys a manifold of </w:t>
      </w:r>
      <w:r w:rsidR="002124EE">
        <w:rPr>
          <w:rFonts w:ascii="Times New Roman" w:hAnsi="Times New Roman" w:cs="Times New Roman"/>
          <w:sz w:val="24"/>
          <w:szCs w:val="24"/>
          <w:lang w:val="en-US"/>
        </w:rPr>
        <w:t xml:space="preserve">rhetoric instruments – what </w:t>
      </w:r>
      <w:proofErr w:type="spellStart"/>
      <w:r w:rsidR="002124EE">
        <w:rPr>
          <w:rFonts w:ascii="Times New Roman" w:hAnsi="Times New Roman" w:cs="Times New Roman"/>
          <w:sz w:val="24"/>
          <w:szCs w:val="24"/>
          <w:lang w:val="en-US"/>
        </w:rPr>
        <w:t>Blumenberg</w:t>
      </w:r>
      <w:proofErr w:type="spellEnd"/>
      <w:r w:rsidR="002124EE">
        <w:rPr>
          <w:rFonts w:ascii="Times New Roman" w:hAnsi="Times New Roman" w:cs="Times New Roman"/>
          <w:sz w:val="24"/>
          <w:szCs w:val="24"/>
          <w:lang w:val="en-US"/>
        </w:rPr>
        <w:t xml:space="preserve"> calls </w:t>
      </w:r>
      <w:proofErr w:type="spellStart"/>
      <w:r w:rsidR="002124EE" w:rsidRPr="002124EE">
        <w:rPr>
          <w:rFonts w:ascii="Times New Roman" w:hAnsi="Times New Roman" w:cs="Times New Roman"/>
          <w:i/>
          <w:iCs/>
          <w:sz w:val="24"/>
          <w:szCs w:val="24"/>
          <w:lang w:val="en-US"/>
        </w:rPr>
        <w:t>Wirkungsmitteln</w:t>
      </w:r>
      <w:proofErr w:type="spellEnd"/>
      <w:r w:rsidR="002124EE">
        <w:rPr>
          <w:rStyle w:val="FootnoteReference"/>
          <w:rFonts w:ascii="Times New Roman" w:hAnsi="Times New Roman" w:cs="Times New Roman"/>
          <w:i/>
          <w:iCs/>
          <w:sz w:val="24"/>
          <w:szCs w:val="24"/>
          <w:lang w:val="en-US"/>
        </w:rPr>
        <w:footnoteReference w:id="78"/>
      </w:r>
      <w:r w:rsidR="002124EE">
        <w:rPr>
          <w:rFonts w:ascii="Times New Roman" w:hAnsi="Times New Roman" w:cs="Times New Roman"/>
          <w:sz w:val="24"/>
          <w:szCs w:val="24"/>
          <w:lang w:val="en-US"/>
        </w:rPr>
        <w:t xml:space="preserve"> –</w:t>
      </w:r>
      <w:r w:rsidR="00560FB8" w:rsidRPr="00255352">
        <w:rPr>
          <w:rFonts w:ascii="Times New Roman" w:hAnsi="Times New Roman" w:cs="Times New Roman"/>
          <w:sz w:val="24"/>
          <w:szCs w:val="24"/>
          <w:lang w:val="en-US"/>
        </w:rPr>
        <w:t xml:space="preserve"> to promote “constitutional adjudication” as a mirroring of the convention of 1787, something which contributed to the stabilization of the court’s proceedings, centered on the ceremonial artifact of “constitutional personality,” and the applicability of stare decisis in the realm of constitutional adjudication.</w:t>
      </w:r>
      <w:r w:rsidR="00560FB8">
        <w:rPr>
          <w:rStyle w:val="FootnoteReference"/>
          <w:rFonts w:ascii="Times New Roman" w:hAnsi="Times New Roman" w:cs="Times New Roman"/>
          <w:sz w:val="24"/>
          <w:szCs w:val="24"/>
          <w:lang w:val="en-US"/>
        </w:rPr>
        <w:footnoteReference w:id="79"/>
      </w:r>
    </w:p>
    <w:p w14:paraId="2AF3464B" w14:textId="167E342A" w:rsidR="00025BC2" w:rsidRDefault="00560FB8" w:rsidP="00560FB8">
      <w:pPr>
        <w:spacing w:after="0" w:line="360" w:lineRule="auto"/>
        <w:ind w:firstLine="1134"/>
        <w:jc w:val="both"/>
        <w:rPr>
          <w:rFonts w:ascii="Times New Roman" w:hAnsi="Times New Roman" w:cs="Times New Roman"/>
          <w:sz w:val="24"/>
          <w:szCs w:val="24"/>
          <w:lang w:val="en-US"/>
        </w:rPr>
      </w:pPr>
      <w:r w:rsidRPr="00255352">
        <w:rPr>
          <w:rFonts w:ascii="Times New Roman" w:hAnsi="Times New Roman" w:cs="Times New Roman"/>
          <w:sz w:val="24"/>
          <w:szCs w:val="24"/>
          <w:lang w:val="en-US"/>
        </w:rPr>
        <w:t xml:space="preserve">Of the many instances composing </w:t>
      </w:r>
      <w:r w:rsidR="00B60C3B">
        <w:rPr>
          <w:rFonts w:ascii="Times New Roman" w:hAnsi="Times New Roman" w:cs="Times New Roman"/>
          <w:sz w:val="24"/>
          <w:szCs w:val="24"/>
          <w:lang w:val="en-US"/>
        </w:rPr>
        <w:t>Story’s</w:t>
      </w:r>
      <w:r w:rsidR="00B60C3B" w:rsidRPr="00255352">
        <w:rPr>
          <w:rFonts w:ascii="Times New Roman" w:hAnsi="Times New Roman" w:cs="Times New Roman"/>
          <w:sz w:val="24"/>
          <w:szCs w:val="24"/>
          <w:lang w:val="en-US"/>
        </w:rPr>
        <w:t xml:space="preserve"> </w:t>
      </w:r>
      <w:r w:rsidRPr="00255352">
        <w:rPr>
          <w:rFonts w:ascii="Times New Roman" w:hAnsi="Times New Roman" w:cs="Times New Roman"/>
          <w:sz w:val="24"/>
          <w:szCs w:val="24"/>
          <w:lang w:val="en-US"/>
        </w:rPr>
        <w:t>book, I would like</w:t>
      </w:r>
      <w:r>
        <w:rPr>
          <w:rFonts w:ascii="Times New Roman" w:hAnsi="Times New Roman" w:cs="Times New Roman"/>
          <w:sz w:val="24"/>
          <w:szCs w:val="24"/>
          <w:lang w:val="en-US"/>
        </w:rPr>
        <w:t xml:space="preserve"> to</w:t>
      </w:r>
      <w:r w:rsidRPr="00255352">
        <w:rPr>
          <w:rFonts w:ascii="Times New Roman" w:hAnsi="Times New Roman" w:cs="Times New Roman"/>
          <w:sz w:val="24"/>
          <w:szCs w:val="24"/>
          <w:lang w:val="en-US"/>
        </w:rPr>
        <w:t xml:space="preserve"> </w:t>
      </w:r>
      <w:r>
        <w:rPr>
          <w:rFonts w:ascii="Times New Roman" w:hAnsi="Times New Roman" w:cs="Times New Roman"/>
          <w:sz w:val="24"/>
          <w:szCs w:val="24"/>
          <w:lang w:val="en-US"/>
        </w:rPr>
        <w:t>focus on</w:t>
      </w:r>
      <w:r w:rsidRPr="00255352">
        <w:rPr>
          <w:rFonts w:ascii="Times New Roman" w:hAnsi="Times New Roman" w:cs="Times New Roman"/>
          <w:sz w:val="24"/>
          <w:szCs w:val="24"/>
          <w:lang w:val="en-US"/>
        </w:rPr>
        <w:t xml:space="preserve"> two.</w:t>
      </w:r>
      <w:r w:rsidR="00025BC2">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 comprehensive analysis of his work takes place in the second part of this </w:t>
      </w:r>
      <w:r w:rsidR="00B60C3B">
        <w:rPr>
          <w:rFonts w:ascii="Times New Roman" w:hAnsi="Times New Roman" w:cs="Times New Roman"/>
          <w:sz w:val="24"/>
          <w:szCs w:val="24"/>
          <w:lang w:val="en-US"/>
        </w:rPr>
        <w:t>thesis</w:t>
      </w:r>
      <w:r>
        <w:rPr>
          <w:rFonts w:ascii="Times New Roman" w:hAnsi="Times New Roman" w:cs="Times New Roman"/>
          <w:sz w:val="24"/>
          <w:szCs w:val="24"/>
          <w:lang w:val="en-US"/>
        </w:rPr>
        <w:t xml:space="preserve">. </w:t>
      </w:r>
    </w:p>
    <w:p w14:paraId="244C986E" w14:textId="16B4A38E" w:rsidR="00560FB8" w:rsidRDefault="00560FB8" w:rsidP="00560FB8">
      <w:pPr>
        <w:spacing w:after="0" w:line="360" w:lineRule="auto"/>
        <w:ind w:firstLine="1134"/>
        <w:jc w:val="both"/>
        <w:rPr>
          <w:rFonts w:ascii="Times New Roman" w:hAnsi="Times New Roman" w:cs="Times New Roman"/>
          <w:sz w:val="24"/>
          <w:szCs w:val="24"/>
          <w:lang w:val="en-US"/>
        </w:rPr>
      </w:pPr>
      <w:r w:rsidRPr="00255352">
        <w:rPr>
          <w:rFonts w:ascii="Times New Roman" w:hAnsi="Times New Roman" w:cs="Times New Roman"/>
          <w:sz w:val="24"/>
          <w:szCs w:val="24"/>
          <w:lang w:val="en-US"/>
        </w:rPr>
        <w:lastRenderedPageBreak/>
        <w:t xml:space="preserve">First, Story quotes Marshall’s </w:t>
      </w:r>
      <w:r w:rsidRPr="004702C7">
        <w:rPr>
          <w:rFonts w:ascii="Times New Roman" w:hAnsi="Times New Roman" w:cs="Times New Roman"/>
          <w:i/>
          <w:iCs/>
          <w:sz w:val="24"/>
          <w:szCs w:val="24"/>
          <w:lang w:val="en-US"/>
        </w:rPr>
        <w:t>McCulloch v. Maryland</w:t>
      </w:r>
      <w:r w:rsidRPr="00255352">
        <w:rPr>
          <w:rFonts w:ascii="Times New Roman" w:hAnsi="Times New Roman" w:cs="Times New Roman"/>
          <w:sz w:val="24"/>
          <w:szCs w:val="24"/>
          <w:lang w:val="en-US"/>
        </w:rPr>
        <w:t xml:space="preserve"> (1819)</w:t>
      </w:r>
      <w:r>
        <w:rPr>
          <w:rStyle w:val="FootnoteReference"/>
          <w:rFonts w:ascii="Times New Roman" w:hAnsi="Times New Roman" w:cs="Times New Roman"/>
          <w:sz w:val="24"/>
          <w:szCs w:val="24"/>
          <w:lang w:val="en-US"/>
        </w:rPr>
        <w:footnoteReference w:id="80"/>
      </w:r>
      <w:r w:rsidRPr="00255352">
        <w:rPr>
          <w:rFonts w:ascii="Times New Roman" w:hAnsi="Times New Roman" w:cs="Times New Roman"/>
          <w:sz w:val="24"/>
          <w:szCs w:val="24"/>
          <w:lang w:val="en-US"/>
        </w:rPr>
        <w:t xml:space="preserve"> recurrently, in support of most of the semantic incisions he is</w:t>
      </w:r>
      <w:r>
        <w:rPr>
          <w:rFonts w:ascii="Times New Roman" w:hAnsi="Times New Roman" w:cs="Times New Roman"/>
          <w:sz w:val="24"/>
          <w:szCs w:val="24"/>
          <w:lang w:val="en-US"/>
        </w:rPr>
        <w:t xml:space="preserve"> </w:t>
      </w:r>
      <w:r w:rsidRPr="00255352">
        <w:rPr>
          <w:rFonts w:ascii="Times New Roman" w:hAnsi="Times New Roman" w:cs="Times New Roman"/>
          <w:sz w:val="24"/>
          <w:szCs w:val="24"/>
          <w:lang w:val="en-US"/>
        </w:rPr>
        <w:t>developing. He does so openly not only when discussing technical questions, such as the</w:t>
      </w:r>
      <w:r>
        <w:rPr>
          <w:rFonts w:ascii="Times New Roman" w:hAnsi="Times New Roman" w:cs="Times New Roman"/>
          <w:sz w:val="24"/>
          <w:szCs w:val="24"/>
          <w:lang w:val="en-US"/>
        </w:rPr>
        <w:t xml:space="preserve"> </w:t>
      </w:r>
      <w:r w:rsidRPr="00255352">
        <w:rPr>
          <w:rFonts w:ascii="Times New Roman" w:hAnsi="Times New Roman" w:cs="Times New Roman"/>
          <w:sz w:val="24"/>
          <w:szCs w:val="24"/>
          <w:lang w:val="en-US"/>
        </w:rPr>
        <w:t>implied powers doctrine laid in McCulloch, but also indirectly when engaging the</w:t>
      </w:r>
      <w:r>
        <w:rPr>
          <w:rFonts w:ascii="Times New Roman" w:hAnsi="Times New Roman" w:cs="Times New Roman"/>
          <w:sz w:val="24"/>
          <w:szCs w:val="24"/>
          <w:lang w:val="en-US"/>
        </w:rPr>
        <w:t xml:space="preserve"> </w:t>
      </w:r>
      <w:r w:rsidRPr="00255352">
        <w:rPr>
          <w:rFonts w:ascii="Times New Roman" w:hAnsi="Times New Roman" w:cs="Times New Roman"/>
          <w:sz w:val="24"/>
          <w:szCs w:val="24"/>
          <w:lang w:val="en-US"/>
        </w:rPr>
        <w:t>question of the nature of the Constitution as an instrument, and, consequently, what is its</w:t>
      </w:r>
      <w:r>
        <w:rPr>
          <w:rFonts w:ascii="Times New Roman" w:hAnsi="Times New Roman" w:cs="Times New Roman"/>
          <w:sz w:val="24"/>
          <w:szCs w:val="24"/>
          <w:lang w:val="en-US"/>
        </w:rPr>
        <w:t xml:space="preserve"> </w:t>
      </w:r>
      <w:r w:rsidRPr="00255352">
        <w:rPr>
          <w:rFonts w:ascii="Times New Roman" w:hAnsi="Times New Roman" w:cs="Times New Roman"/>
          <w:sz w:val="24"/>
          <w:szCs w:val="24"/>
          <w:lang w:val="en-US"/>
        </w:rPr>
        <w:t xml:space="preserve">“object,” or “design,” which should be the “constant reference” </w:t>
      </w:r>
      <w:r>
        <w:rPr>
          <w:rFonts w:ascii="Times New Roman" w:hAnsi="Times New Roman" w:cs="Times New Roman"/>
          <w:sz w:val="24"/>
          <w:szCs w:val="24"/>
          <w:lang w:val="en-US"/>
        </w:rPr>
        <w:t>for</w:t>
      </w:r>
      <w:r w:rsidRPr="00255352">
        <w:rPr>
          <w:rFonts w:ascii="Times New Roman" w:hAnsi="Times New Roman" w:cs="Times New Roman"/>
          <w:sz w:val="24"/>
          <w:szCs w:val="24"/>
          <w:lang w:val="en-US"/>
        </w:rPr>
        <w:t xml:space="preserve"> its interpretation. Not surprisingly, then, </w:t>
      </w:r>
      <w:r w:rsidRPr="00B61223">
        <w:rPr>
          <w:rFonts w:ascii="Times New Roman" w:hAnsi="Times New Roman" w:cs="Times New Roman"/>
          <w:i/>
          <w:iCs/>
          <w:sz w:val="24"/>
          <w:szCs w:val="24"/>
          <w:lang w:val="en-US"/>
        </w:rPr>
        <w:t>McCulloch v. Maryland</w:t>
      </w:r>
      <w:r w:rsidRPr="00255352">
        <w:rPr>
          <w:rFonts w:ascii="Times New Roman" w:hAnsi="Times New Roman" w:cs="Times New Roman"/>
          <w:sz w:val="24"/>
          <w:szCs w:val="24"/>
          <w:lang w:val="en-US"/>
        </w:rPr>
        <w:t xml:space="preserve"> is framed as one “solemn occasion,” the kind of occasion that calls for expressive language.</w:t>
      </w:r>
      <w:r>
        <w:rPr>
          <w:rStyle w:val="FootnoteReference"/>
          <w:rFonts w:ascii="Times New Roman" w:hAnsi="Times New Roman" w:cs="Times New Roman"/>
          <w:sz w:val="24"/>
          <w:szCs w:val="24"/>
          <w:lang w:val="en-US"/>
        </w:rPr>
        <w:footnoteReference w:id="81"/>
      </w:r>
      <w:r w:rsidRPr="00255352">
        <w:rPr>
          <w:rFonts w:ascii="Times New Roman" w:hAnsi="Times New Roman" w:cs="Times New Roman"/>
          <w:sz w:val="24"/>
          <w:szCs w:val="24"/>
          <w:lang w:val="en-US"/>
        </w:rPr>
        <w:t xml:space="preserve"> The Constitution, Story contends, is a fundamental law, “as the people have named and called it, truly a constitution; and they properly said, ‘We, the people of the United States, do ordain and establish this constitution,’ and not, we, the people of each state.’ And this exposition has been sustained by the opinions of some of our most eminent statesmen and judges.”</w:t>
      </w:r>
      <w:r>
        <w:rPr>
          <w:rStyle w:val="FootnoteReference"/>
          <w:rFonts w:ascii="Times New Roman" w:hAnsi="Times New Roman" w:cs="Times New Roman"/>
          <w:sz w:val="24"/>
          <w:szCs w:val="24"/>
          <w:lang w:val="en-US"/>
        </w:rPr>
        <w:footnoteReference w:id="82"/>
      </w:r>
      <w:r w:rsidRPr="00255352">
        <w:rPr>
          <w:rFonts w:ascii="Times New Roman" w:hAnsi="Times New Roman" w:cs="Times New Roman"/>
          <w:sz w:val="24"/>
          <w:szCs w:val="24"/>
          <w:lang w:val="en-US"/>
        </w:rPr>
        <w:t xml:space="preserve"> Although the people’s opinion was properly said, there is a second form of opinion we must attend to, the opinion of the Constitution’s visible saints.</w:t>
      </w:r>
    </w:p>
    <w:p w14:paraId="2980680A" w14:textId="3E813197" w:rsidR="00560FB8" w:rsidRDefault="00560FB8" w:rsidP="00560FB8">
      <w:pPr>
        <w:spacing w:after="0" w:line="360" w:lineRule="auto"/>
        <w:ind w:firstLine="1134"/>
        <w:jc w:val="both"/>
        <w:rPr>
          <w:rFonts w:ascii="Times New Roman" w:hAnsi="Times New Roman" w:cs="Times New Roman"/>
          <w:sz w:val="24"/>
          <w:szCs w:val="24"/>
          <w:lang w:val="en-US"/>
        </w:rPr>
      </w:pPr>
      <w:r>
        <w:rPr>
          <w:rFonts w:ascii="Times New Roman" w:hAnsi="Times New Roman" w:cs="Times New Roman"/>
          <w:sz w:val="24"/>
          <w:szCs w:val="24"/>
          <w:lang w:val="en-US"/>
        </w:rPr>
        <w:t>Consider an exemplar of an editorial genre whose popularity is beyond doubt, namely, books written by consolidated legal scholars who account for a Supreme Court’s performance in a time</w:t>
      </w:r>
      <w:r w:rsidR="00D423CE">
        <w:rPr>
          <w:rFonts w:ascii="Times New Roman" w:hAnsi="Times New Roman" w:cs="Times New Roman"/>
          <w:sz w:val="24"/>
          <w:szCs w:val="24"/>
          <w:lang w:val="en-US"/>
        </w:rPr>
        <w:t xml:space="preserve"> </w:t>
      </w:r>
      <w:r>
        <w:rPr>
          <w:rFonts w:ascii="Times New Roman" w:hAnsi="Times New Roman" w:cs="Times New Roman"/>
          <w:sz w:val="24"/>
          <w:szCs w:val="24"/>
          <w:lang w:val="en-US"/>
        </w:rPr>
        <w:t>span of more or less fifteen years, having as their loadstar each Justice’s “personality’s” contribution to constitutional law. The famous US constitutional scholar Lawrence Tribe alongside then Supreme Court clerk Joshua Matz w</w:t>
      </w:r>
      <w:r w:rsidR="009709E0">
        <w:rPr>
          <w:rFonts w:ascii="Times New Roman" w:hAnsi="Times New Roman" w:cs="Times New Roman"/>
          <w:sz w:val="24"/>
          <w:szCs w:val="24"/>
          <w:lang w:val="en-US"/>
        </w:rPr>
        <w:t>rote one of those</w:t>
      </w:r>
      <w:r>
        <w:rPr>
          <w:rFonts w:ascii="Times New Roman" w:hAnsi="Times New Roman" w:cs="Times New Roman"/>
          <w:sz w:val="24"/>
          <w:szCs w:val="24"/>
          <w:lang w:val="en-US"/>
        </w:rPr>
        <w:t xml:space="preserve"> book</w:t>
      </w:r>
      <w:r w:rsidR="009709E0">
        <w:rPr>
          <w:rFonts w:ascii="Times New Roman" w:hAnsi="Times New Roman" w:cs="Times New Roman"/>
          <w:sz w:val="24"/>
          <w:szCs w:val="24"/>
          <w:lang w:val="en-US"/>
        </w:rPr>
        <w:t>s. It</w:t>
      </w:r>
      <w:r>
        <w:rPr>
          <w:rFonts w:ascii="Times New Roman" w:hAnsi="Times New Roman" w:cs="Times New Roman"/>
          <w:sz w:val="24"/>
          <w:szCs w:val="24"/>
          <w:lang w:val="en-US"/>
        </w:rPr>
        <w:t xml:space="preserve"> comprehends right past the cover three pages of “additional praise” with excerpts stemming from </w:t>
      </w:r>
      <w:r w:rsidR="007837F7">
        <w:rPr>
          <w:rFonts w:ascii="Times New Roman" w:hAnsi="Times New Roman" w:cs="Times New Roman"/>
          <w:sz w:val="24"/>
          <w:szCs w:val="24"/>
          <w:lang w:val="en-US"/>
        </w:rPr>
        <w:t xml:space="preserve">different </w:t>
      </w:r>
      <w:r>
        <w:rPr>
          <w:rFonts w:ascii="Times New Roman" w:hAnsi="Times New Roman" w:cs="Times New Roman"/>
          <w:sz w:val="24"/>
          <w:szCs w:val="24"/>
          <w:lang w:val="en-US"/>
        </w:rPr>
        <w:t>readerships</w:t>
      </w:r>
      <w:r w:rsidR="009709E0">
        <w:rPr>
          <w:rFonts w:ascii="Times New Roman" w:hAnsi="Times New Roman" w:cs="Times New Roman"/>
          <w:sz w:val="24"/>
          <w:szCs w:val="24"/>
          <w:lang w:val="en-US"/>
        </w:rPr>
        <w:t>. A</w:t>
      </w:r>
      <w:r>
        <w:rPr>
          <w:rFonts w:ascii="Times New Roman" w:hAnsi="Times New Roman" w:cs="Times New Roman"/>
          <w:sz w:val="24"/>
          <w:szCs w:val="24"/>
          <w:lang w:val="en-US"/>
        </w:rPr>
        <w:t>t a certain point</w:t>
      </w:r>
      <w:r w:rsidR="009709E0">
        <w:rPr>
          <w:rFonts w:ascii="Times New Roman" w:hAnsi="Times New Roman" w:cs="Times New Roman"/>
          <w:sz w:val="24"/>
          <w:szCs w:val="24"/>
          <w:lang w:val="en-US"/>
        </w:rPr>
        <w:t>, Tribe and Matz state</w:t>
      </w:r>
      <w:r>
        <w:rPr>
          <w:rFonts w:ascii="Times New Roman" w:hAnsi="Times New Roman" w:cs="Times New Roman"/>
          <w:sz w:val="24"/>
          <w:szCs w:val="24"/>
          <w:lang w:val="en-US"/>
        </w:rPr>
        <w:t xml:space="preserve"> apropos of the First Amendment how certain Justices forged its values into “constitutional dogma” from “fragments of text and history, their own experiences, and some bold ideals.”</w:t>
      </w:r>
      <w:r>
        <w:rPr>
          <w:rStyle w:val="FootnoteReference"/>
          <w:rFonts w:ascii="Times New Roman" w:hAnsi="Times New Roman" w:cs="Times New Roman"/>
          <w:sz w:val="24"/>
          <w:szCs w:val="24"/>
          <w:lang w:val="en-US"/>
        </w:rPr>
        <w:footnoteReference w:id="83"/>
      </w:r>
      <w:r>
        <w:rPr>
          <w:rFonts w:ascii="Times New Roman" w:hAnsi="Times New Roman" w:cs="Times New Roman"/>
          <w:sz w:val="24"/>
          <w:szCs w:val="24"/>
          <w:lang w:val="en-US"/>
        </w:rPr>
        <w:t xml:space="preserve"> </w:t>
      </w:r>
      <w:r w:rsidR="008F3B95">
        <w:rPr>
          <w:rFonts w:ascii="Times New Roman" w:hAnsi="Times New Roman" w:cs="Times New Roman"/>
          <w:sz w:val="24"/>
          <w:szCs w:val="24"/>
          <w:lang w:val="en-US"/>
        </w:rPr>
        <w:t>I approach this</w:t>
      </w:r>
      <w:r>
        <w:rPr>
          <w:rFonts w:ascii="Times New Roman" w:hAnsi="Times New Roman" w:cs="Times New Roman"/>
          <w:sz w:val="24"/>
          <w:szCs w:val="24"/>
          <w:lang w:val="en-US"/>
        </w:rPr>
        <w:t xml:space="preserve"> way of framing the outcome of the relationship between constitutional text and constitutional adjudication </w:t>
      </w:r>
      <w:r w:rsidR="008F3B95">
        <w:rPr>
          <w:rFonts w:ascii="Times New Roman" w:hAnsi="Times New Roman" w:cs="Times New Roman"/>
          <w:sz w:val="24"/>
          <w:szCs w:val="24"/>
          <w:lang w:val="en-US"/>
        </w:rPr>
        <w:t xml:space="preserve">as </w:t>
      </w:r>
      <w:r>
        <w:rPr>
          <w:rFonts w:ascii="Times New Roman" w:hAnsi="Times New Roman" w:cs="Times New Roman"/>
          <w:sz w:val="24"/>
          <w:szCs w:val="24"/>
          <w:lang w:val="en-US"/>
        </w:rPr>
        <w:t xml:space="preserve">having in a judge’s personality </w:t>
      </w:r>
      <w:r w:rsidR="007837F7">
        <w:rPr>
          <w:rFonts w:ascii="Times New Roman" w:hAnsi="Times New Roman" w:cs="Times New Roman"/>
          <w:sz w:val="24"/>
          <w:szCs w:val="24"/>
          <w:lang w:val="en-US"/>
        </w:rPr>
        <w:t xml:space="preserve">its </w:t>
      </w:r>
      <w:r>
        <w:rPr>
          <w:rFonts w:ascii="Times New Roman" w:hAnsi="Times New Roman" w:cs="Times New Roman"/>
          <w:sz w:val="24"/>
          <w:szCs w:val="24"/>
          <w:lang w:val="en-US"/>
        </w:rPr>
        <w:t>main semantic artifact,</w:t>
      </w:r>
      <w:r w:rsidR="008F3B95">
        <w:rPr>
          <w:rFonts w:ascii="Times New Roman" w:hAnsi="Times New Roman" w:cs="Times New Roman"/>
          <w:sz w:val="24"/>
          <w:szCs w:val="24"/>
          <w:lang w:val="en-US"/>
        </w:rPr>
        <w:t xml:space="preserve"> which</w:t>
      </w:r>
      <w:r>
        <w:rPr>
          <w:rFonts w:ascii="Times New Roman" w:hAnsi="Times New Roman" w:cs="Times New Roman"/>
          <w:sz w:val="24"/>
          <w:szCs w:val="24"/>
          <w:lang w:val="en-US"/>
        </w:rPr>
        <w:t xml:space="preserve"> center</w:t>
      </w:r>
      <w:r w:rsidR="008F3B95">
        <w:rPr>
          <w:rFonts w:ascii="Times New Roman" w:hAnsi="Times New Roman" w:cs="Times New Roman"/>
          <w:sz w:val="24"/>
          <w:szCs w:val="24"/>
          <w:lang w:val="en-US"/>
        </w:rPr>
        <w:t>s</w:t>
      </w:r>
      <w:r>
        <w:rPr>
          <w:rFonts w:ascii="Times New Roman" w:hAnsi="Times New Roman" w:cs="Times New Roman"/>
          <w:sz w:val="24"/>
          <w:szCs w:val="24"/>
          <w:lang w:val="en-US"/>
        </w:rPr>
        <w:t xml:space="preserve"> the attention of Court observers and organiz</w:t>
      </w:r>
      <w:r w:rsidR="008F3B95">
        <w:rPr>
          <w:rFonts w:ascii="Times New Roman" w:hAnsi="Times New Roman" w:cs="Times New Roman"/>
          <w:sz w:val="24"/>
          <w:szCs w:val="24"/>
          <w:lang w:val="en-US"/>
        </w:rPr>
        <w:t>es</w:t>
      </w:r>
      <w:r>
        <w:rPr>
          <w:rFonts w:ascii="Times New Roman" w:hAnsi="Times New Roman" w:cs="Times New Roman"/>
          <w:sz w:val="24"/>
          <w:szCs w:val="24"/>
          <w:lang w:val="en-US"/>
        </w:rPr>
        <w:t xml:space="preserve"> their interpretive efforts</w:t>
      </w:r>
      <w:r w:rsidR="008F3B95">
        <w:rPr>
          <w:rFonts w:ascii="Times New Roman" w:hAnsi="Times New Roman" w:cs="Times New Roman"/>
          <w:sz w:val="24"/>
          <w:szCs w:val="24"/>
          <w:lang w:val="en-US"/>
        </w:rPr>
        <w:t xml:space="preserve">. </w:t>
      </w:r>
      <w:r w:rsidR="007837F7">
        <w:rPr>
          <w:rFonts w:ascii="Times New Roman" w:hAnsi="Times New Roman" w:cs="Times New Roman"/>
          <w:sz w:val="24"/>
          <w:szCs w:val="24"/>
          <w:lang w:val="en-US"/>
        </w:rPr>
        <w:t>I show</w:t>
      </w:r>
      <w:r w:rsidR="008F3B95">
        <w:rPr>
          <w:rFonts w:ascii="Times New Roman" w:hAnsi="Times New Roman" w:cs="Times New Roman"/>
          <w:sz w:val="24"/>
          <w:szCs w:val="24"/>
          <w:lang w:val="en-US"/>
        </w:rPr>
        <w:t xml:space="preserve"> that this</w:t>
      </w:r>
      <w:r>
        <w:rPr>
          <w:rFonts w:ascii="Times New Roman" w:hAnsi="Times New Roman" w:cs="Times New Roman"/>
          <w:sz w:val="24"/>
          <w:szCs w:val="24"/>
          <w:lang w:val="en-US"/>
        </w:rPr>
        <w:t xml:space="preserve"> can be traced</w:t>
      </w:r>
      <w:r>
        <w:rPr>
          <w:rStyle w:val="FootnoteReference"/>
          <w:rFonts w:ascii="Times New Roman" w:hAnsi="Times New Roman" w:cs="Times New Roman"/>
          <w:sz w:val="24"/>
          <w:szCs w:val="24"/>
          <w:lang w:val="en-US"/>
        </w:rPr>
        <w:footnoteReference w:id="84"/>
      </w:r>
      <w:r>
        <w:rPr>
          <w:rFonts w:ascii="Times New Roman" w:hAnsi="Times New Roman" w:cs="Times New Roman"/>
          <w:sz w:val="24"/>
          <w:szCs w:val="24"/>
          <w:lang w:val="en-US"/>
        </w:rPr>
        <w:t xml:space="preserve"> to the reoccupation masterfully </w:t>
      </w:r>
      <w:r>
        <w:rPr>
          <w:rFonts w:ascii="Times New Roman" w:hAnsi="Times New Roman" w:cs="Times New Roman"/>
          <w:sz w:val="24"/>
          <w:szCs w:val="24"/>
          <w:lang w:val="en-US"/>
        </w:rPr>
        <w:lastRenderedPageBreak/>
        <w:t xml:space="preserve">enforced and endorsed by Joseph Story of the singular Puritan view on how the human domain and the divine realm stood vis-à-vis each other. </w:t>
      </w:r>
    </w:p>
    <w:p w14:paraId="32CFFA8F" w14:textId="224F8E88" w:rsidR="00EB6871" w:rsidRDefault="00560FB8" w:rsidP="00560FB8">
      <w:pPr>
        <w:spacing w:after="0" w:line="360" w:lineRule="auto"/>
        <w:ind w:firstLine="113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As US historian Edmund S. Morgan tells us, </w:t>
      </w:r>
      <w:r w:rsidR="00EB6871">
        <w:rPr>
          <w:rFonts w:ascii="Times New Roman" w:hAnsi="Times New Roman" w:cs="Times New Roman"/>
          <w:sz w:val="24"/>
          <w:szCs w:val="24"/>
          <w:lang w:val="en-US"/>
        </w:rPr>
        <w:t>the Puritans broke</w:t>
      </w:r>
      <w:r>
        <w:rPr>
          <w:rFonts w:ascii="Times New Roman" w:hAnsi="Times New Roman" w:cs="Times New Roman"/>
          <w:sz w:val="24"/>
          <w:szCs w:val="24"/>
          <w:lang w:val="en-US"/>
        </w:rPr>
        <w:t xml:space="preserve"> with Calvinist doctrine on the separation between the two cities</w:t>
      </w:r>
      <w:r w:rsidR="00EB6871">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EB6871">
        <w:rPr>
          <w:rFonts w:ascii="Times New Roman" w:hAnsi="Times New Roman" w:cs="Times New Roman"/>
          <w:sz w:val="24"/>
          <w:szCs w:val="24"/>
          <w:lang w:val="en-US"/>
        </w:rPr>
        <w:t>T</w:t>
      </w:r>
      <w:r>
        <w:rPr>
          <w:rFonts w:ascii="Times New Roman" w:hAnsi="Times New Roman" w:cs="Times New Roman"/>
          <w:sz w:val="24"/>
          <w:szCs w:val="24"/>
          <w:lang w:val="en-US"/>
        </w:rPr>
        <w:t>he exercise of religion in New England’s shores prompted the emergence of the belief on how certain members of a godly community</w:t>
      </w:r>
      <w:r w:rsidR="00E24D2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presented to their brethren a touch of saving faith, of the coming of the Kingdom of God. </w:t>
      </w:r>
      <w:r w:rsidR="00E24D2D">
        <w:rPr>
          <w:rFonts w:ascii="Times New Roman" w:hAnsi="Times New Roman" w:cs="Times New Roman"/>
          <w:sz w:val="24"/>
          <w:szCs w:val="24"/>
          <w:lang w:val="en-US"/>
        </w:rPr>
        <w:t>They did so through their life-long strive for justification, the subject of a ritual later named the “conversion narrative.”</w:t>
      </w:r>
      <w:r w:rsidR="00E24D2D">
        <w:rPr>
          <w:rStyle w:val="FootnoteReference"/>
          <w:rFonts w:ascii="Times New Roman" w:hAnsi="Times New Roman" w:cs="Times New Roman"/>
          <w:sz w:val="24"/>
          <w:szCs w:val="24"/>
          <w:lang w:val="en-US"/>
        </w:rPr>
        <w:footnoteReference w:id="85"/>
      </w:r>
      <w:r w:rsidR="00E24D2D">
        <w:rPr>
          <w:rFonts w:ascii="Times New Roman" w:hAnsi="Times New Roman" w:cs="Times New Roman"/>
          <w:sz w:val="24"/>
          <w:szCs w:val="24"/>
          <w:lang w:val="en-US"/>
        </w:rPr>
        <w:t xml:space="preserve"> </w:t>
      </w:r>
      <w:r>
        <w:rPr>
          <w:rFonts w:ascii="Times New Roman" w:hAnsi="Times New Roman" w:cs="Times New Roman"/>
          <w:sz w:val="24"/>
          <w:szCs w:val="24"/>
          <w:lang w:val="en-US"/>
        </w:rPr>
        <w:t>Of crucial importance for the narrative, to the point of attaining the status of a liturgical morphology, was the emphasis on one’s sins, failures, and imperfection, the acknowledgment of which provided the testimony of one’s deep belief in God’s providence.</w:t>
      </w:r>
      <w:r>
        <w:rPr>
          <w:rStyle w:val="FootnoteReference"/>
          <w:rFonts w:ascii="Times New Roman" w:hAnsi="Times New Roman" w:cs="Times New Roman"/>
          <w:sz w:val="24"/>
          <w:szCs w:val="24"/>
          <w:lang w:val="en-US"/>
        </w:rPr>
        <w:footnoteReference w:id="86"/>
      </w:r>
      <w:r>
        <w:rPr>
          <w:rFonts w:ascii="Times New Roman" w:hAnsi="Times New Roman" w:cs="Times New Roman"/>
          <w:sz w:val="24"/>
          <w:szCs w:val="24"/>
          <w:lang w:val="en-US"/>
        </w:rPr>
        <w:t xml:space="preserve"> </w:t>
      </w:r>
    </w:p>
    <w:p w14:paraId="3E240453" w14:textId="11DE88F9" w:rsidR="00560FB8" w:rsidRPr="00255352" w:rsidRDefault="00560FB8" w:rsidP="00560FB8">
      <w:pPr>
        <w:spacing w:after="0" w:line="360" w:lineRule="auto"/>
        <w:ind w:firstLine="113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That Story was well-versed </w:t>
      </w:r>
      <w:r w:rsidR="007837F7">
        <w:rPr>
          <w:rFonts w:ascii="Times New Roman" w:hAnsi="Times New Roman" w:cs="Times New Roman"/>
          <w:sz w:val="24"/>
          <w:szCs w:val="24"/>
          <w:lang w:val="en-US"/>
        </w:rPr>
        <w:t>i</w:t>
      </w:r>
      <w:r>
        <w:rPr>
          <w:rFonts w:ascii="Times New Roman" w:hAnsi="Times New Roman" w:cs="Times New Roman"/>
          <w:sz w:val="24"/>
          <w:szCs w:val="24"/>
          <w:lang w:val="en-US"/>
        </w:rPr>
        <w:t xml:space="preserve">n these semantic patterns can be easily verified </w:t>
      </w:r>
      <w:r w:rsidR="00D423CE">
        <w:rPr>
          <w:rFonts w:ascii="Times New Roman" w:hAnsi="Times New Roman" w:cs="Times New Roman"/>
          <w:sz w:val="24"/>
          <w:szCs w:val="24"/>
          <w:lang w:val="en-US"/>
        </w:rPr>
        <w:t>in</w:t>
      </w:r>
      <w:r>
        <w:rPr>
          <w:rFonts w:ascii="Times New Roman" w:hAnsi="Times New Roman" w:cs="Times New Roman"/>
          <w:sz w:val="24"/>
          <w:szCs w:val="24"/>
          <w:lang w:val="en-US"/>
        </w:rPr>
        <w:t xml:space="preserve"> many of his publications, among which </w:t>
      </w:r>
      <w:r w:rsidRPr="00FB27F0">
        <w:rPr>
          <w:rFonts w:ascii="Times New Roman" w:hAnsi="Times New Roman" w:cs="Times New Roman"/>
          <w:i/>
          <w:iCs/>
          <w:sz w:val="24"/>
          <w:szCs w:val="24"/>
          <w:lang w:val="en-US"/>
        </w:rPr>
        <w:t>History and Influence of the Puritans</w:t>
      </w:r>
      <w:r>
        <w:rPr>
          <w:rFonts w:ascii="Times New Roman" w:hAnsi="Times New Roman" w:cs="Times New Roman"/>
          <w:sz w:val="24"/>
          <w:szCs w:val="24"/>
          <w:lang w:val="en-US"/>
        </w:rPr>
        <w:t>, a discourse pronounced in 1828 to the Essex Historical Society. The text is particularly interesting by dint of how Story manages to transform the history of New England, the records of which “li[e] far within the reach of the authentic annals of mankind,”</w:t>
      </w:r>
      <w:r>
        <w:rPr>
          <w:rStyle w:val="FootnoteReference"/>
          <w:rFonts w:ascii="Times New Roman" w:hAnsi="Times New Roman" w:cs="Times New Roman"/>
          <w:sz w:val="24"/>
          <w:szCs w:val="24"/>
          <w:lang w:val="en-US"/>
        </w:rPr>
        <w:footnoteReference w:id="87"/>
      </w:r>
      <w:r>
        <w:rPr>
          <w:rFonts w:ascii="Times New Roman" w:hAnsi="Times New Roman" w:cs="Times New Roman"/>
          <w:sz w:val="24"/>
          <w:szCs w:val="24"/>
          <w:lang w:val="en-US"/>
        </w:rPr>
        <w:t xml:space="preserve"> in</w:t>
      </w:r>
      <w:r w:rsidR="00D423CE">
        <w:rPr>
          <w:rFonts w:ascii="Times New Roman" w:hAnsi="Times New Roman" w:cs="Times New Roman"/>
          <w:sz w:val="24"/>
          <w:szCs w:val="24"/>
          <w:lang w:val="en-US"/>
        </w:rPr>
        <w:t>to</w:t>
      </w:r>
      <w:r>
        <w:rPr>
          <w:rFonts w:ascii="Times New Roman" w:hAnsi="Times New Roman" w:cs="Times New Roman"/>
          <w:sz w:val="24"/>
          <w:szCs w:val="24"/>
          <w:lang w:val="en-US"/>
        </w:rPr>
        <w:t xml:space="preserve"> a foundational myth by way of framing it precisely as a conversion narrative. The Puritans, Story underlies, are “frail, fallible men” who left “behind solid claims upon the reverence and admiration of </w:t>
      </w:r>
      <w:proofErr w:type="gramStart"/>
      <w:r>
        <w:rPr>
          <w:rFonts w:ascii="Times New Roman" w:hAnsi="Times New Roman" w:cs="Times New Roman"/>
          <w:sz w:val="24"/>
          <w:szCs w:val="24"/>
          <w:lang w:val="en-US"/>
        </w:rPr>
        <w:t>mankind[</w:t>
      </w:r>
      <w:proofErr w:type="gramEnd"/>
      <w:r>
        <w:rPr>
          <w:rFonts w:ascii="Times New Roman" w:hAnsi="Times New Roman" w:cs="Times New Roman"/>
          <w:sz w:val="24"/>
          <w:szCs w:val="24"/>
          <w:lang w:val="en-US"/>
        </w:rPr>
        <w:t>,]” in reason of how “they acted up to their principles, and followed them out with an unfaltering firmness. […] Amidst the temptations of human grandeur, they stood unmoved, unshaken, unseduced.” Because of their “moral courage,” “present dangers” looked “as though they were distant or doubtful[.]”</w:t>
      </w:r>
      <w:r>
        <w:rPr>
          <w:rStyle w:val="FootnoteReference"/>
          <w:rFonts w:ascii="Times New Roman" w:hAnsi="Times New Roman" w:cs="Times New Roman"/>
          <w:sz w:val="24"/>
          <w:szCs w:val="24"/>
          <w:lang w:val="en-US"/>
        </w:rPr>
        <w:footnoteReference w:id="88"/>
      </w:r>
    </w:p>
    <w:p w14:paraId="7D890026" w14:textId="21397839" w:rsidR="00EB6871" w:rsidRDefault="00560FB8" w:rsidP="00560FB8">
      <w:pPr>
        <w:spacing w:after="0" w:line="360" w:lineRule="auto"/>
        <w:ind w:firstLine="1134"/>
        <w:jc w:val="both"/>
        <w:rPr>
          <w:rFonts w:ascii="Times New Roman" w:hAnsi="Times New Roman" w:cs="Times New Roman"/>
          <w:sz w:val="24"/>
          <w:szCs w:val="24"/>
          <w:lang w:val="en-US"/>
        </w:rPr>
      </w:pPr>
      <w:r w:rsidRPr="003E3D84">
        <w:rPr>
          <w:rFonts w:ascii="Times New Roman" w:hAnsi="Times New Roman" w:cs="Times New Roman"/>
          <w:sz w:val="24"/>
          <w:szCs w:val="24"/>
          <w:lang w:val="en-US"/>
        </w:rPr>
        <w:t>Accordingly, as Story had before him the strife between Andrew Jackson and John Marshall,</w:t>
      </w:r>
      <w:r>
        <w:rPr>
          <w:rStyle w:val="FootnoteReference"/>
          <w:rFonts w:ascii="Times New Roman" w:hAnsi="Times New Roman" w:cs="Times New Roman"/>
          <w:sz w:val="24"/>
          <w:szCs w:val="24"/>
          <w:lang w:val="en-US"/>
        </w:rPr>
        <w:footnoteReference w:id="89"/>
      </w:r>
      <w:r w:rsidRPr="003E3D84">
        <w:rPr>
          <w:rFonts w:ascii="Times New Roman" w:hAnsi="Times New Roman" w:cs="Times New Roman"/>
          <w:sz w:val="24"/>
          <w:szCs w:val="24"/>
          <w:lang w:val="en-US"/>
        </w:rPr>
        <w:t xml:space="preserve"> the significance of consecrating the difference between the figures of the politician and the judge while advancing the latter’s importance for politics was beyond doubt. If not for the good works of the righteous, the “moral courage” judges </w:t>
      </w:r>
      <w:r w:rsidRPr="003E3D84">
        <w:rPr>
          <w:rFonts w:ascii="Times New Roman" w:hAnsi="Times New Roman" w:cs="Times New Roman"/>
          <w:sz w:val="24"/>
          <w:szCs w:val="24"/>
          <w:lang w:val="en-US"/>
        </w:rPr>
        <w:lastRenderedPageBreak/>
        <w:t>inherited from the Puritan founders, those bulwarks of rights and liberties, who deserve the title of guardians of the Constitution, “the pestilential breath of faction may poison the fountains of justice.”</w:t>
      </w:r>
      <w:r w:rsidRPr="003E3D84">
        <w:rPr>
          <w:rStyle w:val="FootnoteReference"/>
          <w:rFonts w:ascii="Times New Roman" w:hAnsi="Times New Roman" w:cs="Times New Roman"/>
          <w:sz w:val="24"/>
          <w:szCs w:val="24"/>
          <w:lang w:val="en-US"/>
        </w:rPr>
        <w:footnoteReference w:id="90"/>
      </w:r>
      <w:r w:rsidRPr="003E3D84">
        <w:rPr>
          <w:rFonts w:ascii="Times New Roman" w:hAnsi="Times New Roman" w:cs="Times New Roman"/>
          <w:sz w:val="24"/>
          <w:szCs w:val="24"/>
          <w:lang w:val="en-US"/>
        </w:rPr>
        <w:t xml:space="preserve"> </w:t>
      </w:r>
    </w:p>
    <w:p w14:paraId="06C6C2F1" w14:textId="7227D7A6" w:rsidR="00560FB8" w:rsidRDefault="00560FB8" w:rsidP="00560FB8">
      <w:pPr>
        <w:spacing w:after="0" w:line="360" w:lineRule="auto"/>
        <w:ind w:firstLine="1134"/>
        <w:jc w:val="both"/>
        <w:rPr>
          <w:rFonts w:ascii="Times New Roman" w:hAnsi="Times New Roman" w:cs="Times New Roman"/>
          <w:sz w:val="24"/>
          <w:szCs w:val="24"/>
          <w:lang w:val="en-US"/>
        </w:rPr>
      </w:pPr>
      <w:r w:rsidRPr="003E3D84">
        <w:rPr>
          <w:rFonts w:ascii="Times New Roman" w:hAnsi="Times New Roman" w:cs="Times New Roman"/>
          <w:sz w:val="24"/>
          <w:szCs w:val="24"/>
          <w:lang w:val="en-US"/>
        </w:rPr>
        <w:t xml:space="preserve">Now, Joseph Story </w:t>
      </w:r>
      <w:r>
        <w:rPr>
          <w:rFonts w:ascii="Times New Roman" w:hAnsi="Times New Roman" w:cs="Times New Roman"/>
          <w:sz w:val="24"/>
          <w:szCs w:val="24"/>
          <w:lang w:val="en-US"/>
        </w:rPr>
        <w:t>was</w:t>
      </w:r>
      <w:r w:rsidRPr="003E3D84">
        <w:rPr>
          <w:rFonts w:ascii="Times New Roman" w:hAnsi="Times New Roman" w:cs="Times New Roman"/>
          <w:sz w:val="24"/>
          <w:szCs w:val="24"/>
          <w:lang w:val="en-US"/>
        </w:rPr>
        <w:t xml:space="preserve"> perfectly aware of the doctrinal precedents concerning this simile. Some pages after, he quotes one of the most respectful testimonies, William Blackstone. According to Blackstone, the king “is as the fountain of justice and general conservator of </w:t>
      </w:r>
      <w:r w:rsidRPr="00255352">
        <w:rPr>
          <w:rFonts w:ascii="Times New Roman" w:hAnsi="Times New Roman" w:cs="Times New Roman"/>
          <w:sz w:val="24"/>
          <w:szCs w:val="24"/>
          <w:lang w:val="en-US"/>
        </w:rPr>
        <w:t>the peace of the kingdom.” Blackstone moves quickly into unfolding the metaphor he just introduced to legally frame one of the king’s capacities.</w:t>
      </w:r>
    </w:p>
    <w:p w14:paraId="1231426A" w14:textId="77777777" w:rsidR="00560FB8" w:rsidRDefault="00560FB8" w:rsidP="00560FB8">
      <w:pPr>
        <w:spacing w:after="0" w:line="240" w:lineRule="auto"/>
        <w:ind w:left="2268"/>
        <w:jc w:val="both"/>
        <w:rPr>
          <w:rFonts w:ascii="Times New Roman" w:hAnsi="Times New Roman" w:cs="Times New Roman"/>
          <w:lang w:val="en-US"/>
        </w:rPr>
      </w:pPr>
      <w:r w:rsidRPr="004702C7">
        <w:rPr>
          <w:rFonts w:ascii="Times New Roman" w:hAnsi="Times New Roman" w:cs="Times New Roman"/>
          <w:lang w:val="en-US"/>
        </w:rPr>
        <w:t xml:space="preserve">By the fountain of </w:t>
      </w:r>
      <w:proofErr w:type="gramStart"/>
      <w:r w:rsidRPr="004702C7">
        <w:rPr>
          <w:rFonts w:ascii="Times New Roman" w:hAnsi="Times New Roman" w:cs="Times New Roman"/>
          <w:lang w:val="en-US"/>
        </w:rPr>
        <w:t>justice</w:t>
      </w:r>
      <w:proofErr w:type="gramEnd"/>
      <w:r w:rsidRPr="004702C7">
        <w:rPr>
          <w:rFonts w:ascii="Times New Roman" w:hAnsi="Times New Roman" w:cs="Times New Roman"/>
          <w:lang w:val="en-US"/>
        </w:rPr>
        <w:t xml:space="preserve"> the law does not mean the author or original, but only the distributor. Justice is not derived from the king, as from his free gift; but he is the steward of the public, to dispense it to whom it is due. He is not the spring, but the reservoir; from whence right and equity are conducted, by a thousand channels, to every individual. The original power of judicature, by the fundamental principles of society, is lodged in the society at large: but as it would be impracticable to render complete justice to every individual, by the people in their collective capacity, therefore every nation has committed that power to certain select magistrates, who with more ease and expedition can hear and determine complains; and in England this authority has immemorially ben exercised by the king or his substitutes.</w:t>
      </w:r>
      <w:r>
        <w:rPr>
          <w:rStyle w:val="FootnoteReference"/>
          <w:rFonts w:ascii="Times New Roman" w:hAnsi="Times New Roman" w:cs="Times New Roman"/>
          <w:lang w:val="en-US"/>
        </w:rPr>
        <w:footnoteReference w:id="91"/>
      </w:r>
    </w:p>
    <w:p w14:paraId="06CD8C17" w14:textId="77777777" w:rsidR="00560FB8" w:rsidRPr="004702C7" w:rsidRDefault="00560FB8" w:rsidP="00560FB8">
      <w:pPr>
        <w:spacing w:after="0" w:line="240" w:lineRule="auto"/>
        <w:ind w:left="2268"/>
        <w:jc w:val="both"/>
        <w:rPr>
          <w:rFonts w:ascii="Times New Roman" w:hAnsi="Times New Roman" w:cs="Times New Roman"/>
          <w:lang w:val="en-US"/>
        </w:rPr>
      </w:pPr>
    </w:p>
    <w:p w14:paraId="16840EF2" w14:textId="1F7F7086" w:rsidR="00560FB8" w:rsidRPr="004702C7" w:rsidRDefault="00560FB8" w:rsidP="00141CA8">
      <w:pPr>
        <w:spacing w:after="0" w:line="360" w:lineRule="auto"/>
        <w:ind w:firstLine="1134"/>
        <w:jc w:val="both"/>
        <w:rPr>
          <w:rFonts w:ascii="Times New Roman" w:hAnsi="Times New Roman" w:cs="Times New Roman"/>
          <w:sz w:val="24"/>
          <w:szCs w:val="24"/>
          <w:lang w:val="en-US"/>
        </w:rPr>
      </w:pPr>
      <w:r w:rsidRPr="004702C7">
        <w:rPr>
          <w:rFonts w:ascii="Times New Roman" w:hAnsi="Times New Roman" w:cs="Times New Roman"/>
          <w:sz w:val="24"/>
          <w:szCs w:val="24"/>
          <w:lang w:val="en-US"/>
        </w:rPr>
        <w:t xml:space="preserve">That Joseph Story is dressing the judge </w:t>
      </w:r>
      <w:r w:rsidR="00D423CE">
        <w:rPr>
          <w:rFonts w:ascii="Times New Roman" w:hAnsi="Times New Roman" w:cs="Times New Roman"/>
          <w:sz w:val="24"/>
          <w:szCs w:val="24"/>
          <w:lang w:val="en-US"/>
        </w:rPr>
        <w:t>in</w:t>
      </w:r>
      <w:r w:rsidR="00D423CE" w:rsidRPr="004702C7">
        <w:rPr>
          <w:rFonts w:ascii="Times New Roman" w:hAnsi="Times New Roman" w:cs="Times New Roman"/>
          <w:sz w:val="24"/>
          <w:szCs w:val="24"/>
          <w:lang w:val="en-US"/>
        </w:rPr>
        <w:t xml:space="preserve"> </w:t>
      </w:r>
      <w:r w:rsidRPr="004702C7">
        <w:rPr>
          <w:rFonts w:ascii="Times New Roman" w:hAnsi="Times New Roman" w:cs="Times New Roman"/>
          <w:sz w:val="24"/>
          <w:szCs w:val="24"/>
          <w:lang w:val="en-US"/>
        </w:rPr>
        <w:t xml:space="preserve">royal robes is, I believe, beyond doubt. </w:t>
      </w:r>
      <w:r w:rsidR="00D423CE">
        <w:rPr>
          <w:rFonts w:ascii="Times New Roman" w:hAnsi="Times New Roman" w:cs="Times New Roman"/>
          <w:sz w:val="24"/>
          <w:szCs w:val="24"/>
          <w:lang w:val="en-US"/>
        </w:rPr>
        <w:t>H</w:t>
      </w:r>
      <w:r w:rsidRPr="004702C7">
        <w:rPr>
          <w:rFonts w:ascii="Times New Roman" w:hAnsi="Times New Roman" w:cs="Times New Roman"/>
          <w:sz w:val="24"/>
          <w:szCs w:val="24"/>
          <w:lang w:val="en-US"/>
        </w:rPr>
        <w:t xml:space="preserve">owever, what is perhaps most interesting comes into view when we consider one most probable antecedent to this semantic pattern, the organization of the relationship between fountain and spring, king and society, judges and “We, the people.” We read in the English of John Allen’s 1813 American translation of John Calvin’s </w:t>
      </w:r>
      <w:proofErr w:type="spellStart"/>
      <w:r w:rsidRPr="004702C7">
        <w:rPr>
          <w:rFonts w:ascii="Times New Roman" w:hAnsi="Times New Roman" w:cs="Times New Roman"/>
          <w:i/>
          <w:iCs/>
          <w:sz w:val="24"/>
          <w:szCs w:val="24"/>
          <w:lang w:val="en-US"/>
        </w:rPr>
        <w:t>Institutio</w:t>
      </w:r>
      <w:proofErr w:type="spellEnd"/>
      <w:r w:rsidRPr="004702C7">
        <w:rPr>
          <w:rFonts w:ascii="Times New Roman" w:hAnsi="Times New Roman" w:cs="Times New Roman"/>
          <w:i/>
          <w:iCs/>
          <w:sz w:val="24"/>
          <w:szCs w:val="24"/>
          <w:lang w:val="en-US"/>
        </w:rPr>
        <w:t xml:space="preserve"> </w:t>
      </w:r>
      <w:proofErr w:type="spellStart"/>
      <w:r w:rsidRPr="004702C7">
        <w:rPr>
          <w:rFonts w:ascii="Times New Roman" w:hAnsi="Times New Roman" w:cs="Times New Roman"/>
          <w:i/>
          <w:iCs/>
          <w:sz w:val="24"/>
          <w:szCs w:val="24"/>
          <w:lang w:val="en-US"/>
        </w:rPr>
        <w:t>Christianae</w:t>
      </w:r>
      <w:proofErr w:type="spellEnd"/>
      <w:r w:rsidRPr="004702C7">
        <w:rPr>
          <w:rFonts w:ascii="Times New Roman" w:hAnsi="Times New Roman" w:cs="Times New Roman"/>
          <w:i/>
          <w:iCs/>
          <w:sz w:val="24"/>
          <w:szCs w:val="24"/>
          <w:lang w:val="en-US"/>
        </w:rPr>
        <w:t xml:space="preserve"> </w:t>
      </w:r>
      <w:proofErr w:type="spellStart"/>
      <w:r w:rsidRPr="004702C7">
        <w:rPr>
          <w:rFonts w:ascii="Times New Roman" w:hAnsi="Times New Roman" w:cs="Times New Roman"/>
          <w:i/>
          <w:iCs/>
          <w:sz w:val="24"/>
          <w:szCs w:val="24"/>
          <w:lang w:val="en-US"/>
        </w:rPr>
        <w:t>Religionis</w:t>
      </w:r>
      <w:proofErr w:type="spellEnd"/>
      <w:r w:rsidRPr="004702C7">
        <w:rPr>
          <w:rFonts w:ascii="Times New Roman" w:hAnsi="Times New Roman" w:cs="Times New Roman"/>
          <w:sz w:val="24"/>
          <w:szCs w:val="24"/>
          <w:lang w:val="en-US"/>
        </w:rPr>
        <w:t>, apropos of the sacrament of the Lord’s supper, the following:</w:t>
      </w:r>
    </w:p>
    <w:p w14:paraId="633E236B" w14:textId="77777777" w:rsidR="00560FB8" w:rsidRDefault="00560FB8" w:rsidP="00560FB8">
      <w:pPr>
        <w:spacing w:after="0" w:line="240" w:lineRule="auto"/>
        <w:ind w:left="2268"/>
        <w:jc w:val="both"/>
        <w:rPr>
          <w:rFonts w:ascii="Times New Roman" w:hAnsi="Times New Roman" w:cs="Times New Roman"/>
          <w:lang w:val="en-US"/>
        </w:rPr>
      </w:pPr>
      <w:r w:rsidRPr="00662E2E">
        <w:rPr>
          <w:rFonts w:ascii="Times New Roman" w:hAnsi="Times New Roman" w:cs="Times New Roman"/>
          <w:lang w:val="en-US"/>
        </w:rPr>
        <w:t xml:space="preserve">For, as the water of a fountain is sometimes drunk, sometimes drawn, and sometimes conveyed in furrows for the irrigation of lands; yet the fountain does not derive such an abundance for so many uses from itself, but from the spring which is perpetually flowing to furnish it with fresh supplies: </w:t>
      </w:r>
      <w:proofErr w:type="gramStart"/>
      <w:r w:rsidRPr="00662E2E">
        <w:rPr>
          <w:rFonts w:ascii="Times New Roman" w:hAnsi="Times New Roman" w:cs="Times New Roman"/>
          <w:lang w:val="en-US"/>
        </w:rPr>
        <w:t>so</w:t>
      </w:r>
      <w:proofErr w:type="gramEnd"/>
      <w:r w:rsidRPr="00662E2E">
        <w:rPr>
          <w:rFonts w:ascii="Times New Roman" w:hAnsi="Times New Roman" w:cs="Times New Roman"/>
          <w:lang w:val="en-US"/>
        </w:rPr>
        <w:t xml:space="preserve"> the flesh of Christ is like a rich and inexhaustible fountain, which receives the life flowing from the Divinity, and conveys it to us.</w:t>
      </w:r>
      <w:r>
        <w:rPr>
          <w:rStyle w:val="FootnoteReference"/>
          <w:rFonts w:ascii="Times New Roman" w:hAnsi="Times New Roman" w:cs="Times New Roman"/>
          <w:lang w:val="en-US"/>
        </w:rPr>
        <w:footnoteReference w:id="92"/>
      </w:r>
    </w:p>
    <w:p w14:paraId="61E1A0FA" w14:textId="77777777" w:rsidR="00560FB8" w:rsidRPr="00662E2E" w:rsidRDefault="00560FB8" w:rsidP="00560FB8">
      <w:pPr>
        <w:spacing w:after="0" w:line="240" w:lineRule="auto"/>
        <w:ind w:left="2268"/>
        <w:jc w:val="both"/>
        <w:rPr>
          <w:rFonts w:ascii="Times New Roman" w:hAnsi="Times New Roman" w:cs="Times New Roman"/>
          <w:lang w:val="en-US"/>
        </w:rPr>
      </w:pPr>
    </w:p>
    <w:p w14:paraId="27E9803F" w14:textId="37BD41EC" w:rsidR="00560FB8" w:rsidRDefault="008F3B95" w:rsidP="00560FB8">
      <w:pPr>
        <w:spacing w:after="0" w:line="360" w:lineRule="auto"/>
        <w:ind w:firstLine="1134"/>
        <w:jc w:val="both"/>
        <w:rPr>
          <w:rFonts w:ascii="Times New Roman" w:hAnsi="Times New Roman" w:cs="Times New Roman"/>
          <w:sz w:val="24"/>
          <w:szCs w:val="24"/>
          <w:lang w:val="en-US"/>
        </w:rPr>
      </w:pPr>
      <w:r>
        <w:rPr>
          <w:rFonts w:ascii="Times New Roman" w:hAnsi="Times New Roman" w:cs="Times New Roman"/>
          <w:sz w:val="24"/>
          <w:szCs w:val="24"/>
          <w:lang w:val="en-US"/>
        </w:rPr>
        <w:t>Furthermore, t</w:t>
      </w:r>
      <w:r w:rsidR="00560FB8" w:rsidRPr="004702C7">
        <w:rPr>
          <w:rFonts w:ascii="Times New Roman" w:hAnsi="Times New Roman" w:cs="Times New Roman"/>
          <w:sz w:val="24"/>
          <w:szCs w:val="24"/>
          <w:lang w:val="en-US"/>
        </w:rPr>
        <w:t>here is sufficient ground, I believe, to propose Story envisioned the Constitution and its exposition in the kinds and ways of the two protestant sacraments, baptism and the Lord’s supper. What other most solemn occasions he would have literally</w:t>
      </w:r>
      <w:r w:rsidR="00560FB8">
        <w:rPr>
          <w:rFonts w:ascii="Times New Roman" w:hAnsi="Times New Roman" w:cs="Times New Roman"/>
          <w:sz w:val="24"/>
          <w:szCs w:val="24"/>
          <w:lang w:val="en-US"/>
        </w:rPr>
        <w:t xml:space="preserve"> </w:t>
      </w:r>
      <w:r w:rsidR="00560FB8" w:rsidRPr="004702C7">
        <w:rPr>
          <w:rFonts w:ascii="Times New Roman" w:hAnsi="Times New Roman" w:cs="Times New Roman"/>
          <w:sz w:val="24"/>
          <w:szCs w:val="24"/>
          <w:lang w:val="en-US"/>
        </w:rPr>
        <w:lastRenderedPageBreak/>
        <w:t>at hand, after all, being the son of a religious, but liberal man, “an Arminian in principle,” and the nephew of the minister of his church, “a warm, and, indeed, over-zealous Calvinist”?</w:t>
      </w:r>
      <w:r w:rsidR="00560FB8">
        <w:rPr>
          <w:rStyle w:val="FootnoteReference"/>
          <w:rFonts w:ascii="Times New Roman" w:hAnsi="Times New Roman" w:cs="Times New Roman"/>
          <w:sz w:val="24"/>
          <w:szCs w:val="24"/>
          <w:lang w:val="en-US"/>
        </w:rPr>
        <w:footnoteReference w:id="93"/>
      </w:r>
      <w:r w:rsidR="00560FB8" w:rsidRPr="004702C7">
        <w:rPr>
          <w:rFonts w:ascii="Times New Roman" w:hAnsi="Times New Roman" w:cs="Times New Roman"/>
          <w:sz w:val="24"/>
          <w:szCs w:val="24"/>
          <w:lang w:val="en-US"/>
        </w:rPr>
        <w:t xml:space="preserve"> Just as baptism has as its design the redemption of sin, the framing of the Constitution has it</w:t>
      </w:r>
      <w:r w:rsidR="00D423CE">
        <w:rPr>
          <w:rFonts w:ascii="Times New Roman" w:hAnsi="Times New Roman" w:cs="Times New Roman"/>
          <w:sz w:val="24"/>
          <w:szCs w:val="24"/>
          <w:lang w:val="en-US"/>
        </w:rPr>
        <w:t>s intent in</w:t>
      </w:r>
      <w:r w:rsidR="00560FB8" w:rsidRPr="004702C7">
        <w:rPr>
          <w:rFonts w:ascii="Times New Roman" w:hAnsi="Times New Roman" w:cs="Times New Roman"/>
          <w:sz w:val="24"/>
          <w:szCs w:val="24"/>
          <w:lang w:val="en-US"/>
        </w:rPr>
        <w:t xml:space="preserve"> superseding the old confederation. The Lord’s supper testifies, through the flesh and blood of Christ the promise of immortality, our participation in the kingdom to come.</w:t>
      </w:r>
      <w:r w:rsidR="00560FB8">
        <w:rPr>
          <w:rStyle w:val="FootnoteReference"/>
          <w:rFonts w:ascii="Times New Roman" w:hAnsi="Times New Roman" w:cs="Times New Roman"/>
          <w:sz w:val="24"/>
          <w:szCs w:val="24"/>
          <w:lang w:val="en-US"/>
        </w:rPr>
        <w:footnoteReference w:id="94"/>
      </w:r>
      <w:r w:rsidR="00560FB8" w:rsidRPr="004702C7">
        <w:rPr>
          <w:rFonts w:ascii="Times New Roman" w:hAnsi="Times New Roman" w:cs="Times New Roman"/>
          <w:sz w:val="24"/>
          <w:szCs w:val="24"/>
          <w:lang w:val="en-US"/>
        </w:rPr>
        <w:t xml:space="preserve"> The exposition of the Constitution, through the flesh and blood of the Court and its visible saints, preserves the people’s rights, property, and liberty</w:t>
      </w:r>
      <w:r>
        <w:rPr>
          <w:rFonts w:ascii="Times New Roman" w:hAnsi="Times New Roman" w:cs="Times New Roman"/>
          <w:sz w:val="24"/>
          <w:szCs w:val="24"/>
          <w:lang w:val="en-US"/>
        </w:rPr>
        <w:t>.</w:t>
      </w:r>
      <w:r w:rsidR="00560FB8">
        <w:rPr>
          <w:rStyle w:val="FootnoteReference"/>
          <w:rFonts w:ascii="Times New Roman" w:hAnsi="Times New Roman" w:cs="Times New Roman"/>
          <w:sz w:val="24"/>
          <w:szCs w:val="24"/>
          <w:lang w:val="en-US"/>
        </w:rPr>
        <w:footnoteReference w:id="95"/>
      </w:r>
      <w:r>
        <w:rPr>
          <w:rFonts w:ascii="Times New Roman" w:hAnsi="Times New Roman" w:cs="Times New Roman"/>
          <w:sz w:val="24"/>
          <w:szCs w:val="24"/>
          <w:lang w:val="en-US"/>
        </w:rPr>
        <w:t xml:space="preserve"> Indeed, it would be</w:t>
      </w:r>
      <w:r w:rsidR="00560FB8" w:rsidRPr="004702C7">
        <w:rPr>
          <w:rFonts w:ascii="Times New Roman" w:hAnsi="Times New Roman" w:cs="Times New Roman"/>
          <w:sz w:val="24"/>
          <w:szCs w:val="24"/>
          <w:lang w:val="en-US"/>
        </w:rPr>
        <w:t xml:space="preserve"> on this account “that our law is justly deemed certain, and founded in permanent principles</w:t>
      </w:r>
      <w:r w:rsidR="004F209A">
        <w:rPr>
          <w:rFonts w:ascii="Times New Roman" w:hAnsi="Times New Roman" w:cs="Times New Roman"/>
          <w:sz w:val="24"/>
          <w:szCs w:val="24"/>
          <w:lang w:val="en-US"/>
        </w:rPr>
        <w:t>.</w:t>
      </w:r>
      <w:r w:rsidR="00560FB8" w:rsidRPr="004702C7">
        <w:rPr>
          <w:rFonts w:ascii="Times New Roman" w:hAnsi="Times New Roman" w:cs="Times New Roman"/>
          <w:sz w:val="24"/>
          <w:szCs w:val="24"/>
          <w:lang w:val="en-US"/>
        </w:rPr>
        <w:t>”</w:t>
      </w:r>
      <w:r w:rsidR="00560FB8">
        <w:rPr>
          <w:rStyle w:val="FootnoteReference"/>
          <w:rFonts w:ascii="Times New Roman" w:hAnsi="Times New Roman" w:cs="Times New Roman"/>
          <w:sz w:val="24"/>
          <w:szCs w:val="24"/>
          <w:lang w:val="en-US"/>
        </w:rPr>
        <w:footnoteReference w:id="96"/>
      </w:r>
      <w:r w:rsidR="00560FB8" w:rsidRPr="004702C7">
        <w:rPr>
          <w:rFonts w:ascii="Times New Roman" w:hAnsi="Times New Roman" w:cs="Times New Roman"/>
          <w:sz w:val="24"/>
          <w:szCs w:val="24"/>
          <w:lang w:val="en-US"/>
        </w:rPr>
        <w:t xml:space="preserve"> </w:t>
      </w:r>
      <w:r w:rsidR="004F209A">
        <w:rPr>
          <w:rFonts w:ascii="Times New Roman" w:hAnsi="Times New Roman" w:cs="Times New Roman"/>
          <w:sz w:val="24"/>
          <w:szCs w:val="24"/>
          <w:lang w:val="en-US"/>
        </w:rPr>
        <w:t>As such, it accords</w:t>
      </w:r>
      <w:r w:rsidR="00560FB8" w:rsidRPr="004702C7">
        <w:rPr>
          <w:rFonts w:ascii="Times New Roman" w:hAnsi="Times New Roman" w:cs="Times New Roman"/>
          <w:sz w:val="24"/>
          <w:szCs w:val="24"/>
          <w:lang w:val="en-US"/>
        </w:rPr>
        <w:t xml:space="preserve"> with the Constitution’s rephrased intention: “to endure through a long lapse of ages, the events of which were locked up in the inscrutable purposes of Providence.”</w:t>
      </w:r>
      <w:r w:rsidR="00560FB8">
        <w:rPr>
          <w:rStyle w:val="FootnoteReference"/>
          <w:rFonts w:ascii="Times New Roman" w:hAnsi="Times New Roman" w:cs="Times New Roman"/>
          <w:sz w:val="24"/>
          <w:szCs w:val="24"/>
          <w:lang w:val="en-US"/>
        </w:rPr>
        <w:footnoteReference w:id="97"/>
      </w:r>
      <w:r w:rsidR="00560FB8" w:rsidRPr="004702C7">
        <w:rPr>
          <w:rFonts w:ascii="Times New Roman" w:hAnsi="Times New Roman" w:cs="Times New Roman"/>
          <w:sz w:val="24"/>
          <w:szCs w:val="24"/>
          <w:lang w:val="en-US"/>
        </w:rPr>
        <w:t xml:space="preserve"> </w:t>
      </w:r>
    </w:p>
    <w:p w14:paraId="43E9BA2B" w14:textId="1F00F8C9" w:rsidR="00560FB8" w:rsidRDefault="00560FB8" w:rsidP="00560FB8">
      <w:pPr>
        <w:spacing w:after="0" w:line="360" w:lineRule="auto"/>
        <w:ind w:firstLine="1134"/>
        <w:jc w:val="both"/>
        <w:rPr>
          <w:rFonts w:ascii="Times New Roman" w:hAnsi="Times New Roman" w:cs="Times New Roman"/>
          <w:sz w:val="24"/>
          <w:szCs w:val="24"/>
          <w:lang w:val="en-US"/>
        </w:rPr>
      </w:pPr>
      <w:r w:rsidRPr="004702C7">
        <w:rPr>
          <w:rFonts w:ascii="Times New Roman" w:hAnsi="Times New Roman" w:cs="Times New Roman"/>
          <w:sz w:val="24"/>
          <w:szCs w:val="24"/>
          <w:lang w:val="en-US"/>
        </w:rPr>
        <w:t>Here, the material, temporal, and social dimensions of the semantics of constitutional adjudication overlap, intertwist, and convolute into rather tight knots. In other words, constitutional adjudication becomes evident.</w:t>
      </w:r>
      <w:r>
        <w:rPr>
          <w:rFonts w:ascii="Times New Roman" w:hAnsi="Times New Roman" w:cs="Times New Roman"/>
          <w:sz w:val="24"/>
          <w:szCs w:val="24"/>
          <w:lang w:val="en-US"/>
        </w:rPr>
        <w:t xml:space="preserve"> </w:t>
      </w:r>
      <w:r w:rsidRPr="00A96E8E">
        <w:rPr>
          <w:rFonts w:ascii="Times New Roman" w:hAnsi="Times New Roman" w:cs="Times New Roman"/>
          <w:sz w:val="24"/>
          <w:szCs w:val="24"/>
          <w:lang w:val="en-US"/>
        </w:rPr>
        <w:t>As the same visual element to two distinct sacraments, the Constitution has a</w:t>
      </w:r>
      <w:r>
        <w:rPr>
          <w:rFonts w:ascii="Times New Roman" w:hAnsi="Times New Roman" w:cs="Times New Roman"/>
          <w:sz w:val="24"/>
          <w:szCs w:val="24"/>
          <w:lang w:val="en-US"/>
        </w:rPr>
        <w:t xml:space="preserve"> </w:t>
      </w:r>
      <w:r w:rsidRPr="00A96E8E">
        <w:rPr>
          <w:rFonts w:ascii="Times New Roman" w:hAnsi="Times New Roman" w:cs="Times New Roman"/>
          <w:sz w:val="24"/>
          <w:szCs w:val="24"/>
          <w:lang w:val="en-US"/>
        </w:rPr>
        <w:t>double design, connecting its framing to its construction. The metonymical relationship</w:t>
      </w:r>
      <w:r>
        <w:rPr>
          <w:rFonts w:ascii="Times New Roman" w:hAnsi="Times New Roman" w:cs="Times New Roman"/>
          <w:sz w:val="24"/>
          <w:szCs w:val="24"/>
          <w:lang w:val="en-US"/>
        </w:rPr>
        <w:t xml:space="preserve"> </w:t>
      </w:r>
      <w:r w:rsidRPr="00A96E8E">
        <w:rPr>
          <w:rFonts w:ascii="Times New Roman" w:hAnsi="Times New Roman" w:cs="Times New Roman"/>
          <w:sz w:val="24"/>
          <w:szCs w:val="24"/>
          <w:lang w:val="en-US"/>
        </w:rPr>
        <w:t xml:space="preserve">between one and the other appears substantial to ensure the effect of </w:t>
      </w:r>
      <w:r>
        <w:rPr>
          <w:rFonts w:ascii="Times New Roman" w:hAnsi="Times New Roman" w:cs="Times New Roman"/>
          <w:sz w:val="24"/>
          <w:szCs w:val="24"/>
          <w:lang w:val="en-US"/>
        </w:rPr>
        <w:t>evidence</w:t>
      </w:r>
      <w:r w:rsidRPr="00A96E8E">
        <w:rPr>
          <w:rFonts w:ascii="Times New Roman" w:hAnsi="Times New Roman" w:cs="Times New Roman"/>
          <w:sz w:val="24"/>
          <w:szCs w:val="24"/>
          <w:lang w:val="en-US"/>
        </w:rPr>
        <w:t xml:space="preserve"> </w:t>
      </w:r>
      <w:r w:rsidR="00D423CE">
        <w:rPr>
          <w:rFonts w:ascii="Times New Roman" w:hAnsi="Times New Roman" w:cs="Times New Roman"/>
          <w:sz w:val="24"/>
          <w:szCs w:val="24"/>
          <w:lang w:val="en-US"/>
        </w:rPr>
        <w:t xml:space="preserve">on </w:t>
      </w:r>
      <w:r w:rsidRPr="00A96E8E">
        <w:rPr>
          <w:rFonts w:ascii="Times New Roman" w:hAnsi="Times New Roman" w:cs="Times New Roman"/>
          <w:sz w:val="24"/>
          <w:szCs w:val="24"/>
          <w:lang w:val="en-US"/>
        </w:rPr>
        <w:t>what the judicial opinion came to be in its appliance</w:t>
      </w:r>
      <w:r w:rsidR="00CF35C4">
        <w:rPr>
          <w:rFonts w:ascii="Times New Roman" w:hAnsi="Times New Roman" w:cs="Times New Roman"/>
          <w:sz w:val="24"/>
          <w:szCs w:val="24"/>
          <w:lang w:val="en-US"/>
        </w:rPr>
        <w:t xml:space="preserve">. It was also crucial to consolidate </w:t>
      </w:r>
      <w:r w:rsidRPr="00A96E8E">
        <w:rPr>
          <w:rFonts w:ascii="Times New Roman" w:hAnsi="Times New Roman" w:cs="Times New Roman"/>
          <w:sz w:val="24"/>
          <w:szCs w:val="24"/>
          <w:lang w:val="en-US"/>
        </w:rPr>
        <w:t xml:space="preserve">the </w:t>
      </w:r>
      <w:r>
        <w:rPr>
          <w:rFonts w:ascii="Times New Roman" w:hAnsi="Times New Roman" w:cs="Times New Roman"/>
          <w:sz w:val="24"/>
          <w:szCs w:val="24"/>
          <w:lang w:val="en-US"/>
        </w:rPr>
        <w:t xml:space="preserve">scripts and schemes of action </w:t>
      </w:r>
      <w:r w:rsidRPr="00A96E8E">
        <w:rPr>
          <w:rFonts w:ascii="Times New Roman" w:hAnsi="Times New Roman" w:cs="Times New Roman"/>
          <w:sz w:val="24"/>
          <w:szCs w:val="24"/>
          <w:lang w:val="en-US"/>
        </w:rPr>
        <w:t xml:space="preserve">delineating how </w:t>
      </w:r>
      <w:r w:rsidR="00CF35C4">
        <w:rPr>
          <w:rFonts w:ascii="Times New Roman" w:hAnsi="Times New Roman" w:cs="Times New Roman"/>
          <w:sz w:val="24"/>
          <w:szCs w:val="24"/>
          <w:lang w:val="en-US"/>
        </w:rPr>
        <w:t>the judicial opinion</w:t>
      </w:r>
      <w:r w:rsidRPr="00A96E8E">
        <w:rPr>
          <w:rFonts w:ascii="Times New Roman" w:hAnsi="Times New Roman" w:cs="Times New Roman"/>
          <w:sz w:val="24"/>
          <w:szCs w:val="24"/>
          <w:lang w:val="en-US"/>
        </w:rPr>
        <w:t xml:space="preserve"> should be uttered, that is, performed, and its referentiality, </w:t>
      </w:r>
      <w:r w:rsidR="00D423CE">
        <w:rPr>
          <w:rFonts w:ascii="Times New Roman" w:hAnsi="Times New Roman" w:cs="Times New Roman"/>
          <w:sz w:val="24"/>
          <w:szCs w:val="24"/>
          <w:lang w:val="en-US"/>
        </w:rPr>
        <w:t xml:space="preserve">and </w:t>
      </w:r>
      <w:r w:rsidRPr="00A96E8E">
        <w:rPr>
          <w:rFonts w:ascii="Times New Roman" w:hAnsi="Times New Roman" w:cs="Times New Roman"/>
          <w:sz w:val="24"/>
          <w:szCs w:val="24"/>
          <w:lang w:val="en-US"/>
        </w:rPr>
        <w:t>how it</w:t>
      </w:r>
      <w:r>
        <w:rPr>
          <w:rFonts w:ascii="Times New Roman" w:hAnsi="Times New Roman" w:cs="Times New Roman"/>
          <w:sz w:val="24"/>
          <w:szCs w:val="24"/>
          <w:lang w:val="en-US"/>
        </w:rPr>
        <w:t xml:space="preserve"> </w:t>
      </w:r>
      <w:r w:rsidRPr="00A96E8E">
        <w:rPr>
          <w:rFonts w:ascii="Times New Roman" w:hAnsi="Times New Roman" w:cs="Times New Roman"/>
          <w:sz w:val="24"/>
          <w:szCs w:val="24"/>
          <w:lang w:val="en-US"/>
        </w:rPr>
        <w:t>frames and explains information when communicating it.</w:t>
      </w:r>
    </w:p>
    <w:p w14:paraId="7897CFD2" w14:textId="70D0C0F6" w:rsidR="00560FB8" w:rsidRPr="00CC0470" w:rsidRDefault="00560FB8" w:rsidP="00560FB8">
      <w:pPr>
        <w:spacing w:after="0" w:line="360" w:lineRule="auto"/>
        <w:ind w:firstLine="1134"/>
        <w:jc w:val="both"/>
        <w:rPr>
          <w:rFonts w:ascii="Times New Roman" w:hAnsi="Times New Roman" w:cs="Times New Roman"/>
          <w:sz w:val="24"/>
          <w:szCs w:val="24"/>
          <w:lang w:val="en-US"/>
        </w:rPr>
      </w:pPr>
      <w:r>
        <w:rPr>
          <w:rFonts w:ascii="Times New Roman" w:hAnsi="Times New Roman" w:cs="Times New Roman"/>
          <w:sz w:val="24"/>
          <w:szCs w:val="24"/>
          <w:lang w:val="en-US"/>
        </w:rPr>
        <w:t>W</w:t>
      </w:r>
      <w:r w:rsidRPr="00CC0470">
        <w:rPr>
          <w:rFonts w:ascii="Times New Roman" w:hAnsi="Times New Roman" w:cs="Times New Roman"/>
          <w:sz w:val="24"/>
          <w:szCs w:val="24"/>
          <w:lang w:val="en-US"/>
        </w:rPr>
        <w:t>hat happens, as a Justice delivers the opinion for the Court, is to make</w:t>
      </w:r>
      <w:r>
        <w:rPr>
          <w:rFonts w:ascii="Times New Roman" w:hAnsi="Times New Roman" w:cs="Times New Roman"/>
          <w:sz w:val="24"/>
          <w:szCs w:val="24"/>
          <w:lang w:val="en-US"/>
        </w:rPr>
        <w:t xml:space="preserve"> </w:t>
      </w:r>
      <w:r w:rsidRPr="00CC0470">
        <w:rPr>
          <w:rFonts w:ascii="Times New Roman" w:hAnsi="Times New Roman" w:cs="Times New Roman"/>
          <w:sz w:val="24"/>
          <w:szCs w:val="24"/>
          <w:lang w:val="en-US"/>
        </w:rPr>
        <w:t>us aspire “to that unity which [the People] enjoins upon us in [its]Supper; and as it makes</w:t>
      </w:r>
      <w:r>
        <w:rPr>
          <w:rFonts w:ascii="Times New Roman" w:hAnsi="Times New Roman" w:cs="Times New Roman"/>
          <w:sz w:val="24"/>
          <w:szCs w:val="24"/>
          <w:lang w:val="en-US"/>
        </w:rPr>
        <w:t xml:space="preserve"> </w:t>
      </w:r>
      <w:r w:rsidRPr="00CC0470">
        <w:rPr>
          <w:rFonts w:ascii="Times New Roman" w:hAnsi="Times New Roman" w:cs="Times New Roman"/>
          <w:sz w:val="24"/>
          <w:szCs w:val="24"/>
          <w:lang w:val="en-US"/>
        </w:rPr>
        <w:t>us all be one in [it]self, so it should be our desire that we may all have one mind, one</w:t>
      </w:r>
      <w:r>
        <w:rPr>
          <w:rFonts w:ascii="Times New Roman" w:hAnsi="Times New Roman" w:cs="Times New Roman"/>
          <w:sz w:val="24"/>
          <w:szCs w:val="24"/>
          <w:lang w:val="en-US"/>
        </w:rPr>
        <w:t xml:space="preserve"> </w:t>
      </w:r>
      <w:r w:rsidRPr="00CC0470">
        <w:rPr>
          <w:rFonts w:ascii="Times New Roman" w:hAnsi="Times New Roman" w:cs="Times New Roman"/>
          <w:sz w:val="24"/>
          <w:szCs w:val="24"/>
          <w:lang w:val="en-US"/>
        </w:rPr>
        <w:t>heat, and one tongue.”</w:t>
      </w:r>
      <w:r>
        <w:rPr>
          <w:rStyle w:val="FootnoteReference"/>
          <w:rFonts w:ascii="Times New Roman" w:hAnsi="Times New Roman" w:cs="Times New Roman"/>
          <w:sz w:val="24"/>
          <w:szCs w:val="24"/>
          <w:lang w:val="en-US"/>
        </w:rPr>
        <w:footnoteReference w:id="98"/>
      </w:r>
      <w:r>
        <w:rPr>
          <w:rFonts w:ascii="Times New Roman" w:hAnsi="Times New Roman" w:cs="Times New Roman"/>
          <w:sz w:val="24"/>
          <w:szCs w:val="24"/>
          <w:lang w:val="en-US"/>
        </w:rPr>
        <w:t xml:space="preserve"> </w:t>
      </w:r>
      <w:r w:rsidRPr="00CC0470">
        <w:rPr>
          <w:rFonts w:ascii="Times New Roman" w:hAnsi="Times New Roman" w:cs="Times New Roman"/>
          <w:sz w:val="24"/>
          <w:szCs w:val="24"/>
          <w:lang w:val="en-US"/>
        </w:rPr>
        <w:t xml:space="preserve">What Story does in his </w:t>
      </w:r>
      <w:r w:rsidRPr="00CC0470">
        <w:rPr>
          <w:rFonts w:ascii="Times New Roman" w:hAnsi="Times New Roman" w:cs="Times New Roman"/>
          <w:i/>
          <w:iCs/>
          <w:sz w:val="24"/>
          <w:szCs w:val="24"/>
          <w:lang w:val="en-US"/>
        </w:rPr>
        <w:t>Commentary</w:t>
      </w:r>
      <w:r w:rsidRPr="00CC0470">
        <w:rPr>
          <w:rFonts w:ascii="Times New Roman" w:hAnsi="Times New Roman" w:cs="Times New Roman"/>
          <w:sz w:val="24"/>
          <w:szCs w:val="24"/>
          <w:lang w:val="en-US"/>
        </w:rPr>
        <w:t xml:space="preserve"> is to cut</w:t>
      </w:r>
      <w:r w:rsidR="00D423CE">
        <w:rPr>
          <w:rFonts w:ascii="Times New Roman" w:hAnsi="Times New Roman" w:cs="Times New Roman"/>
          <w:sz w:val="24"/>
          <w:szCs w:val="24"/>
          <w:lang w:val="en-US"/>
        </w:rPr>
        <w:t xml:space="preserve"> </w:t>
      </w:r>
      <w:r w:rsidRPr="00CC0470">
        <w:rPr>
          <w:rFonts w:ascii="Times New Roman" w:hAnsi="Times New Roman" w:cs="Times New Roman"/>
          <w:sz w:val="24"/>
          <w:szCs w:val="24"/>
          <w:lang w:val="en-US"/>
        </w:rPr>
        <w:t>across this metonymical</w:t>
      </w:r>
    </w:p>
    <w:p w14:paraId="730CA113" w14:textId="77777777" w:rsidR="00560FB8" w:rsidRPr="00CC0470" w:rsidRDefault="00560FB8" w:rsidP="00560FB8">
      <w:pPr>
        <w:spacing w:after="0" w:line="360" w:lineRule="auto"/>
        <w:jc w:val="both"/>
        <w:rPr>
          <w:rFonts w:ascii="Times New Roman" w:hAnsi="Times New Roman" w:cs="Times New Roman"/>
          <w:sz w:val="24"/>
          <w:szCs w:val="24"/>
          <w:lang w:val="en-US"/>
        </w:rPr>
      </w:pPr>
      <w:r w:rsidRPr="00CC0470">
        <w:rPr>
          <w:rFonts w:ascii="Times New Roman" w:hAnsi="Times New Roman" w:cs="Times New Roman"/>
          <w:sz w:val="24"/>
          <w:szCs w:val="24"/>
          <w:lang w:val="en-US"/>
        </w:rPr>
        <w:t>condensation, confirming it by the way of typology, in the sense this word attains in the</w:t>
      </w:r>
    </w:p>
    <w:p w14:paraId="468C446C" w14:textId="4424D892" w:rsidR="00560FB8" w:rsidRPr="00CC0470" w:rsidRDefault="00560FB8" w:rsidP="00560FB8">
      <w:pPr>
        <w:spacing w:after="0" w:line="360" w:lineRule="auto"/>
        <w:jc w:val="both"/>
        <w:rPr>
          <w:rFonts w:ascii="Times New Roman" w:hAnsi="Times New Roman" w:cs="Times New Roman"/>
          <w:sz w:val="24"/>
          <w:szCs w:val="24"/>
          <w:lang w:val="en-US"/>
        </w:rPr>
      </w:pPr>
      <w:r w:rsidRPr="00CC0470">
        <w:rPr>
          <w:rFonts w:ascii="Times New Roman" w:hAnsi="Times New Roman" w:cs="Times New Roman"/>
          <w:sz w:val="24"/>
          <w:szCs w:val="24"/>
          <w:lang w:val="en-US"/>
        </w:rPr>
        <w:t>tradition of scriptural exegesis, where typology means the method for establishing</w:t>
      </w:r>
      <w:r>
        <w:rPr>
          <w:rFonts w:ascii="Times New Roman" w:hAnsi="Times New Roman" w:cs="Times New Roman"/>
          <w:sz w:val="24"/>
          <w:szCs w:val="24"/>
          <w:lang w:val="en-US"/>
        </w:rPr>
        <w:t xml:space="preserve"> </w:t>
      </w:r>
      <w:r w:rsidRPr="00CC0470">
        <w:rPr>
          <w:rFonts w:ascii="Times New Roman" w:hAnsi="Times New Roman" w:cs="Times New Roman"/>
          <w:sz w:val="24"/>
          <w:szCs w:val="24"/>
          <w:lang w:val="en-US"/>
        </w:rPr>
        <w:t>historical connections between certain events, persons</w:t>
      </w:r>
      <w:r w:rsidR="00D423CE">
        <w:rPr>
          <w:rFonts w:ascii="Times New Roman" w:hAnsi="Times New Roman" w:cs="Times New Roman"/>
          <w:sz w:val="24"/>
          <w:szCs w:val="24"/>
          <w:lang w:val="en-US"/>
        </w:rPr>
        <w:t>,</w:t>
      </w:r>
      <w:r w:rsidRPr="00CC0470">
        <w:rPr>
          <w:rFonts w:ascii="Times New Roman" w:hAnsi="Times New Roman" w:cs="Times New Roman"/>
          <w:sz w:val="24"/>
          <w:szCs w:val="24"/>
          <w:lang w:val="en-US"/>
        </w:rPr>
        <w:t xml:space="preserve"> or things in the Old and the New</w:t>
      </w:r>
      <w:r>
        <w:rPr>
          <w:rFonts w:ascii="Times New Roman" w:hAnsi="Times New Roman" w:cs="Times New Roman"/>
          <w:sz w:val="24"/>
          <w:szCs w:val="24"/>
          <w:lang w:val="en-US"/>
        </w:rPr>
        <w:t xml:space="preserve"> </w:t>
      </w:r>
      <w:r w:rsidRPr="00CC0470">
        <w:rPr>
          <w:rFonts w:ascii="Times New Roman" w:hAnsi="Times New Roman" w:cs="Times New Roman"/>
          <w:sz w:val="24"/>
          <w:szCs w:val="24"/>
          <w:lang w:val="en-US"/>
        </w:rPr>
        <w:t>Testaments, or, in our case, the constitutional moment and the Constitution’s exposition.</w:t>
      </w:r>
    </w:p>
    <w:p w14:paraId="0E29BA14" w14:textId="5495441C" w:rsidR="00560FB8" w:rsidRPr="00CC0470" w:rsidRDefault="00560FB8" w:rsidP="00560FB8">
      <w:pPr>
        <w:spacing w:after="0" w:line="360" w:lineRule="auto"/>
        <w:ind w:firstLine="1134"/>
        <w:jc w:val="both"/>
        <w:rPr>
          <w:rFonts w:ascii="Times New Roman" w:hAnsi="Times New Roman" w:cs="Times New Roman"/>
          <w:sz w:val="24"/>
          <w:szCs w:val="24"/>
          <w:lang w:val="en-US"/>
        </w:rPr>
      </w:pPr>
      <w:r w:rsidRPr="00CC0470">
        <w:rPr>
          <w:rFonts w:ascii="Times New Roman" w:hAnsi="Times New Roman" w:cs="Times New Roman"/>
          <w:sz w:val="24"/>
          <w:szCs w:val="24"/>
          <w:lang w:val="en-US"/>
        </w:rPr>
        <w:lastRenderedPageBreak/>
        <w:t>Story lays the ground for the role of typology in the fulfillment of the</w:t>
      </w:r>
      <w:r>
        <w:rPr>
          <w:rFonts w:ascii="Times New Roman" w:hAnsi="Times New Roman" w:cs="Times New Roman"/>
          <w:sz w:val="24"/>
          <w:szCs w:val="24"/>
          <w:lang w:val="en-US"/>
        </w:rPr>
        <w:t xml:space="preserve"> </w:t>
      </w:r>
      <w:r w:rsidRPr="00CC0470">
        <w:rPr>
          <w:rFonts w:ascii="Times New Roman" w:hAnsi="Times New Roman" w:cs="Times New Roman"/>
          <w:sz w:val="24"/>
          <w:szCs w:val="24"/>
          <w:lang w:val="en-US"/>
        </w:rPr>
        <w:t>constitutional metonym as follows: “Let it not, however, be supposed, that a constitution,</w:t>
      </w:r>
      <w:r>
        <w:rPr>
          <w:rFonts w:ascii="Times New Roman" w:hAnsi="Times New Roman" w:cs="Times New Roman"/>
          <w:sz w:val="24"/>
          <w:szCs w:val="24"/>
          <w:lang w:val="en-US"/>
        </w:rPr>
        <w:t xml:space="preserve"> </w:t>
      </w:r>
      <w:r w:rsidRPr="00CC0470">
        <w:rPr>
          <w:rFonts w:ascii="Times New Roman" w:hAnsi="Times New Roman" w:cs="Times New Roman"/>
          <w:sz w:val="24"/>
          <w:szCs w:val="24"/>
          <w:lang w:val="en-US"/>
        </w:rPr>
        <w:t>which is now looked upon with such general favor and affection by the people, had no</w:t>
      </w:r>
      <w:r>
        <w:rPr>
          <w:rFonts w:ascii="Times New Roman" w:hAnsi="Times New Roman" w:cs="Times New Roman"/>
          <w:sz w:val="24"/>
          <w:szCs w:val="24"/>
          <w:lang w:val="en-US"/>
        </w:rPr>
        <w:t xml:space="preserve"> </w:t>
      </w:r>
      <w:r w:rsidRPr="00CC0470">
        <w:rPr>
          <w:rFonts w:ascii="Times New Roman" w:hAnsi="Times New Roman" w:cs="Times New Roman"/>
          <w:sz w:val="24"/>
          <w:szCs w:val="24"/>
          <w:lang w:val="en-US"/>
        </w:rPr>
        <w:t>difficulties to encounter at its birth. The history of those times is full of melancholy</w:t>
      </w:r>
      <w:r>
        <w:rPr>
          <w:rFonts w:ascii="Times New Roman" w:hAnsi="Times New Roman" w:cs="Times New Roman"/>
          <w:sz w:val="24"/>
          <w:szCs w:val="24"/>
          <w:lang w:val="en-US"/>
        </w:rPr>
        <w:t xml:space="preserve"> </w:t>
      </w:r>
      <w:r w:rsidRPr="00CC0470">
        <w:rPr>
          <w:rFonts w:ascii="Times New Roman" w:hAnsi="Times New Roman" w:cs="Times New Roman"/>
          <w:sz w:val="24"/>
          <w:szCs w:val="24"/>
          <w:lang w:val="en-US"/>
        </w:rPr>
        <w:t>instruction on this subject, at once to admonish us of past dangers, and to awaken us to a</w:t>
      </w:r>
      <w:r>
        <w:rPr>
          <w:rFonts w:ascii="Times New Roman" w:hAnsi="Times New Roman" w:cs="Times New Roman"/>
          <w:sz w:val="24"/>
          <w:szCs w:val="24"/>
          <w:lang w:val="en-US"/>
        </w:rPr>
        <w:t xml:space="preserve"> </w:t>
      </w:r>
      <w:r w:rsidRPr="00CC0470">
        <w:rPr>
          <w:rFonts w:ascii="Times New Roman" w:hAnsi="Times New Roman" w:cs="Times New Roman"/>
          <w:sz w:val="24"/>
          <w:szCs w:val="24"/>
          <w:lang w:val="en-US"/>
        </w:rPr>
        <w:t>lively sense of the necessity of future vigilance.”</w:t>
      </w:r>
      <w:r>
        <w:rPr>
          <w:rStyle w:val="FootnoteReference"/>
          <w:rFonts w:ascii="Times New Roman" w:hAnsi="Times New Roman" w:cs="Times New Roman"/>
          <w:sz w:val="24"/>
          <w:szCs w:val="24"/>
          <w:lang w:val="en-US"/>
        </w:rPr>
        <w:footnoteReference w:id="99"/>
      </w:r>
      <w:r w:rsidR="00CF35C4">
        <w:rPr>
          <w:rFonts w:ascii="Times New Roman" w:hAnsi="Times New Roman" w:cs="Times New Roman"/>
          <w:sz w:val="24"/>
          <w:szCs w:val="24"/>
          <w:lang w:val="en-US"/>
        </w:rPr>
        <w:t xml:space="preserve"> </w:t>
      </w:r>
      <w:r w:rsidR="008C096B">
        <w:rPr>
          <w:rFonts w:ascii="Times New Roman" w:hAnsi="Times New Roman" w:cs="Times New Roman"/>
          <w:sz w:val="24"/>
          <w:szCs w:val="24"/>
          <w:lang w:val="en-US"/>
        </w:rPr>
        <w:t>To interpret the C</w:t>
      </w:r>
      <w:r w:rsidR="00CF35C4">
        <w:rPr>
          <w:rFonts w:ascii="Times New Roman" w:hAnsi="Times New Roman" w:cs="Times New Roman"/>
          <w:sz w:val="24"/>
          <w:szCs w:val="24"/>
          <w:lang w:val="en-US"/>
        </w:rPr>
        <w:t xml:space="preserve">onstitution, one must delve </w:t>
      </w:r>
      <w:r w:rsidR="00D423CE">
        <w:rPr>
          <w:rFonts w:ascii="Times New Roman" w:hAnsi="Times New Roman" w:cs="Times New Roman"/>
          <w:sz w:val="24"/>
          <w:szCs w:val="24"/>
          <w:lang w:val="en-US"/>
        </w:rPr>
        <w:t>into</w:t>
      </w:r>
      <w:r w:rsidR="00CF35C4">
        <w:rPr>
          <w:rFonts w:ascii="Times New Roman" w:hAnsi="Times New Roman" w:cs="Times New Roman"/>
          <w:sz w:val="24"/>
          <w:szCs w:val="24"/>
          <w:lang w:val="en-US"/>
        </w:rPr>
        <w:t xml:space="preserve"> the difficulties the founding generation faced, from the turmoil of the Confederation to the clash between Federalists and Anti-Federalists, which Story reframes as the Friends and the Enemies of the Constitution. </w:t>
      </w:r>
      <w:r w:rsidR="008C096B">
        <w:rPr>
          <w:rFonts w:ascii="Times New Roman" w:hAnsi="Times New Roman" w:cs="Times New Roman"/>
          <w:sz w:val="24"/>
          <w:szCs w:val="24"/>
          <w:lang w:val="en-US"/>
        </w:rPr>
        <w:t>Suddenly, it is as if the Constitution’s</w:t>
      </w:r>
      <w:r w:rsidR="00CF35C4">
        <w:rPr>
          <w:rFonts w:ascii="Times New Roman" w:hAnsi="Times New Roman" w:cs="Times New Roman"/>
          <w:sz w:val="24"/>
          <w:szCs w:val="24"/>
          <w:lang w:val="en-US"/>
        </w:rPr>
        <w:t xml:space="preserve"> emergence </w:t>
      </w:r>
      <w:r w:rsidR="008C096B">
        <w:rPr>
          <w:rFonts w:ascii="Times New Roman" w:hAnsi="Times New Roman" w:cs="Times New Roman"/>
          <w:sz w:val="24"/>
          <w:szCs w:val="24"/>
          <w:lang w:val="en-US"/>
        </w:rPr>
        <w:t>configured</w:t>
      </w:r>
      <w:r w:rsidR="00CF35C4">
        <w:rPr>
          <w:rFonts w:ascii="Times New Roman" w:hAnsi="Times New Roman" w:cs="Times New Roman"/>
          <w:sz w:val="24"/>
          <w:szCs w:val="24"/>
          <w:lang w:val="en-US"/>
        </w:rPr>
        <w:t xml:space="preserve"> a “conversion narrative” in itself.</w:t>
      </w:r>
      <w:r w:rsidRPr="00CC0470">
        <w:rPr>
          <w:rFonts w:ascii="Times New Roman" w:hAnsi="Times New Roman" w:cs="Times New Roman"/>
          <w:sz w:val="24"/>
          <w:szCs w:val="24"/>
          <w:lang w:val="en-US"/>
        </w:rPr>
        <w:t xml:space="preserve"> As </w:t>
      </w:r>
      <w:r w:rsidR="008C096B">
        <w:rPr>
          <w:rFonts w:ascii="Times New Roman" w:hAnsi="Times New Roman" w:cs="Times New Roman"/>
          <w:sz w:val="24"/>
          <w:szCs w:val="24"/>
          <w:lang w:val="en-US"/>
        </w:rPr>
        <w:t>Story</w:t>
      </w:r>
      <w:r w:rsidR="008C096B" w:rsidRPr="00CC0470">
        <w:rPr>
          <w:rFonts w:ascii="Times New Roman" w:hAnsi="Times New Roman" w:cs="Times New Roman"/>
          <w:sz w:val="24"/>
          <w:szCs w:val="24"/>
          <w:lang w:val="en-US"/>
        </w:rPr>
        <w:t xml:space="preserve"> </w:t>
      </w:r>
      <w:r w:rsidRPr="00CC0470">
        <w:rPr>
          <w:rFonts w:ascii="Times New Roman" w:hAnsi="Times New Roman" w:cs="Times New Roman"/>
          <w:sz w:val="24"/>
          <w:szCs w:val="24"/>
          <w:lang w:val="en-US"/>
        </w:rPr>
        <w:t>admits, however, it is not easy</w:t>
      </w:r>
      <w:r>
        <w:rPr>
          <w:rFonts w:ascii="Times New Roman" w:hAnsi="Times New Roman" w:cs="Times New Roman"/>
          <w:sz w:val="24"/>
          <w:szCs w:val="24"/>
          <w:lang w:val="en-US"/>
        </w:rPr>
        <w:t xml:space="preserve"> </w:t>
      </w:r>
      <w:r w:rsidRPr="00CC0470">
        <w:rPr>
          <w:rFonts w:ascii="Times New Roman" w:hAnsi="Times New Roman" w:cs="Times New Roman"/>
          <w:sz w:val="24"/>
          <w:szCs w:val="24"/>
          <w:lang w:val="en-US"/>
        </w:rPr>
        <w:t>to reduce all past dangers “into general heads; but the most material will here be</w:t>
      </w:r>
      <w:r>
        <w:rPr>
          <w:rFonts w:ascii="Times New Roman" w:hAnsi="Times New Roman" w:cs="Times New Roman"/>
          <w:sz w:val="24"/>
          <w:szCs w:val="24"/>
          <w:lang w:val="en-US"/>
        </w:rPr>
        <w:t xml:space="preserve"> </w:t>
      </w:r>
      <w:r w:rsidRPr="00CC0470">
        <w:rPr>
          <w:rFonts w:ascii="Times New Roman" w:hAnsi="Times New Roman" w:cs="Times New Roman"/>
          <w:sz w:val="24"/>
          <w:szCs w:val="24"/>
          <w:lang w:val="en-US"/>
        </w:rPr>
        <w:t>enumerated, not only to admonish us of the difficulties of the task of framing a general</w:t>
      </w:r>
      <w:r>
        <w:rPr>
          <w:rFonts w:ascii="Times New Roman" w:hAnsi="Times New Roman" w:cs="Times New Roman"/>
          <w:sz w:val="24"/>
          <w:szCs w:val="24"/>
          <w:lang w:val="en-US"/>
        </w:rPr>
        <w:t xml:space="preserve"> </w:t>
      </w:r>
      <w:r w:rsidRPr="00CC0470">
        <w:rPr>
          <w:rFonts w:ascii="Times New Roman" w:hAnsi="Times New Roman" w:cs="Times New Roman"/>
          <w:sz w:val="24"/>
          <w:szCs w:val="24"/>
          <w:lang w:val="en-US"/>
        </w:rPr>
        <w:t>government; but to prepare us the better to understand, and expound the constitution</w:t>
      </w:r>
      <w:r>
        <w:rPr>
          <w:rFonts w:ascii="Times New Roman" w:hAnsi="Times New Roman" w:cs="Times New Roman"/>
          <w:sz w:val="24"/>
          <w:szCs w:val="24"/>
          <w:lang w:val="en-US"/>
        </w:rPr>
        <w:t xml:space="preserve"> </w:t>
      </w:r>
      <w:r w:rsidRPr="00CC0470">
        <w:rPr>
          <w:rFonts w:ascii="Times New Roman" w:hAnsi="Times New Roman" w:cs="Times New Roman"/>
          <w:sz w:val="24"/>
          <w:szCs w:val="24"/>
          <w:lang w:val="en-US"/>
        </w:rPr>
        <w:t>itself.”</w:t>
      </w:r>
      <w:r>
        <w:rPr>
          <w:rStyle w:val="FootnoteReference"/>
          <w:rFonts w:ascii="Times New Roman" w:hAnsi="Times New Roman" w:cs="Times New Roman"/>
          <w:sz w:val="24"/>
          <w:szCs w:val="24"/>
          <w:lang w:val="en-US"/>
        </w:rPr>
        <w:footnoteReference w:id="100"/>
      </w:r>
    </w:p>
    <w:p w14:paraId="71D458BF" w14:textId="32CDAC3D" w:rsidR="00560FB8" w:rsidRDefault="00560FB8" w:rsidP="00560FB8">
      <w:pPr>
        <w:spacing w:after="0" w:line="360" w:lineRule="auto"/>
        <w:ind w:firstLine="1134"/>
        <w:jc w:val="both"/>
        <w:rPr>
          <w:rFonts w:ascii="Times New Roman" w:hAnsi="Times New Roman" w:cs="Times New Roman"/>
          <w:sz w:val="24"/>
          <w:szCs w:val="24"/>
          <w:lang w:val="en-US"/>
        </w:rPr>
      </w:pPr>
      <w:r w:rsidRPr="00CC0470">
        <w:rPr>
          <w:rFonts w:ascii="Times New Roman" w:hAnsi="Times New Roman" w:cs="Times New Roman"/>
          <w:sz w:val="24"/>
          <w:szCs w:val="24"/>
          <w:lang w:val="en-US"/>
        </w:rPr>
        <w:t xml:space="preserve">I would like to suggest that such </w:t>
      </w:r>
      <w:r w:rsidR="00D423CE">
        <w:rPr>
          <w:rFonts w:ascii="Times New Roman" w:hAnsi="Times New Roman" w:cs="Times New Roman"/>
          <w:sz w:val="24"/>
          <w:szCs w:val="24"/>
          <w:lang w:val="en-US"/>
        </w:rPr>
        <w:t xml:space="preserve">a </w:t>
      </w:r>
      <w:r w:rsidRPr="00CC0470">
        <w:rPr>
          <w:rFonts w:ascii="Times New Roman" w:hAnsi="Times New Roman" w:cs="Times New Roman"/>
          <w:sz w:val="24"/>
          <w:szCs w:val="24"/>
          <w:lang w:val="en-US"/>
        </w:rPr>
        <w:t>way of organizing one’s arguments, in remission to the</w:t>
      </w:r>
      <w:r>
        <w:rPr>
          <w:rFonts w:ascii="Times New Roman" w:hAnsi="Times New Roman" w:cs="Times New Roman"/>
          <w:sz w:val="24"/>
          <w:szCs w:val="24"/>
          <w:lang w:val="en-US"/>
        </w:rPr>
        <w:t xml:space="preserve"> </w:t>
      </w:r>
      <w:r w:rsidRPr="00CC0470">
        <w:rPr>
          <w:rFonts w:ascii="Times New Roman" w:hAnsi="Times New Roman" w:cs="Times New Roman"/>
          <w:sz w:val="24"/>
          <w:szCs w:val="24"/>
          <w:lang w:val="en-US"/>
        </w:rPr>
        <w:t>positions and matters at stake in a constitutional case, is still very much in practice in the</w:t>
      </w:r>
      <w:r>
        <w:rPr>
          <w:rFonts w:ascii="Times New Roman" w:hAnsi="Times New Roman" w:cs="Times New Roman"/>
          <w:sz w:val="24"/>
          <w:szCs w:val="24"/>
          <w:lang w:val="en-US"/>
        </w:rPr>
        <w:t xml:space="preserve"> US</w:t>
      </w:r>
      <w:r w:rsidRPr="00CC0470">
        <w:rPr>
          <w:rFonts w:ascii="Times New Roman" w:hAnsi="Times New Roman" w:cs="Times New Roman"/>
          <w:sz w:val="24"/>
          <w:szCs w:val="24"/>
          <w:lang w:val="en-US"/>
        </w:rPr>
        <w:t xml:space="preserve"> constitutional landscape. It is common place to mirror in </w:t>
      </w:r>
      <w:r w:rsidR="00D423CE">
        <w:rPr>
          <w:rFonts w:ascii="Times New Roman" w:hAnsi="Times New Roman" w:cs="Times New Roman"/>
          <w:sz w:val="24"/>
          <w:szCs w:val="24"/>
          <w:lang w:val="en-US"/>
        </w:rPr>
        <w:t xml:space="preserve">a </w:t>
      </w:r>
      <w:r w:rsidRPr="00CC0470">
        <w:rPr>
          <w:rFonts w:ascii="Times New Roman" w:hAnsi="Times New Roman" w:cs="Times New Roman"/>
          <w:sz w:val="24"/>
          <w:szCs w:val="24"/>
          <w:lang w:val="en-US"/>
        </w:rPr>
        <w:t>clear</w:t>
      </w:r>
      <w:r>
        <w:rPr>
          <w:rFonts w:ascii="Times New Roman" w:hAnsi="Times New Roman" w:cs="Times New Roman"/>
          <w:sz w:val="24"/>
          <w:szCs w:val="24"/>
          <w:lang w:val="en-US"/>
        </w:rPr>
        <w:t xml:space="preserve"> </w:t>
      </w:r>
      <w:r w:rsidRPr="00CC0470">
        <w:rPr>
          <w:rFonts w:ascii="Times New Roman" w:hAnsi="Times New Roman" w:cs="Times New Roman"/>
          <w:sz w:val="24"/>
          <w:szCs w:val="24"/>
          <w:lang w:val="en-US"/>
        </w:rPr>
        <w:t>typological fashion – or rather, in an anachronistic way, as you adopt either an internal or</w:t>
      </w:r>
      <w:r>
        <w:rPr>
          <w:rFonts w:ascii="Times New Roman" w:hAnsi="Times New Roman" w:cs="Times New Roman"/>
          <w:sz w:val="24"/>
          <w:szCs w:val="24"/>
          <w:lang w:val="en-US"/>
        </w:rPr>
        <w:t xml:space="preserve"> </w:t>
      </w:r>
      <w:r w:rsidRPr="00CC0470">
        <w:rPr>
          <w:rFonts w:ascii="Times New Roman" w:hAnsi="Times New Roman" w:cs="Times New Roman"/>
          <w:sz w:val="24"/>
          <w:szCs w:val="24"/>
          <w:lang w:val="en-US"/>
        </w:rPr>
        <w:t xml:space="preserve">external perspective – either the majority or the minority’s opinion, depending </w:t>
      </w:r>
      <w:r w:rsidR="00D423CE">
        <w:rPr>
          <w:rFonts w:ascii="Times New Roman" w:hAnsi="Times New Roman" w:cs="Times New Roman"/>
          <w:sz w:val="24"/>
          <w:szCs w:val="24"/>
          <w:lang w:val="en-US"/>
        </w:rPr>
        <w:t xml:space="preserve">on </w:t>
      </w:r>
      <w:r w:rsidRPr="00CC0470">
        <w:rPr>
          <w:rFonts w:ascii="Times New Roman" w:hAnsi="Times New Roman" w:cs="Times New Roman"/>
          <w:sz w:val="24"/>
          <w:szCs w:val="24"/>
          <w:lang w:val="en-US"/>
        </w:rPr>
        <w:t>whether</w:t>
      </w:r>
      <w:r>
        <w:rPr>
          <w:rFonts w:ascii="Times New Roman" w:hAnsi="Times New Roman" w:cs="Times New Roman"/>
          <w:sz w:val="24"/>
          <w:szCs w:val="24"/>
          <w:lang w:val="en-US"/>
        </w:rPr>
        <w:t xml:space="preserve"> </w:t>
      </w:r>
      <w:r w:rsidRPr="00CC0470">
        <w:rPr>
          <w:rFonts w:ascii="Times New Roman" w:hAnsi="Times New Roman" w:cs="Times New Roman"/>
          <w:sz w:val="24"/>
          <w:szCs w:val="24"/>
          <w:lang w:val="en-US"/>
        </w:rPr>
        <w:t>you joined, concurred, or dissented, to some past decision considered to be anathema</w:t>
      </w:r>
      <w:r>
        <w:rPr>
          <w:rFonts w:ascii="Times New Roman" w:hAnsi="Times New Roman" w:cs="Times New Roman"/>
          <w:sz w:val="24"/>
          <w:szCs w:val="24"/>
          <w:lang w:val="en-US"/>
        </w:rPr>
        <w:t>. Think of</w:t>
      </w:r>
      <w:r w:rsidRPr="00CC0470">
        <w:rPr>
          <w:rFonts w:ascii="Times New Roman" w:hAnsi="Times New Roman" w:cs="Times New Roman"/>
          <w:sz w:val="24"/>
          <w:szCs w:val="24"/>
          <w:lang w:val="en-US"/>
        </w:rPr>
        <w:t xml:space="preserve"> </w:t>
      </w:r>
      <w:r w:rsidRPr="005D7E0E">
        <w:rPr>
          <w:rFonts w:ascii="Times New Roman" w:hAnsi="Times New Roman" w:cs="Times New Roman"/>
          <w:i/>
          <w:iCs/>
          <w:sz w:val="24"/>
          <w:szCs w:val="24"/>
          <w:lang w:val="en-US"/>
        </w:rPr>
        <w:t>Dredd Scott v. Sandford</w:t>
      </w:r>
      <w:r w:rsidRPr="00CC0470">
        <w:rPr>
          <w:rFonts w:ascii="Times New Roman" w:hAnsi="Times New Roman" w:cs="Times New Roman"/>
          <w:sz w:val="24"/>
          <w:szCs w:val="24"/>
          <w:lang w:val="en-US"/>
        </w:rPr>
        <w:t xml:space="preserve">, (1857) </w:t>
      </w:r>
      <w:r w:rsidRPr="005D7E0E">
        <w:rPr>
          <w:rFonts w:ascii="Times New Roman" w:hAnsi="Times New Roman" w:cs="Times New Roman"/>
          <w:i/>
          <w:iCs/>
          <w:sz w:val="24"/>
          <w:szCs w:val="24"/>
          <w:lang w:val="en-US"/>
        </w:rPr>
        <w:t>Plessy v. Ferguson</w:t>
      </w:r>
      <w:r w:rsidRPr="00CC0470">
        <w:rPr>
          <w:rFonts w:ascii="Times New Roman" w:hAnsi="Times New Roman" w:cs="Times New Roman"/>
          <w:sz w:val="24"/>
          <w:szCs w:val="24"/>
          <w:lang w:val="en-US"/>
        </w:rPr>
        <w:t xml:space="preserve">, (1896) or </w:t>
      </w:r>
      <w:r w:rsidRPr="005D7E0E">
        <w:rPr>
          <w:rFonts w:ascii="Times New Roman" w:hAnsi="Times New Roman" w:cs="Times New Roman"/>
          <w:i/>
          <w:iCs/>
          <w:sz w:val="24"/>
          <w:szCs w:val="24"/>
          <w:lang w:val="en-US"/>
        </w:rPr>
        <w:t>Lochner v. New York</w:t>
      </w:r>
      <w:r w:rsidRPr="00CC0470">
        <w:rPr>
          <w:rFonts w:ascii="Times New Roman" w:hAnsi="Times New Roman" w:cs="Times New Roman"/>
          <w:sz w:val="24"/>
          <w:szCs w:val="24"/>
          <w:lang w:val="en-US"/>
        </w:rPr>
        <w:t>, (1905) decision</w:t>
      </w:r>
      <w:r>
        <w:rPr>
          <w:rFonts w:ascii="Times New Roman" w:hAnsi="Times New Roman" w:cs="Times New Roman"/>
          <w:sz w:val="24"/>
          <w:szCs w:val="24"/>
          <w:lang w:val="en-US"/>
        </w:rPr>
        <w:t>s</w:t>
      </w:r>
      <w:r w:rsidRPr="00CC0470">
        <w:rPr>
          <w:rFonts w:ascii="Times New Roman" w:hAnsi="Times New Roman" w:cs="Times New Roman"/>
          <w:sz w:val="24"/>
          <w:szCs w:val="24"/>
          <w:lang w:val="en-US"/>
        </w:rPr>
        <w:t xml:space="preserve"> that, in reason of </w:t>
      </w:r>
      <w:r>
        <w:rPr>
          <w:rFonts w:ascii="Times New Roman" w:hAnsi="Times New Roman" w:cs="Times New Roman"/>
          <w:sz w:val="24"/>
          <w:szCs w:val="24"/>
          <w:lang w:val="en-US"/>
        </w:rPr>
        <w:t>their</w:t>
      </w:r>
      <w:r w:rsidRPr="00CC0470">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Pr="00CC0470">
        <w:rPr>
          <w:rFonts w:ascii="Times New Roman" w:hAnsi="Times New Roman" w:cs="Times New Roman"/>
          <w:sz w:val="24"/>
          <w:szCs w:val="24"/>
          <w:lang w:val="en-US"/>
        </w:rPr>
        <w:t>opinion,</w:t>
      </w:r>
      <w:r>
        <w:rPr>
          <w:rFonts w:ascii="Times New Roman" w:hAnsi="Times New Roman" w:cs="Times New Roman"/>
          <w:sz w:val="24"/>
          <w:szCs w:val="24"/>
          <w:lang w:val="en-US"/>
        </w:rPr>
        <w:t>”</w:t>
      </w:r>
      <w:r w:rsidRPr="00CC0470">
        <w:rPr>
          <w:rFonts w:ascii="Times New Roman" w:hAnsi="Times New Roman" w:cs="Times New Roman"/>
          <w:sz w:val="24"/>
          <w:szCs w:val="24"/>
          <w:lang w:val="en-US"/>
        </w:rPr>
        <w:t xml:space="preserve"> went “very deep into the foundations</w:t>
      </w:r>
      <w:r>
        <w:rPr>
          <w:rFonts w:ascii="Times New Roman" w:hAnsi="Times New Roman" w:cs="Times New Roman"/>
          <w:sz w:val="24"/>
          <w:szCs w:val="24"/>
          <w:lang w:val="en-US"/>
        </w:rPr>
        <w:t xml:space="preserve"> </w:t>
      </w:r>
      <w:r w:rsidRPr="00CC0470">
        <w:rPr>
          <w:rFonts w:ascii="Times New Roman" w:hAnsi="Times New Roman" w:cs="Times New Roman"/>
          <w:sz w:val="24"/>
          <w:szCs w:val="24"/>
          <w:lang w:val="en-US"/>
        </w:rPr>
        <w:t>of the government itself, and expose[d] it, if not to utter destruction, at least to evils,</w:t>
      </w:r>
      <w:r>
        <w:rPr>
          <w:rFonts w:ascii="Times New Roman" w:hAnsi="Times New Roman" w:cs="Times New Roman"/>
          <w:sz w:val="24"/>
          <w:szCs w:val="24"/>
          <w:lang w:val="en-US"/>
        </w:rPr>
        <w:t xml:space="preserve"> </w:t>
      </w:r>
      <w:r w:rsidRPr="00CC0470">
        <w:rPr>
          <w:rFonts w:ascii="Times New Roman" w:hAnsi="Times New Roman" w:cs="Times New Roman"/>
          <w:sz w:val="24"/>
          <w:szCs w:val="24"/>
          <w:lang w:val="en-US"/>
        </w:rPr>
        <w:t>which threaten[ed] its existences, and disturb[ed] the just operation of its powers.”</w:t>
      </w:r>
      <w:r>
        <w:rPr>
          <w:rStyle w:val="FootnoteReference"/>
          <w:rFonts w:ascii="Times New Roman" w:hAnsi="Times New Roman" w:cs="Times New Roman"/>
          <w:sz w:val="24"/>
          <w:szCs w:val="24"/>
          <w:lang w:val="en-US"/>
        </w:rPr>
        <w:footnoteReference w:id="101"/>
      </w:r>
    </w:p>
    <w:p w14:paraId="7A5D7C29" w14:textId="071CDE68" w:rsidR="00560FB8" w:rsidRPr="001E3EE9" w:rsidRDefault="00560FB8" w:rsidP="00560FB8">
      <w:pPr>
        <w:spacing w:after="0" w:line="360" w:lineRule="auto"/>
        <w:ind w:firstLine="1134"/>
        <w:jc w:val="both"/>
        <w:rPr>
          <w:rFonts w:ascii="Times New Roman" w:hAnsi="Times New Roman" w:cs="Times New Roman"/>
          <w:sz w:val="24"/>
          <w:szCs w:val="24"/>
          <w:lang w:val="en-US"/>
        </w:rPr>
      </w:pPr>
      <w:r w:rsidRPr="001E3EE9">
        <w:rPr>
          <w:rFonts w:ascii="Times New Roman" w:hAnsi="Times New Roman" w:cs="Times New Roman"/>
          <w:sz w:val="24"/>
          <w:szCs w:val="24"/>
          <w:lang w:val="en-US"/>
        </w:rPr>
        <w:lastRenderedPageBreak/>
        <w:t xml:space="preserve">Hence, the contemporary </w:t>
      </w:r>
      <w:r>
        <w:rPr>
          <w:rFonts w:ascii="Times New Roman" w:hAnsi="Times New Roman" w:cs="Times New Roman"/>
          <w:sz w:val="24"/>
          <w:szCs w:val="24"/>
          <w:lang w:val="en-US"/>
        </w:rPr>
        <w:t xml:space="preserve">semantic apparatus </w:t>
      </w:r>
      <w:r w:rsidRPr="001E3EE9">
        <w:rPr>
          <w:rFonts w:ascii="Times New Roman" w:hAnsi="Times New Roman" w:cs="Times New Roman"/>
          <w:sz w:val="24"/>
          <w:szCs w:val="24"/>
          <w:lang w:val="en-US"/>
        </w:rPr>
        <w:t xml:space="preserve">of </w:t>
      </w:r>
      <w:r>
        <w:rPr>
          <w:rFonts w:ascii="Times New Roman" w:hAnsi="Times New Roman" w:cs="Times New Roman"/>
          <w:sz w:val="24"/>
          <w:szCs w:val="24"/>
          <w:lang w:val="en-US"/>
        </w:rPr>
        <w:t>which the</w:t>
      </w:r>
      <w:r w:rsidRPr="001E3EE9">
        <w:rPr>
          <w:rFonts w:ascii="Times New Roman" w:hAnsi="Times New Roman" w:cs="Times New Roman"/>
          <w:sz w:val="24"/>
          <w:szCs w:val="24"/>
          <w:lang w:val="en-US"/>
        </w:rPr>
        <w:t xml:space="preserve"> judicial opinion</w:t>
      </w:r>
      <w:r>
        <w:rPr>
          <w:rFonts w:ascii="Times New Roman" w:hAnsi="Times New Roman" w:cs="Times New Roman"/>
          <w:sz w:val="24"/>
          <w:szCs w:val="24"/>
          <w:lang w:val="en-US"/>
        </w:rPr>
        <w:t xml:space="preserve"> is an important instantiation</w:t>
      </w:r>
      <w:r w:rsidRPr="001E3EE9">
        <w:rPr>
          <w:rFonts w:ascii="Times New Roman" w:hAnsi="Times New Roman" w:cs="Times New Roman"/>
          <w:sz w:val="24"/>
          <w:szCs w:val="24"/>
          <w:lang w:val="en-US"/>
        </w:rPr>
        <w:t xml:space="preserve"> still appears</w:t>
      </w:r>
      <w:r>
        <w:rPr>
          <w:rFonts w:ascii="Times New Roman" w:hAnsi="Times New Roman" w:cs="Times New Roman"/>
          <w:sz w:val="24"/>
          <w:szCs w:val="24"/>
          <w:lang w:val="en-US"/>
        </w:rPr>
        <w:t xml:space="preserve"> </w:t>
      </w:r>
      <w:r w:rsidRPr="001E3EE9">
        <w:rPr>
          <w:rFonts w:ascii="Times New Roman" w:hAnsi="Times New Roman" w:cs="Times New Roman"/>
          <w:sz w:val="24"/>
          <w:szCs w:val="24"/>
          <w:lang w:val="en-US"/>
        </w:rPr>
        <w:t xml:space="preserve">to </w:t>
      </w:r>
      <w:r>
        <w:rPr>
          <w:rFonts w:ascii="Times New Roman" w:hAnsi="Times New Roman" w:cs="Times New Roman"/>
          <w:sz w:val="24"/>
          <w:szCs w:val="24"/>
          <w:lang w:val="en-US"/>
        </w:rPr>
        <w:t>rely on the religious resources</w:t>
      </w:r>
      <w:r w:rsidRPr="001E3EE9">
        <w:rPr>
          <w:rFonts w:ascii="Times New Roman" w:hAnsi="Times New Roman" w:cs="Times New Roman"/>
          <w:sz w:val="24"/>
          <w:szCs w:val="24"/>
          <w:lang w:val="en-US"/>
        </w:rPr>
        <w:t xml:space="preserve"> Story employed to bind and build the</w:t>
      </w:r>
      <w:r>
        <w:rPr>
          <w:rFonts w:ascii="Times New Roman" w:hAnsi="Times New Roman" w:cs="Times New Roman"/>
          <w:sz w:val="24"/>
          <w:szCs w:val="24"/>
          <w:lang w:val="en-US"/>
        </w:rPr>
        <w:t xml:space="preserve"> evidence of constitutional adjudication. </w:t>
      </w:r>
      <w:r w:rsidRPr="001E3EE9">
        <w:rPr>
          <w:rFonts w:ascii="Times New Roman" w:hAnsi="Times New Roman" w:cs="Times New Roman"/>
          <w:sz w:val="24"/>
          <w:szCs w:val="24"/>
          <w:lang w:val="en-US"/>
        </w:rPr>
        <w:t>Likewise, if opinions should be staged in kinds and ways similar to the</w:t>
      </w:r>
      <w:r>
        <w:rPr>
          <w:rFonts w:ascii="Times New Roman" w:hAnsi="Times New Roman" w:cs="Times New Roman"/>
          <w:sz w:val="24"/>
          <w:szCs w:val="24"/>
          <w:lang w:val="en-US"/>
        </w:rPr>
        <w:t xml:space="preserve"> </w:t>
      </w:r>
      <w:r w:rsidRPr="001E3EE9">
        <w:rPr>
          <w:rFonts w:ascii="Times New Roman" w:hAnsi="Times New Roman" w:cs="Times New Roman"/>
          <w:sz w:val="24"/>
          <w:szCs w:val="24"/>
          <w:lang w:val="en-US"/>
        </w:rPr>
        <w:t>Eucharist, it hardly makes any sense to have them seriatim. Instead, they should be one,</w:t>
      </w:r>
      <w:r>
        <w:rPr>
          <w:rFonts w:ascii="Times New Roman" w:hAnsi="Times New Roman" w:cs="Times New Roman"/>
          <w:sz w:val="24"/>
          <w:szCs w:val="24"/>
          <w:lang w:val="en-US"/>
        </w:rPr>
        <w:t xml:space="preserve"> </w:t>
      </w:r>
      <w:r w:rsidRPr="001E3EE9">
        <w:rPr>
          <w:rFonts w:ascii="Times New Roman" w:hAnsi="Times New Roman" w:cs="Times New Roman"/>
          <w:sz w:val="24"/>
          <w:szCs w:val="24"/>
          <w:lang w:val="en-US"/>
        </w:rPr>
        <w:t>whole, fixed, uniform, and permanent. Dissents may be allowed, but as prophecy,</w:t>
      </w:r>
      <w:r>
        <w:rPr>
          <w:rStyle w:val="FootnoteReference"/>
          <w:rFonts w:ascii="Times New Roman" w:hAnsi="Times New Roman" w:cs="Times New Roman"/>
          <w:sz w:val="24"/>
          <w:szCs w:val="24"/>
          <w:lang w:val="en-US"/>
        </w:rPr>
        <w:footnoteReference w:id="102"/>
      </w:r>
      <w:r w:rsidRPr="001E3EE9">
        <w:rPr>
          <w:rFonts w:ascii="Times New Roman" w:hAnsi="Times New Roman" w:cs="Times New Roman"/>
          <w:sz w:val="24"/>
          <w:szCs w:val="24"/>
          <w:lang w:val="en-US"/>
        </w:rPr>
        <w:t xml:space="preserve"> in</w:t>
      </w:r>
      <w:r>
        <w:rPr>
          <w:rFonts w:ascii="Times New Roman" w:hAnsi="Times New Roman" w:cs="Times New Roman"/>
          <w:sz w:val="24"/>
          <w:szCs w:val="24"/>
          <w:lang w:val="en-US"/>
        </w:rPr>
        <w:t xml:space="preserve"> </w:t>
      </w:r>
      <w:r w:rsidRPr="001E3EE9">
        <w:rPr>
          <w:rFonts w:ascii="Times New Roman" w:hAnsi="Times New Roman" w:cs="Times New Roman"/>
          <w:sz w:val="24"/>
          <w:szCs w:val="24"/>
          <w:lang w:val="en-US"/>
        </w:rPr>
        <w:t>resemblance to the practice of the same name first favored by the Separatists, and then by</w:t>
      </w:r>
      <w:r>
        <w:rPr>
          <w:rFonts w:ascii="Times New Roman" w:hAnsi="Times New Roman" w:cs="Times New Roman"/>
          <w:sz w:val="24"/>
          <w:szCs w:val="24"/>
          <w:lang w:val="en-US"/>
        </w:rPr>
        <w:t xml:space="preserve"> </w:t>
      </w:r>
      <w:r w:rsidRPr="001E3EE9">
        <w:rPr>
          <w:rFonts w:ascii="Times New Roman" w:hAnsi="Times New Roman" w:cs="Times New Roman"/>
          <w:sz w:val="24"/>
          <w:szCs w:val="24"/>
          <w:lang w:val="en-US"/>
        </w:rPr>
        <w:t>the New England puritans “of supplementing (or, in the absence of a minister, replacing)</w:t>
      </w:r>
      <w:r>
        <w:rPr>
          <w:rFonts w:ascii="Times New Roman" w:hAnsi="Times New Roman" w:cs="Times New Roman"/>
          <w:sz w:val="24"/>
          <w:szCs w:val="24"/>
          <w:lang w:val="en-US"/>
        </w:rPr>
        <w:t xml:space="preserve"> </w:t>
      </w:r>
      <w:r w:rsidRPr="001E3EE9">
        <w:rPr>
          <w:rFonts w:ascii="Times New Roman" w:hAnsi="Times New Roman" w:cs="Times New Roman"/>
          <w:sz w:val="24"/>
          <w:szCs w:val="24"/>
          <w:lang w:val="en-US"/>
        </w:rPr>
        <w:t>the sermon with speeches by members of the congregation.”</w:t>
      </w:r>
      <w:r>
        <w:rPr>
          <w:rStyle w:val="FootnoteReference"/>
          <w:rFonts w:ascii="Times New Roman" w:hAnsi="Times New Roman" w:cs="Times New Roman"/>
          <w:sz w:val="24"/>
          <w:szCs w:val="24"/>
          <w:lang w:val="en-US"/>
        </w:rPr>
        <w:footnoteReference w:id="103"/>
      </w:r>
      <w:r w:rsidRPr="001E3EE9">
        <w:rPr>
          <w:rFonts w:ascii="Times New Roman" w:hAnsi="Times New Roman" w:cs="Times New Roman"/>
          <w:sz w:val="24"/>
          <w:szCs w:val="24"/>
          <w:lang w:val="en-US"/>
        </w:rPr>
        <w:t xml:space="preserve"> In </w:t>
      </w:r>
      <w:r>
        <w:rPr>
          <w:rFonts w:ascii="Times New Roman" w:hAnsi="Times New Roman" w:cs="Times New Roman"/>
          <w:sz w:val="24"/>
          <w:szCs w:val="24"/>
          <w:lang w:val="en-US"/>
        </w:rPr>
        <w:t>the</w:t>
      </w:r>
      <w:r w:rsidRPr="001E3EE9">
        <w:rPr>
          <w:rFonts w:ascii="Times New Roman" w:hAnsi="Times New Roman" w:cs="Times New Roman"/>
          <w:sz w:val="24"/>
          <w:szCs w:val="24"/>
          <w:lang w:val="en-US"/>
        </w:rPr>
        <w:t xml:space="preserve"> words</w:t>
      </w:r>
      <w:r>
        <w:rPr>
          <w:rFonts w:ascii="Times New Roman" w:hAnsi="Times New Roman" w:cs="Times New Roman"/>
          <w:sz w:val="24"/>
          <w:szCs w:val="24"/>
          <w:lang w:val="en-US"/>
        </w:rPr>
        <w:t xml:space="preserve"> of Saint Paul </w:t>
      </w:r>
      <w:r w:rsidRPr="001E3EE9">
        <w:rPr>
          <w:rFonts w:ascii="Times New Roman" w:hAnsi="Times New Roman" w:cs="Times New Roman"/>
          <w:sz w:val="24"/>
          <w:szCs w:val="24"/>
          <w:lang w:val="en-US"/>
        </w:rPr>
        <w:t>as</w:t>
      </w:r>
      <w:r>
        <w:rPr>
          <w:rFonts w:ascii="Times New Roman" w:hAnsi="Times New Roman" w:cs="Times New Roman"/>
          <w:sz w:val="24"/>
          <w:szCs w:val="24"/>
          <w:lang w:val="en-US"/>
        </w:rPr>
        <w:t xml:space="preserve"> </w:t>
      </w:r>
      <w:r w:rsidRPr="001E3EE9">
        <w:rPr>
          <w:rFonts w:ascii="Times New Roman" w:hAnsi="Times New Roman" w:cs="Times New Roman"/>
          <w:sz w:val="24"/>
          <w:szCs w:val="24"/>
          <w:lang w:val="en-US"/>
        </w:rPr>
        <w:t>rendered by the English of the King James Bible: “And he gave some, apostles; and some,</w:t>
      </w:r>
      <w:r>
        <w:rPr>
          <w:rFonts w:ascii="Times New Roman" w:hAnsi="Times New Roman" w:cs="Times New Roman"/>
          <w:sz w:val="24"/>
          <w:szCs w:val="24"/>
          <w:lang w:val="en-US"/>
        </w:rPr>
        <w:t xml:space="preserve"> </w:t>
      </w:r>
      <w:r w:rsidRPr="001E3EE9">
        <w:rPr>
          <w:rFonts w:ascii="Times New Roman" w:hAnsi="Times New Roman" w:cs="Times New Roman"/>
          <w:sz w:val="24"/>
          <w:szCs w:val="24"/>
          <w:lang w:val="en-US"/>
        </w:rPr>
        <w:t>prophets; and some, evangelists; and some pastors and teachers; for the perfecting of the</w:t>
      </w:r>
      <w:r>
        <w:rPr>
          <w:rFonts w:ascii="Times New Roman" w:hAnsi="Times New Roman" w:cs="Times New Roman"/>
          <w:sz w:val="24"/>
          <w:szCs w:val="24"/>
          <w:lang w:val="en-US"/>
        </w:rPr>
        <w:t xml:space="preserve"> </w:t>
      </w:r>
      <w:r w:rsidRPr="001E3EE9">
        <w:rPr>
          <w:rFonts w:ascii="Times New Roman" w:hAnsi="Times New Roman" w:cs="Times New Roman"/>
          <w:sz w:val="24"/>
          <w:szCs w:val="24"/>
          <w:lang w:val="en-US"/>
        </w:rPr>
        <w:t>saints, for the work of the ministry, for the edifying of the body of Christ.”</w:t>
      </w:r>
      <w:r w:rsidR="007E5180">
        <w:rPr>
          <w:rStyle w:val="FootnoteReference"/>
          <w:rFonts w:ascii="Times New Roman" w:hAnsi="Times New Roman" w:cs="Times New Roman"/>
          <w:sz w:val="24"/>
          <w:szCs w:val="24"/>
          <w:lang w:val="en-US"/>
        </w:rPr>
        <w:footnoteReference w:id="104"/>
      </w:r>
    </w:p>
    <w:p w14:paraId="06AA034C" w14:textId="77777777" w:rsidR="008F3B95" w:rsidRDefault="008F3B95" w:rsidP="00560FB8">
      <w:pPr>
        <w:spacing w:after="0" w:line="360" w:lineRule="auto"/>
        <w:jc w:val="both"/>
        <w:rPr>
          <w:rFonts w:ascii="Times New Roman" w:hAnsi="Times New Roman" w:cs="Times New Roman"/>
          <w:sz w:val="24"/>
          <w:szCs w:val="24"/>
          <w:lang w:val="en-US"/>
        </w:rPr>
      </w:pPr>
    </w:p>
    <w:p w14:paraId="3062CC41" w14:textId="77777777" w:rsidR="000D2612" w:rsidRDefault="000D2612" w:rsidP="00694910">
      <w:pPr>
        <w:pStyle w:val="Heading2"/>
        <w:rPr>
          <w:lang w:val="en-US"/>
        </w:rPr>
      </w:pPr>
    </w:p>
    <w:p w14:paraId="0CBC82E4" w14:textId="7426D7AB" w:rsidR="00560FB8" w:rsidRPr="00E70EC9" w:rsidRDefault="00694910" w:rsidP="00694910">
      <w:pPr>
        <w:pStyle w:val="Heading2"/>
        <w:rPr>
          <w:color w:val="auto"/>
          <w:lang w:val="en-US"/>
        </w:rPr>
      </w:pPr>
      <w:bookmarkStart w:id="7" w:name="_Toc120993776"/>
      <w:r>
        <w:rPr>
          <w:color w:val="auto"/>
          <w:lang w:val="en-US"/>
        </w:rPr>
        <w:t>3</w:t>
      </w:r>
      <w:r w:rsidR="00C97D6B">
        <w:rPr>
          <w:color w:val="auto"/>
          <w:lang w:val="en-US"/>
        </w:rPr>
        <w:t>.</w:t>
      </w:r>
      <w:r w:rsidR="00560FB8" w:rsidRPr="00E70EC9">
        <w:rPr>
          <w:color w:val="auto"/>
          <w:lang w:val="en-US"/>
        </w:rPr>
        <w:t xml:space="preserve">2. The Redemption of </w:t>
      </w:r>
      <w:proofErr w:type="spellStart"/>
      <w:r w:rsidR="00560FB8" w:rsidRPr="00E70EC9">
        <w:rPr>
          <w:i/>
          <w:iCs/>
          <w:color w:val="auto"/>
          <w:lang w:val="en-US"/>
        </w:rPr>
        <w:t>Verfassungswirklichkeit</w:t>
      </w:r>
      <w:bookmarkEnd w:id="7"/>
      <w:proofErr w:type="spellEnd"/>
    </w:p>
    <w:p w14:paraId="36F61981" w14:textId="77777777" w:rsidR="00560FB8" w:rsidRDefault="00560FB8" w:rsidP="00560FB8">
      <w:pPr>
        <w:spacing w:after="0" w:line="360" w:lineRule="auto"/>
        <w:jc w:val="both"/>
        <w:rPr>
          <w:rFonts w:ascii="Times New Roman" w:hAnsi="Times New Roman" w:cs="Times New Roman"/>
          <w:sz w:val="24"/>
          <w:szCs w:val="24"/>
          <w:lang w:val="en-US"/>
        </w:rPr>
      </w:pPr>
    </w:p>
    <w:p w14:paraId="1A3D37F1" w14:textId="77777777" w:rsidR="00560FB8" w:rsidRDefault="00560FB8" w:rsidP="00560FB8">
      <w:pPr>
        <w:spacing w:after="0" w:line="360" w:lineRule="auto"/>
        <w:ind w:firstLine="1134"/>
        <w:jc w:val="both"/>
        <w:rPr>
          <w:rFonts w:ascii="Times New Roman" w:hAnsi="Times New Roman" w:cs="Times New Roman"/>
          <w:sz w:val="24"/>
          <w:szCs w:val="24"/>
          <w:lang w:val="en-US"/>
        </w:rPr>
      </w:pPr>
      <w:r>
        <w:rPr>
          <w:rFonts w:ascii="Times New Roman" w:hAnsi="Times New Roman" w:cs="Times New Roman"/>
          <w:sz w:val="24"/>
          <w:szCs w:val="24"/>
          <w:lang w:val="en-US"/>
        </w:rPr>
        <w:t>If rupture and continuity can be written in and built as glass, what to say of the organization whose architecture is made thereof? Putting aside the avidness for similitude animating the gaze of the constitutional comparatist,</w:t>
      </w:r>
      <w:r>
        <w:rPr>
          <w:rStyle w:val="FootnoteReference"/>
          <w:rFonts w:ascii="Times New Roman" w:hAnsi="Times New Roman" w:cs="Times New Roman"/>
          <w:sz w:val="24"/>
          <w:szCs w:val="24"/>
          <w:lang w:val="en-US"/>
        </w:rPr>
        <w:footnoteReference w:id="105"/>
      </w:r>
      <w:r>
        <w:rPr>
          <w:rFonts w:ascii="Times New Roman" w:hAnsi="Times New Roman" w:cs="Times New Roman"/>
          <w:sz w:val="24"/>
          <w:szCs w:val="24"/>
          <w:lang w:val="en-US"/>
        </w:rPr>
        <w:t xml:space="preserve"> the circumstances which shaped the political opportunity for the establishment of constitutional adjudication in post-war Germany are strikingly different from those prevailing in 19</w:t>
      </w:r>
      <w:r w:rsidRPr="00E1433C">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century United States of America. Interestingly, the very difference was often a theme of constituent discourse,</w:t>
      </w:r>
      <w:r>
        <w:rPr>
          <w:rStyle w:val="FootnoteReference"/>
          <w:rFonts w:ascii="Times New Roman" w:hAnsi="Times New Roman" w:cs="Times New Roman"/>
          <w:sz w:val="24"/>
          <w:szCs w:val="24"/>
          <w:lang w:val="en-US"/>
        </w:rPr>
        <w:footnoteReference w:id="106"/>
      </w:r>
      <w:r>
        <w:rPr>
          <w:rFonts w:ascii="Times New Roman" w:hAnsi="Times New Roman" w:cs="Times New Roman"/>
          <w:sz w:val="24"/>
          <w:szCs w:val="24"/>
          <w:lang w:val="en-US"/>
        </w:rPr>
        <w:t xml:space="preserve"> answering to the pressure stemming from the Occupying Powers, that Germany of all places should forfeit its “authoritarian, eastern inclinations,” embracing instead the “Western tradition” of right, property and liberty.</w:t>
      </w:r>
      <w:r>
        <w:rPr>
          <w:rStyle w:val="FootnoteReference"/>
          <w:rFonts w:ascii="Times New Roman" w:hAnsi="Times New Roman" w:cs="Times New Roman"/>
          <w:sz w:val="24"/>
          <w:szCs w:val="24"/>
          <w:lang w:val="en-US"/>
        </w:rPr>
        <w:footnoteReference w:id="107"/>
      </w:r>
      <w:r>
        <w:rPr>
          <w:rFonts w:ascii="Times New Roman" w:hAnsi="Times New Roman" w:cs="Times New Roman"/>
          <w:sz w:val="24"/>
          <w:szCs w:val="24"/>
          <w:lang w:val="en-US"/>
        </w:rPr>
        <w:t xml:space="preserve"> </w:t>
      </w:r>
    </w:p>
    <w:p w14:paraId="3997D65E" w14:textId="611BBC90" w:rsidR="00560FB8" w:rsidRDefault="00560FB8">
      <w:pPr>
        <w:spacing w:after="0" w:line="360" w:lineRule="auto"/>
        <w:ind w:firstLine="1134"/>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As the offspring of the semantic struggle briefly addressed in the last section, it </w:t>
      </w:r>
      <w:r w:rsidR="00D423CE">
        <w:rPr>
          <w:rFonts w:ascii="Times New Roman" w:hAnsi="Times New Roman" w:cs="Times New Roman"/>
          <w:sz w:val="24"/>
          <w:szCs w:val="24"/>
          <w:lang w:val="en-US"/>
        </w:rPr>
        <w:t xml:space="preserve">has </w:t>
      </w:r>
      <w:r>
        <w:rPr>
          <w:rFonts w:ascii="Times New Roman" w:hAnsi="Times New Roman" w:cs="Times New Roman"/>
          <w:sz w:val="24"/>
          <w:szCs w:val="24"/>
          <w:lang w:val="en-US"/>
        </w:rPr>
        <w:t xml:space="preserve">already </w:t>
      </w:r>
      <w:r w:rsidR="00D423CE">
        <w:rPr>
          <w:rFonts w:ascii="Times New Roman" w:hAnsi="Times New Roman" w:cs="Times New Roman"/>
          <w:sz w:val="24"/>
          <w:szCs w:val="24"/>
          <w:lang w:val="en-US"/>
        </w:rPr>
        <w:t xml:space="preserve">become </w:t>
      </w:r>
      <w:r>
        <w:rPr>
          <w:rFonts w:ascii="Times New Roman" w:hAnsi="Times New Roman" w:cs="Times New Roman"/>
          <w:sz w:val="24"/>
          <w:szCs w:val="24"/>
          <w:lang w:val="en-US"/>
        </w:rPr>
        <w:t>a matter of tradition – whether Western, British, or US American is an issue of geopolitics – that right, property and freedom have their champion in the constitutional judge. Conversely,</w:t>
      </w:r>
      <w:r w:rsidR="004F209A">
        <w:rPr>
          <w:rFonts w:ascii="Times New Roman" w:hAnsi="Times New Roman" w:cs="Times New Roman"/>
          <w:sz w:val="24"/>
          <w:szCs w:val="24"/>
          <w:lang w:val="en-US"/>
        </w:rPr>
        <w:t xml:space="preserve"> up to this day scholarship underscores how the moral building of </w:t>
      </w:r>
      <w:proofErr w:type="spellStart"/>
      <w:r w:rsidR="004F209A" w:rsidRPr="00FA4C08">
        <w:rPr>
          <w:rFonts w:ascii="Times New Roman" w:hAnsi="Times New Roman" w:cs="Times New Roman"/>
          <w:i/>
          <w:iCs/>
          <w:sz w:val="24"/>
          <w:szCs w:val="24"/>
          <w:lang w:val="en-US"/>
        </w:rPr>
        <w:t>Verfassungsgerichtbarkeit</w:t>
      </w:r>
      <w:proofErr w:type="spellEnd"/>
      <w:r w:rsidR="004F209A">
        <w:rPr>
          <w:rFonts w:ascii="Times New Roman" w:hAnsi="Times New Roman" w:cs="Times New Roman"/>
          <w:sz w:val="24"/>
          <w:szCs w:val="24"/>
          <w:lang w:val="en-US"/>
        </w:rPr>
        <w:t xml:space="preserve"> was erected in strange soil.</w:t>
      </w:r>
      <w:r w:rsidR="00E24D2D">
        <w:rPr>
          <w:rStyle w:val="FootnoteReference"/>
          <w:rFonts w:ascii="Times New Roman" w:hAnsi="Times New Roman" w:cs="Times New Roman"/>
          <w:sz w:val="24"/>
          <w:szCs w:val="24"/>
          <w:lang w:val="en-US"/>
        </w:rPr>
        <w:footnoteReference w:id="108"/>
      </w:r>
      <w:r w:rsidR="004F209A">
        <w:rPr>
          <w:rFonts w:ascii="Times New Roman" w:hAnsi="Times New Roman" w:cs="Times New Roman"/>
          <w:sz w:val="24"/>
          <w:szCs w:val="24"/>
          <w:lang w:val="en-US"/>
        </w:rPr>
        <w:t xml:space="preserve"> And this</w:t>
      </w:r>
      <w:r>
        <w:rPr>
          <w:rFonts w:ascii="Times New Roman" w:hAnsi="Times New Roman" w:cs="Times New Roman"/>
          <w:sz w:val="24"/>
          <w:szCs w:val="24"/>
          <w:lang w:val="en-US"/>
        </w:rPr>
        <w:t xml:space="preserve"> </w:t>
      </w:r>
      <w:r w:rsidR="00D423CE">
        <w:rPr>
          <w:rFonts w:ascii="Times New Roman" w:hAnsi="Times New Roman" w:cs="Times New Roman"/>
          <w:sz w:val="24"/>
          <w:szCs w:val="24"/>
          <w:lang w:val="en-US"/>
        </w:rPr>
        <w:t xml:space="preserve">is </w:t>
      </w:r>
      <w:r>
        <w:rPr>
          <w:rFonts w:ascii="Times New Roman" w:hAnsi="Times New Roman" w:cs="Times New Roman"/>
          <w:sz w:val="24"/>
          <w:szCs w:val="24"/>
          <w:lang w:val="en-US"/>
        </w:rPr>
        <w:t xml:space="preserve">despite the contentious plausibility of constitutional adjudication during the Weimar era, whose epitome is, of course, the clash between Hans </w:t>
      </w:r>
      <w:proofErr w:type="spellStart"/>
      <w:r>
        <w:rPr>
          <w:rFonts w:ascii="Times New Roman" w:hAnsi="Times New Roman" w:cs="Times New Roman"/>
          <w:sz w:val="24"/>
          <w:szCs w:val="24"/>
          <w:lang w:val="en-US"/>
        </w:rPr>
        <w:t>Kelsen</w:t>
      </w:r>
      <w:proofErr w:type="spellEnd"/>
      <w:r>
        <w:rPr>
          <w:rFonts w:ascii="Times New Roman" w:hAnsi="Times New Roman" w:cs="Times New Roman"/>
          <w:sz w:val="24"/>
          <w:szCs w:val="24"/>
          <w:lang w:val="en-US"/>
        </w:rPr>
        <w:t xml:space="preserve"> and Carl Schmitt on who should be the guardian of the Constitution</w:t>
      </w:r>
      <w:r w:rsidR="004F209A">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4F209A">
        <w:rPr>
          <w:rFonts w:ascii="Times New Roman" w:hAnsi="Times New Roman" w:cs="Times New Roman"/>
          <w:sz w:val="24"/>
          <w:szCs w:val="24"/>
          <w:lang w:val="en-US"/>
        </w:rPr>
        <w:t>But that should also be considered alongside</w:t>
      </w:r>
      <w:r>
        <w:rPr>
          <w:rFonts w:ascii="Times New Roman" w:hAnsi="Times New Roman" w:cs="Times New Roman"/>
          <w:sz w:val="24"/>
          <w:szCs w:val="24"/>
          <w:lang w:val="en-US"/>
        </w:rPr>
        <w:t xml:space="preserve"> the earlier controversy over the judicial review of administrative acts</w:t>
      </w:r>
      <w:r w:rsidR="004F209A">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109"/>
      </w:r>
      <w:r>
        <w:rPr>
          <w:rFonts w:ascii="Times New Roman" w:hAnsi="Times New Roman" w:cs="Times New Roman"/>
          <w:sz w:val="24"/>
          <w:szCs w:val="24"/>
          <w:lang w:val="en-US"/>
        </w:rPr>
        <w:t xml:space="preserve"> </w:t>
      </w:r>
      <w:r w:rsidR="008C096B">
        <w:rPr>
          <w:rFonts w:ascii="Times New Roman" w:hAnsi="Times New Roman" w:cs="Times New Roman"/>
          <w:sz w:val="24"/>
          <w:szCs w:val="24"/>
          <w:lang w:val="en-US"/>
        </w:rPr>
        <w:t>This emphasis on rupture may well</w:t>
      </w:r>
      <w:r>
        <w:rPr>
          <w:rFonts w:ascii="Times New Roman" w:hAnsi="Times New Roman" w:cs="Times New Roman"/>
          <w:sz w:val="24"/>
          <w:szCs w:val="24"/>
          <w:lang w:val="en-US"/>
        </w:rPr>
        <w:t xml:space="preserve"> speak</w:t>
      </w:r>
      <w:r w:rsidR="008C096B">
        <w:rPr>
          <w:rFonts w:ascii="Times New Roman" w:hAnsi="Times New Roman" w:cs="Times New Roman"/>
          <w:sz w:val="24"/>
          <w:szCs w:val="24"/>
          <w:lang w:val="en-US"/>
        </w:rPr>
        <w:t xml:space="preserve"> to how attractive was to entertain</w:t>
      </w:r>
      <w:r>
        <w:rPr>
          <w:rFonts w:ascii="Times New Roman" w:hAnsi="Times New Roman" w:cs="Times New Roman"/>
          <w:sz w:val="24"/>
          <w:szCs w:val="24"/>
          <w:lang w:val="en-US"/>
        </w:rPr>
        <w:t xml:space="preserve"> </w:t>
      </w:r>
      <w:r w:rsidR="008C096B">
        <w:rPr>
          <w:rFonts w:ascii="Times New Roman" w:hAnsi="Times New Roman" w:cs="Times New Roman"/>
          <w:sz w:val="24"/>
          <w:szCs w:val="24"/>
          <w:lang w:val="en-US"/>
        </w:rPr>
        <w:t>the notion of a</w:t>
      </w:r>
      <w:r>
        <w:rPr>
          <w:rFonts w:ascii="Times New Roman" w:hAnsi="Times New Roman" w:cs="Times New Roman"/>
          <w:sz w:val="24"/>
          <w:szCs w:val="24"/>
          <w:lang w:val="en-US"/>
        </w:rPr>
        <w:t xml:space="preserve"> lack of precedents </w:t>
      </w:r>
      <w:r w:rsidR="008C096B">
        <w:rPr>
          <w:rFonts w:ascii="Times New Roman" w:hAnsi="Times New Roman" w:cs="Times New Roman"/>
          <w:sz w:val="24"/>
          <w:szCs w:val="24"/>
          <w:lang w:val="en-US"/>
        </w:rPr>
        <w:t xml:space="preserve">to </w:t>
      </w:r>
      <w:r>
        <w:rPr>
          <w:rFonts w:ascii="Times New Roman" w:hAnsi="Times New Roman" w:cs="Times New Roman"/>
          <w:sz w:val="24"/>
          <w:szCs w:val="24"/>
          <w:lang w:val="en-US"/>
        </w:rPr>
        <w:t xml:space="preserve">those involved </w:t>
      </w:r>
      <w:r w:rsidR="008C096B">
        <w:rPr>
          <w:rFonts w:ascii="Times New Roman" w:hAnsi="Times New Roman" w:cs="Times New Roman"/>
          <w:sz w:val="24"/>
          <w:szCs w:val="24"/>
          <w:lang w:val="en-US"/>
        </w:rPr>
        <w:t>in the</w:t>
      </w:r>
      <w:r>
        <w:rPr>
          <w:rFonts w:ascii="Times New Roman" w:hAnsi="Times New Roman" w:cs="Times New Roman"/>
          <w:sz w:val="24"/>
          <w:szCs w:val="24"/>
          <w:lang w:val="en-US"/>
        </w:rPr>
        <w:t xml:space="preserve"> German’s </w:t>
      </w:r>
      <w:proofErr w:type="spellStart"/>
      <w:r w:rsidRPr="00FA4C08">
        <w:rPr>
          <w:rFonts w:ascii="Times New Roman" w:hAnsi="Times New Roman" w:cs="Times New Roman"/>
          <w:i/>
          <w:iCs/>
          <w:sz w:val="24"/>
          <w:szCs w:val="24"/>
          <w:lang w:val="en-US"/>
        </w:rPr>
        <w:t>Stunde</w:t>
      </w:r>
      <w:proofErr w:type="spellEnd"/>
      <w:r w:rsidRPr="00FA4C08">
        <w:rPr>
          <w:rFonts w:ascii="Times New Roman" w:hAnsi="Times New Roman" w:cs="Times New Roman"/>
          <w:i/>
          <w:iCs/>
          <w:sz w:val="24"/>
          <w:szCs w:val="24"/>
          <w:lang w:val="en-US"/>
        </w:rPr>
        <w:t xml:space="preserve"> Null</w:t>
      </w:r>
      <w:r w:rsidR="008C096B">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110"/>
      </w:r>
      <w:r>
        <w:rPr>
          <w:rFonts w:ascii="Times New Roman" w:hAnsi="Times New Roman" w:cs="Times New Roman"/>
          <w:sz w:val="24"/>
          <w:szCs w:val="24"/>
          <w:lang w:val="en-US"/>
        </w:rPr>
        <w:t xml:space="preserve"> </w:t>
      </w:r>
      <w:r w:rsidR="008C096B">
        <w:rPr>
          <w:rFonts w:ascii="Times New Roman" w:hAnsi="Times New Roman" w:cs="Times New Roman"/>
          <w:sz w:val="24"/>
          <w:szCs w:val="24"/>
          <w:lang w:val="en-US"/>
        </w:rPr>
        <w:t>Its persistence, in its turn, suggests a</w:t>
      </w:r>
      <w:r>
        <w:rPr>
          <w:rFonts w:ascii="Times New Roman" w:hAnsi="Times New Roman" w:cs="Times New Roman"/>
          <w:sz w:val="24"/>
          <w:szCs w:val="24"/>
          <w:lang w:val="en-US"/>
        </w:rPr>
        <w:t xml:space="preserve"> sort of work on myth, </w:t>
      </w:r>
      <w:r w:rsidR="008C096B">
        <w:rPr>
          <w:rFonts w:ascii="Times New Roman" w:hAnsi="Times New Roman" w:cs="Times New Roman"/>
          <w:sz w:val="24"/>
          <w:szCs w:val="24"/>
          <w:lang w:val="en-US"/>
        </w:rPr>
        <w:t xml:space="preserve">pulling </w:t>
      </w:r>
      <w:r w:rsidR="009861E5">
        <w:rPr>
          <w:rFonts w:ascii="Times New Roman" w:hAnsi="Times New Roman" w:cs="Times New Roman"/>
          <w:sz w:val="24"/>
          <w:szCs w:val="24"/>
          <w:lang w:val="en-US"/>
        </w:rPr>
        <w:t xml:space="preserve">along </w:t>
      </w:r>
      <w:r w:rsidR="008C096B">
        <w:rPr>
          <w:rFonts w:ascii="Times New Roman" w:hAnsi="Times New Roman" w:cs="Times New Roman"/>
          <w:sz w:val="24"/>
          <w:szCs w:val="24"/>
          <w:lang w:val="en-US"/>
        </w:rPr>
        <w:t>those</w:t>
      </w:r>
      <w:r>
        <w:rPr>
          <w:rFonts w:ascii="Times New Roman" w:hAnsi="Times New Roman" w:cs="Times New Roman"/>
          <w:sz w:val="24"/>
          <w:szCs w:val="24"/>
          <w:lang w:val="en-US"/>
        </w:rPr>
        <w:t xml:space="preserve"> who later </w:t>
      </w:r>
      <w:r w:rsidR="008C096B">
        <w:rPr>
          <w:rFonts w:ascii="Times New Roman" w:hAnsi="Times New Roman" w:cs="Times New Roman"/>
          <w:sz w:val="24"/>
          <w:szCs w:val="24"/>
          <w:lang w:val="en-US"/>
        </w:rPr>
        <w:t>handled</w:t>
      </w:r>
      <w:r>
        <w:rPr>
          <w:rFonts w:ascii="Times New Roman" w:hAnsi="Times New Roman" w:cs="Times New Roman"/>
          <w:sz w:val="24"/>
          <w:szCs w:val="24"/>
          <w:lang w:val="en-US"/>
        </w:rPr>
        <w:t xml:space="preserve"> the early generation’s words, actions, and works. </w:t>
      </w:r>
    </w:p>
    <w:p w14:paraId="1107A85F" w14:textId="6586AC08" w:rsidR="00560FB8" w:rsidRDefault="00560FB8" w:rsidP="00560FB8">
      <w:pPr>
        <w:spacing w:after="0" w:line="360" w:lineRule="auto"/>
        <w:ind w:firstLine="113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Paradoxically, however, shoulder </w:t>
      </w:r>
      <w:r w:rsidR="00213B97">
        <w:rPr>
          <w:rFonts w:ascii="Times New Roman" w:hAnsi="Times New Roman" w:cs="Times New Roman"/>
          <w:sz w:val="24"/>
          <w:szCs w:val="24"/>
          <w:lang w:val="en-US"/>
        </w:rPr>
        <w:t xml:space="preserve">to </w:t>
      </w:r>
      <w:r>
        <w:rPr>
          <w:rFonts w:ascii="Times New Roman" w:hAnsi="Times New Roman" w:cs="Times New Roman"/>
          <w:sz w:val="24"/>
          <w:szCs w:val="24"/>
          <w:lang w:val="en-US"/>
        </w:rPr>
        <w:t xml:space="preserve">shoulder with the emphasis on the novelty of the Constitution’s great offering, constitutional actors often plead for a return to the Christian, European, and Western tradition </w:t>
      </w:r>
      <w:r w:rsidR="00E24D2D">
        <w:rPr>
          <w:rFonts w:ascii="Times New Roman" w:hAnsi="Times New Roman" w:cs="Times New Roman"/>
          <w:sz w:val="24"/>
          <w:szCs w:val="24"/>
          <w:lang w:val="en-US"/>
        </w:rPr>
        <w:t xml:space="preserve">which </w:t>
      </w:r>
      <w:r>
        <w:rPr>
          <w:rFonts w:ascii="Times New Roman" w:hAnsi="Times New Roman" w:cs="Times New Roman"/>
          <w:sz w:val="24"/>
          <w:szCs w:val="24"/>
          <w:lang w:val="en-US"/>
        </w:rPr>
        <w:t>Germany once was a proud representative of.</w:t>
      </w:r>
      <w:r>
        <w:rPr>
          <w:rStyle w:val="FootnoteReference"/>
          <w:rFonts w:ascii="Times New Roman" w:hAnsi="Times New Roman" w:cs="Times New Roman"/>
          <w:sz w:val="24"/>
          <w:szCs w:val="24"/>
          <w:lang w:val="en-US"/>
        </w:rPr>
        <w:footnoteReference w:id="111"/>
      </w:r>
      <w:r>
        <w:rPr>
          <w:rFonts w:ascii="Times New Roman" w:hAnsi="Times New Roman" w:cs="Times New Roman"/>
          <w:sz w:val="24"/>
          <w:szCs w:val="24"/>
          <w:lang w:val="en-US"/>
        </w:rPr>
        <w:t xml:space="preserve"> Unprecedented as it was, Nazism should be seen as an exception and a departure from German-Christian traditions</w:t>
      </w:r>
      <w:r w:rsidR="004F209A">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4F209A">
        <w:rPr>
          <w:rFonts w:ascii="Times New Roman" w:hAnsi="Times New Roman" w:cs="Times New Roman"/>
          <w:sz w:val="24"/>
          <w:szCs w:val="24"/>
          <w:lang w:val="en-US"/>
        </w:rPr>
        <w:t>A</w:t>
      </w:r>
      <w:r>
        <w:rPr>
          <w:rFonts w:ascii="Times New Roman" w:hAnsi="Times New Roman" w:cs="Times New Roman"/>
          <w:sz w:val="24"/>
          <w:szCs w:val="24"/>
          <w:lang w:val="en-US"/>
        </w:rPr>
        <w:t xml:space="preserve"> deviation that could be ascribed as being prepared, insofar as the legal profession – and the “legal tradition” – is concerned, to the (Jewish?) rootlessness of the Weimar Constitution and legal positivism.</w:t>
      </w:r>
      <w:r>
        <w:rPr>
          <w:rStyle w:val="FootnoteReference"/>
          <w:rFonts w:ascii="Times New Roman" w:hAnsi="Times New Roman" w:cs="Times New Roman"/>
          <w:sz w:val="24"/>
          <w:szCs w:val="24"/>
          <w:lang w:val="en-US"/>
        </w:rPr>
        <w:footnoteReference w:id="112"/>
      </w:r>
      <w:r>
        <w:rPr>
          <w:rFonts w:ascii="Times New Roman" w:hAnsi="Times New Roman" w:cs="Times New Roman"/>
          <w:sz w:val="24"/>
          <w:szCs w:val="24"/>
          <w:lang w:val="en-US"/>
        </w:rPr>
        <w:t xml:space="preserve"> </w:t>
      </w:r>
      <w:r w:rsidR="009861E5">
        <w:rPr>
          <w:rFonts w:ascii="Times New Roman" w:hAnsi="Times New Roman" w:cs="Times New Roman"/>
          <w:sz w:val="24"/>
          <w:szCs w:val="24"/>
          <w:lang w:val="en-US"/>
        </w:rPr>
        <w:t>T</w:t>
      </w:r>
      <w:r>
        <w:rPr>
          <w:rFonts w:ascii="Times New Roman" w:hAnsi="Times New Roman" w:cs="Times New Roman"/>
          <w:sz w:val="24"/>
          <w:szCs w:val="24"/>
          <w:lang w:val="en-US"/>
        </w:rPr>
        <w:t xml:space="preserve">hose actors </w:t>
      </w:r>
      <w:r w:rsidR="009861E5">
        <w:rPr>
          <w:rFonts w:ascii="Times New Roman" w:hAnsi="Times New Roman" w:cs="Times New Roman"/>
          <w:sz w:val="24"/>
          <w:szCs w:val="24"/>
          <w:lang w:val="en-US"/>
        </w:rPr>
        <w:t xml:space="preserve">regularly </w:t>
      </w:r>
      <w:r>
        <w:rPr>
          <w:rFonts w:ascii="Times New Roman" w:hAnsi="Times New Roman" w:cs="Times New Roman"/>
          <w:sz w:val="24"/>
          <w:szCs w:val="24"/>
          <w:lang w:val="en-US"/>
        </w:rPr>
        <w:t xml:space="preserve">painted the </w:t>
      </w:r>
      <w:proofErr w:type="spellStart"/>
      <w:r w:rsidRPr="00C162F3">
        <w:rPr>
          <w:rFonts w:ascii="Times New Roman" w:hAnsi="Times New Roman" w:cs="Times New Roman"/>
          <w:i/>
          <w:iCs/>
          <w:sz w:val="24"/>
          <w:szCs w:val="24"/>
          <w:lang w:val="en-US"/>
        </w:rPr>
        <w:t>Grundgesetz</w:t>
      </w:r>
      <w:proofErr w:type="spellEnd"/>
      <w:r>
        <w:rPr>
          <w:rFonts w:ascii="Times New Roman" w:hAnsi="Times New Roman" w:cs="Times New Roman"/>
          <w:sz w:val="24"/>
          <w:szCs w:val="24"/>
          <w:lang w:val="en-US"/>
        </w:rPr>
        <w:t xml:space="preserve"> with godly and traditional colors, its preamble being a</w:t>
      </w:r>
      <w:r w:rsidR="00D423CE">
        <w:rPr>
          <w:rFonts w:ascii="Times New Roman" w:hAnsi="Times New Roman" w:cs="Times New Roman"/>
          <w:sz w:val="24"/>
          <w:szCs w:val="24"/>
          <w:lang w:val="en-US"/>
        </w:rPr>
        <w:t xml:space="preserve"> shred of</w:t>
      </w:r>
      <w:r>
        <w:rPr>
          <w:rFonts w:ascii="Times New Roman" w:hAnsi="Times New Roman" w:cs="Times New Roman"/>
          <w:sz w:val="24"/>
          <w:szCs w:val="24"/>
          <w:lang w:val="en-US"/>
        </w:rPr>
        <w:t xml:space="preserve"> forceful evidence thereof</w:t>
      </w:r>
      <w:r>
        <w:rPr>
          <w:rStyle w:val="FootnoteReference"/>
          <w:rFonts w:ascii="Times New Roman" w:hAnsi="Times New Roman" w:cs="Times New Roman"/>
          <w:sz w:val="24"/>
          <w:szCs w:val="24"/>
          <w:lang w:val="en-US"/>
        </w:rPr>
        <w:footnoteReference w:id="113"/>
      </w:r>
      <w:r>
        <w:rPr>
          <w:rFonts w:ascii="Times New Roman" w:hAnsi="Times New Roman" w:cs="Times New Roman"/>
          <w:sz w:val="24"/>
          <w:szCs w:val="24"/>
          <w:lang w:val="en-US"/>
        </w:rPr>
        <w:t xml:space="preserve"> – while occasionally and notoriously even printing it </w:t>
      </w:r>
      <w:r w:rsidR="009861E5">
        <w:rPr>
          <w:rFonts w:ascii="Times New Roman" w:hAnsi="Times New Roman" w:cs="Times New Roman"/>
          <w:sz w:val="24"/>
          <w:szCs w:val="24"/>
          <w:lang w:val="en-US"/>
        </w:rPr>
        <w:t xml:space="preserve">with </w:t>
      </w:r>
      <w:r>
        <w:rPr>
          <w:rFonts w:ascii="Times New Roman" w:hAnsi="Times New Roman" w:cs="Times New Roman"/>
          <w:sz w:val="24"/>
          <w:szCs w:val="24"/>
          <w:lang w:val="en-US"/>
        </w:rPr>
        <w:t>the typography evocative of the German Empire.</w:t>
      </w:r>
      <w:r>
        <w:rPr>
          <w:rStyle w:val="FootnoteReference"/>
          <w:rFonts w:ascii="Times New Roman" w:hAnsi="Times New Roman" w:cs="Times New Roman"/>
          <w:sz w:val="24"/>
          <w:szCs w:val="24"/>
          <w:lang w:val="en-US"/>
        </w:rPr>
        <w:footnoteReference w:id="114"/>
      </w:r>
      <w:r>
        <w:rPr>
          <w:rFonts w:ascii="Times New Roman" w:hAnsi="Times New Roman" w:cs="Times New Roman"/>
          <w:sz w:val="24"/>
          <w:szCs w:val="24"/>
          <w:lang w:val="en-US"/>
        </w:rPr>
        <w:t xml:space="preserve"> Accordingly, notwithstanding </w:t>
      </w:r>
      <w:r w:rsidR="009861E5">
        <w:rPr>
          <w:rFonts w:ascii="Times New Roman" w:hAnsi="Times New Roman" w:cs="Times New Roman"/>
          <w:sz w:val="24"/>
          <w:szCs w:val="24"/>
          <w:lang w:val="en-US"/>
        </w:rPr>
        <w:t>their</w:t>
      </w:r>
      <w:r>
        <w:rPr>
          <w:rFonts w:ascii="Times New Roman" w:hAnsi="Times New Roman" w:cs="Times New Roman"/>
          <w:sz w:val="24"/>
          <w:szCs w:val="24"/>
          <w:lang w:val="en-US"/>
        </w:rPr>
        <w:t xml:space="preserve"> novelty, constitutional justices would be modern-day </w:t>
      </w:r>
      <w:proofErr w:type="spellStart"/>
      <w:r w:rsidRPr="00092123">
        <w:rPr>
          <w:rFonts w:ascii="Times New Roman" w:hAnsi="Times New Roman" w:cs="Times New Roman"/>
          <w:i/>
          <w:iCs/>
          <w:sz w:val="24"/>
          <w:szCs w:val="24"/>
          <w:lang w:val="en-US"/>
        </w:rPr>
        <w:t>Schöffen</w:t>
      </w:r>
      <w:proofErr w:type="spellEnd"/>
      <w:r w:rsidR="00B8175F">
        <w:rPr>
          <w:rFonts w:ascii="Times New Roman" w:hAnsi="Times New Roman" w:cs="Times New Roman"/>
          <w:sz w:val="24"/>
          <w:szCs w:val="24"/>
          <w:lang w:val="en-US"/>
        </w:rPr>
        <w:t xml:space="preserve">. </w:t>
      </w:r>
      <w:r w:rsidR="009861E5">
        <w:rPr>
          <w:rFonts w:ascii="Times New Roman" w:hAnsi="Times New Roman" w:cs="Times New Roman"/>
          <w:sz w:val="24"/>
          <w:szCs w:val="24"/>
          <w:lang w:val="en-US"/>
        </w:rPr>
        <w:t>In its turn, t</w:t>
      </w:r>
      <w:r>
        <w:rPr>
          <w:rFonts w:ascii="Times New Roman" w:hAnsi="Times New Roman" w:cs="Times New Roman"/>
          <w:sz w:val="24"/>
          <w:szCs w:val="24"/>
          <w:lang w:val="en-US"/>
        </w:rPr>
        <w:t xml:space="preserve">heir </w:t>
      </w:r>
      <w:r>
        <w:rPr>
          <w:rFonts w:ascii="Times New Roman" w:hAnsi="Times New Roman" w:cs="Times New Roman"/>
          <w:sz w:val="24"/>
          <w:szCs w:val="24"/>
          <w:lang w:val="en-US"/>
        </w:rPr>
        <w:lastRenderedPageBreak/>
        <w:t>milieu, an authentic constitutional court</w:t>
      </w:r>
      <w:r w:rsidR="009861E5">
        <w:rPr>
          <w:rFonts w:ascii="Times New Roman" w:hAnsi="Times New Roman" w:cs="Times New Roman"/>
          <w:sz w:val="24"/>
          <w:szCs w:val="24"/>
          <w:lang w:val="en-US"/>
        </w:rPr>
        <w:t xml:space="preserve"> should be considered as </w:t>
      </w:r>
      <w:r>
        <w:rPr>
          <w:rFonts w:ascii="Times New Roman" w:hAnsi="Times New Roman" w:cs="Times New Roman"/>
          <w:sz w:val="24"/>
          <w:szCs w:val="24"/>
          <w:lang w:val="en-US"/>
        </w:rPr>
        <w:t>the touching stone which</w:t>
      </w:r>
      <w:r w:rsidR="009861E5">
        <w:rPr>
          <w:rFonts w:ascii="Times New Roman" w:hAnsi="Times New Roman" w:cs="Times New Roman"/>
          <w:sz w:val="24"/>
          <w:szCs w:val="24"/>
          <w:lang w:val="en-US"/>
        </w:rPr>
        <w:t xml:space="preserve"> enables</w:t>
      </w:r>
      <w:r>
        <w:rPr>
          <w:rFonts w:ascii="Times New Roman" w:hAnsi="Times New Roman" w:cs="Times New Roman"/>
          <w:sz w:val="24"/>
          <w:szCs w:val="24"/>
          <w:lang w:val="en-US"/>
        </w:rPr>
        <w:t xml:space="preserve"> the words of the Constitution</w:t>
      </w:r>
      <w:r w:rsidR="009861E5">
        <w:rPr>
          <w:rFonts w:ascii="Times New Roman" w:hAnsi="Times New Roman" w:cs="Times New Roman"/>
          <w:sz w:val="24"/>
          <w:szCs w:val="24"/>
          <w:lang w:val="en-US"/>
        </w:rPr>
        <w:t xml:space="preserve"> to </w:t>
      </w:r>
      <w:r w:rsidR="00157586">
        <w:rPr>
          <w:rFonts w:ascii="Times New Roman" w:hAnsi="Times New Roman" w:cs="Times New Roman"/>
          <w:sz w:val="24"/>
          <w:szCs w:val="24"/>
          <w:lang w:val="en-US"/>
        </w:rPr>
        <w:t>remain</w:t>
      </w:r>
      <w:r>
        <w:rPr>
          <w:rFonts w:ascii="Times New Roman" w:hAnsi="Times New Roman" w:cs="Times New Roman"/>
          <w:sz w:val="24"/>
          <w:szCs w:val="24"/>
          <w:lang w:val="en-US"/>
        </w:rPr>
        <w:t xml:space="preserve"> one with its spirit.</w:t>
      </w:r>
      <w:r>
        <w:rPr>
          <w:rStyle w:val="FootnoteReference"/>
          <w:rFonts w:ascii="Times New Roman" w:hAnsi="Times New Roman" w:cs="Times New Roman"/>
          <w:sz w:val="24"/>
          <w:szCs w:val="24"/>
          <w:lang w:val="en-US"/>
        </w:rPr>
        <w:footnoteReference w:id="115"/>
      </w:r>
      <w:r>
        <w:rPr>
          <w:rFonts w:ascii="Times New Roman" w:hAnsi="Times New Roman" w:cs="Times New Roman"/>
          <w:sz w:val="24"/>
          <w:szCs w:val="24"/>
          <w:lang w:val="en-US"/>
        </w:rPr>
        <w:t xml:space="preserve"> </w:t>
      </w:r>
    </w:p>
    <w:p w14:paraId="6D89FBB4" w14:textId="0D2F0A0F" w:rsidR="00B8175F" w:rsidRDefault="00B8175F" w:rsidP="00B8175F">
      <w:pPr>
        <w:spacing w:after="0" w:line="360" w:lineRule="auto"/>
        <w:ind w:firstLine="113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Illustratively, even as Gerhard </w:t>
      </w:r>
      <w:proofErr w:type="spellStart"/>
      <w:r>
        <w:rPr>
          <w:rFonts w:ascii="Times New Roman" w:hAnsi="Times New Roman" w:cs="Times New Roman"/>
          <w:sz w:val="24"/>
          <w:szCs w:val="24"/>
          <w:lang w:val="en-US"/>
        </w:rPr>
        <w:t>Leibholz</w:t>
      </w:r>
      <w:proofErr w:type="spellEnd"/>
      <w:r>
        <w:rPr>
          <w:rFonts w:ascii="Times New Roman" w:hAnsi="Times New Roman" w:cs="Times New Roman"/>
          <w:sz w:val="24"/>
          <w:szCs w:val="24"/>
          <w:lang w:val="en-US"/>
        </w:rPr>
        <w:t xml:space="preserve"> feels the need to reach for English and American-English figments as he conceives constitutional judges as “lords” wise in the ways of “statesmanship,”</w:t>
      </w:r>
      <w:r>
        <w:rPr>
          <w:rStyle w:val="FootnoteReference"/>
          <w:rFonts w:ascii="Times New Roman" w:hAnsi="Times New Roman" w:cs="Times New Roman"/>
          <w:sz w:val="24"/>
          <w:szCs w:val="24"/>
          <w:lang w:val="en-US"/>
        </w:rPr>
        <w:footnoteReference w:id="116"/>
      </w:r>
      <w:r>
        <w:rPr>
          <w:rFonts w:ascii="Times New Roman" w:hAnsi="Times New Roman" w:cs="Times New Roman"/>
          <w:sz w:val="24"/>
          <w:szCs w:val="24"/>
          <w:lang w:val="en-US"/>
        </w:rPr>
        <w:t xml:space="preserve"> the materialization thereof takes its cue from one rather curious mythical overlapping. Namely, between the early modern Italian judicial attire,</w:t>
      </w:r>
      <w:r>
        <w:rPr>
          <w:rStyle w:val="FootnoteReference"/>
          <w:rFonts w:ascii="Times New Roman" w:hAnsi="Times New Roman" w:cs="Times New Roman"/>
          <w:sz w:val="24"/>
          <w:szCs w:val="24"/>
          <w:lang w:val="en-US"/>
        </w:rPr>
        <w:footnoteReference w:id="117"/>
      </w:r>
      <w:r>
        <w:rPr>
          <w:rFonts w:ascii="Times New Roman" w:hAnsi="Times New Roman" w:cs="Times New Roman"/>
          <w:sz w:val="24"/>
          <w:szCs w:val="24"/>
          <w:lang w:val="en-US"/>
        </w:rPr>
        <w:t xml:space="preserve"> inspiring the garment of the German constitutional judge, and the office of the </w:t>
      </w:r>
      <w:proofErr w:type="spellStart"/>
      <w:r w:rsidRPr="004232E5">
        <w:rPr>
          <w:rFonts w:ascii="Times New Roman" w:hAnsi="Times New Roman" w:cs="Times New Roman"/>
          <w:i/>
          <w:iCs/>
          <w:sz w:val="24"/>
          <w:szCs w:val="24"/>
          <w:lang w:val="en-US"/>
        </w:rPr>
        <w:t>Schöffen</w:t>
      </w:r>
      <w:proofErr w:type="spellEnd"/>
      <w:r>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118"/>
      </w:r>
      <w:r>
        <w:rPr>
          <w:rFonts w:ascii="Times New Roman" w:hAnsi="Times New Roman" w:cs="Times New Roman"/>
          <w:sz w:val="24"/>
          <w:szCs w:val="24"/>
          <w:lang w:val="en-US"/>
        </w:rPr>
        <w:t xml:space="preserve"> the communal judge who didn’t wear any special clothes beyond those related to his belonging to the upper strata of the commune’s citizens.</w:t>
      </w:r>
      <w:r>
        <w:rPr>
          <w:rStyle w:val="FootnoteReference"/>
          <w:rFonts w:ascii="Times New Roman" w:hAnsi="Times New Roman" w:cs="Times New Roman"/>
          <w:sz w:val="24"/>
          <w:szCs w:val="24"/>
          <w:lang w:val="en-US"/>
        </w:rPr>
        <w:footnoteReference w:id="119"/>
      </w:r>
      <w:r>
        <w:rPr>
          <w:rFonts w:ascii="Times New Roman" w:hAnsi="Times New Roman" w:cs="Times New Roman"/>
          <w:sz w:val="24"/>
          <w:szCs w:val="24"/>
          <w:lang w:val="en-US"/>
        </w:rPr>
        <w:t xml:space="preserve"> The </w:t>
      </w:r>
      <w:proofErr w:type="spellStart"/>
      <w:r w:rsidRPr="00E55F31">
        <w:rPr>
          <w:rFonts w:ascii="Times New Roman" w:hAnsi="Times New Roman" w:cs="Times New Roman"/>
          <w:i/>
          <w:iCs/>
          <w:sz w:val="24"/>
          <w:szCs w:val="24"/>
          <w:lang w:val="en-US"/>
        </w:rPr>
        <w:t>Schöffen</w:t>
      </w:r>
      <w:r w:rsidRPr="0034796D">
        <w:rPr>
          <w:rFonts w:ascii="Times New Roman" w:hAnsi="Times New Roman" w:cs="Times New Roman"/>
          <w:sz w:val="24"/>
          <w:szCs w:val="24"/>
          <w:lang w:val="en-US"/>
        </w:rPr>
        <w:t>’s</w:t>
      </w:r>
      <w:proofErr w:type="spellEnd"/>
      <w:r w:rsidRPr="0034796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representative, integrative force, in contrast to Bourgeoise judgeship, was highlighted in </w:t>
      </w:r>
      <w:proofErr w:type="spellStart"/>
      <w:r>
        <w:rPr>
          <w:rFonts w:ascii="Times New Roman" w:hAnsi="Times New Roman" w:cs="Times New Roman"/>
          <w:sz w:val="24"/>
          <w:szCs w:val="24"/>
          <w:lang w:val="en-US"/>
        </w:rPr>
        <w:t>Leibholz</w:t>
      </w:r>
      <w:proofErr w:type="spellEnd"/>
      <w:r>
        <w:rPr>
          <w:rFonts w:ascii="Times New Roman" w:hAnsi="Times New Roman" w:cs="Times New Roman"/>
          <w:sz w:val="24"/>
          <w:szCs w:val="24"/>
          <w:lang w:val="en-US"/>
        </w:rPr>
        <w:t>’ Weimar-era monograph.</w:t>
      </w:r>
      <w:r>
        <w:rPr>
          <w:rStyle w:val="FootnoteReference"/>
          <w:rFonts w:ascii="Times New Roman" w:hAnsi="Times New Roman" w:cs="Times New Roman"/>
          <w:sz w:val="24"/>
          <w:szCs w:val="24"/>
          <w:lang w:val="en-US"/>
        </w:rPr>
        <w:footnoteReference w:id="120"/>
      </w:r>
      <w:r>
        <w:rPr>
          <w:rFonts w:ascii="Times New Roman" w:hAnsi="Times New Roman" w:cs="Times New Roman"/>
          <w:sz w:val="24"/>
          <w:szCs w:val="24"/>
          <w:lang w:val="en-US"/>
        </w:rPr>
        <w:t xml:space="preserve"> Hence, in order to weave into fabric what Leibniz was arguing for in the fabric of his texts so that constitutional justices could appear as the modern-day </w:t>
      </w:r>
      <w:proofErr w:type="spellStart"/>
      <w:r w:rsidRPr="004F1CE6">
        <w:rPr>
          <w:rFonts w:ascii="Times New Roman" w:hAnsi="Times New Roman" w:cs="Times New Roman"/>
          <w:i/>
          <w:sz w:val="24"/>
          <w:szCs w:val="24"/>
          <w:lang w:val="en-US"/>
        </w:rPr>
        <w:t>Schöffen</w:t>
      </w:r>
      <w:proofErr w:type="spellEnd"/>
      <w:r>
        <w:rPr>
          <w:rFonts w:ascii="Times New Roman" w:hAnsi="Times New Roman" w:cs="Times New Roman"/>
          <w:sz w:val="24"/>
          <w:szCs w:val="24"/>
          <w:lang w:val="en-US"/>
        </w:rPr>
        <w:t xml:space="preserve"> they are, one had to invent the clothes a </w:t>
      </w:r>
      <w:proofErr w:type="spellStart"/>
      <w:r w:rsidRPr="004F1CE6">
        <w:rPr>
          <w:rFonts w:ascii="Times New Roman" w:hAnsi="Times New Roman" w:cs="Times New Roman"/>
          <w:i/>
          <w:sz w:val="24"/>
          <w:szCs w:val="24"/>
          <w:lang w:val="en-US"/>
        </w:rPr>
        <w:t>Shöffe</w:t>
      </w:r>
      <w:proofErr w:type="spellEnd"/>
      <w:r>
        <w:rPr>
          <w:rFonts w:ascii="Times New Roman" w:hAnsi="Times New Roman" w:cs="Times New Roman"/>
          <w:sz w:val="24"/>
          <w:szCs w:val="24"/>
          <w:lang w:val="en-US"/>
        </w:rPr>
        <w:t xml:space="preserve"> would wear, so that the present and the past could be bridged above the abyss of National Socialism.</w:t>
      </w:r>
    </w:p>
    <w:p w14:paraId="1C942AFF" w14:textId="0E33107D" w:rsidR="004F209A" w:rsidRDefault="00D423CE" w:rsidP="00560FB8">
      <w:pPr>
        <w:spacing w:after="0" w:line="360" w:lineRule="auto"/>
        <w:ind w:firstLine="1134"/>
        <w:jc w:val="both"/>
        <w:rPr>
          <w:rFonts w:ascii="Times New Roman" w:hAnsi="Times New Roman" w:cs="Times New Roman"/>
          <w:sz w:val="24"/>
          <w:szCs w:val="24"/>
          <w:lang w:val="en-US"/>
        </w:rPr>
      </w:pPr>
      <w:r>
        <w:rPr>
          <w:rFonts w:ascii="Times New Roman" w:hAnsi="Times New Roman" w:cs="Times New Roman"/>
          <w:sz w:val="24"/>
          <w:szCs w:val="24"/>
          <w:lang w:val="en-US"/>
        </w:rPr>
        <w:t>J</w:t>
      </w:r>
      <w:r w:rsidR="00560FB8">
        <w:rPr>
          <w:rFonts w:ascii="Times New Roman" w:hAnsi="Times New Roman" w:cs="Times New Roman"/>
          <w:sz w:val="24"/>
          <w:szCs w:val="24"/>
          <w:lang w:val="en-US"/>
        </w:rPr>
        <w:t xml:space="preserve">ust as 200 years later 1787 still was the year of the </w:t>
      </w:r>
      <w:r w:rsidR="00560FB8" w:rsidRPr="00922B6D">
        <w:rPr>
          <w:rFonts w:ascii="Times New Roman" w:hAnsi="Times New Roman" w:cs="Times New Roman"/>
          <w:i/>
          <w:iCs/>
          <w:sz w:val="24"/>
          <w:szCs w:val="24"/>
          <w:lang w:val="en-US"/>
        </w:rPr>
        <w:t xml:space="preserve">Miracle </w:t>
      </w:r>
      <w:r w:rsidR="00560FB8">
        <w:rPr>
          <w:rFonts w:ascii="Times New Roman" w:hAnsi="Times New Roman" w:cs="Times New Roman"/>
          <w:i/>
          <w:iCs/>
          <w:sz w:val="24"/>
          <w:szCs w:val="24"/>
          <w:lang w:val="en-US"/>
        </w:rPr>
        <w:t>at</w:t>
      </w:r>
      <w:r w:rsidR="00560FB8" w:rsidRPr="00922B6D">
        <w:rPr>
          <w:rFonts w:ascii="Times New Roman" w:hAnsi="Times New Roman" w:cs="Times New Roman"/>
          <w:i/>
          <w:iCs/>
          <w:sz w:val="24"/>
          <w:szCs w:val="24"/>
          <w:lang w:val="en-US"/>
        </w:rPr>
        <w:t xml:space="preserve"> Philadelphia</w:t>
      </w:r>
      <w:r w:rsidR="00560FB8">
        <w:rPr>
          <w:rFonts w:ascii="Times New Roman" w:hAnsi="Times New Roman" w:cs="Times New Roman"/>
          <w:sz w:val="24"/>
          <w:szCs w:val="24"/>
          <w:lang w:val="en-US"/>
        </w:rPr>
        <w:t>,</w:t>
      </w:r>
      <w:r w:rsidR="00560FB8">
        <w:rPr>
          <w:rStyle w:val="FootnoteReference"/>
          <w:rFonts w:ascii="Times New Roman" w:hAnsi="Times New Roman" w:cs="Times New Roman"/>
          <w:sz w:val="24"/>
          <w:szCs w:val="24"/>
          <w:lang w:val="en-US"/>
        </w:rPr>
        <w:footnoteReference w:id="121"/>
      </w:r>
      <w:r w:rsidR="00560FB8">
        <w:rPr>
          <w:rFonts w:ascii="Times New Roman" w:hAnsi="Times New Roman" w:cs="Times New Roman"/>
          <w:sz w:val="24"/>
          <w:szCs w:val="24"/>
          <w:lang w:val="en-US"/>
        </w:rPr>
        <w:t xml:space="preserve"> the divine aura of the </w:t>
      </w:r>
      <w:proofErr w:type="spellStart"/>
      <w:r w:rsidR="00560FB8" w:rsidRPr="00922B6D">
        <w:rPr>
          <w:rFonts w:ascii="Times New Roman" w:hAnsi="Times New Roman" w:cs="Times New Roman"/>
          <w:i/>
          <w:iCs/>
          <w:sz w:val="24"/>
          <w:szCs w:val="24"/>
          <w:lang w:val="en-US"/>
        </w:rPr>
        <w:t>Grundgesetz</w:t>
      </w:r>
      <w:proofErr w:type="spellEnd"/>
      <w:r w:rsidR="00560FB8">
        <w:rPr>
          <w:rFonts w:ascii="Times New Roman" w:hAnsi="Times New Roman" w:cs="Times New Roman"/>
          <w:sz w:val="24"/>
          <w:szCs w:val="24"/>
          <w:lang w:val="en-US"/>
        </w:rPr>
        <w:t xml:space="preserve"> didn’t wane </w:t>
      </w:r>
      <w:r>
        <w:rPr>
          <w:rFonts w:ascii="Times New Roman" w:hAnsi="Times New Roman" w:cs="Times New Roman"/>
          <w:sz w:val="24"/>
          <w:szCs w:val="24"/>
          <w:lang w:val="en-US"/>
        </w:rPr>
        <w:t>over</w:t>
      </w:r>
      <w:r w:rsidR="00560FB8">
        <w:rPr>
          <w:rFonts w:ascii="Times New Roman" w:hAnsi="Times New Roman" w:cs="Times New Roman"/>
          <w:sz w:val="24"/>
          <w:szCs w:val="24"/>
          <w:lang w:val="en-US"/>
        </w:rPr>
        <w:t xml:space="preserve"> time. Consider the notorious example of Paul </w:t>
      </w:r>
      <w:proofErr w:type="spellStart"/>
      <w:r w:rsidR="00560FB8">
        <w:rPr>
          <w:rFonts w:ascii="Times New Roman" w:hAnsi="Times New Roman" w:cs="Times New Roman"/>
          <w:sz w:val="24"/>
          <w:szCs w:val="24"/>
          <w:lang w:val="en-US"/>
        </w:rPr>
        <w:t>Kirchhof</w:t>
      </w:r>
      <w:proofErr w:type="spellEnd"/>
      <w:r w:rsidR="00560FB8">
        <w:rPr>
          <w:rFonts w:ascii="Times New Roman" w:hAnsi="Times New Roman" w:cs="Times New Roman"/>
          <w:sz w:val="24"/>
          <w:szCs w:val="24"/>
          <w:lang w:val="en-US"/>
        </w:rPr>
        <w:t xml:space="preserve">. Former constitutional justice, whose brother became </w:t>
      </w:r>
      <w:r w:rsidR="00560FB8">
        <w:rPr>
          <w:rFonts w:ascii="Times New Roman" w:hAnsi="Times New Roman" w:cs="Times New Roman"/>
          <w:sz w:val="24"/>
          <w:szCs w:val="24"/>
          <w:lang w:val="en-US"/>
        </w:rPr>
        <w:lastRenderedPageBreak/>
        <w:t xml:space="preserve">later the Vice-president of the same court, and whose father was before a judge of the </w:t>
      </w:r>
      <w:proofErr w:type="spellStart"/>
      <w:r w:rsidR="00560FB8" w:rsidRPr="00C51F5A">
        <w:rPr>
          <w:rFonts w:ascii="Times New Roman" w:hAnsi="Times New Roman" w:cs="Times New Roman"/>
          <w:i/>
          <w:iCs/>
          <w:sz w:val="24"/>
          <w:szCs w:val="24"/>
          <w:lang w:val="en-US"/>
        </w:rPr>
        <w:t>Bundesgerichtshof</w:t>
      </w:r>
      <w:proofErr w:type="spellEnd"/>
      <w:r w:rsidR="00560FB8">
        <w:rPr>
          <w:rFonts w:ascii="Times New Roman" w:hAnsi="Times New Roman" w:cs="Times New Roman"/>
          <w:sz w:val="24"/>
          <w:szCs w:val="24"/>
          <w:lang w:val="en-US"/>
        </w:rPr>
        <w:t xml:space="preserve">, </w:t>
      </w:r>
      <w:proofErr w:type="spellStart"/>
      <w:r w:rsidR="00560FB8">
        <w:rPr>
          <w:rFonts w:ascii="Times New Roman" w:hAnsi="Times New Roman" w:cs="Times New Roman"/>
          <w:sz w:val="24"/>
          <w:szCs w:val="24"/>
          <w:lang w:val="en-US"/>
        </w:rPr>
        <w:t>Kirchhof</w:t>
      </w:r>
      <w:proofErr w:type="spellEnd"/>
      <w:r w:rsidR="00560FB8">
        <w:rPr>
          <w:rFonts w:ascii="Times New Roman" w:hAnsi="Times New Roman" w:cs="Times New Roman"/>
          <w:sz w:val="24"/>
          <w:szCs w:val="24"/>
          <w:lang w:val="en-US"/>
        </w:rPr>
        <w:t xml:space="preserve"> is also the co-editor of the very influential, multi-volume handbook on </w:t>
      </w:r>
      <w:proofErr w:type="spellStart"/>
      <w:r w:rsidR="00560FB8" w:rsidRPr="00C563A9">
        <w:rPr>
          <w:rFonts w:ascii="Times New Roman" w:hAnsi="Times New Roman" w:cs="Times New Roman"/>
          <w:i/>
          <w:iCs/>
          <w:sz w:val="24"/>
          <w:szCs w:val="24"/>
          <w:lang w:val="en-US"/>
        </w:rPr>
        <w:t>Staatsrecht</w:t>
      </w:r>
      <w:proofErr w:type="spellEnd"/>
      <w:r w:rsidR="00560FB8">
        <w:rPr>
          <w:rFonts w:ascii="Times New Roman" w:hAnsi="Times New Roman" w:cs="Times New Roman"/>
          <w:sz w:val="24"/>
          <w:szCs w:val="24"/>
          <w:lang w:val="en-US"/>
        </w:rPr>
        <w:t>. Amidst his endeavors to attach the dogmatic image of “constitutional identity” to art. 79, paragraph 3 of the German Constitution, in order to subtend the expansion of its reach from constitutional amendments to “constitutional shifts” [</w:t>
      </w:r>
      <w:proofErr w:type="spellStart"/>
      <w:r w:rsidR="00560FB8" w:rsidRPr="00C563A9">
        <w:rPr>
          <w:rFonts w:ascii="Times New Roman" w:hAnsi="Times New Roman" w:cs="Times New Roman"/>
          <w:i/>
          <w:iCs/>
          <w:sz w:val="24"/>
          <w:szCs w:val="24"/>
          <w:lang w:val="en-US"/>
        </w:rPr>
        <w:t>Verfassungswandlungen</w:t>
      </w:r>
      <w:proofErr w:type="spellEnd"/>
      <w:r w:rsidR="00560FB8">
        <w:rPr>
          <w:rFonts w:ascii="Times New Roman" w:hAnsi="Times New Roman" w:cs="Times New Roman"/>
          <w:sz w:val="24"/>
          <w:szCs w:val="24"/>
          <w:lang w:val="en-US"/>
        </w:rPr>
        <w:t>],</w:t>
      </w:r>
      <w:r w:rsidR="00560FB8">
        <w:rPr>
          <w:rStyle w:val="FootnoteReference"/>
          <w:rFonts w:ascii="Times New Roman" w:hAnsi="Times New Roman" w:cs="Times New Roman"/>
          <w:sz w:val="24"/>
          <w:szCs w:val="24"/>
          <w:lang w:val="en-US"/>
        </w:rPr>
        <w:footnoteReference w:id="122"/>
      </w:r>
      <w:r w:rsidR="00560FB8">
        <w:rPr>
          <w:rFonts w:ascii="Times New Roman" w:hAnsi="Times New Roman" w:cs="Times New Roman"/>
          <w:sz w:val="24"/>
          <w:szCs w:val="24"/>
          <w:lang w:val="en-US"/>
        </w:rPr>
        <w:t xml:space="preserve"> </w:t>
      </w:r>
      <w:proofErr w:type="spellStart"/>
      <w:r w:rsidR="00560FB8">
        <w:rPr>
          <w:rFonts w:ascii="Times New Roman" w:hAnsi="Times New Roman" w:cs="Times New Roman"/>
          <w:sz w:val="24"/>
          <w:szCs w:val="24"/>
          <w:lang w:val="en-US"/>
        </w:rPr>
        <w:t>Kirchhof</w:t>
      </w:r>
      <w:proofErr w:type="spellEnd"/>
      <w:r w:rsidR="00560FB8">
        <w:rPr>
          <w:rFonts w:ascii="Times New Roman" w:hAnsi="Times New Roman" w:cs="Times New Roman"/>
          <w:sz w:val="24"/>
          <w:szCs w:val="24"/>
          <w:lang w:val="en-US"/>
        </w:rPr>
        <w:t xml:space="preserve"> faces the issue </w:t>
      </w:r>
      <w:r>
        <w:rPr>
          <w:rFonts w:ascii="Times New Roman" w:hAnsi="Times New Roman" w:cs="Times New Roman"/>
          <w:sz w:val="24"/>
          <w:szCs w:val="24"/>
          <w:lang w:val="en-US"/>
        </w:rPr>
        <w:t xml:space="preserve">of </w:t>
      </w:r>
      <w:r w:rsidR="00560FB8">
        <w:rPr>
          <w:rFonts w:ascii="Times New Roman" w:hAnsi="Times New Roman" w:cs="Times New Roman"/>
          <w:sz w:val="24"/>
          <w:szCs w:val="24"/>
          <w:lang w:val="en-US"/>
        </w:rPr>
        <w:t>what endows a constitution with its validity.</w:t>
      </w:r>
      <w:r w:rsidR="00157586">
        <w:rPr>
          <w:rFonts w:ascii="Times New Roman" w:hAnsi="Times New Roman" w:cs="Times New Roman"/>
          <w:sz w:val="24"/>
          <w:szCs w:val="24"/>
          <w:lang w:val="en-US"/>
        </w:rPr>
        <w:t xml:space="preserve"> </w:t>
      </w:r>
    </w:p>
    <w:p w14:paraId="6DD2FE47" w14:textId="580C4A93" w:rsidR="00560FB8" w:rsidRDefault="00157586" w:rsidP="00560FB8">
      <w:pPr>
        <w:spacing w:after="0" w:line="360" w:lineRule="auto"/>
        <w:ind w:firstLine="113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For </w:t>
      </w:r>
      <w:proofErr w:type="spellStart"/>
      <w:r>
        <w:rPr>
          <w:rFonts w:ascii="Times New Roman" w:hAnsi="Times New Roman" w:cs="Times New Roman"/>
          <w:sz w:val="24"/>
          <w:szCs w:val="24"/>
          <w:lang w:val="en-US"/>
        </w:rPr>
        <w:t>Kirchhof</w:t>
      </w:r>
      <w:proofErr w:type="spellEnd"/>
      <w:r>
        <w:rPr>
          <w:rFonts w:ascii="Times New Roman" w:hAnsi="Times New Roman" w:cs="Times New Roman"/>
          <w:sz w:val="24"/>
          <w:szCs w:val="24"/>
          <w:lang w:val="en-US"/>
        </w:rPr>
        <w:t xml:space="preserve">, the validity of a </w:t>
      </w:r>
      <w:proofErr w:type="gramStart"/>
      <w:r>
        <w:rPr>
          <w:rFonts w:ascii="Times New Roman" w:hAnsi="Times New Roman" w:cs="Times New Roman"/>
          <w:sz w:val="24"/>
          <w:szCs w:val="24"/>
          <w:lang w:val="en-US"/>
        </w:rPr>
        <w:t>Constitution</w:t>
      </w:r>
      <w:proofErr w:type="gramEnd"/>
      <w:r>
        <w:rPr>
          <w:rFonts w:ascii="Times New Roman" w:hAnsi="Times New Roman" w:cs="Times New Roman"/>
          <w:sz w:val="24"/>
          <w:szCs w:val="24"/>
          <w:lang w:val="en-US"/>
        </w:rPr>
        <w:t xml:space="preserve"> is a threefold phenomenon.</w:t>
      </w:r>
      <w:r w:rsidR="00560FB8">
        <w:rPr>
          <w:rFonts w:ascii="Times New Roman" w:hAnsi="Times New Roman" w:cs="Times New Roman"/>
          <w:sz w:val="24"/>
          <w:szCs w:val="24"/>
          <w:lang w:val="en-US"/>
        </w:rPr>
        <w:t xml:space="preserve"> The “realization and forms of the constitution in the sources of knowledge of the constitutional document are based on the constitution-giving authority</w:t>
      </w:r>
      <w:r>
        <w:rPr>
          <w:rFonts w:ascii="Times New Roman" w:hAnsi="Times New Roman" w:cs="Times New Roman"/>
          <w:sz w:val="24"/>
          <w:szCs w:val="24"/>
          <w:lang w:val="en-US"/>
        </w:rPr>
        <w:t>.</w:t>
      </w:r>
      <w:r w:rsidR="00560FB8">
        <w:rPr>
          <w:rFonts w:ascii="Times New Roman" w:hAnsi="Times New Roman" w:cs="Times New Roman"/>
          <w:sz w:val="24"/>
          <w:szCs w:val="24"/>
          <w:lang w:val="en-US"/>
        </w:rPr>
        <w:t>”</w:t>
      </w:r>
      <w:r>
        <w:rPr>
          <w:rFonts w:ascii="Times New Roman" w:hAnsi="Times New Roman" w:cs="Times New Roman"/>
          <w:sz w:val="24"/>
          <w:szCs w:val="24"/>
          <w:lang w:val="en-US"/>
        </w:rPr>
        <w:t xml:space="preserve"> I</w:t>
      </w:r>
      <w:r w:rsidR="00560FB8">
        <w:rPr>
          <w:rFonts w:ascii="Times New Roman" w:hAnsi="Times New Roman" w:cs="Times New Roman"/>
          <w:sz w:val="24"/>
          <w:szCs w:val="24"/>
          <w:lang w:val="en-US"/>
        </w:rPr>
        <w:t>ts enforcement</w:t>
      </w:r>
      <w:r>
        <w:rPr>
          <w:rFonts w:ascii="Times New Roman" w:hAnsi="Times New Roman" w:cs="Times New Roman"/>
          <w:sz w:val="24"/>
          <w:szCs w:val="24"/>
          <w:lang w:val="en-US"/>
        </w:rPr>
        <w:t>,</w:t>
      </w:r>
      <w:r w:rsidR="00560FB8">
        <w:rPr>
          <w:rFonts w:ascii="Times New Roman" w:hAnsi="Times New Roman" w:cs="Times New Roman"/>
          <w:sz w:val="24"/>
          <w:szCs w:val="24"/>
          <w:lang w:val="en-US"/>
        </w:rPr>
        <w:t xml:space="preserve"> upon “the majoritarian agreement over a reliable constitution</w:t>
      </w:r>
      <w:r>
        <w:rPr>
          <w:rFonts w:ascii="Times New Roman" w:hAnsi="Times New Roman" w:cs="Times New Roman"/>
          <w:sz w:val="24"/>
          <w:szCs w:val="24"/>
          <w:lang w:val="en-US"/>
        </w:rPr>
        <w:t>.</w:t>
      </w:r>
      <w:r w:rsidR="00560FB8">
        <w:rPr>
          <w:rFonts w:ascii="Times New Roman" w:hAnsi="Times New Roman" w:cs="Times New Roman"/>
          <w:sz w:val="24"/>
          <w:szCs w:val="24"/>
          <w:lang w:val="en-US"/>
        </w:rPr>
        <w:t xml:space="preserve">” </w:t>
      </w:r>
      <w:r>
        <w:rPr>
          <w:rFonts w:ascii="Times New Roman" w:hAnsi="Times New Roman" w:cs="Times New Roman"/>
          <w:sz w:val="24"/>
          <w:szCs w:val="24"/>
          <w:lang w:val="en-US"/>
        </w:rPr>
        <w:t>A</w:t>
      </w:r>
      <w:r w:rsidR="00560FB8">
        <w:rPr>
          <w:rFonts w:ascii="Times New Roman" w:hAnsi="Times New Roman" w:cs="Times New Roman"/>
          <w:sz w:val="24"/>
          <w:szCs w:val="24"/>
          <w:lang w:val="en-US"/>
        </w:rPr>
        <w:t xml:space="preserve">nd “the function of the constitution as </w:t>
      </w:r>
      <w:r w:rsidR="00D423CE">
        <w:rPr>
          <w:rFonts w:ascii="Times New Roman" w:hAnsi="Times New Roman" w:cs="Times New Roman"/>
          <w:sz w:val="24"/>
          <w:szCs w:val="24"/>
          <w:lang w:val="en-US"/>
        </w:rPr>
        <w:t xml:space="preserve">a </w:t>
      </w:r>
      <w:r w:rsidR="00560FB8">
        <w:rPr>
          <w:rFonts w:ascii="Times New Roman" w:hAnsi="Times New Roman" w:cs="Times New Roman"/>
          <w:sz w:val="24"/>
          <w:szCs w:val="24"/>
          <w:lang w:val="en-US"/>
        </w:rPr>
        <w:t xml:space="preserve">stabilizer of the state and as </w:t>
      </w:r>
      <w:r w:rsidR="00D423CE">
        <w:rPr>
          <w:rFonts w:ascii="Times New Roman" w:hAnsi="Times New Roman" w:cs="Times New Roman"/>
          <w:sz w:val="24"/>
          <w:szCs w:val="24"/>
          <w:lang w:val="en-US"/>
        </w:rPr>
        <w:t xml:space="preserve">a </w:t>
      </w:r>
      <w:r w:rsidR="00560FB8">
        <w:rPr>
          <w:rFonts w:ascii="Times New Roman" w:hAnsi="Times New Roman" w:cs="Times New Roman"/>
          <w:sz w:val="24"/>
          <w:szCs w:val="24"/>
          <w:lang w:val="en-US"/>
        </w:rPr>
        <w:t xml:space="preserve">measure of control” would rather rely “on its rationality and righteousness.” What speaks for the evidence of this threefold sustenance? In </w:t>
      </w:r>
      <w:proofErr w:type="spellStart"/>
      <w:r w:rsidR="00560FB8">
        <w:rPr>
          <w:rFonts w:ascii="Times New Roman" w:hAnsi="Times New Roman" w:cs="Times New Roman"/>
          <w:sz w:val="24"/>
          <w:szCs w:val="24"/>
          <w:lang w:val="en-US"/>
        </w:rPr>
        <w:t>Kirchhof’s</w:t>
      </w:r>
      <w:proofErr w:type="spellEnd"/>
      <w:r w:rsidR="00560FB8">
        <w:rPr>
          <w:rFonts w:ascii="Times New Roman" w:hAnsi="Times New Roman" w:cs="Times New Roman"/>
          <w:sz w:val="24"/>
          <w:szCs w:val="24"/>
          <w:lang w:val="en-US"/>
        </w:rPr>
        <w:t xml:space="preserve"> words, the fact that “[t]he ten commandments came into validity because they were spoken with the authority of the Lord, written in the reliability of stone tablets, and their contents were evidently righteous.”</w:t>
      </w:r>
      <w:r w:rsidR="00560FB8">
        <w:rPr>
          <w:rStyle w:val="FootnoteReference"/>
          <w:rFonts w:ascii="Times New Roman" w:hAnsi="Times New Roman" w:cs="Times New Roman"/>
          <w:sz w:val="24"/>
          <w:szCs w:val="24"/>
          <w:lang w:val="en-US"/>
        </w:rPr>
        <w:footnoteReference w:id="123"/>
      </w:r>
    </w:p>
    <w:p w14:paraId="5271EBB8" w14:textId="2F57DBB2" w:rsidR="00560FB8" w:rsidRDefault="00560FB8" w:rsidP="00560FB8">
      <w:pPr>
        <w:spacing w:after="0" w:line="360" w:lineRule="auto"/>
        <w:ind w:firstLine="113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Is it difficult to hear in such instrumentalization an echo of Rudolf </w:t>
      </w:r>
      <w:proofErr w:type="spellStart"/>
      <w:r>
        <w:rPr>
          <w:rFonts w:ascii="Times New Roman" w:hAnsi="Times New Roman" w:cs="Times New Roman"/>
          <w:sz w:val="24"/>
          <w:szCs w:val="24"/>
          <w:lang w:val="en-US"/>
        </w:rPr>
        <w:t>Smend’s</w:t>
      </w:r>
      <w:proofErr w:type="spellEnd"/>
      <w:r>
        <w:rPr>
          <w:rFonts w:ascii="Times New Roman" w:hAnsi="Times New Roman" w:cs="Times New Roman"/>
          <w:sz w:val="24"/>
          <w:szCs w:val="24"/>
          <w:lang w:val="en-US"/>
        </w:rPr>
        <w:t xml:space="preserve"> portrait of the </w:t>
      </w:r>
      <w:proofErr w:type="spellStart"/>
      <w:r w:rsidRPr="0025744E">
        <w:rPr>
          <w:rFonts w:ascii="Times New Roman" w:hAnsi="Times New Roman" w:cs="Times New Roman"/>
          <w:i/>
          <w:iCs/>
          <w:sz w:val="24"/>
          <w:szCs w:val="24"/>
          <w:lang w:val="en-US"/>
        </w:rPr>
        <w:t>Verfassungsrichter</w:t>
      </w:r>
      <w:proofErr w:type="spellEnd"/>
      <w:r>
        <w:rPr>
          <w:rFonts w:ascii="Times New Roman" w:hAnsi="Times New Roman" w:cs="Times New Roman"/>
          <w:sz w:val="24"/>
          <w:szCs w:val="24"/>
          <w:lang w:val="en-US"/>
        </w:rPr>
        <w:t xml:space="preserve"> as akin to the judges of the Old Testament</w:t>
      </w:r>
      <w:r w:rsidR="004F209A">
        <w:rPr>
          <w:rFonts w:ascii="Times New Roman" w:hAnsi="Times New Roman" w:cs="Times New Roman"/>
          <w:sz w:val="24"/>
          <w:szCs w:val="24"/>
          <w:lang w:val="en-US"/>
        </w:rPr>
        <w:t>?</w:t>
      </w:r>
      <w:r w:rsidR="00157586">
        <w:rPr>
          <w:rFonts w:ascii="Times New Roman" w:hAnsi="Times New Roman" w:cs="Times New Roman"/>
          <w:sz w:val="24"/>
          <w:szCs w:val="24"/>
          <w:lang w:val="en-US"/>
        </w:rPr>
        <w:t xml:space="preserve"> For </w:t>
      </w:r>
      <w:proofErr w:type="spellStart"/>
      <w:r w:rsidR="00157586">
        <w:rPr>
          <w:rFonts w:ascii="Times New Roman" w:hAnsi="Times New Roman" w:cs="Times New Roman"/>
          <w:sz w:val="24"/>
          <w:szCs w:val="24"/>
          <w:lang w:val="en-US"/>
        </w:rPr>
        <w:t>Smend</w:t>
      </w:r>
      <w:proofErr w:type="spellEnd"/>
      <w:r w:rsidR="00157586">
        <w:rPr>
          <w:rFonts w:ascii="Times New Roman" w:hAnsi="Times New Roman" w:cs="Times New Roman"/>
          <w:sz w:val="24"/>
          <w:szCs w:val="24"/>
          <w:lang w:val="en-US"/>
        </w:rPr>
        <w:t xml:space="preserve">, the Court’s </w:t>
      </w:r>
      <w:r>
        <w:rPr>
          <w:rFonts w:ascii="Times New Roman" w:hAnsi="Times New Roman" w:cs="Times New Roman"/>
          <w:sz w:val="24"/>
          <w:szCs w:val="24"/>
          <w:lang w:val="en-US"/>
        </w:rPr>
        <w:t>praxis</w:t>
      </w:r>
      <w:r w:rsidR="00157586">
        <w:rPr>
          <w:rFonts w:ascii="Times New Roman" w:hAnsi="Times New Roman" w:cs="Times New Roman"/>
          <w:sz w:val="24"/>
          <w:szCs w:val="24"/>
          <w:lang w:val="en-US"/>
        </w:rPr>
        <w:t xml:space="preserve"> of </w:t>
      </w:r>
      <w:r>
        <w:rPr>
          <w:rFonts w:ascii="Times New Roman" w:hAnsi="Times New Roman" w:cs="Times New Roman"/>
          <w:sz w:val="24"/>
          <w:szCs w:val="24"/>
          <w:lang w:val="en-US"/>
        </w:rPr>
        <w:t>“politically educating the German citizens” “adds stone after stone to the fundament of the basic law</w:t>
      </w:r>
      <w:r w:rsidR="00157586">
        <w:rPr>
          <w:rFonts w:ascii="Times New Roman" w:hAnsi="Times New Roman" w:cs="Times New Roman"/>
          <w:sz w:val="24"/>
          <w:szCs w:val="24"/>
          <w:lang w:val="en-US"/>
        </w:rPr>
        <w:t>.</w:t>
      </w:r>
      <w:r>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124"/>
      </w:r>
      <w:r>
        <w:rPr>
          <w:rFonts w:ascii="Times New Roman" w:hAnsi="Times New Roman" w:cs="Times New Roman"/>
          <w:sz w:val="24"/>
          <w:szCs w:val="24"/>
          <w:lang w:val="en-US"/>
        </w:rPr>
        <w:t xml:space="preserve"> While </w:t>
      </w:r>
      <w:proofErr w:type="spellStart"/>
      <w:r>
        <w:rPr>
          <w:rFonts w:ascii="Times New Roman" w:hAnsi="Times New Roman" w:cs="Times New Roman"/>
          <w:sz w:val="24"/>
          <w:szCs w:val="24"/>
          <w:lang w:val="en-US"/>
        </w:rPr>
        <w:t>Kirchhof’s</w:t>
      </w:r>
      <w:proofErr w:type="spellEnd"/>
      <w:r>
        <w:rPr>
          <w:rFonts w:ascii="Times New Roman" w:hAnsi="Times New Roman" w:cs="Times New Roman"/>
          <w:sz w:val="24"/>
          <w:szCs w:val="24"/>
          <w:lang w:val="en-US"/>
        </w:rPr>
        <w:t xml:space="preserve"> contribution dates from 1987 and </w:t>
      </w:r>
      <w:proofErr w:type="spellStart"/>
      <w:r>
        <w:rPr>
          <w:rFonts w:ascii="Times New Roman" w:hAnsi="Times New Roman" w:cs="Times New Roman"/>
          <w:sz w:val="24"/>
          <w:szCs w:val="24"/>
          <w:lang w:val="en-US"/>
        </w:rPr>
        <w:t>Smend’s</w:t>
      </w:r>
      <w:proofErr w:type="spellEnd"/>
      <w:r>
        <w:rPr>
          <w:rFonts w:ascii="Times New Roman" w:hAnsi="Times New Roman" w:cs="Times New Roman"/>
          <w:sz w:val="24"/>
          <w:szCs w:val="24"/>
          <w:lang w:val="en-US"/>
        </w:rPr>
        <w:t xml:space="preserve"> from 1962, the fact is that more than 30 years before </w:t>
      </w:r>
      <w:proofErr w:type="spellStart"/>
      <w:r>
        <w:rPr>
          <w:rFonts w:ascii="Times New Roman" w:hAnsi="Times New Roman" w:cs="Times New Roman"/>
          <w:sz w:val="24"/>
          <w:szCs w:val="24"/>
          <w:lang w:val="en-US"/>
        </w:rPr>
        <w:t>Smend</w:t>
      </w:r>
      <w:proofErr w:type="spellEnd"/>
      <w:r>
        <w:rPr>
          <w:rFonts w:ascii="Times New Roman" w:hAnsi="Times New Roman" w:cs="Times New Roman"/>
          <w:sz w:val="24"/>
          <w:szCs w:val="24"/>
          <w:lang w:val="en-US"/>
        </w:rPr>
        <w:t xml:space="preserve"> would insist that a Court shouldn’t and couldn’t have anything to do with the bulwarks of constitutional law, even a Court that signs its rulings “in the name of the People.”</w:t>
      </w:r>
      <w:r>
        <w:rPr>
          <w:rStyle w:val="FootnoteReference"/>
          <w:rFonts w:ascii="Times New Roman" w:hAnsi="Times New Roman" w:cs="Times New Roman"/>
          <w:sz w:val="24"/>
          <w:szCs w:val="24"/>
          <w:lang w:val="en-US"/>
        </w:rPr>
        <w:footnoteReference w:id="125"/>
      </w:r>
      <w:r>
        <w:rPr>
          <w:rFonts w:ascii="Times New Roman" w:hAnsi="Times New Roman" w:cs="Times New Roman"/>
          <w:sz w:val="24"/>
          <w:szCs w:val="24"/>
          <w:lang w:val="en-US"/>
        </w:rPr>
        <w:t xml:space="preserve"> Between one and the other stands the </w:t>
      </w:r>
      <w:proofErr w:type="spellStart"/>
      <w:r w:rsidRPr="008A012C">
        <w:rPr>
          <w:rFonts w:ascii="Times New Roman" w:hAnsi="Times New Roman" w:cs="Times New Roman"/>
          <w:i/>
          <w:iCs/>
          <w:sz w:val="24"/>
          <w:szCs w:val="24"/>
          <w:lang w:val="en-US"/>
        </w:rPr>
        <w:t>Statusdenkschrift</w:t>
      </w:r>
      <w:proofErr w:type="spellEnd"/>
      <w:r>
        <w:rPr>
          <w:rFonts w:ascii="Times New Roman" w:hAnsi="Times New Roman" w:cs="Times New Roman"/>
          <w:sz w:val="24"/>
          <w:szCs w:val="24"/>
          <w:lang w:val="en-US"/>
        </w:rPr>
        <w:t xml:space="preserve">. In contrast to </w:t>
      </w:r>
      <w:r w:rsidRPr="006B38AD">
        <w:rPr>
          <w:rFonts w:ascii="Times New Roman" w:hAnsi="Times New Roman" w:cs="Times New Roman"/>
          <w:i/>
          <w:iCs/>
          <w:sz w:val="24"/>
          <w:szCs w:val="24"/>
          <w:lang w:val="en-US"/>
        </w:rPr>
        <w:t>Marbury v. Madison</w:t>
      </w:r>
      <w:r>
        <w:rPr>
          <w:rFonts w:ascii="Times New Roman" w:hAnsi="Times New Roman" w:cs="Times New Roman"/>
          <w:sz w:val="24"/>
          <w:szCs w:val="24"/>
          <w:lang w:val="en-US"/>
        </w:rPr>
        <w:t>, in line with a comparison occasionally pursued by German constitutional scholarship,</w:t>
      </w:r>
      <w:r>
        <w:rPr>
          <w:rStyle w:val="FootnoteReference"/>
          <w:rFonts w:ascii="Times New Roman" w:hAnsi="Times New Roman" w:cs="Times New Roman"/>
          <w:sz w:val="24"/>
          <w:szCs w:val="24"/>
          <w:lang w:val="en-US"/>
        </w:rPr>
        <w:footnoteReference w:id="126"/>
      </w:r>
      <w:r>
        <w:rPr>
          <w:rFonts w:ascii="Times New Roman" w:hAnsi="Times New Roman" w:cs="Times New Roman"/>
          <w:sz w:val="24"/>
          <w:szCs w:val="24"/>
          <w:lang w:val="en-US"/>
        </w:rPr>
        <w:t xml:space="preserve"> the </w:t>
      </w:r>
      <w:proofErr w:type="spellStart"/>
      <w:r w:rsidRPr="00514485">
        <w:rPr>
          <w:rFonts w:ascii="Times New Roman" w:hAnsi="Times New Roman" w:cs="Times New Roman"/>
          <w:i/>
          <w:iCs/>
          <w:sz w:val="24"/>
          <w:szCs w:val="24"/>
          <w:lang w:val="en-US"/>
        </w:rPr>
        <w:lastRenderedPageBreak/>
        <w:t>Bundesverfassungsgericht</w:t>
      </w:r>
      <w:r>
        <w:rPr>
          <w:rFonts w:ascii="Times New Roman" w:hAnsi="Times New Roman" w:cs="Times New Roman"/>
          <w:sz w:val="24"/>
          <w:szCs w:val="24"/>
          <w:lang w:val="en-US"/>
        </w:rPr>
        <w:t>’s</w:t>
      </w:r>
      <w:proofErr w:type="spellEnd"/>
      <w:r>
        <w:rPr>
          <w:rFonts w:ascii="Times New Roman" w:hAnsi="Times New Roman" w:cs="Times New Roman"/>
          <w:sz w:val="24"/>
          <w:szCs w:val="24"/>
          <w:lang w:val="en-US"/>
        </w:rPr>
        <w:t xml:space="preserve"> exertion towards self-empowerment is rarely the subject of celebration, scholarly or otherwise, while what it made possible, Karlsruhe as we know it, obviously is. One of its first steps in this direction was in the form of a report submitted to his judicial peers, written by the exiled constitutional scholar, and now constitutional judge Gerhard </w:t>
      </w:r>
      <w:proofErr w:type="spellStart"/>
      <w:r>
        <w:rPr>
          <w:rFonts w:ascii="Times New Roman" w:hAnsi="Times New Roman" w:cs="Times New Roman"/>
          <w:sz w:val="24"/>
          <w:szCs w:val="24"/>
          <w:lang w:val="en-US"/>
        </w:rPr>
        <w:t>Leibholz</w:t>
      </w:r>
      <w:proofErr w:type="spellEnd"/>
      <w:r>
        <w:rPr>
          <w:rFonts w:ascii="Times New Roman" w:hAnsi="Times New Roman" w:cs="Times New Roman"/>
          <w:sz w:val="24"/>
          <w:szCs w:val="24"/>
          <w:lang w:val="en-US"/>
        </w:rPr>
        <w:t>.</w:t>
      </w:r>
    </w:p>
    <w:p w14:paraId="776CCA7B" w14:textId="44FD3D10" w:rsidR="00560FB8" w:rsidRDefault="00560FB8" w:rsidP="00560FB8">
      <w:pPr>
        <w:spacing w:after="0" w:line="360" w:lineRule="auto"/>
        <w:ind w:firstLine="1134"/>
        <w:jc w:val="both"/>
        <w:rPr>
          <w:rFonts w:ascii="Times New Roman" w:hAnsi="Times New Roman" w:cs="Times New Roman"/>
          <w:sz w:val="24"/>
          <w:szCs w:val="24"/>
          <w:lang w:val="en-US"/>
        </w:rPr>
      </w:pPr>
      <w:r>
        <w:rPr>
          <w:rFonts w:ascii="Times New Roman" w:hAnsi="Times New Roman" w:cs="Times New Roman"/>
          <w:sz w:val="24"/>
          <w:szCs w:val="24"/>
          <w:lang w:val="en-US"/>
        </w:rPr>
        <w:t>Often described as the “last of the constitutional organs,” by dint of the fact the statutory regulation of its structure and procedure was the subject of strong controversy, its establishment taking place only on September 1951,</w:t>
      </w:r>
      <w:r>
        <w:rPr>
          <w:rStyle w:val="FootnoteReference"/>
          <w:rFonts w:ascii="Times New Roman" w:hAnsi="Times New Roman" w:cs="Times New Roman"/>
          <w:sz w:val="24"/>
          <w:szCs w:val="24"/>
          <w:lang w:val="en-US"/>
        </w:rPr>
        <w:footnoteReference w:id="127"/>
      </w:r>
      <w:r>
        <w:rPr>
          <w:rFonts w:ascii="Times New Roman" w:hAnsi="Times New Roman" w:cs="Times New Roman"/>
          <w:sz w:val="24"/>
          <w:szCs w:val="24"/>
          <w:lang w:val="en-US"/>
        </w:rPr>
        <w:t xml:space="preserve"> it didn’t take long for the full implications of its status as such to become once again the matter of dispute. The manifold organizational consequences, ranging from procedural rules to administrative law, Gerhard </w:t>
      </w:r>
      <w:proofErr w:type="spellStart"/>
      <w:r>
        <w:rPr>
          <w:rFonts w:ascii="Times New Roman" w:hAnsi="Times New Roman" w:cs="Times New Roman"/>
          <w:sz w:val="24"/>
          <w:szCs w:val="24"/>
          <w:lang w:val="en-US"/>
        </w:rPr>
        <w:t>Leibholz</w:t>
      </w:r>
      <w:proofErr w:type="spellEnd"/>
      <w:r>
        <w:rPr>
          <w:rFonts w:ascii="Times New Roman" w:hAnsi="Times New Roman" w:cs="Times New Roman"/>
          <w:sz w:val="24"/>
          <w:szCs w:val="24"/>
          <w:lang w:val="en-US"/>
        </w:rPr>
        <w:t xml:space="preserve"> managed to connect and frame as direct implications of the status of the </w:t>
      </w:r>
      <w:proofErr w:type="spellStart"/>
      <w:r w:rsidRPr="002B67A8">
        <w:rPr>
          <w:rFonts w:ascii="Times New Roman" w:hAnsi="Times New Roman" w:cs="Times New Roman"/>
          <w:i/>
          <w:iCs/>
          <w:sz w:val="24"/>
          <w:szCs w:val="24"/>
          <w:lang w:val="en-US"/>
        </w:rPr>
        <w:t>Bundesverfassungsgericht</w:t>
      </w:r>
      <w:proofErr w:type="spellEnd"/>
      <w:r>
        <w:rPr>
          <w:rFonts w:ascii="Times New Roman" w:hAnsi="Times New Roman" w:cs="Times New Roman"/>
          <w:sz w:val="24"/>
          <w:szCs w:val="24"/>
          <w:lang w:val="en-US"/>
        </w:rPr>
        <w:t xml:space="preserve"> as a constitutional organ is rather impressive. Interestingly, this very feature would also be the subject of contention, as the majority of the Court’s justices, following </w:t>
      </w:r>
      <w:proofErr w:type="spellStart"/>
      <w:r>
        <w:rPr>
          <w:rFonts w:ascii="Times New Roman" w:hAnsi="Times New Roman" w:cs="Times New Roman"/>
          <w:sz w:val="24"/>
          <w:szCs w:val="24"/>
          <w:lang w:val="en-US"/>
        </w:rPr>
        <w:t>Leibholz’s</w:t>
      </w:r>
      <w:proofErr w:type="spellEnd"/>
      <w:r>
        <w:rPr>
          <w:rFonts w:ascii="Times New Roman" w:hAnsi="Times New Roman" w:cs="Times New Roman"/>
          <w:sz w:val="24"/>
          <w:szCs w:val="24"/>
          <w:lang w:val="en-US"/>
        </w:rPr>
        <w:t xml:space="preserve"> reasoning, collide with Konrad Adenauer’s ministry of justice, especially as the latter claimed to exert some control on the </w:t>
      </w:r>
      <w:r w:rsidR="00F10CE1">
        <w:rPr>
          <w:rFonts w:ascii="Times New Roman" w:hAnsi="Times New Roman" w:cs="Times New Roman"/>
          <w:sz w:val="24"/>
          <w:szCs w:val="24"/>
          <w:lang w:val="en-US"/>
        </w:rPr>
        <w:t>Constitutional court</w:t>
      </w:r>
      <w:r>
        <w:rPr>
          <w:rFonts w:ascii="Times New Roman" w:hAnsi="Times New Roman" w:cs="Times New Roman"/>
          <w:sz w:val="24"/>
          <w:szCs w:val="24"/>
          <w:lang w:val="en-US"/>
        </w:rPr>
        <w:t>’s administrative and financial affairs,</w:t>
      </w:r>
      <w:r>
        <w:rPr>
          <w:rStyle w:val="FootnoteReference"/>
          <w:rFonts w:ascii="Times New Roman" w:hAnsi="Times New Roman" w:cs="Times New Roman"/>
          <w:sz w:val="24"/>
          <w:szCs w:val="24"/>
          <w:lang w:val="en-US"/>
        </w:rPr>
        <w:footnoteReference w:id="128"/>
      </w:r>
      <w:r>
        <w:rPr>
          <w:rFonts w:ascii="Times New Roman" w:hAnsi="Times New Roman" w:cs="Times New Roman"/>
          <w:sz w:val="24"/>
          <w:szCs w:val="24"/>
          <w:lang w:val="en-US"/>
        </w:rPr>
        <w:t xml:space="preserve"> having on its side none other </w:t>
      </w:r>
      <w:r w:rsidR="00D9568E">
        <w:rPr>
          <w:rFonts w:ascii="Times New Roman" w:hAnsi="Times New Roman" w:cs="Times New Roman"/>
          <w:sz w:val="24"/>
          <w:szCs w:val="24"/>
          <w:lang w:val="en-US"/>
        </w:rPr>
        <w:t xml:space="preserve">than </w:t>
      </w:r>
      <w:r>
        <w:rPr>
          <w:rFonts w:ascii="Times New Roman" w:hAnsi="Times New Roman" w:cs="Times New Roman"/>
          <w:sz w:val="24"/>
          <w:szCs w:val="24"/>
          <w:lang w:val="en-US"/>
        </w:rPr>
        <w:t xml:space="preserve">the Weimar democrat Richard </w:t>
      </w:r>
      <w:proofErr w:type="spellStart"/>
      <w:r>
        <w:rPr>
          <w:rFonts w:ascii="Times New Roman" w:hAnsi="Times New Roman" w:cs="Times New Roman"/>
          <w:sz w:val="24"/>
          <w:szCs w:val="24"/>
          <w:lang w:val="en-US"/>
        </w:rPr>
        <w:t>Thoma</w:t>
      </w:r>
      <w:proofErr w:type="spellEnd"/>
      <w:r>
        <w:rPr>
          <w:rFonts w:ascii="Times New Roman" w:hAnsi="Times New Roman" w:cs="Times New Roman"/>
          <w:sz w:val="24"/>
          <w:szCs w:val="24"/>
          <w:lang w:val="en-US"/>
        </w:rPr>
        <w:t>.</w:t>
      </w:r>
    </w:p>
    <w:p w14:paraId="23A0CC51" w14:textId="6570E1AA" w:rsidR="00560FB8" w:rsidRDefault="00560FB8" w:rsidP="00560FB8">
      <w:pPr>
        <w:spacing w:after="0" w:line="360" w:lineRule="auto"/>
        <w:ind w:firstLine="113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As carefully scrutinized by Oliver </w:t>
      </w:r>
      <w:proofErr w:type="spellStart"/>
      <w:r>
        <w:rPr>
          <w:rFonts w:ascii="Times New Roman" w:hAnsi="Times New Roman" w:cs="Times New Roman"/>
          <w:sz w:val="24"/>
          <w:szCs w:val="24"/>
          <w:lang w:val="en-US"/>
        </w:rPr>
        <w:t>Lembcke</w:t>
      </w:r>
      <w:proofErr w:type="spellEnd"/>
      <w:r>
        <w:rPr>
          <w:rFonts w:ascii="Times New Roman" w:hAnsi="Times New Roman" w:cs="Times New Roman"/>
          <w:sz w:val="24"/>
          <w:szCs w:val="24"/>
          <w:lang w:val="en-US"/>
        </w:rPr>
        <w:t xml:space="preserve">, out of the documents composing the controversy on the status of the Federal Constitutional Court, </w:t>
      </w:r>
      <w:r w:rsidR="00E24D2D">
        <w:rPr>
          <w:rFonts w:ascii="Times New Roman" w:hAnsi="Times New Roman" w:cs="Times New Roman"/>
          <w:sz w:val="24"/>
          <w:szCs w:val="24"/>
          <w:lang w:val="en-US"/>
        </w:rPr>
        <w:t>notwithstanding</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Thoma’</w:t>
      </w:r>
      <w:r w:rsidR="00F10CE1">
        <w:rPr>
          <w:rFonts w:ascii="Times New Roman" w:hAnsi="Times New Roman" w:cs="Times New Roman"/>
          <w:sz w:val="24"/>
          <w:szCs w:val="24"/>
          <w:lang w:val="en-US"/>
        </w:rPr>
        <w:t>s</w:t>
      </w:r>
      <w:proofErr w:type="spellEnd"/>
      <w:r>
        <w:rPr>
          <w:rFonts w:ascii="Times New Roman" w:hAnsi="Times New Roman" w:cs="Times New Roman"/>
          <w:sz w:val="24"/>
          <w:szCs w:val="24"/>
          <w:lang w:val="en-US"/>
        </w:rPr>
        <w:t xml:space="preserve"> challenge</w:t>
      </w:r>
      <w:r w:rsidR="00E24D2D">
        <w:rPr>
          <w:rFonts w:ascii="Times New Roman" w:hAnsi="Times New Roman" w:cs="Times New Roman"/>
          <w:sz w:val="24"/>
          <w:szCs w:val="24"/>
          <w:lang w:val="en-US"/>
        </w:rPr>
        <w:t xml:space="preserve"> mentioned above</w:t>
      </w:r>
      <w:r>
        <w:rPr>
          <w:rFonts w:ascii="Times New Roman" w:hAnsi="Times New Roman" w:cs="Times New Roman"/>
          <w:sz w:val="24"/>
          <w:szCs w:val="24"/>
          <w:lang w:val="en-US"/>
        </w:rPr>
        <w:t xml:space="preserve">, fellow justice Willi Geiger’s and the Court’s president Hermann </w:t>
      </w:r>
      <w:proofErr w:type="spellStart"/>
      <w:r>
        <w:rPr>
          <w:rFonts w:ascii="Times New Roman" w:hAnsi="Times New Roman" w:cs="Times New Roman"/>
          <w:sz w:val="24"/>
          <w:szCs w:val="24"/>
          <w:lang w:val="en-US"/>
        </w:rPr>
        <w:t>Höpker-Aschoff’s</w:t>
      </w:r>
      <w:proofErr w:type="spellEnd"/>
      <w:r>
        <w:rPr>
          <w:rFonts w:ascii="Times New Roman" w:hAnsi="Times New Roman" w:cs="Times New Roman"/>
          <w:sz w:val="24"/>
          <w:szCs w:val="24"/>
          <w:lang w:val="en-US"/>
        </w:rPr>
        <w:t xml:space="preserve"> stances </w:t>
      </w:r>
      <w:r w:rsidR="00F10CE1">
        <w:rPr>
          <w:rFonts w:ascii="Times New Roman" w:hAnsi="Times New Roman" w:cs="Times New Roman"/>
          <w:sz w:val="24"/>
          <w:szCs w:val="24"/>
          <w:lang w:val="en-US"/>
        </w:rPr>
        <w:t>should be considered as</w:t>
      </w:r>
      <w:r>
        <w:rPr>
          <w:rFonts w:ascii="Times New Roman" w:hAnsi="Times New Roman" w:cs="Times New Roman"/>
          <w:sz w:val="24"/>
          <w:szCs w:val="24"/>
          <w:lang w:val="en-US"/>
        </w:rPr>
        <w:t xml:space="preserve"> alternative “takes” </w:t>
      </w:r>
      <w:r w:rsidR="00F10CE1">
        <w:rPr>
          <w:rFonts w:ascii="Times New Roman" w:hAnsi="Times New Roman" w:cs="Times New Roman"/>
          <w:sz w:val="24"/>
          <w:szCs w:val="24"/>
          <w:lang w:val="en-US"/>
        </w:rPr>
        <w:t xml:space="preserve">to </w:t>
      </w:r>
      <w:r>
        <w:rPr>
          <w:rFonts w:ascii="Times New Roman" w:hAnsi="Times New Roman" w:cs="Times New Roman"/>
          <w:sz w:val="24"/>
          <w:szCs w:val="24"/>
          <w:lang w:val="en-US"/>
        </w:rPr>
        <w:t>the significance and organizational outline of constitutional adjudication</w:t>
      </w:r>
      <w:r w:rsidR="00F10CE1">
        <w:rPr>
          <w:rFonts w:ascii="Times New Roman" w:hAnsi="Times New Roman" w:cs="Times New Roman"/>
          <w:sz w:val="24"/>
          <w:szCs w:val="24"/>
          <w:lang w:val="en-US"/>
        </w:rPr>
        <w:t xml:space="preserve">. Of interest is precisely why they were </w:t>
      </w:r>
      <w:proofErr w:type="spellStart"/>
      <w:r>
        <w:rPr>
          <w:rFonts w:ascii="Times New Roman" w:hAnsi="Times New Roman" w:cs="Times New Roman"/>
          <w:sz w:val="24"/>
          <w:szCs w:val="24"/>
          <w:lang w:val="en-US"/>
        </w:rPr>
        <w:t>pretermi</w:t>
      </w:r>
      <w:r w:rsidR="00F10CE1">
        <w:rPr>
          <w:rFonts w:ascii="Times New Roman" w:hAnsi="Times New Roman" w:cs="Times New Roman"/>
          <w:sz w:val="24"/>
          <w:szCs w:val="24"/>
          <w:lang w:val="en-US"/>
        </w:rPr>
        <w:t>ned</w:t>
      </w:r>
      <w:proofErr w:type="spellEnd"/>
      <w:r>
        <w:rPr>
          <w:rFonts w:ascii="Times New Roman" w:hAnsi="Times New Roman" w:cs="Times New Roman"/>
          <w:sz w:val="24"/>
          <w:szCs w:val="24"/>
          <w:lang w:val="en-US"/>
        </w:rPr>
        <w:t xml:space="preserve"> vis-à-vis </w:t>
      </w:r>
      <w:proofErr w:type="spellStart"/>
      <w:r>
        <w:rPr>
          <w:rFonts w:ascii="Times New Roman" w:hAnsi="Times New Roman" w:cs="Times New Roman"/>
          <w:sz w:val="24"/>
          <w:szCs w:val="24"/>
          <w:lang w:val="en-US"/>
        </w:rPr>
        <w:t>Leibholz’</w:t>
      </w:r>
      <w:r w:rsidR="00F10CE1">
        <w:rPr>
          <w:rFonts w:ascii="Times New Roman" w:hAnsi="Times New Roman" w:cs="Times New Roman"/>
          <w:sz w:val="24"/>
          <w:szCs w:val="24"/>
          <w:lang w:val="en-US"/>
        </w:rPr>
        <w:t>s</w:t>
      </w:r>
      <w:proofErr w:type="spellEnd"/>
      <w:r w:rsidR="00F10CE1">
        <w:rPr>
          <w:rFonts w:ascii="Times New Roman" w:hAnsi="Times New Roman" w:cs="Times New Roman"/>
          <w:sz w:val="24"/>
          <w:szCs w:val="24"/>
          <w:lang w:val="en-US"/>
        </w:rPr>
        <w:t xml:space="preserve"> proposal</w:t>
      </w:r>
      <w:r>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129"/>
      </w:r>
      <w:r>
        <w:rPr>
          <w:rFonts w:ascii="Times New Roman" w:hAnsi="Times New Roman" w:cs="Times New Roman"/>
          <w:sz w:val="24"/>
          <w:szCs w:val="24"/>
          <w:lang w:val="en-US"/>
        </w:rPr>
        <w:t xml:space="preserve"> Notwithstanding the quality of </w:t>
      </w:r>
      <w:proofErr w:type="spellStart"/>
      <w:r>
        <w:rPr>
          <w:rFonts w:ascii="Times New Roman" w:hAnsi="Times New Roman" w:cs="Times New Roman"/>
          <w:sz w:val="24"/>
          <w:szCs w:val="24"/>
          <w:lang w:val="en-US"/>
        </w:rPr>
        <w:t>Lembcke’s</w:t>
      </w:r>
      <w:proofErr w:type="spellEnd"/>
      <w:r>
        <w:rPr>
          <w:rFonts w:ascii="Times New Roman" w:hAnsi="Times New Roman" w:cs="Times New Roman"/>
          <w:sz w:val="24"/>
          <w:szCs w:val="24"/>
          <w:lang w:val="en-US"/>
        </w:rPr>
        <w:t xml:space="preserve"> </w:t>
      </w:r>
      <w:r w:rsidR="00F10CE1">
        <w:rPr>
          <w:rFonts w:ascii="Times New Roman" w:hAnsi="Times New Roman" w:cs="Times New Roman"/>
          <w:sz w:val="24"/>
          <w:szCs w:val="24"/>
          <w:lang w:val="en-US"/>
        </w:rPr>
        <w:t>well-known</w:t>
      </w:r>
      <w:r>
        <w:rPr>
          <w:rFonts w:ascii="Times New Roman" w:hAnsi="Times New Roman" w:cs="Times New Roman"/>
          <w:sz w:val="24"/>
          <w:szCs w:val="24"/>
          <w:lang w:val="en-US"/>
        </w:rPr>
        <w:t xml:space="preserve"> analysis, to portrait the force of </w:t>
      </w:r>
      <w:proofErr w:type="spellStart"/>
      <w:r>
        <w:rPr>
          <w:rFonts w:ascii="Times New Roman" w:hAnsi="Times New Roman" w:cs="Times New Roman"/>
          <w:sz w:val="24"/>
          <w:szCs w:val="24"/>
          <w:lang w:val="en-US"/>
        </w:rPr>
        <w:t>Leibholz’</w:t>
      </w:r>
      <w:r w:rsidR="00D423CE">
        <w:rPr>
          <w:rFonts w:ascii="Times New Roman" w:hAnsi="Times New Roman" w:cs="Times New Roman"/>
          <w:sz w:val="24"/>
          <w:szCs w:val="24"/>
          <w:lang w:val="en-US"/>
        </w:rPr>
        <w:t>s</w:t>
      </w:r>
      <w:proofErr w:type="spellEnd"/>
      <w:r>
        <w:rPr>
          <w:rFonts w:ascii="Times New Roman" w:hAnsi="Times New Roman" w:cs="Times New Roman"/>
          <w:sz w:val="24"/>
          <w:szCs w:val="24"/>
          <w:lang w:val="en-US"/>
        </w:rPr>
        <w:t xml:space="preserve"> argument as an upshot from its “middle ground” misses much. It overlooks the rhetoric </w:t>
      </w:r>
      <w:r w:rsidR="00160C31">
        <w:rPr>
          <w:rFonts w:ascii="Times New Roman" w:hAnsi="Times New Roman" w:cs="Times New Roman"/>
          <w:sz w:val="24"/>
          <w:szCs w:val="24"/>
          <w:lang w:val="en-US"/>
        </w:rPr>
        <w:t xml:space="preserve">of </w:t>
      </w:r>
      <w:r w:rsidR="00D423CE">
        <w:rPr>
          <w:rFonts w:ascii="Times New Roman" w:hAnsi="Times New Roman" w:cs="Times New Roman"/>
          <w:sz w:val="24"/>
          <w:szCs w:val="24"/>
          <w:lang w:val="en-US"/>
        </w:rPr>
        <w:t xml:space="preserve">reoccupation </w:t>
      </w:r>
      <w:r>
        <w:rPr>
          <w:rFonts w:ascii="Times New Roman" w:hAnsi="Times New Roman" w:cs="Times New Roman"/>
          <w:sz w:val="24"/>
          <w:szCs w:val="24"/>
          <w:lang w:val="en-US"/>
        </w:rPr>
        <w:t>fully operative as Dietrich Bonhoeffer’s</w:t>
      </w:r>
      <w:r>
        <w:rPr>
          <w:rStyle w:val="FootnoteReference"/>
          <w:rFonts w:ascii="Times New Roman" w:hAnsi="Times New Roman" w:cs="Times New Roman"/>
          <w:sz w:val="24"/>
          <w:szCs w:val="24"/>
          <w:lang w:val="en-US"/>
        </w:rPr>
        <w:footnoteReference w:id="130"/>
      </w:r>
      <w:r>
        <w:rPr>
          <w:rFonts w:ascii="Times New Roman" w:hAnsi="Times New Roman" w:cs="Times New Roman"/>
          <w:sz w:val="24"/>
          <w:szCs w:val="24"/>
          <w:lang w:val="en-US"/>
        </w:rPr>
        <w:t xml:space="preserve"> brother-in-law pursues to </w:t>
      </w:r>
      <w:r>
        <w:rPr>
          <w:rFonts w:ascii="Times New Roman" w:hAnsi="Times New Roman" w:cs="Times New Roman"/>
          <w:sz w:val="24"/>
          <w:szCs w:val="24"/>
          <w:lang w:val="en-US"/>
        </w:rPr>
        <w:lastRenderedPageBreak/>
        <w:t xml:space="preserve">anoint the Court as a kind of </w:t>
      </w:r>
      <w:r w:rsidRPr="001F2669">
        <w:rPr>
          <w:rFonts w:ascii="Times New Roman" w:hAnsi="Times New Roman" w:cs="Times New Roman"/>
          <w:i/>
          <w:iCs/>
          <w:sz w:val="24"/>
          <w:szCs w:val="24"/>
          <w:lang w:val="en-US"/>
        </w:rPr>
        <w:t xml:space="preserve">sanctorum </w:t>
      </w:r>
      <w:proofErr w:type="spellStart"/>
      <w:r w:rsidRPr="001F2669">
        <w:rPr>
          <w:rFonts w:ascii="Times New Roman" w:hAnsi="Times New Roman" w:cs="Times New Roman"/>
          <w:i/>
          <w:iCs/>
          <w:sz w:val="24"/>
          <w:szCs w:val="24"/>
          <w:lang w:val="en-US"/>
        </w:rPr>
        <w:t>communio</w:t>
      </w:r>
      <w:proofErr w:type="spellEnd"/>
      <w:r>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131"/>
      </w:r>
      <w:r>
        <w:rPr>
          <w:rFonts w:ascii="Times New Roman" w:hAnsi="Times New Roman" w:cs="Times New Roman"/>
          <w:sz w:val="24"/>
          <w:szCs w:val="24"/>
          <w:lang w:val="en-US"/>
        </w:rPr>
        <w:t xml:space="preserve"> while here and there already submitting such efforts to rationalizations. In contrast, neither </w:t>
      </w:r>
      <w:proofErr w:type="spellStart"/>
      <w:r>
        <w:rPr>
          <w:rFonts w:ascii="Times New Roman" w:hAnsi="Times New Roman" w:cs="Times New Roman"/>
          <w:sz w:val="24"/>
          <w:szCs w:val="24"/>
          <w:lang w:val="en-US"/>
        </w:rPr>
        <w:t>Höpker-Aschoff</w:t>
      </w:r>
      <w:proofErr w:type="spellEnd"/>
      <w:r>
        <w:rPr>
          <w:rFonts w:ascii="Times New Roman" w:hAnsi="Times New Roman" w:cs="Times New Roman"/>
          <w:sz w:val="24"/>
          <w:szCs w:val="24"/>
          <w:lang w:val="en-US"/>
        </w:rPr>
        <w:t xml:space="preserve"> nor Geiger ventured in</w:t>
      </w:r>
      <w:r w:rsidR="00D423CE">
        <w:rPr>
          <w:rFonts w:ascii="Times New Roman" w:hAnsi="Times New Roman" w:cs="Times New Roman"/>
          <w:sz w:val="24"/>
          <w:szCs w:val="24"/>
          <w:lang w:val="en-US"/>
        </w:rPr>
        <w:t>to</w:t>
      </w:r>
      <w:r>
        <w:rPr>
          <w:rFonts w:ascii="Times New Roman" w:hAnsi="Times New Roman" w:cs="Times New Roman"/>
          <w:sz w:val="24"/>
          <w:szCs w:val="24"/>
          <w:lang w:val="en-US"/>
        </w:rPr>
        <w:t xml:space="preserve"> such enterprise.</w:t>
      </w:r>
      <w:r>
        <w:rPr>
          <w:rStyle w:val="FootnoteReference"/>
          <w:rFonts w:ascii="Times New Roman" w:hAnsi="Times New Roman" w:cs="Times New Roman"/>
          <w:sz w:val="24"/>
          <w:szCs w:val="24"/>
          <w:lang w:val="en-US"/>
        </w:rPr>
        <w:footnoteReference w:id="132"/>
      </w:r>
      <w:r>
        <w:rPr>
          <w:rFonts w:ascii="Times New Roman" w:hAnsi="Times New Roman" w:cs="Times New Roman"/>
          <w:sz w:val="24"/>
          <w:szCs w:val="24"/>
          <w:lang w:val="en-US"/>
        </w:rPr>
        <w:t xml:space="preserve"> And even though </w:t>
      </w:r>
      <w:proofErr w:type="spellStart"/>
      <w:r>
        <w:rPr>
          <w:rFonts w:ascii="Times New Roman" w:hAnsi="Times New Roman" w:cs="Times New Roman"/>
          <w:sz w:val="24"/>
          <w:szCs w:val="24"/>
          <w:lang w:val="en-US"/>
        </w:rPr>
        <w:t>Leibholz’</w:t>
      </w:r>
      <w:r w:rsidR="00D423CE">
        <w:rPr>
          <w:rFonts w:ascii="Times New Roman" w:hAnsi="Times New Roman" w:cs="Times New Roman"/>
          <w:sz w:val="24"/>
          <w:szCs w:val="24"/>
          <w:lang w:val="en-US"/>
        </w:rPr>
        <w:t>s</w:t>
      </w:r>
      <w:proofErr w:type="spellEnd"/>
      <w:r>
        <w:rPr>
          <w:rFonts w:ascii="Times New Roman" w:hAnsi="Times New Roman" w:cs="Times New Roman"/>
          <w:sz w:val="24"/>
          <w:szCs w:val="24"/>
          <w:lang w:val="en-US"/>
        </w:rPr>
        <w:t xml:space="preserve"> </w:t>
      </w:r>
      <w:r w:rsidR="00A27661">
        <w:rPr>
          <w:rFonts w:ascii="Times New Roman" w:hAnsi="Times New Roman" w:cs="Times New Roman"/>
          <w:sz w:val="24"/>
          <w:szCs w:val="24"/>
          <w:lang w:val="en-US"/>
        </w:rPr>
        <w:t xml:space="preserve">attempt to paint the Court as a </w:t>
      </w:r>
      <w:r w:rsidR="00A27661" w:rsidRPr="004F1CE6">
        <w:rPr>
          <w:rFonts w:ascii="Times New Roman" w:hAnsi="Times New Roman" w:cs="Times New Roman"/>
          <w:i/>
          <w:sz w:val="24"/>
          <w:szCs w:val="24"/>
          <w:lang w:val="en-US"/>
        </w:rPr>
        <w:t xml:space="preserve">sanctorum </w:t>
      </w:r>
      <w:proofErr w:type="spellStart"/>
      <w:r w:rsidR="00A27661" w:rsidRPr="004F1CE6">
        <w:rPr>
          <w:rFonts w:ascii="Times New Roman" w:hAnsi="Times New Roman" w:cs="Times New Roman"/>
          <w:i/>
          <w:sz w:val="24"/>
          <w:szCs w:val="24"/>
          <w:lang w:val="en-US"/>
        </w:rPr>
        <w:t>communio</w:t>
      </w:r>
      <w:proofErr w:type="spellEnd"/>
      <w:r w:rsidR="00A27661" w:rsidRPr="004F1CE6">
        <w:rPr>
          <w:rFonts w:ascii="Times New Roman" w:hAnsi="Times New Roman" w:cs="Times New Roman"/>
          <w:i/>
          <w:sz w:val="24"/>
          <w:szCs w:val="24"/>
          <w:lang w:val="en-US"/>
        </w:rPr>
        <w:t xml:space="preserve"> </w:t>
      </w:r>
      <w:r>
        <w:rPr>
          <w:rFonts w:ascii="Times New Roman" w:hAnsi="Times New Roman" w:cs="Times New Roman"/>
          <w:sz w:val="24"/>
          <w:szCs w:val="24"/>
          <w:lang w:val="en-US"/>
        </w:rPr>
        <w:t xml:space="preserve">was highlighted and heavily criticized by </w:t>
      </w:r>
      <w:proofErr w:type="spellStart"/>
      <w:r>
        <w:rPr>
          <w:rFonts w:ascii="Times New Roman" w:hAnsi="Times New Roman" w:cs="Times New Roman"/>
          <w:sz w:val="24"/>
          <w:szCs w:val="24"/>
          <w:lang w:val="en-US"/>
        </w:rPr>
        <w:t>Thoma</w:t>
      </w:r>
      <w:proofErr w:type="spellEnd"/>
      <w:r>
        <w:rPr>
          <w:rFonts w:ascii="Times New Roman" w:hAnsi="Times New Roman" w:cs="Times New Roman"/>
          <w:sz w:val="24"/>
          <w:szCs w:val="24"/>
          <w:lang w:val="en-US"/>
        </w:rPr>
        <w:t xml:space="preserve">, in hindsight one can hardly dispute </w:t>
      </w:r>
      <w:r w:rsidR="00F10CE1">
        <w:rPr>
          <w:rFonts w:ascii="Times New Roman" w:hAnsi="Times New Roman" w:cs="Times New Roman"/>
          <w:sz w:val="24"/>
          <w:szCs w:val="24"/>
          <w:lang w:val="en-US"/>
        </w:rPr>
        <w:t>his critique</w:t>
      </w:r>
      <w:r>
        <w:rPr>
          <w:rFonts w:ascii="Times New Roman" w:hAnsi="Times New Roman" w:cs="Times New Roman"/>
          <w:sz w:val="24"/>
          <w:szCs w:val="24"/>
          <w:lang w:val="en-US"/>
        </w:rPr>
        <w:t xml:space="preserve"> was to no avail.</w:t>
      </w:r>
      <w:r>
        <w:rPr>
          <w:rStyle w:val="FootnoteReference"/>
          <w:rFonts w:ascii="Times New Roman" w:hAnsi="Times New Roman" w:cs="Times New Roman"/>
          <w:sz w:val="24"/>
          <w:szCs w:val="24"/>
          <w:lang w:val="en-US"/>
        </w:rPr>
        <w:footnoteReference w:id="133"/>
      </w:r>
      <w:r>
        <w:rPr>
          <w:rFonts w:ascii="Times New Roman" w:hAnsi="Times New Roman" w:cs="Times New Roman"/>
          <w:sz w:val="24"/>
          <w:szCs w:val="24"/>
          <w:lang w:val="en-US"/>
        </w:rPr>
        <w:t xml:space="preserve"> What speaks to </w:t>
      </w:r>
      <w:r w:rsidR="00A27661">
        <w:rPr>
          <w:rFonts w:ascii="Times New Roman" w:hAnsi="Times New Roman" w:cs="Times New Roman"/>
          <w:sz w:val="24"/>
          <w:szCs w:val="24"/>
          <w:lang w:val="en-US"/>
        </w:rPr>
        <w:t xml:space="preserve">the </w:t>
      </w:r>
      <w:r>
        <w:rPr>
          <w:rFonts w:ascii="Times New Roman" w:hAnsi="Times New Roman" w:cs="Times New Roman"/>
          <w:sz w:val="24"/>
          <w:szCs w:val="24"/>
          <w:lang w:val="en-US"/>
        </w:rPr>
        <w:t>pregnancy</w:t>
      </w:r>
      <w:r w:rsidR="00A27661">
        <w:rPr>
          <w:rFonts w:ascii="Times New Roman" w:hAnsi="Times New Roman" w:cs="Times New Roman"/>
          <w:sz w:val="24"/>
          <w:szCs w:val="24"/>
          <w:lang w:val="en-US"/>
        </w:rPr>
        <w:t xml:space="preserve"> of </w:t>
      </w:r>
      <w:proofErr w:type="spellStart"/>
      <w:r w:rsidR="00A27661">
        <w:rPr>
          <w:rFonts w:ascii="Times New Roman" w:hAnsi="Times New Roman" w:cs="Times New Roman"/>
          <w:sz w:val="24"/>
          <w:szCs w:val="24"/>
          <w:lang w:val="en-US"/>
        </w:rPr>
        <w:t>Leibholz’</w:t>
      </w:r>
      <w:r w:rsidR="00D423CE">
        <w:rPr>
          <w:rFonts w:ascii="Times New Roman" w:hAnsi="Times New Roman" w:cs="Times New Roman"/>
          <w:sz w:val="24"/>
          <w:szCs w:val="24"/>
          <w:lang w:val="en-US"/>
        </w:rPr>
        <w:t>s</w:t>
      </w:r>
      <w:proofErr w:type="spellEnd"/>
      <w:r w:rsidR="00A27661">
        <w:rPr>
          <w:rFonts w:ascii="Times New Roman" w:hAnsi="Times New Roman" w:cs="Times New Roman"/>
          <w:sz w:val="24"/>
          <w:szCs w:val="24"/>
          <w:lang w:val="en-US"/>
        </w:rPr>
        <w:t xml:space="preserve"> vision of the Constitution Court as the main player in the process of political integration, with full autonomy in terms of administrative and financial matters</w:t>
      </w:r>
      <w:r>
        <w:rPr>
          <w:rFonts w:ascii="Times New Roman" w:hAnsi="Times New Roman" w:cs="Times New Roman"/>
          <w:sz w:val="24"/>
          <w:szCs w:val="24"/>
          <w:lang w:val="en-US"/>
        </w:rPr>
        <w:t xml:space="preserve">? Once again, a comprehensive analysis must wait, as I turn now to just two instances of </w:t>
      </w:r>
      <w:proofErr w:type="spellStart"/>
      <w:r>
        <w:rPr>
          <w:rFonts w:ascii="Times New Roman" w:hAnsi="Times New Roman" w:cs="Times New Roman"/>
          <w:sz w:val="24"/>
          <w:szCs w:val="24"/>
          <w:lang w:val="en-US"/>
        </w:rPr>
        <w:t>Leibholz’s</w:t>
      </w:r>
      <w:proofErr w:type="spellEnd"/>
      <w:r>
        <w:rPr>
          <w:rFonts w:ascii="Times New Roman" w:hAnsi="Times New Roman" w:cs="Times New Roman"/>
          <w:sz w:val="24"/>
          <w:szCs w:val="24"/>
          <w:lang w:val="en-US"/>
        </w:rPr>
        <w:t xml:space="preserve"> rhetoric ensemble.</w:t>
      </w:r>
    </w:p>
    <w:p w14:paraId="3FAC75D0" w14:textId="77777777" w:rsidR="00B76188" w:rsidRDefault="00560FB8" w:rsidP="00560FB8">
      <w:pPr>
        <w:spacing w:after="0" w:line="360" w:lineRule="auto"/>
        <w:ind w:firstLine="113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Amidst his engagement in the resistance to the Nazi regime, while writing his unfinished masterpiece </w:t>
      </w:r>
      <w:proofErr w:type="spellStart"/>
      <w:r w:rsidRPr="00234879">
        <w:rPr>
          <w:rFonts w:ascii="Times New Roman" w:hAnsi="Times New Roman" w:cs="Times New Roman"/>
          <w:i/>
          <w:iCs/>
          <w:sz w:val="24"/>
          <w:szCs w:val="24"/>
          <w:lang w:val="en-US"/>
        </w:rPr>
        <w:t>Ethik</w:t>
      </w:r>
      <w:proofErr w:type="spellEnd"/>
      <w:r>
        <w:rPr>
          <w:rFonts w:ascii="Times New Roman" w:hAnsi="Times New Roman" w:cs="Times New Roman"/>
          <w:sz w:val="24"/>
          <w:szCs w:val="24"/>
          <w:lang w:val="en-US"/>
        </w:rPr>
        <w:t xml:space="preserve">, Bonhoeffer came to </w:t>
      </w:r>
      <w:r w:rsidR="00141CA8">
        <w:rPr>
          <w:rFonts w:ascii="Times New Roman" w:hAnsi="Times New Roman" w:cs="Times New Roman"/>
          <w:sz w:val="24"/>
          <w:szCs w:val="24"/>
          <w:lang w:val="en-US"/>
        </w:rPr>
        <w:t>one bold</w:t>
      </w:r>
      <w:r>
        <w:rPr>
          <w:rFonts w:ascii="Times New Roman" w:hAnsi="Times New Roman" w:cs="Times New Roman"/>
          <w:sz w:val="24"/>
          <w:szCs w:val="24"/>
          <w:lang w:val="en-US"/>
        </w:rPr>
        <w:t xml:space="preserve"> conclusion</w:t>
      </w:r>
      <w:r w:rsidR="00141CA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141CA8">
        <w:rPr>
          <w:rFonts w:ascii="Times New Roman" w:hAnsi="Times New Roman" w:cs="Times New Roman"/>
          <w:sz w:val="24"/>
          <w:szCs w:val="24"/>
          <w:lang w:val="en-US"/>
        </w:rPr>
        <w:t>B</w:t>
      </w:r>
      <w:r>
        <w:rPr>
          <w:rFonts w:ascii="Times New Roman" w:hAnsi="Times New Roman" w:cs="Times New Roman"/>
          <w:sz w:val="24"/>
          <w:szCs w:val="24"/>
          <w:lang w:val="en-US"/>
        </w:rPr>
        <w:t>oth Christ and recent events – who and which, the theologist asserted, are always intertwined as history</w:t>
      </w:r>
      <w:r>
        <w:rPr>
          <w:rStyle w:val="FootnoteReference"/>
          <w:rFonts w:ascii="Times New Roman" w:hAnsi="Times New Roman" w:cs="Times New Roman"/>
          <w:sz w:val="24"/>
          <w:szCs w:val="24"/>
          <w:lang w:val="en-US"/>
        </w:rPr>
        <w:footnoteReference w:id="134"/>
      </w:r>
      <w:r>
        <w:rPr>
          <w:rFonts w:ascii="Times New Roman" w:hAnsi="Times New Roman" w:cs="Times New Roman"/>
          <w:sz w:val="24"/>
          <w:szCs w:val="24"/>
          <w:lang w:val="en-US"/>
        </w:rPr>
        <w:t xml:space="preserve"> – demanded a confrontation with what he portraited as the “colossus” of a “great part of the traditional Christian-ethical thinking.”</w:t>
      </w:r>
      <w:r>
        <w:rPr>
          <w:rStyle w:val="FootnoteReference"/>
          <w:rFonts w:ascii="Times New Roman" w:hAnsi="Times New Roman" w:cs="Times New Roman"/>
          <w:sz w:val="24"/>
          <w:szCs w:val="24"/>
          <w:lang w:val="en-US"/>
        </w:rPr>
        <w:footnoteReference w:id="135"/>
      </w:r>
      <w:r>
        <w:rPr>
          <w:rFonts w:ascii="Times New Roman" w:hAnsi="Times New Roman" w:cs="Times New Roman"/>
          <w:sz w:val="24"/>
          <w:szCs w:val="24"/>
          <w:lang w:val="en-US"/>
        </w:rPr>
        <w:t xml:space="preserve"> After the epoch of the New Testament, Bonhoeffer argues, the fundamental idea of Christian ethics pivoted on the collision of two spaces, “one godly, holy, supernatural and Christian, the other worldly, profane, natural and unchristian.” </w:t>
      </w:r>
    </w:p>
    <w:p w14:paraId="6ACB0E2C" w14:textId="52D13A0A" w:rsidR="00560FB8" w:rsidRDefault="00560FB8" w:rsidP="00560FB8">
      <w:pPr>
        <w:spacing w:after="0" w:line="360" w:lineRule="auto"/>
        <w:ind w:firstLine="1134"/>
        <w:jc w:val="both"/>
        <w:rPr>
          <w:rFonts w:ascii="Times New Roman" w:hAnsi="Times New Roman" w:cs="Times New Roman"/>
          <w:sz w:val="24"/>
          <w:szCs w:val="24"/>
          <w:lang w:val="en-US"/>
        </w:rPr>
      </w:pPr>
      <w:r>
        <w:rPr>
          <w:rFonts w:ascii="Times New Roman" w:hAnsi="Times New Roman" w:cs="Times New Roman"/>
          <w:sz w:val="24"/>
          <w:szCs w:val="24"/>
          <w:lang w:val="en-US"/>
        </w:rPr>
        <w:t>As one of the major consequences of the “Two-Realms Doctrine,” which Bonhoeffer saw manifested in the stance advocated by the Lutheran Church after 1933, the Church should refuse itself to take responsibility for wrongs perpetrated in the political realm.</w:t>
      </w:r>
      <w:r>
        <w:rPr>
          <w:rStyle w:val="FootnoteReference"/>
          <w:rFonts w:ascii="Times New Roman" w:hAnsi="Times New Roman" w:cs="Times New Roman"/>
          <w:sz w:val="24"/>
          <w:szCs w:val="24"/>
          <w:lang w:val="en-US"/>
        </w:rPr>
        <w:footnoteReference w:id="136"/>
      </w:r>
      <w:r>
        <w:rPr>
          <w:rFonts w:ascii="Times New Roman" w:hAnsi="Times New Roman" w:cs="Times New Roman"/>
          <w:sz w:val="24"/>
          <w:szCs w:val="24"/>
          <w:lang w:val="en-US"/>
        </w:rPr>
        <w:t xml:space="preserve"> </w:t>
      </w:r>
      <w:r w:rsidR="004F209A">
        <w:rPr>
          <w:rFonts w:ascii="Times New Roman" w:hAnsi="Times New Roman" w:cs="Times New Roman"/>
          <w:sz w:val="24"/>
          <w:szCs w:val="24"/>
          <w:lang w:val="en-US"/>
        </w:rPr>
        <w:t xml:space="preserve">This </w:t>
      </w:r>
      <w:r>
        <w:rPr>
          <w:rFonts w:ascii="Times New Roman" w:hAnsi="Times New Roman" w:cs="Times New Roman"/>
          <w:sz w:val="24"/>
          <w:szCs w:val="24"/>
          <w:lang w:val="en-US"/>
        </w:rPr>
        <w:t xml:space="preserve">line of reasoning </w:t>
      </w:r>
      <w:r w:rsidR="004F209A">
        <w:rPr>
          <w:rFonts w:ascii="Times New Roman" w:hAnsi="Times New Roman" w:cs="Times New Roman"/>
          <w:sz w:val="24"/>
          <w:szCs w:val="24"/>
          <w:lang w:val="en-US"/>
        </w:rPr>
        <w:t>was</w:t>
      </w:r>
      <w:r>
        <w:rPr>
          <w:rFonts w:ascii="Times New Roman" w:hAnsi="Times New Roman" w:cs="Times New Roman"/>
          <w:sz w:val="24"/>
          <w:szCs w:val="24"/>
          <w:lang w:val="en-US"/>
        </w:rPr>
        <w:t xml:space="preserve"> denounced</w:t>
      </w:r>
      <w:r w:rsidR="004F209A">
        <w:rPr>
          <w:rFonts w:ascii="Times New Roman" w:hAnsi="Times New Roman" w:cs="Times New Roman"/>
          <w:sz w:val="24"/>
          <w:szCs w:val="24"/>
          <w:lang w:val="en-US"/>
        </w:rPr>
        <w:t xml:space="preserve"> by Bonhoeffer</w:t>
      </w:r>
      <w:r>
        <w:rPr>
          <w:rFonts w:ascii="Times New Roman" w:hAnsi="Times New Roman" w:cs="Times New Roman"/>
          <w:sz w:val="24"/>
          <w:szCs w:val="24"/>
          <w:lang w:val="en-US"/>
        </w:rPr>
        <w:t xml:space="preserve"> as supporting the position</w:t>
      </w:r>
      <w:r w:rsidR="004F209A">
        <w:rPr>
          <w:rFonts w:ascii="Times New Roman" w:hAnsi="Times New Roman" w:cs="Times New Roman"/>
          <w:sz w:val="24"/>
          <w:szCs w:val="24"/>
          <w:lang w:val="en-US"/>
        </w:rPr>
        <w:t xml:space="preserve"> that</w:t>
      </w:r>
      <w:r>
        <w:rPr>
          <w:rFonts w:ascii="Times New Roman" w:hAnsi="Times New Roman" w:cs="Times New Roman"/>
          <w:sz w:val="24"/>
          <w:szCs w:val="24"/>
          <w:lang w:val="en-US"/>
        </w:rPr>
        <w:t xml:space="preserve"> God’s will would bind </w:t>
      </w:r>
      <w:r w:rsidR="00A27661">
        <w:rPr>
          <w:rFonts w:ascii="Times New Roman" w:hAnsi="Times New Roman" w:cs="Times New Roman"/>
          <w:sz w:val="24"/>
          <w:szCs w:val="24"/>
          <w:lang w:val="en-US"/>
        </w:rPr>
        <w:t xml:space="preserve">his </w:t>
      </w:r>
      <w:r>
        <w:rPr>
          <w:rFonts w:ascii="Times New Roman" w:hAnsi="Times New Roman" w:cs="Times New Roman"/>
          <w:sz w:val="24"/>
          <w:szCs w:val="24"/>
          <w:lang w:val="en-US"/>
        </w:rPr>
        <w:t xml:space="preserve">flock to the “natural order,” namely, “family, </w:t>
      </w:r>
      <w:r>
        <w:rPr>
          <w:rFonts w:ascii="Times New Roman" w:hAnsi="Times New Roman" w:cs="Times New Roman"/>
          <w:sz w:val="24"/>
          <w:szCs w:val="24"/>
          <w:lang w:val="en-US"/>
        </w:rPr>
        <w:lastRenderedPageBreak/>
        <w:t>people, race (that means, a context of blood)</w:t>
      </w:r>
      <w:r w:rsidR="004F209A">
        <w:rPr>
          <w:rFonts w:ascii="Times New Roman" w:hAnsi="Times New Roman" w:cs="Times New Roman"/>
          <w:sz w:val="24"/>
          <w:szCs w:val="24"/>
          <w:lang w:val="en-US"/>
        </w:rPr>
        <w:t>.</w:t>
      </w:r>
      <w:r>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137"/>
      </w:r>
      <w:r>
        <w:rPr>
          <w:rFonts w:ascii="Times New Roman" w:hAnsi="Times New Roman" w:cs="Times New Roman"/>
          <w:sz w:val="24"/>
          <w:szCs w:val="24"/>
          <w:lang w:val="en-US"/>
        </w:rPr>
        <w:t xml:space="preserve"> </w:t>
      </w:r>
      <w:r w:rsidR="00E24D2D">
        <w:rPr>
          <w:rFonts w:ascii="Times New Roman" w:hAnsi="Times New Roman" w:cs="Times New Roman"/>
          <w:sz w:val="24"/>
          <w:szCs w:val="24"/>
          <w:lang w:val="en-US"/>
        </w:rPr>
        <w:t>To him, this would reduce God’s reality [</w:t>
      </w:r>
      <w:proofErr w:type="spellStart"/>
      <w:r w:rsidR="00E24D2D" w:rsidRPr="00E07C8A">
        <w:rPr>
          <w:rFonts w:ascii="Times New Roman" w:hAnsi="Times New Roman" w:cs="Times New Roman"/>
          <w:i/>
          <w:iCs/>
          <w:sz w:val="24"/>
          <w:szCs w:val="24"/>
          <w:lang w:val="en-US"/>
        </w:rPr>
        <w:t>Wirklichkeit</w:t>
      </w:r>
      <w:proofErr w:type="spellEnd"/>
      <w:r w:rsidR="00E24D2D">
        <w:rPr>
          <w:rFonts w:ascii="Times New Roman" w:hAnsi="Times New Roman" w:cs="Times New Roman"/>
          <w:sz w:val="24"/>
          <w:szCs w:val="24"/>
          <w:lang w:val="en-US"/>
        </w:rPr>
        <w:t xml:space="preserve">] to one among others. </w:t>
      </w:r>
      <w:r w:rsidR="004F209A">
        <w:rPr>
          <w:rFonts w:ascii="Times New Roman" w:hAnsi="Times New Roman" w:cs="Times New Roman"/>
          <w:sz w:val="24"/>
          <w:szCs w:val="24"/>
          <w:lang w:val="en-US"/>
        </w:rPr>
        <w:t>Therefore, a</w:t>
      </w:r>
      <w:r>
        <w:rPr>
          <w:rFonts w:ascii="Times New Roman" w:hAnsi="Times New Roman" w:cs="Times New Roman"/>
          <w:sz w:val="24"/>
          <w:szCs w:val="24"/>
          <w:lang w:val="en-US"/>
        </w:rPr>
        <w:t xml:space="preserve">s Christianity renounces the world, </w:t>
      </w:r>
      <w:r w:rsidR="004F209A">
        <w:rPr>
          <w:rFonts w:ascii="Times New Roman" w:hAnsi="Times New Roman" w:cs="Times New Roman"/>
          <w:sz w:val="24"/>
          <w:szCs w:val="24"/>
          <w:lang w:val="en-US"/>
        </w:rPr>
        <w:t>“</w:t>
      </w:r>
      <w:r>
        <w:rPr>
          <w:rFonts w:ascii="Times New Roman" w:hAnsi="Times New Roman" w:cs="Times New Roman"/>
          <w:sz w:val="24"/>
          <w:szCs w:val="24"/>
          <w:lang w:val="en-US"/>
        </w:rPr>
        <w:t>it decays into the unnatural, the unreasonable, devilment and despotism.”</w:t>
      </w:r>
      <w:r>
        <w:rPr>
          <w:rStyle w:val="FootnoteReference"/>
          <w:rFonts w:ascii="Times New Roman" w:hAnsi="Times New Roman" w:cs="Times New Roman"/>
          <w:sz w:val="24"/>
          <w:szCs w:val="24"/>
          <w:lang w:val="en-US"/>
        </w:rPr>
        <w:footnoteReference w:id="138"/>
      </w:r>
      <w:r>
        <w:rPr>
          <w:rFonts w:ascii="Times New Roman" w:hAnsi="Times New Roman" w:cs="Times New Roman"/>
          <w:sz w:val="24"/>
          <w:szCs w:val="24"/>
          <w:lang w:val="en-US"/>
        </w:rPr>
        <w:t xml:space="preserve"> </w:t>
      </w:r>
    </w:p>
    <w:p w14:paraId="0AEBAA85" w14:textId="6B5D7676" w:rsidR="00560FB8" w:rsidRDefault="00560FB8" w:rsidP="00560FB8">
      <w:pPr>
        <w:spacing w:after="0" w:line="360" w:lineRule="auto"/>
        <w:ind w:firstLine="1134"/>
        <w:jc w:val="both"/>
        <w:rPr>
          <w:rFonts w:ascii="Times New Roman" w:hAnsi="Times New Roman" w:cs="Times New Roman"/>
          <w:sz w:val="24"/>
          <w:szCs w:val="24"/>
          <w:lang w:val="en-US"/>
        </w:rPr>
      </w:pPr>
      <w:r>
        <w:rPr>
          <w:rFonts w:ascii="Times New Roman" w:hAnsi="Times New Roman" w:cs="Times New Roman"/>
          <w:sz w:val="24"/>
          <w:szCs w:val="24"/>
          <w:lang w:val="en-US"/>
        </w:rPr>
        <w:t>For Bonhoeffer there were two realms, but not as two static, untouchable spaces. The challenge is how to think of this difference without falling back into its spatial, static representation.</w:t>
      </w:r>
      <w:r>
        <w:rPr>
          <w:rStyle w:val="FootnoteReference"/>
          <w:rFonts w:ascii="Times New Roman" w:hAnsi="Times New Roman" w:cs="Times New Roman"/>
          <w:sz w:val="24"/>
          <w:szCs w:val="24"/>
          <w:lang w:val="en-US"/>
        </w:rPr>
        <w:footnoteReference w:id="139"/>
      </w:r>
      <w:r>
        <w:rPr>
          <w:rFonts w:ascii="Times New Roman" w:hAnsi="Times New Roman" w:cs="Times New Roman"/>
          <w:sz w:val="24"/>
          <w:szCs w:val="24"/>
          <w:lang w:val="en-US"/>
        </w:rPr>
        <w:t xml:space="preserve"> In Christ was posited “the unity between the reality of God and the reality of the World,” whose actualization “time after time” takes place in humans.</w:t>
      </w:r>
      <w:r>
        <w:rPr>
          <w:rStyle w:val="FootnoteReference"/>
          <w:rFonts w:ascii="Times New Roman" w:hAnsi="Times New Roman" w:cs="Times New Roman"/>
          <w:sz w:val="24"/>
          <w:szCs w:val="24"/>
          <w:lang w:val="en-US"/>
        </w:rPr>
        <w:footnoteReference w:id="140"/>
      </w:r>
      <w:r>
        <w:rPr>
          <w:rFonts w:ascii="Times New Roman" w:hAnsi="Times New Roman" w:cs="Times New Roman"/>
          <w:sz w:val="24"/>
          <w:szCs w:val="24"/>
          <w:lang w:val="en-US"/>
        </w:rPr>
        <w:t xml:space="preserve"> “It belongs to the revelation of God in Jesus Christ </w:t>
      </w:r>
      <w:r w:rsidR="00A27661">
        <w:rPr>
          <w:rFonts w:ascii="Times New Roman" w:hAnsi="Times New Roman" w:cs="Times New Roman"/>
          <w:sz w:val="24"/>
          <w:szCs w:val="24"/>
          <w:lang w:val="en-US"/>
        </w:rPr>
        <w:t>the</w:t>
      </w:r>
      <w:r>
        <w:rPr>
          <w:rFonts w:ascii="Times New Roman" w:hAnsi="Times New Roman" w:cs="Times New Roman"/>
          <w:sz w:val="24"/>
          <w:szCs w:val="24"/>
          <w:lang w:val="en-US"/>
        </w:rPr>
        <w:t xml:space="preserve"> seiz</w:t>
      </w:r>
      <w:r w:rsidR="00A27661">
        <w:rPr>
          <w:rFonts w:ascii="Times New Roman" w:hAnsi="Times New Roman" w:cs="Times New Roman"/>
          <w:sz w:val="24"/>
          <w:szCs w:val="24"/>
          <w:lang w:val="en-US"/>
        </w:rPr>
        <w:t>ure of</w:t>
      </w:r>
      <w:r>
        <w:rPr>
          <w:rFonts w:ascii="Times New Roman" w:hAnsi="Times New Roman" w:cs="Times New Roman"/>
          <w:sz w:val="24"/>
          <w:szCs w:val="24"/>
          <w:lang w:val="en-US"/>
        </w:rPr>
        <w:t xml:space="preserve"> space in the world.” As God “in Jesus Christ claims space in the world,” “he envisages this narrow space alongside the whole reality of the world together, revealing their ultimate foundations.”</w:t>
      </w:r>
      <w:r>
        <w:rPr>
          <w:rStyle w:val="FootnoteReference"/>
          <w:rFonts w:ascii="Times New Roman" w:hAnsi="Times New Roman" w:cs="Times New Roman"/>
          <w:sz w:val="24"/>
          <w:szCs w:val="24"/>
          <w:lang w:val="en-US"/>
        </w:rPr>
        <w:footnoteReference w:id="141"/>
      </w:r>
      <w:r>
        <w:rPr>
          <w:rFonts w:ascii="Times New Roman" w:hAnsi="Times New Roman" w:cs="Times New Roman"/>
          <w:sz w:val="24"/>
          <w:szCs w:val="24"/>
          <w:lang w:val="en-US"/>
        </w:rPr>
        <w:t xml:space="preserve"> And, due to how Christ and the Church are essentially bounded – as his body was transferred to and continued as the </w:t>
      </w:r>
      <w:r w:rsidRPr="00E90360">
        <w:rPr>
          <w:rFonts w:ascii="Times New Roman" w:hAnsi="Times New Roman" w:cs="Times New Roman"/>
          <w:i/>
          <w:iCs/>
          <w:sz w:val="24"/>
          <w:szCs w:val="24"/>
          <w:lang w:val="en-US"/>
        </w:rPr>
        <w:t xml:space="preserve">sanctorum </w:t>
      </w:r>
      <w:proofErr w:type="spellStart"/>
      <w:r w:rsidRPr="00E90360">
        <w:rPr>
          <w:rFonts w:ascii="Times New Roman" w:hAnsi="Times New Roman" w:cs="Times New Roman"/>
          <w:i/>
          <w:iCs/>
          <w:sz w:val="24"/>
          <w:szCs w:val="24"/>
          <w:lang w:val="en-US"/>
        </w:rPr>
        <w:t>communio</w:t>
      </w:r>
      <w:proofErr w:type="spellEnd"/>
      <w:r>
        <w:rPr>
          <w:rFonts w:ascii="Times New Roman" w:hAnsi="Times New Roman" w:cs="Times New Roman"/>
          <w:sz w:val="24"/>
          <w:szCs w:val="24"/>
          <w:lang w:val="en-US"/>
        </w:rPr>
        <w:t xml:space="preserve"> – “hence the Church is the place – that means the space – of Jesus Christ in the world, whose sovereignty of Jesus Christ over the whole world is testified and </w:t>
      </w:r>
      <w:r w:rsidR="00157586">
        <w:rPr>
          <w:rFonts w:ascii="Times New Roman" w:hAnsi="Times New Roman" w:cs="Times New Roman"/>
          <w:sz w:val="24"/>
          <w:szCs w:val="24"/>
          <w:lang w:val="en-US"/>
        </w:rPr>
        <w:t>pronounced</w:t>
      </w:r>
      <w:r>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142"/>
      </w:r>
    </w:p>
    <w:p w14:paraId="618606B3" w14:textId="77777777" w:rsidR="00E24D2D" w:rsidRDefault="00E24D2D" w:rsidP="00A73557">
      <w:pPr>
        <w:spacing w:after="0" w:line="360" w:lineRule="auto"/>
        <w:ind w:firstLine="113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resonance of Bonhoeffer’s theological writings within the sphere of the law </w:t>
      </w:r>
      <w:proofErr w:type="gramStart"/>
      <w:r>
        <w:rPr>
          <w:rFonts w:ascii="Times New Roman" w:hAnsi="Times New Roman" w:cs="Times New Roman"/>
          <w:sz w:val="24"/>
          <w:szCs w:val="24"/>
          <w:lang w:val="en-US"/>
        </w:rPr>
        <w:t>go</w:t>
      </w:r>
      <w:proofErr w:type="gramEnd"/>
      <w:r>
        <w:rPr>
          <w:rFonts w:ascii="Times New Roman" w:hAnsi="Times New Roman" w:cs="Times New Roman"/>
          <w:sz w:val="24"/>
          <w:szCs w:val="24"/>
          <w:lang w:val="en-US"/>
        </w:rPr>
        <w:t xml:space="preserve"> beyond his family connections to Gerhard </w:t>
      </w:r>
      <w:proofErr w:type="spellStart"/>
      <w:r>
        <w:rPr>
          <w:rFonts w:ascii="Times New Roman" w:hAnsi="Times New Roman" w:cs="Times New Roman"/>
          <w:sz w:val="24"/>
          <w:szCs w:val="24"/>
          <w:lang w:val="en-US"/>
        </w:rPr>
        <w:t>Leibholz</w:t>
      </w:r>
      <w:proofErr w:type="spellEnd"/>
      <w:r>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143"/>
      </w:r>
      <w:r>
        <w:rPr>
          <w:rFonts w:ascii="Times New Roman" w:hAnsi="Times New Roman" w:cs="Times New Roman"/>
          <w:sz w:val="24"/>
          <w:szCs w:val="24"/>
          <w:lang w:val="en-US"/>
        </w:rPr>
        <w:t xml:space="preserve"> </w:t>
      </w:r>
      <w:r w:rsidR="00560FB8">
        <w:rPr>
          <w:rFonts w:ascii="Times New Roman" w:hAnsi="Times New Roman" w:cs="Times New Roman"/>
          <w:sz w:val="24"/>
          <w:szCs w:val="24"/>
          <w:lang w:val="en-US"/>
        </w:rPr>
        <w:t xml:space="preserve">According to the political theorist Wilhelm </w:t>
      </w:r>
      <w:proofErr w:type="spellStart"/>
      <w:r w:rsidR="00560FB8">
        <w:rPr>
          <w:rFonts w:ascii="Times New Roman" w:hAnsi="Times New Roman" w:cs="Times New Roman"/>
          <w:sz w:val="24"/>
          <w:szCs w:val="24"/>
          <w:lang w:val="en-US"/>
        </w:rPr>
        <w:t>Hennis</w:t>
      </w:r>
      <w:proofErr w:type="spellEnd"/>
      <w:r w:rsidR="00560FB8">
        <w:rPr>
          <w:rFonts w:ascii="Times New Roman" w:hAnsi="Times New Roman" w:cs="Times New Roman"/>
          <w:sz w:val="24"/>
          <w:szCs w:val="24"/>
          <w:lang w:val="en-US"/>
        </w:rPr>
        <w:t xml:space="preserve">, </w:t>
      </w:r>
      <w:r w:rsidR="00560FB8" w:rsidRPr="00D01922">
        <w:rPr>
          <w:rFonts w:ascii="Times New Roman" w:hAnsi="Times New Roman" w:cs="Times New Roman"/>
          <w:sz w:val="24"/>
          <w:szCs w:val="24"/>
          <w:lang w:val="en-US"/>
        </w:rPr>
        <w:t xml:space="preserve">the pair </w:t>
      </w:r>
      <w:proofErr w:type="spellStart"/>
      <w:r w:rsidR="00560FB8" w:rsidRPr="00D01922">
        <w:rPr>
          <w:rFonts w:ascii="Times New Roman" w:hAnsi="Times New Roman" w:cs="Times New Roman"/>
          <w:i/>
          <w:iCs/>
          <w:sz w:val="24"/>
          <w:szCs w:val="24"/>
          <w:lang w:val="en-US"/>
        </w:rPr>
        <w:t>Verfassung</w:t>
      </w:r>
      <w:proofErr w:type="spellEnd"/>
      <w:r w:rsidR="00560FB8" w:rsidRPr="00D01922">
        <w:rPr>
          <w:rFonts w:ascii="Times New Roman" w:hAnsi="Times New Roman" w:cs="Times New Roman"/>
          <w:sz w:val="24"/>
          <w:szCs w:val="24"/>
          <w:lang w:val="en-US"/>
        </w:rPr>
        <w:t xml:space="preserve"> and </w:t>
      </w:r>
      <w:proofErr w:type="spellStart"/>
      <w:r w:rsidR="00560FB8" w:rsidRPr="00D01922">
        <w:rPr>
          <w:rFonts w:ascii="Times New Roman" w:hAnsi="Times New Roman" w:cs="Times New Roman"/>
          <w:i/>
          <w:iCs/>
          <w:sz w:val="24"/>
          <w:szCs w:val="24"/>
          <w:lang w:val="en-US"/>
        </w:rPr>
        <w:t>Verfassungswirklichkeit</w:t>
      </w:r>
      <w:proofErr w:type="spellEnd"/>
      <w:r w:rsidR="00560FB8" w:rsidRPr="00D01922">
        <w:rPr>
          <w:rFonts w:ascii="Times New Roman" w:hAnsi="Times New Roman" w:cs="Times New Roman"/>
          <w:sz w:val="24"/>
          <w:szCs w:val="24"/>
          <w:lang w:val="en-US"/>
        </w:rPr>
        <w:t xml:space="preserve"> would speak to a</w:t>
      </w:r>
      <w:r w:rsidR="00141CA8">
        <w:rPr>
          <w:rFonts w:ascii="Times New Roman" w:hAnsi="Times New Roman" w:cs="Times New Roman"/>
          <w:sz w:val="24"/>
          <w:szCs w:val="24"/>
          <w:lang w:val="en-US"/>
        </w:rPr>
        <w:t>n essential</w:t>
      </w:r>
      <w:r w:rsidR="00560FB8" w:rsidRPr="00D01922">
        <w:rPr>
          <w:rFonts w:ascii="Times New Roman" w:hAnsi="Times New Roman" w:cs="Times New Roman"/>
          <w:sz w:val="24"/>
          <w:szCs w:val="24"/>
          <w:lang w:val="en-US"/>
        </w:rPr>
        <w:t xml:space="preserve"> “passion</w:t>
      </w:r>
      <w:r w:rsidR="004F209A">
        <w:rPr>
          <w:rFonts w:ascii="Times New Roman" w:hAnsi="Times New Roman" w:cs="Times New Roman"/>
          <w:sz w:val="24"/>
          <w:szCs w:val="24"/>
          <w:lang w:val="en-US"/>
        </w:rPr>
        <w:t>.</w:t>
      </w:r>
      <w:r w:rsidR="00560FB8" w:rsidRPr="00D01922">
        <w:rPr>
          <w:rFonts w:ascii="Times New Roman" w:hAnsi="Times New Roman" w:cs="Times New Roman"/>
          <w:sz w:val="24"/>
          <w:szCs w:val="24"/>
          <w:lang w:val="en-US"/>
        </w:rPr>
        <w:t xml:space="preserve">” </w:t>
      </w:r>
      <w:r w:rsidR="004F209A">
        <w:rPr>
          <w:rFonts w:ascii="Times New Roman" w:hAnsi="Times New Roman" w:cs="Times New Roman"/>
          <w:sz w:val="24"/>
          <w:szCs w:val="24"/>
          <w:lang w:val="en-US"/>
        </w:rPr>
        <w:t>Thi</w:t>
      </w:r>
      <w:r w:rsidR="00141CA8">
        <w:rPr>
          <w:rFonts w:ascii="Times New Roman" w:hAnsi="Times New Roman" w:cs="Times New Roman"/>
          <w:sz w:val="24"/>
          <w:szCs w:val="24"/>
          <w:lang w:val="en-US"/>
        </w:rPr>
        <w:t>s</w:t>
      </w:r>
      <w:r w:rsidR="004F209A">
        <w:rPr>
          <w:rFonts w:ascii="Times New Roman" w:hAnsi="Times New Roman" w:cs="Times New Roman"/>
          <w:sz w:val="24"/>
          <w:szCs w:val="24"/>
          <w:lang w:val="en-US"/>
        </w:rPr>
        <w:t xml:space="preserve"> passion would</w:t>
      </w:r>
      <w:r w:rsidR="00560FB8" w:rsidRPr="00D01922">
        <w:rPr>
          <w:rFonts w:ascii="Times New Roman" w:hAnsi="Times New Roman" w:cs="Times New Roman"/>
          <w:sz w:val="24"/>
          <w:szCs w:val="24"/>
          <w:lang w:val="en-US"/>
        </w:rPr>
        <w:t xml:space="preserve"> be a constitutive part of German’s soil “since the reformation, the only German revolution</w:t>
      </w:r>
      <w:r w:rsidR="00007624">
        <w:rPr>
          <w:rFonts w:ascii="Times New Roman" w:hAnsi="Times New Roman" w:cs="Times New Roman"/>
          <w:sz w:val="24"/>
          <w:szCs w:val="24"/>
          <w:lang w:val="en-US"/>
        </w:rPr>
        <w:t>.</w:t>
      </w:r>
      <w:r w:rsidR="00560FB8" w:rsidRPr="00D01922">
        <w:rPr>
          <w:rFonts w:ascii="Times New Roman" w:hAnsi="Times New Roman" w:cs="Times New Roman"/>
          <w:sz w:val="24"/>
          <w:szCs w:val="24"/>
          <w:lang w:val="en-US"/>
        </w:rPr>
        <w:t>”</w:t>
      </w:r>
      <w:r w:rsidR="00007624">
        <w:rPr>
          <w:rFonts w:ascii="Times New Roman" w:hAnsi="Times New Roman" w:cs="Times New Roman"/>
          <w:sz w:val="24"/>
          <w:szCs w:val="24"/>
          <w:lang w:val="en-US"/>
        </w:rPr>
        <w:t xml:space="preserve"> It pivots on</w:t>
      </w:r>
      <w:r w:rsidR="00560FB8" w:rsidRPr="00D01922">
        <w:rPr>
          <w:rFonts w:ascii="Times New Roman" w:hAnsi="Times New Roman" w:cs="Times New Roman"/>
          <w:sz w:val="24"/>
          <w:szCs w:val="24"/>
          <w:lang w:val="en-US"/>
        </w:rPr>
        <w:t xml:space="preserve"> the centrality of the distinction between “faith and sins, salvation and depravation, light and darkness.”</w:t>
      </w:r>
      <w:r w:rsidR="00560FB8">
        <w:rPr>
          <w:rStyle w:val="FootnoteReference"/>
          <w:rFonts w:ascii="Times New Roman" w:hAnsi="Times New Roman" w:cs="Times New Roman"/>
          <w:sz w:val="24"/>
          <w:szCs w:val="24"/>
          <w:lang w:val="en-US"/>
        </w:rPr>
        <w:footnoteReference w:id="144"/>
      </w:r>
      <w:r w:rsidR="00560FB8">
        <w:rPr>
          <w:rFonts w:ascii="Times New Roman" w:hAnsi="Times New Roman" w:cs="Times New Roman"/>
          <w:sz w:val="24"/>
          <w:szCs w:val="24"/>
          <w:lang w:val="en-US"/>
        </w:rPr>
        <w:t xml:space="preserve"> </w:t>
      </w:r>
    </w:p>
    <w:p w14:paraId="69468E62" w14:textId="77777777" w:rsidR="00B76188" w:rsidRDefault="00E24D2D" w:rsidP="00A73557">
      <w:pPr>
        <w:spacing w:after="0" w:line="360" w:lineRule="auto"/>
        <w:ind w:firstLine="1134"/>
        <w:jc w:val="both"/>
        <w:rPr>
          <w:rFonts w:ascii="Times New Roman" w:hAnsi="Times New Roman" w:cs="Times New Roman"/>
          <w:sz w:val="24"/>
          <w:szCs w:val="24"/>
          <w:lang w:val="en-US"/>
        </w:rPr>
      </w:pPr>
      <w:r>
        <w:rPr>
          <w:rFonts w:ascii="Times New Roman" w:hAnsi="Times New Roman" w:cs="Times New Roman"/>
          <w:sz w:val="24"/>
          <w:szCs w:val="24"/>
          <w:lang w:val="en-US"/>
        </w:rPr>
        <w:t>Hence, i</w:t>
      </w:r>
      <w:r w:rsidR="00560FB8">
        <w:rPr>
          <w:rFonts w:ascii="Times New Roman" w:hAnsi="Times New Roman" w:cs="Times New Roman"/>
          <w:sz w:val="24"/>
          <w:szCs w:val="24"/>
          <w:lang w:val="en-US"/>
        </w:rPr>
        <w:t xml:space="preserve">n </w:t>
      </w:r>
      <w:proofErr w:type="spellStart"/>
      <w:r w:rsidR="00560FB8">
        <w:rPr>
          <w:rFonts w:ascii="Times New Roman" w:hAnsi="Times New Roman" w:cs="Times New Roman"/>
          <w:sz w:val="24"/>
          <w:szCs w:val="24"/>
          <w:lang w:val="en-US"/>
        </w:rPr>
        <w:t>Leibholz</w:t>
      </w:r>
      <w:proofErr w:type="spellEnd"/>
      <w:r w:rsidR="00560FB8">
        <w:rPr>
          <w:rFonts w:ascii="Times New Roman" w:hAnsi="Times New Roman" w:cs="Times New Roman"/>
          <w:sz w:val="24"/>
          <w:szCs w:val="24"/>
          <w:lang w:val="en-US"/>
        </w:rPr>
        <w:t xml:space="preserve"> the connection between this passion and constitutional doctrine finds one stark articulation. As one reads Bonhoeffer’s ethical reflections in comparison to </w:t>
      </w:r>
      <w:proofErr w:type="spellStart"/>
      <w:r w:rsidR="00560FB8">
        <w:rPr>
          <w:rFonts w:ascii="Times New Roman" w:hAnsi="Times New Roman" w:cs="Times New Roman"/>
          <w:sz w:val="24"/>
          <w:szCs w:val="24"/>
          <w:lang w:val="en-US"/>
        </w:rPr>
        <w:t>Leibholz’s</w:t>
      </w:r>
      <w:proofErr w:type="spellEnd"/>
      <w:r w:rsidR="00560FB8">
        <w:rPr>
          <w:rFonts w:ascii="Times New Roman" w:hAnsi="Times New Roman" w:cs="Times New Roman"/>
          <w:sz w:val="24"/>
          <w:szCs w:val="24"/>
          <w:lang w:val="en-US"/>
        </w:rPr>
        <w:t xml:space="preserve"> report on the status of the </w:t>
      </w:r>
      <w:proofErr w:type="spellStart"/>
      <w:r w:rsidR="00560FB8" w:rsidRPr="00D01922">
        <w:rPr>
          <w:rFonts w:ascii="Times New Roman" w:hAnsi="Times New Roman" w:cs="Times New Roman"/>
          <w:i/>
          <w:iCs/>
          <w:sz w:val="24"/>
          <w:szCs w:val="24"/>
          <w:lang w:val="en-US"/>
        </w:rPr>
        <w:t>Bundesverfassungsgericht</w:t>
      </w:r>
      <w:proofErr w:type="spellEnd"/>
      <w:r w:rsidR="00560FB8">
        <w:rPr>
          <w:rFonts w:ascii="Times New Roman" w:hAnsi="Times New Roman" w:cs="Times New Roman"/>
          <w:sz w:val="24"/>
          <w:szCs w:val="24"/>
          <w:lang w:val="en-US"/>
        </w:rPr>
        <w:t xml:space="preserve">, it is difficult to overstate their resonance. </w:t>
      </w:r>
      <w:proofErr w:type="spellStart"/>
      <w:r w:rsidR="00565BEE">
        <w:rPr>
          <w:rFonts w:ascii="Times New Roman" w:hAnsi="Times New Roman" w:cs="Times New Roman"/>
          <w:sz w:val="24"/>
          <w:szCs w:val="24"/>
          <w:lang w:val="en-US"/>
        </w:rPr>
        <w:t>Leibholz</w:t>
      </w:r>
      <w:proofErr w:type="spellEnd"/>
      <w:r w:rsidR="00565BEE">
        <w:rPr>
          <w:rFonts w:ascii="Times New Roman" w:hAnsi="Times New Roman" w:cs="Times New Roman"/>
          <w:sz w:val="24"/>
          <w:szCs w:val="24"/>
          <w:lang w:val="en-US"/>
        </w:rPr>
        <w:t xml:space="preserve"> affirms </w:t>
      </w:r>
      <w:r w:rsidR="00560FB8">
        <w:rPr>
          <w:rFonts w:ascii="Times New Roman" w:hAnsi="Times New Roman" w:cs="Times New Roman"/>
          <w:sz w:val="24"/>
          <w:szCs w:val="24"/>
          <w:lang w:val="en-US"/>
        </w:rPr>
        <w:t xml:space="preserve">that the conflict between “the irrational dynamics” of politics and the “static-rational essence” of law, the collision </w:t>
      </w:r>
      <w:r w:rsidR="00560FB8">
        <w:rPr>
          <w:rFonts w:ascii="Times New Roman" w:hAnsi="Times New Roman" w:cs="Times New Roman"/>
          <w:sz w:val="24"/>
          <w:szCs w:val="24"/>
          <w:lang w:val="en-US"/>
        </w:rPr>
        <w:lastRenderedPageBreak/>
        <w:t>between existentiality and normativity, nature and ethical reason would have in constitutional law and constitutional adjudication its “essential imprint</w:t>
      </w:r>
      <w:r w:rsidR="00565BEE">
        <w:rPr>
          <w:rFonts w:ascii="Times New Roman" w:hAnsi="Times New Roman" w:cs="Times New Roman"/>
          <w:sz w:val="24"/>
          <w:szCs w:val="24"/>
          <w:lang w:val="en-US"/>
        </w:rPr>
        <w:t>.</w:t>
      </w:r>
      <w:r w:rsidR="00560FB8">
        <w:rPr>
          <w:rFonts w:ascii="Times New Roman" w:hAnsi="Times New Roman" w:cs="Times New Roman"/>
          <w:sz w:val="24"/>
          <w:szCs w:val="24"/>
          <w:lang w:val="en-US"/>
        </w:rPr>
        <w:t>”</w:t>
      </w:r>
      <w:r w:rsidR="00560FB8">
        <w:rPr>
          <w:rStyle w:val="FootnoteReference"/>
          <w:rFonts w:ascii="Times New Roman" w:hAnsi="Times New Roman" w:cs="Times New Roman"/>
          <w:sz w:val="24"/>
          <w:szCs w:val="24"/>
          <w:lang w:val="en-US"/>
        </w:rPr>
        <w:footnoteReference w:id="145"/>
      </w:r>
      <w:r w:rsidR="00560FB8">
        <w:rPr>
          <w:rFonts w:ascii="Times New Roman" w:hAnsi="Times New Roman" w:cs="Times New Roman"/>
          <w:sz w:val="24"/>
          <w:szCs w:val="24"/>
          <w:lang w:val="en-US"/>
        </w:rPr>
        <w:t xml:space="preserve"> </w:t>
      </w:r>
      <w:r w:rsidR="00D423CE">
        <w:rPr>
          <w:rFonts w:ascii="Times New Roman" w:hAnsi="Times New Roman" w:cs="Times New Roman"/>
          <w:sz w:val="24"/>
          <w:szCs w:val="24"/>
          <w:lang w:val="en-US"/>
        </w:rPr>
        <w:t xml:space="preserve">In doing so, </w:t>
      </w:r>
      <w:proofErr w:type="spellStart"/>
      <w:r w:rsidR="00D423CE">
        <w:rPr>
          <w:rFonts w:ascii="Times New Roman" w:hAnsi="Times New Roman" w:cs="Times New Roman"/>
          <w:sz w:val="24"/>
          <w:szCs w:val="24"/>
          <w:lang w:val="en-US"/>
        </w:rPr>
        <w:t>Leibholz</w:t>
      </w:r>
      <w:proofErr w:type="spellEnd"/>
      <w:r w:rsidR="00560FB8">
        <w:rPr>
          <w:rFonts w:ascii="Times New Roman" w:hAnsi="Times New Roman" w:cs="Times New Roman"/>
          <w:sz w:val="24"/>
          <w:szCs w:val="24"/>
          <w:lang w:val="en-US"/>
        </w:rPr>
        <w:t xml:space="preserve"> </w:t>
      </w:r>
      <w:r w:rsidR="00565BEE">
        <w:rPr>
          <w:rFonts w:ascii="Times New Roman" w:hAnsi="Times New Roman" w:cs="Times New Roman"/>
          <w:sz w:val="24"/>
          <w:szCs w:val="24"/>
          <w:lang w:val="en-US"/>
        </w:rPr>
        <w:t>questions the validity of a principle enunciated by Weimar’s</w:t>
      </w:r>
      <w:r w:rsidR="00560FB8">
        <w:rPr>
          <w:rFonts w:ascii="Times New Roman" w:hAnsi="Times New Roman" w:cs="Times New Roman"/>
          <w:sz w:val="24"/>
          <w:szCs w:val="24"/>
          <w:lang w:val="en-US"/>
        </w:rPr>
        <w:t xml:space="preserve"> </w:t>
      </w:r>
      <w:proofErr w:type="spellStart"/>
      <w:r w:rsidR="00560FB8" w:rsidRPr="009E1627">
        <w:rPr>
          <w:rFonts w:ascii="Times New Roman" w:hAnsi="Times New Roman" w:cs="Times New Roman"/>
          <w:i/>
          <w:iCs/>
          <w:sz w:val="24"/>
          <w:szCs w:val="24"/>
          <w:lang w:val="en-US"/>
        </w:rPr>
        <w:t>Staatsgerichtshof</w:t>
      </w:r>
      <w:proofErr w:type="spellEnd"/>
      <w:r w:rsidR="00565BEE">
        <w:rPr>
          <w:rFonts w:ascii="Times New Roman" w:hAnsi="Times New Roman" w:cs="Times New Roman"/>
          <w:sz w:val="24"/>
          <w:szCs w:val="24"/>
          <w:lang w:val="en-US"/>
        </w:rPr>
        <w:t>.</w:t>
      </w:r>
      <w:r w:rsidR="00560FB8">
        <w:rPr>
          <w:rFonts w:ascii="Times New Roman" w:hAnsi="Times New Roman" w:cs="Times New Roman"/>
          <w:sz w:val="24"/>
          <w:szCs w:val="24"/>
          <w:lang w:val="en-US"/>
        </w:rPr>
        <w:t xml:space="preserve"> </w:t>
      </w:r>
      <w:r w:rsidR="00565BEE">
        <w:rPr>
          <w:rFonts w:ascii="Times New Roman" w:hAnsi="Times New Roman" w:cs="Times New Roman"/>
          <w:sz w:val="24"/>
          <w:szCs w:val="24"/>
          <w:lang w:val="en-US"/>
        </w:rPr>
        <w:t>Following this principle,</w:t>
      </w:r>
      <w:r w:rsidR="00560FB8">
        <w:rPr>
          <w:rFonts w:ascii="Times New Roman" w:hAnsi="Times New Roman" w:cs="Times New Roman"/>
          <w:sz w:val="24"/>
          <w:szCs w:val="24"/>
          <w:lang w:val="en-US"/>
        </w:rPr>
        <w:t xml:space="preserve"> due to </w:t>
      </w:r>
      <w:r w:rsidR="00D423CE">
        <w:rPr>
          <w:rFonts w:ascii="Times New Roman" w:hAnsi="Times New Roman" w:cs="Times New Roman"/>
          <w:sz w:val="24"/>
          <w:szCs w:val="24"/>
          <w:lang w:val="en-US"/>
        </w:rPr>
        <w:t xml:space="preserve">the </w:t>
      </w:r>
      <w:r w:rsidR="00565BEE">
        <w:rPr>
          <w:rFonts w:ascii="Times New Roman" w:hAnsi="Times New Roman" w:cs="Times New Roman"/>
          <w:sz w:val="24"/>
          <w:szCs w:val="24"/>
          <w:lang w:val="en-US"/>
        </w:rPr>
        <w:t xml:space="preserve">Court’s </w:t>
      </w:r>
      <w:r w:rsidR="00560FB8">
        <w:rPr>
          <w:rFonts w:ascii="Times New Roman" w:hAnsi="Times New Roman" w:cs="Times New Roman"/>
          <w:sz w:val="24"/>
          <w:szCs w:val="24"/>
          <w:lang w:val="en-US"/>
        </w:rPr>
        <w:t xml:space="preserve">concern with the application of objective law, </w:t>
      </w:r>
      <w:r w:rsidR="00565BEE">
        <w:rPr>
          <w:rFonts w:ascii="Times New Roman" w:hAnsi="Times New Roman" w:cs="Times New Roman"/>
          <w:sz w:val="24"/>
          <w:szCs w:val="24"/>
          <w:lang w:val="en-US"/>
        </w:rPr>
        <w:t xml:space="preserve">adjudication </w:t>
      </w:r>
      <w:r w:rsidR="00560FB8">
        <w:rPr>
          <w:rFonts w:ascii="Times New Roman" w:hAnsi="Times New Roman" w:cs="Times New Roman"/>
          <w:sz w:val="24"/>
          <w:szCs w:val="24"/>
          <w:lang w:val="en-US"/>
        </w:rPr>
        <w:t>shouldn’t have in</w:t>
      </w:r>
      <w:r w:rsidR="00D423CE">
        <w:rPr>
          <w:rFonts w:ascii="Times New Roman" w:hAnsi="Times New Roman" w:cs="Times New Roman"/>
          <w:sz w:val="24"/>
          <w:szCs w:val="24"/>
          <w:lang w:val="en-US"/>
        </w:rPr>
        <w:t>to</w:t>
      </w:r>
      <w:r w:rsidR="00560FB8">
        <w:rPr>
          <w:rFonts w:ascii="Times New Roman" w:hAnsi="Times New Roman" w:cs="Times New Roman"/>
          <w:sz w:val="24"/>
          <w:szCs w:val="24"/>
          <w:lang w:val="en-US"/>
        </w:rPr>
        <w:t xml:space="preserve"> consideration “the political consequences of its verdicts.”</w:t>
      </w:r>
      <w:r w:rsidR="00560FB8">
        <w:rPr>
          <w:rStyle w:val="FootnoteReference"/>
          <w:rFonts w:ascii="Times New Roman" w:hAnsi="Times New Roman" w:cs="Times New Roman"/>
          <w:sz w:val="24"/>
          <w:szCs w:val="24"/>
          <w:lang w:val="en-US"/>
        </w:rPr>
        <w:footnoteReference w:id="146"/>
      </w:r>
      <w:r w:rsidR="00560FB8">
        <w:rPr>
          <w:rFonts w:ascii="Times New Roman" w:hAnsi="Times New Roman" w:cs="Times New Roman"/>
          <w:sz w:val="24"/>
          <w:szCs w:val="24"/>
          <w:lang w:val="en-US"/>
        </w:rPr>
        <w:t xml:space="preserve"> For </w:t>
      </w:r>
      <w:proofErr w:type="spellStart"/>
      <w:r w:rsidR="00560FB8">
        <w:rPr>
          <w:rFonts w:ascii="Times New Roman" w:hAnsi="Times New Roman" w:cs="Times New Roman"/>
          <w:sz w:val="24"/>
          <w:szCs w:val="24"/>
          <w:lang w:val="en-US"/>
        </w:rPr>
        <w:t>Leibholz</w:t>
      </w:r>
      <w:proofErr w:type="spellEnd"/>
      <w:r w:rsidR="00560FB8">
        <w:rPr>
          <w:rFonts w:ascii="Times New Roman" w:hAnsi="Times New Roman" w:cs="Times New Roman"/>
          <w:sz w:val="24"/>
          <w:szCs w:val="24"/>
          <w:lang w:val="en-US"/>
        </w:rPr>
        <w:t xml:space="preserve">, </w:t>
      </w:r>
      <w:r w:rsidR="00565BEE">
        <w:rPr>
          <w:rFonts w:ascii="Times New Roman" w:hAnsi="Times New Roman" w:cs="Times New Roman"/>
          <w:sz w:val="24"/>
          <w:szCs w:val="24"/>
          <w:lang w:val="en-US"/>
        </w:rPr>
        <w:t>the complete opposite is the case. And that</w:t>
      </w:r>
      <w:r w:rsidR="00560FB8">
        <w:rPr>
          <w:rFonts w:ascii="Times New Roman" w:hAnsi="Times New Roman" w:cs="Times New Roman"/>
          <w:sz w:val="24"/>
          <w:szCs w:val="24"/>
          <w:lang w:val="en-US"/>
        </w:rPr>
        <w:t xml:space="preserve"> </w:t>
      </w:r>
      <w:r w:rsidR="00D423CE">
        <w:rPr>
          <w:rFonts w:ascii="Times New Roman" w:hAnsi="Times New Roman" w:cs="Times New Roman"/>
          <w:sz w:val="24"/>
          <w:szCs w:val="24"/>
          <w:lang w:val="en-US"/>
        </w:rPr>
        <w:t xml:space="preserve">is </w:t>
      </w:r>
      <w:r w:rsidR="00560FB8">
        <w:rPr>
          <w:rFonts w:ascii="Times New Roman" w:hAnsi="Times New Roman" w:cs="Times New Roman"/>
          <w:sz w:val="24"/>
          <w:szCs w:val="24"/>
          <w:lang w:val="en-US"/>
        </w:rPr>
        <w:t xml:space="preserve">in reason of both Bonn’s </w:t>
      </w:r>
      <w:proofErr w:type="spellStart"/>
      <w:r w:rsidR="00560FB8" w:rsidRPr="008928B9">
        <w:rPr>
          <w:rFonts w:ascii="Times New Roman" w:hAnsi="Times New Roman" w:cs="Times New Roman"/>
          <w:i/>
          <w:iCs/>
          <w:sz w:val="24"/>
          <w:szCs w:val="24"/>
          <w:lang w:val="en-US"/>
        </w:rPr>
        <w:t>Grundgesetz</w:t>
      </w:r>
      <w:proofErr w:type="spellEnd"/>
      <w:r w:rsidR="00560FB8">
        <w:rPr>
          <w:rFonts w:ascii="Times New Roman" w:hAnsi="Times New Roman" w:cs="Times New Roman"/>
          <w:sz w:val="24"/>
          <w:szCs w:val="24"/>
          <w:lang w:val="en-US"/>
        </w:rPr>
        <w:t xml:space="preserve"> and the experience of the Weimar </w:t>
      </w:r>
      <w:r w:rsidR="00D423CE">
        <w:rPr>
          <w:rFonts w:ascii="Times New Roman" w:hAnsi="Times New Roman" w:cs="Times New Roman"/>
          <w:sz w:val="24"/>
          <w:szCs w:val="24"/>
          <w:lang w:val="en-US"/>
        </w:rPr>
        <w:t>Republic</w:t>
      </w:r>
      <w:r w:rsidR="00560FB8">
        <w:rPr>
          <w:rFonts w:ascii="Times New Roman" w:hAnsi="Times New Roman" w:cs="Times New Roman"/>
          <w:sz w:val="24"/>
          <w:szCs w:val="24"/>
          <w:lang w:val="en-US"/>
        </w:rPr>
        <w:t xml:space="preserve">. </w:t>
      </w:r>
    </w:p>
    <w:p w14:paraId="0DF95F99" w14:textId="2945792D" w:rsidR="00560FB8" w:rsidRDefault="00565BEE" w:rsidP="00A73557">
      <w:pPr>
        <w:spacing w:after="0" w:line="360" w:lineRule="auto"/>
        <w:ind w:firstLine="1134"/>
        <w:jc w:val="both"/>
        <w:rPr>
          <w:rFonts w:ascii="Times New Roman" w:hAnsi="Times New Roman" w:cs="Times New Roman"/>
          <w:sz w:val="24"/>
          <w:szCs w:val="24"/>
          <w:lang w:val="en-US"/>
        </w:rPr>
      </w:pPr>
      <w:r>
        <w:rPr>
          <w:rFonts w:ascii="Times New Roman" w:hAnsi="Times New Roman" w:cs="Times New Roman"/>
          <w:sz w:val="24"/>
          <w:szCs w:val="24"/>
          <w:lang w:val="en-US"/>
        </w:rPr>
        <w:t>Following both</w:t>
      </w:r>
      <w:r w:rsidR="00560FB8">
        <w:rPr>
          <w:rFonts w:ascii="Times New Roman" w:hAnsi="Times New Roman" w:cs="Times New Roman"/>
          <w:sz w:val="24"/>
          <w:szCs w:val="24"/>
          <w:lang w:val="en-US"/>
        </w:rPr>
        <w:t>,</w:t>
      </w:r>
      <w:r>
        <w:rPr>
          <w:rFonts w:ascii="Times New Roman" w:hAnsi="Times New Roman" w:cs="Times New Roman"/>
          <w:sz w:val="24"/>
          <w:szCs w:val="24"/>
          <w:lang w:val="en-US"/>
        </w:rPr>
        <w:t xml:space="preserve"> one must conclude it</w:t>
      </w:r>
      <w:r w:rsidR="00560FB8">
        <w:rPr>
          <w:rFonts w:ascii="Times New Roman" w:hAnsi="Times New Roman" w:cs="Times New Roman"/>
          <w:sz w:val="24"/>
          <w:szCs w:val="24"/>
          <w:lang w:val="en-US"/>
        </w:rPr>
        <w:t xml:space="preserve"> is the constitutional judge’s “duty” – one could say h</w:t>
      </w:r>
      <w:r>
        <w:rPr>
          <w:rFonts w:ascii="Times New Roman" w:hAnsi="Times New Roman" w:cs="Times New Roman"/>
          <w:sz w:val="24"/>
          <w:szCs w:val="24"/>
          <w:lang w:val="en-US"/>
        </w:rPr>
        <w:t>is</w:t>
      </w:r>
      <w:r w:rsidR="00560FB8">
        <w:rPr>
          <w:rFonts w:ascii="Times New Roman" w:hAnsi="Times New Roman" w:cs="Times New Roman"/>
          <w:sz w:val="24"/>
          <w:szCs w:val="24"/>
          <w:lang w:val="en-US"/>
        </w:rPr>
        <w:t xml:space="preserve"> </w:t>
      </w:r>
      <w:proofErr w:type="spellStart"/>
      <w:r w:rsidR="00560FB8" w:rsidRPr="002B7602">
        <w:rPr>
          <w:rFonts w:ascii="Times New Roman" w:hAnsi="Times New Roman" w:cs="Times New Roman"/>
          <w:i/>
          <w:iCs/>
          <w:sz w:val="24"/>
          <w:szCs w:val="24"/>
          <w:lang w:val="en-US"/>
        </w:rPr>
        <w:t>Mandat</w:t>
      </w:r>
      <w:proofErr w:type="spellEnd"/>
      <w:r w:rsidR="00560FB8" w:rsidRPr="002B7602">
        <w:rPr>
          <w:rFonts w:ascii="Times New Roman" w:hAnsi="Times New Roman" w:cs="Times New Roman"/>
          <w:i/>
          <w:iCs/>
          <w:sz w:val="24"/>
          <w:szCs w:val="24"/>
          <w:lang w:val="en-US"/>
        </w:rPr>
        <w:t xml:space="preserve"> </w:t>
      </w:r>
      <w:proofErr w:type="spellStart"/>
      <w:r w:rsidR="00560FB8" w:rsidRPr="002B7602">
        <w:rPr>
          <w:rFonts w:ascii="Times New Roman" w:hAnsi="Times New Roman" w:cs="Times New Roman"/>
          <w:i/>
          <w:iCs/>
          <w:sz w:val="24"/>
          <w:szCs w:val="24"/>
          <w:lang w:val="en-US"/>
        </w:rPr>
        <w:t>Gottes</w:t>
      </w:r>
      <w:proofErr w:type="spellEnd"/>
      <w:r w:rsidR="00560FB8" w:rsidRPr="002B7602">
        <w:rPr>
          <w:rStyle w:val="FootnoteReference"/>
          <w:rFonts w:ascii="Times New Roman" w:hAnsi="Times New Roman" w:cs="Times New Roman"/>
          <w:sz w:val="24"/>
          <w:szCs w:val="24"/>
          <w:lang w:val="en-US"/>
        </w:rPr>
        <w:footnoteReference w:id="147"/>
      </w:r>
      <w:r w:rsidR="00560FB8">
        <w:rPr>
          <w:rFonts w:ascii="Times New Roman" w:hAnsi="Times New Roman" w:cs="Times New Roman"/>
          <w:sz w:val="24"/>
          <w:szCs w:val="24"/>
          <w:lang w:val="en-US"/>
        </w:rPr>
        <w:t xml:space="preserve"> – to have within </w:t>
      </w:r>
      <w:r>
        <w:rPr>
          <w:rFonts w:ascii="Times New Roman" w:hAnsi="Times New Roman" w:cs="Times New Roman"/>
          <w:sz w:val="24"/>
          <w:szCs w:val="24"/>
          <w:lang w:val="en-US"/>
        </w:rPr>
        <w:t xml:space="preserve">his </w:t>
      </w:r>
      <w:r w:rsidR="00560FB8">
        <w:rPr>
          <w:rFonts w:ascii="Times New Roman" w:hAnsi="Times New Roman" w:cs="Times New Roman"/>
          <w:sz w:val="24"/>
          <w:szCs w:val="24"/>
          <w:lang w:val="en-US"/>
        </w:rPr>
        <w:t xml:space="preserve">attention the political consequences and effects of </w:t>
      </w:r>
      <w:r>
        <w:rPr>
          <w:rFonts w:ascii="Times New Roman" w:hAnsi="Times New Roman" w:cs="Times New Roman"/>
          <w:sz w:val="24"/>
          <w:szCs w:val="24"/>
          <w:lang w:val="en-US"/>
        </w:rPr>
        <w:t xml:space="preserve">his </w:t>
      </w:r>
      <w:r w:rsidR="00560FB8">
        <w:rPr>
          <w:rFonts w:ascii="Times New Roman" w:hAnsi="Times New Roman" w:cs="Times New Roman"/>
          <w:sz w:val="24"/>
          <w:szCs w:val="24"/>
          <w:lang w:val="en-US"/>
        </w:rPr>
        <w:t>decisions. The Constitutional Court as a “Creature of the Constitution”</w:t>
      </w:r>
      <w:r w:rsidR="00560FB8">
        <w:rPr>
          <w:rStyle w:val="FootnoteReference"/>
          <w:rFonts w:ascii="Times New Roman" w:hAnsi="Times New Roman" w:cs="Times New Roman"/>
          <w:sz w:val="24"/>
          <w:szCs w:val="24"/>
          <w:lang w:val="en-US"/>
        </w:rPr>
        <w:footnoteReference w:id="148"/>
      </w:r>
      <w:r w:rsidR="00560FB8">
        <w:rPr>
          <w:rFonts w:ascii="Times New Roman" w:hAnsi="Times New Roman" w:cs="Times New Roman"/>
          <w:sz w:val="24"/>
          <w:szCs w:val="24"/>
          <w:lang w:val="en-US"/>
        </w:rPr>
        <w:t xml:space="preserve"> is the Constitution’s place within the political realm, seizing it as a whole and laying down its ultimate foundations.</w:t>
      </w:r>
      <w:r w:rsidR="00560FB8">
        <w:rPr>
          <w:rStyle w:val="FootnoteReference"/>
          <w:rFonts w:ascii="Times New Roman" w:hAnsi="Times New Roman" w:cs="Times New Roman"/>
          <w:sz w:val="24"/>
          <w:szCs w:val="24"/>
          <w:lang w:val="en-US"/>
        </w:rPr>
        <w:footnoteReference w:id="149"/>
      </w:r>
    </w:p>
    <w:p w14:paraId="32D53BA9" w14:textId="2F0C3F87" w:rsidR="00560FB8" w:rsidRPr="00684A7B" w:rsidRDefault="00560FB8" w:rsidP="00560FB8">
      <w:pPr>
        <w:spacing w:after="0" w:line="360" w:lineRule="auto"/>
        <w:ind w:firstLine="1134"/>
        <w:jc w:val="both"/>
        <w:rPr>
          <w:rFonts w:ascii="Times New Roman" w:hAnsi="Times New Roman" w:cs="Times New Roman"/>
          <w:sz w:val="24"/>
          <w:szCs w:val="24"/>
          <w:lang w:val="de-DE"/>
        </w:rPr>
      </w:pPr>
      <w:r>
        <w:rPr>
          <w:rFonts w:ascii="Times New Roman" w:hAnsi="Times New Roman" w:cs="Times New Roman"/>
          <w:sz w:val="24"/>
          <w:szCs w:val="24"/>
          <w:lang w:val="en-US"/>
        </w:rPr>
        <w:t xml:space="preserve">Thoroughly operative therein, I would suggest, is the latent identity between the two ministries of Church and Justice, whose </w:t>
      </w:r>
      <w:r w:rsidR="00565BEE">
        <w:rPr>
          <w:rFonts w:ascii="Times New Roman" w:hAnsi="Times New Roman" w:cs="Times New Roman"/>
          <w:sz w:val="24"/>
          <w:szCs w:val="24"/>
          <w:lang w:val="en-US"/>
        </w:rPr>
        <w:t xml:space="preserve">counterfeit </w:t>
      </w:r>
      <w:r>
        <w:rPr>
          <w:rFonts w:ascii="Times New Roman" w:hAnsi="Times New Roman" w:cs="Times New Roman"/>
          <w:sz w:val="24"/>
          <w:szCs w:val="24"/>
          <w:lang w:val="en-US"/>
        </w:rPr>
        <w:t xml:space="preserve">absence from worldly, political affairs during the Weimar Republic led </w:t>
      </w:r>
      <w:r w:rsidR="00680ECD">
        <w:rPr>
          <w:rFonts w:ascii="Times New Roman" w:hAnsi="Times New Roman" w:cs="Times New Roman"/>
          <w:sz w:val="24"/>
          <w:szCs w:val="24"/>
          <w:lang w:val="en-US"/>
        </w:rPr>
        <w:t>judges and priest</w:t>
      </w:r>
      <w:r w:rsidR="00D423CE">
        <w:rPr>
          <w:rFonts w:ascii="Times New Roman" w:hAnsi="Times New Roman" w:cs="Times New Roman"/>
          <w:sz w:val="24"/>
          <w:szCs w:val="24"/>
          <w:lang w:val="en-US"/>
        </w:rPr>
        <w:t>s</w:t>
      </w:r>
      <w:r w:rsidR="00680ECD">
        <w:rPr>
          <w:rFonts w:ascii="Times New Roman" w:hAnsi="Times New Roman" w:cs="Times New Roman"/>
          <w:sz w:val="24"/>
          <w:szCs w:val="24"/>
          <w:lang w:val="en-US"/>
        </w:rPr>
        <w:t xml:space="preserve"> </w:t>
      </w:r>
      <w:r>
        <w:rPr>
          <w:rFonts w:ascii="Times New Roman" w:hAnsi="Times New Roman" w:cs="Times New Roman"/>
          <w:sz w:val="24"/>
          <w:szCs w:val="24"/>
          <w:lang w:val="en-US"/>
        </w:rPr>
        <w:t>into</w:t>
      </w:r>
      <w:r w:rsidR="00680ECD">
        <w:rPr>
          <w:rFonts w:ascii="Times New Roman" w:hAnsi="Times New Roman" w:cs="Times New Roman"/>
          <w:sz w:val="24"/>
          <w:szCs w:val="24"/>
          <w:lang w:val="en-US"/>
        </w:rPr>
        <w:t xml:space="preserve"> the</w:t>
      </w:r>
      <w:r>
        <w:rPr>
          <w:rFonts w:ascii="Times New Roman" w:hAnsi="Times New Roman" w:cs="Times New Roman"/>
          <w:sz w:val="24"/>
          <w:szCs w:val="24"/>
          <w:lang w:val="en-US"/>
        </w:rPr>
        <w:t xml:space="preserve"> madness</w:t>
      </w:r>
      <w:r w:rsidR="00680ECD">
        <w:rPr>
          <w:rFonts w:ascii="Times New Roman" w:hAnsi="Times New Roman" w:cs="Times New Roman"/>
          <w:sz w:val="24"/>
          <w:szCs w:val="24"/>
          <w:lang w:val="en-US"/>
        </w:rPr>
        <w:t xml:space="preserve"> of National Socialism</w:t>
      </w:r>
      <w:r>
        <w:rPr>
          <w:rFonts w:ascii="Times New Roman" w:hAnsi="Times New Roman" w:cs="Times New Roman"/>
          <w:sz w:val="24"/>
          <w:szCs w:val="24"/>
          <w:lang w:val="en-US"/>
        </w:rPr>
        <w:t xml:space="preserve">. As </w:t>
      </w:r>
      <w:proofErr w:type="spellStart"/>
      <w:r>
        <w:rPr>
          <w:rFonts w:ascii="Times New Roman" w:hAnsi="Times New Roman" w:cs="Times New Roman"/>
          <w:sz w:val="24"/>
          <w:szCs w:val="24"/>
          <w:lang w:val="en-US"/>
        </w:rPr>
        <w:t>Leibholz</w:t>
      </w:r>
      <w:proofErr w:type="spellEnd"/>
      <w:r>
        <w:rPr>
          <w:rFonts w:ascii="Times New Roman" w:hAnsi="Times New Roman" w:cs="Times New Roman"/>
          <w:sz w:val="24"/>
          <w:szCs w:val="24"/>
          <w:lang w:val="en-US"/>
        </w:rPr>
        <w:t xml:space="preserve"> mobilizes “Weimar” as an argument, in line with what the scholarship has identified as the singular historical signature of this generation to its recent past,</w:t>
      </w:r>
      <w:r>
        <w:rPr>
          <w:rStyle w:val="FootnoteReference"/>
          <w:rFonts w:ascii="Times New Roman" w:hAnsi="Times New Roman" w:cs="Times New Roman"/>
          <w:sz w:val="24"/>
          <w:szCs w:val="24"/>
          <w:lang w:val="en-US"/>
        </w:rPr>
        <w:footnoteReference w:id="150"/>
      </w:r>
      <w:r>
        <w:rPr>
          <w:rFonts w:ascii="Times New Roman" w:hAnsi="Times New Roman" w:cs="Times New Roman"/>
          <w:sz w:val="24"/>
          <w:szCs w:val="24"/>
          <w:lang w:val="en-US"/>
        </w:rPr>
        <w:t xml:space="preserve"> he suggests that what could be once obscured due to </w:t>
      </w:r>
      <w:r w:rsidR="00A73557">
        <w:rPr>
          <w:rFonts w:ascii="Times New Roman" w:hAnsi="Times New Roman" w:cs="Times New Roman"/>
          <w:sz w:val="24"/>
          <w:szCs w:val="24"/>
          <w:lang w:val="en-US"/>
        </w:rPr>
        <w:t>the ambivalences of the</w:t>
      </w:r>
      <w:r>
        <w:rPr>
          <w:rFonts w:ascii="Times New Roman" w:hAnsi="Times New Roman" w:cs="Times New Roman"/>
          <w:sz w:val="24"/>
          <w:szCs w:val="24"/>
          <w:lang w:val="en-US"/>
        </w:rPr>
        <w:t xml:space="preserve"> Weimar constitution cannot be anymore. Namely, how the </w:t>
      </w:r>
      <w:proofErr w:type="spellStart"/>
      <w:r w:rsidRPr="00684A7B">
        <w:rPr>
          <w:rFonts w:ascii="Times New Roman" w:hAnsi="Times New Roman" w:cs="Times New Roman"/>
          <w:i/>
          <w:iCs/>
          <w:sz w:val="24"/>
          <w:szCs w:val="24"/>
          <w:lang w:val="en-US"/>
        </w:rPr>
        <w:t>Bundesverfassungsgericht</w:t>
      </w:r>
      <w:proofErr w:type="spellEnd"/>
      <w:r>
        <w:rPr>
          <w:rFonts w:ascii="Times New Roman" w:hAnsi="Times New Roman" w:cs="Times New Roman"/>
          <w:sz w:val="24"/>
          <w:szCs w:val="24"/>
          <w:lang w:val="en-US"/>
        </w:rPr>
        <w:t>, although a judicial body, is equally an institution with its feet in the political domain, wherein it assumes its role of “the guardian of the Constitution</w:t>
      </w:r>
      <w:r w:rsidR="00E24D2D">
        <w:rPr>
          <w:rFonts w:ascii="Times New Roman" w:hAnsi="Times New Roman" w:cs="Times New Roman"/>
          <w:sz w:val="24"/>
          <w:szCs w:val="24"/>
          <w:lang w:val="en-US"/>
        </w:rPr>
        <w:t>.</w:t>
      </w:r>
      <w:r>
        <w:rPr>
          <w:rFonts w:ascii="Times New Roman" w:hAnsi="Times New Roman" w:cs="Times New Roman"/>
          <w:sz w:val="24"/>
          <w:szCs w:val="24"/>
          <w:lang w:val="en-US"/>
        </w:rPr>
        <w:t>”</w:t>
      </w:r>
      <w:r w:rsidR="00E24D2D">
        <w:rPr>
          <w:rFonts w:ascii="Times New Roman" w:hAnsi="Times New Roman" w:cs="Times New Roman"/>
          <w:sz w:val="24"/>
          <w:szCs w:val="24"/>
          <w:lang w:val="en-US"/>
        </w:rPr>
        <w:t xml:space="preserve"> </w:t>
      </w:r>
      <w:r w:rsidR="00E24D2D" w:rsidRPr="00E24D2D">
        <w:rPr>
          <w:rFonts w:ascii="Times New Roman" w:hAnsi="Times New Roman" w:cs="Times New Roman"/>
          <w:sz w:val="24"/>
          <w:szCs w:val="24"/>
          <w:lang w:val="de-DE"/>
        </w:rPr>
        <w:t>As</w:t>
      </w:r>
      <w:r w:rsidR="00E24D2D">
        <w:rPr>
          <w:rFonts w:ascii="Times New Roman" w:hAnsi="Times New Roman" w:cs="Times New Roman"/>
          <w:sz w:val="24"/>
          <w:szCs w:val="24"/>
          <w:lang w:val="de-DE"/>
        </w:rPr>
        <w:t xml:space="preserve"> the Court</w:t>
      </w:r>
      <w:r w:rsidRPr="00E24D2D">
        <w:rPr>
          <w:rFonts w:ascii="Times New Roman" w:hAnsi="Times New Roman" w:cs="Times New Roman"/>
          <w:sz w:val="24"/>
          <w:szCs w:val="24"/>
          <w:lang w:val="de-DE"/>
        </w:rPr>
        <w:t xml:space="preserve"> interven</w:t>
      </w:r>
      <w:r w:rsidR="00E24D2D">
        <w:rPr>
          <w:rFonts w:ascii="Times New Roman" w:hAnsi="Times New Roman" w:cs="Times New Roman"/>
          <w:sz w:val="24"/>
          <w:szCs w:val="24"/>
          <w:lang w:val="de-DE"/>
        </w:rPr>
        <w:t>es</w:t>
      </w:r>
      <w:r w:rsidRPr="00E24D2D">
        <w:rPr>
          <w:rFonts w:ascii="Times New Roman" w:hAnsi="Times New Roman" w:cs="Times New Roman"/>
          <w:sz w:val="24"/>
          <w:szCs w:val="24"/>
          <w:lang w:val="de-DE"/>
        </w:rPr>
        <w:t xml:space="preserve"> into the “natural political process of integration,”</w:t>
      </w:r>
      <w:r>
        <w:rPr>
          <w:rStyle w:val="FootnoteReference"/>
          <w:rFonts w:ascii="Times New Roman" w:hAnsi="Times New Roman" w:cs="Times New Roman"/>
          <w:sz w:val="24"/>
          <w:szCs w:val="24"/>
          <w:lang w:val="en-US"/>
        </w:rPr>
        <w:footnoteReference w:id="151"/>
      </w:r>
      <w:r w:rsidR="00E24D2D">
        <w:rPr>
          <w:rFonts w:ascii="Times New Roman" w:hAnsi="Times New Roman" w:cs="Times New Roman"/>
          <w:sz w:val="24"/>
          <w:szCs w:val="24"/>
          <w:lang w:val="de-DE"/>
        </w:rPr>
        <w:t xml:space="preserve"> it does</w:t>
      </w:r>
      <w:r w:rsidRPr="00E24D2D">
        <w:rPr>
          <w:rFonts w:ascii="Times New Roman" w:hAnsi="Times New Roman" w:cs="Times New Roman"/>
          <w:sz w:val="24"/>
          <w:szCs w:val="24"/>
          <w:lang w:val="de-DE"/>
        </w:rPr>
        <w:t xml:space="preserve"> so that although “[</w:t>
      </w:r>
      <w:r w:rsidRPr="00E24D2D">
        <w:rPr>
          <w:rFonts w:ascii="Times New Roman" w:hAnsi="Times New Roman" w:cs="Times New Roman"/>
          <w:i/>
          <w:iCs/>
          <w:sz w:val="24"/>
          <w:szCs w:val="24"/>
          <w:lang w:val="de-DE"/>
        </w:rPr>
        <w:t>w</w:t>
      </w:r>
      <w:r w:rsidRPr="00E24D2D">
        <w:rPr>
          <w:rFonts w:ascii="Times New Roman" w:hAnsi="Times New Roman" w:cs="Times New Roman"/>
          <w:sz w:val="24"/>
          <w:szCs w:val="24"/>
          <w:lang w:val="de-DE"/>
        </w:rPr>
        <w:t>]</w:t>
      </w:r>
      <w:r w:rsidRPr="00E24D2D">
        <w:rPr>
          <w:rFonts w:ascii="Times New Roman" w:hAnsi="Times New Roman" w:cs="Times New Roman"/>
          <w:i/>
          <w:iCs/>
          <w:sz w:val="24"/>
          <w:szCs w:val="24"/>
          <w:lang w:val="de-DE"/>
        </w:rPr>
        <w:t xml:space="preserve">ir sehen </w:t>
      </w:r>
      <w:r w:rsidRPr="00E24D2D">
        <w:rPr>
          <w:rFonts w:ascii="Times New Roman" w:hAnsi="Times New Roman" w:cs="Times New Roman"/>
          <w:i/>
          <w:iCs/>
          <w:sz w:val="24"/>
          <w:szCs w:val="24"/>
          <w:lang w:val="de-DE"/>
        </w:rPr>
        <w:lastRenderedPageBreak/>
        <w:t xml:space="preserve">jetzt durch einen Spiegel in einem dunklen Wort, dann aber von Angesicht zu Angesichte. </w:t>
      </w:r>
      <w:r w:rsidRPr="004B1225">
        <w:rPr>
          <w:rFonts w:ascii="Times New Roman" w:hAnsi="Times New Roman" w:cs="Times New Roman"/>
          <w:i/>
          <w:iCs/>
          <w:sz w:val="24"/>
          <w:szCs w:val="24"/>
          <w:lang w:val="de-DE"/>
        </w:rPr>
        <w:t>Jetzt erkenne ich’s stückweise; dann aber werde ich erkennen, g</w:t>
      </w:r>
      <w:r>
        <w:rPr>
          <w:rFonts w:ascii="Times New Roman" w:hAnsi="Times New Roman" w:cs="Times New Roman"/>
          <w:i/>
          <w:iCs/>
          <w:sz w:val="24"/>
          <w:szCs w:val="24"/>
          <w:lang w:val="de-DE"/>
        </w:rPr>
        <w:t>leich</w:t>
      </w:r>
      <w:r w:rsidRPr="004B1225">
        <w:rPr>
          <w:rFonts w:ascii="Times New Roman" w:hAnsi="Times New Roman" w:cs="Times New Roman"/>
          <w:i/>
          <w:iCs/>
          <w:sz w:val="24"/>
          <w:szCs w:val="24"/>
          <w:lang w:val="de-DE"/>
        </w:rPr>
        <w:t>wie ich erkannt bin.</w:t>
      </w:r>
      <w:r>
        <w:rPr>
          <w:rFonts w:ascii="Times New Roman" w:hAnsi="Times New Roman" w:cs="Times New Roman"/>
          <w:sz w:val="24"/>
          <w:szCs w:val="24"/>
          <w:lang w:val="de-DE"/>
        </w:rPr>
        <w:t>“</w:t>
      </w:r>
      <w:r>
        <w:rPr>
          <w:rStyle w:val="FootnoteReference"/>
          <w:rFonts w:ascii="Times New Roman" w:hAnsi="Times New Roman" w:cs="Times New Roman"/>
          <w:sz w:val="24"/>
          <w:szCs w:val="24"/>
          <w:lang w:val="de-DE"/>
        </w:rPr>
        <w:footnoteReference w:id="152"/>
      </w:r>
    </w:p>
    <w:p w14:paraId="395E9C62" w14:textId="77777777" w:rsidR="00560FB8" w:rsidRPr="00684A7B" w:rsidRDefault="00560FB8" w:rsidP="00560FB8">
      <w:pPr>
        <w:spacing w:after="0" w:line="360" w:lineRule="auto"/>
        <w:jc w:val="both"/>
        <w:rPr>
          <w:rFonts w:ascii="Times New Roman" w:hAnsi="Times New Roman" w:cs="Times New Roman"/>
          <w:sz w:val="24"/>
          <w:szCs w:val="24"/>
          <w:lang w:val="de-DE"/>
        </w:rPr>
      </w:pPr>
    </w:p>
    <w:p w14:paraId="60899867" w14:textId="77777777" w:rsidR="00560FB8" w:rsidRPr="008C2526" w:rsidRDefault="00560FB8" w:rsidP="00560FB8">
      <w:pPr>
        <w:spacing w:after="0" w:line="360" w:lineRule="auto"/>
        <w:ind w:firstLine="1134"/>
        <w:jc w:val="both"/>
        <w:rPr>
          <w:rFonts w:ascii="Times New Roman" w:hAnsi="Times New Roman" w:cs="Times New Roman"/>
          <w:sz w:val="24"/>
          <w:szCs w:val="24"/>
          <w:lang w:val="de-DE"/>
        </w:rPr>
      </w:pPr>
    </w:p>
    <w:p w14:paraId="19A89A5C" w14:textId="77777777" w:rsidR="00560FB8" w:rsidRPr="008C2526" w:rsidRDefault="00560FB8" w:rsidP="00694910">
      <w:pPr>
        <w:pStyle w:val="Heading1"/>
        <w:rPr>
          <w:lang w:val="de-DE"/>
        </w:rPr>
      </w:pPr>
    </w:p>
    <w:p w14:paraId="74368752" w14:textId="7CD6CECD" w:rsidR="00560FB8" w:rsidRPr="00E70EC9" w:rsidRDefault="00694910" w:rsidP="00694910">
      <w:pPr>
        <w:pStyle w:val="Heading1"/>
        <w:rPr>
          <w:color w:val="auto"/>
          <w:lang w:val="en-US"/>
        </w:rPr>
      </w:pPr>
      <w:bookmarkStart w:id="8" w:name="_Toc120993777"/>
      <w:r>
        <w:rPr>
          <w:color w:val="auto"/>
          <w:lang w:val="en-US"/>
        </w:rPr>
        <w:t>4</w:t>
      </w:r>
      <w:r w:rsidR="00560FB8" w:rsidRPr="00E70EC9">
        <w:rPr>
          <w:color w:val="auto"/>
          <w:lang w:val="en-US"/>
        </w:rPr>
        <w:t>. “The Lord wraps himself in light as with a garment:” the Bible after precedent and constitutional doctrine</w:t>
      </w:r>
      <w:bookmarkEnd w:id="8"/>
    </w:p>
    <w:p w14:paraId="6AF25510" w14:textId="77777777" w:rsidR="00560FB8" w:rsidRDefault="00560FB8" w:rsidP="00560FB8">
      <w:pPr>
        <w:spacing w:after="0" w:line="360" w:lineRule="auto"/>
        <w:jc w:val="both"/>
        <w:rPr>
          <w:rFonts w:ascii="Times New Roman" w:hAnsi="Times New Roman" w:cs="Times New Roman"/>
          <w:sz w:val="24"/>
          <w:szCs w:val="24"/>
          <w:lang w:val="en-US"/>
        </w:rPr>
      </w:pPr>
    </w:p>
    <w:p w14:paraId="6DB645D0" w14:textId="33BBB483" w:rsidR="00560FB8" w:rsidRDefault="00560FB8" w:rsidP="00560FB8">
      <w:pPr>
        <w:spacing w:after="0" w:line="360" w:lineRule="auto"/>
        <w:ind w:firstLine="113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Hans </w:t>
      </w:r>
      <w:proofErr w:type="spellStart"/>
      <w:r>
        <w:rPr>
          <w:rFonts w:ascii="Times New Roman" w:hAnsi="Times New Roman" w:cs="Times New Roman"/>
          <w:sz w:val="24"/>
          <w:szCs w:val="24"/>
          <w:lang w:val="en-US"/>
        </w:rPr>
        <w:t>Blumenberg’s</w:t>
      </w:r>
      <w:proofErr w:type="spellEnd"/>
      <w:r>
        <w:rPr>
          <w:rFonts w:ascii="Times New Roman" w:hAnsi="Times New Roman" w:cs="Times New Roman"/>
          <w:sz w:val="24"/>
          <w:szCs w:val="24"/>
          <w:lang w:val="en-US"/>
        </w:rPr>
        <w:t xml:space="preserve"> approach to the dynamics of reoccupations guides our gaze out of the great questions and hopes inherited from the vanishing epoch</w:t>
      </w:r>
      <w:r w:rsidR="00C73F84">
        <w:rPr>
          <w:rFonts w:ascii="Times New Roman" w:hAnsi="Times New Roman" w:cs="Times New Roman"/>
          <w:sz w:val="24"/>
          <w:szCs w:val="24"/>
          <w:lang w:val="en-US"/>
        </w:rPr>
        <w:t xml:space="preserve"> towards considering the possibility of whether such heterogenous materials could shape and influence the value of the novel </w:t>
      </w:r>
      <w:r w:rsidR="00007624">
        <w:rPr>
          <w:rFonts w:ascii="Times New Roman" w:hAnsi="Times New Roman" w:cs="Times New Roman"/>
          <w:sz w:val="24"/>
          <w:szCs w:val="24"/>
          <w:lang w:val="en-US"/>
        </w:rPr>
        <w:t>an</w:t>
      </w:r>
      <w:r w:rsidR="00D423CE">
        <w:rPr>
          <w:rFonts w:ascii="Times New Roman" w:hAnsi="Times New Roman" w:cs="Times New Roman"/>
          <w:sz w:val="24"/>
          <w:szCs w:val="24"/>
          <w:lang w:val="en-US"/>
        </w:rPr>
        <w:t>s</w:t>
      </w:r>
      <w:r w:rsidR="00007624">
        <w:rPr>
          <w:rFonts w:ascii="Times New Roman" w:hAnsi="Times New Roman" w:cs="Times New Roman"/>
          <w:sz w:val="24"/>
          <w:szCs w:val="24"/>
          <w:lang w:val="en-US"/>
        </w:rPr>
        <w:t>wers</w:t>
      </w:r>
      <w:r w:rsidR="00C73F84">
        <w:rPr>
          <w:rFonts w:ascii="Times New Roman" w:hAnsi="Times New Roman" w:cs="Times New Roman"/>
          <w:sz w:val="24"/>
          <w:szCs w:val="24"/>
          <w:lang w:val="en-US"/>
        </w:rPr>
        <w:t>. These great questions and hopes</w:t>
      </w:r>
      <w:r>
        <w:rPr>
          <w:rFonts w:ascii="Times New Roman" w:hAnsi="Times New Roman" w:cs="Times New Roman"/>
          <w:sz w:val="24"/>
          <w:szCs w:val="24"/>
          <w:lang w:val="en-US"/>
        </w:rPr>
        <w:t xml:space="preserve"> a</w:t>
      </w:r>
      <w:r w:rsidR="00C73F84">
        <w:rPr>
          <w:rFonts w:ascii="Times New Roman" w:hAnsi="Times New Roman" w:cs="Times New Roman"/>
          <w:sz w:val="24"/>
          <w:szCs w:val="24"/>
          <w:lang w:val="en-US"/>
        </w:rPr>
        <w:t>re transmitted</w:t>
      </w:r>
      <w:r>
        <w:rPr>
          <w:rFonts w:ascii="Times New Roman" w:hAnsi="Times New Roman" w:cs="Times New Roman"/>
          <w:sz w:val="24"/>
          <w:szCs w:val="24"/>
          <w:lang w:val="en-US"/>
        </w:rPr>
        <w:t xml:space="preserve"> a</w:t>
      </w:r>
      <w:r w:rsidR="00C73F84">
        <w:rPr>
          <w:rFonts w:ascii="Times New Roman" w:hAnsi="Times New Roman" w:cs="Times New Roman"/>
          <w:sz w:val="24"/>
          <w:szCs w:val="24"/>
          <w:lang w:val="en-US"/>
        </w:rPr>
        <w:t>s a</w:t>
      </w:r>
      <w:r>
        <w:rPr>
          <w:rFonts w:ascii="Times New Roman" w:hAnsi="Times New Roman" w:cs="Times New Roman"/>
          <w:sz w:val="24"/>
          <w:szCs w:val="24"/>
          <w:lang w:val="en-US"/>
        </w:rPr>
        <w:t xml:space="preserve"> mortgage of problems requiring</w:t>
      </w:r>
      <w:r w:rsidR="00C73F84">
        <w:rPr>
          <w:rFonts w:ascii="Times New Roman" w:hAnsi="Times New Roman" w:cs="Times New Roman"/>
          <w:sz w:val="24"/>
          <w:szCs w:val="24"/>
          <w:lang w:val="en-US"/>
        </w:rPr>
        <w:t xml:space="preserve"> the work of</w:t>
      </w:r>
      <w:r>
        <w:rPr>
          <w:rFonts w:ascii="Times New Roman" w:hAnsi="Times New Roman" w:cs="Times New Roman"/>
          <w:sz w:val="24"/>
          <w:szCs w:val="24"/>
          <w:lang w:val="en-US"/>
        </w:rPr>
        <w:t xml:space="preserve"> rhetoric and instrumentalization in the absence of which one could not begin anything</w:t>
      </w:r>
      <w:r w:rsidR="00C73F84">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C73F84">
        <w:rPr>
          <w:rFonts w:ascii="Times New Roman" w:hAnsi="Times New Roman" w:cs="Times New Roman"/>
          <w:sz w:val="24"/>
          <w:szCs w:val="24"/>
          <w:lang w:val="en-US"/>
        </w:rPr>
        <w:t>C</w:t>
      </w:r>
      <w:r>
        <w:rPr>
          <w:rFonts w:ascii="Times New Roman" w:hAnsi="Times New Roman" w:cs="Times New Roman"/>
          <w:sz w:val="24"/>
          <w:szCs w:val="24"/>
          <w:lang w:val="en-US"/>
        </w:rPr>
        <w:t>ommunication ceases without fascination</w:t>
      </w:r>
      <w:r w:rsidR="00C73F84">
        <w:rPr>
          <w:rFonts w:ascii="Times New Roman" w:hAnsi="Times New Roman" w:cs="Times New Roman"/>
          <w:sz w:val="24"/>
          <w:szCs w:val="24"/>
          <w:lang w:val="en-US"/>
        </w:rPr>
        <w:t>. Yet, could eventually fascination affect and transform t</w:t>
      </w:r>
      <w:r w:rsidR="00007624">
        <w:rPr>
          <w:rFonts w:ascii="Times New Roman" w:hAnsi="Times New Roman" w:cs="Times New Roman"/>
          <w:sz w:val="24"/>
          <w:szCs w:val="24"/>
          <w:lang w:val="en-US"/>
        </w:rPr>
        <w:t>he nature of communication</w:t>
      </w:r>
      <w:r w:rsidR="00C73F84">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E24D2D">
        <w:rPr>
          <w:rFonts w:ascii="Times New Roman" w:hAnsi="Times New Roman" w:cs="Times New Roman"/>
          <w:sz w:val="24"/>
          <w:szCs w:val="24"/>
          <w:lang w:val="en-US"/>
        </w:rPr>
        <w:t xml:space="preserve">Of course, the emergence of Constitutions, constitutional adjudication, and Constitutional Courts pivot on extremely complex context of effects, religion being just one variable among many others. Yet, as </w:t>
      </w:r>
      <w:r>
        <w:rPr>
          <w:rFonts w:ascii="Times New Roman" w:hAnsi="Times New Roman" w:cs="Times New Roman"/>
          <w:sz w:val="24"/>
          <w:szCs w:val="24"/>
          <w:lang w:val="en-US"/>
        </w:rPr>
        <w:t xml:space="preserve">Constitutions are consecrated as Holy Scriptures, Justices as Visible Saints, and Constitutional Courts as the </w:t>
      </w:r>
      <w:r w:rsidR="00CE0AFE" w:rsidRPr="004F1CE6">
        <w:rPr>
          <w:rFonts w:ascii="Times New Roman" w:hAnsi="Times New Roman" w:cs="Times New Roman"/>
          <w:i/>
          <w:sz w:val="24"/>
          <w:szCs w:val="24"/>
          <w:lang w:val="en-US"/>
        </w:rPr>
        <w:t xml:space="preserve">sanctorum </w:t>
      </w:r>
      <w:proofErr w:type="spellStart"/>
      <w:r w:rsidR="00CE0AFE" w:rsidRPr="004F1CE6">
        <w:rPr>
          <w:rFonts w:ascii="Times New Roman" w:hAnsi="Times New Roman" w:cs="Times New Roman"/>
          <w:i/>
          <w:sz w:val="24"/>
          <w:szCs w:val="24"/>
          <w:lang w:val="en-US"/>
        </w:rPr>
        <w:t>communio</w:t>
      </w:r>
      <w:proofErr w:type="spellEnd"/>
      <w:r w:rsidR="00CE0AF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in which a </w:t>
      </w:r>
      <w:proofErr w:type="gramStart"/>
      <w:r>
        <w:rPr>
          <w:rFonts w:ascii="Times New Roman" w:hAnsi="Times New Roman" w:cs="Times New Roman"/>
          <w:sz w:val="24"/>
          <w:szCs w:val="24"/>
          <w:lang w:val="en-US"/>
        </w:rPr>
        <w:t>Constitution</w:t>
      </w:r>
      <w:proofErr w:type="gramEnd"/>
      <w:r>
        <w:rPr>
          <w:rFonts w:ascii="Times New Roman" w:hAnsi="Times New Roman" w:cs="Times New Roman"/>
          <w:sz w:val="24"/>
          <w:szCs w:val="24"/>
          <w:lang w:val="en-US"/>
        </w:rPr>
        <w:t xml:space="preserve"> seizes the domain of politics</w:t>
      </w:r>
      <w:r w:rsidR="00E24D2D">
        <w:rPr>
          <w:rFonts w:ascii="Times New Roman" w:hAnsi="Times New Roman" w:cs="Times New Roman"/>
          <w:sz w:val="24"/>
          <w:szCs w:val="24"/>
          <w:lang w:val="en-US"/>
        </w:rPr>
        <w:t>,</w:t>
      </w:r>
      <w:r w:rsidR="00CE0AFE">
        <w:rPr>
          <w:rFonts w:ascii="Times New Roman" w:hAnsi="Times New Roman" w:cs="Times New Roman"/>
          <w:sz w:val="24"/>
          <w:szCs w:val="24"/>
          <w:lang w:val="en-US"/>
        </w:rPr>
        <w:t xml:space="preserve"> </w:t>
      </w:r>
      <w:r w:rsidR="00E24D2D">
        <w:rPr>
          <w:rFonts w:ascii="Times New Roman" w:hAnsi="Times New Roman" w:cs="Times New Roman"/>
          <w:sz w:val="24"/>
          <w:szCs w:val="24"/>
          <w:lang w:val="en-US"/>
        </w:rPr>
        <w:t>w</w:t>
      </w:r>
      <w:r>
        <w:rPr>
          <w:rFonts w:ascii="Times New Roman" w:hAnsi="Times New Roman" w:cs="Times New Roman"/>
          <w:sz w:val="24"/>
          <w:szCs w:val="24"/>
          <w:lang w:val="en-US"/>
        </w:rPr>
        <w:t>hether, how</w:t>
      </w:r>
      <w:r w:rsidR="00D423CE">
        <w:rPr>
          <w:rFonts w:ascii="Times New Roman" w:hAnsi="Times New Roman" w:cs="Times New Roman"/>
          <w:sz w:val="24"/>
          <w:szCs w:val="24"/>
          <w:lang w:val="en-US"/>
        </w:rPr>
        <w:t>,</w:t>
      </w:r>
      <w:r>
        <w:rPr>
          <w:rFonts w:ascii="Times New Roman" w:hAnsi="Times New Roman" w:cs="Times New Roman"/>
          <w:sz w:val="24"/>
          <w:szCs w:val="24"/>
          <w:lang w:val="en-US"/>
        </w:rPr>
        <w:t xml:space="preserve"> and when these religious resources affect the formation of </w:t>
      </w:r>
      <w:r w:rsidR="00CE0AFE">
        <w:rPr>
          <w:rFonts w:ascii="Times New Roman" w:hAnsi="Times New Roman" w:cs="Times New Roman"/>
          <w:sz w:val="24"/>
          <w:szCs w:val="24"/>
          <w:lang w:val="en-US"/>
        </w:rPr>
        <w:t xml:space="preserve">Constitutional Courts’ </w:t>
      </w:r>
      <w:r>
        <w:rPr>
          <w:rFonts w:ascii="Times New Roman" w:hAnsi="Times New Roman" w:cs="Times New Roman"/>
          <w:sz w:val="24"/>
          <w:szCs w:val="24"/>
          <w:lang w:val="en-US"/>
        </w:rPr>
        <w:t xml:space="preserve">communicative structures is of great importance. </w:t>
      </w:r>
    </w:p>
    <w:p w14:paraId="6359B41B" w14:textId="77777777" w:rsidR="008055E9" w:rsidRDefault="008055E9" w:rsidP="008055E9">
      <w:pPr>
        <w:spacing w:after="0" w:line="360" w:lineRule="auto"/>
        <w:ind w:firstLine="113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Interestingly, in parallel to – but also in direct contact with – both </w:t>
      </w:r>
      <w:proofErr w:type="gramStart"/>
      <w:r>
        <w:rPr>
          <w:rFonts w:ascii="Times New Roman" w:hAnsi="Times New Roman" w:cs="Times New Roman"/>
          <w:sz w:val="24"/>
          <w:szCs w:val="24"/>
          <w:lang w:val="en-US"/>
        </w:rPr>
        <w:t>Courts’</w:t>
      </w:r>
      <w:proofErr w:type="gramEnd"/>
      <w:r>
        <w:rPr>
          <w:rFonts w:ascii="Times New Roman" w:hAnsi="Times New Roman" w:cs="Times New Roman"/>
          <w:sz w:val="24"/>
          <w:szCs w:val="24"/>
          <w:lang w:val="en-US"/>
        </w:rPr>
        <w:t xml:space="preserve"> undertake for self-empowerment, respectively, in 19</w:t>
      </w:r>
      <w:r w:rsidRPr="004F1CE6">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century United States and 20</w:t>
      </w:r>
      <w:r w:rsidRPr="004F1CE6">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century Germany, various scholars quarreled on what could be framed across law-worlds as the “judicial-methodological” relationship between the Bible and the Constitution. This speaks once more to the force of the religious spheres in both settings, despite the temporal and spatial distances separating each circumstance. In other words, is the </w:t>
      </w:r>
      <w:r>
        <w:rPr>
          <w:rFonts w:ascii="Times New Roman" w:hAnsi="Times New Roman" w:cs="Times New Roman"/>
          <w:sz w:val="24"/>
          <w:szCs w:val="24"/>
          <w:lang w:val="en-US"/>
        </w:rPr>
        <w:lastRenderedPageBreak/>
        <w:t>(Christian) Bible a valid source of law, especially insofar as the expounding or application of the Constitution is concerned?</w:t>
      </w:r>
    </w:p>
    <w:p w14:paraId="418C4071" w14:textId="6C0506DF" w:rsidR="00007624" w:rsidRDefault="00560FB8" w:rsidP="008055E9">
      <w:pPr>
        <w:spacing w:after="0" w:line="360" w:lineRule="auto"/>
        <w:ind w:firstLine="113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Without </w:t>
      </w:r>
      <w:r w:rsidR="00D423CE">
        <w:rPr>
          <w:rFonts w:ascii="Times New Roman" w:hAnsi="Times New Roman" w:cs="Times New Roman"/>
          <w:sz w:val="24"/>
          <w:szCs w:val="24"/>
          <w:lang w:val="en-US"/>
        </w:rPr>
        <w:t xml:space="preserve">a </w:t>
      </w:r>
      <w:r>
        <w:rPr>
          <w:rFonts w:ascii="Times New Roman" w:hAnsi="Times New Roman" w:cs="Times New Roman"/>
          <w:sz w:val="24"/>
          <w:szCs w:val="24"/>
          <w:lang w:val="en-US"/>
        </w:rPr>
        <w:t xml:space="preserve">doubt, the fact that in both instances the prevailing answer was </w:t>
      </w:r>
      <w:r w:rsidR="00E24D2D">
        <w:rPr>
          <w:rFonts w:ascii="Times New Roman" w:hAnsi="Times New Roman" w:cs="Times New Roman"/>
          <w:sz w:val="24"/>
          <w:szCs w:val="24"/>
          <w:lang w:val="en-US"/>
        </w:rPr>
        <w:t>affirmative</w:t>
      </w:r>
      <w:r>
        <w:rPr>
          <w:rFonts w:ascii="Times New Roman" w:hAnsi="Times New Roman" w:cs="Times New Roman"/>
          <w:sz w:val="24"/>
          <w:szCs w:val="24"/>
          <w:lang w:val="en-US"/>
        </w:rPr>
        <w:t xml:space="preserve"> gives much food for thought. </w:t>
      </w:r>
      <w:r w:rsidR="008055E9">
        <w:rPr>
          <w:rFonts w:ascii="Times New Roman" w:hAnsi="Times New Roman" w:cs="Times New Roman"/>
          <w:sz w:val="24"/>
          <w:szCs w:val="24"/>
          <w:lang w:val="en-US"/>
        </w:rPr>
        <w:t>Such pious arguments and admonitions shouldn’t be quickly framed as falling outside the strict domains of proper legal reasoning. Otherwise, as one main consequence one would miss the semantic chains submitting these positions to distinct iterations and translations as they cross from one communicative unity or episode to the other, as, say, from a more “ethical” essay to a “technical” and “doctrinal” commentary, or from judicial cases on blasphemy to constitutional treatises.</w:t>
      </w:r>
      <w:r w:rsidR="00007624">
        <w:rPr>
          <w:rStyle w:val="FootnoteReference"/>
          <w:rFonts w:ascii="Times New Roman" w:hAnsi="Times New Roman" w:cs="Times New Roman"/>
          <w:sz w:val="24"/>
          <w:szCs w:val="24"/>
          <w:lang w:val="en-US"/>
        </w:rPr>
        <w:footnoteReference w:id="153"/>
      </w:r>
      <w:r w:rsidR="00007624">
        <w:rPr>
          <w:rFonts w:ascii="Times New Roman" w:hAnsi="Times New Roman" w:cs="Times New Roman"/>
          <w:sz w:val="24"/>
          <w:szCs w:val="24"/>
          <w:lang w:val="en-US"/>
        </w:rPr>
        <w:t xml:space="preserve">  </w:t>
      </w:r>
    </w:p>
    <w:p w14:paraId="231C7926" w14:textId="5E44E3F3" w:rsidR="002B6E32" w:rsidRDefault="002B6E32" w:rsidP="002B6E32">
      <w:pPr>
        <w:spacing w:after="0" w:line="360" w:lineRule="auto"/>
        <w:ind w:firstLine="113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As I proceed to narrate these debates, I hope to show what kind of phenomena I think may contribute to flesh out what the “unfolding of immanent rationalities” have to do </w:t>
      </w:r>
      <w:r w:rsidR="00CF50A7">
        <w:rPr>
          <w:rFonts w:ascii="Times New Roman" w:hAnsi="Times New Roman" w:cs="Times New Roman"/>
          <w:sz w:val="24"/>
          <w:szCs w:val="24"/>
          <w:lang w:val="en-US"/>
        </w:rPr>
        <w:t>with</w:t>
      </w:r>
      <w:r>
        <w:rPr>
          <w:rFonts w:ascii="Times New Roman" w:hAnsi="Times New Roman" w:cs="Times New Roman"/>
          <w:sz w:val="24"/>
          <w:szCs w:val="24"/>
          <w:lang w:val="en-US"/>
        </w:rPr>
        <w:t xml:space="preserve"> constitutions, bibles, and constitutional adjudication. One note of caution, however. I intentionally chose to construct the issue as apart from those directly related to religious behavior, in the sense of religious freedom, for instance, or state neutrality – about which, of course, the literature is huge. That notwithstanding, I </w:t>
      </w:r>
      <w:r w:rsidR="00DD53EA">
        <w:rPr>
          <w:rFonts w:ascii="Times New Roman" w:hAnsi="Times New Roman" w:cs="Times New Roman"/>
          <w:sz w:val="24"/>
          <w:szCs w:val="24"/>
          <w:lang w:val="en-US"/>
        </w:rPr>
        <w:t>suggest</w:t>
      </w:r>
      <w:r>
        <w:rPr>
          <w:rFonts w:ascii="Times New Roman" w:hAnsi="Times New Roman" w:cs="Times New Roman"/>
          <w:sz w:val="24"/>
          <w:szCs w:val="24"/>
          <w:lang w:val="en-US"/>
        </w:rPr>
        <w:t xml:space="preserve"> how the resolution </w:t>
      </w:r>
      <w:r w:rsidR="00B22DFA">
        <w:rPr>
          <w:rFonts w:ascii="Times New Roman" w:hAnsi="Times New Roman" w:cs="Times New Roman"/>
          <w:sz w:val="24"/>
          <w:szCs w:val="24"/>
          <w:lang w:val="en-US"/>
        </w:rPr>
        <w:t>of such debates</w:t>
      </w:r>
      <w:r>
        <w:rPr>
          <w:rFonts w:ascii="Times New Roman" w:hAnsi="Times New Roman" w:cs="Times New Roman"/>
          <w:sz w:val="24"/>
          <w:szCs w:val="24"/>
          <w:lang w:val="en-US"/>
        </w:rPr>
        <w:t xml:space="preserve"> regarding how Constitutions and Bibles should be read in face of each other</w:t>
      </w:r>
      <w:r w:rsidR="00B22DFA">
        <w:rPr>
          <w:rFonts w:ascii="Times New Roman" w:hAnsi="Times New Roman" w:cs="Times New Roman"/>
          <w:sz w:val="24"/>
          <w:szCs w:val="24"/>
          <w:lang w:val="en-US"/>
        </w:rPr>
        <w:t xml:space="preserve"> can be </w:t>
      </w:r>
      <w:r w:rsidR="00DD53EA">
        <w:rPr>
          <w:rFonts w:ascii="Times New Roman" w:hAnsi="Times New Roman" w:cs="Times New Roman"/>
          <w:sz w:val="24"/>
          <w:szCs w:val="24"/>
          <w:lang w:val="en-US"/>
        </w:rPr>
        <w:t>traced up to</w:t>
      </w:r>
      <w:r w:rsidR="00B22DFA">
        <w:rPr>
          <w:rFonts w:ascii="Times New Roman" w:hAnsi="Times New Roman" w:cs="Times New Roman"/>
          <w:sz w:val="24"/>
          <w:szCs w:val="24"/>
          <w:lang w:val="en-US"/>
        </w:rPr>
        <w:t xml:space="preserve"> the ways later decisions on religiously relevant behavior were taken</w:t>
      </w:r>
      <w:r>
        <w:rPr>
          <w:rFonts w:ascii="Times New Roman" w:hAnsi="Times New Roman" w:cs="Times New Roman"/>
          <w:sz w:val="24"/>
          <w:szCs w:val="24"/>
          <w:lang w:val="en-US"/>
        </w:rPr>
        <w:t xml:space="preserve">. </w:t>
      </w:r>
    </w:p>
    <w:p w14:paraId="52BC2927" w14:textId="77777777" w:rsidR="00560FB8" w:rsidRDefault="00560FB8" w:rsidP="00694910">
      <w:pPr>
        <w:pStyle w:val="Heading2"/>
        <w:rPr>
          <w:lang w:val="en-US"/>
        </w:rPr>
      </w:pPr>
    </w:p>
    <w:p w14:paraId="17839CC7" w14:textId="77777777" w:rsidR="00560FB8" w:rsidRDefault="00560FB8" w:rsidP="00694910">
      <w:pPr>
        <w:pStyle w:val="Heading2"/>
        <w:rPr>
          <w:lang w:val="en-US"/>
        </w:rPr>
      </w:pPr>
    </w:p>
    <w:p w14:paraId="2F224F71" w14:textId="3FB0C6E9" w:rsidR="00560FB8" w:rsidRPr="00E70EC9" w:rsidRDefault="00694910" w:rsidP="00694910">
      <w:pPr>
        <w:pStyle w:val="Heading2"/>
        <w:rPr>
          <w:color w:val="auto"/>
          <w:lang w:val="en-US"/>
        </w:rPr>
      </w:pPr>
      <w:bookmarkStart w:id="9" w:name="_Toc120993778"/>
      <w:r>
        <w:rPr>
          <w:color w:val="auto"/>
          <w:lang w:val="en-US"/>
        </w:rPr>
        <w:t>4</w:t>
      </w:r>
      <w:r w:rsidR="00560FB8" w:rsidRPr="00E70EC9">
        <w:rPr>
          <w:color w:val="auto"/>
          <w:lang w:val="en-US"/>
        </w:rPr>
        <w:t>.1. The Bible and the Common Law</w:t>
      </w:r>
      <w:bookmarkEnd w:id="9"/>
    </w:p>
    <w:p w14:paraId="524E7106" w14:textId="77777777" w:rsidR="00560FB8" w:rsidRDefault="00560FB8" w:rsidP="00560FB8">
      <w:pPr>
        <w:spacing w:after="0" w:line="360" w:lineRule="auto"/>
        <w:jc w:val="both"/>
        <w:rPr>
          <w:rFonts w:ascii="Times New Roman" w:hAnsi="Times New Roman" w:cs="Times New Roman"/>
          <w:sz w:val="24"/>
          <w:szCs w:val="24"/>
          <w:lang w:val="en-US"/>
        </w:rPr>
      </w:pPr>
    </w:p>
    <w:p w14:paraId="2652DE41" w14:textId="0786A0D4" w:rsidR="00560FB8" w:rsidRDefault="00560FB8" w:rsidP="00560FB8">
      <w:pPr>
        <w:spacing w:after="0" w:line="360" w:lineRule="auto"/>
        <w:ind w:firstLine="1134"/>
        <w:jc w:val="both"/>
        <w:rPr>
          <w:rFonts w:ascii="Times New Roman" w:hAnsi="Times New Roman" w:cs="Times New Roman"/>
          <w:sz w:val="24"/>
          <w:szCs w:val="24"/>
          <w:lang w:val="en-US"/>
        </w:rPr>
      </w:pPr>
      <w:r>
        <w:rPr>
          <w:rFonts w:ascii="Times New Roman" w:hAnsi="Times New Roman" w:cs="Times New Roman"/>
          <w:sz w:val="24"/>
          <w:szCs w:val="24"/>
          <w:lang w:val="en-US"/>
        </w:rPr>
        <w:t>Blasphemy, Sunday laws, and explicitly non-Christian organizations brought before 19</w:t>
      </w:r>
      <w:r w:rsidRPr="00B96941">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century US courts, from local to state to the US Supreme Court itself, again and again</w:t>
      </w:r>
      <w:r w:rsidR="00D423CE">
        <w:rPr>
          <w:rFonts w:ascii="Times New Roman" w:hAnsi="Times New Roman" w:cs="Times New Roman"/>
          <w:sz w:val="24"/>
          <w:szCs w:val="24"/>
          <w:lang w:val="en-US"/>
        </w:rPr>
        <w:t>,</w:t>
      </w:r>
      <w:r>
        <w:rPr>
          <w:rFonts w:ascii="Times New Roman" w:hAnsi="Times New Roman" w:cs="Times New Roman"/>
          <w:sz w:val="24"/>
          <w:szCs w:val="24"/>
          <w:lang w:val="en-US"/>
        </w:rPr>
        <w:t xml:space="preserve"> what pious and patriotic elites could hardly frame otherwise: is Christianity part, or even the foundation of the law of the land? Whether they answer it positively, praising the dignity of precedent or the benefits of public religion, or negatively, seeing in it a trace of the tyranny of the English crown (or even English judges), the atmosphere of careful rhetorical acrobatics –</w:t>
      </w:r>
      <w:r w:rsidR="00D423CE">
        <w:rPr>
          <w:rFonts w:ascii="Times New Roman" w:hAnsi="Times New Roman" w:cs="Times New Roman"/>
          <w:sz w:val="24"/>
          <w:szCs w:val="24"/>
          <w:lang w:val="en-US"/>
        </w:rPr>
        <w:t xml:space="preserve"> going from</w:t>
      </w:r>
      <w:r>
        <w:rPr>
          <w:rFonts w:ascii="Times New Roman" w:hAnsi="Times New Roman" w:cs="Times New Roman"/>
          <w:sz w:val="24"/>
          <w:szCs w:val="24"/>
          <w:lang w:val="en-US"/>
        </w:rPr>
        <w:t xml:space="preserve"> James Kent</w:t>
      </w:r>
      <w:r>
        <w:rPr>
          <w:rStyle w:val="FootnoteReference"/>
          <w:rFonts w:ascii="Times New Roman" w:hAnsi="Times New Roman" w:cs="Times New Roman"/>
          <w:sz w:val="24"/>
          <w:szCs w:val="24"/>
          <w:lang w:val="en-US"/>
        </w:rPr>
        <w:footnoteReference w:id="154"/>
      </w:r>
      <w:r>
        <w:rPr>
          <w:rFonts w:ascii="Times New Roman" w:hAnsi="Times New Roman" w:cs="Times New Roman"/>
          <w:sz w:val="24"/>
          <w:szCs w:val="24"/>
          <w:lang w:val="en-US"/>
        </w:rPr>
        <w:t xml:space="preserve"> and Joseph Story</w:t>
      </w:r>
      <w:r>
        <w:rPr>
          <w:rStyle w:val="FootnoteReference"/>
          <w:rFonts w:ascii="Times New Roman" w:hAnsi="Times New Roman" w:cs="Times New Roman"/>
          <w:sz w:val="24"/>
          <w:szCs w:val="24"/>
          <w:lang w:val="en-US"/>
        </w:rPr>
        <w:footnoteReference w:id="155"/>
      </w:r>
      <w:r>
        <w:rPr>
          <w:rFonts w:ascii="Times New Roman" w:hAnsi="Times New Roman" w:cs="Times New Roman"/>
          <w:sz w:val="24"/>
          <w:szCs w:val="24"/>
          <w:lang w:val="en-US"/>
        </w:rPr>
        <w:t xml:space="preserve"> to David Brewer</w:t>
      </w:r>
      <w:r>
        <w:rPr>
          <w:rStyle w:val="FootnoteReference"/>
          <w:rFonts w:ascii="Times New Roman" w:hAnsi="Times New Roman" w:cs="Times New Roman"/>
          <w:sz w:val="24"/>
          <w:szCs w:val="24"/>
          <w:lang w:val="en-US"/>
        </w:rPr>
        <w:footnoteReference w:id="156"/>
      </w:r>
      <w:r>
        <w:rPr>
          <w:rFonts w:ascii="Times New Roman" w:hAnsi="Times New Roman" w:cs="Times New Roman"/>
          <w:sz w:val="24"/>
          <w:szCs w:val="24"/>
          <w:lang w:val="en-US"/>
        </w:rPr>
        <w:t xml:space="preserve"> – betrays how we are before the lock, stock</w:t>
      </w:r>
      <w:r w:rsidR="00D423CE">
        <w:rPr>
          <w:rFonts w:ascii="Times New Roman" w:hAnsi="Times New Roman" w:cs="Times New Roman"/>
          <w:sz w:val="24"/>
          <w:szCs w:val="24"/>
          <w:lang w:val="en-US"/>
        </w:rPr>
        <w:t>,</w:t>
      </w:r>
      <w:r>
        <w:rPr>
          <w:rFonts w:ascii="Times New Roman" w:hAnsi="Times New Roman" w:cs="Times New Roman"/>
          <w:sz w:val="24"/>
          <w:szCs w:val="24"/>
          <w:lang w:val="en-US"/>
        </w:rPr>
        <w:t xml:space="preserve"> and barrel of reoccupations.  </w:t>
      </w:r>
    </w:p>
    <w:p w14:paraId="54252CBE" w14:textId="0C2915E7" w:rsidR="00560FB8" w:rsidRDefault="00560FB8" w:rsidP="00E24D2D">
      <w:pPr>
        <w:spacing w:after="0" w:line="360" w:lineRule="auto"/>
        <w:ind w:firstLine="1134"/>
        <w:jc w:val="both"/>
        <w:rPr>
          <w:rFonts w:ascii="Times New Roman" w:hAnsi="Times New Roman" w:cs="Times New Roman"/>
          <w:sz w:val="24"/>
          <w:szCs w:val="24"/>
          <w:lang w:val="en-US"/>
        </w:rPr>
      </w:pPr>
      <w:r>
        <w:rPr>
          <w:rFonts w:ascii="Times New Roman" w:hAnsi="Times New Roman" w:cs="Times New Roman"/>
          <w:sz w:val="24"/>
          <w:szCs w:val="24"/>
          <w:lang w:val="en-US"/>
        </w:rPr>
        <w:t>Through the somehow belated fortune and subsequent disappearance of this common law maxim – “Christianity is part of the Common Law”</w:t>
      </w:r>
      <w:r w:rsidR="00E24D2D">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157"/>
      </w:r>
      <w:r>
        <w:rPr>
          <w:rFonts w:ascii="Times New Roman" w:hAnsi="Times New Roman" w:cs="Times New Roman"/>
          <w:sz w:val="24"/>
          <w:szCs w:val="24"/>
          <w:lang w:val="en-US"/>
        </w:rPr>
        <w:t xml:space="preserve"> one can read, on the one hand, the establishment of positivity as the main criterium of selection and, accordingly, the increasing autonomy of law as a partial social system.</w:t>
      </w:r>
      <w:r>
        <w:rPr>
          <w:rStyle w:val="FootnoteReference"/>
          <w:rFonts w:ascii="Times New Roman" w:hAnsi="Times New Roman" w:cs="Times New Roman"/>
          <w:sz w:val="24"/>
          <w:szCs w:val="24"/>
          <w:lang w:val="en-US"/>
        </w:rPr>
        <w:footnoteReference w:id="158"/>
      </w:r>
      <w:r>
        <w:rPr>
          <w:rFonts w:ascii="Times New Roman" w:hAnsi="Times New Roman" w:cs="Times New Roman"/>
          <w:sz w:val="24"/>
          <w:szCs w:val="24"/>
          <w:lang w:val="en-US"/>
        </w:rPr>
        <w:t xml:space="preserve"> On the other, the intrinsic developments of the religious system as located in 19</w:t>
      </w:r>
      <w:r w:rsidRPr="00F44864">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United States of America, with the multiplication of confessions, pivoting</w:t>
      </w:r>
      <w:r w:rsidR="00137CF6">
        <w:rPr>
          <w:rFonts w:ascii="Times New Roman" w:hAnsi="Times New Roman" w:cs="Times New Roman"/>
          <w:sz w:val="24"/>
          <w:szCs w:val="24"/>
          <w:lang w:val="en-US"/>
        </w:rPr>
        <w:t>, as mentioned above,</w:t>
      </w:r>
      <w:r>
        <w:rPr>
          <w:rFonts w:ascii="Times New Roman" w:hAnsi="Times New Roman" w:cs="Times New Roman"/>
          <w:sz w:val="24"/>
          <w:szCs w:val="24"/>
          <w:lang w:val="en-US"/>
        </w:rPr>
        <w:t xml:space="preserve"> on general trends of professionalization, traditionalization (in the openly ambivalent sense of inventing new traditions and recovering lost ones), </w:t>
      </w:r>
      <w:proofErr w:type="spellStart"/>
      <w:r>
        <w:rPr>
          <w:rFonts w:ascii="Times New Roman" w:hAnsi="Times New Roman" w:cs="Times New Roman"/>
          <w:sz w:val="24"/>
          <w:szCs w:val="24"/>
          <w:lang w:val="en-US"/>
        </w:rPr>
        <w:t>disciplinarization</w:t>
      </w:r>
      <w:proofErr w:type="spellEnd"/>
      <w:r>
        <w:rPr>
          <w:rFonts w:ascii="Times New Roman" w:hAnsi="Times New Roman" w:cs="Times New Roman"/>
          <w:sz w:val="24"/>
          <w:szCs w:val="24"/>
          <w:lang w:val="en-US"/>
        </w:rPr>
        <w:t xml:space="preserve"> and the slow, but crucial disentanglement of some of the ties holding together religious institutions and landholders and slave owners.</w:t>
      </w:r>
      <w:r>
        <w:rPr>
          <w:rStyle w:val="FootnoteReference"/>
          <w:rFonts w:ascii="Times New Roman" w:hAnsi="Times New Roman" w:cs="Times New Roman"/>
          <w:sz w:val="24"/>
          <w:szCs w:val="24"/>
          <w:lang w:val="en-US"/>
        </w:rPr>
        <w:footnoteReference w:id="159"/>
      </w:r>
      <w:r>
        <w:rPr>
          <w:rFonts w:ascii="Times New Roman" w:hAnsi="Times New Roman" w:cs="Times New Roman"/>
          <w:sz w:val="24"/>
          <w:szCs w:val="24"/>
          <w:lang w:val="en-US"/>
        </w:rPr>
        <w:t xml:space="preserve"> </w:t>
      </w:r>
    </w:p>
    <w:p w14:paraId="313259A7" w14:textId="15887217" w:rsidR="00560FB8" w:rsidRDefault="00560FB8" w:rsidP="00560FB8">
      <w:pPr>
        <w:spacing w:after="0" w:line="360" w:lineRule="auto"/>
        <w:ind w:firstLine="1134"/>
        <w:jc w:val="both"/>
        <w:rPr>
          <w:rFonts w:ascii="Times New Roman" w:hAnsi="Times New Roman" w:cs="Times New Roman"/>
          <w:sz w:val="24"/>
          <w:szCs w:val="24"/>
          <w:lang w:val="en-US"/>
        </w:rPr>
      </w:pPr>
      <w:r>
        <w:rPr>
          <w:rFonts w:ascii="Times New Roman" w:hAnsi="Times New Roman" w:cs="Times New Roman"/>
          <w:sz w:val="24"/>
          <w:szCs w:val="24"/>
          <w:lang w:val="en-US"/>
        </w:rPr>
        <w:t>Of concern to my purposes is how this issue appeared to an old foe of the maxim, who was both a landholder and a slave owner, now resolutely secluded in his villa at Monticello.</w:t>
      </w:r>
      <w:r>
        <w:rPr>
          <w:rStyle w:val="FootnoteReference"/>
          <w:rFonts w:ascii="Times New Roman" w:hAnsi="Times New Roman" w:cs="Times New Roman"/>
          <w:sz w:val="24"/>
          <w:szCs w:val="24"/>
          <w:lang w:val="en-US"/>
        </w:rPr>
        <w:footnoteReference w:id="160"/>
      </w:r>
      <w:r>
        <w:rPr>
          <w:rFonts w:ascii="Times New Roman" w:hAnsi="Times New Roman" w:cs="Times New Roman"/>
          <w:sz w:val="24"/>
          <w:szCs w:val="24"/>
          <w:lang w:val="en-US"/>
        </w:rPr>
        <w:t xml:space="preserve"> Although hardly the only one, Thomas Jefferson was an early and important contender of the maxim’s validity, attacking it as someone skilled in the common law would, namely, by tracing and challenging its supporting precedents. His </w:t>
      </w:r>
      <w:r>
        <w:rPr>
          <w:rFonts w:ascii="Times New Roman" w:hAnsi="Times New Roman" w:cs="Times New Roman"/>
          <w:sz w:val="24"/>
          <w:szCs w:val="24"/>
          <w:lang w:val="en-US"/>
        </w:rPr>
        <w:lastRenderedPageBreak/>
        <w:t>challenge came with the publication of his letter to</w:t>
      </w:r>
      <w:r w:rsidR="00864DD1">
        <w:rPr>
          <w:rFonts w:ascii="Times New Roman" w:hAnsi="Times New Roman" w:cs="Times New Roman"/>
          <w:sz w:val="24"/>
          <w:szCs w:val="24"/>
          <w:lang w:val="en-US"/>
        </w:rPr>
        <w:t xml:space="preserve"> the diplomat and writer</w:t>
      </w:r>
      <w:r>
        <w:rPr>
          <w:rFonts w:ascii="Times New Roman" w:hAnsi="Times New Roman" w:cs="Times New Roman"/>
          <w:sz w:val="24"/>
          <w:szCs w:val="24"/>
          <w:lang w:val="en-US"/>
        </w:rPr>
        <w:t xml:space="preserve"> John Cartwright in the </w:t>
      </w:r>
      <w:r w:rsidRPr="00AC2124">
        <w:rPr>
          <w:rFonts w:ascii="Times New Roman" w:hAnsi="Times New Roman" w:cs="Times New Roman"/>
          <w:i/>
          <w:iCs/>
          <w:sz w:val="24"/>
          <w:szCs w:val="24"/>
          <w:lang w:val="en-US"/>
        </w:rPr>
        <w:t>London Nation</w:t>
      </w:r>
      <w:r>
        <w:rPr>
          <w:rFonts w:ascii="Times New Roman" w:hAnsi="Times New Roman" w:cs="Times New Roman"/>
          <w:sz w:val="24"/>
          <w:szCs w:val="24"/>
          <w:lang w:val="en-US"/>
        </w:rPr>
        <w:t xml:space="preserve"> and the </w:t>
      </w:r>
      <w:r w:rsidRPr="00AC2124">
        <w:rPr>
          <w:rFonts w:ascii="Times New Roman" w:hAnsi="Times New Roman" w:cs="Times New Roman"/>
          <w:i/>
          <w:iCs/>
          <w:sz w:val="24"/>
          <w:szCs w:val="24"/>
          <w:lang w:val="en-US"/>
        </w:rPr>
        <w:t>Boston Daily Advertiser</w:t>
      </w:r>
      <w:r>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161"/>
      </w:r>
      <w:r>
        <w:rPr>
          <w:rFonts w:ascii="Times New Roman" w:hAnsi="Times New Roman" w:cs="Times New Roman"/>
          <w:sz w:val="24"/>
          <w:szCs w:val="24"/>
          <w:lang w:val="en-US"/>
        </w:rPr>
        <w:t xml:space="preserve"> </w:t>
      </w:r>
    </w:p>
    <w:p w14:paraId="73A63355" w14:textId="77777777" w:rsidR="00560FB8" w:rsidRDefault="00560FB8" w:rsidP="00560FB8">
      <w:pPr>
        <w:spacing w:after="0" w:line="360" w:lineRule="auto"/>
        <w:ind w:firstLine="113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Commenting on Cartwright’s book </w:t>
      </w:r>
      <w:r w:rsidRPr="00F61F75">
        <w:rPr>
          <w:rFonts w:ascii="Times New Roman" w:hAnsi="Times New Roman" w:cs="Times New Roman"/>
          <w:i/>
          <w:iCs/>
          <w:sz w:val="24"/>
          <w:szCs w:val="24"/>
          <w:lang w:val="en-US"/>
        </w:rPr>
        <w:t>The English Constitution Produced and Illustrated</w:t>
      </w:r>
      <w:r>
        <w:rPr>
          <w:rFonts w:ascii="Times New Roman" w:hAnsi="Times New Roman" w:cs="Times New Roman"/>
          <w:sz w:val="24"/>
          <w:szCs w:val="24"/>
          <w:lang w:val="en-US"/>
        </w:rPr>
        <w:t>, Jefferson introduces the issue while remarking how he rejoiced in finding “a formal contradiction, at length, of the Judiciary usurpation of legislative powers; for such the judges have usurped in their repeated decisions that Christianity is part of the Common law[.]”</w:t>
      </w:r>
      <w:r>
        <w:rPr>
          <w:rStyle w:val="FootnoteReference"/>
          <w:rFonts w:ascii="Times New Roman" w:hAnsi="Times New Roman" w:cs="Times New Roman"/>
          <w:sz w:val="24"/>
          <w:szCs w:val="24"/>
          <w:lang w:val="en-US"/>
        </w:rPr>
        <w:footnoteReference w:id="162"/>
      </w:r>
      <w:r>
        <w:rPr>
          <w:rFonts w:ascii="Times New Roman" w:hAnsi="Times New Roman" w:cs="Times New Roman"/>
          <w:sz w:val="24"/>
          <w:szCs w:val="24"/>
          <w:lang w:val="en-US"/>
        </w:rPr>
        <w:t xml:space="preserve"> As Jefferson reviews the “chain of authorities hanging, link by link, one upon another, and all ultimately on one and the same hook,” beginning on 1458 and reaching Mansfield in 1767, all of which would ultimately depend upon “a mistranslation,” he ends up defying “the best read lawyer to produce another scrip of authority for this judiciary forgery[.]”</w:t>
      </w:r>
      <w:r>
        <w:rPr>
          <w:rStyle w:val="FootnoteReference"/>
          <w:rFonts w:ascii="Times New Roman" w:hAnsi="Times New Roman" w:cs="Times New Roman"/>
          <w:sz w:val="24"/>
          <w:szCs w:val="24"/>
          <w:lang w:val="en-US"/>
        </w:rPr>
        <w:footnoteReference w:id="163"/>
      </w:r>
      <w:r>
        <w:rPr>
          <w:rFonts w:ascii="Times New Roman" w:hAnsi="Times New Roman" w:cs="Times New Roman"/>
          <w:sz w:val="24"/>
          <w:szCs w:val="24"/>
          <w:lang w:val="en-US"/>
        </w:rPr>
        <w:t xml:space="preserve"> </w:t>
      </w:r>
    </w:p>
    <w:p w14:paraId="49355D8F" w14:textId="42609AA2" w:rsidR="002C2941" w:rsidRDefault="00560FB8" w:rsidP="002C2941">
      <w:pPr>
        <w:spacing w:after="0" w:line="360" w:lineRule="auto"/>
        <w:ind w:firstLine="113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Now, while it is true US courts have been ruling over the persecution of blasphemy, confirming convictions with occasional reference to the maxim since 1811, the conduct was often proscribed through statutes across the colonies throughout the preceding century. While the state constitutions with their clauses on the relationship between Church and State offered a plausible argument, not even Jefferson would challenge Daniel Webster’s claim that (beyond eventual mistranslations) </w:t>
      </w:r>
      <w:r w:rsidR="002C2941">
        <w:rPr>
          <w:rFonts w:ascii="Times New Roman" w:hAnsi="Times New Roman" w:cs="Times New Roman"/>
          <w:sz w:val="24"/>
          <w:szCs w:val="24"/>
          <w:lang w:val="en-US"/>
        </w:rPr>
        <w:t>“</w:t>
      </w:r>
      <w:proofErr w:type="spellStart"/>
      <w:r>
        <w:rPr>
          <w:rFonts w:ascii="Times New Roman" w:hAnsi="Times New Roman" w:cs="Times New Roman"/>
          <w:sz w:val="24"/>
          <w:szCs w:val="24"/>
          <w:lang w:val="en-US"/>
        </w:rPr>
        <w:t>every thing</w:t>
      </w:r>
      <w:proofErr w:type="spellEnd"/>
      <w:r>
        <w:rPr>
          <w:rFonts w:ascii="Times New Roman" w:hAnsi="Times New Roman" w:cs="Times New Roman"/>
          <w:sz w:val="24"/>
          <w:szCs w:val="24"/>
          <w:lang w:val="en-US"/>
        </w:rPr>
        <w:t xml:space="preserve"> declares it. […] The dead prove it as well as the living. The generation</w:t>
      </w:r>
      <w:r w:rsidR="00D423CE">
        <w:rPr>
          <w:rFonts w:ascii="Times New Roman" w:hAnsi="Times New Roman" w:cs="Times New Roman"/>
          <w:sz w:val="24"/>
          <w:szCs w:val="24"/>
          <w:lang w:val="en-US"/>
        </w:rPr>
        <w:t>s</w:t>
      </w:r>
      <w:r>
        <w:rPr>
          <w:rFonts w:ascii="Times New Roman" w:hAnsi="Times New Roman" w:cs="Times New Roman"/>
          <w:sz w:val="24"/>
          <w:szCs w:val="24"/>
          <w:lang w:val="en-US"/>
        </w:rPr>
        <w:t xml:space="preserve"> that are gone before speak to it, and pronounce it from the tomb. We feel it. All, all, proclaim that Christianity, general, tolerant Christianity, Christianity independent of sects and parties […] is the law of the land.”</w:t>
      </w:r>
      <w:r>
        <w:rPr>
          <w:rStyle w:val="FootnoteReference"/>
          <w:rFonts w:ascii="Times New Roman" w:hAnsi="Times New Roman" w:cs="Times New Roman"/>
          <w:sz w:val="24"/>
          <w:szCs w:val="24"/>
          <w:lang w:val="en-US"/>
        </w:rPr>
        <w:footnoteReference w:id="164"/>
      </w:r>
      <w:r>
        <w:rPr>
          <w:rFonts w:ascii="Times New Roman" w:hAnsi="Times New Roman" w:cs="Times New Roman"/>
          <w:sz w:val="24"/>
          <w:szCs w:val="24"/>
          <w:lang w:val="en-US"/>
        </w:rPr>
        <w:t xml:space="preserve">  </w:t>
      </w:r>
    </w:p>
    <w:p w14:paraId="4A0C31A6" w14:textId="0F191398" w:rsidR="00560FB8" w:rsidRDefault="00560FB8" w:rsidP="00560FB8">
      <w:pPr>
        <w:spacing w:after="0" w:line="360" w:lineRule="auto"/>
        <w:ind w:firstLine="113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What Jefferson could, nevertheless, </w:t>
      </w:r>
      <w:r w:rsidR="00D423CE">
        <w:rPr>
          <w:rFonts w:ascii="Times New Roman" w:hAnsi="Times New Roman" w:cs="Times New Roman"/>
          <w:sz w:val="24"/>
          <w:szCs w:val="24"/>
          <w:lang w:val="en-US"/>
        </w:rPr>
        <w:t xml:space="preserve">answer </w:t>
      </w:r>
      <w:r>
        <w:rPr>
          <w:rFonts w:ascii="Times New Roman" w:hAnsi="Times New Roman" w:cs="Times New Roman"/>
          <w:sz w:val="24"/>
          <w:szCs w:val="24"/>
          <w:lang w:val="en-US"/>
        </w:rPr>
        <w:t xml:space="preserve">is that neither “the plain temple of the Quaker” nor “the log church of the hardy pioneer of the wilderness” count as precedents. But wouldn’t they count as </w:t>
      </w:r>
      <w:r w:rsidR="00D423CE">
        <w:rPr>
          <w:rFonts w:ascii="Times New Roman" w:hAnsi="Times New Roman" w:cs="Times New Roman"/>
          <w:sz w:val="24"/>
          <w:szCs w:val="24"/>
          <w:lang w:val="en-US"/>
        </w:rPr>
        <w:t xml:space="preserve">an </w:t>
      </w:r>
      <w:r>
        <w:rPr>
          <w:rFonts w:ascii="Times New Roman" w:hAnsi="Times New Roman" w:cs="Times New Roman"/>
          <w:sz w:val="24"/>
          <w:szCs w:val="24"/>
          <w:lang w:val="en-US"/>
        </w:rPr>
        <w:t>expression of the popular will, of something “written in their hearts” (to borrow a phrase Jefferson employed in the very same letter)?</w:t>
      </w:r>
      <w:r>
        <w:rPr>
          <w:rStyle w:val="FootnoteReference"/>
          <w:rFonts w:ascii="Times New Roman" w:hAnsi="Times New Roman" w:cs="Times New Roman"/>
          <w:sz w:val="24"/>
          <w:szCs w:val="24"/>
          <w:lang w:val="en-US"/>
        </w:rPr>
        <w:footnoteReference w:id="165"/>
      </w:r>
      <w:r>
        <w:rPr>
          <w:rFonts w:ascii="Times New Roman" w:hAnsi="Times New Roman" w:cs="Times New Roman"/>
          <w:sz w:val="24"/>
          <w:szCs w:val="24"/>
          <w:lang w:val="en-US"/>
        </w:rPr>
        <w:t xml:space="preserve"> In this vein, how could the maxim be an expression “of the Judiciary usurpation of legislative powers”?</w:t>
      </w:r>
    </w:p>
    <w:p w14:paraId="50D98B30" w14:textId="2BD044CD" w:rsidR="00560FB8" w:rsidRDefault="00560FB8" w:rsidP="00560FB8">
      <w:pPr>
        <w:spacing w:after="0" w:line="360" w:lineRule="auto"/>
        <w:ind w:firstLine="113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Maybe Jefferson was hinting at something more comprehensive than mere blasphemy convictions. Arguably, the abruptness of the way he frames the issue gives </w:t>
      </w:r>
      <w:r>
        <w:rPr>
          <w:rFonts w:ascii="Times New Roman" w:hAnsi="Times New Roman" w:cs="Times New Roman"/>
          <w:sz w:val="24"/>
          <w:szCs w:val="24"/>
          <w:lang w:val="en-US"/>
        </w:rPr>
        <w:lastRenderedPageBreak/>
        <w:t xml:space="preserve">room to suggest he felt the overlapping of the instrumentalization inherent to reoccupations and the consecration of constitutional adjudication, along </w:t>
      </w:r>
      <w:r w:rsidR="00D423CE">
        <w:rPr>
          <w:rFonts w:ascii="Times New Roman" w:hAnsi="Times New Roman" w:cs="Times New Roman"/>
          <w:sz w:val="24"/>
          <w:szCs w:val="24"/>
          <w:lang w:val="en-US"/>
        </w:rPr>
        <w:t xml:space="preserve">with </w:t>
      </w:r>
      <w:r>
        <w:rPr>
          <w:rFonts w:ascii="Times New Roman" w:hAnsi="Times New Roman" w:cs="Times New Roman"/>
          <w:sz w:val="24"/>
          <w:szCs w:val="24"/>
          <w:lang w:val="en-US"/>
        </w:rPr>
        <w:t xml:space="preserve">some of the features and undertones associated with “judicial supremacy.” Be that as it may, Joseph Story decided to openly address Jefferson’s challenge, although some years after the latter’s death. In a short essay published in </w:t>
      </w:r>
      <w:r w:rsidRPr="004F1CE6">
        <w:rPr>
          <w:rFonts w:ascii="Times New Roman" w:hAnsi="Times New Roman" w:cs="Times New Roman"/>
          <w:i/>
          <w:sz w:val="24"/>
          <w:szCs w:val="24"/>
          <w:lang w:val="en-US"/>
        </w:rPr>
        <w:t>American Jurist</w:t>
      </w:r>
      <w:r>
        <w:rPr>
          <w:rFonts w:ascii="Times New Roman" w:hAnsi="Times New Roman" w:cs="Times New Roman"/>
          <w:sz w:val="24"/>
          <w:szCs w:val="24"/>
          <w:lang w:val="en-US"/>
        </w:rPr>
        <w:t xml:space="preserve"> in 1833, Story begins by naming Jefferson, his letter, and the ultimate reference to “Year Book, 34 Henry VI. 38, 40.” </w:t>
      </w:r>
    </w:p>
    <w:p w14:paraId="44BDA121" w14:textId="45ACDD89" w:rsidR="00560FB8" w:rsidRDefault="00560FB8" w:rsidP="00560FB8">
      <w:pPr>
        <w:spacing w:after="0" w:line="360" w:lineRule="auto"/>
        <w:ind w:firstLine="1134"/>
        <w:jc w:val="both"/>
        <w:rPr>
          <w:rFonts w:ascii="Times New Roman" w:hAnsi="Times New Roman" w:cs="Times New Roman"/>
          <w:sz w:val="24"/>
          <w:szCs w:val="24"/>
          <w:lang w:val="en-US"/>
        </w:rPr>
      </w:pPr>
      <w:r>
        <w:rPr>
          <w:rFonts w:ascii="Times New Roman" w:hAnsi="Times New Roman" w:cs="Times New Roman"/>
          <w:sz w:val="24"/>
          <w:szCs w:val="24"/>
          <w:lang w:val="en-US"/>
        </w:rPr>
        <w:t>A</w:t>
      </w:r>
      <w:r w:rsidR="00864DD1">
        <w:rPr>
          <w:rFonts w:ascii="Times New Roman" w:hAnsi="Times New Roman" w:cs="Times New Roman"/>
          <w:sz w:val="24"/>
          <w:szCs w:val="24"/>
          <w:lang w:val="en-US"/>
        </w:rPr>
        <w:t>fter</w:t>
      </w:r>
      <w:r>
        <w:rPr>
          <w:rFonts w:ascii="Times New Roman" w:hAnsi="Times New Roman" w:cs="Times New Roman"/>
          <w:sz w:val="24"/>
          <w:szCs w:val="24"/>
          <w:lang w:val="en-US"/>
        </w:rPr>
        <w:t xml:space="preserve"> quickly expound</w:t>
      </w:r>
      <w:r w:rsidR="00864DD1">
        <w:rPr>
          <w:rFonts w:ascii="Times New Roman" w:hAnsi="Times New Roman" w:cs="Times New Roman"/>
          <w:sz w:val="24"/>
          <w:szCs w:val="24"/>
          <w:lang w:val="en-US"/>
        </w:rPr>
        <w:t>ing</w:t>
      </w:r>
      <w:r>
        <w:rPr>
          <w:rFonts w:ascii="Times New Roman" w:hAnsi="Times New Roman" w:cs="Times New Roman"/>
          <w:sz w:val="24"/>
          <w:szCs w:val="24"/>
          <w:lang w:val="en-US"/>
        </w:rPr>
        <w:t xml:space="preserve"> “the substance of the case,” Story turns to the statement pronounced by judge </w:t>
      </w:r>
      <w:proofErr w:type="spellStart"/>
      <w:r>
        <w:rPr>
          <w:rFonts w:ascii="Times New Roman" w:hAnsi="Times New Roman" w:cs="Times New Roman"/>
          <w:sz w:val="24"/>
          <w:szCs w:val="24"/>
          <w:lang w:val="en-US"/>
        </w:rPr>
        <w:t>Prisot</w:t>
      </w:r>
      <w:proofErr w:type="spellEnd"/>
      <w:r>
        <w:rPr>
          <w:rFonts w:ascii="Times New Roman" w:hAnsi="Times New Roman" w:cs="Times New Roman"/>
          <w:sz w:val="24"/>
          <w:szCs w:val="24"/>
          <w:lang w:val="en-US"/>
        </w:rPr>
        <w:t xml:space="preserve">, upon which Jefferson built his case of judicial forgery, then in </w:t>
      </w:r>
      <w:r w:rsidR="002C2941">
        <w:rPr>
          <w:rFonts w:ascii="Times New Roman" w:hAnsi="Times New Roman" w:cs="Times New Roman"/>
          <w:sz w:val="24"/>
          <w:szCs w:val="24"/>
          <w:lang w:val="en-US"/>
        </w:rPr>
        <w:t>“</w:t>
      </w:r>
      <w:r>
        <w:rPr>
          <w:rFonts w:ascii="Times New Roman" w:hAnsi="Times New Roman" w:cs="Times New Roman"/>
          <w:sz w:val="24"/>
          <w:szCs w:val="24"/>
          <w:lang w:val="en-US"/>
        </w:rPr>
        <w:t>law French</w:t>
      </w:r>
      <w:r w:rsidR="002C2941">
        <w:rPr>
          <w:rFonts w:ascii="Times New Roman" w:hAnsi="Times New Roman" w:cs="Times New Roman"/>
          <w:sz w:val="24"/>
          <w:szCs w:val="24"/>
          <w:lang w:val="en-US"/>
        </w:rPr>
        <w:t>,” once the ruling idiom throughout the King’s courts</w:t>
      </w:r>
      <w:r>
        <w:rPr>
          <w:rFonts w:ascii="Times New Roman" w:hAnsi="Times New Roman" w:cs="Times New Roman"/>
          <w:sz w:val="24"/>
          <w:szCs w:val="24"/>
          <w:lang w:val="en-US"/>
        </w:rPr>
        <w:t xml:space="preserve">: “A </w:t>
      </w:r>
      <w:proofErr w:type="spellStart"/>
      <w:r>
        <w:rPr>
          <w:rFonts w:ascii="Times New Roman" w:hAnsi="Times New Roman" w:cs="Times New Roman"/>
          <w:sz w:val="24"/>
          <w:szCs w:val="24"/>
          <w:lang w:val="en-US"/>
        </w:rPr>
        <w:t>tiels</w:t>
      </w:r>
      <w:proofErr w:type="spellEnd"/>
      <w:r>
        <w:rPr>
          <w:rFonts w:ascii="Times New Roman" w:hAnsi="Times New Roman" w:cs="Times New Roman"/>
          <w:sz w:val="24"/>
          <w:szCs w:val="24"/>
          <w:lang w:val="en-US"/>
        </w:rPr>
        <w:t xml:space="preserve"> leys, que </w:t>
      </w:r>
      <w:proofErr w:type="spellStart"/>
      <w:r>
        <w:rPr>
          <w:rFonts w:ascii="Times New Roman" w:hAnsi="Times New Roman" w:cs="Times New Roman"/>
          <w:sz w:val="24"/>
          <w:szCs w:val="24"/>
          <w:lang w:val="en-US"/>
        </w:rPr>
        <w:t>eux</w:t>
      </w:r>
      <w:proofErr w:type="spellEnd"/>
      <w:r>
        <w:rPr>
          <w:rFonts w:ascii="Times New Roman" w:hAnsi="Times New Roman" w:cs="Times New Roman"/>
          <w:sz w:val="24"/>
          <w:szCs w:val="24"/>
          <w:lang w:val="en-US"/>
        </w:rPr>
        <w:t xml:space="preserve"> de </w:t>
      </w:r>
      <w:proofErr w:type="spellStart"/>
      <w:r>
        <w:rPr>
          <w:rFonts w:ascii="Times New Roman" w:hAnsi="Times New Roman" w:cs="Times New Roman"/>
          <w:sz w:val="24"/>
          <w:szCs w:val="24"/>
          <w:lang w:val="en-US"/>
        </w:rPr>
        <w:t>sainte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Esglise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ont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auncien</w:t>
      </w:r>
      <w:proofErr w:type="spellEnd"/>
      <w:r>
        <w:rPr>
          <w:rFonts w:ascii="Times New Roman" w:hAnsi="Times New Roman" w:cs="Times New Roman"/>
          <w:sz w:val="24"/>
          <w:szCs w:val="24"/>
          <w:lang w:val="en-US"/>
        </w:rPr>
        <w:t xml:space="preserve"> Scripture </w:t>
      </w:r>
      <w:proofErr w:type="spellStart"/>
      <w:r>
        <w:rPr>
          <w:rFonts w:ascii="Times New Roman" w:hAnsi="Times New Roman" w:cs="Times New Roman"/>
          <w:sz w:val="24"/>
          <w:szCs w:val="24"/>
          <w:lang w:val="en-US"/>
        </w:rPr>
        <w:t>convenit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pur</w:t>
      </w:r>
      <w:proofErr w:type="spellEnd"/>
      <w:r>
        <w:rPr>
          <w:rFonts w:ascii="Times New Roman" w:hAnsi="Times New Roman" w:cs="Times New Roman"/>
          <w:sz w:val="24"/>
          <w:szCs w:val="24"/>
          <w:lang w:val="en-US"/>
        </w:rPr>
        <w:t xml:space="preserve"> nous a doner credence, </w:t>
      </w:r>
      <w:proofErr w:type="spellStart"/>
      <w:r>
        <w:rPr>
          <w:rFonts w:ascii="Times New Roman" w:hAnsi="Times New Roman" w:cs="Times New Roman"/>
          <w:sz w:val="24"/>
          <w:szCs w:val="24"/>
          <w:lang w:val="en-US"/>
        </w:rPr>
        <w:t>quia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ceo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est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comen</w:t>
      </w:r>
      <w:proofErr w:type="spellEnd"/>
      <w:r>
        <w:rPr>
          <w:rFonts w:ascii="Times New Roman" w:hAnsi="Times New Roman" w:cs="Times New Roman"/>
          <w:sz w:val="24"/>
          <w:szCs w:val="24"/>
          <w:lang w:val="en-US"/>
        </w:rPr>
        <w:t xml:space="preserve"> ley, sur quell </w:t>
      </w:r>
      <w:proofErr w:type="spellStart"/>
      <w:r>
        <w:rPr>
          <w:rFonts w:ascii="Times New Roman" w:hAnsi="Times New Roman" w:cs="Times New Roman"/>
          <w:sz w:val="24"/>
          <w:szCs w:val="24"/>
          <w:lang w:val="en-US"/>
        </w:rPr>
        <w:t>toutes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maners</w:t>
      </w:r>
      <w:proofErr w:type="spellEnd"/>
      <w:r>
        <w:rPr>
          <w:rFonts w:ascii="Times New Roman" w:hAnsi="Times New Roman" w:cs="Times New Roman"/>
          <w:sz w:val="24"/>
          <w:szCs w:val="24"/>
          <w:lang w:val="en-US"/>
        </w:rPr>
        <w:t xml:space="preserve"> leys </w:t>
      </w:r>
      <w:proofErr w:type="spellStart"/>
      <w:r>
        <w:rPr>
          <w:rFonts w:ascii="Times New Roman" w:hAnsi="Times New Roman" w:cs="Times New Roman"/>
          <w:sz w:val="24"/>
          <w:szCs w:val="24"/>
          <w:lang w:val="en-US"/>
        </w:rPr>
        <w:t>sont</w:t>
      </w:r>
      <w:proofErr w:type="spellEnd"/>
      <w:r>
        <w:rPr>
          <w:rFonts w:ascii="Times New Roman" w:hAnsi="Times New Roman" w:cs="Times New Roman"/>
          <w:sz w:val="24"/>
          <w:szCs w:val="24"/>
          <w:lang w:val="en-US"/>
        </w:rPr>
        <w:t xml:space="preserve"> fondues[.]” In Story’s self-styled “literal translation:” “As to those laws, which those of holy church have in ancient scripture, it behooves us to give them credence, for this is common law, upon which all manners of laws are founded[.]”</w:t>
      </w:r>
      <w:r>
        <w:rPr>
          <w:rStyle w:val="FootnoteReference"/>
          <w:rFonts w:ascii="Times New Roman" w:hAnsi="Times New Roman" w:cs="Times New Roman"/>
          <w:sz w:val="24"/>
          <w:szCs w:val="24"/>
          <w:lang w:val="en-US"/>
        </w:rPr>
        <w:footnoteReference w:id="166"/>
      </w:r>
      <w:r>
        <w:rPr>
          <w:rFonts w:ascii="Times New Roman" w:hAnsi="Times New Roman" w:cs="Times New Roman"/>
          <w:sz w:val="24"/>
          <w:szCs w:val="24"/>
          <w:lang w:val="en-US"/>
        </w:rPr>
        <w:t xml:space="preserve"> For Jefferson, “</w:t>
      </w:r>
      <w:proofErr w:type="spellStart"/>
      <w:r>
        <w:rPr>
          <w:rFonts w:ascii="Times New Roman" w:hAnsi="Times New Roman" w:cs="Times New Roman"/>
          <w:sz w:val="24"/>
          <w:szCs w:val="24"/>
          <w:lang w:val="en-US"/>
        </w:rPr>
        <w:t>auncien</w:t>
      </w:r>
      <w:proofErr w:type="spellEnd"/>
      <w:r>
        <w:rPr>
          <w:rFonts w:ascii="Times New Roman" w:hAnsi="Times New Roman" w:cs="Times New Roman"/>
          <w:sz w:val="24"/>
          <w:szCs w:val="24"/>
          <w:lang w:val="en-US"/>
        </w:rPr>
        <w:t xml:space="preserve"> scripture” couldn’t refer to the Holy Scriptures, as subsequent cases assumed, “but if this be so,” Story countered, “how could </w:t>
      </w:r>
      <w:proofErr w:type="spellStart"/>
      <w:r>
        <w:rPr>
          <w:rFonts w:ascii="Times New Roman" w:hAnsi="Times New Roman" w:cs="Times New Roman"/>
          <w:sz w:val="24"/>
          <w:szCs w:val="24"/>
          <w:lang w:val="en-US"/>
        </w:rPr>
        <w:t>Prisot</w:t>
      </w:r>
      <w:proofErr w:type="spellEnd"/>
      <w:r>
        <w:rPr>
          <w:rFonts w:ascii="Times New Roman" w:hAnsi="Times New Roman" w:cs="Times New Roman"/>
          <w:sz w:val="24"/>
          <w:szCs w:val="24"/>
          <w:lang w:val="en-US"/>
        </w:rPr>
        <w:t xml:space="preserve"> have said that they were common law, upon which all manner</w:t>
      </w:r>
      <w:r w:rsidR="00D423CE">
        <w:rPr>
          <w:rFonts w:ascii="Times New Roman" w:hAnsi="Times New Roman" w:cs="Times New Roman"/>
          <w:sz w:val="24"/>
          <w:szCs w:val="24"/>
          <w:lang w:val="en-US"/>
        </w:rPr>
        <w:t>s</w:t>
      </w:r>
      <w:r>
        <w:rPr>
          <w:rFonts w:ascii="Times New Roman" w:hAnsi="Times New Roman" w:cs="Times New Roman"/>
          <w:sz w:val="24"/>
          <w:szCs w:val="24"/>
          <w:lang w:val="en-US"/>
        </w:rPr>
        <w:t xml:space="preserve"> of laws are founded? Do not these words suppose that he was speaking of some superior law, having a foundation in nature or the Divine appointment, and not merely a positive ancient code of the church?”</w:t>
      </w:r>
      <w:r>
        <w:rPr>
          <w:rStyle w:val="FootnoteReference"/>
          <w:rFonts w:ascii="Times New Roman" w:hAnsi="Times New Roman" w:cs="Times New Roman"/>
          <w:sz w:val="24"/>
          <w:szCs w:val="24"/>
          <w:lang w:val="en-US"/>
        </w:rPr>
        <w:footnoteReference w:id="167"/>
      </w:r>
      <w:r>
        <w:rPr>
          <w:rFonts w:ascii="Times New Roman" w:hAnsi="Times New Roman" w:cs="Times New Roman"/>
          <w:sz w:val="24"/>
          <w:szCs w:val="24"/>
          <w:lang w:val="en-US"/>
        </w:rPr>
        <w:t xml:space="preserve"> </w:t>
      </w:r>
    </w:p>
    <w:p w14:paraId="39DB5005" w14:textId="13BBA37E" w:rsidR="00560FB8" w:rsidRDefault="00560FB8" w:rsidP="00560FB8">
      <w:pPr>
        <w:spacing w:after="0" w:line="360" w:lineRule="auto"/>
        <w:ind w:firstLine="113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Some years before, in 1829, as he delivered his inaugural speech as Dane Professor of Law </w:t>
      </w:r>
      <w:r w:rsidR="00D423CE">
        <w:rPr>
          <w:rFonts w:ascii="Times New Roman" w:hAnsi="Times New Roman" w:cs="Times New Roman"/>
          <w:sz w:val="24"/>
          <w:szCs w:val="24"/>
          <w:lang w:val="en-US"/>
        </w:rPr>
        <w:t xml:space="preserve">at </w:t>
      </w:r>
      <w:r>
        <w:rPr>
          <w:rFonts w:ascii="Times New Roman" w:hAnsi="Times New Roman" w:cs="Times New Roman"/>
          <w:sz w:val="24"/>
          <w:szCs w:val="24"/>
          <w:lang w:val="en-US"/>
        </w:rPr>
        <w:t>Harvard University, Story already seized the opportunity to touch upon the subject. As he then phrased it, in a sequence of laudations to the Common law and its study,</w:t>
      </w:r>
    </w:p>
    <w:p w14:paraId="2D99B246" w14:textId="77777777" w:rsidR="00560FB8" w:rsidRPr="007F6AD5" w:rsidRDefault="00560FB8" w:rsidP="00560FB8">
      <w:pPr>
        <w:spacing w:after="0" w:line="240" w:lineRule="auto"/>
        <w:ind w:left="2268"/>
        <w:jc w:val="both"/>
        <w:rPr>
          <w:rFonts w:ascii="Times New Roman" w:hAnsi="Times New Roman" w:cs="Times New Roman"/>
          <w:lang w:val="en-US"/>
        </w:rPr>
      </w:pPr>
      <w:r w:rsidRPr="007F6AD5">
        <w:rPr>
          <w:rFonts w:ascii="Times New Roman" w:hAnsi="Times New Roman" w:cs="Times New Roman"/>
          <w:lang w:val="en-US"/>
        </w:rPr>
        <w:t>[o]</w:t>
      </w:r>
      <w:proofErr w:type="spellStart"/>
      <w:r w:rsidRPr="007F6AD5">
        <w:rPr>
          <w:rFonts w:ascii="Times New Roman" w:hAnsi="Times New Roman" w:cs="Times New Roman"/>
          <w:lang w:val="en-US"/>
        </w:rPr>
        <w:t>ne</w:t>
      </w:r>
      <w:proofErr w:type="spellEnd"/>
      <w:r w:rsidRPr="007F6AD5">
        <w:rPr>
          <w:rFonts w:ascii="Times New Roman" w:hAnsi="Times New Roman" w:cs="Times New Roman"/>
          <w:lang w:val="en-US"/>
        </w:rPr>
        <w:t xml:space="preserve"> of the beautiful boasts of our municipal jurisprudence is, that Christianity is a part of the common law, from which it seeks the sanction of its rights, and by which it endeavors to regulate its doctrines. And, notwithstanding the specious objection of one of our distinguished statesmen, the boast is as true as it is beautiful. There never has been a period in which the common law did not recognize Christianity as lying at its foundations.</w:t>
      </w:r>
      <w:r>
        <w:rPr>
          <w:rStyle w:val="FootnoteReference"/>
          <w:rFonts w:ascii="Times New Roman" w:hAnsi="Times New Roman" w:cs="Times New Roman"/>
          <w:lang w:val="en-US"/>
        </w:rPr>
        <w:footnoteReference w:id="168"/>
      </w:r>
    </w:p>
    <w:p w14:paraId="7C58F4D4" w14:textId="77777777" w:rsidR="00560FB8" w:rsidRDefault="00560FB8" w:rsidP="00560FB8">
      <w:pPr>
        <w:spacing w:after="0" w:line="360" w:lineRule="auto"/>
        <w:ind w:firstLine="1134"/>
        <w:jc w:val="both"/>
        <w:rPr>
          <w:rFonts w:ascii="Times New Roman" w:hAnsi="Times New Roman" w:cs="Times New Roman"/>
          <w:sz w:val="24"/>
          <w:szCs w:val="24"/>
          <w:lang w:val="en-US"/>
        </w:rPr>
      </w:pPr>
    </w:p>
    <w:p w14:paraId="72A46F0F" w14:textId="77777777" w:rsidR="00B76188" w:rsidRDefault="00560FB8" w:rsidP="00560FB8">
      <w:pPr>
        <w:spacing w:after="0" w:line="360" w:lineRule="auto"/>
        <w:ind w:firstLine="1134"/>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Should one substitute “Christianity” for, say, “Constitutionalism” at the outstart, from which one seeks the sanction of rights and by which one endeavors to regulate one’s doctrines, the very first sentence hardly would deserve any criticism from contemporary audiences. The very fact, however, that Story could conceive of Christianity as such, taking the Bible alongside the Constitution as he delved upon the expounding of the latter, thinking of Puritan saints as he though</w:t>
      </w:r>
      <w:r w:rsidR="00D423CE">
        <w:rPr>
          <w:rFonts w:ascii="Times New Roman" w:hAnsi="Times New Roman" w:cs="Times New Roman"/>
          <w:sz w:val="24"/>
          <w:szCs w:val="24"/>
          <w:lang w:val="en-US"/>
        </w:rPr>
        <w:t>t</w:t>
      </w:r>
      <w:r>
        <w:rPr>
          <w:rFonts w:ascii="Times New Roman" w:hAnsi="Times New Roman" w:cs="Times New Roman"/>
          <w:sz w:val="24"/>
          <w:szCs w:val="24"/>
          <w:lang w:val="en-US"/>
        </w:rPr>
        <w:t xml:space="preserve"> and wrote about </w:t>
      </w:r>
      <w:r w:rsidR="00BF1B2C">
        <w:rPr>
          <w:rFonts w:ascii="Times New Roman" w:hAnsi="Times New Roman" w:cs="Times New Roman"/>
          <w:sz w:val="24"/>
          <w:szCs w:val="24"/>
          <w:lang w:val="en-US"/>
        </w:rPr>
        <w:t xml:space="preserve">constitutional </w:t>
      </w:r>
      <w:r>
        <w:rPr>
          <w:rFonts w:ascii="Times New Roman" w:hAnsi="Times New Roman" w:cs="Times New Roman"/>
          <w:sz w:val="24"/>
          <w:szCs w:val="24"/>
          <w:lang w:val="en-US"/>
        </w:rPr>
        <w:t xml:space="preserve">guardians, suggests the </w:t>
      </w:r>
      <w:r w:rsidR="00BF1B2C">
        <w:rPr>
          <w:rFonts w:ascii="Times New Roman" w:hAnsi="Times New Roman" w:cs="Times New Roman"/>
          <w:sz w:val="24"/>
          <w:szCs w:val="24"/>
          <w:lang w:val="en-US"/>
        </w:rPr>
        <w:t xml:space="preserve">influence </w:t>
      </w:r>
      <w:r>
        <w:rPr>
          <w:rFonts w:ascii="Times New Roman" w:hAnsi="Times New Roman" w:cs="Times New Roman"/>
          <w:sz w:val="24"/>
          <w:szCs w:val="24"/>
          <w:lang w:val="en-US"/>
        </w:rPr>
        <w:t xml:space="preserve">of such materials’ immanent rationality. </w:t>
      </w:r>
    </w:p>
    <w:p w14:paraId="7BB55B34" w14:textId="17249CEA" w:rsidR="00560FB8" w:rsidRDefault="00560FB8" w:rsidP="00560FB8">
      <w:pPr>
        <w:spacing w:after="0" w:line="360" w:lineRule="auto"/>
        <w:ind w:firstLine="113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 that as it may, as the maxim’s popularity vaned, Thomas Cooley could already state in 1868, as he dedicated an entire section of his treatise on the </w:t>
      </w:r>
      <w:r w:rsidRPr="009D7A2A">
        <w:rPr>
          <w:rFonts w:ascii="Times New Roman" w:hAnsi="Times New Roman" w:cs="Times New Roman"/>
          <w:i/>
          <w:iCs/>
          <w:sz w:val="24"/>
          <w:szCs w:val="24"/>
          <w:lang w:val="en-US"/>
        </w:rPr>
        <w:t>Constitutional Limitations</w:t>
      </w:r>
      <w:r>
        <w:rPr>
          <w:rFonts w:ascii="Times New Roman" w:hAnsi="Times New Roman" w:cs="Times New Roman"/>
          <w:sz w:val="24"/>
          <w:szCs w:val="24"/>
          <w:lang w:val="en-US"/>
        </w:rPr>
        <w:t>, that while in a sense Christianity is part of the law of the land, in terms of its underlying morality, in another</w:t>
      </w:r>
      <w:r w:rsidR="00BF1B2C">
        <w:rPr>
          <w:rFonts w:ascii="Times New Roman" w:hAnsi="Times New Roman" w:cs="Times New Roman"/>
          <w:sz w:val="24"/>
          <w:szCs w:val="24"/>
          <w:lang w:val="en-US"/>
        </w:rPr>
        <w:t xml:space="preserve"> sense</w:t>
      </w:r>
      <w:r>
        <w:rPr>
          <w:rFonts w:ascii="Times New Roman" w:hAnsi="Times New Roman" w:cs="Times New Roman"/>
          <w:sz w:val="24"/>
          <w:szCs w:val="24"/>
          <w:lang w:val="en-US"/>
        </w:rPr>
        <w:t xml:space="preserve">, as to the entitlement of courts “to take notice of and base their judgments upon </w:t>
      </w:r>
      <w:r w:rsidR="00BF1B2C">
        <w:rPr>
          <w:rFonts w:ascii="Times New Roman" w:hAnsi="Times New Roman" w:cs="Times New Roman"/>
          <w:sz w:val="24"/>
          <w:szCs w:val="24"/>
          <w:lang w:val="en-US"/>
        </w:rPr>
        <w:t>[Christianity]</w:t>
      </w:r>
      <w:r>
        <w:rPr>
          <w:rFonts w:ascii="Times New Roman" w:hAnsi="Times New Roman" w:cs="Times New Roman"/>
          <w:sz w:val="24"/>
          <w:szCs w:val="24"/>
          <w:lang w:val="en-US"/>
        </w:rPr>
        <w:t xml:space="preserve">,” it is not. Yet, “except so far as they could find that </w:t>
      </w:r>
      <w:r w:rsidR="00BF1B2C">
        <w:rPr>
          <w:rFonts w:ascii="Times New Roman" w:hAnsi="Times New Roman" w:cs="Times New Roman"/>
          <w:sz w:val="24"/>
          <w:szCs w:val="24"/>
          <w:lang w:val="en-US"/>
        </w:rPr>
        <w:t xml:space="preserve">[Christianity’s] </w:t>
      </w:r>
      <w:r>
        <w:rPr>
          <w:rFonts w:ascii="Times New Roman" w:hAnsi="Times New Roman" w:cs="Times New Roman"/>
          <w:sz w:val="24"/>
          <w:szCs w:val="24"/>
          <w:lang w:val="en-US"/>
        </w:rPr>
        <w:t>precepts had been incorporated in, and thus become a component part of, the law.”</w:t>
      </w:r>
      <w:r>
        <w:rPr>
          <w:rStyle w:val="FootnoteReference"/>
          <w:rFonts w:ascii="Times New Roman" w:hAnsi="Times New Roman" w:cs="Times New Roman"/>
          <w:sz w:val="24"/>
          <w:szCs w:val="24"/>
          <w:lang w:val="en-US"/>
        </w:rPr>
        <w:footnoteReference w:id="169"/>
      </w:r>
    </w:p>
    <w:p w14:paraId="7778D332" w14:textId="53E62874" w:rsidR="00560FB8" w:rsidRDefault="00560FB8" w:rsidP="00560FB8">
      <w:pPr>
        <w:spacing w:after="0" w:line="360" w:lineRule="auto"/>
        <w:ind w:firstLine="113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When Justice White delivered the opinion for the Court in </w:t>
      </w:r>
      <w:r w:rsidRPr="00523C40">
        <w:rPr>
          <w:rFonts w:ascii="Times New Roman" w:hAnsi="Times New Roman" w:cs="Times New Roman"/>
          <w:i/>
          <w:iCs/>
          <w:sz w:val="24"/>
          <w:szCs w:val="24"/>
          <w:lang w:val="en-US"/>
        </w:rPr>
        <w:t>Bowers v. Hardwick</w:t>
      </w:r>
      <w:r>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170"/>
      </w:r>
      <w:r>
        <w:rPr>
          <w:rFonts w:ascii="Times New Roman" w:hAnsi="Times New Roman" w:cs="Times New Roman"/>
          <w:sz w:val="24"/>
          <w:szCs w:val="24"/>
          <w:lang w:val="en-US"/>
        </w:rPr>
        <w:t xml:space="preserve"> the audience assembled within the Marble Palace heard the following statement: “</w:t>
      </w:r>
      <w:r w:rsidRPr="002C5B6A">
        <w:rPr>
          <w:rFonts w:ascii="Times New Roman" w:hAnsi="Times New Roman" w:cs="Times New Roman"/>
          <w:sz w:val="24"/>
          <w:szCs w:val="24"/>
          <w:lang w:val="en-US"/>
        </w:rPr>
        <w:t>We first register our disagreement with the Court of Appeals and with respondent that the Court's prior cases have construed the Constitution to confer a right of privacy that extends to homosexual sodomy and for all intents and purposes have decided this case.</w:t>
      </w:r>
      <w:r>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171"/>
      </w:r>
      <w:r>
        <w:rPr>
          <w:rFonts w:ascii="Times New Roman" w:hAnsi="Times New Roman" w:cs="Times New Roman"/>
          <w:sz w:val="24"/>
          <w:szCs w:val="24"/>
          <w:lang w:val="en-US"/>
        </w:rPr>
        <w:t xml:space="preserve"> As some lines below </w:t>
      </w:r>
      <w:r w:rsidR="00E24D2D">
        <w:rPr>
          <w:rFonts w:ascii="Times New Roman" w:hAnsi="Times New Roman" w:cs="Times New Roman"/>
          <w:sz w:val="24"/>
          <w:szCs w:val="24"/>
          <w:lang w:val="en-US"/>
        </w:rPr>
        <w:t>show</w:t>
      </w:r>
      <w:r>
        <w:rPr>
          <w:rFonts w:ascii="Times New Roman" w:hAnsi="Times New Roman" w:cs="Times New Roman"/>
          <w:sz w:val="24"/>
          <w:szCs w:val="24"/>
          <w:lang w:val="en-US"/>
        </w:rPr>
        <w:t xml:space="preserve">, in reference to the doctrine on the Fourteenth Amendment and the role of historical precedent in constructing which rights are covered therein, White underscored how “proscriptions against that conduct have ancient roots.” In his concurrence, in its turn, Chief Justice Burger felt the need for excavating them: “Condemnation of those practices is firmly rooted in Judeo-Christian moral and ethical standards. Homosexual sodomy was a capital crime under Roman law. See Code </w:t>
      </w:r>
      <w:proofErr w:type="spellStart"/>
      <w:r>
        <w:rPr>
          <w:rFonts w:ascii="Times New Roman" w:hAnsi="Times New Roman" w:cs="Times New Roman"/>
          <w:sz w:val="24"/>
          <w:szCs w:val="24"/>
          <w:lang w:val="en-US"/>
        </w:rPr>
        <w:t>Theod</w:t>
      </w:r>
      <w:proofErr w:type="spellEnd"/>
      <w:r>
        <w:rPr>
          <w:rFonts w:ascii="Times New Roman" w:hAnsi="Times New Roman" w:cs="Times New Roman"/>
          <w:sz w:val="24"/>
          <w:szCs w:val="24"/>
          <w:lang w:val="en-US"/>
        </w:rPr>
        <w:t>. 9.7.6; Code Just. 9.9.31.” As Burges continued in his review of “millennia of moral teaching,"</w:t>
      </w:r>
      <w:r>
        <w:rPr>
          <w:rStyle w:val="FootnoteReference"/>
          <w:rFonts w:ascii="Times New Roman" w:hAnsi="Times New Roman" w:cs="Times New Roman"/>
          <w:sz w:val="24"/>
          <w:szCs w:val="24"/>
          <w:lang w:val="en-US"/>
        </w:rPr>
        <w:footnoteReference w:id="172"/>
      </w:r>
      <w:r>
        <w:rPr>
          <w:rFonts w:ascii="Times New Roman" w:hAnsi="Times New Roman" w:cs="Times New Roman"/>
          <w:sz w:val="24"/>
          <w:szCs w:val="24"/>
          <w:lang w:val="en-US"/>
        </w:rPr>
        <w:t xml:space="preserve"> it is tempting to wonder whether he imagined each of the US Supreme Court’s bronze doors’ panels – among which Justinian can be found, </w:t>
      </w:r>
      <w:r>
        <w:rPr>
          <w:rFonts w:ascii="Times New Roman" w:hAnsi="Times New Roman" w:cs="Times New Roman"/>
          <w:sz w:val="24"/>
          <w:szCs w:val="24"/>
          <w:lang w:val="en-US"/>
        </w:rPr>
        <w:lastRenderedPageBreak/>
        <w:t>next to Marshall and Story – whispering in “constitutional terms” against the rights regarding private sexual conduct between consenting adults.</w:t>
      </w:r>
    </w:p>
    <w:p w14:paraId="714B285C" w14:textId="77777777" w:rsidR="00560FB8" w:rsidRDefault="00560FB8" w:rsidP="00694910">
      <w:pPr>
        <w:pStyle w:val="Heading2"/>
        <w:rPr>
          <w:lang w:val="en-US"/>
        </w:rPr>
      </w:pPr>
    </w:p>
    <w:p w14:paraId="68863861" w14:textId="77777777" w:rsidR="00560FB8" w:rsidRDefault="00560FB8" w:rsidP="00694910">
      <w:pPr>
        <w:pStyle w:val="Heading2"/>
        <w:rPr>
          <w:lang w:val="en-US"/>
        </w:rPr>
      </w:pPr>
    </w:p>
    <w:p w14:paraId="002DE32B" w14:textId="375AFB17" w:rsidR="00560FB8" w:rsidRPr="00E70EC9" w:rsidRDefault="00694910" w:rsidP="00694910">
      <w:pPr>
        <w:pStyle w:val="Heading2"/>
        <w:rPr>
          <w:color w:val="auto"/>
          <w:lang w:val="en-US"/>
        </w:rPr>
      </w:pPr>
      <w:bookmarkStart w:id="10" w:name="_Toc120993779"/>
      <w:r>
        <w:rPr>
          <w:color w:val="auto"/>
          <w:lang w:val="en-US"/>
        </w:rPr>
        <w:t>4</w:t>
      </w:r>
      <w:r w:rsidR="00C97D6B">
        <w:rPr>
          <w:color w:val="auto"/>
          <w:lang w:val="en-US"/>
        </w:rPr>
        <w:t>.</w:t>
      </w:r>
      <w:r w:rsidR="00560FB8" w:rsidRPr="00E70EC9">
        <w:rPr>
          <w:color w:val="auto"/>
          <w:lang w:val="en-US"/>
        </w:rPr>
        <w:t xml:space="preserve">2. The Bible and </w:t>
      </w:r>
      <w:proofErr w:type="spellStart"/>
      <w:r w:rsidR="00560FB8" w:rsidRPr="00E70EC9">
        <w:rPr>
          <w:i/>
          <w:iCs/>
          <w:color w:val="auto"/>
          <w:lang w:val="en-US"/>
        </w:rPr>
        <w:t>Grundrechte</w:t>
      </w:r>
      <w:bookmarkEnd w:id="10"/>
      <w:proofErr w:type="spellEnd"/>
    </w:p>
    <w:p w14:paraId="7B709ABF" w14:textId="77777777" w:rsidR="00560FB8" w:rsidRPr="00D7300A" w:rsidRDefault="00560FB8" w:rsidP="00560FB8">
      <w:pPr>
        <w:spacing w:after="0" w:line="360" w:lineRule="auto"/>
        <w:jc w:val="both"/>
        <w:rPr>
          <w:rFonts w:ascii="Times New Roman" w:hAnsi="Times New Roman" w:cs="Times New Roman"/>
          <w:sz w:val="24"/>
          <w:szCs w:val="24"/>
          <w:lang w:val="en-US"/>
        </w:rPr>
      </w:pPr>
    </w:p>
    <w:p w14:paraId="29ED7F16" w14:textId="21D3E3AF" w:rsidR="00560FB8" w:rsidRDefault="00BF1B2C" w:rsidP="00560FB8">
      <w:pPr>
        <w:spacing w:after="0" w:line="360" w:lineRule="auto"/>
        <w:ind w:firstLine="1134"/>
        <w:jc w:val="both"/>
        <w:rPr>
          <w:rFonts w:ascii="Times New Roman" w:hAnsi="Times New Roman" w:cs="Times New Roman"/>
          <w:sz w:val="24"/>
          <w:szCs w:val="24"/>
          <w:lang w:val="en-US"/>
        </w:rPr>
      </w:pPr>
      <w:r>
        <w:rPr>
          <w:rFonts w:ascii="Times New Roman" w:hAnsi="Times New Roman" w:cs="Times New Roman"/>
          <w:sz w:val="24"/>
          <w:szCs w:val="24"/>
          <w:lang w:val="en-US"/>
        </w:rPr>
        <w:t>As we turn to Germany</w:t>
      </w:r>
      <w:r w:rsidR="00560FB8">
        <w:rPr>
          <w:rFonts w:ascii="Times New Roman" w:hAnsi="Times New Roman" w:cs="Times New Roman"/>
          <w:sz w:val="24"/>
          <w:szCs w:val="24"/>
          <w:lang w:val="en-US"/>
        </w:rPr>
        <w:t xml:space="preserve">, the necessity of reoccupation went hand-in-hand with the </w:t>
      </w:r>
      <w:proofErr w:type="spellStart"/>
      <w:r w:rsidR="00560FB8">
        <w:rPr>
          <w:rFonts w:ascii="Times New Roman" w:hAnsi="Times New Roman" w:cs="Times New Roman"/>
          <w:sz w:val="24"/>
          <w:szCs w:val="24"/>
          <w:lang w:val="en-US"/>
        </w:rPr>
        <w:t>mediality</w:t>
      </w:r>
      <w:proofErr w:type="spellEnd"/>
      <w:r w:rsidR="00560FB8">
        <w:rPr>
          <w:rFonts w:ascii="Times New Roman" w:hAnsi="Times New Roman" w:cs="Times New Roman"/>
          <w:sz w:val="24"/>
          <w:szCs w:val="24"/>
          <w:lang w:val="en-US"/>
        </w:rPr>
        <w:t xml:space="preserve"> of the reoccupied claims, semantic patterns, and media. Either in anticipation or</w:t>
      </w:r>
      <w:r w:rsidR="00D423CE">
        <w:rPr>
          <w:rFonts w:ascii="Times New Roman" w:hAnsi="Times New Roman" w:cs="Times New Roman"/>
          <w:sz w:val="24"/>
          <w:szCs w:val="24"/>
          <w:lang w:val="en-US"/>
        </w:rPr>
        <w:t xml:space="preserve"> in</w:t>
      </w:r>
      <w:r w:rsidR="00560FB8">
        <w:rPr>
          <w:rFonts w:ascii="Times New Roman" w:hAnsi="Times New Roman" w:cs="Times New Roman"/>
          <w:sz w:val="24"/>
          <w:szCs w:val="24"/>
          <w:lang w:val="en-US"/>
        </w:rPr>
        <w:t xml:space="preserve"> the wake of the </w:t>
      </w:r>
      <w:proofErr w:type="spellStart"/>
      <w:r w:rsidR="00560FB8" w:rsidRPr="00C34638">
        <w:rPr>
          <w:rFonts w:ascii="Times New Roman" w:hAnsi="Times New Roman" w:cs="Times New Roman"/>
          <w:i/>
          <w:iCs/>
          <w:sz w:val="24"/>
          <w:szCs w:val="24"/>
          <w:lang w:val="en-US"/>
        </w:rPr>
        <w:t>Grundgesetz</w:t>
      </w:r>
      <w:proofErr w:type="spellEnd"/>
      <w:r w:rsidR="00560FB8">
        <w:rPr>
          <w:rFonts w:ascii="Times New Roman" w:hAnsi="Times New Roman" w:cs="Times New Roman"/>
          <w:sz w:val="24"/>
          <w:szCs w:val="24"/>
          <w:lang w:val="en-US"/>
        </w:rPr>
        <w:t xml:space="preserve">, legal scholars clashed over the possibility of appealing to natural law principles, rules, and measures amidst the travails of constitutional adjudication. In line with the massive number of publications by many of the same actors preceding this particular debate, </w:t>
      </w:r>
      <w:r>
        <w:rPr>
          <w:rFonts w:ascii="Times New Roman" w:hAnsi="Times New Roman" w:cs="Times New Roman"/>
          <w:sz w:val="24"/>
          <w:szCs w:val="24"/>
          <w:lang w:val="en-US"/>
        </w:rPr>
        <w:t xml:space="preserve">who mostly </w:t>
      </w:r>
      <w:r w:rsidR="00560FB8">
        <w:rPr>
          <w:rFonts w:ascii="Times New Roman" w:hAnsi="Times New Roman" w:cs="Times New Roman"/>
          <w:sz w:val="24"/>
          <w:szCs w:val="24"/>
          <w:lang w:val="en-US"/>
        </w:rPr>
        <w:t>pleaded a “return to Christianity” in face of “the greatest sin of legal positivism”</w:t>
      </w:r>
      <w:r w:rsidR="00560FB8">
        <w:rPr>
          <w:rStyle w:val="FootnoteReference"/>
          <w:rFonts w:ascii="Times New Roman" w:hAnsi="Times New Roman" w:cs="Times New Roman"/>
          <w:sz w:val="24"/>
          <w:szCs w:val="24"/>
          <w:lang w:val="en-US"/>
        </w:rPr>
        <w:footnoteReference w:id="173"/>
      </w:r>
      <w:r w:rsidR="00560FB8">
        <w:rPr>
          <w:rFonts w:ascii="Times New Roman" w:hAnsi="Times New Roman" w:cs="Times New Roman"/>
          <w:sz w:val="24"/>
          <w:szCs w:val="24"/>
          <w:lang w:val="en-US"/>
        </w:rPr>
        <w:t xml:space="preserve"> as the guiding ethical thread for Germany’s lawful future</w:t>
      </w:r>
      <w:r>
        <w:rPr>
          <w:rFonts w:ascii="Times New Roman" w:hAnsi="Times New Roman" w:cs="Times New Roman"/>
          <w:sz w:val="24"/>
          <w:szCs w:val="24"/>
          <w:lang w:val="en-US"/>
        </w:rPr>
        <w:t>.</w:t>
      </w:r>
      <w:r w:rsidR="00560FB8">
        <w:rPr>
          <w:rFonts w:ascii="Times New Roman" w:hAnsi="Times New Roman" w:cs="Times New Roman"/>
          <w:sz w:val="24"/>
          <w:szCs w:val="24"/>
          <w:lang w:val="en-US"/>
        </w:rPr>
        <w:t xml:space="preserve"> </w:t>
      </w:r>
      <w:r>
        <w:rPr>
          <w:rFonts w:ascii="Times New Roman" w:hAnsi="Times New Roman" w:cs="Times New Roman"/>
          <w:sz w:val="24"/>
          <w:szCs w:val="24"/>
          <w:lang w:val="en-US"/>
        </w:rPr>
        <w:t>Although s</w:t>
      </w:r>
      <w:r w:rsidR="00560FB8">
        <w:rPr>
          <w:rFonts w:ascii="Times New Roman" w:hAnsi="Times New Roman" w:cs="Times New Roman"/>
          <w:sz w:val="24"/>
          <w:szCs w:val="24"/>
          <w:lang w:val="en-US"/>
        </w:rPr>
        <w:t xml:space="preserve">ome were more cautious in stating it, attempting to submit such thrust to the caveats of rationalization, there is hardly any doubt what the struggle over the features of the semantic apparatus meant materially, structurally and methodologically. The question, therefore, was: should we have the Bible opened alongside – or even over – the Constitution as we interpret the latter? </w:t>
      </w:r>
      <w:r w:rsidR="00D423CE">
        <w:rPr>
          <w:rFonts w:ascii="Times New Roman" w:hAnsi="Times New Roman" w:cs="Times New Roman"/>
          <w:sz w:val="24"/>
          <w:szCs w:val="24"/>
          <w:lang w:val="en-US"/>
        </w:rPr>
        <w:t>D</w:t>
      </w:r>
      <w:r w:rsidR="00560FB8">
        <w:rPr>
          <w:rFonts w:ascii="Times New Roman" w:hAnsi="Times New Roman" w:cs="Times New Roman"/>
          <w:sz w:val="24"/>
          <w:szCs w:val="24"/>
          <w:lang w:val="en-US"/>
        </w:rPr>
        <w:t xml:space="preserve">epending on the circumstances, should we maintain the first open while actually closing the latter? </w:t>
      </w:r>
    </w:p>
    <w:p w14:paraId="17312DDC" w14:textId="2C6DE590" w:rsidR="00560FB8" w:rsidRDefault="00560FB8" w:rsidP="00560FB8">
      <w:pPr>
        <w:spacing w:after="0" w:line="360" w:lineRule="auto"/>
        <w:ind w:firstLine="113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To date, Birgit von Bülow has probably offered the most comprehensive account </w:t>
      </w:r>
      <w:r w:rsidR="00D423CE">
        <w:rPr>
          <w:rFonts w:ascii="Times New Roman" w:hAnsi="Times New Roman" w:cs="Times New Roman"/>
          <w:sz w:val="24"/>
          <w:szCs w:val="24"/>
          <w:lang w:val="en-US"/>
        </w:rPr>
        <w:t xml:space="preserve">of </w:t>
      </w:r>
      <w:r>
        <w:rPr>
          <w:rFonts w:ascii="Times New Roman" w:hAnsi="Times New Roman" w:cs="Times New Roman"/>
          <w:sz w:val="24"/>
          <w:szCs w:val="24"/>
          <w:lang w:val="en-US"/>
        </w:rPr>
        <w:t>this debate, notwithstanding the somewhat questionable choice to separate between “ethical and religious writings,” “State law contributions,” and “technical, doctrinal commentaries.”</w:t>
      </w:r>
      <w:r>
        <w:rPr>
          <w:rStyle w:val="FootnoteReference"/>
          <w:rFonts w:ascii="Times New Roman" w:hAnsi="Times New Roman" w:cs="Times New Roman"/>
          <w:sz w:val="24"/>
          <w:szCs w:val="24"/>
          <w:lang w:val="en-US"/>
        </w:rPr>
        <w:footnoteReference w:id="174"/>
      </w:r>
      <w:r>
        <w:rPr>
          <w:rFonts w:ascii="Times New Roman" w:hAnsi="Times New Roman" w:cs="Times New Roman"/>
          <w:sz w:val="24"/>
          <w:szCs w:val="24"/>
          <w:lang w:val="en-US"/>
        </w:rPr>
        <w:t xml:space="preserve"> </w:t>
      </w:r>
      <w:r w:rsidR="00E24D2D">
        <w:rPr>
          <w:rFonts w:ascii="Times New Roman" w:hAnsi="Times New Roman" w:cs="Times New Roman"/>
          <w:sz w:val="24"/>
          <w:szCs w:val="24"/>
          <w:lang w:val="en-US"/>
        </w:rPr>
        <w:t>W</w:t>
      </w:r>
      <w:r>
        <w:rPr>
          <w:rFonts w:ascii="Times New Roman" w:hAnsi="Times New Roman" w:cs="Times New Roman"/>
          <w:sz w:val="24"/>
          <w:szCs w:val="24"/>
          <w:lang w:val="en-US"/>
        </w:rPr>
        <w:t>hat Von Bülow paints as clear methodological frontiers are much close</w:t>
      </w:r>
      <w:r w:rsidR="00BF1B2C">
        <w:rPr>
          <w:rFonts w:ascii="Times New Roman" w:hAnsi="Times New Roman" w:cs="Times New Roman"/>
          <w:sz w:val="24"/>
          <w:szCs w:val="24"/>
          <w:lang w:val="en-US"/>
        </w:rPr>
        <w:t>r</w:t>
      </w:r>
      <w:r>
        <w:rPr>
          <w:rFonts w:ascii="Times New Roman" w:hAnsi="Times New Roman" w:cs="Times New Roman"/>
          <w:sz w:val="24"/>
          <w:szCs w:val="24"/>
          <w:lang w:val="en-US"/>
        </w:rPr>
        <w:t xml:space="preserve"> to fault lines, which not rarely became the subject of fierce dispute across publications, but also during the meetings of the </w:t>
      </w:r>
      <w:proofErr w:type="spellStart"/>
      <w:r w:rsidRPr="00E24D32">
        <w:rPr>
          <w:rFonts w:ascii="Times New Roman" w:hAnsi="Times New Roman" w:cs="Times New Roman"/>
          <w:i/>
          <w:iCs/>
          <w:sz w:val="24"/>
          <w:szCs w:val="24"/>
          <w:lang w:val="en-US"/>
        </w:rPr>
        <w:t>Vereinigung</w:t>
      </w:r>
      <w:proofErr w:type="spellEnd"/>
      <w:r w:rsidRPr="00E24D32">
        <w:rPr>
          <w:rFonts w:ascii="Times New Roman" w:hAnsi="Times New Roman" w:cs="Times New Roman"/>
          <w:i/>
          <w:iCs/>
          <w:sz w:val="24"/>
          <w:szCs w:val="24"/>
          <w:lang w:val="en-US"/>
        </w:rPr>
        <w:t xml:space="preserve"> der </w:t>
      </w:r>
      <w:proofErr w:type="spellStart"/>
      <w:r w:rsidRPr="00E24D32">
        <w:rPr>
          <w:rFonts w:ascii="Times New Roman" w:hAnsi="Times New Roman" w:cs="Times New Roman"/>
          <w:i/>
          <w:iCs/>
          <w:sz w:val="24"/>
          <w:szCs w:val="24"/>
          <w:lang w:val="en-US"/>
        </w:rPr>
        <w:t>Deutschen</w:t>
      </w:r>
      <w:proofErr w:type="spellEnd"/>
      <w:r w:rsidRPr="00E24D32">
        <w:rPr>
          <w:rFonts w:ascii="Times New Roman" w:hAnsi="Times New Roman" w:cs="Times New Roman"/>
          <w:i/>
          <w:iCs/>
          <w:sz w:val="24"/>
          <w:szCs w:val="24"/>
          <w:lang w:val="en-US"/>
        </w:rPr>
        <w:t xml:space="preserve"> </w:t>
      </w:r>
      <w:proofErr w:type="spellStart"/>
      <w:r w:rsidRPr="00E24D32">
        <w:rPr>
          <w:rFonts w:ascii="Times New Roman" w:hAnsi="Times New Roman" w:cs="Times New Roman"/>
          <w:i/>
          <w:iCs/>
          <w:sz w:val="24"/>
          <w:szCs w:val="24"/>
          <w:lang w:val="en-US"/>
        </w:rPr>
        <w:t>Staatsrechtslehrer</w:t>
      </w:r>
      <w:proofErr w:type="spellEnd"/>
      <w:r>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175"/>
      </w:r>
      <w:r>
        <w:rPr>
          <w:rFonts w:ascii="Times New Roman" w:hAnsi="Times New Roman" w:cs="Times New Roman"/>
          <w:sz w:val="24"/>
          <w:szCs w:val="24"/>
          <w:lang w:val="en-US"/>
        </w:rPr>
        <w:t xml:space="preserve"> That notwithstanding, Von Bülow </w:t>
      </w:r>
      <w:r w:rsidR="00B76188">
        <w:rPr>
          <w:rFonts w:ascii="Times New Roman" w:hAnsi="Times New Roman" w:cs="Times New Roman"/>
          <w:sz w:val="24"/>
          <w:szCs w:val="24"/>
          <w:lang w:val="en-US"/>
        </w:rPr>
        <w:t>distinguishes</w:t>
      </w:r>
      <w:r w:rsidR="00D423C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three main positions on this quandary. From 1945 to 1952, scholars ranged between the enthusiastic, “moral-theological” assertion of the validity of referring to and deploying “super-positive values, maxims, and rules” in the course of constitutional interpretation and </w:t>
      </w:r>
      <w:r>
        <w:rPr>
          <w:rFonts w:ascii="Times New Roman" w:hAnsi="Times New Roman" w:cs="Times New Roman"/>
          <w:sz w:val="24"/>
          <w:szCs w:val="24"/>
          <w:lang w:val="en-US"/>
        </w:rPr>
        <w:lastRenderedPageBreak/>
        <w:t>application,</w:t>
      </w:r>
      <w:r>
        <w:rPr>
          <w:rStyle w:val="FootnoteReference"/>
          <w:rFonts w:ascii="Times New Roman" w:hAnsi="Times New Roman" w:cs="Times New Roman"/>
          <w:sz w:val="24"/>
          <w:szCs w:val="24"/>
          <w:lang w:val="en-US"/>
        </w:rPr>
        <w:footnoteReference w:id="176"/>
      </w:r>
      <w:r>
        <w:rPr>
          <w:rFonts w:ascii="Times New Roman" w:hAnsi="Times New Roman" w:cs="Times New Roman"/>
          <w:sz w:val="24"/>
          <w:szCs w:val="24"/>
          <w:lang w:val="en-US"/>
        </w:rPr>
        <w:t xml:space="preserve"> and its complete, “positivistic” denial</w:t>
      </w:r>
      <w:r w:rsidR="00E0017A">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177"/>
      </w:r>
      <w:r>
        <w:rPr>
          <w:rFonts w:ascii="Times New Roman" w:hAnsi="Times New Roman" w:cs="Times New Roman"/>
          <w:sz w:val="24"/>
          <w:szCs w:val="24"/>
          <w:lang w:val="en-US"/>
        </w:rPr>
        <w:t xml:space="preserve"> </w:t>
      </w:r>
      <w:r w:rsidR="00E0017A">
        <w:rPr>
          <w:rFonts w:ascii="Times New Roman" w:hAnsi="Times New Roman" w:cs="Times New Roman"/>
          <w:sz w:val="24"/>
          <w:szCs w:val="24"/>
          <w:lang w:val="en-US"/>
        </w:rPr>
        <w:t>As</w:t>
      </w:r>
      <w:r>
        <w:rPr>
          <w:rFonts w:ascii="Times New Roman" w:hAnsi="Times New Roman" w:cs="Times New Roman"/>
          <w:sz w:val="24"/>
          <w:szCs w:val="24"/>
          <w:lang w:val="en-US"/>
        </w:rPr>
        <w:t xml:space="preserve"> a</w:t>
      </w:r>
      <w:r w:rsidR="00E0017A">
        <w:rPr>
          <w:rFonts w:ascii="Times New Roman" w:hAnsi="Times New Roman" w:cs="Times New Roman"/>
          <w:sz w:val="24"/>
          <w:szCs w:val="24"/>
          <w:lang w:val="en-US"/>
        </w:rPr>
        <w:t xml:space="preserve"> sort of</w:t>
      </w:r>
      <w:r>
        <w:rPr>
          <w:rFonts w:ascii="Times New Roman" w:hAnsi="Times New Roman" w:cs="Times New Roman"/>
          <w:sz w:val="24"/>
          <w:szCs w:val="24"/>
          <w:lang w:val="en-US"/>
        </w:rPr>
        <w:t xml:space="preserve"> middle ground</w:t>
      </w:r>
      <w:r w:rsidR="00E0017A">
        <w:rPr>
          <w:rFonts w:ascii="Times New Roman" w:hAnsi="Times New Roman" w:cs="Times New Roman"/>
          <w:sz w:val="24"/>
          <w:szCs w:val="24"/>
          <w:lang w:val="en-US"/>
        </w:rPr>
        <w:t>, one would have</w:t>
      </w:r>
      <w:r>
        <w:rPr>
          <w:rFonts w:ascii="Times New Roman" w:hAnsi="Times New Roman" w:cs="Times New Roman"/>
          <w:sz w:val="24"/>
          <w:szCs w:val="24"/>
          <w:lang w:val="en-US"/>
        </w:rPr>
        <w:t xml:space="preserve"> the stance which entertained the restrained appeal to a “super-positive order,” insofar as it has been more or less incorporated by the </w:t>
      </w:r>
      <w:proofErr w:type="spellStart"/>
      <w:r w:rsidRPr="006470A7">
        <w:rPr>
          <w:rFonts w:ascii="Times New Roman" w:hAnsi="Times New Roman" w:cs="Times New Roman"/>
          <w:i/>
          <w:iCs/>
          <w:sz w:val="24"/>
          <w:szCs w:val="24"/>
          <w:lang w:val="en-US"/>
        </w:rPr>
        <w:t>Grundgesetz</w:t>
      </w:r>
      <w:proofErr w:type="spellEnd"/>
      <w:r>
        <w:rPr>
          <w:rFonts w:ascii="Times New Roman" w:hAnsi="Times New Roman" w:cs="Times New Roman"/>
          <w:sz w:val="24"/>
          <w:szCs w:val="24"/>
          <w:lang w:val="en-US"/>
        </w:rPr>
        <w:t>, especially by dint of its preamble and Article 1.</w:t>
      </w:r>
      <w:r>
        <w:rPr>
          <w:rStyle w:val="FootnoteReference"/>
          <w:rFonts w:ascii="Times New Roman" w:hAnsi="Times New Roman" w:cs="Times New Roman"/>
          <w:sz w:val="24"/>
          <w:szCs w:val="24"/>
          <w:lang w:val="en-US"/>
        </w:rPr>
        <w:footnoteReference w:id="178"/>
      </w:r>
      <w:r>
        <w:rPr>
          <w:rFonts w:ascii="Times New Roman" w:hAnsi="Times New Roman" w:cs="Times New Roman"/>
          <w:sz w:val="24"/>
          <w:szCs w:val="24"/>
          <w:lang w:val="en-US"/>
        </w:rPr>
        <w:t xml:space="preserve"> Some of the most preeminent problems of the day were in one way or another touched upon within the gravitational field of this struggle </w:t>
      </w:r>
      <w:r w:rsidR="009169A7">
        <w:rPr>
          <w:rFonts w:ascii="Times New Roman" w:hAnsi="Times New Roman" w:cs="Times New Roman"/>
          <w:sz w:val="24"/>
          <w:szCs w:val="24"/>
          <w:lang w:val="en-US"/>
        </w:rPr>
        <w:t>over constitutional doctrine</w:t>
      </w:r>
      <w:r>
        <w:rPr>
          <w:rFonts w:ascii="Times New Roman" w:hAnsi="Times New Roman" w:cs="Times New Roman"/>
          <w:sz w:val="24"/>
          <w:szCs w:val="24"/>
          <w:lang w:val="en-US"/>
        </w:rPr>
        <w:t xml:space="preserve">. Illustratively, as constitutional scholars clashed over the existence, content, and valence of an “unwritten Constitution” underlying and fulfilling the written one, </w:t>
      </w:r>
      <w:r w:rsidR="00E0017A">
        <w:rPr>
          <w:rFonts w:ascii="Times New Roman" w:hAnsi="Times New Roman" w:cs="Times New Roman"/>
          <w:sz w:val="24"/>
          <w:szCs w:val="24"/>
          <w:lang w:val="en-US"/>
        </w:rPr>
        <w:t>the order of the day went from</w:t>
      </w:r>
      <w:r>
        <w:rPr>
          <w:rFonts w:ascii="Times New Roman" w:hAnsi="Times New Roman" w:cs="Times New Roman"/>
          <w:sz w:val="24"/>
          <w:szCs w:val="24"/>
          <w:lang w:val="en-US"/>
        </w:rPr>
        <w:t xml:space="preserve"> the ambiguous status regarding the sovereignt</w:t>
      </w:r>
      <w:r w:rsidR="00E0017A">
        <w:rPr>
          <w:rFonts w:ascii="Times New Roman" w:hAnsi="Times New Roman" w:cs="Times New Roman"/>
          <w:sz w:val="24"/>
          <w:szCs w:val="24"/>
          <w:lang w:val="en-US"/>
        </w:rPr>
        <w:t>y of</w:t>
      </w:r>
      <w:r>
        <w:rPr>
          <w:rFonts w:ascii="Times New Roman" w:hAnsi="Times New Roman" w:cs="Times New Roman"/>
          <w:sz w:val="24"/>
          <w:szCs w:val="24"/>
          <w:lang w:val="en-US"/>
        </w:rPr>
        <w:t xml:space="preserve"> and popular participation </w:t>
      </w:r>
      <w:r w:rsidR="00E0017A">
        <w:rPr>
          <w:rFonts w:ascii="Times New Roman" w:hAnsi="Times New Roman" w:cs="Times New Roman"/>
          <w:sz w:val="24"/>
          <w:szCs w:val="24"/>
          <w:lang w:val="en-US"/>
        </w:rPr>
        <w:t>in the</w:t>
      </w:r>
      <w:r>
        <w:rPr>
          <w:rFonts w:ascii="Times New Roman" w:hAnsi="Times New Roman" w:cs="Times New Roman"/>
          <w:sz w:val="24"/>
          <w:szCs w:val="24"/>
          <w:lang w:val="en-US"/>
        </w:rPr>
        <w:t xml:space="preserve"> constitution-making process to the reasons for the failure of the Weimar constitution, alongside what should be the task of </w:t>
      </w:r>
      <w:proofErr w:type="spellStart"/>
      <w:r w:rsidRPr="00263CC7">
        <w:rPr>
          <w:rFonts w:ascii="Times New Roman" w:hAnsi="Times New Roman" w:cs="Times New Roman"/>
          <w:i/>
          <w:iCs/>
          <w:sz w:val="24"/>
          <w:szCs w:val="24"/>
          <w:lang w:val="en-US"/>
        </w:rPr>
        <w:t>Staatsrecht</w:t>
      </w:r>
      <w:proofErr w:type="spellEnd"/>
      <w:r>
        <w:rPr>
          <w:rFonts w:ascii="Times New Roman" w:hAnsi="Times New Roman" w:cs="Times New Roman"/>
          <w:sz w:val="24"/>
          <w:szCs w:val="24"/>
          <w:lang w:val="en-US"/>
        </w:rPr>
        <w:t>, and even the issue of German’s remilitarization.</w:t>
      </w:r>
    </w:p>
    <w:p w14:paraId="54B9139B" w14:textId="66498A76" w:rsidR="00560FB8" w:rsidRDefault="00560FB8" w:rsidP="00560FB8">
      <w:pPr>
        <w:spacing w:after="0" w:line="360" w:lineRule="auto"/>
        <w:ind w:firstLine="113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hindsight, the tradition of commentary regarding both normative texts and much of the </w:t>
      </w:r>
      <w:proofErr w:type="spellStart"/>
      <w:r w:rsidRPr="004F1CE6">
        <w:rPr>
          <w:rFonts w:ascii="Times New Roman" w:hAnsi="Times New Roman" w:cs="Times New Roman"/>
          <w:i/>
          <w:sz w:val="24"/>
          <w:szCs w:val="24"/>
          <w:lang w:val="en-US"/>
        </w:rPr>
        <w:t>Bundesverfassungsgericht</w:t>
      </w:r>
      <w:r>
        <w:rPr>
          <w:rFonts w:ascii="Times New Roman" w:hAnsi="Times New Roman" w:cs="Times New Roman"/>
          <w:sz w:val="24"/>
          <w:szCs w:val="24"/>
          <w:lang w:val="en-US"/>
        </w:rPr>
        <w:t>’s</w:t>
      </w:r>
      <w:proofErr w:type="spellEnd"/>
      <w:r>
        <w:rPr>
          <w:rFonts w:ascii="Times New Roman" w:hAnsi="Times New Roman" w:cs="Times New Roman"/>
          <w:sz w:val="24"/>
          <w:szCs w:val="24"/>
          <w:lang w:val="en-US"/>
        </w:rPr>
        <w:t xml:space="preserve"> early decisions</w:t>
      </w:r>
      <w:r>
        <w:rPr>
          <w:rStyle w:val="FootnoteReference"/>
          <w:rFonts w:ascii="Times New Roman" w:hAnsi="Times New Roman" w:cs="Times New Roman"/>
          <w:sz w:val="24"/>
          <w:szCs w:val="24"/>
          <w:lang w:val="en-US"/>
        </w:rPr>
        <w:footnoteReference w:id="179"/>
      </w:r>
      <w:r>
        <w:rPr>
          <w:rFonts w:ascii="Times New Roman" w:hAnsi="Times New Roman" w:cs="Times New Roman"/>
          <w:sz w:val="24"/>
          <w:szCs w:val="24"/>
          <w:lang w:val="en-US"/>
        </w:rPr>
        <w:t xml:space="preserve"> give little room for doubt over which position prevailed. As the compromise between the two extremes was settled, rather peculiar methodological requirements </w:t>
      </w:r>
      <w:r w:rsidR="00B76188">
        <w:rPr>
          <w:rFonts w:ascii="Times New Roman" w:hAnsi="Times New Roman" w:cs="Times New Roman"/>
          <w:sz w:val="24"/>
          <w:szCs w:val="24"/>
          <w:lang w:val="en-US"/>
        </w:rPr>
        <w:t>came to the fore</w:t>
      </w:r>
      <w:r>
        <w:rPr>
          <w:rFonts w:ascii="Times New Roman" w:hAnsi="Times New Roman" w:cs="Times New Roman"/>
          <w:sz w:val="24"/>
          <w:szCs w:val="24"/>
          <w:lang w:val="en-US"/>
        </w:rPr>
        <w:t xml:space="preserve">. One reads in the preamble of the 1949 </w:t>
      </w:r>
      <w:proofErr w:type="spellStart"/>
      <w:r w:rsidRPr="00E93CDE">
        <w:rPr>
          <w:rFonts w:ascii="Times New Roman" w:hAnsi="Times New Roman" w:cs="Times New Roman"/>
          <w:i/>
          <w:iCs/>
          <w:sz w:val="24"/>
          <w:szCs w:val="24"/>
          <w:lang w:val="en-US"/>
        </w:rPr>
        <w:t>Grundgesetz</w:t>
      </w:r>
      <w:proofErr w:type="spellEnd"/>
      <w:r>
        <w:rPr>
          <w:rFonts w:ascii="Times New Roman" w:hAnsi="Times New Roman" w:cs="Times New Roman"/>
          <w:sz w:val="24"/>
          <w:szCs w:val="24"/>
          <w:lang w:val="en-US"/>
        </w:rPr>
        <w:t xml:space="preserve">, “the German people” exercised its </w:t>
      </w:r>
      <w:proofErr w:type="spellStart"/>
      <w:r w:rsidRPr="00E93CDE">
        <w:rPr>
          <w:rFonts w:ascii="Times New Roman" w:hAnsi="Times New Roman" w:cs="Times New Roman"/>
          <w:i/>
          <w:iCs/>
          <w:sz w:val="24"/>
          <w:szCs w:val="24"/>
          <w:lang w:val="en-US"/>
        </w:rPr>
        <w:t>verfassungsgebenden</w:t>
      </w:r>
      <w:proofErr w:type="spellEnd"/>
      <w:r w:rsidRPr="00E93CDE">
        <w:rPr>
          <w:rFonts w:ascii="Times New Roman" w:hAnsi="Times New Roman" w:cs="Times New Roman"/>
          <w:i/>
          <w:iCs/>
          <w:sz w:val="24"/>
          <w:szCs w:val="24"/>
          <w:lang w:val="en-US"/>
        </w:rPr>
        <w:t xml:space="preserve"> </w:t>
      </w:r>
      <w:proofErr w:type="spellStart"/>
      <w:r w:rsidRPr="00E93CDE">
        <w:rPr>
          <w:rFonts w:ascii="Times New Roman" w:hAnsi="Times New Roman" w:cs="Times New Roman"/>
          <w:i/>
          <w:iCs/>
          <w:sz w:val="24"/>
          <w:szCs w:val="24"/>
          <w:lang w:val="en-US"/>
        </w:rPr>
        <w:t>Gewalt</w:t>
      </w:r>
      <w:proofErr w:type="spellEnd"/>
      <w:r>
        <w:rPr>
          <w:rFonts w:ascii="Times New Roman" w:hAnsi="Times New Roman" w:cs="Times New Roman"/>
          <w:sz w:val="24"/>
          <w:szCs w:val="24"/>
          <w:lang w:val="en-US"/>
        </w:rPr>
        <w:t xml:space="preserve"> (its constitution-giv</w:t>
      </w:r>
      <w:r w:rsidR="009169A7">
        <w:rPr>
          <w:rFonts w:ascii="Times New Roman" w:hAnsi="Times New Roman" w:cs="Times New Roman"/>
          <w:sz w:val="24"/>
          <w:szCs w:val="24"/>
          <w:lang w:val="en-US"/>
        </w:rPr>
        <w:t>ing</w:t>
      </w:r>
      <w:r>
        <w:rPr>
          <w:rFonts w:ascii="Times New Roman" w:hAnsi="Times New Roman" w:cs="Times New Roman"/>
          <w:sz w:val="24"/>
          <w:szCs w:val="24"/>
          <w:lang w:val="en-US"/>
        </w:rPr>
        <w:t xml:space="preserve"> power) “in conscience of </w:t>
      </w:r>
      <w:r w:rsidR="00D423CE">
        <w:rPr>
          <w:rFonts w:ascii="Times New Roman" w:hAnsi="Times New Roman" w:cs="Times New Roman"/>
          <w:sz w:val="24"/>
          <w:szCs w:val="24"/>
          <w:lang w:val="en-US"/>
        </w:rPr>
        <w:t xml:space="preserve">their </w:t>
      </w:r>
      <w:r>
        <w:rPr>
          <w:rFonts w:ascii="Times New Roman" w:hAnsi="Times New Roman" w:cs="Times New Roman"/>
          <w:sz w:val="24"/>
          <w:szCs w:val="24"/>
          <w:lang w:val="en-US"/>
        </w:rPr>
        <w:t>responsibility before God and humanity.”</w:t>
      </w:r>
      <w:r>
        <w:rPr>
          <w:rStyle w:val="FootnoteReference"/>
          <w:rFonts w:ascii="Times New Roman" w:hAnsi="Times New Roman" w:cs="Times New Roman"/>
          <w:sz w:val="24"/>
          <w:szCs w:val="24"/>
          <w:lang w:val="en-US"/>
        </w:rPr>
        <w:footnoteReference w:id="180"/>
      </w:r>
      <w:r>
        <w:rPr>
          <w:rFonts w:ascii="Times New Roman" w:hAnsi="Times New Roman" w:cs="Times New Roman"/>
          <w:sz w:val="24"/>
          <w:szCs w:val="24"/>
          <w:lang w:val="en-US"/>
        </w:rPr>
        <w:t xml:space="preserve"> Consider the words of E.-W. </w:t>
      </w:r>
      <w:proofErr w:type="spellStart"/>
      <w:r>
        <w:rPr>
          <w:rFonts w:ascii="Times New Roman" w:hAnsi="Times New Roman" w:cs="Times New Roman"/>
          <w:sz w:val="24"/>
          <w:szCs w:val="24"/>
          <w:lang w:val="en-US"/>
        </w:rPr>
        <w:t>Böckenförde</w:t>
      </w:r>
      <w:proofErr w:type="spellEnd"/>
      <w:r>
        <w:rPr>
          <w:rFonts w:ascii="Times New Roman" w:hAnsi="Times New Roman" w:cs="Times New Roman"/>
          <w:sz w:val="24"/>
          <w:szCs w:val="24"/>
          <w:lang w:val="en-US"/>
        </w:rPr>
        <w:t xml:space="preserve">, one worldwide famous constitutional scholar and former constitutional judge. Beyond the debate on the legal force of the preamble, as its writing suggests, the fact that the people are responsible before God </w:t>
      </w:r>
      <w:proofErr w:type="gramStart"/>
      <w:r>
        <w:rPr>
          <w:rFonts w:ascii="Times New Roman" w:hAnsi="Times New Roman" w:cs="Times New Roman"/>
          <w:sz w:val="24"/>
          <w:szCs w:val="24"/>
          <w:lang w:val="en-US"/>
        </w:rPr>
        <w:t>entails</w:t>
      </w:r>
      <w:proofErr w:type="gramEnd"/>
      <w:r>
        <w:rPr>
          <w:rFonts w:ascii="Times New Roman" w:hAnsi="Times New Roman" w:cs="Times New Roman"/>
          <w:sz w:val="24"/>
          <w:szCs w:val="24"/>
          <w:lang w:val="en-US"/>
        </w:rPr>
        <w:t xml:space="preserve"> </w:t>
      </w:r>
      <w:r w:rsidR="009169A7">
        <w:rPr>
          <w:rFonts w:ascii="Times New Roman" w:hAnsi="Times New Roman" w:cs="Times New Roman"/>
          <w:sz w:val="24"/>
          <w:szCs w:val="24"/>
          <w:lang w:val="en-US"/>
        </w:rPr>
        <w:t>they</w:t>
      </w:r>
      <w:r>
        <w:rPr>
          <w:rFonts w:ascii="Times New Roman" w:hAnsi="Times New Roman" w:cs="Times New Roman"/>
          <w:sz w:val="24"/>
          <w:szCs w:val="24"/>
          <w:lang w:val="en-US"/>
        </w:rPr>
        <w:t xml:space="preserve"> can minister </w:t>
      </w:r>
      <w:r w:rsidR="009169A7">
        <w:rPr>
          <w:rFonts w:ascii="Times New Roman" w:hAnsi="Times New Roman" w:cs="Times New Roman"/>
          <w:sz w:val="24"/>
          <w:szCs w:val="24"/>
          <w:lang w:val="en-US"/>
        </w:rPr>
        <w:t xml:space="preserve">their </w:t>
      </w:r>
      <w:r>
        <w:rPr>
          <w:rFonts w:ascii="Times New Roman" w:hAnsi="Times New Roman" w:cs="Times New Roman"/>
          <w:sz w:val="24"/>
          <w:szCs w:val="24"/>
          <w:lang w:val="en-US"/>
        </w:rPr>
        <w:t xml:space="preserve">power of decision in one way or another. Hence, “[G]od’s will as the highest law has not </w:t>
      </w:r>
      <w:r w:rsidR="009169A7">
        <w:rPr>
          <w:rFonts w:ascii="Times New Roman" w:hAnsi="Times New Roman" w:cs="Times New Roman"/>
          <w:sz w:val="24"/>
          <w:szCs w:val="24"/>
          <w:lang w:val="en-US"/>
        </w:rPr>
        <w:t>in</w:t>
      </w:r>
      <w:r>
        <w:rPr>
          <w:rFonts w:ascii="Times New Roman" w:hAnsi="Times New Roman" w:cs="Times New Roman"/>
          <w:sz w:val="24"/>
          <w:szCs w:val="24"/>
          <w:lang w:val="en-US"/>
        </w:rPr>
        <w:t xml:space="preserve"> itself political or legal validity, but only when and as long as the people make the will of God also content of </w:t>
      </w:r>
      <w:r w:rsidR="009169A7">
        <w:rPr>
          <w:rFonts w:ascii="Times New Roman" w:hAnsi="Times New Roman" w:cs="Times New Roman"/>
          <w:sz w:val="24"/>
          <w:szCs w:val="24"/>
          <w:lang w:val="en-US"/>
        </w:rPr>
        <w:t xml:space="preserve">their </w:t>
      </w:r>
      <w:r>
        <w:rPr>
          <w:rFonts w:ascii="Times New Roman" w:hAnsi="Times New Roman" w:cs="Times New Roman"/>
          <w:sz w:val="24"/>
          <w:szCs w:val="24"/>
          <w:lang w:val="en-US"/>
        </w:rPr>
        <w:t>will.”</w:t>
      </w:r>
      <w:r>
        <w:rPr>
          <w:rStyle w:val="FootnoteReference"/>
          <w:rFonts w:ascii="Times New Roman" w:hAnsi="Times New Roman" w:cs="Times New Roman"/>
          <w:sz w:val="24"/>
          <w:szCs w:val="24"/>
          <w:lang w:val="en-US"/>
        </w:rPr>
        <w:footnoteReference w:id="181"/>
      </w:r>
      <w:r>
        <w:rPr>
          <w:rFonts w:ascii="Times New Roman" w:hAnsi="Times New Roman" w:cs="Times New Roman"/>
          <w:sz w:val="24"/>
          <w:szCs w:val="24"/>
          <w:lang w:val="en-US"/>
        </w:rPr>
        <w:t xml:space="preserve"> Undoubtfully, the issue as such and the phrasing of its solution may sound as strange and unproper to </w:t>
      </w:r>
      <w:r>
        <w:rPr>
          <w:rFonts w:ascii="Times New Roman" w:hAnsi="Times New Roman" w:cs="Times New Roman"/>
          <w:sz w:val="24"/>
          <w:szCs w:val="24"/>
          <w:lang w:val="en-US"/>
        </w:rPr>
        <w:lastRenderedPageBreak/>
        <w:t xml:space="preserve">foreign ears. Interestingly, that it is a matter of hearing, and not reading, is something emphasized by Paul </w:t>
      </w:r>
      <w:proofErr w:type="spellStart"/>
      <w:r>
        <w:rPr>
          <w:rFonts w:ascii="Times New Roman" w:hAnsi="Times New Roman" w:cs="Times New Roman"/>
          <w:sz w:val="24"/>
          <w:szCs w:val="24"/>
          <w:lang w:val="en-US"/>
        </w:rPr>
        <w:t>Kirchhof</w:t>
      </w:r>
      <w:proofErr w:type="spellEnd"/>
      <w:r>
        <w:rPr>
          <w:rFonts w:ascii="Times New Roman" w:hAnsi="Times New Roman" w:cs="Times New Roman"/>
          <w:sz w:val="24"/>
          <w:szCs w:val="24"/>
          <w:lang w:val="en-US"/>
        </w:rPr>
        <w:t>: “The presuppositions of the Constitution [</w:t>
      </w:r>
      <w:proofErr w:type="spellStart"/>
      <w:r w:rsidRPr="00703B54">
        <w:rPr>
          <w:rFonts w:ascii="Times New Roman" w:hAnsi="Times New Roman" w:cs="Times New Roman"/>
          <w:i/>
          <w:iCs/>
          <w:sz w:val="24"/>
          <w:szCs w:val="24"/>
          <w:lang w:val="en-US"/>
        </w:rPr>
        <w:t>Verfassungsvoraussetzungen</w:t>
      </w:r>
      <w:proofErr w:type="spellEnd"/>
      <w:r>
        <w:rPr>
          <w:rFonts w:ascii="Times New Roman" w:hAnsi="Times New Roman" w:cs="Times New Roman"/>
          <w:sz w:val="24"/>
          <w:szCs w:val="24"/>
          <w:lang w:val="en-US"/>
        </w:rPr>
        <w:t>] are not printed in the constitutional document, but they are addressed [</w:t>
      </w:r>
      <w:proofErr w:type="spellStart"/>
      <w:r w:rsidRPr="00703B54">
        <w:rPr>
          <w:rFonts w:ascii="Times New Roman" w:hAnsi="Times New Roman" w:cs="Times New Roman"/>
          <w:i/>
          <w:iCs/>
          <w:sz w:val="24"/>
          <w:szCs w:val="24"/>
          <w:lang w:val="en-US"/>
        </w:rPr>
        <w:t>angesprochen</w:t>
      </w:r>
      <w:proofErr w:type="spellEnd"/>
      <w:r>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182"/>
      </w:r>
    </w:p>
    <w:p w14:paraId="5B321479" w14:textId="7AB2DB85" w:rsidR="00560FB8" w:rsidRDefault="00560FB8" w:rsidP="00560FB8">
      <w:pPr>
        <w:spacing w:after="0" w:line="360" w:lineRule="auto"/>
        <w:ind w:firstLine="113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Underscoring the role played by such </w:t>
      </w:r>
      <w:r w:rsidR="009169A7">
        <w:rPr>
          <w:rFonts w:ascii="Times New Roman" w:hAnsi="Times New Roman" w:cs="Times New Roman"/>
          <w:sz w:val="24"/>
          <w:szCs w:val="24"/>
          <w:lang w:val="en-US"/>
        </w:rPr>
        <w:t xml:space="preserve">constitutional </w:t>
      </w:r>
      <w:r>
        <w:rPr>
          <w:rFonts w:ascii="Times New Roman" w:hAnsi="Times New Roman" w:cs="Times New Roman"/>
          <w:sz w:val="24"/>
          <w:szCs w:val="24"/>
          <w:lang w:val="en-US"/>
        </w:rPr>
        <w:t xml:space="preserve">presuppositions, while also facing the methodological problem of where to find and how to work with them, is something rather common in authoritative literature on </w:t>
      </w:r>
      <w:proofErr w:type="spellStart"/>
      <w:r w:rsidRPr="00231B14">
        <w:rPr>
          <w:rFonts w:ascii="Times New Roman" w:hAnsi="Times New Roman" w:cs="Times New Roman"/>
          <w:i/>
          <w:iCs/>
          <w:sz w:val="24"/>
          <w:szCs w:val="24"/>
          <w:lang w:val="en-US"/>
        </w:rPr>
        <w:t>Staatsrecht</w:t>
      </w:r>
      <w:proofErr w:type="spellEnd"/>
      <w:r>
        <w:rPr>
          <w:rFonts w:ascii="Times New Roman" w:hAnsi="Times New Roman" w:cs="Times New Roman"/>
          <w:sz w:val="24"/>
          <w:szCs w:val="24"/>
          <w:lang w:val="en-US"/>
        </w:rPr>
        <w:t xml:space="preserve">. Quite often, this common place makes room for the rhetoric of </w:t>
      </w:r>
      <w:proofErr w:type="spellStart"/>
      <w:r>
        <w:rPr>
          <w:rFonts w:ascii="Times New Roman" w:hAnsi="Times New Roman" w:cs="Times New Roman"/>
          <w:sz w:val="24"/>
          <w:szCs w:val="24"/>
          <w:lang w:val="en-US"/>
        </w:rPr>
        <w:t>worldification</w:t>
      </w:r>
      <w:proofErr w:type="spellEnd"/>
      <w:r>
        <w:rPr>
          <w:rFonts w:ascii="Times New Roman" w:hAnsi="Times New Roman" w:cs="Times New Roman"/>
          <w:sz w:val="24"/>
          <w:szCs w:val="24"/>
          <w:lang w:val="en-US"/>
        </w:rPr>
        <w:t>. The surmount of interpreting the Basic Law would demand something akin to the doctrine of faith, in the sense pleaded by Luther concerning biblical exegesis</w:t>
      </w:r>
      <w:r w:rsidR="009169A7">
        <w:rPr>
          <w:rFonts w:ascii="Times New Roman" w:hAnsi="Times New Roman" w:cs="Times New Roman"/>
          <w:sz w:val="24"/>
          <w:szCs w:val="24"/>
          <w:lang w:val="en-US"/>
        </w:rPr>
        <w:t>, according to Klaus Stern.</w:t>
      </w:r>
      <w:r>
        <w:rPr>
          <w:rStyle w:val="FootnoteReference"/>
          <w:rFonts w:ascii="Times New Roman" w:hAnsi="Times New Roman" w:cs="Times New Roman"/>
          <w:sz w:val="24"/>
          <w:szCs w:val="24"/>
          <w:lang w:val="en-US"/>
        </w:rPr>
        <w:footnoteReference w:id="183"/>
      </w:r>
      <w:r>
        <w:rPr>
          <w:rFonts w:ascii="Times New Roman" w:hAnsi="Times New Roman" w:cs="Times New Roman"/>
          <w:sz w:val="24"/>
          <w:szCs w:val="24"/>
          <w:lang w:val="en-US"/>
        </w:rPr>
        <w:t xml:space="preserve"> </w:t>
      </w:r>
      <w:r w:rsidR="009169A7">
        <w:rPr>
          <w:rFonts w:ascii="Times New Roman" w:hAnsi="Times New Roman" w:cs="Times New Roman"/>
          <w:sz w:val="24"/>
          <w:szCs w:val="24"/>
          <w:lang w:val="en-US"/>
        </w:rPr>
        <w:t>In the words of the equally famous Konrad Hesse,</w:t>
      </w:r>
      <w:r>
        <w:rPr>
          <w:rFonts w:ascii="Times New Roman" w:hAnsi="Times New Roman" w:cs="Times New Roman"/>
          <w:sz w:val="24"/>
          <w:szCs w:val="24"/>
          <w:lang w:val="en-US"/>
        </w:rPr>
        <w:t xml:space="preserve"> </w:t>
      </w:r>
      <w:r w:rsidR="009169A7">
        <w:rPr>
          <w:rFonts w:ascii="Times New Roman" w:hAnsi="Times New Roman" w:cs="Times New Roman"/>
          <w:sz w:val="24"/>
          <w:szCs w:val="24"/>
          <w:lang w:val="en-US"/>
        </w:rPr>
        <w:t>i</w:t>
      </w:r>
      <w:r>
        <w:rPr>
          <w:rFonts w:ascii="Times New Roman" w:hAnsi="Times New Roman" w:cs="Times New Roman"/>
          <w:sz w:val="24"/>
          <w:szCs w:val="24"/>
          <w:lang w:val="en-US"/>
        </w:rPr>
        <w:t>n one much celebrated and discussed contribution, and in admittedly more secular terms, there is a need for willing the Constitution, subtending its normative power.</w:t>
      </w:r>
      <w:r>
        <w:rPr>
          <w:rStyle w:val="FootnoteReference"/>
          <w:rFonts w:ascii="Times New Roman" w:hAnsi="Times New Roman" w:cs="Times New Roman"/>
          <w:sz w:val="24"/>
          <w:szCs w:val="24"/>
          <w:lang w:val="en-US"/>
        </w:rPr>
        <w:footnoteReference w:id="184"/>
      </w:r>
      <w:r>
        <w:rPr>
          <w:rFonts w:ascii="Times New Roman" w:hAnsi="Times New Roman" w:cs="Times New Roman"/>
          <w:sz w:val="24"/>
          <w:szCs w:val="24"/>
          <w:lang w:val="en-US"/>
        </w:rPr>
        <w:t xml:space="preserve"> Occasionally referring to the parliamentary debates over the drafting of the </w:t>
      </w:r>
      <w:proofErr w:type="spellStart"/>
      <w:r w:rsidRPr="003C7672">
        <w:rPr>
          <w:rFonts w:ascii="Times New Roman" w:hAnsi="Times New Roman" w:cs="Times New Roman"/>
          <w:i/>
          <w:iCs/>
          <w:sz w:val="24"/>
          <w:szCs w:val="24"/>
          <w:lang w:val="en-US"/>
        </w:rPr>
        <w:t>Grundgesetz</w:t>
      </w:r>
      <w:proofErr w:type="spellEnd"/>
      <w:r>
        <w:rPr>
          <w:rFonts w:ascii="Times New Roman" w:hAnsi="Times New Roman" w:cs="Times New Roman"/>
          <w:sz w:val="24"/>
          <w:szCs w:val="24"/>
          <w:lang w:val="en-US"/>
        </w:rPr>
        <w:t>, even</w:t>
      </w:r>
      <w:r w:rsidR="009169A7">
        <w:rPr>
          <w:rFonts w:ascii="Times New Roman" w:hAnsi="Times New Roman" w:cs="Times New Roman"/>
          <w:sz w:val="24"/>
          <w:szCs w:val="24"/>
          <w:lang w:val="en-US"/>
        </w:rPr>
        <w:t xml:space="preserve"> contemporary</w:t>
      </w:r>
      <w:r>
        <w:rPr>
          <w:rFonts w:ascii="Times New Roman" w:hAnsi="Times New Roman" w:cs="Times New Roman"/>
          <w:sz w:val="24"/>
          <w:szCs w:val="24"/>
          <w:lang w:val="en-US"/>
        </w:rPr>
        <w:t xml:space="preserve"> doctrinal commentary </w:t>
      </w:r>
      <w:r w:rsidR="00B76188">
        <w:rPr>
          <w:rFonts w:ascii="Times New Roman" w:hAnsi="Times New Roman" w:cs="Times New Roman"/>
          <w:sz w:val="24"/>
          <w:szCs w:val="24"/>
          <w:lang w:val="en-US"/>
        </w:rPr>
        <w:t>highlight</w:t>
      </w:r>
      <w:r>
        <w:rPr>
          <w:rFonts w:ascii="Times New Roman" w:hAnsi="Times New Roman" w:cs="Times New Roman"/>
          <w:sz w:val="24"/>
          <w:szCs w:val="24"/>
          <w:lang w:val="en-US"/>
        </w:rPr>
        <w:t xml:space="preserve"> how the representatives understood the document’s fundamental rights’ articles as declaring, instead of constituting something, in reference to </w:t>
      </w:r>
      <w:proofErr w:type="spellStart"/>
      <w:r w:rsidRPr="0048405D">
        <w:rPr>
          <w:rFonts w:ascii="Times New Roman" w:hAnsi="Times New Roman" w:cs="Times New Roman"/>
          <w:i/>
          <w:iCs/>
          <w:sz w:val="24"/>
          <w:szCs w:val="24"/>
          <w:lang w:val="en-US"/>
        </w:rPr>
        <w:t>überpositiver</w:t>
      </w:r>
      <w:proofErr w:type="spellEnd"/>
      <w:r>
        <w:rPr>
          <w:rFonts w:ascii="Times New Roman" w:hAnsi="Times New Roman" w:cs="Times New Roman"/>
          <w:sz w:val="24"/>
          <w:szCs w:val="24"/>
          <w:lang w:val="en-US"/>
        </w:rPr>
        <w:t xml:space="preserve"> principles. </w:t>
      </w:r>
      <w:r w:rsidR="009169A7">
        <w:rPr>
          <w:rFonts w:ascii="Times New Roman" w:hAnsi="Times New Roman" w:cs="Times New Roman"/>
          <w:sz w:val="24"/>
          <w:szCs w:val="24"/>
          <w:lang w:val="en-US"/>
        </w:rPr>
        <w:t xml:space="preserve">As one opens the authoritative </w:t>
      </w:r>
      <w:proofErr w:type="spellStart"/>
      <w:r w:rsidR="009169A7" w:rsidRPr="004F1CE6">
        <w:rPr>
          <w:rFonts w:ascii="Times New Roman" w:hAnsi="Times New Roman" w:cs="Times New Roman"/>
          <w:i/>
          <w:sz w:val="24"/>
          <w:szCs w:val="24"/>
          <w:lang w:val="en-US"/>
        </w:rPr>
        <w:t>Maunz</w:t>
      </w:r>
      <w:proofErr w:type="spellEnd"/>
      <w:r w:rsidR="009169A7" w:rsidRPr="004F1CE6">
        <w:rPr>
          <w:rFonts w:ascii="Times New Roman" w:hAnsi="Times New Roman" w:cs="Times New Roman"/>
          <w:i/>
          <w:sz w:val="24"/>
          <w:szCs w:val="24"/>
          <w:lang w:val="en-US"/>
        </w:rPr>
        <w:t>/</w:t>
      </w:r>
      <w:proofErr w:type="spellStart"/>
      <w:r w:rsidR="009169A7" w:rsidRPr="004F1CE6">
        <w:rPr>
          <w:rFonts w:ascii="Times New Roman" w:hAnsi="Times New Roman" w:cs="Times New Roman"/>
          <w:i/>
          <w:sz w:val="24"/>
          <w:szCs w:val="24"/>
          <w:lang w:val="en-US"/>
        </w:rPr>
        <w:t>Dürig</w:t>
      </w:r>
      <w:proofErr w:type="spellEnd"/>
      <w:r w:rsidR="009169A7" w:rsidRPr="004F1CE6">
        <w:rPr>
          <w:rFonts w:ascii="Times New Roman" w:hAnsi="Times New Roman" w:cs="Times New Roman"/>
          <w:i/>
          <w:sz w:val="24"/>
          <w:szCs w:val="24"/>
          <w:lang w:val="en-US"/>
        </w:rPr>
        <w:t xml:space="preserve"> </w:t>
      </w:r>
      <w:proofErr w:type="spellStart"/>
      <w:r w:rsidR="009169A7" w:rsidRPr="004F1CE6">
        <w:rPr>
          <w:rFonts w:ascii="Times New Roman" w:hAnsi="Times New Roman" w:cs="Times New Roman"/>
          <w:i/>
          <w:sz w:val="24"/>
          <w:szCs w:val="24"/>
          <w:lang w:val="en-US"/>
        </w:rPr>
        <w:t>Kommentar</w:t>
      </w:r>
      <w:proofErr w:type="spellEnd"/>
      <w:r w:rsidR="009169A7">
        <w:rPr>
          <w:rFonts w:ascii="Times New Roman" w:hAnsi="Times New Roman" w:cs="Times New Roman"/>
          <w:sz w:val="24"/>
          <w:szCs w:val="24"/>
          <w:lang w:val="en-US"/>
        </w:rPr>
        <w:t>, i</w:t>
      </w:r>
      <w:r>
        <w:rPr>
          <w:rFonts w:ascii="Times New Roman" w:hAnsi="Times New Roman" w:cs="Times New Roman"/>
          <w:sz w:val="24"/>
          <w:szCs w:val="24"/>
          <w:lang w:val="en-US"/>
        </w:rPr>
        <w:t>n the blink of an eye, one goes from the head of the page, stating the wording of the inviolability of human dignity which opens the Basic Law, to a discussion of how humanism and Christianism stand as the two main columns supporting the article, and finally to how Thomas Aquinas’ understanding of human dignity carries some weight over the meaning of this central, basic right.</w:t>
      </w:r>
      <w:r>
        <w:rPr>
          <w:rStyle w:val="FootnoteReference"/>
          <w:rFonts w:ascii="Times New Roman" w:hAnsi="Times New Roman" w:cs="Times New Roman"/>
          <w:sz w:val="24"/>
          <w:szCs w:val="24"/>
          <w:lang w:val="en-US"/>
        </w:rPr>
        <w:footnoteReference w:id="185"/>
      </w:r>
    </w:p>
    <w:p w14:paraId="36B748B9" w14:textId="60C0C697" w:rsidR="003151C3" w:rsidRDefault="00560FB8" w:rsidP="00647311">
      <w:pPr>
        <w:spacing w:after="0" w:line="360" w:lineRule="auto"/>
        <w:ind w:firstLine="1134"/>
        <w:jc w:val="both"/>
        <w:rPr>
          <w:rFonts w:ascii="Times New Roman" w:hAnsi="Times New Roman" w:cs="Times New Roman"/>
          <w:sz w:val="24"/>
          <w:szCs w:val="24"/>
          <w:lang w:val="en-US"/>
        </w:rPr>
      </w:pPr>
      <w:r>
        <w:rPr>
          <w:rFonts w:ascii="Times New Roman" w:hAnsi="Times New Roman" w:cs="Times New Roman"/>
          <w:sz w:val="24"/>
          <w:szCs w:val="24"/>
          <w:lang w:val="en-US"/>
        </w:rPr>
        <w:t>As recent and ongoing debates on the constitutional foundations underpinning the current German integration policy prove,</w:t>
      </w:r>
      <w:r>
        <w:rPr>
          <w:rStyle w:val="FootnoteReference"/>
          <w:rFonts w:ascii="Times New Roman" w:hAnsi="Times New Roman" w:cs="Times New Roman"/>
          <w:sz w:val="24"/>
          <w:szCs w:val="24"/>
          <w:lang w:val="en-US"/>
        </w:rPr>
        <w:footnoteReference w:id="186"/>
      </w:r>
      <w:r>
        <w:rPr>
          <w:rFonts w:ascii="Times New Roman" w:hAnsi="Times New Roman" w:cs="Times New Roman"/>
          <w:sz w:val="24"/>
          <w:szCs w:val="24"/>
          <w:lang w:val="en-US"/>
        </w:rPr>
        <w:t xml:space="preserve"> a discussion pursued by way of footnotes full of historiographical monographs, Latin and historical sources, this </w:t>
      </w:r>
      <w:r w:rsidR="00546A0F">
        <w:rPr>
          <w:rFonts w:ascii="Times New Roman" w:hAnsi="Times New Roman" w:cs="Times New Roman"/>
          <w:sz w:val="24"/>
          <w:szCs w:val="24"/>
          <w:lang w:val="en-US"/>
        </w:rPr>
        <w:t>goes beyond</w:t>
      </w:r>
      <w:r>
        <w:rPr>
          <w:rFonts w:ascii="Times New Roman" w:hAnsi="Times New Roman" w:cs="Times New Roman"/>
          <w:sz w:val="24"/>
          <w:szCs w:val="24"/>
          <w:lang w:val="en-US"/>
        </w:rPr>
        <w:t xml:space="preserve"> German scholarly erudition. Should “German” human dignity by will of its people (but then, </w:t>
      </w:r>
      <w:r w:rsidR="00546A0F">
        <w:rPr>
          <w:rFonts w:ascii="Times New Roman" w:hAnsi="Times New Roman" w:cs="Times New Roman"/>
          <w:sz w:val="24"/>
          <w:szCs w:val="24"/>
          <w:lang w:val="en-US"/>
        </w:rPr>
        <w:t>the people who</w:t>
      </w:r>
      <w:r>
        <w:rPr>
          <w:rFonts w:ascii="Times New Roman" w:hAnsi="Times New Roman" w:cs="Times New Roman"/>
          <w:sz w:val="24"/>
          <w:szCs w:val="24"/>
          <w:lang w:val="en-US"/>
        </w:rPr>
        <w:t>?) be “Christian” human dignity or even “Christian-Humanist” human dignity, then handshakes are an ingredient feature of being a</w:t>
      </w:r>
      <w:r w:rsidR="00546A0F">
        <w:rPr>
          <w:rFonts w:ascii="Times New Roman" w:hAnsi="Times New Roman" w:cs="Times New Roman"/>
          <w:sz w:val="24"/>
          <w:szCs w:val="24"/>
          <w:lang w:val="en-US"/>
        </w:rPr>
        <w:t xml:space="preserve"> German</w:t>
      </w:r>
      <w:r>
        <w:rPr>
          <w:rFonts w:ascii="Times New Roman" w:hAnsi="Times New Roman" w:cs="Times New Roman"/>
          <w:sz w:val="24"/>
          <w:szCs w:val="24"/>
          <w:lang w:val="en-US"/>
        </w:rPr>
        <w:t xml:space="preserve"> citizen. </w:t>
      </w:r>
      <w:r>
        <w:rPr>
          <w:rFonts w:ascii="Times New Roman" w:hAnsi="Times New Roman" w:cs="Times New Roman"/>
          <w:sz w:val="24"/>
          <w:szCs w:val="24"/>
          <w:lang w:val="en-US"/>
        </w:rPr>
        <w:lastRenderedPageBreak/>
        <w:t xml:space="preserve">Consequently, </w:t>
      </w:r>
      <w:r w:rsidR="00D423CE">
        <w:rPr>
          <w:rFonts w:ascii="Times New Roman" w:hAnsi="Times New Roman" w:cs="Times New Roman"/>
          <w:sz w:val="24"/>
          <w:szCs w:val="24"/>
          <w:lang w:val="en-US"/>
        </w:rPr>
        <w:t xml:space="preserve">the </w:t>
      </w:r>
      <w:r>
        <w:rPr>
          <w:rFonts w:ascii="Times New Roman" w:hAnsi="Times New Roman" w:cs="Times New Roman"/>
          <w:sz w:val="24"/>
          <w:szCs w:val="24"/>
          <w:lang w:val="en-US"/>
        </w:rPr>
        <w:t xml:space="preserve">religious commandment to abstain from touching another person’s hands following marriage are impeditive </w:t>
      </w:r>
      <w:r w:rsidR="00D423CE">
        <w:rPr>
          <w:rFonts w:ascii="Times New Roman" w:hAnsi="Times New Roman" w:cs="Times New Roman"/>
          <w:sz w:val="24"/>
          <w:szCs w:val="24"/>
          <w:lang w:val="en-US"/>
        </w:rPr>
        <w:t xml:space="preserve">to </w:t>
      </w:r>
      <w:r>
        <w:rPr>
          <w:rFonts w:ascii="Times New Roman" w:hAnsi="Times New Roman" w:cs="Times New Roman"/>
          <w:sz w:val="24"/>
          <w:szCs w:val="24"/>
          <w:lang w:val="en-US"/>
        </w:rPr>
        <w:t>acquiring German citizenship.</w:t>
      </w:r>
      <w:r>
        <w:rPr>
          <w:rStyle w:val="FootnoteReference"/>
          <w:rFonts w:ascii="Times New Roman" w:hAnsi="Times New Roman" w:cs="Times New Roman"/>
          <w:sz w:val="24"/>
          <w:szCs w:val="24"/>
          <w:lang w:val="en-US"/>
        </w:rPr>
        <w:footnoteReference w:id="187"/>
      </w:r>
      <w:r>
        <w:rPr>
          <w:rFonts w:ascii="Times New Roman" w:hAnsi="Times New Roman" w:cs="Times New Roman"/>
          <w:sz w:val="24"/>
          <w:szCs w:val="24"/>
          <w:lang w:val="en-US"/>
        </w:rPr>
        <w:t xml:space="preserve"> Following the theoretical armature therein proposed, one way of accounting for the conditions of possibility of this state of affairs is to grasp it as the bursting out of the religious </w:t>
      </w:r>
      <w:proofErr w:type="gramStart"/>
      <w:r>
        <w:rPr>
          <w:rFonts w:ascii="Times New Roman" w:hAnsi="Times New Roman" w:cs="Times New Roman"/>
          <w:sz w:val="24"/>
          <w:szCs w:val="24"/>
          <w:lang w:val="en-US"/>
        </w:rPr>
        <w:t>undertones</w:t>
      </w:r>
      <w:proofErr w:type="gramEnd"/>
      <w:r>
        <w:rPr>
          <w:rFonts w:ascii="Times New Roman" w:hAnsi="Times New Roman" w:cs="Times New Roman"/>
          <w:sz w:val="24"/>
          <w:szCs w:val="24"/>
          <w:lang w:val="en-US"/>
        </w:rPr>
        <w:t xml:space="preserve"> attendant to </w:t>
      </w:r>
      <w:r w:rsidR="00546A0F">
        <w:rPr>
          <w:rFonts w:ascii="Times New Roman" w:hAnsi="Times New Roman" w:cs="Times New Roman"/>
          <w:sz w:val="24"/>
          <w:szCs w:val="24"/>
          <w:lang w:val="en-US"/>
        </w:rPr>
        <w:t xml:space="preserve">German </w:t>
      </w:r>
      <w:r>
        <w:rPr>
          <w:rFonts w:ascii="Times New Roman" w:hAnsi="Times New Roman" w:cs="Times New Roman"/>
          <w:sz w:val="24"/>
          <w:szCs w:val="24"/>
          <w:lang w:val="en-US"/>
        </w:rPr>
        <w:t xml:space="preserve">constitutional semantics, the unfolding of immanent rationality. </w:t>
      </w:r>
    </w:p>
    <w:p w14:paraId="40A279BE" w14:textId="77777777" w:rsidR="00BF37D8" w:rsidRPr="00007C8E" w:rsidRDefault="00BF37D8" w:rsidP="00647311">
      <w:pPr>
        <w:spacing w:after="0" w:line="360" w:lineRule="auto"/>
        <w:ind w:firstLine="1134"/>
        <w:jc w:val="both"/>
        <w:rPr>
          <w:rFonts w:ascii="Times New Roman" w:hAnsi="Times New Roman" w:cs="Times New Roman"/>
          <w:sz w:val="24"/>
          <w:szCs w:val="24"/>
          <w:lang w:val="en-US"/>
        </w:rPr>
      </w:pPr>
    </w:p>
    <w:p w14:paraId="45F4E1E9" w14:textId="0275532E" w:rsidR="008E21EF" w:rsidRPr="00007C8E" w:rsidRDefault="00DB3323" w:rsidP="00007C8E">
      <w:pPr>
        <w:pStyle w:val="Heading1"/>
        <w:rPr>
          <w:rFonts w:ascii="Times New Roman" w:hAnsi="Times New Roman" w:cs="Times New Roman"/>
          <w:color w:val="auto"/>
          <w:sz w:val="24"/>
          <w:szCs w:val="24"/>
          <w:lang w:val="en-US"/>
        </w:rPr>
      </w:pPr>
      <w:bookmarkStart w:id="11" w:name="_Toc120993780"/>
      <w:r>
        <w:rPr>
          <w:rFonts w:ascii="Times New Roman" w:hAnsi="Times New Roman" w:cs="Times New Roman"/>
          <w:color w:val="auto"/>
          <w:sz w:val="24"/>
          <w:szCs w:val="24"/>
          <w:lang w:val="en-US"/>
        </w:rPr>
        <w:t>Concluding remarks</w:t>
      </w:r>
      <w:bookmarkEnd w:id="11"/>
    </w:p>
    <w:p w14:paraId="29A57BB4" w14:textId="77777777" w:rsidR="008E21EF" w:rsidRDefault="008E21EF" w:rsidP="00E943AF">
      <w:pPr>
        <w:spacing w:after="0" w:line="360" w:lineRule="auto"/>
        <w:ind w:firstLine="1134"/>
        <w:jc w:val="both"/>
        <w:rPr>
          <w:rFonts w:ascii="Times New Roman" w:hAnsi="Times New Roman" w:cs="Times New Roman"/>
          <w:sz w:val="24"/>
          <w:szCs w:val="24"/>
          <w:lang w:val="en-US"/>
        </w:rPr>
      </w:pPr>
    </w:p>
    <w:bookmarkEnd w:id="1"/>
    <w:p w14:paraId="6A04C601" w14:textId="77777777" w:rsidR="008055E9" w:rsidRDefault="00383F74" w:rsidP="008055E9">
      <w:pPr>
        <w:spacing w:after="0" w:line="360" w:lineRule="auto"/>
        <w:ind w:firstLine="113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8055E9">
        <w:rPr>
          <w:rFonts w:ascii="Times New Roman" w:hAnsi="Times New Roman" w:cs="Times New Roman"/>
          <w:sz w:val="24"/>
          <w:szCs w:val="24"/>
          <w:lang w:val="en-US"/>
        </w:rPr>
        <w:t>Questions such as these regarding the validity or the nature of the Constitution can be approached as indirectly presenting at the social dimension of meaning the problem of the interdependency between law and politics, whose interruption is one crucial task. In this sense, we can see constitutional judges and scholars constructing the court’s frame of reference regarding politics and its environment in general while consolidating constitutional courts as an embedding organization of law’s function. Further</w:t>
      </w:r>
      <w:proofErr w:type="gramStart"/>
      <w:r w:rsidR="008055E9">
        <w:rPr>
          <w:rFonts w:ascii="Times New Roman" w:hAnsi="Times New Roman" w:cs="Times New Roman"/>
          <w:sz w:val="24"/>
          <w:szCs w:val="24"/>
          <w:lang w:val="en-US"/>
        </w:rPr>
        <w:t>, ,</w:t>
      </w:r>
      <w:proofErr w:type="gramEnd"/>
      <w:r w:rsidR="008055E9">
        <w:rPr>
          <w:rFonts w:ascii="Times New Roman" w:hAnsi="Times New Roman" w:cs="Times New Roman"/>
          <w:sz w:val="24"/>
          <w:szCs w:val="24"/>
          <w:lang w:val="en-US"/>
        </w:rPr>
        <w:t xml:space="preserve"> those discussions touch the semantic apparatus subtending the performance- and audience-roles thereof, namely, constitutional judges and its public. One can also note how the debates carried on the level of doctrine and constitutional theory shaped the medial substrate of constitutional adjudication, from judicial attire to court architecture. </w:t>
      </w:r>
    </w:p>
    <w:p w14:paraId="542CFA58" w14:textId="77777777" w:rsidR="008055E9" w:rsidRDefault="008055E9" w:rsidP="008055E9">
      <w:pPr>
        <w:spacing w:after="0" w:line="360" w:lineRule="auto"/>
        <w:ind w:firstLine="113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On the one hand, Joseph Story’s reoccupations rhetorically anoint the novel practice of unanimous judicial opinions. As he strives to mirror constitutional adjudication with the Philadelphia Convention, stare decisis attains the contours and authoritativeness of constitutional making. Comparatively, Gerhard </w:t>
      </w:r>
      <w:proofErr w:type="spellStart"/>
      <w:r>
        <w:rPr>
          <w:rFonts w:ascii="Times New Roman" w:hAnsi="Times New Roman" w:cs="Times New Roman"/>
          <w:sz w:val="24"/>
          <w:szCs w:val="24"/>
          <w:lang w:val="en-US"/>
        </w:rPr>
        <w:t>Leibholz</w:t>
      </w:r>
      <w:proofErr w:type="spellEnd"/>
      <w:r>
        <w:rPr>
          <w:rFonts w:ascii="Times New Roman" w:hAnsi="Times New Roman" w:cs="Times New Roman"/>
          <w:sz w:val="24"/>
          <w:szCs w:val="24"/>
          <w:lang w:val="en-US"/>
        </w:rPr>
        <w:t xml:space="preserve"> contributes to the consolidation of the “integrative role” of constitutional adjudication, consecrating the comprehensiveness of the court’s competence, but also the “objective character” of the main vehicle to reach it, the constitutional complaint. On the other, Story’s depiction of constitutional justices as Visible Saints fits the hanging of Marshall’s portrait on the ceiling of the Court’s chamber. In its turn, </w:t>
      </w:r>
      <w:proofErr w:type="spellStart"/>
      <w:r>
        <w:rPr>
          <w:rFonts w:ascii="Times New Roman" w:hAnsi="Times New Roman" w:cs="Times New Roman"/>
          <w:sz w:val="24"/>
          <w:szCs w:val="24"/>
          <w:lang w:val="en-US"/>
        </w:rPr>
        <w:t>Leibholz’s</w:t>
      </w:r>
      <w:proofErr w:type="spellEnd"/>
      <w:r>
        <w:rPr>
          <w:rFonts w:ascii="Times New Roman" w:hAnsi="Times New Roman" w:cs="Times New Roman"/>
          <w:sz w:val="24"/>
          <w:szCs w:val="24"/>
          <w:lang w:val="en-US"/>
        </w:rPr>
        <w:t xml:space="preserve"> take on the </w:t>
      </w:r>
      <w:proofErr w:type="spellStart"/>
      <w:r w:rsidRPr="00BA0D28">
        <w:rPr>
          <w:rFonts w:ascii="Times New Roman" w:hAnsi="Times New Roman" w:cs="Times New Roman"/>
          <w:i/>
          <w:iCs/>
          <w:sz w:val="24"/>
          <w:szCs w:val="24"/>
          <w:lang w:val="en-US"/>
        </w:rPr>
        <w:t>Schöffen</w:t>
      </w:r>
      <w:proofErr w:type="spellEnd"/>
      <w:r>
        <w:rPr>
          <w:rFonts w:ascii="Times New Roman" w:hAnsi="Times New Roman" w:cs="Times New Roman"/>
          <w:sz w:val="24"/>
          <w:szCs w:val="24"/>
          <w:lang w:val="en-US"/>
        </w:rPr>
        <w:t xml:space="preserve"> meshes well with the Court’s scarlet garments. Notice, however, that the relationship between the social and material dimensions, constitutional doctrine, and the details of the courtroom’s atmosphere, can also take place in reverse. The sculpture adorning the </w:t>
      </w:r>
      <w:proofErr w:type="spellStart"/>
      <w:r w:rsidRPr="00876249">
        <w:rPr>
          <w:rFonts w:ascii="Times New Roman" w:hAnsi="Times New Roman" w:cs="Times New Roman"/>
          <w:i/>
          <w:iCs/>
          <w:sz w:val="24"/>
          <w:szCs w:val="24"/>
          <w:lang w:val="en-US"/>
        </w:rPr>
        <w:lastRenderedPageBreak/>
        <w:t>Bundesverfassungsgericht</w:t>
      </w:r>
      <w:r>
        <w:rPr>
          <w:rFonts w:ascii="Times New Roman" w:hAnsi="Times New Roman" w:cs="Times New Roman"/>
          <w:sz w:val="24"/>
          <w:szCs w:val="24"/>
          <w:lang w:val="en-US"/>
        </w:rPr>
        <w:t>’s</w:t>
      </w:r>
      <w:proofErr w:type="spellEnd"/>
      <w:r>
        <w:rPr>
          <w:rFonts w:ascii="Times New Roman" w:hAnsi="Times New Roman" w:cs="Times New Roman"/>
          <w:sz w:val="24"/>
          <w:szCs w:val="24"/>
          <w:lang w:val="en-US"/>
        </w:rPr>
        <w:t xml:space="preserve"> courtroom, a block of massive stone out of which an eagle is partially carved, resonates with </w:t>
      </w:r>
      <w:proofErr w:type="spellStart"/>
      <w:r>
        <w:rPr>
          <w:rFonts w:ascii="Times New Roman" w:hAnsi="Times New Roman" w:cs="Times New Roman"/>
          <w:sz w:val="24"/>
          <w:szCs w:val="24"/>
          <w:lang w:val="en-US"/>
        </w:rPr>
        <w:t>Kirchhof’s</w:t>
      </w:r>
      <w:proofErr w:type="spellEnd"/>
      <w:r>
        <w:rPr>
          <w:rFonts w:ascii="Times New Roman" w:hAnsi="Times New Roman" w:cs="Times New Roman"/>
          <w:sz w:val="24"/>
          <w:szCs w:val="24"/>
          <w:lang w:val="en-US"/>
        </w:rPr>
        <w:t xml:space="preserve"> allusion to how constitutions in light of their prefiguration in the ten commandments should be also approached as if their identities were written in stone.</w:t>
      </w:r>
    </w:p>
    <w:p w14:paraId="3E33FABE" w14:textId="7A691993" w:rsidR="00822120" w:rsidRPr="00D7300A" w:rsidRDefault="008055E9" w:rsidP="008055E9">
      <w:pPr>
        <w:spacing w:after="0" w:line="360" w:lineRule="auto"/>
        <w:ind w:firstLine="113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work on myth has always already begun, in a forcefield wherein attempts at rationalization do not always have the upper hand vis-à-vis re-mythifications. As the debates on the relationship between Bibles and Constitutions show, what was once meant frivolously can be later piously announced. Accordingly, such potentiality for “historical misunderstandings” can be theoretically ascribed to a material’s </w:t>
      </w:r>
      <w:proofErr w:type="spellStart"/>
      <w:r>
        <w:rPr>
          <w:rFonts w:ascii="Times New Roman" w:hAnsi="Times New Roman" w:cs="Times New Roman"/>
          <w:sz w:val="24"/>
          <w:szCs w:val="24"/>
          <w:lang w:val="en-US"/>
        </w:rPr>
        <w:t>mediality</w:t>
      </w:r>
      <w:proofErr w:type="spellEnd"/>
      <w:r>
        <w:rPr>
          <w:rFonts w:ascii="Times New Roman" w:hAnsi="Times New Roman" w:cs="Times New Roman"/>
          <w:sz w:val="24"/>
          <w:szCs w:val="24"/>
          <w:lang w:val="en-US"/>
        </w:rPr>
        <w:t>, the unfolding of its “immanent rationality.” As constitutional-legal forms are ornated with religious garments, it may well happen that the legal value underpinning whatever is of relevance to the operations therein starts to appear under a different, godly light.</w:t>
      </w:r>
    </w:p>
    <w:sectPr w:rsidR="00822120" w:rsidRPr="00D7300A">
      <w:headerReference w:type="default" r:id="rId1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943EC9" w14:textId="77777777" w:rsidR="00257ED4" w:rsidRDefault="00257ED4" w:rsidP="0083205A">
      <w:pPr>
        <w:spacing w:after="0" w:line="240" w:lineRule="auto"/>
      </w:pPr>
      <w:r>
        <w:separator/>
      </w:r>
    </w:p>
  </w:endnote>
  <w:endnote w:type="continuationSeparator" w:id="0">
    <w:p w14:paraId="0DA90176" w14:textId="77777777" w:rsidR="00257ED4" w:rsidRDefault="00257ED4" w:rsidP="008320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PS-Italic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69123B" w14:textId="77777777" w:rsidR="00257ED4" w:rsidRDefault="00257ED4" w:rsidP="0083205A">
      <w:pPr>
        <w:spacing w:after="0" w:line="240" w:lineRule="auto"/>
      </w:pPr>
      <w:r>
        <w:separator/>
      </w:r>
    </w:p>
  </w:footnote>
  <w:footnote w:type="continuationSeparator" w:id="0">
    <w:p w14:paraId="0565C05D" w14:textId="77777777" w:rsidR="00257ED4" w:rsidRDefault="00257ED4" w:rsidP="0083205A">
      <w:pPr>
        <w:spacing w:after="0" w:line="240" w:lineRule="auto"/>
      </w:pPr>
      <w:r>
        <w:continuationSeparator/>
      </w:r>
    </w:p>
  </w:footnote>
  <w:footnote w:id="1">
    <w:p w14:paraId="6106BAF9" w14:textId="0D5EFE5E" w:rsidR="00457B74" w:rsidRDefault="00457B74" w:rsidP="00000419">
      <w:pPr>
        <w:pStyle w:val="FootnoteText"/>
        <w:jc w:val="both"/>
        <w:rPr>
          <w:rFonts w:ascii="Times New Roman" w:hAnsi="Times New Roman" w:cs="Times New Roman"/>
          <w:lang w:val="en-US"/>
        </w:rPr>
      </w:pPr>
      <w:r>
        <w:rPr>
          <w:rFonts w:ascii="Times New Roman" w:hAnsi="Times New Roman" w:cs="Times New Roman"/>
          <w:lang w:val="en-US"/>
        </w:rPr>
        <w:t xml:space="preserve">This chapter profited from the readership and commentary of Carolina Moulin, </w:t>
      </w:r>
      <w:proofErr w:type="spellStart"/>
      <w:r>
        <w:rPr>
          <w:rFonts w:ascii="Times New Roman" w:hAnsi="Times New Roman" w:cs="Times New Roman"/>
          <w:lang w:val="en-US"/>
        </w:rPr>
        <w:t>Gwinyai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Machona</w:t>
      </w:r>
      <w:proofErr w:type="spellEnd"/>
      <w:r>
        <w:rPr>
          <w:rFonts w:ascii="Times New Roman" w:hAnsi="Times New Roman" w:cs="Times New Roman"/>
          <w:lang w:val="en-US"/>
        </w:rPr>
        <w:t xml:space="preserve">, Luc </w:t>
      </w:r>
      <w:proofErr w:type="spellStart"/>
      <w:r>
        <w:rPr>
          <w:rFonts w:ascii="Times New Roman" w:hAnsi="Times New Roman" w:cs="Times New Roman"/>
          <w:lang w:val="en-US"/>
        </w:rPr>
        <w:t>Heuschling</w:t>
      </w:r>
      <w:proofErr w:type="spellEnd"/>
      <w:r>
        <w:rPr>
          <w:rFonts w:ascii="Times New Roman" w:hAnsi="Times New Roman" w:cs="Times New Roman"/>
          <w:lang w:val="en-US"/>
        </w:rPr>
        <w:t xml:space="preserve">, Gustavo </w:t>
      </w:r>
      <w:proofErr w:type="spellStart"/>
      <w:r>
        <w:rPr>
          <w:rFonts w:ascii="Times New Roman" w:hAnsi="Times New Roman" w:cs="Times New Roman"/>
          <w:lang w:val="en-US"/>
        </w:rPr>
        <w:t>Zatelli</w:t>
      </w:r>
      <w:proofErr w:type="spellEnd"/>
      <w:r>
        <w:rPr>
          <w:rFonts w:ascii="Times New Roman" w:hAnsi="Times New Roman" w:cs="Times New Roman"/>
          <w:lang w:val="en-US"/>
        </w:rPr>
        <w:t xml:space="preserve">, and </w:t>
      </w:r>
      <w:proofErr w:type="spellStart"/>
      <w:r>
        <w:rPr>
          <w:rFonts w:ascii="Times New Roman" w:hAnsi="Times New Roman" w:cs="Times New Roman"/>
          <w:lang w:val="en-US"/>
        </w:rPr>
        <w:t>Kaius</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Tuori</w:t>
      </w:r>
      <w:proofErr w:type="spellEnd"/>
      <w:r>
        <w:rPr>
          <w:rFonts w:ascii="Times New Roman" w:hAnsi="Times New Roman" w:cs="Times New Roman"/>
          <w:lang w:val="en-US"/>
        </w:rPr>
        <w:t>. I’m thankful to all of them. While much of its merits derive from their engagement, suggestions, and criticism, all mistakes remain my own.</w:t>
      </w:r>
    </w:p>
    <w:p w14:paraId="6ADCE2B2" w14:textId="20AB2713" w:rsidR="001C3247" w:rsidRPr="00B76ECC" w:rsidRDefault="001C3247" w:rsidP="00000419">
      <w:pPr>
        <w:pStyle w:val="FootnoteText"/>
        <w:jc w:val="both"/>
        <w:rPr>
          <w:rFonts w:ascii="Times New Roman" w:hAnsi="Times New Roman" w:cs="Times New Roman"/>
          <w:lang w:val="en-US"/>
        </w:rPr>
      </w:pPr>
      <w:r w:rsidRPr="00B76ECC">
        <w:rPr>
          <w:rStyle w:val="FootnoteReference"/>
          <w:rFonts w:ascii="Times New Roman" w:hAnsi="Times New Roman" w:cs="Times New Roman"/>
        </w:rPr>
        <w:footnoteRef/>
      </w:r>
      <w:r w:rsidRPr="00B76ECC">
        <w:rPr>
          <w:rFonts w:ascii="Times New Roman" w:hAnsi="Times New Roman" w:cs="Times New Roman"/>
          <w:lang w:val="en-US"/>
        </w:rPr>
        <w:t xml:space="preserve"> Samuel I. Rosenman, ed., </w:t>
      </w:r>
      <w:r w:rsidRPr="00BD3702">
        <w:rPr>
          <w:rFonts w:ascii="Times New Roman" w:hAnsi="Times New Roman" w:cs="Times New Roman"/>
          <w:i/>
          <w:iCs/>
          <w:lang w:val="en-US"/>
        </w:rPr>
        <w:t>The Public Papers and Addresses of Franklin D. Roosevelt</w:t>
      </w:r>
      <w:r w:rsidRPr="00B76ECC">
        <w:rPr>
          <w:rFonts w:ascii="Times New Roman" w:hAnsi="Times New Roman" w:cs="Times New Roman"/>
          <w:lang w:val="en-US"/>
        </w:rPr>
        <w:t xml:space="preserve">, v. 6 (New York: Dodd, Mead Co., 1941) 124. For a discussion of this statement, see Sanford Levinson, </w:t>
      </w:r>
      <w:r w:rsidRPr="00B76ECC">
        <w:rPr>
          <w:rFonts w:ascii="Times New Roman" w:hAnsi="Times New Roman" w:cs="Times New Roman"/>
          <w:i/>
          <w:iCs/>
          <w:lang w:val="en-US"/>
        </w:rPr>
        <w:t>Constitutional faith</w:t>
      </w:r>
      <w:r w:rsidRPr="00B76ECC">
        <w:rPr>
          <w:rFonts w:ascii="Times New Roman" w:hAnsi="Times New Roman" w:cs="Times New Roman"/>
          <w:lang w:val="en-US"/>
        </w:rPr>
        <w:t xml:space="preserve"> (Princeton: Princeton University Press, 2011) 30ff.</w:t>
      </w:r>
    </w:p>
  </w:footnote>
  <w:footnote w:id="2">
    <w:p w14:paraId="36F1B69C" w14:textId="77777777" w:rsidR="001C3247" w:rsidRPr="00B76ECC" w:rsidRDefault="001C3247" w:rsidP="00000419">
      <w:pPr>
        <w:pStyle w:val="FootnoteText"/>
        <w:jc w:val="both"/>
        <w:rPr>
          <w:rFonts w:ascii="Times New Roman" w:hAnsi="Times New Roman" w:cs="Times New Roman"/>
          <w:lang w:val="de-DE"/>
        </w:rPr>
      </w:pPr>
      <w:r w:rsidRPr="00B76ECC">
        <w:rPr>
          <w:rStyle w:val="FootnoteReference"/>
          <w:rFonts w:ascii="Times New Roman" w:hAnsi="Times New Roman" w:cs="Times New Roman"/>
        </w:rPr>
        <w:footnoteRef/>
      </w:r>
      <w:r w:rsidRPr="00B76ECC">
        <w:rPr>
          <w:rFonts w:ascii="Times New Roman" w:hAnsi="Times New Roman" w:cs="Times New Roman"/>
          <w:lang w:val="de-DE"/>
        </w:rPr>
        <w:t xml:space="preserve"> Gustav Heinemann, </w:t>
      </w:r>
      <w:r w:rsidRPr="00BD3702">
        <w:rPr>
          <w:rFonts w:ascii="Times New Roman" w:hAnsi="Times New Roman" w:cs="Times New Roman"/>
          <w:i/>
          <w:iCs/>
          <w:lang w:val="de-DE"/>
        </w:rPr>
        <w:t>Unser Grundgesetz ist ein grosses Angebot. Rechtspolitische Schriften</w:t>
      </w:r>
      <w:r w:rsidRPr="00B76ECC">
        <w:rPr>
          <w:rFonts w:ascii="Times New Roman" w:hAnsi="Times New Roman" w:cs="Times New Roman"/>
          <w:lang w:val="de-DE"/>
        </w:rPr>
        <w:t xml:space="preserve"> (München: Kaiser, 1989); Wilhelm Hennis gave a convincing interpretation of Heinemann’s discourse’s religious undertones (and overtones) in Verfassung und Verfassungswirklichkeit in </w:t>
      </w:r>
      <w:r w:rsidRPr="00B76ECC">
        <w:rPr>
          <w:rFonts w:ascii="Times New Roman" w:hAnsi="Times New Roman" w:cs="Times New Roman"/>
          <w:i/>
          <w:iCs/>
          <w:lang w:val="de-DE"/>
        </w:rPr>
        <w:t>Die missverstandene Demokratie</w:t>
      </w:r>
      <w:r w:rsidRPr="00B76ECC">
        <w:rPr>
          <w:rFonts w:ascii="Times New Roman" w:hAnsi="Times New Roman" w:cs="Times New Roman"/>
          <w:lang w:val="de-DE"/>
        </w:rPr>
        <w:t xml:space="preserve"> (Freiburg: Herder Verlag, 1973).  </w:t>
      </w:r>
    </w:p>
  </w:footnote>
  <w:footnote w:id="3">
    <w:p w14:paraId="691F425B" w14:textId="0FC3E392" w:rsidR="001C3247" w:rsidRPr="00F7217A" w:rsidRDefault="001C3247" w:rsidP="00F7217A">
      <w:pPr>
        <w:pStyle w:val="FootnoteText"/>
        <w:jc w:val="both"/>
        <w:rPr>
          <w:lang w:val="de-DE"/>
        </w:rPr>
      </w:pPr>
      <w:r>
        <w:rPr>
          <w:rStyle w:val="FootnoteReference"/>
        </w:rPr>
        <w:footnoteRef/>
      </w:r>
      <w:r w:rsidRPr="00AC7AE0">
        <w:rPr>
          <w:lang w:val="en-US"/>
        </w:rPr>
        <w:t xml:space="preserve"> </w:t>
      </w:r>
      <w:r w:rsidRPr="00F7217A">
        <w:rPr>
          <w:rFonts w:ascii="Times New Roman" w:hAnsi="Times New Roman" w:cs="Times New Roman"/>
          <w:lang w:val="en-US"/>
        </w:rPr>
        <w:t xml:space="preserve">I return to this on Chapter 2. </w:t>
      </w:r>
      <w:r w:rsidRPr="00B76ECC">
        <w:rPr>
          <w:rFonts w:ascii="Times New Roman" w:hAnsi="Times New Roman" w:cs="Times New Roman"/>
          <w:lang w:val="de-DE"/>
        </w:rPr>
        <w:t xml:space="preserve">For Luhmann’s theorization of semantics, see, in general, Niklas Luhmann, Gesellschaftliche Struktur und semantische Tradition, in </w:t>
      </w:r>
      <w:r w:rsidRPr="00B76ECC">
        <w:rPr>
          <w:rFonts w:ascii="Times New Roman" w:hAnsi="Times New Roman" w:cs="Times New Roman"/>
          <w:i/>
          <w:iCs/>
          <w:lang w:val="de-DE"/>
        </w:rPr>
        <w:t>Gesellschaftsstruktur und Semantik</w:t>
      </w:r>
      <w:r w:rsidRPr="00B76ECC">
        <w:rPr>
          <w:rFonts w:ascii="Times New Roman" w:hAnsi="Times New Roman" w:cs="Times New Roman"/>
          <w:lang w:val="de-DE"/>
        </w:rPr>
        <w:t>, v. 1 (Frankfurt a. M.: Suhrkamp, 1993. On the tryp</w:t>
      </w:r>
      <w:r>
        <w:rPr>
          <w:rFonts w:ascii="Times New Roman" w:hAnsi="Times New Roman" w:cs="Times New Roman"/>
          <w:lang w:val="de-DE"/>
        </w:rPr>
        <w:t>t</w:t>
      </w:r>
      <w:r w:rsidRPr="00B76ECC">
        <w:rPr>
          <w:rFonts w:ascii="Times New Roman" w:hAnsi="Times New Roman" w:cs="Times New Roman"/>
          <w:lang w:val="de-DE"/>
        </w:rPr>
        <w:t xml:space="preserve">ych of variation, selection, and stabilization, see Niklas Luhmann, </w:t>
      </w:r>
      <w:r w:rsidRPr="00B76ECC">
        <w:rPr>
          <w:rFonts w:ascii="Times New Roman" w:hAnsi="Times New Roman" w:cs="Times New Roman"/>
          <w:i/>
          <w:iCs/>
          <w:lang w:val="de-DE"/>
        </w:rPr>
        <w:t>Die Gesellschaft der Gesellschaft</w:t>
      </w:r>
      <w:r w:rsidRPr="00B76ECC">
        <w:rPr>
          <w:rFonts w:ascii="Times New Roman" w:hAnsi="Times New Roman" w:cs="Times New Roman"/>
          <w:lang w:val="de-DE"/>
        </w:rPr>
        <w:t xml:space="preserve"> (Frankfurt a. M.: Suhrkamp, 1997). These criticisms have been first formulated by Urs Stäheli</w:t>
      </w:r>
      <w:r w:rsidRPr="00B76ECC">
        <w:rPr>
          <w:rFonts w:ascii="Times New Roman" w:hAnsi="Times New Roman" w:cs="Times New Roman"/>
          <w:i/>
          <w:iCs/>
          <w:lang w:val="de-DE"/>
        </w:rPr>
        <w:t>, Sinnzusammenbrüche: Eine dekonstruktive Lektüre von Niklas Luhmanns Systemtheorie</w:t>
      </w:r>
      <w:r w:rsidRPr="00B76ECC">
        <w:rPr>
          <w:rFonts w:ascii="Times New Roman" w:hAnsi="Times New Roman" w:cs="Times New Roman"/>
          <w:lang w:val="de-DE"/>
        </w:rPr>
        <w:t>, (Weilerswist</w:t>
      </w:r>
      <w:r>
        <w:rPr>
          <w:rFonts w:ascii="Times New Roman" w:hAnsi="Times New Roman" w:cs="Times New Roman"/>
          <w:lang w:val="de-DE"/>
        </w:rPr>
        <w:t>: Velbrück,</w:t>
      </w:r>
      <w:r w:rsidRPr="00B76ECC">
        <w:rPr>
          <w:rFonts w:ascii="Times New Roman" w:hAnsi="Times New Roman" w:cs="Times New Roman"/>
          <w:lang w:val="de-DE"/>
        </w:rPr>
        <w:t xml:space="preserve"> 2000) and in some of the contributions to the volume </w:t>
      </w:r>
      <w:bookmarkStart w:id="2" w:name="_Hlk107783873"/>
      <w:r w:rsidRPr="00B76ECC">
        <w:rPr>
          <w:rFonts w:ascii="Times New Roman" w:hAnsi="Times New Roman" w:cs="Times New Roman"/>
          <w:i/>
          <w:iCs/>
          <w:lang w:val="de-DE"/>
        </w:rPr>
        <w:t>Geschichte und Systemtheorie: Exemplarische Fallstudien</w:t>
      </w:r>
      <w:r w:rsidRPr="00B76ECC">
        <w:rPr>
          <w:rFonts w:ascii="Times New Roman" w:hAnsi="Times New Roman" w:cs="Times New Roman"/>
          <w:lang w:val="de-DE"/>
        </w:rPr>
        <w:t>, ed. by Frank Becker, (Frankfurt/New York: Campus Verlag, 2001)</w:t>
      </w:r>
      <w:bookmarkEnd w:id="2"/>
      <w:r w:rsidRPr="00B76ECC">
        <w:rPr>
          <w:rFonts w:ascii="Times New Roman" w:hAnsi="Times New Roman" w:cs="Times New Roman"/>
          <w:lang w:val="de-DE"/>
        </w:rPr>
        <w:t>.</w:t>
      </w:r>
    </w:p>
  </w:footnote>
  <w:footnote w:id="4">
    <w:p w14:paraId="055BD8CE" w14:textId="0DD5229C" w:rsidR="001C3247" w:rsidRPr="00FA25BB" w:rsidRDefault="001C3247" w:rsidP="00FA25BB">
      <w:pPr>
        <w:pStyle w:val="FootnoteText"/>
        <w:jc w:val="both"/>
        <w:rPr>
          <w:rFonts w:ascii="Times New Roman" w:hAnsi="Times New Roman" w:cs="Times New Roman"/>
          <w:lang w:val="en-US"/>
        </w:rPr>
      </w:pPr>
      <w:r>
        <w:rPr>
          <w:rStyle w:val="FootnoteReference"/>
        </w:rPr>
        <w:footnoteRef/>
      </w:r>
      <w:r w:rsidRPr="00636986">
        <w:rPr>
          <w:lang w:val="en-US"/>
        </w:rPr>
        <w:t xml:space="preserve"> </w:t>
      </w:r>
      <w:r w:rsidRPr="00B76ECC">
        <w:rPr>
          <w:rFonts w:ascii="Times New Roman" w:hAnsi="Times New Roman" w:cs="Times New Roman"/>
          <w:lang w:val="en-US"/>
        </w:rPr>
        <w:t>McCulloch v. Maryland, 17 U.S 316 (1819)</w:t>
      </w:r>
      <w:r>
        <w:rPr>
          <w:rFonts w:ascii="Times New Roman" w:hAnsi="Times New Roman" w:cs="Times New Roman"/>
          <w:lang w:val="en-US"/>
        </w:rPr>
        <w:t xml:space="preserve"> 407 (emphasis in original). On the fortune of this formula, see David S. Schwartz, </w:t>
      </w:r>
      <w:r w:rsidRPr="003F62A5">
        <w:rPr>
          <w:rFonts w:ascii="Times New Roman" w:hAnsi="Times New Roman" w:cs="Times New Roman"/>
          <w:i/>
          <w:iCs/>
          <w:lang w:val="en-US"/>
        </w:rPr>
        <w:t>The Spirit of the Constitution: John Marshall and the 200-Year Odyssey of McCulloch v. Maryland</w:t>
      </w:r>
      <w:r>
        <w:rPr>
          <w:rFonts w:ascii="Times New Roman" w:hAnsi="Times New Roman" w:cs="Times New Roman"/>
          <w:lang w:val="en-US"/>
        </w:rPr>
        <w:t xml:space="preserve"> (Oxford: Oxford University Press, 2019).</w:t>
      </w:r>
    </w:p>
  </w:footnote>
  <w:footnote w:id="5">
    <w:p w14:paraId="02D5FF68" w14:textId="1DE98E7D" w:rsidR="001C3247" w:rsidRPr="00B12703" w:rsidRDefault="001C3247" w:rsidP="00B12703">
      <w:pPr>
        <w:pStyle w:val="FootnoteText"/>
        <w:jc w:val="both"/>
        <w:rPr>
          <w:rFonts w:ascii="Times New Roman" w:hAnsi="Times New Roman" w:cs="Times New Roman"/>
          <w:lang w:val="en-US"/>
        </w:rPr>
      </w:pPr>
      <w:r w:rsidRPr="00B12703">
        <w:rPr>
          <w:rStyle w:val="FootnoteReference"/>
          <w:rFonts w:ascii="Times New Roman" w:hAnsi="Times New Roman" w:cs="Times New Roman"/>
        </w:rPr>
        <w:footnoteRef/>
      </w:r>
      <w:r w:rsidRPr="00B12703">
        <w:rPr>
          <w:rFonts w:ascii="Times New Roman" w:hAnsi="Times New Roman" w:cs="Times New Roman"/>
          <w:lang w:val="en-US"/>
        </w:rPr>
        <w:t xml:space="preserve"> Franklin D. Roosevelt,</w:t>
      </w:r>
      <w:r>
        <w:rPr>
          <w:rFonts w:ascii="Times New Roman" w:hAnsi="Times New Roman" w:cs="Times New Roman"/>
          <w:lang w:val="en-US"/>
        </w:rPr>
        <w:t xml:space="preserve"> </w:t>
      </w:r>
      <w:r w:rsidRPr="00B12703">
        <w:rPr>
          <w:rFonts w:ascii="Times New Roman" w:hAnsi="Times New Roman" w:cs="Times New Roman"/>
          <w:lang w:val="en-US"/>
        </w:rPr>
        <w:t>Address on Constitution Day, Washington D.C., September 17, 1937, available at https://www.presidency.ucsb.edu/documents/address-constitution-day-washington-dc.</w:t>
      </w:r>
    </w:p>
  </w:footnote>
  <w:footnote w:id="6">
    <w:p w14:paraId="2E0B87F0" w14:textId="5FC9FEFB" w:rsidR="001C3247" w:rsidRPr="00B12703" w:rsidRDefault="001C3247" w:rsidP="00B12703">
      <w:pPr>
        <w:pStyle w:val="FootnoteText"/>
        <w:jc w:val="both"/>
        <w:rPr>
          <w:rFonts w:ascii="Times New Roman" w:hAnsi="Times New Roman" w:cs="Times New Roman"/>
          <w:lang w:val="en-US"/>
        </w:rPr>
      </w:pPr>
      <w:r w:rsidRPr="00B12703">
        <w:rPr>
          <w:rStyle w:val="FootnoteReference"/>
          <w:rFonts w:ascii="Times New Roman" w:hAnsi="Times New Roman" w:cs="Times New Roman"/>
        </w:rPr>
        <w:footnoteRef/>
      </w:r>
      <w:r w:rsidRPr="00B12703">
        <w:rPr>
          <w:rFonts w:ascii="Times New Roman" w:hAnsi="Times New Roman" w:cs="Times New Roman"/>
          <w:lang w:val="en-US"/>
        </w:rPr>
        <w:t xml:space="preserve"> As noted by H. Jefferson Powell, in The Principles of ’98: an essay in historical retrieval 80 </w:t>
      </w:r>
      <w:r w:rsidRPr="00B12703">
        <w:rPr>
          <w:rFonts w:ascii="Times New Roman" w:hAnsi="Times New Roman" w:cs="Times New Roman"/>
          <w:i/>
          <w:iCs/>
          <w:lang w:val="en-US"/>
        </w:rPr>
        <w:t>Vancouver Law Review</w:t>
      </w:r>
      <w:r w:rsidRPr="00B12703">
        <w:rPr>
          <w:rFonts w:ascii="Times New Roman" w:hAnsi="Times New Roman" w:cs="Times New Roman"/>
          <w:lang w:val="en-US"/>
        </w:rPr>
        <w:t xml:space="preserve"> (1994) 689, 731. See also Mark Graber, Federalist or Friends of Adams: The Marshall Court and Party Politics, 12 </w:t>
      </w:r>
      <w:r w:rsidRPr="00BF37D8">
        <w:rPr>
          <w:rFonts w:ascii="Times New Roman" w:hAnsi="Times New Roman" w:cs="Times New Roman"/>
          <w:i/>
          <w:iCs/>
          <w:lang w:val="en-US"/>
        </w:rPr>
        <w:t>Studies in American Political Development</w:t>
      </w:r>
      <w:r w:rsidRPr="00B12703">
        <w:rPr>
          <w:rFonts w:ascii="Times New Roman" w:hAnsi="Times New Roman" w:cs="Times New Roman"/>
          <w:lang w:val="en-US"/>
        </w:rPr>
        <w:t xml:space="preserve"> (1998) 229, 256ff.</w:t>
      </w:r>
      <w:r w:rsidR="0012038D">
        <w:rPr>
          <w:rFonts w:ascii="Times New Roman" w:hAnsi="Times New Roman" w:cs="Times New Roman"/>
          <w:lang w:val="en-US"/>
        </w:rPr>
        <w:t xml:space="preserve"> I’m thankful to Mike Banerjee and </w:t>
      </w:r>
      <w:proofErr w:type="spellStart"/>
      <w:r w:rsidR="0012038D">
        <w:rPr>
          <w:rFonts w:ascii="Times New Roman" w:hAnsi="Times New Roman" w:cs="Times New Roman"/>
          <w:lang w:val="en-US"/>
        </w:rPr>
        <w:t>Gwinyai</w:t>
      </w:r>
      <w:proofErr w:type="spellEnd"/>
      <w:r w:rsidR="0012038D">
        <w:rPr>
          <w:rFonts w:ascii="Times New Roman" w:hAnsi="Times New Roman" w:cs="Times New Roman"/>
          <w:lang w:val="en-US"/>
        </w:rPr>
        <w:t xml:space="preserve"> </w:t>
      </w:r>
      <w:proofErr w:type="spellStart"/>
      <w:r w:rsidR="0012038D">
        <w:rPr>
          <w:rFonts w:ascii="Times New Roman" w:hAnsi="Times New Roman" w:cs="Times New Roman"/>
          <w:lang w:val="en-US"/>
        </w:rPr>
        <w:t>Machona</w:t>
      </w:r>
      <w:proofErr w:type="spellEnd"/>
      <w:r w:rsidR="0012038D">
        <w:rPr>
          <w:rFonts w:ascii="Times New Roman" w:hAnsi="Times New Roman" w:cs="Times New Roman"/>
          <w:lang w:val="en-US"/>
        </w:rPr>
        <w:t xml:space="preserve"> for a discussion over this point during the Max Planck Summer Academy for Legal History 2022.</w:t>
      </w:r>
    </w:p>
  </w:footnote>
  <w:footnote w:id="7">
    <w:p w14:paraId="7D7ED44D" w14:textId="1F09B4AE" w:rsidR="005B08A7" w:rsidRPr="008C2526" w:rsidRDefault="005B08A7" w:rsidP="004733CC">
      <w:pPr>
        <w:pStyle w:val="FootnoteText"/>
        <w:jc w:val="both"/>
        <w:rPr>
          <w:rFonts w:ascii="Times New Roman" w:hAnsi="Times New Roman" w:cs="Times New Roman"/>
          <w:lang w:val="de-DE"/>
        </w:rPr>
      </w:pPr>
      <w:r w:rsidRPr="004733CC">
        <w:rPr>
          <w:rStyle w:val="FootnoteReference"/>
          <w:rFonts w:ascii="Times New Roman" w:hAnsi="Times New Roman" w:cs="Times New Roman"/>
        </w:rPr>
        <w:footnoteRef/>
      </w:r>
      <w:r w:rsidRPr="008C2526">
        <w:rPr>
          <w:rFonts w:ascii="Times New Roman" w:hAnsi="Times New Roman" w:cs="Times New Roman"/>
          <w:lang w:val="de-DE"/>
        </w:rPr>
        <w:t xml:space="preserve"> For this theoretical approach to religion, see Niklas Luhmann, </w:t>
      </w:r>
      <w:r w:rsidRPr="008C2526">
        <w:rPr>
          <w:rFonts w:ascii="Times New Roman" w:hAnsi="Times New Roman" w:cs="Times New Roman"/>
          <w:i/>
          <w:iCs/>
          <w:lang w:val="de-DE"/>
        </w:rPr>
        <w:t>Funktion der Religion</w:t>
      </w:r>
      <w:r w:rsidRPr="008C2526">
        <w:rPr>
          <w:rFonts w:ascii="Times New Roman" w:hAnsi="Times New Roman" w:cs="Times New Roman"/>
          <w:lang w:val="de-DE"/>
        </w:rPr>
        <w:t xml:space="preserve"> (1999) and </w:t>
      </w:r>
      <w:r w:rsidRPr="008C2526">
        <w:rPr>
          <w:rFonts w:ascii="Times New Roman" w:hAnsi="Times New Roman" w:cs="Times New Roman"/>
          <w:i/>
          <w:iCs/>
          <w:lang w:val="de-DE"/>
        </w:rPr>
        <w:t>Die Religion der Gesellschaft</w:t>
      </w:r>
      <w:r w:rsidRPr="008C2526">
        <w:rPr>
          <w:rFonts w:ascii="Times New Roman" w:hAnsi="Times New Roman" w:cs="Times New Roman"/>
          <w:lang w:val="de-DE"/>
        </w:rPr>
        <w:t xml:space="preserve"> (2002). </w:t>
      </w:r>
    </w:p>
  </w:footnote>
  <w:footnote w:id="8">
    <w:p w14:paraId="05A391B3" w14:textId="7A7CC11F" w:rsidR="005B08A7" w:rsidRPr="004733CC" w:rsidRDefault="005B08A7" w:rsidP="004733CC">
      <w:pPr>
        <w:pStyle w:val="FootnoteText"/>
        <w:jc w:val="both"/>
        <w:rPr>
          <w:rFonts w:ascii="Times New Roman" w:hAnsi="Times New Roman" w:cs="Times New Roman"/>
          <w:lang w:val="de-DE"/>
        </w:rPr>
      </w:pPr>
      <w:r w:rsidRPr="004733CC">
        <w:rPr>
          <w:rStyle w:val="FootnoteReference"/>
          <w:rFonts w:ascii="Times New Roman" w:hAnsi="Times New Roman" w:cs="Times New Roman"/>
        </w:rPr>
        <w:footnoteRef/>
      </w:r>
      <w:r w:rsidRPr="004733CC">
        <w:rPr>
          <w:rFonts w:ascii="Times New Roman" w:hAnsi="Times New Roman" w:cs="Times New Roman"/>
          <w:lang w:val="de-DE"/>
        </w:rPr>
        <w:t xml:space="preserve"> Hans Blumenberg, </w:t>
      </w:r>
      <w:r w:rsidRPr="004733CC">
        <w:rPr>
          <w:rFonts w:ascii="Times New Roman" w:hAnsi="Times New Roman" w:cs="Times New Roman"/>
          <w:i/>
          <w:iCs/>
          <w:lang w:val="de-DE"/>
        </w:rPr>
        <w:t>Die Legitimität der Neuzeit</w:t>
      </w:r>
      <w:r w:rsidRPr="004733CC">
        <w:rPr>
          <w:rFonts w:ascii="Times New Roman" w:hAnsi="Times New Roman" w:cs="Times New Roman"/>
          <w:lang w:val="de-DE"/>
        </w:rPr>
        <w:t xml:space="preserve"> (2021) 88.</w:t>
      </w:r>
    </w:p>
  </w:footnote>
  <w:footnote w:id="9">
    <w:p w14:paraId="6F194017" w14:textId="26CDE4F2" w:rsidR="005B08A7" w:rsidRPr="004716DE" w:rsidRDefault="005B08A7" w:rsidP="004733CC">
      <w:pPr>
        <w:pStyle w:val="FootnoteText"/>
        <w:jc w:val="both"/>
        <w:rPr>
          <w:rFonts w:ascii="Times New Roman" w:hAnsi="Times New Roman" w:cs="Times New Roman"/>
          <w:lang w:val="de-DE"/>
        </w:rPr>
      </w:pPr>
      <w:r w:rsidRPr="004733CC">
        <w:rPr>
          <w:rStyle w:val="FootnoteReference"/>
          <w:rFonts w:ascii="Times New Roman" w:hAnsi="Times New Roman" w:cs="Times New Roman"/>
        </w:rPr>
        <w:footnoteRef/>
      </w:r>
      <w:r w:rsidRPr="004733CC">
        <w:rPr>
          <w:rFonts w:ascii="Times New Roman" w:hAnsi="Times New Roman" w:cs="Times New Roman"/>
          <w:lang w:val="en-US"/>
        </w:rPr>
        <w:t xml:space="preserve"> I’m drawing on Rudolf </w:t>
      </w:r>
      <w:proofErr w:type="spellStart"/>
      <w:r w:rsidRPr="004733CC">
        <w:rPr>
          <w:rFonts w:ascii="Times New Roman" w:hAnsi="Times New Roman" w:cs="Times New Roman"/>
          <w:lang w:val="en-US"/>
        </w:rPr>
        <w:t>Schlögl’s</w:t>
      </w:r>
      <w:proofErr w:type="spellEnd"/>
      <w:r w:rsidRPr="004733CC">
        <w:rPr>
          <w:rFonts w:ascii="Times New Roman" w:hAnsi="Times New Roman" w:cs="Times New Roman"/>
          <w:lang w:val="en-US"/>
        </w:rPr>
        <w:t xml:space="preserve"> approach to these two concepts. </w:t>
      </w:r>
      <w:r w:rsidRPr="004733CC">
        <w:rPr>
          <w:rFonts w:ascii="Times New Roman" w:hAnsi="Times New Roman" w:cs="Times New Roman"/>
          <w:lang w:val="de-DE"/>
        </w:rPr>
        <w:t xml:space="preserve">See Rudolf Schlögl, Historiker, Max Weber und Niklas Luhmann. Zum schwierigen (aber möglicherweise produktiven) Verhältnis von Geschichtswissenschaft und Systemtheorie, 7 </w:t>
      </w:r>
      <w:r w:rsidRPr="004733CC">
        <w:rPr>
          <w:rFonts w:ascii="Times New Roman" w:hAnsi="Times New Roman" w:cs="Times New Roman"/>
          <w:i/>
          <w:iCs/>
          <w:lang w:val="de-DE"/>
        </w:rPr>
        <w:t>Soziale Systeme</w:t>
      </w:r>
      <w:r w:rsidRPr="004733CC">
        <w:rPr>
          <w:rFonts w:ascii="Times New Roman" w:hAnsi="Times New Roman" w:cs="Times New Roman"/>
          <w:lang w:val="de-DE"/>
        </w:rPr>
        <w:t xml:space="preserve"> 1 (2001). </w:t>
      </w:r>
      <w:r w:rsidRPr="004716DE">
        <w:rPr>
          <w:rFonts w:ascii="Times New Roman" w:hAnsi="Times New Roman" w:cs="Times New Roman"/>
          <w:lang w:val="de-DE"/>
        </w:rPr>
        <w:t xml:space="preserve">More recently, see Schlögl, </w:t>
      </w:r>
      <w:r w:rsidRPr="004716DE">
        <w:rPr>
          <w:rFonts w:ascii="Times New Roman" w:hAnsi="Times New Roman" w:cs="Times New Roman"/>
          <w:i/>
          <w:iCs/>
          <w:lang w:val="de-DE"/>
        </w:rPr>
        <w:t>Alter Glaube und moderne Welt. Europäisches Christentum im Umbruch 1750-1850</w:t>
      </w:r>
      <w:r w:rsidRPr="004716DE">
        <w:rPr>
          <w:rFonts w:ascii="Times New Roman" w:hAnsi="Times New Roman" w:cs="Times New Roman"/>
          <w:lang w:val="de-DE"/>
        </w:rPr>
        <w:t xml:space="preserve"> (</w:t>
      </w:r>
      <w:r w:rsidR="004733CC" w:rsidRPr="004716DE">
        <w:rPr>
          <w:rFonts w:ascii="Times New Roman" w:hAnsi="Times New Roman" w:cs="Times New Roman"/>
          <w:lang w:val="de-DE"/>
        </w:rPr>
        <w:t xml:space="preserve">Frankfurt a. M.: Fischer, </w:t>
      </w:r>
      <w:r w:rsidRPr="004716DE">
        <w:rPr>
          <w:rFonts w:ascii="Times New Roman" w:hAnsi="Times New Roman" w:cs="Times New Roman"/>
          <w:lang w:val="de-DE"/>
        </w:rPr>
        <w:t>2013).</w:t>
      </w:r>
    </w:p>
  </w:footnote>
  <w:footnote w:id="10">
    <w:p w14:paraId="002D214A" w14:textId="3AFCE49E" w:rsidR="001C3247" w:rsidRPr="004F1CE6" w:rsidRDefault="001C3247" w:rsidP="00B53BF2">
      <w:pPr>
        <w:pStyle w:val="FootnoteText"/>
        <w:jc w:val="both"/>
        <w:rPr>
          <w:rFonts w:ascii="Times New Roman" w:hAnsi="Times New Roman" w:cs="Times New Roman"/>
          <w:lang w:val="en-US"/>
        </w:rPr>
      </w:pPr>
      <w:r w:rsidRPr="00B53BF2">
        <w:rPr>
          <w:rStyle w:val="FootnoteReference"/>
          <w:rFonts w:ascii="Times New Roman" w:hAnsi="Times New Roman" w:cs="Times New Roman"/>
        </w:rPr>
        <w:footnoteRef/>
      </w:r>
      <w:r w:rsidRPr="004F1CE6">
        <w:rPr>
          <w:rFonts w:ascii="Times New Roman" w:hAnsi="Times New Roman" w:cs="Times New Roman"/>
          <w:lang w:val="en-US"/>
        </w:rPr>
        <w:t xml:space="preserve"> Ibid., 378.</w:t>
      </w:r>
    </w:p>
  </w:footnote>
  <w:footnote w:id="11">
    <w:p w14:paraId="03C8CB2D" w14:textId="77777777" w:rsidR="00E154ED" w:rsidRPr="00B76ECC" w:rsidRDefault="00E154ED" w:rsidP="00E154ED">
      <w:pPr>
        <w:pStyle w:val="FootnoteText"/>
        <w:jc w:val="both"/>
        <w:rPr>
          <w:rFonts w:ascii="Times New Roman" w:hAnsi="Times New Roman" w:cs="Times New Roman"/>
          <w:lang w:val="en-US"/>
        </w:rPr>
      </w:pPr>
      <w:r w:rsidRPr="00B76ECC">
        <w:rPr>
          <w:rStyle w:val="FootnoteReference"/>
          <w:rFonts w:ascii="Times New Roman" w:hAnsi="Times New Roman" w:cs="Times New Roman"/>
        </w:rPr>
        <w:footnoteRef/>
      </w:r>
      <w:r w:rsidRPr="00B76ECC">
        <w:rPr>
          <w:rFonts w:ascii="Times New Roman" w:hAnsi="Times New Roman" w:cs="Times New Roman"/>
          <w:lang w:val="en-US"/>
        </w:rPr>
        <w:t xml:space="preserve"> Edward Corwin, </w:t>
      </w:r>
      <w:r w:rsidRPr="00BD3702">
        <w:rPr>
          <w:rFonts w:ascii="Times New Roman" w:hAnsi="Times New Roman" w:cs="Times New Roman"/>
          <w:i/>
          <w:iCs/>
          <w:lang w:val="en-US"/>
        </w:rPr>
        <w:t>Corwin on the Constitution, v. 1: The Foundations of American Constitutional and Political Thought, the Powers of Congress, and the President’s Power of Removal</w:t>
      </w:r>
      <w:r w:rsidRPr="00B76ECC">
        <w:rPr>
          <w:rFonts w:ascii="Times New Roman" w:hAnsi="Times New Roman" w:cs="Times New Roman"/>
          <w:lang w:val="en-US"/>
        </w:rPr>
        <w:t>, ed. by Richard Loss (Ithaca: Cornell University Press, 1981) 158.</w:t>
      </w:r>
    </w:p>
  </w:footnote>
  <w:footnote w:id="12">
    <w:p w14:paraId="49273DF0" w14:textId="77777777" w:rsidR="00E154ED" w:rsidRPr="00B76ECC" w:rsidRDefault="00E154ED" w:rsidP="00E154ED">
      <w:pPr>
        <w:pStyle w:val="FootnoteText"/>
        <w:jc w:val="both"/>
        <w:rPr>
          <w:rFonts w:ascii="Times New Roman" w:hAnsi="Times New Roman" w:cs="Times New Roman"/>
          <w:lang w:val="en-US"/>
        </w:rPr>
      </w:pPr>
      <w:r w:rsidRPr="00B76ECC">
        <w:rPr>
          <w:rStyle w:val="FootnoteReference"/>
          <w:rFonts w:ascii="Times New Roman" w:hAnsi="Times New Roman" w:cs="Times New Roman"/>
        </w:rPr>
        <w:footnoteRef/>
      </w:r>
      <w:r w:rsidRPr="00B76ECC">
        <w:rPr>
          <w:rFonts w:ascii="Times New Roman" w:hAnsi="Times New Roman" w:cs="Times New Roman"/>
          <w:lang w:val="de-DE"/>
        </w:rPr>
        <w:t xml:space="preserve"> On Verfassungspatriotismus, see, among others, Jan-Werner Müller, </w:t>
      </w:r>
      <w:r w:rsidRPr="00BD3702">
        <w:rPr>
          <w:rFonts w:ascii="Times New Roman" w:hAnsi="Times New Roman" w:cs="Times New Roman"/>
          <w:i/>
          <w:iCs/>
          <w:lang w:val="de-DE"/>
        </w:rPr>
        <w:t>Verfassungspatriotismus</w:t>
      </w:r>
      <w:r w:rsidRPr="00B76ECC">
        <w:rPr>
          <w:rFonts w:ascii="Times New Roman" w:hAnsi="Times New Roman" w:cs="Times New Roman"/>
          <w:lang w:val="de-DE"/>
        </w:rPr>
        <w:t xml:space="preserve"> (Frankfurt a. M.: Suhrkamp, 2010). </w:t>
      </w:r>
      <w:r w:rsidRPr="00B76ECC">
        <w:rPr>
          <w:rFonts w:ascii="Times New Roman" w:hAnsi="Times New Roman" w:cs="Times New Roman"/>
          <w:lang w:val="en-US"/>
        </w:rPr>
        <w:t xml:space="preserve">I discuss this concept thoroughly on the second part of this </w:t>
      </w:r>
      <w:r>
        <w:rPr>
          <w:rFonts w:ascii="Times New Roman" w:hAnsi="Times New Roman" w:cs="Times New Roman"/>
          <w:lang w:val="en-US"/>
        </w:rPr>
        <w:t>thesis</w:t>
      </w:r>
      <w:r w:rsidRPr="00B76ECC">
        <w:rPr>
          <w:rFonts w:ascii="Times New Roman" w:hAnsi="Times New Roman" w:cs="Times New Roman"/>
          <w:lang w:val="en-US"/>
        </w:rPr>
        <w:t>.</w:t>
      </w:r>
    </w:p>
  </w:footnote>
  <w:footnote w:id="13">
    <w:p w14:paraId="017FE9B2" w14:textId="77777777" w:rsidR="00E154ED" w:rsidRPr="00000419" w:rsidRDefault="00E154ED" w:rsidP="00E154ED">
      <w:pPr>
        <w:pStyle w:val="FootnoteText"/>
        <w:jc w:val="both"/>
        <w:rPr>
          <w:rFonts w:ascii="Times New Roman" w:hAnsi="Times New Roman" w:cs="Times New Roman"/>
          <w:lang w:val="en-US"/>
        </w:rPr>
      </w:pPr>
      <w:r w:rsidRPr="00B76ECC">
        <w:rPr>
          <w:rStyle w:val="FootnoteReference"/>
          <w:rFonts w:ascii="Times New Roman" w:hAnsi="Times New Roman" w:cs="Times New Roman"/>
        </w:rPr>
        <w:footnoteRef/>
      </w:r>
      <w:r w:rsidRPr="00000419">
        <w:rPr>
          <w:rFonts w:ascii="Times New Roman" w:hAnsi="Times New Roman" w:cs="Times New Roman"/>
          <w:lang w:val="en-US"/>
        </w:rPr>
        <w:t xml:space="preserve"> </w:t>
      </w:r>
      <w:proofErr w:type="spellStart"/>
      <w:r w:rsidRPr="00000419">
        <w:rPr>
          <w:rFonts w:ascii="Times New Roman" w:hAnsi="Times New Roman" w:cs="Times New Roman"/>
          <w:lang w:val="en-US"/>
        </w:rPr>
        <w:t>Blumenberg</w:t>
      </w:r>
      <w:proofErr w:type="spellEnd"/>
      <w:r w:rsidRPr="00000419">
        <w:rPr>
          <w:rFonts w:ascii="Times New Roman" w:hAnsi="Times New Roman" w:cs="Times New Roman"/>
          <w:lang w:val="en-US"/>
        </w:rPr>
        <w:t xml:space="preserve">, </w:t>
      </w:r>
      <w:r w:rsidRPr="00000419">
        <w:rPr>
          <w:rFonts w:ascii="Times New Roman" w:hAnsi="Times New Roman" w:cs="Times New Roman"/>
          <w:i/>
          <w:iCs/>
          <w:lang w:val="en-US"/>
        </w:rPr>
        <w:t xml:space="preserve">Die </w:t>
      </w:r>
      <w:proofErr w:type="spellStart"/>
      <w:r w:rsidRPr="00000419">
        <w:rPr>
          <w:rFonts w:ascii="Times New Roman" w:hAnsi="Times New Roman" w:cs="Times New Roman"/>
          <w:i/>
          <w:iCs/>
          <w:lang w:val="en-US"/>
        </w:rPr>
        <w:t>Legitimität</w:t>
      </w:r>
      <w:proofErr w:type="spellEnd"/>
      <w:r w:rsidRPr="00000419">
        <w:rPr>
          <w:rFonts w:ascii="Times New Roman" w:hAnsi="Times New Roman" w:cs="Times New Roman"/>
          <w:i/>
          <w:iCs/>
          <w:lang w:val="en-US"/>
        </w:rPr>
        <w:t xml:space="preserve">... </w:t>
      </w:r>
      <w:r w:rsidRPr="00000419">
        <w:rPr>
          <w:rFonts w:ascii="Times New Roman" w:hAnsi="Times New Roman" w:cs="Times New Roman"/>
          <w:lang w:val="en-US"/>
        </w:rPr>
        <w:t>99.</w:t>
      </w:r>
    </w:p>
  </w:footnote>
  <w:footnote w:id="14">
    <w:p w14:paraId="7FEC6EBB" w14:textId="40841EE9" w:rsidR="001C3247" w:rsidRPr="00B53BF2" w:rsidRDefault="001C3247" w:rsidP="00B53BF2">
      <w:pPr>
        <w:pStyle w:val="FootnoteText"/>
        <w:jc w:val="both"/>
        <w:rPr>
          <w:rFonts w:ascii="Times New Roman" w:hAnsi="Times New Roman" w:cs="Times New Roman"/>
          <w:lang w:val="en-US"/>
        </w:rPr>
      </w:pPr>
      <w:r w:rsidRPr="00B53BF2">
        <w:rPr>
          <w:rStyle w:val="FootnoteReference"/>
          <w:rFonts w:ascii="Times New Roman" w:hAnsi="Times New Roman" w:cs="Times New Roman"/>
        </w:rPr>
        <w:footnoteRef/>
      </w:r>
      <w:r w:rsidRPr="00B53BF2">
        <w:rPr>
          <w:rFonts w:ascii="Times New Roman" w:hAnsi="Times New Roman" w:cs="Times New Roman"/>
          <w:lang w:val="en-US"/>
        </w:rPr>
        <w:t xml:space="preserve"> In the words of Justice Kagan, who also served as solicitor general, oral argument is “a ton of fun,” Elena Kagan, </w:t>
      </w:r>
      <w:r w:rsidRPr="00B53BF2">
        <w:rPr>
          <w:rFonts w:ascii="Times New Roman" w:hAnsi="Times New Roman" w:cs="Times New Roman"/>
          <w:i/>
          <w:iCs/>
          <w:lang w:val="en-US"/>
        </w:rPr>
        <w:t>Conversation with Supreme Court Justice Elena Kagan</w:t>
      </w:r>
      <w:r w:rsidRPr="00B53BF2">
        <w:rPr>
          <w:rFonts w:ascii="Times New Roman" w:hAnsi="Times New Roman" w:cs="Times New Roman"/>
          <w:lang w:val="en-US"/>
        </w:rPr>
        <w:t>, C-SPAN, 20 September, 2012. Available at http://www.cspan.org/Events/Conversation-with-Supreme-Court-Justice-Elena-Kagan/10737434240.</w:t>
      </w:r>
    </w:p>
  </w:footnote>
  <w:footnote w:id="15">
    <w:p w14:paraId="2C6105F4" w14:textId="77777777" w:rsidR="001C3247" w:rsidRPr="00B76ECC" w:rsidRDefault="001C3247" w:rsidP="00B53BF2">
      <w:pPr>
        <w:pStyle w:val="FootnoteText"/>
        <w:jc w:val="both"/>
        <w:rPr>
          <w:rFonts w:ascii="Times New Roman" w:hAnsi="Times New Roman" w:cs="Times New Roman"/>
          <w:lang w:val="en-US"/>
        </w:rPr>
      </w:pPr>
      <w:r w:rsidRPr="00B53BF2">
        <w:rPr>
          <w:rStyle w:val="FootnoteReference"/>
          <w:rFonts w:ascii="Times New Roman" w:hAnsi="Times New Roman" w:cs="Times New Roman"/>
        </w:rPr>
        <w:footnoteRef/>
      </w:r>
      <w:r w:rsidRPr="00B53BF2">
        <w:rPr>
          <w:rFonts w:ascii="Times New Roman" w:hAnsi="Times New Roman" w:cs="Times New Roman"/>
          <w:lang w:val="en-US"/>
        </w:rPr>
        <w:t xml:space="preserve"> As documented by Charles Warren, The Supreme Court in United States History, v. I (Boston: Little, Brown, 1922) 401-402. The hearings concerned the case </w:t>
      </w:r>
      <w:r w:rsidRPr="00B53BF2">
        <w:rPr>
          <w:rFonts w:ascii="Times New Roman" w:hAnsi="Times New Roman" w:cs="Times New Roman"/>
          <w:i/>
          <w:iCs/>
          <w:lang w:val="en-US"/>
        </w:rPr>
        <w:t>Vidal</w:t>
      </w:r>
      <w:r w:rsidRPr="00B76ECC">
        <w:rPr>
          <w:rFonts w:ascii="Times New Roman" w:hAnsi="Times New Roman" w:cs="Times New Roman"/>
          <w:i/>
          <w:iCs/>
          <w:lang w:val="en-US"/>
        </w:rPr>
        <w:t xml:space="preserve"> et al. v. Philadelphia</w:t>
      </w:r>
      <w:r w:rsidRPr="00B76ECC">
        <w:rPr>
          <w:rFonts w:ascii="Times New Roman" w:hAnsi="Times New Roman" w:cs="Times New Roman"/>
          <w:lang w:val="en-US"/>
        </w:rPr>
        <w:t>, 2 How. 127.</w:t>
      </w:r>
    </w:p>
  </w:footnote>
  <w:footnote w:id="16">
    <w:p w14:paraId="216AEFC1" w14:textId="7222BB58" w:rsidR="001C3247" w:rsidRPr="00B76ECC" w:rsidRDefault="001C3247" w:rsidP="00B76ECC">
      <w:pPr>
        <w:pStyle w:val="FootnoteText"/>
        <w:jc w:val="both"/>
        <w:rPr>
          <w:rFonts w:ascii="Times New Roman" w:hAnsi="Times New Roman" w:cs="Times New Roman"/>
          <w:lang w:val="de-DE"/>
        </w:rPr>
      </w:pPr>
      <w:r w:rsidRPr="00B76ECC">
        <w:rPr>
          <w:rStyle w:val="FootnoteReference"/>
          <w:rFonts w:ascii="Times New Roman" w:hAnsi="Times New Roman" w:cs="Times New Roman"/>
        </w:rPr>
        <w:footnoteRef/>
      </w:r>
      <w:r w:rsidRPr="00B76ECC">
        <w:rPr>
          <w:rFonts w:ascii="Times New Roman" w:hAnsi="Times New Roman" w:cs="Times New Roman"/>
          <w:lang w:val="de-DE"/>
        </w:rPr>
        <w:t xml:space="preserve"> Bundesverfassungsgericht, </w:t>
      </w:r>
      <w:r w:rsidRPr="00BF37D8">
        <w:rPr>
          <w:rFonts w:ascii="Times New Roman" w:hAnsi="Times New Roman" w:cs="Times New Roman"/>
          <w:i/>
          <w:iCs/>
          <w:lang w:val="de-DE"/>
        </w:rPr>
        <w:t>Jahresbericht 2021</w:t>
      </w:r>
      <w:r w:rsidRPr="00B76ECC">
        <w:rPr>
          <w:rFonts w:ascii="Times New Roman" w:hAnsi="Times New Roman" w:cs="Times New Roman"/>
          <w:lang w:val="de-DE"/>
        </w:rPr>
        <w:t>, (Karlsruhe: Bundesverfassungsgericht, 2021) 35.</w:t>
      </w:r>
    </w:p>
  </w:footnote>
  <w:footnote w:id="17">
    <w:p w14:paraId="6C99A8DD" w14:textId="149B3C0F" w:rsidR="001C3247" w:rsidRPr="00E154ED" w:rsidRDefault="001C3247" w:rsidP="00B76ECC">
      <w:pPr>
        <w:pStyle w:val="FootnoteText"/>
        <w:jc w:val="both"/>
        <w:rPr>
          <w:rFonts w:ascii="Times New Roman" w:hAnsi="Times New Roman" w:cs="Times New Roman"/>
          <w:lang w:val="en-US"/>
        </w:rPr>
      </w:pPr>
      <w:r w:rsidRPr="00B76ECC">
        <w:rPr>
          <w:rStyle w:val="FootnoteReference"/>
          <w:rFonts w:ascii="Times New Roman" w:hAnsi="Times New Roman" w:cs="Times New Roman"/>
        </w:rPr>
        <w:footnoteRef/>
      </w:r>
      <w:r w:rsidRPr="00B76ECC">
        <w:rPr>
          <w:rFonts w:ascii="Times New Roman" w:hAnsi="Times New Roman" w:cs="Times New Roman"/>
          <w:lang w:val="de-DE"/>
        </w:rPr>
        <w:t xml:space="preserve"> For instance, see Werner J. Patzelt, </w:t>
      </w:r>
      <w:r w:rsidRPr="00F73316">
        <w:rPr>
          <w:rFonts w:ascii="Times New Roman" w:hAnsi="Times New Roman" w:cs="Times New Roman"/>
          <w:lang w:val="de-DE"/>
        </w:rPr>
        <w:t xml:space="preserve">Warum </w:t>
      </w:r>
      <w:r w:rsidRPr="00F73316">
        <w:rPr>
          <w:rFonts w:ascii="Times New Roman" w:hAnsi="Times New Roman" w:cs="Times New Roman"/>
          <w:color w:val="000000" w:themeColor="text1"/>
          <w:lang w:val="de-DE"/>
        </w:rPr>
        <w:t>verachten</w:t>
      </w:r>
      <w:r w:rsidRPr="00F73316">
        <w:rPr>
          <w:rFonts w:ascii="Times New Roman" w:hAnsi="Times New Roman" w:cs="Times New Roman"/>
          <w:lang w:val="de-DE"/>
        </w:rPr>
        <w:t xml:space="preserve"> die Deutschen ihr Parlament und lieben ihr Verfassungsgericht? </w:t>
      </w:r>
      <w:proofErr w:type="spellStart"/>
      <w:r w:rsidRPr="00E154ED">
        <w:rPr>
          <w:rFonts w:ascii="Times New Roman" w:hAnsi="Times New Roman" w:cs="Times New Roman"/>
          <w:lang w:val="en-US"/>
        </w:rPr>
        <w:t>Ergebnisse</w:t>
      </w:r>
      <w:proofErr w:type="spellEnd"/>
      <w:r w:rsidRPr="00E154ED">
        <w:rPr>
          <w:rFonts w:ascii="Times New Roman" w:hAnsi="Times New Roman" w:cs="Times New Roman"/>
          <w:lang w:val="en-US"/>
        </w:rPr>
        <w:t xml:space="preserve"> </w:t>
      </w:r>
      <w:proofErr w:type="spellStart"/>
      <w:r w:rsidRPr="00E154ED">
        <w:rPr>
          <w:rFonts w:ascii="Times New Roman" w:hAnsi="Times New Roman" w:cs="Times New Roman"/>
          <w:lang w:val="en-US"/>
        </w:rPr>
        <w:t>eine</w:t>
      </w:r>
      <w:proofErr w:type="spellEnd"/>
      <w:r w:rsidRPr="00E154ED">
        <w:rPr>
          <w:rFonts w:ascii="Times New Roman" w:hAnsi="Times New Roman" w:cs="Times New Roman"/>
          <w:lang w:val="en-US"/>
        </w:rPr>
        <w:t xml:space="preserve"> </w:t>
      </w:r>
      <w:proofErr w:type="spellStart"/>
      <w:r w:rsidRPr="00E154ED">
        <w:rPr>
          <w:rFonts w:ascii="Times New Roman" w:hAnsi="Times New Roman" w:cs="Times New Roman"/>
          <w:lang w:val="en-US"/>
        </w:rPr>
        <w:t>vergleichenden</w:t>
      </w:r>
      <w:proofErr w:type="spellEnd"/>
      <w:r w:rsidRPr="00E154ED">
        <w:rPr>
          <w:rFonts w:ascii="Times New Roman" w:hAnsi="Times New Roman" w:cs="Times New Roman"/>
          <w:lang w:val="en-US"/>
        </w:rPr>
        <w:t xml:space="preserve"> </w:t>
      </w:r>
      <w:proofErr w:type="spellStart"/>
      <w:r w:rsidRPr="00E154ED">
        <w:rPr>
          <w:rFonts w:ascii="Times New Roman" w:hAnsi="Times New Roman" w:cs="Times New Roman"/>
          <w:lang w:val="en-US"/>
        </w:rPr>
        <w:t>demoskopischen</w:t>
      </w:r>
      <w:proofErr w:type="spellEnd"/>
      <w:r w:rsidRPr="00E154ED">
        <w:rPr>
          <w:rFonts w:ascii="Times New Roman" w:hAnsi="Times New Roman" w:cs="Times New Roman"/>
          <w:lang w:val="en-US"/>
        </w:rPr>
        <w:t xml:space="preserve"> </w:t>
      </w:r>
      <w:proofErr w:type="spellStart"/>
      <w:r w:rsidRPr="00E154ED">
        <w:rPr>
          <w:rFonts w:ascii="Times New Roman" w:hAnsi="Times New Roman" w:cs="Times New Roman"/>
          <w:lang w:val="en-US"/>
        </w:rPr>
        <w:t>Studie</w:t>
      </w:r>
      <w:proofErr w:type="spellEnd"/>
      <w:r w:rsidRPr="00E154ED">
        <w:rPr>
          <w:rFonts w:ascii="Times New Roman" w:hAnsi="Times New Roman" w:cs="Times New Roman"/>
          <w:lang w:val="en-US"/>
        </w:rPr>
        <w:t xml:space="preserve">, 36 </w:t>
      </w:r>
      <w:proofErr w:type="spellStart"/>
      <w:r w:rsidRPr="00E154ED">
        <w:rPr>
          <w:rFonts w:ascii="Times New Roman" w:hAnsi="Times New Roman" w:cs="Times New Roman"/>
          <w:i/>
          <w:iCs/>
          <w:lang w:val="en-US"/>
        </w:rPr>
        <w:t>Zeitschrift</w:t>
      </w:r>
      <w:proofErr w:type="spellEnd"/>
      <w:r w:rsidRPr="00E154ED">
        <w:rPr>
          <w:rFonts w:ascii="Times New Roman" w:hAnsi="Times New Roman" w:cs="Times New Roman"/>
          <w:i/>
          <w:iCs/>
          <w:lang w:val="en-US"/>
        </w:rPr>
        <w:t xml:space="preserve"> für </w:t>
      </w:r>
      <w:proofErr w:type="spellStart"/>
      <w:r w:rsidRPr="00E154ED">
        <w:rPr>
          <w:rFonts w:ascii="Times New Roman" w:hAnsi="Times New Roman" w:cs="Times New Roman"/>
          <w:i/>
          <w:iCs/>
          <w:lang w:val="en-US"/>
        </w:rPr>
        <w:t>Parlamentsfragen</w:t>
      </w:r>
      <w:proofErr w:type="spellEnd"/>
      <w:r w:rsidRPr="00E154ED">
        <w:rPr>
          <w:rFonts w:ascii="Times New Roman" w:hAnsi="Times New Roman" w:cs="Times New Roman"/>
          <w:lang w:val="en-US"/>
        </w:rPr>
        <w:t xml:space="preserve"> 3 (2005).</w:t>
      </w:r>
    </w:p>
  </w:footnote>
  <w:footnote w:id="18">
    <w:p w14:paraId="212E2B99" w14:textId="28EC95E4" w:rsidR="001C3247" w:rsidRPr="00A7267D" w:rsidRDefault="001C3247" w:rsidP="00B76ECC">
      <w:pPr>
        <w:pStyle w:val="FootnoteText"/>
        <w:jc w:val="both"/>
        <w:rPr>
          <w:rFonts w:ascii="Times New Roman" w:hAnsi="Times New Roman" w:cs="Times New Roman"/>
          <w:lang w:val="en-US"/>
        </w:rPr>
      </w:pPr>
      <w:r w:rsidRPr="00983294">
        <w:rPr>
          <w:rStyle w:val="FootnoteReference"/>
          <w:rFonts w:ascii="Times New Roman" w:hAnsi="Times New Roman" w:cs="Times New Roman"/>
        </w:rPr>
        <w:footnoteRef/>
      </w:r>
      <w:r w:rsidRPr="00983294">
        <w:rPr>
          <w:rFonts w:ascii="Times New Roman" w:hAnsi="Times New Roman" w:cs="Times New Roman"/>
          <w:lang w:val="en-US"/>
        </w:rPr>
        <w:t xml:space="preserve"> Although the rating of the US Supreme Court reached a new historic low, the fact that it can be a subject of opinion polls</w:t>
      </w:r>
      <w:r>
        <w:rPr>
          <w:rFonts w:ascii="Times New Roman" w:hAnsi="Times New Roman" w:cs="Times New Roman"/>
          <w:lang w:val="en-US"/>
        </w:rPr>
        <w:t xml:space="preserve"> alongside the presidency, Congress and so on, with individual Justices standing shoulder to shoulder with the President,</w:t>
      </w:r>
      <w:r w:rsidRPr="00983294">
        <w:rPr>
          <w:rFonts w:ascii="Times New Roman" w:hAnsi="Times New Roman" w:cs="Times New Roman"/>
          <w:lang w:val="en-US"/>
        </w:rPr>
        <w:t xml:space="preserve"> </w:t>
      </w:r>
      <w:proofErr w:type="gramStart"/>
      <w:r w:rsidRPr="00983294">
        <w:rPr>
          <w:rFonts w:ascii="Times New Roman" w:hAnsi="Times New Roman" w:cs="Times New Roman"/>
          <w:lang w:val="en-US"/>
        </w:rPr>
        <w:t>tells</w:t>
      </w:r>
      <w:proofErr w:type="gramEnd"/>
      <w:r w:rsidRPr="00983294">
        <w:rPr>
          <w:rFonts w:ascii="Times New Roman" w:hAnsi="Times New Roman" w:cs="Times New Roman"/>
          <w:lang w:val="en-US"/>
        </w:rPr>
        <w:t xml:space="preserve"> much</w:t>
      </w:r>
      <w:r>
        <w:rPr>
          <w:rFonts w:ascii="Times New Roman" w:hAnsi="Times New Roman" w:cs="Times New Roman"/>
          <w:lang w:val="en-US"/>
        </w:rPr>
        <w:t xml:space="preserve"> about how it attracts the public eye</w:t>
      </w:r>
      <w:r w:rsidRPr="00983294">
        <w:rPr>
          <w:rFonts w:ascii="Times New Roman" w:hAnsi="Times New Roman" w:cs="Times New Roman"/>
          <w:lang w:val="en-US"/>
        </w:rPr>
        <w:t xml:space="preserve">. </w:t>
      </w:r>
      <w:r w:rsidRPr="00BD3702">
        <w:rPr>
          <w:rFonts w:ascii="Times New Roman" w:hAnsi="Times New Roman" w:cs="Times New Roman"/>
          <w:i/>
          <w:iCs/>
          <w:lang w:val="en-US"/>
        </w:rPr>
        <w:t>Confidence in Jeffrey M. Jones, U.S. Supreme Court Sinks to Historic Low</w:t>
      </w:r>
      <w:r w:rsidRPr="00983294">
        <w:rPr>
          <w:rFonts w:ascii="Times New Roman" w:hAnsi="Times New Roman" w:cs="Times New Roman"/>
          <w:lang w:val="en-US"/>
        </w:rPr>
        <w:t xml:space="preserve">, Gallup June 23 2022, available at: </w:t>
      </w:r>
      <w:r w:rsidRPr="00983294">
        <w:rPr>
          <w:lang w:val="en-US"/>
        </w:rPr>
        <w:t xml:space="preserve"> </w:t>
      </w:r>
      <w:hyperlink r:id="rId1" w:history="1">
        <w:r w:rsidRPr="00983294">
          <w:rPr>
            <w:rStyle w:val="Hyperlink"/>
            <w:rFonts w:ascii="Times New Roman" w:hAnsi="Times New Roman" w:cs="Times New Roman"/>
            <w:color w:val="auto"/>
            <w:lang w:val="en-US"/>
          </w:rPr>
          <w:t>https://news.gallup.com/poll/394103/confidence-supreme-court-sinks-historic-low.aspx</w:t>
        </w:r>
      </w:hyperlink>
      <w:r w:rsidRPr="00983294">
        <w:rPr>
          <w:rFonts w:ascii="Times New Roman" w:hAnsi="Times New Roman" w:cs="Times New Roman"/>
          <w:lang w:val="en-US"/>
        </w:rPr>
        <w:t xml:space="preserve">. On the relationship between the US Supreme Court and public opinion, see Barry Friedman, </w:t>
      </w:r>
      <w:r w:rsidRPr="00983294">
        <w:rPr>
          <w:rFonts w:ascii="Times New Roman" w:hAnsi="Times New Roman" w:cs="Times New Roman"/>
          <w:i/>
          <w:iCs/>
          <w:lang w:val="en-US"/>
        </w:rPr>
        <w:t>The Will of the People: How Public Opinion has Influenced the Supreme Court and Shaped the Meaning of the Constitution</w:t>
      </w:r>
      <w:r w:rsidRPr="00983294">
        <w:rPr>
          <w:rFonts w:ascii="Times New Roman" w:hAnsi="Times New Roman" w:cs="Times New Roman"/>
          <w:lang w:val="en-US"/>
        </w:rPr>
        <w:t xml:space="preserve"> (New York: Farrar, Straus and Giroux, 2010</w:t>
      </w:r>
      <w:proofErr w:type="gramStart"/>
      <w:r w:rsidRPr="00983294">
        <w:rPr>
          <w:rFonts w:ascii="Times New Roman" w:hAnsi="Times New Roman" w:cs="Times New Roman"/>
          <w:lang w:val="en-US"/>
        </w:rPr>
        <w:t>)  For</w:t>
      </w:r>
      <w:proofErr w:type="gramEnd"/>
      <w:r w:rsidRPr="00983294">
        <w:rPr>
          <w:rFonts w:ascii="Times New Roman" w:hAnsi="Times New Roman" w:cs="Times New Roman"/>
          <w:lang w:val="en-US"/>
        </w:rPr>
        <w:t xml:space="preserve"> a constitutional-theoretical reflection on opinion polls in the US law-world, see Bruce Ackerman, </w:t>
      </w:r>
      <w:r w:rsidRPr="00983294">
        <w:rPr>
          <w:rFonts w:ascii="Times New Roman" w:hAnsi="Times New Roman" w:cs="Times New Roman"/>
          <w:i/>
          <w:iCs/>
          <w:lang w:val="en-US"/>
        </w:rPr>
        <w:t>The Decline and Fall of the American Republic</w:t>
      </w:r>
      <w:r w:rsidRPr="00983294">
        <w:rPr>
          <w:rFonts w:ascii="Times New Roman" w:hAnsi="Times New Roman" w:cs="Times New Roman"/>
          <w:lang w:val="en-US"/>
        </w:rPr>
        <w:t>, (Cambridge: Belknap Press, 2013).</w:t>
      </w:r>
    </w:p>
  </w:footnote>
  <w:footnote w:id="19">
    <w:p w14:paraId="7C922447" w14:textId="56402501" w:rsidR="00E24D2D" w:rsidRPr="00E24D2D" w:rsidRDefault="00E24D2D" w:rsidP="00E24D2D">
      <w:pPr>
        <w:pStyle w:val="FootnoteText"/>
        <w:jc w:val="both"/>
        <w:rPr>
          <w:rFonts w:ascii="Times New Roman" w:hAnsi="Times New Roman" w:cs="Times New Roman"/>
          <w:lang w:val="en-US"/>
        </w:rPr>
      </w:pPr>
      <w:r w:rsidRPr="00E24D2D">
        <w:rPr>
          <w:rStyle w:val="FootnoteReference"/>
          <w:rFonts w:ascii="Times New Roman" w:hAnsi="Times New Roman" w:cs="Times New Roman"/>
        </w:rPr>
        <w:footnoteRef/>
      </w:r>
      <w:r w:rsidRPr="00E24D2D">
        <w:rPr>
          <w:rFonts w:ascii="Times New Roman" w:hAnsi="Times New Roman" w:cs="Times New Roman"/>
          <w:lang w:val="en-US"/>
        </w:rPr>
        <w:t xml:space="preserve"> I borrow the expression from Pierre Legrand. Implicit, therefore, is his argument about the fabric of the law, and how it is composed of a manifold of traces, stemming from different domains and underlying the meaningfulness of any legal artifact. See, among others, Legrand, Foreign law: understanding </w:t>
      </w:r>
      <w:proofErr w:type="spellStart"/>
      <w:r w:rsidRPr="00E24D2D">
        <w:rPr>
          <w:rFonts w:ascii="Times New Roman" w:hAnsi="Times New Roman" w:cs="Times New Roman"/>
          <w:lang w:val="en-US"/>
        </w:rPr>
        <w:t>understanding</w:t>
      </w:r>
      <w:proofErr w:type="spellEnd"/>
      <w:r w:rsidRPr="00E24D2D">
        <w:rPr>
          <w:rFonts w:ascii="Times New Roman" w:hAnsi="Times New Roman" w:cs="Times New Roman"/>
          <w:lang w:val="en-US"/>
        </w:rPr>
        <w:t xml:space="preserve">, </w:t>
      </w:r>
      <w:r w:rsidRPr="00E24D2D">
        <w:rPr>
          <w:rFonts w:ascii="Times New Roman" w:hAnsi="Times New Roman" w:cs="Times New Roman"/>
          <w:i/>
          <w:iCs/>
          <w:lang w:val="en-US"/>
        </w:rPr>
        <w:t>Journal of Comparative Law</w:t>
      </w:r>
      <w:r w:rsidRPr="00E24D2D">
        <w:rPr>
          <w:rFonts w:ascii="Times New Roman" w:hAnsi="Times New Roman" w:cs="Times New Roman"/>
          <w:lang w:val="en-US"/>
        </w:rPr>
        <w:t xml:space="preserve"> 2 (2011). I prefer it to other more common expressions, such as “legal systems” or “legal orders” due to how the remission to “world” already suggests this reference to what subtends legal experience.</w:t>
      </w:r>
    </w:p>
  </w:footnote>
  <w:footnote w:id="20">
    <w:p w14:paraId="5777BAD9" w14:textId="7C9C4B07" w:rsidR="001C3247" w:rsidRPr="00B76ECC" w:rsidRDefault="001C3247" w:rsidP="00B76ECC">
      <w:pPr>
        <w:pStyle w:val="FootnoteText"/>
        <w:jc w:val="both"/>
        <w:rPr>
          <w:rFonts w:ascii="Times New Roman" w:hAnsi="Times New Roman" w:cs="Times New Roman"/>
          <w:lang w:val="en-US"/>
        </w:rPr>
      </w:pPr>
      <w:r w:rsidRPr="00B76ECC">
        <w:rPr>
          <w:rStyle w:val="FootnoteReference"/>
          <w:rFonts w:ascii="Times New Roman" w:hAnsi="Times New Roman" w:cs="Times New Roman"/>
        </w:rPr>
        <w:footnoteRef/>
      </w:r>
      <w:r w:rsidRPr="00B76ECC">
        <w:rPr>
          <w:rFonts w:ascii="Times New Roman" w:hAnsi="Times New Roman" w:cs="Times New Roman"/>
          <w:lang w:val="en-US"/>
        </w:rPr>
        <w:t xml:space="preserve"> Günter Frankenberg, </w:t>
      </w:r>
      <w:r w:rsidRPr="00BD3702">
        <w:rPr>
          <w:rFonts w:ascii="Times New Roman" w:hAnsi="Times New Roman" w:cs="Times New Roman"/>
          <w:i/>
          <w:iCs/>
          <w:lang w:val="en-US"/>
        </w:rPr>
        <w:t>Comparative Constitutional Studies: Between Magic and Deceit</w:t>
      </w:r>
      <w:r w:rsidRPr="00B76ECC">
        <w:rPr>
          <w:rFonts w:ascii="Times New Roman" w:hAnsi="Times New Roman" w:cs="Times New Roman"/>
          <w:lang w:val="en-US"/>
        </w:rPr>
        <w:t xml:space="preserve"> (Cheltenham: Edward Elgar, 2018) 162 (“In the realm of political legitimacy, religion was superseded by constitutionalism.”)</w:t>
      </w:r>
    </w:p>
  </w:footnote>
  <w:footnote w:id="21">
    <w:p w14:paraId="6F318933" w14:textId="1BD6F3F4" w:rsidR="00694910" w:rsidRPr="00137CF6" w:rsidRDefault="00694910" w:rsidP="00137CF6">
      <w:pPr>
        <w:pStyle w:val="FootnoteText"/>
        <w:jc w:val="both"/>
        <w:rPr>
          <w:rFonts w:ascii="Times New Roman" w:hAnsi="Times New Roman" w:cs="Times New Roman"/>
          <w:lang w:val="de-DE"/>
        </w:rPr>
      </w:pPr>
      <w:r w:rsidRPr="00137CF6">
        <w:rPr>
          <w:rStyle w:val="FootnoteReference"/>
          <w:rFonts w:ascii="Times New Roman" w:hAnsi="Times New Roman" w:cs="Times New Roman"/>
        </w:rPr>
        <w:footnoteRef/>
      </w:r>
      <w:r w:rsidRPr="00137CF6">
        <w:rPr>
          <w:rFonts w:ascii="Times New Roman" w:hAnsi="Times New Roman" w:cs="Times New Roman"/>
          <w:lang w:val="de-DE"/>
        </w:rPr>
        <w:t xml:space="preserve"> </w:t>
      </w:r>
      <w:r w:rsidR="00137CF6" w:rsidRPr="00137CF6">
        <w:rPr>
          <w:rFonts w:ascii="Times New Roman" w:hAnsi="Times New Roman" w:cs="Times New Roman"/>
          <w:lang w:val="de-DE"/>
        </w:rPr>
        <w:t xml:space="preserve">See Olaf Blaschke, Das 19. Jahrhundert: Ein Zweites Konfessionelles Zeitalter, 26 </w:t>
      </w:r>
      <w:r w:rsidR="00137CF6" w:rsidRPr="00137CF6">
        <w:rPr>
          <w:rFonts w:ascii="Times New Roman" w:hAnsi="Times New Roman" w:cs="Times New Roman"/>
          <w:i/>
          <w:iCs/>
          <w:lang w:val="de-DE"/>
        </w:rPr>
        <w:t>Geschichte und Gesellschaft</w:t>
      </w:r>
      <w:r w:rsidR="00137CF6" w:rsidRPr="00137CF6">
        <w:rPr>
          <w:rFonts w:ascii="Times New Roman" w:hAnsi="Times New Roman" w:cs="Times New Roman"/>
          <w:lang w:val="de-DE"/>
        </w:rPr>
        <w:t xml:space="preserve"> (2000) 38-75; further, id. (ed.), </w:t>
      </w:r>
      <w:r w:rsidR="00137CF6" w:rsidRPr="00137CF6">
        <w:rPr>
          <w:rFonts w:ascii="Times New Roman" w:hAnsi="Times New Roman" w:cs="Times New Roman"/>
          <w:i/>
          <w:iCs/>
          <w:lang w:val="de-DE"/>
        </w:rPr>
        <w:t>Konfessionen im Konflikt. Deutschland zwischen 1800 und 1970: ein zweites konfessionelles Zeitalter</w:t>
      </w:r>
      <w:r w:rsidR="00137CF6" w:rsidRPr="00137CF6">
        <w:rPr>
          <w:rFonts w:ascii="Times New Roman" w:hAnsi="Times New Roman" w:cs="Times New Roman"/>
          <w:lang w:val="de-DE"/>
        </w:rPr>
        <w:t xml:space="preserve">, (Göttingen: Vandenhoeck &amp; Ruprecht, 2002). </w:t>
      </w:r>
      <w:r w:rsidR="00137CF6" w:rsidRPr="00137CF6">
        <w:rPr>
          <w:rFonts w:ascii="Times New Roman" w:hAnsi="Times New Roman" w:cs="Times New Roman"/>
          <w:lang w:val="en-US"/>
        </w:rPr>
        <w:t xml:space="preserve">For a use of this “epochal signature” in legal history, see Pascale </w:t>
      </w:r>
      <w:proofErr w:type="spellStart"/>
      <w:r w:rsidR="00137CF6" w:rsidRPr="00137CF6">
        <w:rPr>
          <w:rFonts w:ascii="Times New Roman" w:hAnsi="Times New Roman" w:cs="Times New Roman"/>
          <w:lang w:val="en-US"/>
        </w:rPr>
        <w:t>Cancik</w:t>
      </w:r>
      <w:proofErr w:type="spellEnd"/>
      <w:r w:rsidR="00137CF6" w:rsidRPr="00137CF6">
        <w:rPr>
          <w:rFonts w:ascii="Times New Roman" w:hAnsi="Times New Roman" w:cs="Times New Roman"/>
          <w:lang w:val="en-US"/>
        </w:rPr>
        <w:t xml:space="preserve">, Thomas </w:t>
      </w:r>
      <w:proofErr w:type="spellStart"/>
      <w:r w:rsidR="00137CF6" w:rsidRPr="00137CF6">
        <w:rPr>
          <w:rFonts w:ascii="Times New Roman" w:hAnsi="Times New Roman" w:cs="Times New Roman"/>
          <w:lang w:val="en-US"/>
        </w:rPr>
        <w:t>Henne</w:t>
      </w:r>
      <w:proofErr w:type="spellEnd"/>
      <w:r w:rsidR="00137CF6" w:rsidRPr="00137CF6">
        <w:rPr>
          <w:rFonts w:ascii="Times New Roman" w:hAnsi="Times New Roman" w:cs="Times New Roman"/>
          <w:lang w:val="en-US"/>
        </w:rPr>
        <w:t xml:space="preserve">, Thomas Simon, Stefan Ruppert, Milos </w:t>
      </w:r>
      <w:proofErr w:type="spellStart"/>
      <w:r w:rsidR="00137CF6" w:rsidRPr="00137CF6">
        <w:rPr>
          <w:rFonts w:ascii="Times New Roman" w:hAnsi="Times New Roman" w:cs="Times New Roman"/>
          <w:lang w:val="en-US"/>
        </w:rPr>
        <w:t>Vec</w:t>
      </w:r>
      <w:proofErr w:type="spellEnd"/>
      <w:r w:rsidR="00137CF6" w:rsidRPr="00137CF6">
        <w:rPr>
          <w:rFonts w:ascii="Times New Roman" w:hAnsi="Times New Roman" w:cs="Times New Roman"/>
          <w:lang w:val="en-US"/>
        </w:rPr>
        <w:t xml:space="preserve">, (eds.) </w:t>
      </w:r>
      <w:r w:rsidR="00137CF6" w:rsidRPr="00137CF6">
        <w:rPr>
          <w:rFonts w:ascii="Times New Roman" w:hAnsi="Times New Roman" w:cs="Times New Roman"/>
          <w:i/>
          <w:iCs/>
          <w:lang w:val="de-DE"/>
        </w:rPr>
        <w:t>Konfession im Recht: Auf der Suche nach konfessionell geprägten Denkmustern und Argumentationsstrategien in Recht und Rechtswissenschaft des 19. und 20. Jahrhunderts</w:t>
      </w:r>
      <w:r w:rsidR="00137CF6" w:rsidRPr="00137CF6">
        <w:rPr>
          <w:rFonts w:ascii="Times New Roman" w:hAnsi="Times New Roman" w:cs="Times New Roman"/>
          <w:lang w:val="de-DE"/>
        </w:rPr>
        <w:t>, (Frankfurt a. M.: Vittorio Klostermann, 2008).</w:t>
      </w:r>
    </w:p>
  </w:footnote>
  <w:footnote w:id="22">
    <w:p w14:paraId="21BA5A10" w14:textId="14FCA26D" w:rsidR="002D456D" w:rsidRPr="00457B74" w:rsidRDefault="002D456D" w:rsidP="00137CF6">
      <w:pPr>
        <w:pStyle w:val="FootnoteText"/>
        <w:jc w:val="both"/>
        <w:rPr>
          <w:lang w:val="en-US"/>
        </w:rPr>
      </w:pPr>
      <w:r w:rsidRPr="00137CF6">
        <w:rPr>
          <w:rStyle w:val="FootnoteReference"/>
          <w:rFonts w:ascii="Times New Roman" w:hAnsi="Times New Roman" w:cs="Times New Roman"/>
        </w:rPr>
        <w:footnoteRef/>
      </w:r>
      <w:r w:rsidRPr="00137CF6">
        <w:rPr>
          <w:rFonts w:ascii="Times New Roman" w:hAnsi="Times New Roman" w:cs="Times New Roman"/>
          <w:lang w:val="de-DE"/>
        </w:rPr>
        <w:t xml:space="preserve"> </w:t>
      </w:r>
      <w:r w:rsidR="00137CF6" w:rsidRPr="00137CF6">
        <w:rPr>
          <w:rFonts w:ascii="Times New Roman" w:hAnsi="Times New Roman" w:cs="Times New Roman"/>
          <w:lang w:val="de-DE"/>
        </w:rPr>
        <w:t xml:space="preserve">On these threads, see Blaschke, Das 19 Jahrhundert…; for a reformulation of them from a systems theory’s inspired perspective, see Rudolf Schlögl, Differenzierung und Integration: Konfessionalisierung im frühneuzeitlichen Gesellschaftssystem. </w:t>
      </w:r>
      <w:r w:rsidR="00137CF6" w:rsidRPr="00457B74">
        <w:rPr>
          <w:rFonts w:ascii="Times New Roman" w:hAnsi="Times New Roman" w:cs="Times New Roman"/>
          <w:lang w:val="en-US"/>
        </w:rPr>
        <w:t xml:space="preserve">Das </w:t>
      </w:r>
      <w:proofErr w:type="spellStart"/>
      <w:r w:rsidR="00137CF6" w:rsidRPr="00457B74">
        <w:rPr>
          <w:rFonts w:ascii="Times New Roman" w:hAnsi="Times New Roman" w:cs="Times New Roman"/>
          <w:lang w:val="en-US"/>
        </w:rPr>
        <w:t>Beispiel</w:t>
      </w:r>
      <w:proofErr w:type="spellEnd"/>
      <w:r w:rsidR="00137CF6" w:rsidRPr="00457B74">
        <w:rPr>
          <w:rFonts w:ascii="Times New Roman" w:hAnsi="Times New Roman" w:cs="Times New Roman"/>
          <w:lang w:val="en-US"/>
        </w:rPr>
        <w:t xml:space="preserve"> der </w:t>
      </w:r>
      <w:proofErr w:type="spellStart"/>
      <w:r w:rsidR="00137CF6" w:rsidRPr="00457B74">
        <w:rPr>
          <w:rFonts w:ascii="Times New Roman" w:hAnsi="Times New Roman" w:cs="Times New Roman"/>
          <w:lang w:val="en-US"/>
        </w:rPr>
        <w:t>habsburgischen</w:t>
      </w:r>
      <w:proofErr w:type="spellEnd"/>
      <w:r w:rsidR="00137CF6" w:rsidRPr="00457B74">
        <w:rPr>
          <w:rFonts w:ascii="Times New Roman" w:hAnsi="Times New Roman" w:cs="Times New Roman"/>
          <w:lang w:val="en-US"/>
        </w:rPr>
        <w:t xml:space="preserve"> </w:t>
      </w:r>
      <w:proofErr w:type="spellStart"/>
      <w:r w:rsidR="00137CF6" w:rsidRPr="00457B74">
        <w:rPr>
          <w:rFonts w:ascii="Times New Roman" w:hAnsi="Times New Roman" w:cs="Times New Roman"/>
          <w:lang w:val="en-US"/>
        </w:rPr>
        <w:t>Vorlande</w:t>
      </w:r>
      <w:proofErr w:type="spellEnd"/>
      <w:r w:rsidR="00137CF6" w:rsidRPr="00457B74">
        <w:rPr>
          <w:rFonts w:ascii="Times New Roman" w:hAnsi="Times New Roman" w:cs="Times New Roman"/>
          <w:lang w:val="en-US"/>
        </w:rPr>
        <w:t xml:space="preserve"> 91 </w:t>
      </w:r>
      <w:proofErr w:type="spellStart"/>
      <w:r w:rsidR="00137CF6" w:rsidRPr="00457B74">
        <w:rPr>
          <w:rFonts w:ascii="Times New Roman" w:hAnsi="Times New Roman" w:cs="Times New Roman"/>
          <w:i/>
          <w:iCs/>
          <w:lang w:val="en-US"/>
        </w:rPr>
        <w:t>Archiv</w:t>
      </w:r>
      <w:proofErr w:type="spellEnd"/>
      <w:r w:rsidR="00137CF6" w:rsidRPr="00457B74">
        <w:rPr>
          <w:rFonts w:ascii="Times New Roman" w:hAnsi="Times New Roman" w:cs="Times New Roman"/>
          <w:i/>
          <w:iCs/>
          <w:lang w:val="en-US"/>
        </w:rPr>
        <w:t xml:space="preserve"> für </w:t>
      </w:r>
      <w:proofErr w:type="spellStart"/>
      <w:r w:rsidR="00137CF6" w:rsidRPr="00457B74">
        <w:rPr>
          <w:rFonts w:ascii="Times New Roman" w:hAnsi="Times New Roman" w:cs="Times New Roman"/>
          <w:i/>
          <w:iCs/>
          <w:lang w:val="en-US"/>
        </w:rPr>
        <w:t>Reformationsgeschichte</w:t>
      </w:r>
      <w:proofErr w:type="spellEnd"/>
      <w:r w:rsidR="00137CF6" w:rsidRPr="00457B74">
        <w:rPr>
          <w:rFonts w:ascii="Times New Roman" w:hAnsi="Times New Roman" w:cs="Times New Roman"/>
          <w:lang w:val="en-US"/>
        </w:rPr>
        <w:t xml:space="preserve"> 238-284 (2000).</w:t>
      </w:r>
    </w:p>
  </w:footnote>
  <w:footnote w:id="23">
    <w:p w14:paraId="5D4F0027" w14:textId="2B9EA0E8" w:rsidR="00694910" w:rsidRPr="00913427" w:rsidRDefault="00694910" w:rsidP="00913427">
      <w:pPr>
        <w:pStyle w:val="FootnoteText"/>
        <w:jc w:val="both"/>
        <w:rPr>
          <w:rFonts w:ascii="Times New Roman" w:hAnsi="Times New Roman" w:cs="Times New Roman"/>
          <w:lang w:val="en-US"/>
        </w:rPr>
      </w:pPr>
      <w:r w:rsidRPr="00913427">
        <w:rPr>
          <w:rStyle w:val="FootnoteReference"/>
          <w:rFonts w:ascii="Times New Roman" w:hAnsi="Times New Roman" w:cs="Times New Roman"/>
        </w:rPr>
        <w:footnoteRef/>
      </w:r>
      <w:r w:rsidRPr="00913427">
        <w:rPr>
          <w:rFonts w:ascii="Times New Roman" w:hAnsi="Times New Roman" w:cs="Times New Roman"/>
          <w:lang w:val="en-US"/>
        </w:rPr>
        <w:t xml:space="preserve"> </w:t>
      </w:r>
      <w:r w:rsidR="00913427" w:rsidRPr="00913427">
        <w:rPr>
          <w:rFonts w:ascii="Times New Roman" w:hAnsi="Times New Roman" w:cs="Times New Roman"/>
          <w:lang w:val="en-US"/>
        </w:rPr>
        <w:t xml:space="preserve">As argued by </w:t>
      </w:r>
      <w:r w:rsidR="00137CF6" w:rsidRPr="00913427">
        <w:rPr>
          <w:rFonts w:ascii="Times New Roman" w:hAnsi="Times New Roman" w:cs="Times New Roman"/>
          <w:lang w:val="en-US"/>
        </w:rPr>
        <w:t xml:space="preserve">Nathan O. Hatch, </w:t>
      </w:r>
      <w:r w:rsidR="00137CF6" w:rsidRPr="00913427">
        <w:rPr>
          <w:rFonts w:ascii="Times New Roman" w:hAnsi="Times New Roman" w:cs="Times New Roman"/>
          <w:i/>
          <w:iCs/>
          <w:lang w:val="en-US"/>
        </w:rPr>
        <w:t>The Democratization of American Christianity</w:t>
      </w:r>
      <w:r w:rsidR="00137CF6" w:rsidRPr="00913427">
        <w:rPr>
          <w:rFonts w:ascii="Times New Roman" w:hAnsi="Times New Roman" w:cs="Times New Roman"/>
          <w:lang w:val="en-US"/>
        </w:rPr>
        <w:t xml:space="preserve"> (New Haven: Yale University Press, 1989).</w:t>
      </w:r>
    </w:p>
  </w:footnote>
  <w:footnote w:id="24">
    <w:p w14:paraId="020A4809" w14:textId="759168B0" w:rsidR="00A30EB6" w:rsidRPr="00913427" w:rsidRDefault="00A30EB6" w:rsidP="00913427">
      <w:pPr>
        <w:pStyle w:val="FootnoteText"/>
        <w:jc w:val="both"/>
        <w:rPr>
          <w:rFonts w:ascii="Times New Roman" w:hAnsi="Times New Roman" w:cs="Times New Roman"/>
          <w:lang w:val="de-DE"/>
        </w:rPr>
      </w:pPr>
      <w:r w:rsidRPr="00913427">
        <w:rPr>
          <w:rStyle w:val="FootnoteReference"/>
          <w:rFonts w:ascii="Times New Roman" w:hAnsi="Times New Roman" w:cs="Times New Roman"/>
        </w:rPr>
        <w:footnoteRef/>
      </w:r>
      <w:r w:rsidRPr="00457B74">
        <w:rPr>
          <w:rFonts w:ascii="Times New Roman" w:hAnsi="Times New Roman" w:cs="Times New Roman"/>
          <w:lang w:val="en-US"/>
        </w:rPr>
        <w:t xml:space="preserve"> </w:t>
      </w:r>
      <w:r w:rsidR="00913427" w:rsidRPr="00457B74">
        <w:rPr>
          <w:rFonts w:ascii="Times New Roman" w:hAnsi="Times New Roman" w:cs="Times New Roman"/>
          <w:lang w:val="en-US"/>
        </w:rPr>
        <w:t xml:space="preserve">See the contributions in Olaf </w:t>
      </w:r>
      <w:proofErr w:type="spellStart"/>
      <w:r w:rsidR="00913427" w:rsidRPr="00457B74">
        <w:rPr>
          <w:rFonts w:ascii="Times New Roman" w:hAnsi="Times New Roman" w:cs="Times New Roman"/>
          <w:lang w:val="en-US"/>
        </w:rPr>
        <w:t>Blaschke</w:t>
      </w:r>
      <w:proofErr w:type="spellEnd"/>
      <w:r w:rsidR="00913427" w:rsidRPr="00457B74">
        <w:rPr>
          <w:rFonts w:ascii="Times New Roman" w:hAnsi="Times New Roman" w:cs="Times New Roman"/>
          <w:lang w:val="en-US"/>
        </w:rPr>
        <w:t xml:space="preserve"> (ed.) </w:t>
      </w:r>
      <w:r w:rsidR="00913427" w:rsidRPr="00913427">
        <w:rPr>
          <w:rFonts w:ascii="Times New Roman" w:hAnsi="Times New Roman" w:cs="Times New Roman"/>
          <w:i/>
          <w:iCs/>
          <w:lang w:val="de-DE"/>
        </w:rPr>
        <w:t>Konfessionen im Konflikt: Deutschland zwischen 1800 und 1970: ein zweites konfessionelles Zeitalter</w:t>
      </w:r>
      <w:r w:rsidR="00913427" w:rsidRPr="00913427">
        <w:rPr>
          <w:rFonts w:ascii="Times New Roman" w:hAnsi="Times New Roman" w:cs="Times New Roman"/>
          <w:lang w:val="de-DE"/>
        </w:rPr>
        <w:t xml:space="preserve"> (Göttingen: Vandehoeck &amp; Ruprecht, 2002).</w:t>
      </w:r>
    </w:p>
  </w:footnote>
  <w:footnote w:id="25">
    <w:p w14:paraId="0BA573D1" w14:textId="07CCD35C" w:rsidR="00694910" w:rsidRPr="00457B74" w:rsidRDefault="00694910" w:rsidP="00913427">
      <w:pPr>
        <w:pStyle w:val="FootnoteText"/>
        <w:jc w:val="both"/>
        <w:rPr>
          <w:lang w:val="en-US"/>
        </w:rPr>
      </w:pPr>
      <w:r w:rsidRPr="00913427">
        <w:rPr>
          <w:rStyle w:val="FootnoteReference"/>
          <w:rFonts w:ascii="Times New Roman" w:hAnsi="Times New Roman" w:cs="Times New Roman"/>
        </w:rPr>
        <w:footnoteRef/>
      </w:r>
      <w:r w:rsidRPr="00457B74">
        <w:rPr>
          <w:rFonts w:ascii="Times New Roman" w:hAnsi="Times New Roman" w:cs="Times New Roman"/>
          <w:lang w:val="en-US"/>
        </w:rPr>
        <w:t xml:space="preserve"> </w:t>
      </w:r>
      <w:proofErr w:type="spellStart"/>
      <w:r w:rsidR="00137CF6" w:rsidRPr="00457B74">
        <w:rPr>
          <w:rFonts w:ascii="Times New Roman" w:hAnsi="Times New Roman" w:cs="Times New Roman"/>
          <w:lang w:val="en-US"/>
        </w:rPr>
        <w:t>Blaschke</w:t>
      </w:r>
      <w:proofErr w:type="spellEnd"/>
      <w:r w:rsidR="00137CF6" w:rsidRPr="00457B74">
        <w:rPr>
          <w:rFonts w:ascii="Times New Roman" w:hAnsi="Times New Roman" w:cs="Times New Roman"/>
          <w:lang w:val="en-US"/>
        </w:rPr>
        <w:t xml:space="preserve">, Das 19 </w:t>
      </w:r>
      <w:proofErr w:type="spellStart"/>
      <w:r w:rsidR="00137CF6" w:rsidRPr="00457B74">
        <w:rPr>
          <w:rFonts w:ascii="Times New Roman" w:hAnsi="Times New Roman" w:cs="Times New Roman"/>
          <w:lang w:val="en-US"/>
        </w:rPr>
        <w:t>Jahrhundert</w:t>
      </w:r>
      <w:proofErr w:type="spellEnd"/>
      <w:r w:rsidR="00137CF6" w:rsidRPr="00457B74">
        <w:rPr>
          <w:rFonts w:ascii="Times New Roman" w:hAnsi="Times New Roman" w:cs="Times New Roman"/>
          <w:lang w:val="en-US"/>
        </w:rPr>
        <w:t>…</w:t>
      </w:r>
    </w:p>
  </w:footnote>
  <w:footnote w:id="26">
    <w:p w14:paraId="0EDAA884" w14:textId="5C595660" w:rsidR="00A314B1" w:rsidRPr="00103CF3" w:rsidRDefault="00A314B1" w:rsidP="00103CF3">
      <w:pPr>
        <w:pStyle w:val="FootnoteText"/>
        <w:jc w:val="both"/>
        <w:rPr>
          <w:rFonts w:ascii="Times New Roman" w:hAnsi="Times New Roman" w:cs="Times New Roman"/>
          <w:lang w:val="en-US"/>
        </w:rPr>
      </w:pPr>
      <w:r w:rsidRPr="00103CF3">
        <w:rPr>
          <w:rStyle w:val="FootnoteReference"/>
          <w:rFonts w:ascii="Times New Roman" w:hAnsi="Times New Roman" w:cs="Times New Roman"/>
        </w:rPr>
        <w:footnoteRef/>
      </w:r>
      <w:r w:rsidRPr="00103CF3">
        <w:rPr>
          <w:rFonts w:ascii="Times New Roman" w:hAnsi="Times New Roman" w:cs="Times New Roman"/>
          <w:lang w:val="en-US"/>
        </w:rPr>
        <w:t xml:space="preserve"> </w:t>
      </w:r>
      <w:r w:rsidR="00913427" w:rsidRPr="00103CF3">
        <w:rPr>
          <w:rFonts w:ascii="Times New Roman" w:hAnsi="Times New Roman" w:cs="Times New Roman"/>
          <w:lang w:val="en-US"/>
        </w:rPr>
        <w:t xml:space="preserve">Robert McCloskey, </w:t>
      </w:r>
      <w:r w:rsidR="00913427" w:rsidRPr="00103CF3">
        <w:rPr>
          <w:rFonts w:ascii="Times New Roman" w:hAnsi="Times New Roman" w:cs="Times New Roman"/>
          <w:i/>
          <w:iCs/>
          <w:lang w:val="en-US"/>
        </w:rPr>
        <w:t>The American Supreme Court</w:t>
      </w:r>
      <w:r w:rsidR="00913427" w:rsidRPr="00103CF3">
        <w:rPr>
          <w:rFonts w:ascii="Times New Roman" w:hAnsi="Times New Roman" w:cs="Times New Roman"/>
          <w:lang w:val="en-US"/>
        </w:rPr>
        <w:t>, rev. by Sanford Levison, 6</w:t>
      </w:r>
      <w:r w:rsidR="00913427" w:rsidRPr="00103CF3">
        <w:rPr>
          <w:rFonts w:ascii="Times New Roman" w:hAnsi="Times New Roman" w:cs="Times New Roman"/>
          <w:vertAlign w:val="superscript"/>
          <w:lang w:val="en-US"/>
        </w:rPr>
        <w:t>th</w:t>
      </w:r>
      <w:r w:rsidR="00913427" w:rsidRPr="00103CF3">
        <w:rPr>
          <w:rFonts w:ascii="Times New Roman" w:hAnsi="Times New Roman" w:cs="Times New Roman"/>
          <w:lang w:val="en-US"/>
        </w:rPr>
        <w:t xml:space="preserve"> ed. (</w:t>
      </w:r>
      <w:r w:rsidR="00103CF3" w:rsidRPr="00103CF3">
        <w:rPr>
          <w:rFonts w:ascii="Times New Roman" w:hAnsi="Times New Roman" w:cs="Times New Roman"/>
          <w:lang w:val="en-US"/>
        </w:rPr>
        <w:t>Chicago: The</w:t>
      </w:r>
      <w:r w:rsidR="00913427" w:rsidRPr="00103CF3">
        <w:rPr>
          <w:rFonts w:ascii="Times New Roman" w:hAnsi="Times New Roman" w:cs="Times New Roman"/>
          <w:lang w:val="en-US"/>
        </w:rPr>
        <w:t xml:space="preserve"> University</w:t>
      </w:r>
      <w:r w:rsidR="00103CF3" w:rsidRPr="00103CF3">
        <w:rPr>
          <w:rFonts w:ascii="Times New Roman" w:hAnsi="Times New Roman" w:cs="Times New Roman"/>
          <w:lang w:val="en-US"/>
        </w:rPr>
        <w:t xml:space="preserve"> of Chicago</w:t>
      </w:r>
      <w:r w:rsidR="00913427" w:rsidRPr="00103CF3">
        <w:rPr>
          <w:rFonts w:ascii="Times New Roman" w:hAnsi="Times New Roman" w:cs="Times New Roman"/>
          <w:lang w:val="en-US"/>
        </w:rPr>
        <w:t xml:space="preserve"> Press, </w:t>
      </w:r>
      <w:r w:rsidR="00103CF3" w:rsidRPr="00103CF3">
        <w:rPr>
          <w:rFonts w:ascii="Times New Roman" w:hAnsi="Times New Roman" w:cs="Times New Roman"/>
          <w:lang w:val="en-US"/>
        </w:rPr>
        <w:t>2016</w:t>
      </w:r>
      <w:r w:rsidR="00913427" w:rsidRPr="00103CF3">
        <w:rPr>
          <w:rFonts w:ascii="Times New Roman" w:hAnsi="Times New Roman" w:cs="Times New Roman"/>
          <w:lang w:val="en-US"/>
        </w:rPr>
        <w:t>) 54.</w:t>
      </w:r>
    </w:p>
  </w:footnote>
  <w:footnote w:id="27">
    <w:p w14:paraId="17072DDA" w14:textId="5F461308" w:rsidR="005C7D9D" w:rsidRPr="00103CF3" w:rsidRDefault="005C7D9D" w:rsidP="00103CF3">
      <w:pPr>
        <w:pStyle w:val="FootnoteText"/>
        <w:jc w:val="both"/>
        <w:rPr>
          <w:rFonts w:ascii="Times New Roman" w:hAnsi="Times New Roman" w:cs="Times New Roman"/>
          <w:lang w:val="en-US"/>
        </w:rPr>
      </w:pPr>
      <w:r w:rsidRPr="00103CF3">
        <w:rPr>
          <w:rStyle w:val="FootnoteReference"/>
          <w:rFonts w:ascii="Times New Roman" w:hAnsi="Times New Roman" w:cs="Times New Roman"/>
        </w:rPr>
        <w:footnoteRef/>
      </w:r>
      <w:r w:rsidRPr="00103CF3">
        <w:rPr>
          <w:rFonts w:ascii="Times New Roman" w:hAnsi="Times New Roman" w:cs="Times New Roman"/>
          <w:lang w:val="en-US"/>
        </w:rPr>
        <w:t xml:space="preserve"> </w:t>
      </w:r>
      <w:r w:rsidR="00103CF3" w:rsidRPr="00103CF3">
        <w:rPr>
          <w:rFonts w:ascii="Times New Roman" w:hAnsi="Times New Roman" w:cs="Times New Roman"/>
          <w:lang w:val="en-US"/>
        </w:rPr>
        <w:t xml:space="preserve">As, for instance, </w:t>
      </w:r>
      <w:r w:rsidR="00103CF3">
        <w:rPr>
          <w:rFonts w:ascii="Times New Roman" w:hAnsi="Times New Roman" w:cs="Times New Roman"/>
          <w:lang w:val="en-US"/>
        </w:rPr>
        <w:t xml:space="preserve">Joel Richard Paul, </w:t>
      </w:r>
      <w:r w:rsidR="00103CF3" w:rsidRPr="00626918">
        <w:rPr>
          <w:rFonts w:ascii="Times New Roman" w:hAnsi="Times New Roman" w:cs="Times New Roman"/>
          <w:i/>
          <w:iCs/>
          <w:lang w:val="en-US"/>
        </w:rPr>
        <w:t>Without Precedent: Chief Justice John Marshall and his times</w:t>
      </w:r>
      <w:r w:rsidR="00103CF3">
        <w:rPr>
          <w:rFonts w:ascii="Times New Roman" w:hAnsi="Times New Roman" w:cs="Times New Roman"/>
          <w:lang w:val="en-US"/>
        </w:rPr>
        <w:t xml:space="preserve"> (New York, Riverhead Books, 2019); </w:t>
      </w:r>
      <w:r w:rsidR="00103CF3" w:rsidRPr="00103CF3">
        <w:rPr>
          <w:rFonts w:ascii="Times New Roman" w:hAnsi="Times New Roman" w:cs="Times New Roman"/>
          <w:lang w:val="en-US"/>
        </w:rPr>
        <w:t>R</w:t>
      </w:r>
      <w:r w:rsidR="00103CF3">
        <w:rPr>
          <w:rFonts w:ascii="Times New Roman" w:hAnsi="Times New Roman" w:cs="Times New Roman"/>
          <w:lang w:val="en-US"/>
        </w:rPr>
        <w:t xml:space="preserve">. Kent </w:t>
      </w:r>
      <w:proofErr w:type="spellStart"/>
      <w:r w:rsidR="00103CF3">
        <w:rPr>
          <w:rFonts w:ascii="Times New Roman" w:hAnsi="Times New Roman" w:cs="Times New Roman"/>
          <w:lang w:val="en-US"/>
        </w:rPr>
        <w:t>Newmyer</w:t>
      </w:r>
      <w:proofErr w:type="spellEnd"/>
      <w:r w:rsidR="00103CF3">
        <w:rPr>
          <w:rFonts w:ascii="Times New Roman" w:hAnsi="Times New Roman" w:cs="Times New Roman"/>
          <w:lang w:val="en-US"/>
        </w:rPr>
        <w:t xml:space="preserve">, </w:t>
      </w:r>
      <w:r w:rsidR="00103CF3" w:rsidRPr="00626918">
        <w:rPr>
          <w:rFonts w:ascii="Times New Roman" w:hAnsi="Times New Roman" w:cs="Times New Roman"/>
          <w:i/>
          <w:iCs/>
          <w:lang w:val="en-US"/>
        </w:rPr>
        <w:t>John Marshall and the Heroic Age of the Supreme Court</w:t>
      </w:r>
      <w:r w:rsidR="00103CF3">
        <w:rPr>
          <w:rFonts w:ascii="Times New Roman" w:hAnsi="Times New Roman" w:cs="Times New Roman"/>
          <w:lang w:val="en-US"/>
        </w:rPr>
        <w:t xml:space="preserve"> (Baton Rouge: Louisiana State University Press, 2001); Charles F. Hobson, </w:t>
      </w:r>
      <w:r w:rsidR="00103CF3" w:rsidRPr="00626918">
        <w:rPr>
          <w:rFonts w:ascii="Times New Roman" w:hAnsi="Times New Roman" w:cs="Times New Roman"/>
          <w:i/>
          <w:iCs/>
          <w:lang w:val="en-US"/>
        </w:rPr>
        <w:t>The Great Chief Justice: John Marshall and the Rule of Law</w:t>
      </w:r>
      <w:r w:rsidR="00103CF3">
        <w:rPr>
          <w:rFonts w:ascii="Times New Roman" w:hAnsi="Times New Roman" w:cs="Times New Roman"/>
          <w:lang w:val="en-US"/>
        </w:rPr>
        <w:t xml:space="preserve"> (Lawrence: University Press of Kansas, 1996); G. Edward White</w:t>
      </w:r>
      <w:r w:rsidR="00103CF3" w:rsidRPr="00626918">
        <w:rPr>
          <w:rFonts w:ascii="Times New Roman" w:hAnsi="Times New Roman" w:cs="Times New Roman"/>
          <w:i/>
          <w:iCs/>
          <w:lang w:val="en-US"/>
        </w:rPr>
        <w:t>, The Marshall Court &amp; Cultural Change 1815-1835</w:t>
      </w:r>
      <w:r w:rsidR="00103CF3">
        <w:rPr>
          <w:rFonts w:ascii="Times New Roman" w:hAnsi="Times New Roman" w:cs="Times New Roman"/>
          <w:lang w:val="en-US"/>
        </w:rPr>
        <w:t>, Abridged Edition (Cambridge: Oxford University Press, 1</w:t>
      </w:r>
      <w:r w:rsidR="00626918">
        <w:rPr>
          <w:rFonts w:ascii="Times New Roman" w:hAnsi="Times New Roman" w:cs="Times New Roman"/>
          <w:lang w:val="en-US"/>
        </w:rPr>
        <w:t>991</w:t>
      </w:r>
      <w:r w:rsidR="00103CF3">
        <w:rPr>
          <w:rFonts w:ascii="Times New Roman" w:hAnsi="Times New Roman" w:cs="Times New Roman"/>
          <w:lang w:val="en-US"/>
        </w:rPr>
        <w:t>).</w:t>
      </w:r>
    </w:p>
  </w:footnote>
  <w:footnote w:id="28">
    <w:p w14:paraId="2ADE322E" w14:textId="0BECC8D1" w:rsidR="00A314B1" w:rsidRPr="00103CF3" w:rsidRDefault="00A314B1" w:rsidP="00103CF3">
      <w:pPr>
        <w:pStyle w:val="FootnoteText"/>
        <w:jc w:val="both"/>
        <w:rPr>
          <w:rFonts w:ascii="Times New Roman" w:hAnsi="Times New Roman" w:cs="Times New Roman"/>
          <w:lang w:val="de-DE"/>
        </w:rPr>
      </w:pPr>
      <w:r w:rsidRPr="00103CF3">
        <w:rPr>
          <w:rStyle w:val="FootnoteReference"/>
          <w:rFonts w:ascii="Times New Roman" w:hAnsi="Times New Roman" w:cs="Times New Roman"/>
        </w:rPr>
        <w:footnoteRef/>
      </w:r>
      <w:r w:rsidRPr="00103CF3">
        <w:rPr>
          <w:rFonts w:ascii="Times New Roman" w:hAnsi="Times New Roman" w:cs="Times New Roman"/>
          <w:lang w:val="de-DE"/>
        </w:rPr>
        <w:t xml:space="preserve"> </w:t>
      </w:r>
      <w:r w:rsidR="00913427" w:rsidRPr="00103CF3">
        <w:rPr>
          <w:rFonts w:ascii="Times New Roman" w:hAnsi="Times New Roman" w:cs="Times New Roman"/>
          <w:lang w:val="de-DE"/>
        </w:rPr>
        <w:t xml:space="preserve">Michael Stolleis, </w:t>
      </w:r>
      <w:r w:rsidR="00913427" w:rsidRPr="00103CF3">
        <w:rPr>
          <w:rFonts w:ascii="Times New Roman" w:hAnsi="Times New Roman" w:cs="Times New Roman"/>
          <w:i/>
          <w:iCs/>
          <w:lang w:val="de-DE"/>
        </w:rPr>
        <w:t>Geschichte des öffentlichen Rechts in Deutschland</w:t>
      </w:r>
      <w:r w:rsidR="00913427" w:rsidRPr="00103CF3">
        <w:rPr>
          <w:rFonts w:ascii="Times New Roman" w:hAnsi="Times New Roman" w:cs="Times New Roman"/>
          <w:lang w:val="de-DE"/>
        </w:rPr>
        <w:t>, v. 4 (München: C. H. Beck, ) 217.</w:t>
      </w:r>
    </w:p>
  </w:footnote>
  <w:footnote w:id="29">
    <w:p w14:paraId="08972631" w14:textId="279390C3" w:rsidR="00A314B1" w:rsidRPr="00626918" w:rsidRDefault="00A314B1" w:rsidP="00103CF3">
      <w:pPr>
        <w:pStyle w:val="FootnoteText"/>
        <w:jc w:val="both"/>
        <w:rPr>
          <w:rFonts w:ascii="Times New Roman" w:hAnsi="Times New Roman" w:cs="Times New Roman"/>
          <w:lang w:val="en-US"/>
        </w:rPr>
      </w:pPr>
      <w:r w:rsidRPr="00626918">
        <w:rPr>
          <w:rStyle w:val="FootnoteReference"/>
          <w:rFonts w:ascii="Times New Roman" w:hAnsi="Times New Roman" w:cs="Times New Roman"/>
        </w:rPr>
        <w:footnoteRef/>
      </w:r>
      <w:r w:rsidRPr="00626918">
        <w:rPr>
          <w:rFonts w:ascii="Times New Roman" w:hAnsi="Times New Roman" w:cs="Times New Roman"/>
          <w:lang w:val="en-US"/>
        </w:rPr>
        <w:t xml:space="preserve"> </w:t>
      </w:r>
      <w:r w:rsidR="00626918" w:rsidRPr="00626918">
        <w:rPr>
          <w:rFonts w:ascii="Times New Roman" w:hAnsi="Times New Roman" w:cs="Times New Roman"/>
          <w:lang w:val="en-US"/>
        </w:rPr>
        <w:t xml:space="preserve">Uwe Wesel, </w:t>
      </w:r>
      <w:r w:rsidR="00626918" w:rsidRPr="00626918">
        <w:rPr>
          <w:rFonts w:ascii="Times New Roman" w:hAnsi="Times New Roman" w:cs="Times New Roman"/>
          <w:i/>
          <w:iCs/>
          <w:lang w:val="en-US"/>
        </w:rPr>
        <w:t xml:space="preserve">Der Gang </w:t>
      </w:r>
      <w:proofErr w:type="spellStart"/>
      <w:r w:rsidR="00626918" w:rsidRPr="00626918">
        <w:rPr>
          <w:rFonts w:ascii="Times New Roman" w:hAnsi="Times New Roman" w:cs="Times New Roman"/>
          <w:i/>
          <w:iCs/>
          <w:lang w:val="en-US"/>
        </w:rPr>
        <w:t>nach</w:t>
      </w:r>
      <w:proofErr w:type="spellEnd"/>
      <w:r w:rsidR="00626918" w:rsidRPr="00626918">
        <w:rPr>
          <w:rFonts w:ascii="Times New Roman" w:hAnsi="Times New Roman" w:cs="Times New Roman"/>
          <w:i/>
          <w:iCs/>
          <w:lang w:val="en-US"/>
        </w:rPr>
        <w:t xml:space="preserve"> Karlsruhe</w:t>
      </w:r>
      <w:r w:rsidR="00626918" w:rsidRPr="00626918">
        <w:rPr>
          <w:rFonts w:ascii="Times New Roman" w:hAnsi="Times New Roman" w:cs="Times New Roman"/>
          <w:lang w:val="en-US"/>
        </w:rPr>
        <w:t xml:space="preserve"> (München: Karl Blessing, 2004); Justice Collings, </w:t>
      </w:r>
      <w:r w:rsidR="00626918" w:rsidRPr="00626918">
        <w:rPr>
          <w:rFonts w:ascii="Times New Roman" w:hAnsi="Times New Roman" w:cs="Times New Roman"/>
          <w:i/>
          <w:iCs/>
          <w:lang w:val="en-US"/>
        </w:rPr>
        <w:t>Democracy’s Guardians: A History of the German Federal Constitutional Court, 1951-2001</w:t>
      </w:r>
      <w:r w:rsidR="00626918" w:rsidRPr="00626918">
        <w:rPr>
          <w:rFonts w:ascii="Times New Roman" w:hAnsi="Times New Roman" w:cs="Times New Roman"/>
          <w:lang w:val="en-US"/>
        </w:rPr>
        <w:t xml:space="preserve"> (Oxford: Oxford University Press, 2015).</w:t>
      </w:r>
    </w:p>
  </w:footnote>
  <w:footnote w:id="30">
    <w:p w14:paraId="1F1D29FA" w14:textId="36CF3701" w:rsidR="00A314B1" w:rsidRPr="00457B74" w:rsidRDefault="00A314B1" w:rsidP="00103CF3">
      <w:pPr>
        <w:pStyle w:val="FootnoteText"/>
        <w:jc w:val="both"/>
        <w:rPr>
          <w:rFonts w:ascii="Times New Roman" w:hAnsi="Times New Roman" w:cs="Times New Roman"/>
          <w:lang w:val="en-US"/>
        </w:rPr>
      </w:pPr>
      <w:r w:rsidRPr="00103CF3">
        <w:rPr>
          <w:rStyle w:val="FootnoteReference"/>
          <w:rFonts w:ascii="Times New Roman" w:hAnsi="Times New Roman" w:cs="Times New Roman"/>
        </w:rPr>
        <w:footnoteRef/>
      </w:r>
      <w:r w:rsidRPr="00103CF3">
        <w:rPr>
          <w:rFonts w:ascii="Times New Roman" w:hAnsi="Times New Roman" w:cs="Times New Roman"/>
          <w:lang w:val="de-DE"/>
        </w:rPr>
        <w:t xml:space="preserve"> </w:t>
      </w:r>
      <w:r w:rsidR="00137CF6" w:rsidRPr="00103CF3">
        <w:rPr>
          <w:rFonts w:ascii="Times New Roman" w:hAnsi="Times New Roman" w:cs="Times New Roman"/>
          <w:lang w:val="de-DE"/>
        </w:rPr>
        <w:t xml:space="preserve">See Joseph Isensee, </w:t>
      </w:r>
      <w:r w:rsidR="00913427" w:rsidRPr="00103CF3">
        <w:rPr>
          <w:rFonts w:ascii="Times New Roman" w:hAnsi="Times New Roman" w:cs="Times New Roman"/>
          <w:lang w:val="de-DE"/>
        </w:rPr>
        <w:t xml:space="preserve">Die Verfassung als Vaterland: Zur Staatsverdrängung der Deutschen in Armin Mohler (ed.) </w:t>
      </w:r>
      <w:proofErr w:type="spellStart"/>
      <w:r w:rsidR="00913427" w:rsidRPr="00457B74">
        <w:rPr>
          <w:rFonts w:ascii="Times New Roman" w:hAnsi="Times New Roman" w:cs="Times New Roman"/>
          <w:i/>
          <w:iCs/>
          <w:lang w:val="en-US"/>
        </w:rPr>
        <w:t>Wirklichkei</w:t>
      </w:r>
      <w:r w:rsidR="00103CF3" w:rsidRPr="00457B74">
        <w:rPr>
          <w:rFonts w:ascii="Times New Roman" w:hAnsi="Times New Roman" w:cs="Times New Roman"/>
          <w:i/>
          <w:iCs/>
          <w:lang w:val="en-US"/>
        </w:rPr>
        <w:t>t</w:t>
      </w:r>
      <w:proofErr w:type="spellEnd"/>
      <w:r w:rsidR="00913427" w:rsidRPr="00457B74">
        <w:rPr>
          <w:rFonts w:ascii="Times New Roman" w:hAnsi="Times New Roman" w:cs="Times New Roman"/>
          <w:i/>
          <w:iCs/>
          <w:lang w:val="en-US"/>
        </w:rPr>
        <w:t xml:space="preserve"> </w:t>
      </w:r>
      <w:proofErr w:type="spellStart"/>
      <w:r w:rsidR="00913427" w:rsidRPr="00457B74">
        <w:rPr>
          <w:rFonts w:ascii="Times New Roman" w:hAnsi="Times New Roman" w:cs="Times New Roman"/>
          <w:i/>
          <w:iCs/>
          <w:lang w:val="en-US"/>
        </w:rPr>
        <w:t>als</w:t>
      </w:r>
      <w:proofErr w:type="spellEnd"/>
      <w:r w:rsidR="00913427" w:rsidRPr="00457B74">
        <w:rPr>
          <w:rFonts w:ascii="Times New Roman" w:hAnsi="Times New Roman" w:cs="Times New Roman"/>
          <w:i/>
          <w:iCs/>
          <w:lang w:val="en-US"/>
        </w:rPr>
        <w:t xml:space="preserve"> Tabu: </w:t>
      </w:r>
      <w:proofErr w:type="spellStart"/>
      <w:r w:rsidR="00913427" w:rsidRPr="00457B74">
        <w:rPr>
          <w:rFonts w:ascii="Times New Roman" w:hAnsi="Times New Roman" w:cs="Times New Roman"/>
          <w:i/>
          <w:iCs/>
          <w:lang w:val="en-US"/>
        </w:rPr>
        <w:t>Anmerkungen</w:t>
      </w:r>
      <w:proofErr w:type="spellEnd"/>
      <w:r w:rsidR="00913427" w:rsidRPr="00457B74">
        <w:rPr>
          <w:rFonts w:ascii="Times New Roman" w:hAnsi="Times New Roman" w:cs="Times New Roman"/>
          <w:i/>
          <w:iCs/>
          <w:lang w:val="en-US"/>
        </w:rPr>
        <w:t xml:space="preserve"> </w:t>
      </w:r>
      <w:proofErr w:type="spellStart"/>
      <w:r w:rsidR="00913427" w:rsidRPr="00457B74">
        <w:rPr>
          <w:rFonts w:ascii="Times New Roman" w:hAnsi="Times New Roman" w:cs="Times New Roman"/>
          <w:i/>
          <w:iCs/>
          <w:lang w:val="en-US"/>
        </w:rPr>
        <w:t>zur</w:t>
      </w:r>
      <w:proofErr w:type="spellEnd"/>
      <w:r w:rsidR="00913427" w:rsidRPr="00457B74">
        <w:rPr>
          <w:rFonts w:ascii="Times New Roman" w:hAnsi="Times New Roman" w:cs="Times New Roman"/>
          <w:i/>
          <w:iCs/>
          <w:lang w:val="en-US"/>
        </w:rPr>
        <w:t xml:space="preserve"> Lage</w:t>
      </w:r>
      <w:r w:rsidR="00913427" w:rsidRPr="00457B74">
        <w:rPr>
          <w:rFonts w:ascii="Times New Roman" w:hAnsi="Times New Roman" w:cs="Times New Roman"/>
          <w:lang w:val="en-US"/>
        </w:rPr>
        <w:t xml:space="preserve"> (</w:t>
      </w:r>
      <w:r w:rsidR="00103CF3" w:rsidRPr="00457B74">
        <w:rPr>
          <w:rFonts w:ascii="Times New Roman" w:hAnsi="Times New Roman" w:cs="Times New Roman"/>
          <w:lang w:val="en-US"/>
        </w:rPr>
        <w:t xml:space="preserve">München: R. </w:t>
      </w:r>
      <w:proofErr w:type="spellStart"/>
      <w:r w:rsidR="00103CF3" w:rsidRPr="00457B74">
        <w:rPr>
          <w:rFonts w:ascii="Times New Roman" w:hAnsi="Times New Roman" w:cs="Times New Roman"/>
          <w:lang w:val="en-US"/>
        </w:rPr>
        <w:t>Oldenbourg</w:t>
      </w:r>
      <w:proofErr w:type="spellEnd"/>
      <w:r w:rsidR="00103CF3" w:rsidRPr="00457B74">
        <w:rPr>
          <w:rFonts w:ascii="Times New Roman" w:hAnsi="Times New Roman" w:cs="Times New Roman"/>
          <w:lang w:val="en-US"/>
        </w:rPr>
        <w:t>, 1986).</w:t>
      </w:r>
    </w:p>
  </w:footnote>
  <w:footnote w:id="31">
    <w:p w14:paraId="4F36E670" w14:textId="77777777" w:rsidR="001C3247" w:rsidRPr="00457B74" w:rsidRDefault="001C3247" w:rsidP="00103CF3">
      <w:pPr>
        <w:pStyle w:val="FootnoteText"/>
        <w:jc w:val="both"/>
        <w:rPr>
          <w:rFonts w:ascii="Times New Roman" w:hAnsi="Times New Roman" w:cs="Times New Roman"/>
          <w:lang w:val="de-DE"/>
        </w:rPr>
      </w:pPr>
      <w:r w:rsidRPr="00103CF3">
        <w:rPr>
          <w:rStyle w:val="FootnoteReference"/>
          <w:rFonts w:ascii="Times New Roman" w:hAnsi="Times New Roman" w:cs="Times New Roman"/>
        </w:rPr>
        <w:footnoteRef/>
      </w:r>
      <w:r w:rsidRPr="00103CF3">
        <w:rPr>
          <w:rFonts w:ascii="Times New Roman" w:hAnsi="Times New Roman" w:cs="Times New Roman"/>
          <w:lang w:val="en-US"/>
        </w:rPr>
        <w:t xml:space="preserve"> There is a growing literature on “law and architecture.” Although it is not the space to submit a review of this scholarship, whose focus on the disciplinary effects of space organization is insightful and inspiring, I note Linda Mulcahy, </w:t>
      </w:r>
      <w:r w:rsidRPr="00103CF3">
        <w:rPr>
          <w:rFonts w:ascii="Times New Roman" w:hAnsi="Times New Roman" w:cs="Times New Roman"/>
          <w:i/>
          <w:iCs/>
          <w:lang w:val="en-US"/>
        </w:rPr>
        <w:t>Legal Architecture: Justice, Due Process and the Place of Law</w:t>
      </w:r>
      <w:r w:rsidRPr="00103CF3">
        <w:rPr>
          <w:rFonts w:ascii="Times New Roman" w:hAnsi="Times New Roman" w:cs="Times New Roman"/>
          <w:lang w:val="en-US"/>
        </w:rPr>
        <w:t xml:space="preserve"> (New York: Routledge, 2011) and Jonathan Simon; Nicholas Temple (eds.) </w:t>
      </w:r>
      <w:r w:rsidRPr="00103CF3">
        <w:rPr>
          <w:rFonts w:ascii="Times New Roman" w:hAnsi="Times New Roman" w:cs="Times New Roman"/>
          <w:i/>
          <w:iCs/>
          <w:lang w:val="en-US"/>
        </w:rPr>
        <w:t>Architecture and Justice: Judicial Meanings in the Public Realm</w:t>
      </w:r>
      <w:r w:rsidRPr="00103CF3">
        <w:rPr>
          <w:rFonts w:ascii="Times New Roman" w:hAnsi="Times New Roman" w:cs="Times New Roman"/>
          <w:lang w:val="en-US"/>
        </w:rPr>
        <w:t xml:space="preserve"> (New York: Routledge, 2013). I thank Jan </w:t>
      </w:r>
      <w:proofErr w:type="spellStart"/>
      <w:r w:rsidRPr="00103CF3">
        <w:rPr>
          <w:rFonts w:ascii="Times New Roman" w:hAnsi="Times New Roman" w:cs="Times New Roman"/>
          <w:lang w:val="en-US"/>
        </w:rPr>
        <w:t>Langemeyer</w:t>
      </w:r>
      <w:proofErr w:type="spellEnd"/>
      <w:r w:rsidRPr="00103CF3">
        <w:rPr>
          <w:rFonts w:ascii="Times New Roman" w:hAnsi="Times New Roman" w:cs="Times New Roman"/>
          <w:lang w:val="en-US"/>
        </w:rPr>
        <w:t xml:space="preserve"> and Michael Banerjee for these references. My approach, however, is deeply embedded in systems theory, and, as highlighted from the beginning, through its reception by early modern historiography, with the corresponding conceptual developments required to account for the primacy of “interaction” in communication and, accordingly, space. </w:t>
      </w:r>
      <w:r w:rsidRPr="00457B74">
        <w:rPr>
          <w:rFonts w:ascii="Times New Roman" w:hAnsi="Times New Roman" w:cs="Times New Roman"/>
          <w:lang w:val="de-DE"/>
        </w:rPr>
        <w:t>I return to this on chapter 3.</w:t>
      </w:r>
    </w:p>
  </w:footnote>
  <w:footnote w:id="32">
    <w:p w14:paraId="38224605" w14:textId="4E1626C4" w:rsidR="00694910" w:rsidRPr="00137CF6" w:rsidRDefault="00694910" w:rsidP="00103CF3">
      <w:pPr>
        <w:pStyle w:val="FootnoteText"/>
        <w:jc w:val="both"/>
        <w:rPr>
          <w:lang w:val="de-DE"/>
        </w:rPr>
      </w:pPr>
      <w:r w:rsidRPr="00103CF3">
        <w:rPr>
          <w:rStyle w:val="FootnoteReference"/>
          <w:rFonts w:ascii="Times New Roman" w:hAnsi="Times New Roman" w:cs="Times New Roman"/>
        </w:rPr>
        <w:footnoteRef/>
      </w:r>
      <w:r w:rsidRPr="00103CF3">
        <w:rPr>
          <w:rFonts w:ascii="Times New Roman" w:hAnsi="Times New Roman" w:cs="Times New Roman"/>
          <w:lang w:val="de-DE"/>
        </w:rPr>
        <w:t xml:space="preserve"> </w:t>
      </w:r>
      <w:r w:rsidR="00137CF6" w:rsidRPr="00103CF3">
        <w:rPr>
          <w:rFonts w:ascii="Times New Roman" w:hAnsi="Times New Roman" w:cs="Times New Roman"/>
          <w:lang w:val="de-DE"/>
        </w:rPr>
        <w:t xml:space="preserve">See </w:t>
      </w:r>
      <w:r w:rsidR="00137CF6" w:rsidRPr="00103CF3">
        <w:rPr>
          <w:rFonts w:ascii="Times New Roman" w:hAnsi="Times New Roman" w:cs="Times New Roman"/>
          <w:lang w:val="de-DE"/>
        </w:rPr>
        <w:t xml:space="preserve">Rudolf Stichweh, Inklusion in Funktionssysteme der modernen Gesellschaft, in Renate Mayntz, Bernd Rosewitz, Uwe Schmank, Rudolf Stichweh (eds.), </w:t>
      </w:r>
      <w:r w:rsidR="00137CF6" w:rsidRPr="00103CF3">
        <w:rPr>
          <w:rFonts w:ascii="Times New Roman" w:hAnsi="Times New Roman" w:cs="Times New Roman"/>
          <w:i/>
          <w:iCs/>
          <w:lang w:val="de-DE"/>
        </w:rPr>
        <w:t>Differenzierung und Verselbständigung: Zur Entwicklung gesellschaftlicher Teilsysteme</w:t>
      </w:r>
      <w:r w:rsidR="00137CF6" w:rsidRPr="00103CF3">
        <w:rPr>
          <w:rFonts w:ascii="Times New Roman" w:hAnsi="Times New Roman" w:cs="Times New Roman"/>
          <w:lang w:val="de-DE"/>
        </w:rPr>
        <w:t xml:space="preserve"> (Frankfurt/New York: Campus Verlag, 1988).</w:t>
      </w:r>
    </w:p>
  </w:footnote>
  <w:footnote w:id="33">
    <w:p w14:paraId="67BC5BA6" w14:textId="77777777" w:rsidR="00E154ED" w:rsidRPr="00B76ECC" w:rsidRDefault="00E154ED" w:rsidP="00E154ED">
      <w:pPr>
        <w:pStyle w:val="FootnoteText"/>
        <w:jc w:val="both"/>
        <w:rPr>
          <w:rFonts w:ascii="Times New Roman" w:hAnsi="Times New Roman" w:cs="Times New Roman"/>
          <w:lang w:val="en-US"/>
        </w:rPr>
      </w:pPr>
      <w:r w:rsidRPr="00B76ECC">
        <w:rPr>
          <w:rStyle w:val="FootnoteReference"/>
          <w:rFonts w:ascii="Times New Roman" w:hAnsi="Times New Roman" w:cs="Times New Roman"/>
        </w:rPr>
        <w:footnoteRef/>
      </w:r>
      <w:r w:rsidRPr="00B76ECC">
        <w:rPr>
          <w:rFonts w:ascii="Times New Roman" w:hAnsi="Times New Roman" w:cs="Times New Roman"/>
          <w:lang w:val="en-US"/>
        </w:rPr>
        <w:t xml:space="preserve"> Calvin’s Case 7 Coke Report 1a, 77 ER 377 392.</w:t>
      </w:r>
    </w:p>
  </w:footnote>
  <w:footnote w:id="34">
    <w:p w14:paraId="4C88E824" w14:textId="77777777" w:rsidR="001C3247" w:rsidRPr="00B76ECC" w:rsidRDefault="001C3247" w:rsidP="00560FB8">
      <w:pPr>
        <w:pStyle w:val="FootnoteText"/>
        <w:jc w:val="both"/>
        <w:rPr>
          <w:rFonts w:ascii="Times New Roman" w:hAnsi="Times New Roman" w:cs="Times New Roman"/>
          <w:lang w:val="en-US"/>
        </w:rPr>
      </w:pPr>
      <w:r w:rsidRPr="00B76ECC">
        <w:rPr>
          <w:rStyle w:val="FootnoteReference"/>
          <w:rFonts w:ascii="Times New Roman" w:hAnsi="Times New Roman" w:cs="Times New Roman"/>
        </w:rPr>
        <w:footnoteRef/>
      </w:r>
      <w:r w:rsidRPr="00B76ECC">
        <w:rPr>
          <w:rFonts w:ascii="Times New Roman" w:hAnsi="Times New Roman" w:cs="Times New Roman"/>
          <w:lang w:val="en-US"/>
        </w:rPr>
        <w:t xml:space="preserve"> On the history of the US Supreme Court spatial index, see Katherine Fischer Taylor, First Appearances: The Material Setting and Culture of the Early Supreme Court, in Christopher L. Tomlins (ed.) </w:t>
      </w:r>
      <w:r w:rsidRPr="00BF37D8">
        <w:rPr>
          <w:rFonts w:ascii="Times New Roman" w:hAnsi="Times New Roman" w:cs="Times New Roman"/>
          <w:i/>
          <w:iCs/>
          <w:lang w:val="en-US"/>
        </w:rPr>
        <w:t>The United States Supreme Court: the pursuit of justice</w:t>
      </w:r>
      <w:r w:rsidRPr="00B76ECC">
        <w:rPr>
          <w:rFonts w:ascii="Times New Roman" w:hAnsi="Times New Roman" w:cs="Times New Roman"/>
          <w:lang w:val="en-US"/>
        </w:rPr>
        <w:t xml:space="preserve"> (Boston/New York: Houghton Mifflin Company, 2005) esp. 378-380.</w:t>
      </w:r>
    </w:p>
  </w:footnote>
  <w:footnote w:id="35">
    <w:p w14:paraId="3B3E845F" w14:textId="77777777" w:rsidR="001C3247" w:rsidRPr="00B76ECC" w:rsidRDefault="001C3247" w:rsidP="00560FB8">
      <w:pPr>
        <w:pStyle w:val="FootnoteText"/>
        <w:jc w:val="both"/>
        <w:rPr>
          <w:rFonts w:ascii="Times New Roman" w:hAnsi="Times New Roman" w:cs="Times New Roman"/>
          <w:lang w:val="en-US"/>
        </w:rPr>
      </w:pPr>
      <w:r w:rsidRPr="00B76ECC">
        <w:rPr>
          <w:rStyle w:val="FootnoteReference"/>
          <w:rFonts w:ascii="Times New Roman" w:hAnsi="Times New Roman" w:cs="Times New Roman"/>
        </w:rPr>
        <w:footnoteRef/>
      </w:r>
      <w:r w:rsidRPr="00B76ECC">
        <w:rPr>
          <w:rFonts w:ascii="Times New Roman" w:hAnsi="Times New Roman" w:cs="Times New Roman"/>
          <w:lang w:val="en-US"/>
        </w:rPr>
        <w:t xml:space="preserve"> US Supreme Court, The Bronze Doors, Information Sheet, Office of the Curator, 11 Aug. 2021. Available at https://www.supremecourt.gov/about/BronzeDoors_11-8-2021.pdf</w:t>
      </w:r>
    </w:p>
  </w:footnote>
  <w:footnote w:id="36">
    <w:p w14:paraId="6868FB70" w14:textId="77777777" w:rsidR="001C3247" w:rsidRPr="00B76ECC" w:rsidRDefault="001C3247" w:rsidP="00560FB8">
      <w:pPr>
        <w:pStyle w:val="FootnoteText"/>
        <w:jc w:val="both"/>
        <w:rPr>
          <w:rFonts w:ascii="Times New Roman" w:hAnsi="Times New Roman" w:cs="Times New Roman"/>
          <w:lang w:val="en-US"/>
        </w:rPr>
      </w:pPr>
      <w:r w:rsidRPr="00B76ECC">
        <w:rPr>
          <w:rStyle w:val="FootnoteReference"/>
          <w:rFonts w:ascii="Times New Roman" w:hAnsi="Times New Roman" w:cs="Times New Roman"/>
        </w:rPr>
        <w:footnoteRef/>
      </w:r>
      <w:r w:rsidRPr="00B76ECC">
        <w:rPr>
          <w:rFonts w:ascii="Times New Roman" w:hAnsi="Times New Roman" w:cs="Times New Roman"/>
          <w:lang w:val="en-US"/>
        </w:rPr>
        <w:t xml:space="preserve"> The New York Times, ‘Error’ Found in Supreme Court, But It’s in the Art of a Door Panel; Scene Depicts Marshall Handing to a Fellow-Justice the Famed Madison Decision, but Jurist Represented Is Story and he Was Not Appointed to Bench Until 8 Years Later, July 5 1936. Available at https://www.nytimes.com/1936/07/05/archives/error-found-in-supreme-court-but-its-in-the-art-of-a-door-panel.html</w:t>
      </w:r>
    </w:p>
  </w:footnote>
  <w:footnote w:id="37">
    <w:p w14:paraId="4AB79890" w14:textId="2B2D610E" w:rsidR="001C3247" w:rsidRPr="006079FD" w:rsidRDefault="001C3247" w:rsidP="0093667E">
      <w:pPr>
        <w:pStyle w:val="FootnoteText"/>
        <w:jc w:val="both"/>
        <w:rPr>
          <w:lang w:val="en-US"/>
        </w:rPr>
      </w:pPr>
      <w:r>
        <w:rPr>
          <w:rStyle w:val="FootnoteReference"/>
        </w:rPr>
        <w:footnoteRef/>
      </w:r>
      <w:r w:rsidRPr="006079FD">
        <w:rPr>
          <w:lang w:val="en-US"/>
        </w:rPr>
        <w:t xml:space="preserve"> </w:t>
      </w:r>
      <w:r w:rsidRPr="00795176">
        <w:rPr>
          <w:rFonts w:ascii="Times New Roman" w:hAnsi="Times New Roman" w:cs="Times New Roman"/>
          <w:lang w:val="en-US"/>
        </w:rPr>
        <w:t>Sources for the images below, from left top to right bottom:</w:t>
      </w:r>
      <w:r>
        <w:rPr>
          <w:rFonts w:ascii="Times New Roman" w:hAnsi="Times New Roman" w:cs="Times New Roman"/>
          <w:lang w:val="en-US"/>
        </w:rPr>
        <w:t xml:space="preserve"> Photo available at </w:t>
      </w:r>
      <w:hyperlink r:id="rId2" w:history="1">
        <w:r w:rsidRPr="00297A91">
          <w:rPr>
            <w:rStyle w:val="Hyperlink"/>
            <w:rFonts w:ascii="Times New Roman" w:hAnsi="Times New Roman" w:cs="Times New Roman"/>
            <w:lang w:val="en-US"/>
          </w:rPr>
          <w:t>https://en.todocoleccion.net/postcards-america/postal-massive-sliding-bronze-doors-of-the-supreme-court-building-in-washington-d-c~x101850111</w:t>
        </w:r>
      </w:hyperlink>
      <w:r>
        <w:rPr>
          <w:rFonts w:ascii="Times New Roman" w:hAnsi="Times New Roman" w:cs="Times New Roman"/>
          <w:lang w:val="en-US"/>
        </w:rPr>
        <w:t xml:space="preserve">; Photo available at Supreme Court of the United States, Detect the Differences: John Marshall’s Portrait, available at </w:t>
      </w:r>
      <w:hyperlink r:id="rId3" w:history="1">
        <w:r w:rsidRPr="00297A91">
          <w:rPr>
            <w:rStyle w:val="Hyperlink"/>
            <w:rFonts w:ascii="Times New Roman" w:hAnsi="Times New Roman" w:cs="Times New Roman"/>
            <w:lang w:val="en-US"/>
          </w:rPr>
          <w:t>https://www.supremecourt.gov/visiting/activities/pdf/JM_Portrait_DD_Web_Version.pdf</w:t>
        </w:r>
      </w:hyperlink>
      <w:r>
        <w:rPr>
          <w:rFonts w:ascii="Times New Roman" w:hAnsi="Times New Roman" w:cs="Times New Roman"/>
          <w:lang w:val="en-US"/>
        </w:rPr>
        <w:t xml:space="preserve">; Photo available at </w:t>
      </w:r>
      <w:hyperlink r:id="rId4" w:history="1">
        <w:r w:rsidRPr="00297A91">
          <w:rPr>
            <w:rStyle w:val="Hyperlink"/>
            <w:rFonts w:ascii="Times New Roman" w:hAnsi="Times New Roman" w:cs="Times New Roman"/>
            <w:lang w:val="en-US"/>
          </w:rPr>
          <w:t>https://www.thoughtco.com/us-supreme-court-building-by-cass-gilbert-177925</w:t>
        </w:r>
      </w:hyperlink>
      <w:r>
        <w:rPr>
          <w:rFonts w:ascii="Times New Roman" w:hAnsi="Times New Roman" w:cs="Times New Roman"/>
          <w:lang w:val="en-US"/>
        </w:rPr>
        <w:t xml:space="preserve">; Photo available at </w:t>
      </w:r>
      <w:r w:rsidRPr="0093667E">
        <w:rPr>
          <w:rFonts w:ascii="Times New Roman" w:hAnsi="Times New Roman" w:cs="Times New Roman"/>
          <w:lang w:val="en-US"/>
        </w:rPr>
        <w:t>https://hermonatkinsmacneil.com/2012/01/13/hermon-macneils-supreme-court-sculptures-moses-revisited/</w:t>
      </w:r>
      <w:r>
        <w:rPr>
          <w:rFonts w:ascii="Times New Roman" w:hAnsi="Times New Roman" w:cs="Times New Roman"/>
          <w:lang w:val="en-US"/>
        </w:rPr>
        <w:t>.</w:t>
      </w:r>
    </w:p>
  </w:footnote>
  <w:footnote w:id="38">
    <w:p w14:paraId="2C4ACEDE" w14:textId="5701B300" w:rsidR="001C3247" w:rsidRPr="008E1022" w:rsidRDefault="001C3247" w:rsidP="008E1022">
      <w:pPr>
        <w:pStyle w:val="FootnoteText"/>
        <w:jc w:val="both"/>
        <w:rPr>
          <w:rFonts w:ascii="Times New Roman" w:hAnsi="Times New Roman" w:cs="Times New Roman"/>
          <w:lang w:val="en-US"/>
        </w:rPr>
      </w:pPr>
      <w:r w:rsidRPr="008E1022">
        <w:rPr>
          <w:rStyle w:val="FootnoteReference"/>
          <w:rFonts w:ascii="Times New Roman" w:hAnsi="Times New Roman" w:cs="Times New Roman"/>
        </w:rPr>
        <w:footnoteRef/>
      </w:r>
      <w:r w:rsidRPr="008E1022">
        <w:rPr>
          <w:rFonts w:ascii="Times New Roman" w:hAnsi="Times New Roman" w:cs="Times New Roman"/>
          <w:lang w:val="en-US"/>
        </w:rPr>
        <w:t xml:space="preserve"> I substantiate this claim on chapter 3.</w:t>
      </w:r>
    </w:p>
  </w:footnote>
  <w:footnote w:id="39">
    <w:p w14:paraId="1F5BCF4C" w14:textId="620F045E" w:rsidR="001C3247" w:rsidRPr="004F1CE6" w:rsidRDefault="001C3247" w:rsidP="00560FB8">
      <w:pPr>
        <w:pStyle w:val="FootnoteText"/>
        <w:jc w:val="both"/>
        <w:rPr>
          <w:rFonts w:ascii="Times New Roman" w:hAnsi="Times New Roman" w:cs="Times New Roman"/>
          <w:lang w:val="de-DE"/>
        </w:rPr>
      </w:pPr>
      <w:r w:rsidRPr="00B76ECC">
        <w:rPr>
          <w:rStyle w:val="FootnoteReference"/>
          <w:rFonts w:ascii="Times New Roman" w:hAnsi="Times New Roman" w:cs="Times New Roman"/>
        </w:rPr>
        <w:footnoteRef/>
      </w:r>
      <w:r w:rsidRPr="00B76ECC">
        <w:rPr>
          <w:rFonts w:ascii="Times New Roman" w:hAnsi="Times New Roman" w:cs="Times New Roman"/>
          <w:lang w:val="en-US"/>
        </w:rPr>
        <w:t xml:space="preserve"> On the history of and for materials on the building’s construction, see </w:t>
      </w:r>
      <w:r>
        <w:rPr>
          <w:rFonts w:ascii="Times New Roman" w:hAnsi="Times New Roman" w:cs="Times New Roman"/>
          <w:lang w:val="en-US"/>
        </w:rPr>
        <w:t xml:space="preserve">Falk Jaeger (ed.) </w:t>
      </w:r>
      <w:r w:rsidRPr="00441AF5">
        <w:rPr>
          <w:rFonts w:ascii="Times New Roman" w:hAnsi="Times New Roman" w:cs="Times New Roman"/>
          <w:i/>
          <w:iCs/>
          <w:lang w:val="de-DE"/>
        </w:rPr>
        <w:t>Transparenz und Würde: Das Bundesverfassungsgericht und seine Architektur</w:t>
      </w:r>
      <w:r w:rsidRPr="00441AF5">
        <w:rPr>
          <w:rFonts w:ascii="Times New Roman" w:hAnsi="Times New Roman" w:cs="Times New Roman"/>
          <w:lang w:val="de-DE"/>
        </w:rPr>
        <w:t xml:space="preserve"> (Berlin: Jo</w:t>
      </w:r>
      <w:r>
        <w:rPr>
          <w:rFonts w:ascii="Times New Roman" w:hAnsi="Times New Roman" w:cs="Times New Roman"/>
          <w:lang w:val="de-DE"/>
        </w:rPr>
        <w:t>vis, 2014</w:t>
      </w:r>
      <w:r w:rsidRPr="004F1CE6">
        <w:rPr>
          <w:rFonts w:ascii="Times New Roman" w:hAnsi="Times New Roman" w:cs="Times New Roman"/>
          <w:lang w:val="de-DE"/>
        </w:rPr>
        <w:t xml:space="preserve">) </w:t>
      </w:r>
    </w:p>
  </w:footnote>
  <w:footnote w:id="40">
    <w:p w14:paraId="0A546AC5" w14:textId="77777777" w:rsidR="001C3247" w:rsidRPr="00B76ECC" w:rsidRDefault="001C3247" w:rsidP="00462E17">
      <w:pPr>
        <w:pStyle w:val="FootnoteText"/>
        <w:jc w:val="both"/>
        <w:rPr>
          <w:rFonts w:ascii="Times New Roman" w:hAnsi="Times New Roman" w:cs="Times New Roman"/>
          <w:lang w:val="en-US"/>
        </w:rPr>
      </w:pPr>
      <w:r w:rsidRPr="00B76ECC">
        <w:rPr>
          <w:rStyle w:val="FootnoteReference"/>
          <w:rFonts w:ascii="Times New Roman" w:hAnsi="Times New Roman" w:cs="Times New Roman"/>
        </w:rPr>
        <w:footnoteRef/>
      </w:r>
      <w:r w:rsidRPr="00B76ECC">
        <w:rPr>
          <w:rFonts w:ascii="Times New Roman" w:hAnsi="Times New Roman" w:cs="Times New Roman"/>
          <w:lang w:val="en-US"/>
        </w:rPr>
        <w:t xml:space="preserve"> Cornelia </w:t>
      </w:r>
      <w:proofErr w:type="spellStart"/>
      <w:r w:rsidRPr="00B76ECC">
        <w:rPr>
          <w:rFonts w:ascii="Times New Roman" w:hAnsi="Times New Roman" w:cs="Times New Roman"/>
          <w:lang w:val="en-US"/>
        </w:rPr>
        <w:t>Vismann</w:t>
      </w:r>
      <w:proofErr w:type="spellEnd"/>
      <w:r w:rsidRPr="00B76ECC">
        <w:rPr>
          <w:rFonts w:ascii="Times New Roman" w:hAnsi="Times New Roman" w:cs="Times New Roman"/>
          <w:lang w:val="en-US"/>
        </w:rPr>
        <w:t xml:space="preserve">, </w:t>
      </w:r>
      <w:proofErr w:type="spellStart"/>
      <w:r w:rsidRPr="00F25348">
        <w:rPr>
          <w:rFonts w:ascii="Times New Roman" w:hAnsi="Times New Roman" w:cs="Times New Roman"/>
          <w:i/>
          <w:iCs/>
          <w:lang w:val="en-US"/>
        </w:rPr>
        <w:t>Medien</w:t>
      </w:r>
      <w:proofErr w:type="spellEnd"/>
      <w:r w:rsidRPr="00F25348">
        <w:rPr>
          <w:rFonts w:ascii="Times New Roman" w:hAnsi="Times New Roman" w:cs="Times New Roman"/>
          <w:i/>
          <w:iCs/>
          <w:lang w:val="en-US"/>
        </w:rPr>
        <w:t xml:space="preserve"> der </w:t>
      </w:r>
      <w:proofErr w:type="spellStart"/>
      <w:r w:rsidRPr="00F25348">
        <w:rPr>
          <w:rFonts w:ascii="Times New Roman" w:hAnsi="Times New Roman" w:cs="Times New Roman"/>
          <w:i/>
          <w:iCs/>
          <w:lang w:val="en-US"/>
        </w:rPr>
        <w:t>Rechtsprechung</w:t>
      </w:r>
      <w:proofErr w:type="spellEnd"/>
      <w:r w:rsidRPr="00B76ECC">
        <w:rPr>
          <w:rFonts w:ascii="Times New Roman" w:hAnsi="Times New Roman" w:cs="Times New Roman"/>
          <w:lang w:val="en-US"/>
        </w:rPr>
        <w:t xml:space="preserve"> (Frankfurt a. M.: S. Fischer, 2011) 40 (“One cannot imagine extremely enough the closure of a courtroom as it usually was in Kleist’s time. Often it is windowless, and otherwise the window does not enable a look to an outside. All that could remember within the courtroom to an outside is therefore banned.”)</w:t>
      </w:r>
    </w:p>
  </w:footnote>
  <w:footnote w:id="41">
    <w:p w14:paraId="6390BEF0" w14:textId="77777777" w:rsidR="001C3247" w:rsidRPr="00B76ECC" w:rsidRDefault="001C3247" w:rsidP="00462E17">
      <w:pPr>
        <w:pStyle w:val="FootnoteText"/>
        <w:jc w:val="both"/>
        <w:rPr>
          <w:rFonts w:ascii="Times New Roman" w:hAnsi="Times New Roman" w:cs="Times New Roman"/>
          <w:lang w:val="de-DE"/>
        </w:rPr>
      </w:pPr>
      <w:r w:rsidRPr="00B76ECC">
        <w:rPr>
          <w:rStyle w:val="FootnoteReference"/>
          <w:rFonts w:ascii="Times New Roman" w:hAnsi="Times New Roman" w:cs="Times New Roman"/>
        </w:rPr>
        <w:footnoteRef/>
      </w:r>
      <w:r w:rsidRPr="00B76ECC">
        <w:rPr>
          <w:rFonts w:ascii="Times New Roman" w:hAnsi="Times New Roman" w:cs="Times New Roman"/>
          <w:lang w:val="de-DE"/>
        </w:rPr>
        <w:t xml:space="preserve"> See G. W. F. Hegel, Grundlinien der Philosophie des Rechts in </w:t>
      </w:r>
      <w:r w:rsidRPr="00B76ECC">
        <w:rPr>
          <w:rFonts w:ascii="Times New Roman" w:hAnsi="Times New Roman" w:cs="Times New Roman"/>
          <w:i/>
          <w:iCs/>
          <w:lang w:val="de-DE"/>
        </w:rPr>
        <w:t>Werke</w:t>
      </w:r>
      <w:r w:rsidRPr="00B76ECC">
        <w:rPr>
          <w:rFonts w:ascii="Times New Roman" w:hAnsi="Times New Roman" w:cs="Times New Roman"/>
          <w:lang w:val="de-DE"/>
        </w:rPr>
        <w:t>. v. 7 (Frankfurt a. M.: Suhrkamp, 1979) [§ 224] 375.</w:t>
      </w:r>
    </w:p>
  </w:footnote>
  <w:footnote w:id="42">
    <w:p w14:paraId="42F9DFF1" w14:textId="613296B1" w:rsidR="001C3247" w:rsidRPr="00B76ECC" w:rsidRDefault="001C3247" w:rsidP="00462E17">
      <w:pPr>
        <w:pStyle w:val="FootnoteText"/>
        <w:jc w:val="both"/>
        <w:rPr>
          <w:rFonts w:ascii="Times New Roman" w:hAnsi="Times New Roman" w:cs="Times New Roman"/>
          <w:lang w:val="de-DE"/>
        </w:rPr>
      </w:pPr>
      <w:r w:rsidRPr="00B76ECC">
        <w:rPr>
          <w:rStyle w:val="FootnoteReference"/>
          <w:rFonts w:ascii="Times New Roman" w:hAnsi="Times New Roman" w:cs="Times New Roman"/>
        </w:rPr>
        <w:footnoteRef/>
      </w:r>
      <w:r w:rsidRPr="00B76ECC">
        <w:rPr>
          <w:rFonts w:ascii="Times New Roman" w:hAnsi="Times New Roman" w:cs="Times New Roman"/>
          <w:lang w:val="en-US"/>
        </w:rPr>
        <w:t xml:space="preserve"> This is a rather widespread common place.</w:t>
      </w:r>
      <w:r>
        <w:rPr>
          <w:rFonts w:ascii="Times New Roman" w:hAnsi="Times New Roman" w:cs="Times New Roman"/>
          <w:lang w:val="en-US"/>
        </w:rPr>
        <w:t xml:space="preserve"> </w:t>
      </w:r>
      <w:r w:rsidRPr="008E1022">
        <w:rPr>
          <w:rFonts w:ascii="Times New Roman" w:hAnsi="Times New Roman" w:cs="Times New Roman"/>
          <w:lang w:val="de-DE"/>
        </w:rPr>
        <w:t>See</w:t>
      </w:r>
      <w:r>
        <w:rPr>
          <w:rFonts w:ascii="Times New Roman" w:hAnsi="Times New Roman" w:cs="Times New Roman"/>
          <w:lang w:val="de-DE"/>
        </w:rPr>
        <w:t xml:space="preserve">, in general, the four contributions to </w:t>
      </w:r>
      <w:r w:rsidRPr="00B76ECC">
        <w:rPr>
          <w:rFonts w:ascii="Times New Roman" w:hAnsi="Times New Roman" w:cs="Times New Roman"/>
          <w:i/>
          <w:iCs/>
          <w:lang w:val="de-DE"/>
        </w:rPr>
        <w:t>Das en</w:t>
      </w:r>
      <w:r>
        <w:rPr>
          <w:rFonts w:ascii="Times New Roman" w:hAnsi="Times New Roman" w:cs="Times New Roman"/>
          <w:i/>
          <w:iCs/>
          <w:lang w:val="de-DE"/>
        </w:rPr>
        <w:t>t</w:t>
      </w:r>
      <w:r w:rsidRPr="00B76ECC">
        <w:rPr>
          <w:rFonts w:ascii="Times New Roman" w:hAnsi="Times New Roman" w:cs="Times New Roman"/>
          <w:i/>
          <w:iCs/>
          <w:lang w:val="de-DE"/>
        </w:rPr>
        <w:t>grenzte Gericht: eine kritische Bilanz nach sechzig Jahren Bundesverfassungsgericht</w:t>
      </w:r>
      <w:r w:rsidRPr="00B76ECC">
        <w:rPr>
          <w:rFonts w:ascii="Times New Roman" w:hAnsi="Times New Roman" w:cs="Times New Roman"/>
          <w:lang w:val="de-DE"/>
        </w:rPr>
        <w:t xml:space="preserve"> (Frankfurt a. M.: Suhrkamp, 2019)</w:t>
      </w:r>
      <w:r>
        <w:rPr>
          <w:rFonts w:ascii="Times New Roman" w:hAnsi="Times New Roman" w:cs="Times New Roman"/>
          <w:lang w:val="de-DE"/>
        </w:rPr>
        <w:t xml:space="preserve">. </w:t>
      </w:r>
      <w:r w:rsidRPr="00F25348">
        <w:rPr>
          <w:rFonts w:ascii="Times New Roman" w:hAnsi="Times New Roman" w:cs="Times New Roman"/>
          <w:lang w:val="en-US"/>
        </w:rPr>
        <w:t xml:space="preserve">See also Marcel Kau, </w:t>
      </w:r>
      <w:r w:rsidRPr="0093667E">
        <w:rPr>
          <w:rFonts w:ascii="Times New Roman" w:hAnsi="Times New Roman" w:cs="Times New Roman"/>
          <w:i/>
          <w:iCs/>
          <w:lang w:val="en-US"/>
        </w:rPr>
        <w:t xml:space="preserve">United States Supreme Court und </w:t>
      </w:r>
      <w:proofErr w:type="spellStart"/>
      <w:r w:rsidRPr="0093667E">
        <w:rPr>
          <w:rFonts w:ascii="Times New Roman" w:hAnsi="Times New Roman" w:cs="Times New Roman"/>
          <w:i/>
          <w:iCs/>
          <w:lang w:val="en-US"/>
        </w:rPr>
        <w:t>Bundesverfassungsgericht</w:t>
      </w:r>
      <w:proofErr w:type="spellEnd"/>
      <w:r w:rsidRPr="0093667E">
        <w:rPr>
          <w:rFonts w:ascii="Times New Roman" w:hAnsi="Times New Roman" w:cs="Times New Roman"/>
          <w:i/>
          <w:iCs/>
          <w:lang w:val="en-US"/>
        </w:rPr>
        <w:t xml:space="preserve">: Die </w:t>
      </w:r>
      <w:proofErr w:type="spellStart"/>
      <w:r w:rsidRPr="0093667E">
        <w:rPr>
          <w:rFonts w:ascii="Times New Roman" w:hAnsi="Times New Roman" w:cs="Times New Roman"/>
          <w:i/>
          <w:iCs/>
          <w:lang w:val="en-US"/>
        </w:rPr>
        <w:t>Bedeutung</w:t>
      </w:r>
      <w:proofErr w:type="spellEnd"/>
      <w:r w:rsidRPr="0093667E">
        <w:rPr>
          <w:rFonts w:ascii="Times New Roman" w:hAnsi="Times New Roman" w:cs="Times New Roman"/>
          <w:i/>
          <w:iCs/>
          <w:lang w:val="en-US"/>
        </w:rPr>
        <w:t xml:space="preserve"> des United States Supreme Court für die </w:t>
      </w:r>
      <w:proofErr w:type="spellStart"/>
      <w:r w:rsidRPr="0093667E">
        <w:rPr>
          <w:rFonts w:ascii="Times New Roman" w:hAnsi="Times New Roman" w:cs="Times New Roman"/>
          <w:i/>
          <w:iCs/>
          <w:lang w:val="en-US"/>
        </w:rPr>
        <w:t>Errichtung</w:t>
      </w:r>
      <w:proofErr w:type="spellEnd"/>
      <w:r w:rsidRPr="0093667E">
        <w:rPr>
          <w:rFonts w:ascii="Times New Roman" w:hAnsi="Times New Roman" w:cs="Times New Roman"/>
          <w:i/>
          <w:iCs/>
          <w:lang w:val="en-US"/>
        </w:rPr>
        <w:t xml:space="preserve"> und </w:t>
      </w:r>
      <w:proofErr w:type="spellStart"/>
      <w:r w:rsidRPr="0093667E">
        <w:rPr>
          <w:rFonts w:ascii="Times New Roman" w:hAnsi="Times New Roman" w:cs="Times New Roman"/>
          <w:i/>
          <w:iCs/>
          <w:lang w:val="en-US"/>
        </w:rPr>
        <w:t>Fortentwicklung</w:t>
      </w:r>
      <w:proofErr w:type="spellEnd"/>
      <w:r w:rsidRPr="0093667E">
        <w:rPr>
          <w:rFonts w:ascii="Times New Roman" w:hAnsi="Times New Roman" w:cs="Times New Roman"/>
          <w:i/>
          <w:iCs/>
          <w:lang w:val="en-US"/>
        </w:rPr>
        <w:t xml:space="preserve"> des </w:t>
      </w:r>
      <w:proofErr w:type="spellStart"/>
      <w:r w:rsidRPr="0093667E">
        <w:rPr>
          <w:rFonts w:ascii="Times New Roman" w:hAnsi="Times New Roman" w:cs="Times New Roman"/>
          <w:i/>
          <w:iCs/>
          <w:lang w:val="en-US"/>
        </w:rPr>
        <w:t>Bundesverfassungsgericht</w:t>
      </w:r>
      <w:proofErr w:type="spellEnd"/>
      <w:r w:rsidRPr="00F25348">
        <w:rPr>
          <w:rFonts w:ascii="Times New Roman" w:hAnsi="Times New Roman" w:cs="Times New Roman"/>
          <w:lang w:val="en-US"/>
        </w:rPr>
        <w:t xml:space="preserve"> (Berlin/Heidelberg/New York: Springer, 2007) 46ff (who traces the presence of this common place in the </w:t>
      </w:r>
      <w:r w:rsidR="000C5F85" w:rsidRPr="00F25348">
        <w:rPr>
          <w:rFonts w:ascii="Times New Roman" w:hAnsi="Times New Roman" w:cs="Times New Roman"/>
          <w:lang w:val="en-US"/>
        </w:rPr>
        <w:t>discourses</w:t>
      </w:r>
      <w:r w:rsidRPr="00F25348">
        <w:rPr>
          <w:rFonts w:ascii="Times New Roman" w:hAnsi="Times New Roman" w:cs="Times New Roman"/>
          <w:lang w:val="en-US"/>
        </w:rPr>
        <w:t xml:space="preserve"> and debates during the </w:t>
      </w:r>
      <w:r w:rsidR="000C5F85" w:rsidRPr="00F25348">
        <w:rPr>
          <w:rFonts w:ascii="Times New Roman" w:hAnsi="Times New Roman" w:cs="Times New Roman"/>
          <w:lang w:val="en-US"/>
        </w:rPr>
        <w:t>constitution</w:t>
      </w:r>
      <w:r w:rsidRPr="00F25348">
        <w:rPr>
          <w:rFonts w:ascii="Times New Roman" w:hAnsi="Times New Roman" w:cs="Times New Roman"/>
          <w:lang w:val="en-US"/>
        </w:rPr>
        <w:t>-making process, while noting the references to the US experience as</w:t>
      </w:r>
      <w:r>
        <w:rPr>
          <w:rFonts w:ascii="Times New Roman" w:hAnsi="Times New Roman" w:cs="Times New Roman"/>
          <w:lang w:val="en-US"/>
        </w:rPr>
        <w:t xml:space="preserve"> anchoring and offering the possibility of rupture</w:t>
      </w:r>
      <w:r w:rsidRPr="00F25348">
        <w:rPr>
          <w:rFonts w:ascii="Times New Roman" w:hAnsi="Times New Roman" w:cs="Times New Roman"/>
          <w:lang w:val="en-US"/>
        </w:rPr>
        <w:t xml:space="preserve">). </w:t>
      </w:r>
      <w:r w:rsidRPr="00B76ECC">
        <w:rPr>
          <w:rFonts w:ascii="Times New Roman" w:hAnsi="Times New Roman" w:cs="Times New Roman"/>
          <w:lang w:val="en-US"/>
        </w:rPr>
        <w:t xml:space="preserve">Interestingly, if not paradoxically, although German scholarship underscores the rupture constitutional adjudication meant vis-à-vis the “German tradition of adjudication,” it also likes to qualify the kind of constitutional court the </w:t>
      </w:r>
      <w:proofErr w:type="spellStart"/>
      <w:r w:rsidRPr="00B76ECC">
        <w:rPr>
          <w:rFonts w:ascii="Times New Roman" w:hAnsi="Times New Roman" w:cs="Times New Roman"/>
          <w:lang w:val="en-US"/>
        </w:rPr>
        <w:t>Bundesverfassungsgericht</w:t>
      </w:r>
      <w:proofErr w:type="spellEnd"/>
      <w:r w:rsidRPr="00B76ECC">
        <w:rPr>
          <w:rFonts w:ascii="Times New Roman" w:hAnsi="Times New Roman" w:cs="Times New Roman"/>
          <w:lang w:val="en-US"/>
        </w:rPr>
        <w:t xml:space="preserve"> would be the best representative of as an “authentic constitutional court.” </w:t>
      </w:r>
      <w:r w:rsidRPr="00B76ECC">
        <w:rPr>
          <w:rFonts w:ascii="Times New Roman" w:hAnsi="Times New Roman" w:cs="Times New Roman"/>
          <w:lang w:val="de-DE"/>
        </w:rPr>
        <w:t xml:space="preserve">See, for instance, Matthias Jestaedt, Phänomen Bundesverfassungsgericht. Was das Gericht zu dem macht, was es ist in </w:t>
      </w:r>
      <w:r w:rsidRPr="00B76ECC">
        <w:rPr>
          <w:rFonts w:ascii="Times New Roman" w:hAnsi="Times New Roman" w:cs="Times New Roman"/>
          <w:i/>
          <w:iCs/>
          <w:lang w:val="de-DE"/>
        </w:rPr>
        <w:t>Das en</w:t>
      </w:r>
      <w:r>
        <w:rPr>
          <w:rFonts w:ascii="Times New Roman" w:hAnsi="Times New Roman" w:cs="Times New Roman"/>
          <w:i/>
          <w:iCs/>
          <w:lang w:val="de-DE"/>
        </w:rPr>
        <w:t>t</w:t>
      </w:r>
      <w:r w:rsidRPr="00B76ECC">
        <w:rPr>
          <w:rFonts w:ascii="Times New Roman" w:hAnsi="Times New Roman" w:cs="Times New Roman"/>
          <w:i/>
          <w:iCs/>
          <w:lang w:val="de-DE"/>
        </w:rPr>
        <w:t>grenzte Gericht: eine kritische Bilanz nach sechzig Jahren Bundesverfassungsgericht</w:t>
      </w:r>
      <w:r w:rsidRPr="00B76ECC">
        <w:rPr>
          <w:rFonts w:ascii="Times New Roman" w:hAnsi="Times New Roman" w:cs="Times New Roman"/>
          <w:lang w:val="de-DE"/>
        </w:rPr>
        <w:t xml:space="preserve"> (Frankfurt a. M.: Suhrkamp, 2019).</w:t>
      </w:r>
    </w:p>
  </w:footnote>
  <w:footnote w:id="43">
    <w:p w14:paraId="5ACA9D2C" w14:textId="3A81F5A6" w:rsidR="001C3247" w:rsidRPr="004F1CE6" w:rsidRDefault="001C3247" w:rsidP="004F1CE6">
      <w:pPr>
        <w:pStyle w:val="FootnoteText"/>
        <w:jc w:val="both"/>
        <w:rPr>
          <w:lang w:val="de-DE"/>
        </w:rPr>
      </w:pPr>
      <w:r>
        <w:rPr>
          <w:rStyle w:val="FootnoteReference"/>
        </w:rPr>
        <w:footnoteRef/>
      </w:r>
      <w:r w:rsidRPr="004F1CE6">
        <w:rPr>
          <w:lang w:val="de-DE"/>
        </w:rPr>
        <w:t xml:space="preserve"> </w:t>
      </w:r>
      <w:r w:rsidRPr="004F1CE6">
        <w:rPr>
          <w:rFonts w:ascii="Times New Roman" w:hAnsi="Times New Roman" w:cs="Times New Roman"/>
          <w:lang w:val="de-DE"/>
        </w:rPr>
        <w:t xml:space="preserve">Stefan Korioth, Evangelisch-theologische Staatsethik und juristisch Staatslehre in der Weimarer Republik und der frühen Bundesrepublik in Pascale Cancik, Thomas Henne, Thomas Simon, Stefan Ruppert, Milos Vec (eds.) </w:t>
      </w:r>
      <w:r w:rsidRPr="004F1CE6">
        <w:rPr>
          <w:rFonts w:ascii="Times New Roman" w:hAnsi="Times New Roman" w:cs="Times New Roman"/>
          <w:i/>
          <w:iCs/>
          <w:lang w:val="de-DE"/>
        </w:rPr>
        <w:t>Konfession im Rech</w:t>
      </w:r>
      <w:r w:rsidRPr="004F1CE6">
        <w:rPr>
          <w:rFonts w:ascii="Times New Roman" w:hAnsi="Times New Roman" w:cs="Times New Roman"/>
          <w:lang w:val="de-DE"/>
        </w:rPr>
        <w:t>t (Frankfurt a. M.: Vitorrio Klostermann, 2009) 142.</w:t>
      </w:r>
    </w:p>
  </w:footnote>
  <w:footnote w:id="44">
    <w:p w14:paraId="12906118" w14:textId="77777777" w:rsidR="001C3247" w:rsidRPr="00B76ECC" w:rsidRDefault="001C3247" w:rsidP="00FD2036">
      <w:pPr>
        <w:pStyle w:val="FootnoteText"/>
        <w:jc w:val="both"/>
        <w:rPr>
          <w:rFonts w:ascii="Times New Roman" w:hAnsi="Times New Roman" w:cs="Times New Roman"/>
          <w:lang w:val="de-DE"/>
        </w:rPr>
      </w:pPr>
      <w:r w:rsidRPr="00B76ECC">
        <w:rPr>
          <w:rStyle w:val="FootnoteReference"/>
          <w:rFonts w:ascii="Times New Roman" w:hAnsi="Times New Roman" w:cs="Times New Roman"/>
        </w:rPr>
        <w:footnoteRef/>
      </w:r>
      <w:r w:rsidRPr="00B76ECC">
        <w:rPr>
          <w:rFonts w:ascii="Times New Roman" w:hAnsi="Times New Roman" w:cs="Times New Roman"/>
          <w:lang w:val="de-DE"/>
        </w:rPr>
        <w:t xml:space="preserve"> Horst Bredekamp, Politische Ikonologie des Grundgesetzes in Michael Stolleis (ed.) </w:t>
      </w:r>
      <w:r w:rsidRPr="00B76ECC">
        <w:rPr>
          <w:rFonts w:ascii="Times New Roman" w:hAnsi="Times New Roman" w:cs="Times New Roman"/>
          <w:i/>
          <w:iCs/>
          <w:lang w:val="de-DE"/>
        </w:rPr>
        <w:t>Herzkammern der Republik: Die Deutschen und das Bundesverfassungsgericht</w:t>
      </w:r>
      <w:r w:rsidRPr="00B76ECC">
        <w:rPr>
          <w:rFonts w:ascii="Times New Roman" w:hAnsi="Times New Roman" w:cs="Times New Roman"/>
          <w:lang w:val="de-DE"/>
        </w:rPr>
        <w:t xml:space="preserve"> (München: C. H. Beck, 2011).</w:t>
      </w:r>
    </w:p>
  </w:footnote>
  <w:footnote w:id="45">
    <w:p w14:paraId="753F1A61" w14:textId="4E316172" w:rsidR="0032056F" w:rsidRPr="00DD29D4" w:rsidRDefault="0032056F">
      <w:pPr>
        <w:pStyle w:val="FootnoteText"/>
        <w:rPr>
          <w:lang w:val="de-DE"/>
        </w:rPr>
      </w:pPr>
      <w:r>
        <w:rPr>
          <w:rStyle w:val="FootnoteReference"/>
        </w:rPr>
        <w:footnoteRef/>
      </w:r>
      <w:r w:rsidRPr="0032056F">
        <w:rPr>
          <w:lang w:val="de-DE"/>
        </w:rPr>
        <w:t xml:space="preserve"> </w:t>
      </w:r>
      <w:r w:rsidRPr="0032056F">
        <w:rPr>
          <w:rFonts w:ascii="Times New Roman" w:hAnsi="Times New Roman" w:cs="Times New Roman"/>
          <w:lang w:val="de-DE"/>
        </w:rPr>
        <w:t xml:space="preserve">Falk Jaeger (ed.) </w:t>
      </w:r>
      <w:r w:rsidRPr="00DD29D4">
        <w:rPr>
          <w:rFonts w:ascii="Times New Roman" w:hAnsi="Times New Roman" w:cs="Times New Roman"/>
          <w:i/>
          <w:iCs/>
          <w:lang w:val="de-DE"/>
        </w:rPr>
        <w:t>Transparenz und Würde</w:t>
      </w:r>
      <w:r w:rsidRPr="00DD29D4">
        <w:rPr>
          <w:rFonts w:ascii="Times New Roman" w:hAnsi="Times New Roman" w:cs="Times New Roman"/>
          <w:lang w:val="de-DE"/>
        </w:rPr>
        <w:t>…</w:t>
      </w:r>
    </w:p>
  </w:footnote>
  <w:footnote w:id="46">
    <w:p w14:paraId="30206A39" w14:textId="77777777" w:rsidR="001C3247" w:rsidRPr="00B76ECC" w:rsidRDefault="001C3247" w:rsidP="00FD2036">
      <w:pPr>
        <w:pStyle w:val="FootnoteText"/>
        <w:jc w:val="both"/>
        <w:rPr>
          <w:rFonts w:ascii="Times New Roman" w:hAnsi="Times New Roman" w:cs="Times New Roman"/>
          <w:lang w:val="en-US"/>
        </w:rPr>
      </w:pPr>
      <w:r w:rsidRPr="00B76ECC">
        <w:rPr>
          <w:rStyle w:val="FootnoteReference"/>
          <w:rFonts w:ascii="Times New Roman" w:hAnsi="Times New Roman" w:cs="Times New Roman"/>
        </w:rPr>
        <w:footnoteRef/>
      </w:r>
      <w:r w:rsidRPr="00B76ECC">
        <w:rPr>
          <w:rFonts w:ascii="Times New Roman" w:hAnsi="Times New Roman" w:cs="Times New Roman"/>
          <w:lang w:val="en-US"/>
        </w:rPr>
        <w:t xml:space="preserve"> The influence of confessions and the construction of cross-confessional alliances and understandings in German politics is a really convoluted subject. In this regard, I find Maria D. Mitchel’s work particularly helpful, </w:t>
      </w:r>
      <w:r w:rsidRPr="00B76ECC">
        <w:rPr>
          <w:rFonts w:ascii="Times New Roman" w:hAnsi="Times New Roman" w:cs="Times New Roman"/>
          <w:i/>
          <w:iCs/>
          <w:lang w:val="en-US"/>
        </w:rPr>
        <w:t>The Origins of Christian Democracy: Politics and Confession in Modern Germany</w:t>
      </w:r>
      <w:r w:rsidRPr="00B76ECC">
        <w:rPr>
          <w:rFonts w:ascii="Times New Roman" w:hAnsi="Times New Roman" w:cs="Times New Roman"/>
          <w:lang w:val="en-US"/>
        </w:rPr>
        <w:t xml:space="preserve"> (Ann Arbor: The University of Michigan Press, 2012).</w:t>
      </w:r>
    </w:p>
  </w:footnote>
  <w:footnote w:id="47">
    <w:p w14:paraId="1E3FE4CE" w14:textId="77777777" w:rsidR="001C3247" w:rsidRPr="004F1CE6" w:rsidRDefault="001C3247" w:rsidP="00FD2036">
      <w:pPr>
        <w:pStyle w:val="FootnoteText"/>
        <w:jc w:val="both"/>
        <w:rPr>
          <w:lang w:val="de-DE"/>
        </w:rPr>
      </w:pPr>
      <w:r>
        <w:rPr>
          <w:rStyle w:val="FootnoteReference"/>
        </w:rPr>
        <w:footnoteRef/>
      </w:r>
      <w:r w:rsidRPr="00441AF5">
        <w:rPr>
          <w:rFonts w:ascii="Times New Roman" w:hAnsi="Times New Roman" w:cs="Times New Roman"/>
          <w:lang w:val="de-DE"/>
        </w:rPr>
        <w:t xml:space="preserve"> </w:t>
      </w:r>
      <w:r w:rsidRPr="004F1CE6">
        <w:rPr>
          <w:rFonts w:ascii="Times New Roman" w:hAnsi="Times New Roman" w:cs="Times New Roman"/>
          <w:lang w:val="de-DE"/>
        </w:rPr>
        <w:t xml:space="preserve">For the meaning of glass in the architecture of the Federal Republic of Germany, see Sabine Körner, </w:t>
      </w:r>
      <w:r w:rsidRPr="004F1CE6">
        <w:rPr>
          <w:rFonts w:ascii="Times New Roman" w:hAnsi="Times New Roman" w:cs="Times New Roman"/>
          <w:i/>
          <w:iCs/>
          <w:lang w:val="de-DE"/>
        </w:rPr>
        <w:t>Transparenz in Architektur und Demokratie: Die Plenarbreiche des Deutschen Bundestags in Bonn und Berlin seit 1949</w:t>
      </w:r>
      <w:r w:rsidRPr="004F1CE6">
        <w:rPr>
          <w:rFonts w:ascii="Times New Roman" w:hAnsi="Times New Roman" w:cs="Times New Roman"/>
          <w:lang w:val="de-DE"/>
        </w:rPr>
        <w:t xml:space="preserve"> (Dotmund: Universität Dormund Bauwesen, 2003).</w:t>
      </w:r>
    </w:p>
  </w:footnote>
  <w:footnote w:id="48">
    <w:p w14:paraId="1439785F" w14:textId="51F85602" w:rsidR="001C3247" w:rsidRPr="000917CD" w:rsidRDefault="001C3247" w:rsidP="00FD2036">
      <w:pPr>
        <w:pStyle w:val="FootnoteText"/>
        <w:jc w:val="both"/>
        <w:rPr>
          <w:rFonts w:ascii="Times New Roman" w:hAnsi="Times New Roman" w:cs="Times New Roman"/>
          <w:lang w:val="de-DE"/>
        </w:rPr>
      </w:pPr>
      <w:r w:rsidRPr="000917CD">
        <w:rPr>
          <w:rStyle w:val="FootnoteReference"/>
          <w:rFonts w:ascii="Times New Roman" w:hAnsi="Times New Roman" w:cs="Times New Roman"/>
        </w:rPr>
        <w:footnoteRef/>
      </w:r>
      <w:r w:rsidRPr="000917CD">
        <w:rPr>
          <w:rFonts w:ascii="Times New Roman" w:hAnsi="Times New Roman" w:cs="Times New Roman"/>
          <w:lang w:val="de-DE"/>
        </w:rPr>
        <w:t xml:space="preserve"> Daniel Damler, </w:t>
      </w:r>
      <w:r w:rsidRPr="000917CD">
        <w:rPr>
          <w:rFonts w:ascii="Times New Roman" w:hAnsi="Times New Roman" w:cs="Times New Roman"/>
          <w:i/>
          <w:iCs/>
          <w:lang w:val="de-DE"/>
        </w:rPr>
        <w:t>Konzern und Moderne</w:t>
      </w:r>
      <w:r w:rsidRPr="000917CD">
        <w:rPr>
          <w:rFonts w:ascii="Times New Roman" w:hAnsi="Times New Roman" w:cs="Times New Roman"/>
          <w:lang w:val="de-DE"/>
        </w:rPr>
        <w:t xml:space="preserve"> (Frankfurt a. M.: Vittorio Klostermann, 2016) 266-272.</w:t>
      </w:r>
    </w:p>
  </w:footnote>
  <w:footnote w:id="49">
    <w:p w14:paraId="001B8E7D" w14:textId="38F89C31" w:rsidR="00897A8F" w:rsidRPr="000917CD" w:rsidRDefault="00897A8F" w:rsidP="00FD2036">
      <w:pPr>
        <w:pStyle w:val="FootnoteText"/>
        <w:jc w:val="both"/>
        <w:rPr>
          <w:rFonts w:ascii="Times New Roman" w:hAnsi="Times New Roman" w:cs="Times New Roman"/>
          <w:lang w:val="de-DE"/>
        </w:rPr>
      </w:pPr>
      <w:r w:rsidRPr="000917CD">
        <w:rPr>
          <w:rStyle w:val="FootnoteReference"/>
          <w:rFonts w:ascii="Times New Roman" w:hAnsi="Times New Roman" w:cs="Times New Roman"/>
        </w:rPr>
        <w:footnoteRef/>
      </w:r>
      <w:r w:rsidRPr="000917CD">
        <w:rPr>
          <w:rFonts w:ascii="Times New Roman" w:hAnsi="Times New Roman" w:cs="Times New Roman"/>
          <w:lang w:val="de-DE"/>
        </w:rPr>
        <w:t xml:space="preserve"> </w:t>
      </w:r>
      <w:r w:rsidR="000917CD" w:rsidRPr="000917CD">
        <w:rPr>
          <w:rFonts w:ascii="Times New Roman" w:hAnsi="Times New Roman" w:cs="Times New Roman"/>
          <w:lang w:val="de-DE"/>
        </w:rPr>
        <w:t xml:space="preserve">See, in general, </w:t>
      </w:r>
      <w:r w:rsidR="00B8175F" w:rsidRPr="000917CD">
        <w:rPr>
          <w:rFonts w:ascii="Times New Roman" w:hAnsi="Times New Roman" w:cs="Times New Roman"/>
          <w:lang w:val="de-DE"/>
        </w:rPr>
        <w:t xml:space="preserve">Norbert Huse, Neues Bauen </w:t>
      </w:r>
      <w:r w:rsidR="000917CD" w:rsidRPr="000917CD">
        <w:rPr>
          <w:rFonts w:ascii="Times New Roman" w:hAnsi="Times New Roman" w:cs="Times New Roman"/>
          <w:lang w:val="de-DE"/>
        </w:rPr>
        <w:t>1918 bis 1933 (München: Heinz Moos, 1975).</w:t>
      </w:r>
    </w:p>
  </w:footnote>
  <w:footnote w:id="50">
    <w:p w14:paraId="7636CCD8" w14:textId="2E01916A" w:rsidR="00897A8F" w:rsidRPr="00BB2A3F" w:rsidRDefault="00897A8F" w:rsidP="00BB2A3F">
      <w:pPr>
        <w:pStyle w:val="FootnoteText"/>
        <w:jc w:val="both"/>
        <w:rPr>
          <w:rFonts w:ascii="Times New Roman" w:hAnsi="Times New Roman" w:cs="Times New Roman"/>
          <w:lang w:val="de-DE"/>
        </w:rPr>
      </w:pPr>
      <w:r w:rsidRPr="000917CD">
        <w:rPr>
          <w:rStyle w:val="FootnoteReference"/>
          <w:rFonts w:ascii="Times New Roman" w:hAnsi="Times New Roman" w:cs="Times New Roman"/>
        </w:rPr>
        <w:footnoteRef/>
      </w:r>
      <w:r w:rsidRPr="000917CD">
        <w:rPr>
          <w:rFonts w:ascii="Times New Roman" w:hAnsi="Times New Roman" w:cs="Times New Roman"/>
          <w:lang w:val="de-DE"/>
        </w:rPr>
        <w:t xml:space="preserve"> </w:t>
      </w:r>
      <w:r w:rsidR="000917CD" w:rsidRPr="000917CD">
        <w:rPr>
          <w:rFonts w:ascii="Times New Roman" w:hAnsi="Times New Roman" w:cs="Times New Roman"/>
          <w:lang w:val="de-DE"/>
        </w:rPr>
        <w:t xml:space="preserve">For a discussion of such traits of the Neues Bauen movement, see Tanja Poppelreuter, </w:t>
      </w:r>
      <w:r w:rsidR="000917CD" w:rsidRPr="000917CD">
        <w:rPr>
          <w:rFonts w:ascii="Times New Roman" w:hAnsi="Times New Roman" w:cs="Times New Roman"/>
          <w:i/>
          <w:iCs/>
          <w:lang w:val="de-DE"/>
        </w:rPr>
        <w:t>Das neue Bauen für den neuen Menschen: zur Wandlung und Wirkung des Menschenbildes in der Architektur der 1920er Jahre in Deutschland</w:t>
      </w:r>
      <w:r w:rsidR="000917CD" w:rsidRPr="000917CD">
        <w:rPr>
          <w:rFonts w:ascii="Times New Roman" w:hAnsi="Times New Roman" w:cs="Times New Roman"/>
          <w:lang w:val="de-DE"/>
        </w:rPr>
        <w:t xml:space="preserve"> (Hildenscheim: Olms, 2007).</w:t>
      </w:r>
      <w:r w:rsidR="00FD2036">
        <w:rPr>
          <w:rFonts w:ascii="Times New Roman" w:hAnsi="Times New Roman" w:cs="Times New Roman"/>
          <w:lang w:val="de-DE"/>
        </w:rPr>
        <w:t xml:space="preserve"> On Paul Baumgarten, see </w:t>
      </w:r>
      <w:r w:rsidR="00FD2036" w:rsidRPr="00FD2036">
        <w:rPr>
          <w:rFonts w:ascii="Times New Roman" w:hAnsi="Times New Roman" w:cs="Times New Roman"/>
          <w:lang w:val="de-DE"/>
        </w:rPr>
        <w:t xml:space="preserve">Falk Jaeger (ed.) </w:t>
      </w:r>
      <w:r w:rsidR="00FD2036" w:rsidRPr="00441AF5">
        <w:rPr>
          <w:rFonts w:ascii="Times New Roman" w:hAnsi="Times New Roman" w:cs="Times New Roman"/>
          <w:i/>
          <w:iCs/>
          <w:lang w:val="de-DE"/>
        </w:rPr>
        <w:t xml:space="preserve">Transparenz </w:t>
      </w:r>
      <w:r w:rsidR="00FD2036" w:rsidRPr="00BB2A3F">
        <w:rPr>
          <w:rFonts w:ascii="Times New Roman" w:hAnsi="Times New Roman" w:cs="Times New Roman"/>
          <w:i/>
          <w:iCs/>
          <w:lang w:val="de-DE"/>
        </w:rPr>
        <w:t>und Würde</w:t>
      </w:r>
      <w:r w:rsidR="0032056F" w:rsidRPr="00BB2A3F">
        <w:rPr>
          <w:rFonts w:ascii="Times New Roman" w:hAnsi="Times New Roman" w:cs="Times New Roman"/>
          <w:lang w:val="de-DE"/>
        </w:rPr>
        <w:t>.</w:t>
      </w:r>
    </w:p>
  </w:footnote>
  <w:footnote w:id="51">
    <w:p w14:paraId="08CEE0AA" w14:textId="4037C0CD" w:rsidR="00B8175F" w:rsidRPr="00DD29D4" w:rsidRDefault="00B8175F" w:rsidP="00BB2A3F">
      <w:pPr>
        <w:pStyle w:val="FootnoteText"/>
        <w:jc w:val="both"/>
        <w:rPr>
          <w:rFonts w:ascii="Times New Roman" w:hAnsi="Times New Roman" w:cs="Times New Roman"/>
          <w:lang w:val="en-US"/>
        </w:rPr>
      </w:pPr>
      <w:r w:rsidRPr="00BB2A3F">
        <w:rPr>
          <w:rStyle w:val="FootnoteReference"/>
          <w:rFonts w:ascii="Times New Roman" w:hAnsi="Times New Roman" w:cs="Times New Roman"/>
        </w:rPr>
        <w:footnoteRef/>
      </w:r>
      <w:r w:rsidRPr="00DD29D4">
        <w:rPr>
          <w:rFonts w:ascii="Times New Roman" w:hAnsi="Times New Roman" w:cs="Times New Roman"/>
          <w:lang w:val="en-US"/>
        </w:rPr>
        <w:t xml:space="preserve"> </w:t>
      </w:r>
      <w:proofErr w:type="spellStart"/>
      <w:r w:rsidRPr="00DD29D4">
        <w:rPr>
          <w:rFonts w:ascii="Times New Roman" w:hAnsi="Times New Roman" w:cs="Times New Roman"/>
          <w:lang w:val="en-US"/>
        </w:rPr>
        <w:t>Blumenberg</w:t>
      </w:r>
      <w:proofErr w:type="spellEnd"/>
      <w:r w:rsidRPr="00DD29D4">
        <w:rPr>
          <w:rFonts w:ascii="Times New Roman" w:hAnsi="Times New Roman" w:cs="Times New Roman"/>
          <w:lang w:val="en-US"/>
        </w:rPr>
        <w:t xml:space="preserve">, </w:t>
      </w:r>
      <w:r w:rsidRPr="00DD29D4">
        <w:rPr>
          <w:rFonts w:ascii="Times New Roman" w:hAnsi="Times New Roman" w:cs="Times New Roman"/>
          <w:i/>
          <w:iCs/>
          <w:lang w:val="en-US"/>
        </w:rPr>
        <w:t xml:space="preserve">Die </w:t>
      </w:r>
      <w:proofErr w:type="spellStart"/>
      <w:r w:rsidRPr="00DD29D4">
        <w:rPr>
          <w:rFonts w:ascii="Times New Roman" w:hAnsi="Times New Roman" w:cs="Times New Roman"/>
          <w:i/>
          <w:iCs/>
          <w:lang w:val="en-US"/>
        </w:rPr>
        <w:t>Legitimität</w:t>
      </w:r>
      <w:proofErr w:type="spellEnd"/>
      <w:r w:rsidRPr="00DD29D4">
        <w:rPr>
          <w:rFonts w:ascii="Times New Roman" w:hAnsi="Times New Roman" w:cs="Times New Roman"/>
          <w:lang w:val="en-US"/>
        </w:rPr>
        <w:t>… 60.</w:t>
      </w:r>
      <w:r w:rsidR="00FD2036" w:rsidRPr="00DD29D4">
        <w:rPr>
          <w:rFonts w:ascii="Times New Roman" w:hAnsi="Times New Roman" w:cs="Times New Roman"/>
          <w:lang w:val="en-US"/>
        </w:rPr>
        <w:t xml:space="preserve"> See also below.</w:t>
      </w:r>
    </w:p>
  </w:footnote>
  <w:footnote w:id="52">
    <w:p w14:paraId="4B2A962F" w14:textId="409CCBF2" w:rsidR="00B5408B" w:rsidRPr="00BB2A3F" w:rsidRDefault="00B5408B" w:rsidP="00BB2A3F">
      <w:pPr>
        <w:pStyle w:val="FootnoteText"/>
        <w:jc w:val="both"/>
        <w:rPr>
          <w:rFonts w:ascii="Times New Roman" w:hAnsi="Times New Roman" w:cs="Times New Roman"/>
          <w:lang w:val="en-US"/>
        </w:rPr>
      </w:pPr>
      <w:r w:rsidRPr="00BB2A3F">
        <w:rPr>
          <w:rStyle w:val="FootnoteReference"/>
          <w:rFonts w:ascii="Times New Roman" w:hAnsi="Times New Roman" w:cs="Times New Roman"/>
        </w:rPr>
        <w:footnoteRef/>
      </w:r>
      <w:r w:rsidRPr="00BB2A3F">
        <w:rPr>
          <w:rFonts w:ascii="Times New Roman" w:hAnsi="Times New Roman" w:cs="Times New Roman"/>
          <w:lang w:val="en-US"/>
        </w:rPr>
        <w:t xml:space="preserve"> </w:t>
      </w:r>
      <w:r w:rsidR="00BB2A3F" w:rsidRPr="00BB2A3F">
        <w:rPr>
          <w:rFonts w:ascii="Times New Roman" w:hAnsi="Times New Roman" w:cs="Times New Roman"/>
          <w:lang w:val="en-US"/>
        </w:rPr>
        <w:t>See</w:t>
      </w:r>
      <w:r w:rsidR="00BB2A3F">
        <w:rPr>
          <w:rFonts w:ascii="Times New Roman" w:hAnsi="Times New Roman" w:cs="Times New Roman"/>
          <w:lang w:val="en-US"/>
        </w:rPr>
        <w:t>, in general,</w:t>
      </w:r>
      <w:r w:rsidR="00BB2A3F" w:rsidRPr="00BB2A3F">
        <w:rPr>
          <w:rFonts w:ascii="Times New Roman" w:hAnsi="Times New Roman" w:cs="Times New Roman"/>
          <w:lang w:val="en-US"/>
        </w:rPr>
        <w:t xml:space="preserve"> Elizabeth Otto, Haunted Bauhaus. Occult Spirituality, Gender Fluidity, Queer Identities and Radical Politics (Cambridge: The MIT Press, 2019).</w:t>
      </w:r>
      <w:r w:rsidR="00BB2A3F">
        <w:rPr>
          <w:rFonts w:ascii="Times New Roman" w:hAnsi="Times New Roman" w:cs="Times New Roman"/>
          <w:lang w:val="en-US"/>
        </w:rPr>
        <w:t xml:space="preserve"> For the cover of the manifesto, see Lyonel Feininger, </w:t>
      </w:r>
      <w:proofErr w:type="spellStart"/>
      <w:r w:rsidR="00BB2A3F">
        <w:rPr>
          <w:rFonts w:ascii="Times New Roman" w:hAnsi="Times New Roman" w:cs="Times New Roman"/>
          <w:lang w:val="en-US"/>
        </w:rPr>
        <w:t>Kathedrale</w:t>
      </w:r>
      <w:proofErr w:type="spellEnd"/>
      <w:r w:rsidR="00BB2A3F">
        <w:rPr>
          <w:rFonts w:ascii="Times New Roman" w:hAnsi="Times New Roman" w:cs="Times New Roman"/>
          <w:lang w:val="en-US"/>
        </w:rPr>
        <w:t>, Woodblock print, Bauhaus-</w:t>
      </w:r>
      <w:proofErr w:type="spellStart"/>
      <w:r w:rsidR="00BB2A3F">
        <w:rPr>
          <w:rFonts w:ascii="Times New Roman" w:hAnsi="Times New Roman" w:cs="Times New Roman"/>
          <w:lang w:val="en-US"/>
        </w:rPr>
        <w:t>Archiv</w:t>
      </w:r>
      <w:proofErr w:type="spellEnd"/>
      <w:r w:rsidR="00BB2A3F">
        <w:rPr>
          <w:rFonts w:ascii="Times New Roman" w:hAnsi="Times New Roman" w:cs="Times New Roman"/>
          <w:lang w:val="en-US"/>
        </w:rPr>
        <w:t xml:space="preserve"> Berlin, 1919.</w:t>
      </w:r>
    </w:p>
  </w:footnote>
  <w:footnote w:id="53">
    <w:p w14:paraId="7BCB9D90" w14:textId="184FB4B8" w:rsidR="001C3247" w:rsidRPr="00FD2036" w:rsidRDefault="001C3247" w:rsidP="00BB2A3F">
      <w:pPr>
        <w:pStyle w:val="FootnoteText"/>
        <w:jc w:val="both"/>
        <w:rPr>
          <w:rFonts w:ascii="Times New Roman" w:hAnsi="Times New Roman" w:cs="Times New Roman"/>
          <w:lang w:val="en-US"/>
        </w:rPr>
      </w:pPr>
      <w:r w:rsidRPr="00BB2A3F">
        <w:rPr>
          <w:rStyle w:val="FootnoteReference"/>
          <w:rFonts w:ascii="Times New Roman" w:hAnsi="Times New Roman" w:cs="Times New Roman"/>
        </w:rPr>
        <w:footnoteRef/>
      </w:r>
      <w:r w:rsidRPr="00BB2A3F">
        <w:rPr>
          <w:rFonts w:ascii="Times New Roman" w:hAnsi="Times New Roman" w:cs="Times New Roman"/>
          <w:lang w:val="en-US"/>
        </w:rPr>
        <w:t xml:space="preserve"> Johan van der Walt, When One Religious Extremism</w:t>
      </w:r>
      <w:r w:rsidRPr="00FD2036">
        <w:rPr>
          <w:rFonts w:ascii="Times New Roman" w:hAnsi="Times New Roman" w:cs="Times New Roman"/>
          <w:lang w:val="en-US"/>
        </w:rPr>
        <w:t xml:space="preserve"> unmasks Another: Reflections on Europe’s States of Emergency as a Legacy of Ordo-Liberal De-</w:t>
      </w:r>
      <w:proofErr w:type="spellStart"/>
      <w:r w:rsidRPr="00FD2036">
        <w:rPr>
          <w:rFonts w:ascii="Times New Roman" w:hAnsi="Times New Roman" w:cs="Times New Roman"/>
          <w:lang w:val="en-US"/>
        </w:rPr>
        <w:t>hermeneuticisation</w:t>
      </w:r>
      <w:proofErr w:type="spellEnd"/>
      <w:r w:rsidRPr="00FD2036">
        <w:rPr>
          <w:rFonts w:ascii="Times New Roman" w:hAnsi="Times New Roman" w:cs="Times New Roman"/>
          <w:lang w:val="en-US"/>
        </w:rPr>
        <w:t xml:space="preserve"> 24 </w:t>
      </w:r>
      <w:r w:rsidRPr="00FD2036">
        <w:rPr>
          <w:rFonts w:ascii="Times New Roman" w:hAnsi="Times New Roman" w:cs="Times New Roman"/>
          <w:i/>
          <w:iCs/>
          <w:lang w:val="en-US"/>
        </w:rPr>
        <w:t>New Perspectives</w:t>
      </w:r>
      <w:r w:rsidRPr="00FD2036">
        <w:rPr>
          <w:rFonts w:ascii="Times New Roman" w:hAnsi="Times New Roman" w:cs="Times New Roman"/>
          <w:lang w:val="en-US"/>
        </w:rPr>
        <w:t xml:space="preserve"> 1 (2016).</w:t>
      </w:r>
    </w:p>
  </w:footnote>
  <w:footnote w:id="54">
    <w:p w14:paraId="4D68A156" w14:textId="4A99C5A4" w:rsidR="001C3247" w:rsidRPr="00FD2036" w:rsidRDefault="001C3247" w:rsidP="00FD2036">
      <w:pPr>
        <w:pStyle w:val="FootnoteText"/>
        <w:jc w:val="both"/>
        <w:rPr>
          <w:rFonts w:ascii="Times New Roman" w:hAnsi="Times New Roman" w:cs="Times New Roman"/>
          <w:lang w:val="en-US"/>
        </w:rPr>
      </w:pPr>
      <w:r w:rsidRPr="00FD2036">
        <w:rPr>
          <w:rStyle w:val="FootnoteReference"/>
          <w:rFonts w:ascii="Times New Roman" w:hAnsi="Times New Roman" w:cs="Times New Roman"/>
        </w:rPr>
        <w:footnoteRef/>
      </w:r>
      <w:r w:rsidR="00FD2036" w:rsidRPr="00FD2036">
        <w:rPr>
          <w:rFonts w:ascii="Times New Roman" w:hAnsi="Times New Roman" w:cs="Times New Roman"/>
          <w:lang w:val="en-US"/>
        </w:rPr>
        <w:t xml:space="preserve"> In his </w:t>
      </w:r>
      <w:proofErr w:type="spellStart"/>
      <w:r w:rsidR="00FD2036" w:rsidRPr="00FD2036">
        <w:rPr>
          <w:rFonts w:ascii="Times New Roman" w:hAnsi="Times New Roman" w:cs="Times New Roman"/>
          <w:i/>
          <w:iCs/>
          <w:lang w:val="en-US"/>
        </w:rPr>
        <w:t>Grundzüge</w:t>
      </w:r>
      <w:proofErr w:type="spellEnd"/>
      <w:r w:rsidR="00FD2036" w:rsidRPr="00FD2036">
        <w:rPr>
          <w:rFonts w:ascii="Times New Roman" w:hAnsi="Times New Roman" w:cs="Times New Roman"/>
          <w:i/>
          <w:iCs/>
          <w:lang w:val="en-US"/>
        </w:rPr>
        <w:t xml:space="preserve"> der </w:t>
      </w:r>
      <w:proofErr w:type="spellStart"/>
      <w:r w:rsidR="00FD2036" w:rsidRPr="00FD2036">
        <w:rPr>
          <w:rFonts w:ascii="Times New Roman" w:hAnsi="Times New Roman" w:cs="Times New Roman"/>
          <w:i/>
          <w:iCs/>
          <w:lang w:val="en-US"/>
        </w:rPr>
        <w:t>Rechtsphilsophie</w:t>
      </w:r>
      <w:proofErr w:type="spellEnd"/>
      <w:r w:rsidR="00FD2036" w:rsidRPr="00FD2036">
        <w:rPr>
          <w:rFonts w:ascii="Times New Roman" w:hAnsi="Times New Roman" w:cs="Times New Roman"/>
          <w:lang w:val="en-US"/>
        </w:rPr>
        <w:t xml:space="preserve"> (Berlin: De Gruyter, 1993), for instance, Helmut </w:t>
      </w:r>
      <w:proofErr w:type="spellStart"/>
      <w:r w:rsidR="00FD2036" w:rsidRPr="00FD2036">
        <w:rPr>
          <w:rFonts w:ascii="Times New Roman" w:hAnsi="Times New Roman" w:cs="Times New Roman"/>
          <w:lang w:val="en-US"/>
        </w:rPr>
        <w:t>Coing</w:t>
      </w:r>
      <w:proofErr w:type="spellEnd"/>
      <w:r w:rsidR="00FD2036" w:rsidRPr="00FD2036">
        <w:rPr>
          <w:rFonts w:ascii="Times New Roman" w:hAnsi="Times New Roman" w:cs="Times New Roman"/>
          <w:lang w:val="en-US"/>
        </w:rPr>
        <w:t xml:space="preserve"> recurrently refers to Walter Eucken, either to support his positions or for inspiration. On </w:t>
      </w:r>
      <w:proofErr w:type="spellStart"/>
      <w:r w:rsidR="00FD2036" w:rsidRPr="00FD2036">
        <w:rPr>
          <w:rFonts w:ascii="Times New Roman" w:hAnsi="Times New Roman" w:cs="Times New Roman"/>
          <w:lang w:val="en-US"/>
        </w:rPr>
        <w:t>Coing’s</w:t>
      </w:r>
      <w:proofErr w:type="spellEnd"/>
      <w:r w:rsidR="00FD2036" w:rsidRPr="00FD2036">
        <w:rPr>
          <w:rFonts w:ascii="Times New Roman" w:hAnsi="Times New Roman" w:cs="Times New Roman"/>
          <w:lang w:val="en-US"/>
        </w:rPr>
        <w:t xml:space="preserve"> background, see </w:t>
      </w:r>
      <w:proofErr w:type="spellStart"/>
      <w:r w:rsidR="00FD2036" w:rsidRPr="00FD2036">
        <w:rPr>
          <w:rFonts w:ascii="Times New Roman" w:hAnsi="Times New Roman" w:cs="Times New Roman"/>
          <w:lang w:val="en-US"/>
        </w:rPr>
        <w:t>Kaius</w:t>
      </w:r>
      <w:proofErr w:type="spellEnd"/>
      <w:r w:rsidR="00FD2036" w:rsidRPr="00FD2036">
        <w:rPr>
          <w:rFonts w:ascii="Times New Roman" w:hAnsi="Times New Roman" w:cs="Times New Roman"/>
          <w:lang w:val="en-US"/>
        </w:rPr>
        <w:t xml:space="preserve"> </w:t>
      </w:r>
      <w:proofErr w:type="spellStart"/>
      <w:r w:rsidR="00FD2036" w:rsidRPr="00FD2036">
        <w:rPr>
          <w:rFonts w:ascii="Times New Roman" w:hAnsi="Times New Roman" w:cs="Times New Roman"/>
          <w:lang w:val="en-US"/>
        </w:rPr>
        <w:t>Tuori</w:t>
      </w:r>
      <w:proofErr w:type="spellEnd"/>
      <w:r w:rsidR="00FD2036" w:rsidRPr="00FD2036">
        <w:rPr>
          <w:rFonts w:ascii="Times New Roman" w:hAnsi="Times New Roman" w:cs="Times New Roman"/>
          <w:lang w:val="en-US"/>
        </w:rPr>
        <w:t xml:space="preserve">, </w:t>
      </w:r>
      <w:r w:rsidR="00FD2036" w:rsidRPr="00FD2036">
        <w:rPr>
          <w:rFonts w:ascii="Times New Roman" w:hAnsi="Times New Roman" w:cs="Times New Roman"/>
          <w:i/>
          <w:iCs/>
          <w:lang w:val="en-US"/>
        </w:rPr>
        <w:t>Empire of Law: Nazi Germany, Exile Scholars and the Battle for the Future of Europe</w:t>
      </w:r>
      <w:r w:rsidR="00FD2036" w:rsidRPr="00FD2036">
        <w:rPr>
          <w:rFonts w:ascii="Times New Roman" w:hAnsi="Times New Roman" w:cs="Times New Roman"/>
          <w:lang w:val="en-US"/>
        </w:rPr>
        <w:t xml:space="preserve"> (Cambridge: Cambridge University Press, 2020).</w:t>
      </w:r>
    </w:p>
  </w:footnote>
  <w:footnote w:id="55">
    <w:p w14:paraId="6697E0ED" w14:textId="77777777" w:rsidR="001C3247" w:rsidRPr="00DD29D4" w:rsidRDefault="001C3247" w:rsidP="00560FB8">
      <w:pPr>
        <w:pStyle w:val="FootnoteText"/>
        <w:jc w:val="both"/>
        <w:rPr>
          <w:rFonts w:ascii="Times New Roman" w:hAnsi="Times New Roman" w:cs="Times New Roman"/>
          <w:lang w:val="de-DE"/>
        </w:rPr>
      </w:pPr>
      <w:r w:rsidRPr="00FD2036">
        <w:rPr>
          <w:rStyle w:val="FootnoteReference"/>
          <w:rFonts w:ascii="Times New Roman" w:hAnsi="Times New Roman" w:cs="Times New Roman"/>
        </w:rPr>
        <w:footnoteRef/>
      </w:r>
      <w:r w:rsidRPr="00FD2036">
        <w:rPr>
          <w:rFonts w:ascii="Times New Roman" w:hAnsi="Times New Roman" w:cs="Times New Roman"/>
        </w:rPr>
        <w:t xml:space="preserve"> Thomas Aquinas, Summa Theologiae, Suppl. </w:t>
      </w:r>
      <w:r w:rsidRPr="00DD29D4">
        <w:rPr>
          <w:rFonts w:ascii="Times New Roman" w:hAnsi="Times New Roman" w:cs="Times New Roman"/>
          <w:lang w:val="de-DE"/>
        </w:rPr>
        <w:t xml:space="preserve">Tertiae partis, art. I, ad sec., Quaestio 85 De claritate corporum beatorum. </w:t>
      </w:r>
    </w:p>
  </w:footnote>
  <w:footnote w:id="56">
    <w:p w14:paraId="6B9CC43A" w14:textId="77777777" w:rsidR="001C3247" w:rsidRPr="00DD29D4" w:rsidRDefault="001C3247" w:rsidP="00560FB8">
      <w:pPr>
        <w:pStyle w:val="FootnoteText"/>
        <w:jc w:val="both"/>
        <w:rPr>
          <w:rFonts w:ascii="Times New Roman" w:hAnsi="Times New Roman" w:cs="Times New Roman"/>
          <w:lang w:val="de-DE"/>
        </w:rPr>
      </w:pPr>
      <w:r w:rsidRPr="00FD2036">
        <w:rPr>
          <w:rStyle w:val="FootnoteReference"/>
          <w:rFonts w:ascii="Times New Roman" w:hAnsi="Times New Roman" w:cs="Times New Roman"/>
        </w:rPr>
        <w:footnoteRef/>
      </w:r>
      <w:r w:rsidRPr="00DD29D4">
        <w:rPr>
          <w:rFonts w:ascii="Times New Roman" w:hAnsi="Times New Roman" w:cs="Times New Roman"/>
          <w:lang w:val="de-DE"/>
        </w:rPr>
        <w:t xml:space="preserve"> Martin Luther, Von der Freiheit eines Christenmenschen in </w:t>
      </w:r>
      <w:r w:rsidRPr="00DD29D4">
        <w:rPr>
          <w:rFonts w:ascii="Times New Roman" w:hAnsi="Times New Roman" w:cs="Times New Roman"/>
          <w:i/>
          <w:iCs/>
          <w:lang w:val="de-DE"/>
        </w:rPr>
        <w:t>Luther lesen: Die zentralen Texte</w:t>
      </w:r>
      <w:r w:rsidRPr="00DD29D4">
        <w:rPr>
          <w:rFonts w:ascii="Times New Roman" w:hAnsi="Times New Roman" w:cs="Times New Roman"/>
          <w:lang w:val="de-DE"/>
        </w:rPr>
        <w:t>, ed. by the Office of the Vereinigten Eangelisch-Lutherischen Kirche Deutschlands (Göttingen: Vandenhoeck &amp; Ruprecht, 2017) 57.</w:t>
      </w:r>
    </w:p>
  </w:footnote>
  <w:footnote w:id="57">
    <w:p w14:paraId="7820E6FE" w14:textId="77777777" w:rsidR="001C3247" w:rsidRPr="00B76ECC" w:rsidRDefault="001C3247" w:rsidP="00560FB8">
      <w:pPr>
        <w:pStyle w:val="FootnoteText"/>
        <w:jc w:val="both"/>
        <w:rPr>
          <w:rFonts w:ascii="Times New Roman" w:hAnsi="Times New Roman" w:cs="Times New Roman"/>
          <w:lang w:val="de-DE"/>
        </w:rPr>
      </w:pPr>
      <w:r w:rsidRPr="00B76ECC">
        <w:rPr>
          <w:rStyle w:val="FootnoteReference"/>
          <w:rFonts w:ascii="Times New Roman" w:hAnsi="Times New Roman" w:cs="Times New Roman"/>
        </w:rPr>
        <w:footnoteRef/>
      </w:r>
      <w:r w:rsidRPr="00B76ECC">
        <w:rPr>
          <w:rFonts w:ascii="Times New Roman" w:hAnsi="Times New Roman" w:cs="Times New Roman"/>
          <w:lang w:val="de-DE"/>
        </w:rPr>
        <w:t xml:space="preserve"> Id., Über die Gefangenschaft der Kirche in </w:t>
      </w:r>
      <w:r w:rsidRPr="00B76ECC">
        <w:rPr>
          <w:rFonts w:ascii="Times New Roman" w:hAnsi="Times New Roman" w:cs="Times New Roman"/>
          <w:i/>
          <w:iCs/>
          <w:lang w:val="de-DE"/>
        </w:rPr>
        <w:t>Luther lesen</w:t>
      </w:r>
      <w:r w:rsidRPr="00B76ECC">
        <w:rPr>
          <w:rFonts w:ascii="Times New Roman" w:hAnsi="Times New Roman" w:cs="Times New Roman"/>
          <w:lang w:val="de-DE"/>
        </w:rPr>
        <w:t>, 70.</w:t>
      </w:r>
    </w:p>
  </w:footnote>
  <w:footnote w:id="58">
    <w:p w14:paraId="6FDE1C65" w14:textId="3E951457" w:rsidR="000917CD" w:rsidRPr="000917CD" w:rsidRDefault="000917CD">
      <w:pPr>
        <w:pStyle w:val="FootnoteText"/>
        <w:rPr>
          <w:lang w:val="en-US"/>
        </w:rPr>
      </w:pPr>
      <w:r>
        <w:rPr>
          <w:rStyle w:val="FootnoteReference"/>
        </w:rPr>
        <w:footnoteRef/>
      </w:r>
      <w:r w:rsidRPr="000917CD">
        <w:rPr>
          <w:lang w:val="en-US"/>
        </w:rPr>
        <w:t xml:space="preserve"> </w:t>
      </w:r>
      <w:r>
        <w:rPr>
          <w:lang w:val="en-US"/>
        </w:rPr>
        <w:t xml:space="preserve">Yet, on Luther and Thomas Aquinas, see, among others, Denis R. </w:t>
      </w:r>
      <w:proofErr w:type="spellStart"/>
      <w:r>
        <w:rPr>
          <w:lang w:val="en-US"/>
        </w:rPr>
        <w:t>Janz</w:t>
      </w:r>
      <w:proofErr w:type="spellEnd"/>
      <w:r>
        <w:rPr>
          <w:lang w:val="en-US"/>
        </w:rPr>
        <w:t xml:space="preserve">, </w:t>
      </w:r>
      <w:r w:rsidRPr="00FD2036">
        <w:rPr>
          <w:i/>
          <w:iCs/>
          <w:lang w:val="en-US"/>
        </w:rPr>
        <w:t xml:space="preserve">Luther on Thomas Aquinas: The angelic doctor in the thought of the reformer </w:t>
      </w:r>
      <w:r>
        <w:rPr>
          <w:lang w:val="en-US"/>
        </w:rPr>
        <w:t>(Stuttgart: Franz Steiner Verlag, 1989)</w:t>
      </w:r>
      <w:r w:rsidR="00FD2036">
        <w:rPr>
          <w:lang w:val="en-US"/>
        </w:rPr>
        <w:t>.</w:t>
      </w:r>
      <w:r>
        <w:rPr>
          <w:lang w:val="en-US"/>
        </w:rPr>
        <w:t xml:space="preserve"> </w:t>
      </w:r>
    </w:p>
  </w:footnote>
  <w:footnote w:id="59">
    <w:p w14:paraId="6F7653DF" w14:textId="31781912" w:rsidR="00FD2036" w:rsidRPr="0099575F" w:rsidRDefault="00FD2036">
      <w:pPr>
        <w:pStyle w:val="FootnoteText"/>
        <w:rPr>
          <w:lang w:val="en-US"/>
        </w:rPr>
      </w:pPr>
      <w:r>
        <w:rPr>
          <w:rStyle w:val="FootnoteReference"/>
        </w:rPr>
        <w:footnoteRef/>
      </w:r>
      <w:r w:rsidRPr="0099575F">
        <w:rPr>
          <w:lang w:val="en-US"/>
        </w:rPr>
        <w:t xml:space="preserve"> For a tremendously well-researched account of this process, see Hans Maier, </w:t>
      </w:r>
      <w:proofErr w:type="spellStart"/>
      <w:r w:rsidRPr="0099575F">
        <w:rPr>
          <w:lang w:val="en-US"/>
        </w:rPr>
        <w:t>Katholische</w:t>
      </w:r>
      <w:proofErr w:type="spellEnd"/>
      <w:r w:rsidRPr="0099575F">
        <w:rPr>
          <w:lang w:val="en-US"/>
        </w:rPr>
        <w:t xml:space="preserve"> </w:t>
      </w:r>
      <w:proofErr w:type="spellStart"/>
      <w:r w:rsidRPr="0099575F">
        <w:rPr>
          <w:lang w:val="en-US"/>
        </w:rPr>
        <w:t>Sozial</w:t>
      </w:r>
      <w:proofErr w:type="spellEnd"/>
      <w:r w:rsidRPr="0099575F">
        <w:rPr>
          <w:lang w:val="en-US"/>
        </w:rPr>
        <w:t xml:space="preserve">- und </w:t>
      </w:r>
      <w:proofErr w:type="spellStart"/>
      <w:r w:rsidRPr="0099575F">
        <w:rPr>
          <w:lang w:val="en-US"/>
        </w:rPr>
        <w:t>Staatslehre</w:t>
      </w:r>
      <w:proofErr w:type="spellEnd"/>
      <w:r w:rsidRPr="0099575F">
        <w:rPr>
          <w:lang w:val="en-US"/>
        </w:rPr>
        <w:t xml:space="preserve"> und </w:t>
      </w:r>
      <w:proofErr w:type="spellStart"/>
      <w:r w:rsidRPr="0099575F">
        <w:rPr>
          <w:lang w:val="en-US"/>
        </w:rPr>
        <w:t>neuere</w:t>
      </w:r>
      <w:proofErr w:type="spellEnd"/>
      <w:r w:rsidRPr="0099575F">
        <w:rPr>
          <w:lang w:val="en-US"/>
        </w:rPr>
        <w:t xml:space="preserve"> deutsche </w:t>
      </w:r>
      <w:proofErr w:type="spellStart"/>
      <w:r w:rsidRPr="0099575F">
        <w:rPr>
          <w:lang w:val="en-US"/>
        </w:rPr>
        <w:t>Staatslehre</w:t>
      </w:r>
      <w:proofErr w:type="spellEnd"/>
      <w:r w:rsidRPr="0099575F">
        <w:rPr>
          <w:lang w:val="en-US"/>
        </w:rPr>
        <w:t xml:space="preserve">, 93 </w:t>
      </w:r>
      <w:proofErr w:type="spellStart"/>
      <w:r w:rsidRPr="0099575F">
        <w:rPr>
          <w:lang w:val="en-US"/>
        </w:rPr>
        <w:t>Archiv</w:t>
      </w:r>
      <w:proofErr w:type="spellEnd"/>
      <w:r w:rsidRPr="0099575F">
        <w:rPr>
          <w:lang w:val="en-US"/>
        </w:rPr>
        <w:t xml:space="preserve"> des </w:t>
      </w:r>
      <w:proofErr w:type="spellStart"/>
      <w:r w:rsidRPr="0099575F">
        <w:rPr>
          <w:lang w:val="en-US"/>
        </w:rPr>
        <w:t>öffentlichen</w:t>
      </w:r>
      <w:proofErr w:type="spellEnd"/>
      <w:r w:rsidRPr="0099575F">
        <w:rPr>
          <w:lang w:val="en-US"/>
        </w:rPr>
        <w:t xml:space="preserve"> </w:t>
      </w:r>
      <w:proofErr w:type="spellStart"/>
      <w:r w:rsidRPr="0099575F">
        <w:rPr>
          <w:lang w:val="en-US"/>
        </w:rPr>
        <w:t>Rechts</w:t>
      </w:r>
      <w:proofErr w:type="spellEnd"/>
      <w:r w:rsidRPr="0099575F">
        <w:rPr>
          <w:lang w:val="en-US"/>
        </w:rPr>
        <w:t xml:space="preserve"> 1 (1968) 1-36</w:t>
      </w:r>
      <w:r w:rsidR="0099575F" w:rsidRPr="0099575F">
        <w:rPr>
          <w:lang w:val="en-US"/>
        </w:rPr>
        <w:t>, esp. 37</w:t>
      </w:r>
      <w:r w:rsidR="0099575F">
        <w:rPr>
          <w:lang w:val="en-US"/>
        </w:rPr>
        <w:t>.</w:t>
      </w:r>
    </w:p>
  </w:footnote>
  <w:footnote w:id="60">
    <w:p w14:paraId="67DA3E5B" w14:textId="77777777" w:rsidR="00FD2036" w:rsidRPr="00795176" w:rsidRDefault="00FD2036" w:rsidP="00FD2036">
      <w:pPr>
        <w:pStyle w:val="FootnoteText"/>
        <w:jc w:val="both"/>
        <w:rPr>
          <w:rFonts w:ascii="Times New Roman" w:hAnsi="Times New Roman" w:cs="Times New Roman"/>
          <w:lang w:val="en-US"/>
        </w:rPr>
      </w:pPr>
      <w:r w:rsidRPr="00795176">
        <w:rPr>
          <w:rStyle w:val="FootnoteReference"/>
          <w:rFonts w:ascii="Times New Roman" w:hAnsi="Times New Roman" w:cs="Times New Roman"/>
        </w:rPr>
        <w:footnoteRef/>
      </w:r>
      <w:r w:rsidRPr="00795176">
        <w:rPr>
          <w:rFonts w:ascii="Times New Roman" w:hAnsi="Times New Roman" w:cs="Times New Roman"/>
          <w:lang w:val="en-US"/>
        </w:rPr>
        <w:t xml:space="preserve"> Sources for the images below, from left top to right bottom: </w:t>
      </w:r>
      <w:proofErr w:type="spellStart"/>
      <w:r w:rsidRPr="00795176">
        <w:rPr>
          <w:rFonts w:ascii="Times New Roman" w:hAnsi="Times New Roman" w:cs="Times New Roman"/>
          <w:lang w:val="en-US"/>
        </w:rPr>
        <w:t>Bundesarchiv</w:t>
      </w:r>
      <w:proofErr w:type="spellEnd"/>
      <w:r w:rsidRPr="00795176">
        <w:rPr>
          <w:rFonts w:ascii="Times New Roman" w:hAnsi="Times New Roman" w:cs="Times New Roman"/>
          <w:lang w:val="en-US"/>
        </w:rPr>
        <w:t xml:space="preserve"> Bild 183-42346-0003, available at </w:t>
      </w:r>
      <w:hyperlink r:id="rId5" w:history="1">
        <w:r w:rsidRPr="00795176">
          <w:rPr>
            <w:rStyle w:val="Hyperlink"/>
            <w:rFonts w:ascii="Times New Roman" w:hAnsi="Times New Roman" w:cs="Times New Roman"/>
            <w:lang w:val="en-US"/>
          </w:rPr>
          <w:t>https://www.lto.de/recht/feuilleton/f/rechtsgeschichte-reichsgericht-75-jahre-urteile-banalitaet-rechtsstaat/</w:t>
        </w:r>
      </w:hyperlink>
      <w:r w:rsidRPr="00795176">
        <w:rPr>
          <w:rFonts w:ascii="Times New Roman" w:hAnsi="Times New Roman" w:cs="Times New Roman"/>
          <w:lang w:val="en-US"/>
        </w:rPr>
        <w:t xml:space="preserve">; Photo available at </w:t>
      </w:r>
      <w:proofErr w:type="spellStart"/>
      <w:r w:rsidRPr="00795176">
        <w:rPr>
          <w:rFonts w:ascii="Times New Roman" w:hAnsi="Times New Roman" w:cs="Times New Roman"/>
          <w:lang w:val="en-US"/>
        </w:rPr>
        <w:t>Bundesverfassungsgericht</w:t>
      </w:r>
      <w:proofErr w:type="spellEnd"/>
      <w:r>
        <w:rPr>
          <w:rFonts w:ascii="Times New Roman" w:hAnsi="Times New Roman" w:cs="Times New Roman"/>
          <w:lang w:val="en-US"/>
        </w:rPr>
        <w:t>,</w:t>
      </w:r>
      <w:r w:rsidRPr="00795176">
        <w:rPr>
          <w:rFonts w:ascii="Times New Roman" w:hAnsi="Times New Roman" w:cs="Times New Roman"/>
          <w:lang w:val="en-US"/>
        </w:rPr>
        <w:t xml:space="preserve"> </w:t>
      </w:r>
      <w:proofErr w:type="spellStart"/>
      <w:r w:rsidRPr="00795176">
        <w:rPr>
          <w:rFonts w:ascii="Times New Roman" w:hAnsi="Times New Roman" w:cs="Times New Roman"/>
          <w:i/>
          <w:iCs/>
          <w:lang w:val="en-US"/>
        </w:rPr>
        <w:t>Jahrbericht</w:t>
      </w:r>
      <w:proofErr w:type="spellEnd"/>
      <w:r w:rsidRPr="00795176">
        <w:rPr>
          <w:rFonts w:ascii="Times New Roman" w:hAnsi="Times New Roman" w:cs="Times New Roman"/>
          <w:i/>
          <w:iCs/>
          <w:lang w:val="en-US"/>
        </w:rPr>
        <w:t xml:space="preserve"> 2021</w:t>
      </w:r>
      <w:r w:rsidRPr="00795176">
        <w:rPr>
          <w:rFonts w:ascii="Times New Roman" w:hAnsi="Times New Roman" w:cs="Times New Roman"/>
          <w:lang w:val="en-US"/>
        </w:rPr>
        <w:t xml:space="preserve">… </w:t>
      </w:r>
      <w:r w:rsidRPr="00795176">
        <w:rPr>
          <w:rFonts w:ascii="Times New Roman" w:hAnsi="Times New Roman" w:cs="Times New Roman"/>
          <w:lang w:val="de-DE"/>
        </w:rPr>
        <w:t xml:space="preserve">21; Photo available at </w:t>
      </w:r>
      <w:r w:rsidR="00000000">
        <w:fldChar w:fldCharType="begin"/>
      </w:r>
      <w:r w:rsidR="00000000" w:rsidRPr="00457B74">
        <w:rPr>
          <w:lang w:val="de-DE"/>
        </w:rPr>
        <w:instrText>HYPERLINK "https://www.kunstundjustiz.bund.de/haus-saal/"</w:instrText>
      </w:r>
      <w:r w:rsidR="00000000">
        <w:fldChar w:fldCharType="separate"/>
      </w:r>
      <w:r w:rsidRPr="00795176">
        <w:rPr>
          <w:rStyle w:val="Hyperlink"/>
          <w:rFonts w:ascii="Times New Roman" w:hAnsi="Times New Roman" w:cs="Times New Roman"/>
          <w:lang w:val="de-DE"/>
        </w:rPr>
        <w:t>https://www.kunstundjustiz.bund.de/haus-saal/</w:t>
      </w:r>
      <w:r w:rsidR="00000000">
        <w:rPr>
          <w:rStyle w:val="Hyperlink"/>
          <w:rFonts w:ascii="Times New Roman" w:hAnsi="Times New Roman" w:cs="Times New Roman"/>
          <w:lang w:val="de-DE"/>
        </w:rPr>
        <w:fldChar w:fldCharType="end"/>
      </w:r>
      <w:r w:rsidRPr="00795176">
        <w:rPr>
          <w:rFonts w:ascii="Times New Roman" w:hAnsi="Times New Roman" w:cs="Times New Roman"/>
          <w:lang w:val="de-DE"/>
        </w:rPr>
        <w:t>; Photo available at Bundesverfassungsgericht</w:t>
      </w:r>
      <w:r>
        <w:rPr>
          <w:rFonts w:ascii="Times New Roman" w:hAnsi="Times New Roman" w:cs="Times New Roman"/>
          <w:lang w:val="de-DE"/>
        </w:rPr>
        <w:t>,</w:t>
      </w:r>
      <w:r w:rsidRPr="00795176">
        <w:rPr>
          <w:rFonts w:ascii="Times New Roman" w:hAnsi="Times New Roman" w:cs="Times New Roman"/>
          <w:lang w:val="de-DE"/>
        </w:rPr>
        <w:t xml:space="preserve"> </w:t>
      </w:r>
      <w:r w:rsidRPr="00795176">
        <w:rPr>
          <w:rFonts w:ascii="Times New Roman" w:hAnsi="Times New Roman" w:cs="Times New Roman"/>
          <w:i/>
          <w:iCs/>
          <w:lang w:val="de-DE"/>
        </w:rPr>
        <w:t>Jahrbericht 2021</w:t>
      </w:r>
      <w:r w:rsidRPr="00795176">
        <w:rPr>
          <w:rFonts w:ascii="Times New Roman" w:hAnsi="Times New Roman" w:cs="Times New Roman"/>
          <w:lang w:val="de-DE"/>
        </w:rPr>
        <w:t xml:space="preserve">… </w:t>
      </w:r>
      <w:r w:rsidRPr="00795176">
        <w:rPr>
          <w:rFonts w:ascii="Times New Roman" w:hAnsi="Times New Roman" w:cs="Times New Roman"/>
          <w:lang w:val="en-US"/>
        </w:rPr>
        <w:t>23</w:t>
      </w:r>
      <w:r>
        <w:rPr>
          <w:rFonts w:ascii="Times New Roman" w:hAnsi="Times New Roman" w:cs="Times New Roman"/>
          <w:lang w:val="en-US"/>
        </w:rPr>
        <w:t xml:space="preserve">. The photographs on the left correspond to the building in Leipzig where once the </w:t>
      </w:r>
      <w:proofErr w:type="spellStart"/>
      <w:r>
        <w:rPr>
          <w:rFonts w:ascii="Times New Roman" w:hAnsi="Times New Roman" w:cs="Times New Roman"/>
          <w:lang w:val="en-US"/>
        </w:rPr>
        <w:t>Reichskammergericht</w:t>
      </w:r>
      <w:proofErr w:type="spellEnd"/>
      <w:r>
        <w:rPr>
          <w:rFonts w:ascii="Times New Roman" w:hAnsi="Times New Roman" w:cs="Times New Roman"/>
          <w:lang w:val="en-US"/>
        </w:rPr>
        <w:t xml:space="preserve"> operated, and which was also the seat of Weimar’s </w:t>
      </w:r>
      <w:proofErr w:type="spellStart"/>
      <w:r w:rsidRPr="000917CD">
        <w:rPr>
          <w:rFonts w:ascii="Times New Roman" w:hAnsi="Times New Roman" w:cs="Times New Roman"/>
          <w:i/>
          <w:iCs/>
          <w:lang w:val="en-US"/>
        </w:rPr>
        <w:t>Staatsgerichthof</w:t>
      </w:r>
      <w:proofErr w:type="spellEnd"/>
      <w:r>
        <w:rPr>
          <w:rFonts w:ascii="Times New Roman" w:hAnsi="Times New Roman" w:cs="Times New Roman"/>
          <w:i/>
          <w:iCs/>
          <w:lang w:val="en-US"/>
        </w:rPr>
        <w:t xml:space="preserve"> für das Deutsche Reich</w:t>
      </w:r>
      <w:r>
        <w:rPr>
          <w:rFonts w:ascii="Times New Roman" w:hAnsi="Times New Roman" w:cs="Times New Roman"/>
          <w:lang w:val="en-US"/>
        </w:rPr>
        <w:t xml:space="preserve">. </w:t>
      </w:r>
    </w:p>
  </w:footnote>
  <w:footnote w:id="61">
    <w:p w14:paraId="214A9D47" w14:textId="77777777" w:rsidR="001C3247" w:rsidRPr="00B76ECC" w:rsidRDefault="001C3247" w:rsidP="00560FB8">
      <w:pPr>
        <w:pStyle w:val="FootnoteText"/>
        <w:jc w:val="both"/>
        <w:rPr>
          <w:rFonts w:ascii="Times New Roman" w:hAnsi="Times New Roman" w:cs="Times New Roman"/>
          <w:lang w:val="en-US"/>
        </w:rPr>
      </w:pPr>
      <w:r w:rsidRPr="00B76ECC">
        <w:rPr>
          <w:rStyle w:val="FootnoteReference"/>
          <w:rFonts w:ascii="Times New Roman" w:hAnsi="Times New Roman" w:cs="Times New Roman"/>
        </w:rPr>
        <w:footnoteRef/>
      </w:r>
      <w:r w:rsidRPr="00B76ECC">
        <w:rPr>
          <w:rFonts w:ascii="Times New Roman" w:hAnsi="Times New Roman" w:cs="Times New Roman"/>
          <w:lang w:val="en-US"/>
        </w:rPr>
        <w:t xml:space="preserve"> See, for instance, due to his mastery of the craft of working on myth, Edward Corwin, The “Higher Law” Background of American Constitutional Law 42 </w:t>
      </w:r>
      <w:r w:rsidRPr="00B76ECC">
        <w:rPr>
          <w:rFonts w:ascii="Times New Roman" w:hAnsi="Times New Roman" w:cs="Times New Roman"/>
          <w:i/>
          <w:iCs/>
          <w:lang w:val="en-US"/>
        </w:rPr>
        <w:t>Harvard Law Review</w:t>
      </w:r>
      <w:r w:rsidRPr="00B76ECC">
        <w:rPr>
          <w:rFonts w:ascii="Times New Roman" w:hAnsi="Times New Roman" w:cs="Times New Roman"/>
          <w:lang w:val="en-US"/>
        </w:rPr>
        <w:t xml:space="preserve"> 2-3 (1928-1929).</w:t>
      </w:r>
    </w:p>
  </w:footnote>
  <w:footnote w:id="62">
    <w:p w14:paraId="46808223" w14:textId="77777777" w:rsidR="001C3247" w:rsidRPr="00B76ECC" w:rsidRDefault="001C3247" w:rsidP="00560FB8">
      <w:pPr>
        <w:pStyle w:val="FootnoteText"/>
        <w:jc w:val="both"/>
        <w:rPr>
          <w:rFonts w:ascii="Times New Roman" w:hAnsi="Times New Roman" w:cs="Times New Roman"/>
          <w:lang w:val="de-DE"/>
        </w:rPr>
      </w:pPr>
      <w:r w:rsidRPr="00B76ECC">
        <w:rPr>
          <w:rStyle w:val="FootnoteReference"/>
          <w:rFonts w:ascii="Times New Roman" w:hAnsi="Times New Roman" w:cs="Times New Roman"/>
        </w:rPr>
        <w:footnoteRef/>
      </w:r>
      <w:r w:rsidRPr="00B76ECC">
        <w:rPr>
          <w:rFonts w:ascii="Times New Roman" w:hAnsi="Times New Roman" w:cs="Times New Roman"/>
          <w:lang w:val="de-DE"/>
        </w:rPr>
        <w:t xml:space="preserve"> As noted in the Jahrbericht of the Bundesverfassungsgericht, see Bundesverfassungsgericht, Jahrbericht 2021; see also Uwe Wesel, </w:t>
      </w:r>
      <w:r w:rsidRPr="00B76ECC">
        <w:rPr>
          <w:rFonts w:ascii="Times New Roman" w:hAnsi="Times New Roman" w:cs="Times New Roman"/>
          <w:i/>
          <w:iCs/>
          <w:lang w:val="de-DE"/>
        </w:rPr>
        <w:t xml:space="preserve">Der Gang nach Karlsruhe: Das Bundesverfassungsgericht in der Geschichte der Bundesrepublik </w:t>
      </w:r>
      <w:r w:rsidRPr="00B76ECC">
        <w:rPr>
          <w:rFonts w:ascii="Times New Roman" w:hAnsi="Times New Roman" w:cs="Times New Roman"/>
          <w:lang w:val="de-DE"/>
        </w:rPr>
        <w:t>(München/Zurich: Karl Blessing Verlag, 2004) 26ff.</w:t>
      </w:r>
    </w:p>
  </w:footnote>
  <w:footnote w:id="63">
    <w:p w14:paraId="4B0D4E48" w14:textId="77777777" w:rsidR="001C3247" w:rsidRPr="00B76ECC" w:rsidRDefault="001C3247" w:rsidP="00560FB8">
      <w:pPr>
        <w:pStyle w:val="FootnoteText"/>
        <w:jc w:val="both"/>
        <w:rPr>
          <w:rFonts w:ascii="Times New Roman" w:hAnsi="Times New Roman" w:cs="Times New Roman"/>
          <w:lang w:val="de-DE"/>
        </w:rPr>
      </w:pPr>
      <w:r w:rsidRPr="00B76ECC">
        <w:rPr>
          <w:rStyle w:val="FootnoteReference"/>
          <w:rFonts w:ascii="Times New Roman" w:hAnsi="Times New Roman" w:cs="Times New Roman"/>
        </w:rPr>
        <w:footnoteRef/>
      </w:r>
      <w:r w:rsidRPr="00B76ECC">
        <w:rPr>
          <w:rFonts w:ascii="Times New Roman" w:hAnsi="Times New Roman" w:cs="Times New Roman"/>
          <w:lang w:val="de-DE"/>
        </w:rPr>
        <w:t xml:space="preserve"> Blumenberg, </w:t>
      </w:r>
      <w:r w:rsidRPr="00B76ECC">
        <w:rPr>
          <w:rFonts w:ascii="Times New Roman" w:hAnsi="Times New Roman" w:cs="Times New Roman"/>
          <w:i/>
          <w:iCs/>
          <w:lang w:val="de-DE"/>
        </w:rPr>
        <w:t>Die Legitimität</w:t>
      </w:r>
      <w:r w:rsidRPr="00B76ECC">
        <w:rPr>
          <w:rFonts w:ascii="Times New Roman" w:hAnsi="Times New Roman" w:cs="Times New Roman"/>
          <w:lang w:val="de-DE"/>
        </w:rPr>
        <w:t>... 60.</w:t>
      </w:r>
    </w:p>
  </w:footnote>
  <w:footnote w:id="64">
    <w:p w14:paraId="6981A099" w14:textId="77777777" w:rsidR="001C3247" w:rsidRPr="00B76ECC" w:rsidRDefault="001C3247" w:rsidP="00560FB8">
      <w:pPr>
        <w:pStyle w:val="FootnoteText"/>
        <w:jc w:val="both"/>
        <w:rPr>
          <w:rFonts w:ascii="Times New Roman" w:hAnsi="Times New Roman" w:cs="Times New Roman"/>
          <w:lang w:val="de-DE"/>
        </w:rPr>
      </w:pPr>
      <w:r w:rsidRPr="00B76ECC">
        <w:rPr>
          <w:rStyle w:val="FootnoteReference"/>
          <w:rFonts w:ascii="Times New Roman" w:hAnsi="Times New Roman" w:cs="Times New Roman"/>
        </w:rPr>
        <w:footnoteRef/>
      </w:r>
      <w:r w:rsidRPr="00B76ECC">
        <w:rPr>
          <w:rFonts w:ascii="Times New Roman" w:hAnsi="Times New Roman" w:cs="Times New Roman"/>
          <w:lang w:val="de-DE"/>
        </w:rPr>
        <w:t xml:space="preserve"> Id. </w:t>
      </w:r>
      <w:r w:rsidRPr="0093667E">
        <w:rPr>
          <w:rFonts w:ascii="Times New Roman" w:hAnsi="Times New Roman" w:cs="Times New Roman"/>
          <w:i/>
          <w:iCs/>
          <w:lang w:val="de-DE"/>
        </w:rPr>
        <w:t>Präfigurationen</w:t>
      </w:r>
      <w:r w:rsidRPr="00B76ECC">
        <w:rPr>
          <w:rFonts w:ascii="Times New Roman" w:hAnsi="Times New Roman" w:cs="Times New Roman"/>
          <w:lang w:val="de-DE"/>
        </w:rPr>
        <w:t xml:space="preserve"> (Frankfurt a. M.: Suhrkamp, DATE) 11</w:t>
      </w:r>
    </w:p>
  </w:footnote>
  <w:footnote w:id="65">
    <w:p w14:paraId="2CFAECD1" w14:textId="77777777" w:rsidR="001C3247" w:rsidRPr="00B76ECC" w:rsidRDefault="001C3247" w:rsidP="00560FB8">
      <w:pPr>
        <w:pStyle w:val="FootnoteText"/>
        <w:jc w:val="both"/>
        <w:rPr>
          <w:rFonts w:ascii="Times New Roman" w:hAnsi="Times New Roman" w:cs="Times New Roman"/>
          <w:lang w:val="de-DE"/>
        </w:rPr>
      </w:pPr>
      <w:r w:rsidRPr="00B76ECC">
        <w:rPr>
          <w:rStyle w:val="FootnoteReference"/>
          <w:rFonts w:ascii="Times New Roman" w:hAnsi="Times New Roman" w:cs="Times New Roman"/>
        </w:rPr>
        <w:footnoteRef/>
      </w:r>
      <w:r w:rsidRPr="00B76ECC">
        <w:rPr>
          <w:rFonts w:ascii="Times New Roman" w:hAnsi="Times New Roman" w:cs="Times New Roman"/>
          <w:lang w:val="de-DE"/>
        </w:rPr>
        <w:t xml:space="preserve"> Ibid., 14.</w:t>
      </w:r>
    </w:p>
  </w:footnote>
  <w:footnote w:id="66">
    <w:p w14:paraId="315BE299" w14:textId="77777777" w:rsidR="001C3247" w:rsidRPr="00B76ECC" w:rsidRDefault="001C3247" w:rsidP="00560FB8">
      <w:pPr>
        <w:pStyle w:val="FootnoteText"/>
        <w:jc w:val="both"/>
        <w:rPr>
          <w:rFonts w:ascii="Times New Roman" w:hAnsi="Times New Roman" w:cs="Times New Roman"/>
          <w:lang w:val="de-DE"/>
        </w:rPr>
      </w:pPr>
      <w:r w:rsidRPr="00B76ECC">
        <w:rPr>
          <w:rStyle w:val="FootnoteReference"/>
          <w:rFonts w:ascii="Times New Roman" w:hAnsi="Times New Roman" w:cs="Times New Roman"/>
        </w:rPr>
        <w:footnoteRef/>
      </w:r>
      <w:r w:rsidRPr="00B76ECC">
        <w:rPr>
          <w:rFonts w:ascii="Times New Roman" w:hAnsi="Times New Roman" w:cs="Times New Roman"/>
          <w:lang w:val="de-DE"/>
        </w:rPr>
        <w:t xml:space="preserve"> Id., </w:t>
      </w:r>
      <w:r w:rsidRPr="006E4BAA">
        <w:rPr>
          <w:rFonts w:ascii="Times New Roman" w:hAnsi="Times New Roman" w:cs="Times New Roman"/>
          <w:i/>
          <w:iCs/>
          <w:lang w:val="de-DE"/>
        </w:rPr>
        <w:t>Arbeit am Mythos</w:t>
      </w:r>
      <w:r w:rsidRPr="00B76ECC">
        <w:rPr>
          <w:rFonts w:ascii="Times New Roman" w:hAnsi="Times New Roman" w:cs="Times New Roman"/>
          <w:lang w:val="de-DE"/>
        </w:rPr>
        <w:t xml:space="preserve"> 180.</w:t>
      </w:r>
    </w:p>
  </w:footnote>
  <w:footnote w:id="67">
    <w:p w14:paraId="2D10C4CD" w14:textId="77777777" w:rsidR="001C3247" w:rsidRPr="00B76ECC" w:rsidRDefault="001C3247" w:rsidP="00560FB8">
      <w:pPr>
        <w:pStyle w:val="FootnoteText"/>
        <w:jc w:val="both"/>
        <w:rPr>
          <w:rFonts w:ascii="Times New Roman" w:hAnsi="Times New Roman" w:cs="Times New Roman"/>
          <w:lang w:val="en-US"/>
        </w:rPr>
      </w:pPr>
      <w:r w:rsidRPr="00B76ECC">
        <w:rPr>
          <w:rStyle w:val="FootnoteReference"/>
          <w:rFonts w:ascii="Times New Roman" w:hAnsi="Times New Roman" w:cs="Times New Roman"/>
        </w:rPr>
        <w:footnoteRef/>
      </w:r>
      <w:r w:rsidRPr="00B76ECC">
        <w:rPr>
          <w:rFonts w:ascii="Times New Roman" w:hAnsi="Times New Roman" w:cs="Times New Roman"/>
          <w:lang w:val="en-US"/>
        </w:rPr>
        <w:t xml:space="preserve"> Correspondingly, the literature is massive. I note Edward Corwin, </w:t>
      </w:r>
      <w:r w:rsidRPr="00B76ECC">
        <w:rPr>
          <w:rFonts w:ascii="Times New Roman" w:hAnsi="Times New Roman" w:cs="Times New Roman"/>
          <w:i/>
          <w:iCs/>
          <w:lang w:val="en-US"/>
        </w:rPr>
        <w:t>The Doctrine of Judicial Review: Its Legal and Historical Basis and Other Essays</w:t>
      </w:r>
      <w:r w:rsidRPr="00B76ECC">
        <w:rPr>
          <w:rFonts w:ascii="Times New Roman" w:hAnsi="Times New Roman" w:cs="Times New Roman"/>
          <w:lang w:val="en-US"/>
        </w:rPr>
        <w:t xml:space="preserve"> (New York: Routledge, 2014); Gordon S. Wood, The Origin of Judicial Review </w:t>
      </w:r>
      <w:proofErr w:type="spellStart"/>
      <w:r w:rsidRPr="00B76ECC">
        <w:rPr>
          <w:rFonts w:ascii="Times New Roman" w:hAnsi="Times New Roman" w:cs="Times New Roman"/>
          <w:lang w:val="en-US"/>
        </w:rPr>
        <w:t>Revisisted</w:t>
      </w:r>
      <w:proofErr w:type="spellEnd"/>
      <w:r w:rsidRPr="00B76ECC">
        <w:rPr>
          <w:rFonts w:ascii="Times New Roman" w:hAnsi="Times New Roman" w:cs="Times New Roman"/>
          <w:lang w:val="en-US"/>
        </w:rPr>
        <w:t xml:space="preserve">, or How </w:t>
      </w:r>
      <w:proofErr w:type="gramStart"/>
      <w:r w:rsidRPr="00B76ECC">
        <w:rPr>
          <w:rFonts w:ascii="Times New Roman" w:hAnsi="Times New Roman" w:cs="Times New Roman"/>
          <w:lang w:val="en-US"/>
        </w:rPr>
        <w:t>The</w:t>
      </w:r>
      <w:proofErr w:type="gramEnd"/>
      <w:r w:rsidRPr="00B76ECC">
        <w:rPr>
          <w:rFonts w:ascii="Times New Roman" w:hAnsi="Times New Roman" w:cs="Times New Roman"/>
          <w:lang w:val="en-US"/>
        </w:rPr>
        <w:t xml:space="preserve"> Marshall Court Made More Out of Less, 56 </w:t>
      </w:r>
      <w:r w:rsidRPr="00B76ECC">
        <w:rPr>
          <w:rFonts w:ascii="Times New Roman" w:hAnsi="Times New Roman" w:cs="Times New Roman"/>
          <w:i/>
          <w:iCs/>
          <w:lang w:val="en-US"/>
        </w:rPr>
        <w:t>Wash. &amp; Lee L. Rev.</w:t>
      </w:r>
      <w:r w:rsidRPr="00B76ECC">
        <w:rPr>
          <w:rFonts w:ascii="Times New Roman" w:hAnsi="Times New Roman" w:cs="Times New Roman"/>
          <w:lang w:val="en-US"/>
        </w:rPr>
        <w:t xml:space="preserve"> 787 (1999); Thomas C. Grey, Origins of the Unwritten Constitution: Fundamental Law in American Revolutionary Thought, 30 </w:t>
      </w:r>
      <w:r w:rsidRPr="00B76ECC">
        <w:rPr>
          <w:rFonts w:ascii="Times New Roman" w:hAnsi="Times New Roman" w:cs="Times New Roman"/>
          <w:i/>
          <w:iCs/>
          <w:lang w:val="en-US"/>
        </w:rPr>
        <w:t>Stanford Law Review</w:t>
      </w:r>
      <w:r w:rsidRPr="00B76ECC">
        <w:rPr>
          <w:rFonts w:ascii="Times New Roman" w:hAnsi="Times New Roman" w:cs="Times New Roman"/>
          <w:lang w:val="en-US"/>
        </w:rPr>
        <w:t xml:space="preserve"> 843 (1978); Philip Hamburger, Law and Judicial Duty, 72 </w:t>
      </w:r>
      <w:r w:rsidRPr="00B76ECC">
        <w:rPr>
          <w:rFonts w:ascii="Times New Roman" w:hAnsi="Times New Roman" w:cs="Times New Roman"/>
          <w:i/>
          <w:iCs/>
          <w:lang w:val="en-US"/>
        </w:rPr>
        <w:t>Geo. Wash. L. Rev.</w:t>
      </w:r>
      <w:r w:rsidRPr="00B76ECC">
        <w:rPr>
          <w:rFonts w:ascii="Times New Roman" w:hAnsi="Times New Roman" w:cs="Times New Roman"/>
          <w:lang w:val="en-US"/>
        </w:rPr>
        <w:t xml:space="preserve"> 1 (2003).</w:t>
      </w:r>
    </w:p>
  </w:footnote>
  <w:footnote w:id="68">
    <w:p w14:paraId="3F1CB814" w14:textId="77777777" w:rsidR="00765722" w:rsidRPr="00B76ECC" w:rsidRDefault="00765722" w:rsidP="00765722">
      <w:pPr>
        <w:pStyle w:val="FootnoteText"/>
        <w:jc w:val="both"/>
        <w:rPr>
          <w:rFonts w:ascii="Times New Roman" w:hAnsi="Times New Roman" w:cs="Times New Roman"/>
          <w:lang w:val="en-US"/>
        </w:rPr>
      </w:pPr>
      <w:r w:rsidRPr="00B76ECC">
        <w:rPr>
          <w:rStyle w:val="FootnoteReference"/>
          <w:rFonts w:ascii="Times New Roman" w:hAnsi="Times New Roman" w:cs="Times New Roman"/>
        </w:rPr>
        <w:footnoteRef/>
      </w:r>
      <w:r w:rsidRPr="00B76ECC">
        <w:rPr>
          <w:rFonts w:ascii="Times New Roman" w:hAnsi="Times New Roman" w:cs="Times New Roman"/>
          <w:lang w:val="en-US"/>
        </w:rPr>
        <w:t xml:space="preserve"> Mary Sarah </w:t>
      </w:r>
      <w:proofErr w:type="spellStart"/>
      <w:r w:rsidRPr="00B76ECC">
        <w:rPr>
          <w:rFonts w:ascii="Times New Roman" w:hAnsi="Times New Roman" w:cs="Times New Roman"/>
          <w:lang w:val="en-US"/>
        </w:rPr>
        <w:t>Bilder</w:t>
      </w:r>
      <w:proofErr w:type="spellEnd"/>
      <w:r w:rsidRPr="00B76ECC">
        <w:rPr>
          <w:rFonts w:ascii="Times New Roman" w:hAnsi="Times New Roman" w:cs="Times New Roman"/>
          <w:lang w:val="en-US"/>
        </w:rPr>
        <w:t xml:space="preserve">, The Corporate Origins of Judicial Review, 116 </w:t>
      </w:r>
      <w:r w:rsidRPr="00B76ECC">
        <w:rPr>
          <w:rFonts w:ascii="Times New Roman" w:hAnsi="Times New Roman" w:cs="Times New Roman"/>
          <w:i/>
          <w:iCs/>
          <w:lang w:val="en-US"/>
        </w:rPr>
        <w:t>Yale Law Journal</w:t>
      </w:r>
      <w:r w:rsidRPr="00B76ECC">
        <w:rPr>
          <w:rFonts w:ascii="Times New Roman" w:hAnsi="Times New Roman" w:cs="Times New Roman"/>
          <w:lang w:val="en-US"/>
        </w:rPr>
        <w:t xml:space="preserve"> 3 (2006) 508; see also id., </w:t>
      </w:r>
      <w:r w:rsidRPr="00B76ECC">
        <w:rPr>
          <w:rFonts w:ascii="Times New Roman" w:hAnsi="Times New Roman" w:cs="Times New Roman"/>
          <w:i/>
          <w:iCs/>
          <w:lang w:val="en-US"/>
        </w:rPr>
        <w:t>The Transatlantic Constitution: Colonial Legal Culture and the Empire</w:t>
      </w:r>
      <w:r w:rsidRPr="00B76ECC">
        <w:rPr>
          <w:rFonts w:ascii="Times New Roman" w:hAnsi="Times New Roman" w:cs="Times New Roman"/>
          <w:lang w:val="en-US"/>
        </w:rPr>
        <w:t xml:space="preserve"> (Cambridge: Harvard University Press, 2004).</w:t>
      </w:r>
    </w:p>
  </w:footnote>
  <w:footnote w:id="69">
    <w:p w14:paraId="4BCEA09F" w14:textId="77777777" w:rsidR="00765722" w:rsidRPr="00B76ECC" w:rsidRDefault="00765722" w:rsidP="00765722">
      <w:pPr>
        <w:pStyle w:val="FootnoteText"/>
        <w:jc w:val="both"/>
        <w:rPr>
          <w:rFonts w:ascii="Times New Roman" w:hAnsi="Times New Roman" w:cs="Times New Roman"/>
          <w:lang w:val="en-US"/>
        </w:rPr>
      </w:pPr>
      <w:r w:rsidRPr="00B76ECC">
        <w:rPr>
          <w:rStyle w:val="FootnoteReference"/>
          <w:rFonts w:ascii="Times New Roman" w:hAnsi="Times New Roman" w:cs="Times New Roman"/>
        </w:rPr>
        <w:footnoteRef/>
      </w:r>
      <w:r w:rsidRPr="00B76ECC">
        <w:rPr>
          <w:rFonts w:ascii="Times New Roman" w:hAnsi="Times New Roman" w:cs="Times New Roman"/>
          <w:lang w:val="en-US"/>
        </w:rPr>
        <w:t xml:space="preserve"> Katherine Fischer Taylor, </w:t>
      </w:r>
      <w:r w:rsidRPr="00B76ECC">
        <w:rPr>
          <w:rFonts w:ascii="Times New Roman" w:hAnsi="Times New Roman" w:cs="Times New Roman"/>
          <w:i/>
          <w:iCs/>
          <w:lang w:val="en-US"/>
        </w:rPr>
        <w:t>First Appearances</w:t>
      </w:r>
      <w:r w:rsidRPr="00B76ECC">
        <w:rPr>
          <w:rFonts w:ascii="Times New Roman" w:hAnsi="Times New Roman" w:cs="Times New Roman"/>
          <w:lang w:val="en-US"/>
        </w:rPr>
        <w:t>… 378.</w:t>
      </w:r>
    </w:p>
  </w:footnote>
  <w:footnote w:id="70">
    <w:p w14:paraId="50F4C6EE" w14:textId="77777777" w:rsidR="00765722" w:rsidRPr="00984B24" w:rsidRDefault="00765722" w:rsidP="00765722">
      <w:pPr>
        <w:pStyle w:val="FootnoteText"/>
        <w:jc w:val="both"/>
        <w:rPr>
          <w:rFonts w:ascii="Times New Roman" w:hAnsi="Times New Roman" w:cs="Times New Roman"/>
          <w:lang w:val="en-US"/>
        </w:rPr>
      </w:pPr>
      <w:r>
        <w:rPr>
          <w:rStyle w:val="FootnoteReference"/>
        </w:rPr>
        <w:footnoteRef/>
      </w:r>
      <w:r w:rsidRPr="00984B24">
        <w:rPr>
          <w:lang w:val="en-US"/>
        </w:rPr>
        <w:t xml:space="preserve"> </w:t>
      </w:r>
      <w:r w:rsidRPr="00984B24">
        <w:rPr>
          <w:rFonts w:ascii="Times New Roman" w:hAnsi="Times New Roman" w:cs="Times New Roman"/>
          <w:lang w:val="en-US"/>
        </w:rPr>
        <w:t>On the practices of judgeship and legal reasoning in England between the 15</w:t>
      </w:r>
      <w:r w:rsidRPr="00984B24">
        <w:rPr>
          <w:rFonts w:ascii="Times New Roman" w:hAnsi="Times New Roman" w:cs="Times New Roman"/>
          <w:vertAlign w:val="superscript"/>
          <w:lang w:val="en-US"/>
        </w:rPr>
        <w:t>th</w:t>
      </w:r>
      <w:r w:rsidRPr="00984B24">
        <w:rPr>
          <w:rFonts w:ascii="Times New Roman" w:hAnsi="Times New Roman" w:cs="Times New Roman"/>
          <w:lang w:val="en-US"/>
        </w:rPr>
        <w:t xml:space="preserve"> and 16</w:t>
      </w:r>
      <w:r w:rsidRPr="00984B24">
        <w:rPr>
          <w:rFonts w:ascii="Times New Roman" w:hAnsi="Times New Roman" w:cs="Times New Roman"/>
          <w:vertAlign w:val="superscript"/>
          <w:lang w:val="en-US"/>
        </w:rPr>
        <w:t>th</w:t>
      </w:r>
      <w:r w:rsidRPr="00984B24">
        <w:rPr>
          <w:rFonts w:ascii="Times New Roman" w:hAnsi="Times New Roman" w:cs="Times New Roman"/>
          <w:lang w:val="en-US"/>
        </w:rPr>
        <w:t xml:space="preserve"> centuries, see Sebastian </w:t>
      </w:r>
      <w:proofErr w:type="spellStart"/>
      <w:r w:rsidRPr="00984B24">
        <w:rPr>
          <w:rFonts w:ascii="Times New Roman" w:hAnsi="Times New Roman" w:cs="Times New Roman"/>
          <w:lang w:val="en-US"/>
        </w:rPr>
        <w:t>Sobecki</w:t>
      </w:r>
      <w:proofErr w:type="spellEnd"/>
      <w:r w:rsidRPr="00984B24">
        <w:rPr>
          <w:rFonts w:ascii="Times New Roman" w:hAnsi="Times New Roman" w:cs="Times New Roman"/>
          <w:lang w:val="en-US"/>
        </w:rPr>
        <w:t xml:space="preserve">, </w:t>
      </w:r>
      <w:r w:rsidRPr="00984B24">
        <w:rPr>
          <w:rFonts w:ascii="Times New Roman" w:hAnsi="Times New Roman" w:cs="Times New Roman"/>
          <w:i/>
          <w:lang w:val="en-US"/>
        </w:rPr>
        <w:t>Unwritten Verities: The Making of England’s Vernacular Legal Culture, 1463-1549</w:t>
      </w:r>
      <w:r w:rsidRPr="00984B24">
        <w:rPr>
          <w:rFonts w:ascii="Times New Roman" w:hAnsi="Times New Roman" w:cs="Times New Roman"/>
          <w:lang w:val="en-US"/>
        </w:rPr>
        <w:t xml:space="preserve"> (Notre Dame: University of Notre Dame Press, 2015); for the 18</w:t>
      </w:r>
      <w:r w:rsidRPr="00984B24">
        <w:rPr>
          <w:rFonts w:ascii="Times New Roman" w:hAnsi="Times New Roman" w:cs="Times New Roman"/>
          <w:vertAlign w:val="superscript"/>
          <w:lang w:val="en-US"/>
        </w:rPr>
        <w:t>th</w:t>
      </w:r>
      <w:r w:rsidRPr="00984B24">
        <w:rPr>
          <w:rFonts w:ascii="Times New Roman" w:hAnsi="Times New Roman" w:cs="Times New Roman"/>
          <w:lang w:val="en-US"/>
        </w:rPr>
        <w:t xml:space="preserve"> century, with emphasis on the role of Lord Mansfield, Chief Justice of the Court of King’s Bench, see James Oldham, </w:t>
      </w:r>
      <w:r w:rsidRPr="00984B24">
        <w:rPr>
          <w:rFonts w:ascii="Times New Roman" w:hAnsi="Times New Roman" w:cs="Times New Roman"/>
          <w:i/>
          <w:lang w:val="en-US"/>
        </w:rPr>
        <w:t>English Common Law in the Age of Mansfield</w:t>
      </w:r>
      <w:r w:rsidRPr="00984B24">
        <w:rPr>
          <w:rFonts w:ascii="Times New Roman" w:hAnsi="Times New Roman" w:cs="Times New Roman"/>
          <w:lang w:val="en-US"/>
        </w:rPr>
        <w:t xml:space="preserve"> (Chapel Hill: The University of North Carolina Press, 2004).</w:t>
      </w:r>
    </w:p>
  </w:footnote>
  <w:footnote w:id="71">
    <w:p w14:paraId="57C25554" w14:textId="77777777" w:rsidR="001C3247" w:rsidRPr="00B76ECC" w:rsidRDefault="001C3247" w:rsidP="00560FB8">
      <w:pPr>
        <w:pStyle w:val="FootnoteText"/>
        <w:jc w:val="both"/>
        <w:rPr>
          <w:rFonts w:ascii="Times New Roman" w:hAnsi="Times New Roman" w:cs="Times New Roman"/>
          <w:lang w:val="en-US"/>
        </w:rPr>
      </w:pPr>
      <w:r w:rsidRPr="00B76ECC">
        <w:rPr>
          <w:rStyle w:val="FootnoteReference"/>
          <w:rFonts w:ascii="Times New Roman" w:hAnsi="Times New Roman" w:cs="Times New Roman"/>
        </w:rPr>
        <w:footnoteRef/>
      </w:r>
      <w:r w:rsidRPr="00B76ECC">
        <w:rPr>
          <w:rFonts w:ascii="Times New Roman" w:hAnsi="Times New Roman" w:cs="Times New Roman"/>
          <w:lang w:val="en-US"/>
        </w:rPr>
        <w:t xml:space="preserve"> On the political circumstances surrounding Marbury v. Madison, see the evocative Sanford Levison; Jack M. </w:t>
      </w:r>
      <w:proofErr w:type="spellStart"/>
      <w:r w:rsidRPr="00B76ECC">
        <w:rPr>
          <w:rFonts w:ascii="Times New Roman" w:hAnsi="Times New Roman" w:cs="Times New Roman"/>
          <w:lang w:val="en-US"/>
        </w:rPr>
        <w:t>Balkin</w:t>
      </w:r>
      <w:proofErr w:type="spellEnd"/>
      <w:r w:rsidRPr="00B76ECC">
        <w:rPr>
          <w:rFonts w:ascii="Times New Roman" w:hAnsi="Times New Roman" w:cs="Times New Roman"/>
          <w:lang w:val="en-US"/>
        </w:rPr>
        <w:t xml:space="preserve">, What Are the Facts of Marbury v. Madison? 20 </w:t>
      </w:r>
      <w:r w:rsidRPr="00B76ECC">
        <w:rPr>
          <w:rFonts w:ascii="Times New Roman" w:hAnsi="Times New Roman" w:cs="Times New Roman"/>
          <w:i/>
          <w:iCs/>
          <w:lang w:val="en-US"/>
        </w:rPr>
        <w:t>Constitutional Commentary</w:t>
      </w:r>
      <w:r w:rsidRPr="00B76ECC">
        <w:rPr>
          <w:rFonts w:ascii="Times New Roman" w:hAnsi="Times New Roman" w:cs="Times New Roman"/>
          <w:lang w:val="en-US"/>
        </w:rPr>
        <w:t xml:space="preserve"> (2003); see also Mark </w:t>
      </w:r>
      <w:proofErr w:type="spellStart"/>
      <w:r w:rsidRPr="00B76ECC">
        <w:rPr>
          <w:rFonts w:ascii="Times New Roman" w:hAnsi="Times New Roman" w:cs="Times New Roman"/>
          <w:lang w:val="en-US"/>
        </w:rPr>
        <w:t>Tushnet</w:t>
      </w:r>
      <w:proofErr w:type="spellEnd"/>
      <w:r w:rsidRPr="00B76ECC">
        <w:rPr>
          <w:rFonts w:ascii="Times New Roman" w:hAnsi="Times New Roman" w:cs="Times New Roman"/>
          <w:lang w:val="en-US"/>
        </w:rPr>
        <w:t xml:space="preserve">, Constitutional Hardball, 37 </w:t>
      </w:r>
      <w:r w:rsidRPr="00B76ECC">
        <w:rPr>
          <w:rFonts w:ascii="Times New Roman" w:hAnsi="Times New Roman" w:cs="Times New Roman"/>
          <w:i/>
          <w:iCs/>
          <w:lang w:val="en-US"/>
        </w:rPr>
        <w:t xml:space="preserve">J. Marshall L. Rev. </w:t>
      </w:r>
      <w:r w:rsidRPr="00B76ECC">
        <w:rPr>
          <w:rFonts w:ascii="Times New Roman" w:hAnsi="Times New Roman" w:cs="Times New Roman"/>
          <w:lang w:val="en-US"/>
        </w:rPr>
        <w:t>(2004).</w:t>
      </w:r>
    </w:p>
  </w:footnote>
  <w:footnote w:id="72">
    <w:p w14:paraId="55504CDC" w14:textId="77777777" w:rsidR="001C3247" w:rsidRPr="00B76ECC" w:rsidRDefault="001C3247" w:rsidP="00560FB8">
      <w:pPr>
        <w:pStyle w:val="FootnoteText"/>
        <w:jc w:val="both"/>
        <w:rPr>
          <w:rFonts w:ascii="Times New Roman" w:hAnsi="Times New Roman" w:cs="Times New Roman"/>
          <w:lang w:val="en-US"/>
        </w:rPr>
      </w:pPr>
      <w:r w:rsidRPr="00B76ECC">
        <w:rPr>
          <w:rStyle w:val="FootnoteReference"/>
          <w:rFonts w:ascii="Times New Roman" w:hAnsi="Times New Roman" w:cs="Times New Roman"/>
        </w:rPr>
        <w:footnoteRef/>
      </w:r>
      <w:r w:rsidRPr="00B76ECC">
        <w:rPr>
          <w:rFonts w:ascii="Times New Roman" w:hAnsi="Times New Roman" w:cs="Times New Roman"/>
          <w:lang w:val="en-US"/>
        </w:rPr>
        <w:t xml:space="preserve"> See, for instance, Keith E. Whittington, Presidential Challenges to Judicial Supremacy and the Politics of Constitutional Meaning, 33 </w:t>
      </w:r>
      <w:r w:rsidRPr="00B76ECC">
        <w:rPr>
          <w:rFonts w:ascii="Times New Roman" w:hAnsi="Times New Roman" w:cs="Times New Roman"/>
          <w:i/>
          <w:iCs/>
          <w:lang w:val="en-US"/>
        </w:rPr>
        <w:t>Polity</w:t>
      </w:r>
      <w:r w:rsidRPr="00B76ECC">
        <w:rPr>
          <w:rFonts w:ascii="Times New Roman" w:hAnsi="Times New Roman" w:cs="Times New Roman"/>
          <w:lang w:val="en-US"/>
        </w:rPr>
        <w:t xml:space="preserve"> 3 (2001); more recently, Richard Fallon, Judicial Supremacy, Departmentalism, and the Rule of Law in a Populist Age, 96 </w:t>
      </w:r>
      <w:r w:rsidRPr="00B76ECC">
        <w:rPr>
          <w:rFonts w:ascii="Times New Roman" w:hAnsi="Times New Roman" w:cs="Times New Roman"/>
          <w:i/>
          <w:iCs/>
          <w:lang w:val="en-US"/>
        </w:rPr>
        <w:t>Texas Law Review</w:t>
      </w:r>
      <w:r w:rsidRPr="00B76ECC">
        <w:rPr>
          <w:rFonts w:ascii="Times New Roman" w:hAnsi="Times New Roman" w:cs="Times New Roman"/>
          <w:lang w:val="en-US"/>
        </w:rPr>
        <w:t xml:space="preserve"> (2018), and the literature cited therein </w:t>
      </w:r>
    </w:p>
  </w:footnote>
  <w:footnote w:id="73">
    <w:p w14:paraId="04A1697E" w14:textId="77777777" w:rsidR="001C3247" w:rsidRPr="00B76ECC" w:rsidRDefault="001C3247" w:rsidP="00560FB8">
      <w:pPr>
        <w:pStyle w:val="FootnoteText"/>
        <w:jc w:val="both"/>
        <w:rPr>
          <w:rFonts w:ascii="Times New Roman" w:hAnsi="Times New Roman" w:cs="Times New Roman"/>
          <w:lang w:val="en-US"/>
        </w:rPr>
      </w:pPr>
      <w:r w:rsidRPr="00B76ECC">
        <w:rPr>
          <w:rStyle w:val="FootnoteReference"/>
          <w:rFonts w:ascii="Times New Roman" w:hAnsi="Times New Roman" w:cs="Times New Roman"/>
        </w:rPr>
        <w:footnoteRef/>
      </w:r>
      <w:r w:rsidRPr="00B76ECC">
        <w:rPr>
          <w:rFonts w:ascii="Times New Roman" w:hAnsi="Times New Roman" w:cs="Times New Roman"/>
          <w:lang w:val="en-US"/>
        </w:rPr>
        <w:t xml:space="preserve"> Thomas Jefferson, Letter to Thomas Ritchie, December 25, 1820, and Letter to Judge William Johnson, March 4, 1823, in </w:t>
      </w:r>
      <w:r w:rsidRPr="00B76ECC">
        <w:rPr>
          <w:rFonts w:ascii="Times New Roman" w:hAnsi="Times New Roman" w:cs="Times New Roman"/>
          <w:i/>
          <w:iCs/>
          <w:lang w:val="en-US"/>
        </w:rPr>
        <w:t>The Works of Thomas Jefferson</w:t>
      </w:r>
      <w:r w:rsidRPr="00B76ECC">
        <w:rPr>
          <w:rFonts w:ascii="Times New Roman" w:hAnsi="Times New Roman" w:cs="Times New Roman"/>
          <w:lang w:val="en-US"/>
        </w:rPr>
        <w:t>, ed. by Paul Leicester Ford, v. 12, (New York: G. P. Putnam’s Sons, 1904) 177-178.</w:t>
      </w:r>
    </w:p>
  </w:footnote>
  <w:footnote w:id="74">
    <w:p w14:paraId="3F58CAE2" w14:textId="77777777" w:rsidR="001C3247" w:rsidRPr="00B76ECC" w:rsidRDefault="001C3247" w:rsidP="00560FB8">
      <w:pPr>
        <w:pStyle w:val="FootnoteText"/>
        <w:jc w:val="both"/>
        <w:rPr>
          <w:rFonts w:ascii="Times New Roman" w:hAnsi="Times New Roman" w:cs="Times New Roman"/>
          <w:lang w:val="en-US"/>
        </w:rPr>
      </w:pPr>
      <w:r w:rsidRPr="00B76ECC">
        <w:rPr>
          <w:rStyle w:val="FootnoteReference"/>
          <w:rFonts w:ascii="Times New Roman" w:hAnsi="Times New Roman" w:cs="Times New Roman"/>
        </w:rPr>
        <w:footnoteRef/>
      </w:r>
      <w:r w:rsidRPr="00B76ECC">
        <w:rPr>
          <w:rFonts w:ascii="Times New Roman" w:hAnsi="Times New Roman" w:cs="Times New Roman"/>
          <w:lang w:val="en-US"/>
        </w:rPr>
        <w:t xml:space="preserve"> On Joseph Story’s legal and political thought, see R. Kent </w:t>
      </w:r>
      <w:proofErr w:type="spellStart"/>
      <w:r w:rsidRPr="00B76ECC">
        <w:rPr>
          <w:rFonts w:ascii="Times New Roman" w:hAnsi="Times New Roman" w:cs="Times New Roman"/>
          <w:lang w:val="en-US"/>
        </w:rPr>
        <w:t>Newmyer</w:t>
      </w:r>
      <w:proofErr w:type="spellEnd"/>
      <w:r w:rsidRPr="00B76ECC">
        <w:rPr>
          <w:rFonts w:ascii="Times New Roman" w:hAnsi="Times New Roman" w:cs="Times New Roman"/>
          <w:lang w:val="en-US"/>
        </w:rPr>
        <w:t>, Supreme Court Justice Joseph Story: Statesman of the Old Republic (Chapel Hill: The University of North Carolina Press, 1985); and James McClellan, Joseph Story and the American Constitution (Norman: University of Oklahoma Press, 1990).</w:t>
      </w:r>
    </w:p>
  </w:footnote>
  <w:footnote w:id="75">
    <w:p w14:paraId="4C6C1E36" w14:textId="77777777" w:rsidR="001C3247" w:rsidRPr="00B76ECC" w:rsidRDefault="001C3247" w:rsidP="00560FB8">
      <w:pPr>
        <w:pStyle w:val="FootnoteText"/>
        <w:jc w:val="both"/>
        <w:rPr>
          <w:rFonts w:ascii="Times New Roman" w:hAnsi="Times New Roman" w:cs="Times New Roman"/>
          <w:lang w:val="en-US"/>
        </w:rPr>
      </w:pPr>
      <w:r w:rsidRPr="00B76ECC">
        <w:rPr>
          <w:rStyle w:val="FootnoteReference"/>
          <w:rFonts w:ascii="Times New Roman" w:hAnsi="Times New Roman" w:cs="Times New Roman"/>
        </w:rPr>
        <w:footnoteRef/>
      </w:r>
      <w:r w:rsidRPr="00B76ECC">
        <w:rPr>
          <w:rFonts w:ascii="Times New Roman" w:hAnsi="Times New Roman" w:cs="Times New Roman"/>
          <w:lang w:val="en-US"/>
        </w:rPr>
        <w:t xml:space="preserve"> For a history of the reception of Marshall’s myth, see Michael J. Gerhardt, The Lives of John Marshall 43 William &amp; Mary Law Review 4 (2001-2002).</w:t>
      </w:r>
    </w:p>
  </w:footnote>
  <w:footnote w:id="76">
    <w:p w14:paraId="6ACFDCD9" w14:textId="77777777" w:rsidR="001C3247" w:rsidRPr="00B76ECC" w:rsidRDefault="001C3247" w:rsidP="00560FB8">
      <w:pPr>
        <w:pStyle w:val="FootnoteText"/>
        <w:jc w:val="both"/>
        <w:rPr>
          <w:rFonts w:ascii="Times New Roman" w:hAnsi="Times New Roman" w:cs="Times New Roman"/>
          <w:lang w:val="en-US"/>
        </w:rPr>
      </w:pPr>
      <w:r w:rsidRPr="00B76ECC">
        <w:rPr>
          <w:rStyle w:val="FootnoteReference"/>
          <w:rFonts w:ascii="Times New Roman" w:hAnsi="Times New Roman" w:cs="Times New Roman"/>
        </w:rPr>
        <w:footnoteRef/>
      </w:r>
      <w:r w:rsidRPr="00B76ECC">
        <w:rPr>
          <w:rFonts w:ascii="Times New Roman" w:hAnsi="Times New Roman" w:cs="Times New Roman"/>
          <w:lang w:val="en-US"/>
        </w:rPr>
        <w:t xml:space="preserve"> The Supreme Court of the United States in 1853-54, by George N. Searle, 2 American Law Register (1854) in Warren, </w:t>
      </w:r>
      <w:r w:rsidRPr="00B76ECC">
        <w:rPr>
          <w:rFonts w:ascii="Times New Roman" w:hAnsi="Times New Roman" w:cs="Times New Roman"/>
          <w:i/>
          <w:iCs/>
          <w:lang w:val="en-US"/>
        </w:rPr>
        <w:t>The Supreme Court in United States History</w:t>
      </w:r>
      <w:r w:rsidRPr="00B76ECC">
        <w:rPr>
          <w:rFonts w:ascii="Times New Roman" w:hAnsi="Times New Roman" w:cs="Times New Roman"/>
          <w:lang w:val="en-US"/>
        </w:rPr>
        <w:t>, 475.</w:t>
      </w:r>
    </w:p>
  </w:footnote>
  <w:footnote w:id="77">
    <w:p w14:paraId="43586BDD" w14:textId="30D17A01" w:rsidR="001C3247" w:rsidRPr="00B76ECC" w:rsidRDefault="001C3247" w:rsidP="00560FB8">
      <w:pPr>
        <w:pStyle w:val="FootnoteText"/>
        <w:jc w:val="both"/>
        <w:rPr>
          <w:rFonts w:ascii="Times New Roman" w:hAnsi="Times New Roman" w:cs="Times New Roman"/>
          <w:lang w:val="en-US"/>
        </w:rPr>
      </w:pPr>
      <w:r w:rsidRPr="00B76ECC">
        <w:rPr>
          <w:rStyle w:val="FootnoteReference"/>
          <w:rFonts w:ascii="Times New Roman" w:hAnsi="Times New Roman" w:cs="Times New Roman"/>
        </w:rPr>
        <w:footnoteRef/>
      </w:r>
      <w:r w:rsidRPr="00B76ECC">
        <w:rPr>
          <w:rFonts w:ascii="Times New Roman" w:hAnsi="Times New Roman" w:cs="Times New Roman"/>
          <w:lang w:val="en-US"/>
        </w:rPr>
        <w:t xml:space="preserve"> Once again, the literature is huge, being particularly difficult to navigate between myth-making narratives and historiography, insofar as the divide should be more or less clear. For a sort of “history” (and critique) of such fault line, see Bartolomé </w:t>
      </w:r>
      <w:proofErr w:type="spellStart"/>
      <w:r w:rsidRPr="00B76ECC">
        <w:rPr>
          <w:rFonts w:ascii="Times New Roman" w:hAnsi="Times New Roman" w:cs="Times New Roman"/>
          <w:lang w:val="en-US"/>
        </w:rPr>
        <w:t>Clavero</w:t>
      </w:r>
      <w:proofErr w:type="spellEnd"/>
      <w:r w:rsidRPr="00B76ECC">
        <w:rPr>
          <w:rFonts w:ascii="Times New Roman" w:hAnsi="Times New Roman" w:cs="Times New Roman"/>
          <w:lang w:val="en-US"/>
        </w:rPr>
        <w:t xml:space="preserve">, Why American Constitutional History is not yet written 36 </w:t>
      </w:r>
      <w:proofErr w:type="spellStart"/>
      <w:r w:rsidRPr="00B76ECC">
        <w:rPr>
          <w:rFonts w:ascii="Times New Roman" w:hAnsi="Times New Roman" w:cs="Times New Roman"/>
          <w:i/>
          <w:iCs/>
          <w:lang w:val="en-US"/>
        </w:rPr>
        <w:t>Quaderni</w:t>
      </w:r>
      <w:proofErr w:type="spellEnd"/>
      <w:r w:rsidRPr="00B76ECC">
        <w:rPr>
          <w:rFonts w:ascii="Times New Roman" w:hAnsi="Times New Roman" w:cs="Times New Roman"/>
          <w:i/>
          <w:iCs/>
          <w:lang w:val="en-US"/>
        </w:rPr>
        <w:t xml:space="preserve"> </w:t>
      </w:r>
      <w:proofErr w:type="spellStart"/>
      <w:r w:rsidRPr="00B76ECC">
        <w:rPr>
          <w:rFonts w:ascii="Times New Roman" w:hAnsi="Times New Roman" w:cs="Times New Roman"/>
          <w:i/>
          <w:iCs/>
          <w:lang w:val="en-US"/>
        </w:rPr>
        <w:t>Fiorentini</w:t>
      </w:r>
      <w:proofErr w:type="spellEnd"/>
      <w:r w:rsidRPr="00B76ECC">
        <w:rPr>
          <w:rFonts w:ascii="Times New Roman" w:hAnsi="Times New Roman" w:cs="Times New Roman"/>
          <w:i/>
          <w:iCs/>
          <w:lang w:val="en-US"/>
        </w:rPr>
        <w:t xml:space="preserve"> per la </w:t>
      </w:r>
      <w:proofErr w:type="spellStart"/>
      <w:r w:rsidRPr="00B76ECC">
        <w:rPr>
          <w:rFonts w:ascii="Times New Roman" w:hAnsi="Times New Roman" w:cs="Times New Roman"/>
          <w:i/>
          <w:iCs/>
          <w:lang w:val="en-US"/>
        </w:rPr>
        <w:t>storia</w:t>
      </w:r>
      <w:proofErr w:type="spellEnd"/>
      <w:r w:rsidRPr="00B76ECC">
        <w:rPr>
          <w:rFonts w:ascii="Times New Roman" w:hAnsi="Times New Roman" w:cs="Times New Roman"/>
          <w:i/>
          <w:iCs/>
          <w:lang w:val="en-US"/>
        </w:rPr>
        <w:t xml:space="preserve"> del </w:t>
      </w:r>
      <w:proofErr w:type="spellStart"/>
      <w:r w:rsidRPr="00B76ECC">
        <w:rPr>
          <w:rFonts w:ascii="Times New Roman" w:hAnsi="Times New Roman" w:cs="Times New Roman"/>
          <w:i/>
          <w:iCs/>
          <w:lang w:val="en-US"/>
        </w:rPr>
        <w:t>pensiero</w:t>
      </w:r>
      <w:proofErr w:type="spellEnd"/>
      <w:r w:rsidRPr="00B76ECC">
        <w:rPr>
          <w:rFonts w:ascii="Times New Roman" w:hAnsi="Times New Roman" w:cs="Times New Roman"/>
          <w:i/>
          <w:iCs/>
          <w:lang w:val="en-US"/>
        </w:rPr>
        <w:t xml:space="preserve"> </w:t>
      </w:r>
      <w:proofErr w:type="spellStart"/>
      <w:r w:rsidRPr="00B76ECC">
        <w:rPr>
          <w:rFonts w:ascii="Times New Roman" w:hAnsi="Times New Roman" w:cs="Times New Roman"/>
          <w:i/>
          <w:iCs/>
          <w:lang w:val="en-US"/>
        </w:rPr>
        <w:t>giuridico</w:t>
      </w:r>
      <w:proofErr w:type="spellEnd"/>
      <w:r w:rsidRPr="00B76ECC">
        <w:rPr>
          <w:rFonts w:ascii="Times New Roman" w:hAnsi="Times New Roman" w:cs="Times New Roman"/>
          <w:i/>
          <w:iCs/>
          <w:lang w:val="en-US"/>
        </w:rPr>
        <w:t xml:space="preserve"> </w:t>
      </w:r>
      <w:proofErr w:type="spellStart"/>
      <w:r w:rsidRPr="00B76ECC">
        <w:rPr>
          <w:rFonts w:ascii="Times New Roman" w:hAnsi="Times New Roman" w:cs="Times New Roman"/>
          <w:i/>
          <w:iCs/>
          <w:lang w:val="en-US"/>
        </w:rPr>
        <w:t>moderno</w:t>
      </w:r>
      <w:proofErr w:type="spellEnd"/>
      <w:r w:rsidRPr="00B76ECC">
        <w:rPr>
          <w:rFonts w:ascii="Times New Roman" w:hAnsi="Times New Roman" w:cs="Times New Roman"/>
          <w:lang w:val="en-US"/>
        </w:rPr>
        <w:t xml:space="preserve"> (2007). I thank </w:t>
      </w:r>
      <w:proofErr w:type="spellStart"/>
      <w:r w:rsidRPr="00B76ECC">
        <w:rPr>
          <w:rFonts w:ascii="Times New Roman" w:hAnsi="Times New Roman" w:cs="Times New Roman"/>
          <w:lang w:val="en-US"/>
        </w:rPr>
        <w:t>Haris</w:t>
      </w:r>
      <w:proofErr w:type="spellEnd"/>
      <w:r w:rsidRPr="00B76ECC">
        <w:rPr>
          <w:rFonts w:ascii="Times New Roman" w:hAnsi="Times New Roman" w:cs="Times New Roman"/>
          <w:lang w:val="en-US"/>
        </w:rPr>
        <w:t xml:space="preserve"> </w:t>
      </w:r>
      <w:proofErr w:type="spellStart"/>
      <w:r w:rsidRPr="00B76ECC">
        <w:rPr>
          <w:rFonts w:ascii="Times New Roman" w:hAnsi="Times New Roman" w:cs="Times New Roman"/>
          <w:lang w:val="en-US"/>
        </w:rPr>
        <w:t>Durrani</w:t>
      </w:r>
      <w:proofErr w:type="spellEnd"/>
      <w:r w:rsidRPr="00B76ECC">
        <w:rPr>
          <w:rFonts w:ascii="Times New Roman" w:hAnsi="Times New Roman" w:cs="Times New Roman"/>
          <w:lang w:val="en-US"/>
        </w:rPr>
        <w:t xml:space="preserve"> for this reference. See</w:t>
      </w:r>
      <w:r>
        <w:rPr>
          <w:rFonts w:ascii="Times New Roman" w:hAnsi="Times New Roman" w:cs="Times New Roman"/>
          <w:lang w:val="en-US"/>
        </w:rPr>
        <w:t xml:space="preserve"> also </w:t>
      </w:r>
      <w:r w:rsidRPr="00B76ECC">
        <w:rPr>
          <w:rFonts w:ascii="Times New Roman" w:hAnsi="Times New Roman" w:cs="Times New Roman"/>
          <w:lang w:val="en-US"/>
        </w:rPr>
        <w:t xml:space="preserve">Steven K. Green, </w:t>
      </w:r>
      <w:proofErr w:type="gramStart"/>
      <w:r w:rsidRPr="009709E0">
        <w:rPr>
          <w:rFonts w:ascii="Times New Roman" w:hAnsi="Times New Roman" w:cs="Times New Roman"/>
          <w:i/>
          <w:iCs/>
          <w:lang w:val="en-US"/>
        </w:rPr>
        <w:t>Inventing</w:t>
      </w:r>
      <w:proofErr w:type="gramEnd"/>
      <w:r w:rsidRPr="009709E0">
        <w:rPr>
          <w:rFonts w:ascii="Times New Roman" w:hAnsi="Times New Roman" w:cs="Times New Roman"/>
          <w:i/>
          <w:iCs/>
          <w:lang w:val="en-US"/>
        </w:rPr>
        <w:t xml:space="preserve"> a Christian America: The Myth of the Religious Founding</w:t>
      </w:r>
      <w:r w:rsidRPr="00B76ECC">
        <w:rPr>
          <w:rFonts w:ascii="Times New Roman" w:hAnsi="Times New Roman" w:cs="Times New Roman"/>
          <w:lang w:val="en-US"/>
        </w:rPr>
        <w:t xml:space="preserve">, (New York: Oxford University Press, 2015) 211, esp. 219-227 (On Story’s role in painting the founding with godly colors); for a different, but equally perspicuous take on this issue, see Philip Gorski, </w:t>
      </w:r>
      <w:r w:rsidRPr="00D36252">
        <w:rPr>
          <w:rFonts w:ascii="Times New Roman" w:hAnsi="Times New Roman" w:cs="Times New Roman"/>
          <w:i/>
          <w:iCs/>
          <w:lang w:val="en-US"/>
        </w:rPr>
        <w:t>American Covenant: A history of Civil Religion from the Puritans to the present</w:t>
      </w:r>
      <w:r w:rsidRPr="00B76ECC">
        <w:rPr>
          <w:rFonts w:ascii="Times New Roman" w:hAnsi="Times New Roman" w:cs="Times New Roman"/>
          <w:lang w:val="en-US"/>
        </w:rPr>
        <w:t xml:space="preserve"> (Princeton: Princeton University Press, 2017).</w:t>
      </w:r>
    </w:p>
  </w:footnote>
  <w:footnote w:id="78">
    <w:p w14:paraId="7BFE8AC6" w14:textId="08AE9474" w:rsidR="001C3247" w:rsidRPr="002124EE" w:rsidRDefault="001C3247">
      <w:pPr>
        <w:pStyle w:val="FootnoteText"/>
        <w:rPr>
          <w:rFonts w:ascii="Times New Roman" w:hAnsi="Times New Roman" w:cs="Times New Roman"/>
          <w:lang w:val="en-US"/>
        </w:rPr>
      </w:pPr>
      <w:r w:rsidRPr="002124EE">
        <w:rPr>
          <w:rStyle w:val="FootnoteReference"/>
          <w:rFonts w:ascii="Times New Roman" w:hAnsi="Times New Roman" w:cs="Times New Roman"/>
        </w:rPr>
        <w:footnoteRef/>
      </w:r>
      <w:r w:rsidRPr="002124EE">
        <w:rPr>
          <w:rFonts w:ascii="Times New Roman" w:hAnsi="Times New Roman" w:cs="Times New Roman"/>
          <w:lang w:val="en-US"/>
        </w:rPr>
        <w:t xml:space="preserve"> I explore this in Chapter 2.</w:t>
      </w:r>
    </w:p>
  </w:footnote>
  <w:footnote w:id="79">
    <w:p w14:paraId="322EE104" w14:textId="77777777" w:rsidR="001C3247" w:rsidRPr="00B76ECC" w:rsidRDefault="001C3247" w:rsidP="00560FB8">
      <w:pPr>
        <w:pStyle w:val="FootnoteText"/>
        <w:jc w:val="both"/>
        <w:rPr>
          <w:rFonts w:ascii="Times New Roman" w:hAnsi="Times New Roman" w:cs="Times New Roman"/>
          <w:lang w:val="en-US"/>
        </w:rPr>
      </w:pPr>
      <w:r w:rsidRPr="00B76ECC">
        <w:rPr>
          <w:rStyle w:val="FootnoteReference"/>
          <w:rFonts w:ascii="Times New Roman" w:hAnsi="Times New Roman" w:cs="Times New Roman"/>
        </w:rPr>
        <w:footnoteRef/>
      </w:r>
      <w:r w:rsidRPr="00B76ECC">
        <w:rPr>
          <w:rFonts w:ascii="Times New Roman" w:hAnsi="Times New Roman" w:cs="Times New Roman"/>
          <w:lang w:val="en-US"/>
        </w:rPr>
        <w:t xml:space="preserve"> On the latter feature, see Richard Fallon, Stare decisis and the Constitution: an essay on Constitutional Methodology 76 </w:t>
      </w:r>
      <w:r w:rsidRPr="00B76ECC">
        <w:rPr>
          <w:rFonts w:ascii="Times New Roman" w:hAnsi="Times New Roman" w:cs="Times New Roman"/>
          <w:i/>
          <w:iCs/>
          <w:lang w:val="en-US"/>
        </w:rPr>
        <w:t>N. Y. U. Law Review</w:t>
      </w:r>
      <w:r w:rsidRPr="00B76ECC">
        <w:rPr>
          <w:rFonts w:ascii="Times New Roman" w:hAnsi="Times New Roman" w:cs="Times New Roman"/>
          <w:lang w:val="en-US"/>
        </w:rPr>
        <w:t xml:space="preserve"> 2 (2001).</w:t>
      </w:r>
    </w:p>
  </w:footnote>
  <w:footnote w:id="80">
    <w:p w14:paraId="4B7B273A" w14:textId="77777777" w:rsidR="001C3247" w:rsidRPr="00B76ECC" w:rsidRDefault="001C3247" w:rsidP="00560FB8">
      <w:pPr>
        <w:pStyle w:val="FootnoteText"/>
        <w:jc w:val="both"/>
        <w:rPr>
          <w:rFonts w:ascii="Times New Roman" w:hAnsi="Times New Roman" w:cs="Times New Roman"/>
          <w:lang w:val="en-US"/>
        </w:rPr>
      </w:pPr>
      <w:r w:rsidRPr="00B76ECC">
        <w:rPr>
          <w:rStyle w:val="FootnoteReference"/>
          <w:rFonts w:ascii="Times New Roman" w:hAnsi="Times New Roman" w:cs="Times New Roman"/>
        </w:rPr>
        <w:footnoteRef/>
      </w:r>
      <w:r w:rsidRPr="00B76ECC">
        <w:rPr>
          <w:rFonts w:ascii="Times New Roman" w:hAnsi="Times New Roman" w:cs="Times New Roman"/>
          <w:lang w:val="en-US"/>
        </w:rPr>
        <w:t xml:space="preserve"> McCulloch v. Maryland, 17 U.S 316 (1819).</w:t>
      </w:r>
    </w:p>
  </w:footnote>
  <w:footnote w:id="81">
    <w:p w14:paraId="4E9CAE91" w14:textId="77777777" w:rsidR="001C3247" w:rsidRPr="00B76ECC" w:rsidRDefault="001C3247" w:rsidP="00560FB8">
      <w:pPr>
        <w:pStyle w:val="FootnoteText"/>
        <w:jc w:val="both"/>
        <w:rPr>
          <w:rFonts w:ascii="Times New Roman" w:hAnsi="Times New Roman" w:cs="Times New Roman"/>
          <w:lang w:val="en-US"/>
        </w:rPr>
      </w:pPr>
      <w:r w:rsidRPr="00B76ECC">
        <w:rPr>
          <w:rStyle w:val="FootnoteReference"/>
          <w:rFonts w:ascii="Times New Roman" w:hAnsi="Times New Roman" w:cs="Times New Roman"/>
        </w:rPr>
        <w:footnoteRef/>
      </w:r>
      <w:r w:rsidRPr="00B76ECC">
        <w:rPr>
          <w:rFonts w:ascii="Times New Roman" w:hAnsi="Times New Roman" w:cs="Times New Roman"/>
          <w:lang w:val="en-US"/>
        </w:rPr>
        <w:t xml:space="preserve"> </w:t>
      </w:r>
      <w:r w:rsidRPr="00B76ECC">
        <w:rPr>
          <w:rFonts w:ascii="Times New Roman" w:hAnsi="Times New Roman" w:cs="Times New Roman"/>
          <w:color w:val="000000"/>
          <w:lang w:val="en-US"/>
        </w:rPr>
        <w:t xml:space="preserve">Joseph Story, </w:t>
      </w:r>
      <w:r w:rsidRPr="00B76ECC">
        <w:rPr>
          <w:rFonts w:ascii="Times New Roman" w:hAnsi="Times New Roman" w:cs="Times New Roman"/>
          <w:i/>
          <w:iCs/>
          <w:color w:val="000000"/>
          <w:lang w:val="en-US"/>
        </w:rPr>
        <w:t>Commentaries on the Constitution of the United States</w:t>
      </w:r>
      <w:r w:rsidRPr="00B76ECC">
        <w:rPr>
          <w:rFonts w:ascii="Times New Roman" w:hAnsi="Times New Roman" w:cs="Times New Roman"/>
          <w:color w:val="000000"/>
          <w:lang w:val="en-US"/>
        </w:rPr>
        <w:t>, 2. ed., v. I (Boston: Charles C. Little and James Brown, 1851) 329.</w:t>
      </w:r>
    </w:p>
  </w:footnote>
  <w:footnote w:id="82">
    <w:p w14:paraId="6BE1C9FD" w14:textId="77777777" w:rsidR="001C3247" w:rsidRPr="00B76ECC" w:rsidRDefault="001C3247" w:rsidP="00560FB8">
      <w:pPr>
        <w:pStyle w:val="FootnoteText"/>
        <w:jc w:val="both"/>
        <w:rPr>
          <w:rFonts w:ascii="Times New Roman" w:hAnsi="Times New Roman" w:cs="Times New Roman"/>
          <w:lang w:val="en-US"/>
        </w:rPr>
      </w:pPr>
      <w:r w:rsidRPr="00B76ECC">
        <w:rPr>
          <w:rStyle w:val="FootnoteReference"/>
          <w:rFonts w:ascii="Times New Roman" w:hAnsi="Times New Roman" w:cs="Times New Roman"/>
        </w:rPr>
        <w:footnoteRef/>
      </w:r>
      <w:r w:rsidRPr="00B76ECC">
        <w:rPr>
          <w:rFonts w:ascii="Times New Roman" w:hAnsi="Times New Roman" w:cs="Times New Roman"/>
          <w:lang w:val="en-US"/>
        </w:rPr>
        <w:t xml:space="preserve"> Ibid., 242-243.</w:t>
      </w:r>
    </w:p>
  </w:footnote>
  <w:footnote w:id="83">
    <w:p w14:paraId="500EDC88" w14:textId="77777777" w:rsidR="001C3247" w:rsidRPr="00B76ECC" w:rsidRDefault="001C3247" w:rsidP="00560FB8">
      <w:pPr>
        <w:pStyle w:val="FootnoteText"/>
        <w:jc w:val="both"/>
        <w:rPr>
          <w:rFonts w:ascii="Times New Roman" w:hAnsi="Times New Roman" w:cs="Times New Roman"/>
          <w:lang w:val="en-US"/>
        </w:rPr>
      </w:pPr>
      <w:r w:rsidRPr="00B76ECC">
        <w:rPr>
          <w:rStyle w:val="FootnoteReference"/>
          <w:rFonts w:ascii="Times New Roman" w:hAnsi="Times New Roman" w:cs="Times New Roman"/>
        </w:rPr>
        <w:footnoteRef/>
      </w:r>
      <w:r w:rsidRPr="00B76ECC">
        <w:rPr>
          <w:rFonts w:ascii="Times New Roman" w:hAnsi="Times New Roman" w:cs="Times New Roman"/>
          <w:lang w:val="en-US"/>
        </w:rPr>
        <w:t xml:space="preserve"> Laurence Tribe and Joshua Matz, Uncertain Justice: The Roberts Court and the Constitution (New York: Picador, 2014) 126.</w:t>
      </w:r>
    </w:p>
  </w:footnote>
  <w:footnote w:id="84">
    <w:p w14:paraId="652F1D5A" w14:textId="77777777" w:rsidR="001C3247" w:rsidRPr="00B76ECC" w:rsidRDefault="001C3247" w:rsidP="00560FB8">
      <w:pPr>
        <w:pStyle w:val="FootnoteText"/>
        <w:jc w:val="both"/>
        <w:rPr>
          <w:rFonts w:ascii="Times New Roman" w:hAnsi="Times New Roman" w:cs="Times New Roman"/>
          <w:lang w:val="en-US"/>
        </w:rPr>
      </w:pPr>
      <w:r w:rsidRPr="00B76ECC">
        <w:rPr>
          <w:rStyle w:val="FootnoteReference"/>
          <w:rFonts w:ascii="Times New Roman" w:hAnsi="Times New Roman" w:cs="Times New Roman"/>
        </w:rPr>
        <w:footnoteRef/>
      </w:r>
      <w:r w:rsidRPr="00B76ECC">
        <w:rPr>
          <w:rFonts w:ascii="Times New Roman" w:hAnsi="Times New Roman" w:cs="Times New Roman"/>
          <w:lang w:val="en-US"/>
        </w:rPr>
        <w:t xml:space="preserve"> Of course, between one and the other there is American legal realism. However, as, for instance, the rhetoric of Karl N. Llewellyn betrays, one notorious representative of the movement, if not by the imminence with which the kinds of Story first consecrated the judge’s personality, hardly the realists’ attention would be drawn to wonder what she or he had for breakfast. See Karl N. Llewellyn, </w:t>
      </w:r>
      <w:r w:rsidRPr="00B76ECC">
        <w:rPr>
          <w:rFonts w:ascii="Times New Roman" w:hAnsi="Times New Roman" w:cs="Times New Roman"/>
          <w:i/>
          <w:iCs/>
          <w:lang w:val="en-US"/>
        </w:rPr>
        <w:t>The Common Law Tradition: Deciding Appeals</w:t>
      </w:r>
      <w:r w:rsidRPr="00B76ECC">
        <w:rPr>
          <w:rFonts w:ascii="Times New Roman" w:hAnsi="Times New Roman" w:cs="Times New Roman"/>
          <w:lang w:val="en-US"/>
        </w:rPr>
        <w:t xml:space="preserve"> (New Orleans: Quid Pro Books, 2016).</w:t>
      </w:r>
    </w:p>
  </w:footnote>
  <w:footnote w:id="85">
    <w:p w14:paraId="2F0F16CA" w14:textId="77777777" w:rsidR="00E24D2D" w:rsidRPr="00B76ECC" w:rsidRDefault="00E24D2D" w:rsidP="00E24D2D">
      <w:pPr>
        <w:pStyle w:val="FootnoteText"/>
        <w:jc w:val="both"/>
        <w:rPr>
          <w:rFonts w:ascii="Times New Roman" w:hAnsi="Times New Roman" w:cs="Times New Roman"/>
          <w:lang w:val="en-US"/>
        </w:rPr>
      </w:pPr>
      <w:r w:rsidRPr="00B76ECC">
        <w:rPr>
          <w:rStyle w:val="FootnoteReference"/>
          <w:rFonts w:ascii="Times New Roman" w:hAnsi="Times New Roman" w:cs="Times New Roman"/>
        </w:rPr>
        <w:footnoteRef/>
      </w:r>
      <w:r w:rsidRPr="00B76ECC">
        <w:rPr>
          <w:rFonts w:ascii="Times New Roman" w:hAnsi="Times New Roman" w:cs="Times New Roman"/>
          <w:lang w:val="en-US"/>
        </w:rPr>
        <w:t xml:space="preserve"> On the connections between the “conversion narrative,” testimony and courtroom practice, see John Charles Adams, </w:t>
      </w:r>
      <w:proofErr w:type="spellStart"/>
      <w:r w:rsidRPr="00B76ECC">
        <w:rPr>
          <w:rFonts w:ascii="Times New Roman" w:hAnsi="Times New Roman" w:cs="Times New Roman"/>
          <w:lang w:val="en-US"/>
        </w:rPr>
        <w:t>Ramist</w:t>
      </w:r>
      <w:proofErr w:type="spellEnd"/>
      <w:r w:rsidRPr="00B76ECC">
        <w:rPr>
          <w:rFonts w:ascii="Times New Roman" w:hAnsi="Times New Roman" w:cs="Times New Roman"/>
          <w:lang w:val="en-US"/>
        </w:rPr>
        <w:t xml:space="preserve"> Concepts of Testimony, Judicial Analogies, and the Puritan Conversion Narrative, 9 </w:t>
      </w:r>
      <w:r w:rsidRPr="00B76ECC">
        <w:rPr>
          <w:rFonts w:ascii="Times New Roman" w:hAnsi="Times New Roman" w:cs="Times New Roman"/>
          <w:i/>
          <w:iCs/>
          <w:lang w:val="en-US"/>
        </w:rPr>
        <w:t>A Journal of the History of Rhetoric</w:t>
      </w:r>
      <w:r w:rsidRPr="00B76ECC">
        <w:rPr>
          <w:rFonts w:ascii="Times New Roman" w:hAnsi="Times New Roman" w:cs="Times New Roman"/>
          <w:lang w:val="en-US"/>
        </w:rPr>
        <w:t xml:space="preserve"> 3 (1991) 251, 257, 259.</w:t>
      </w:r>
    </w:p>
  </w:footnote>
  <w:footnote w:id="86">
    <w:p w14:paraId="3E8646C6" w14:textId="77777777" w:rsidR="001C3247" w:rsidRPr="00B76ECC" w:rsidRDefault="001C3247" w:rsidP="00560FB8">
      <w:pPr>
        <w:pStyle w:val="FootnoteText"/>
        <w:jc w:val="both"/>
        <w:rPr>
          <w:rFonts w:ascii="Times New Roman" w:hAnsi="Times New Roman" w:cs="Times New Roman"/>
          <w:lang w:val="en-US"/>
        </w:rPr>
      </w:pPr>
      <w:r w:rsidRPr="00B76ECC">
        <w:rPr>
          <w:rStyle w:val="FootnoteReference"/>
          <w:rFonts w:ascii="Times New Roman" w:hAnsi="Times New Roman" w:cs="Times New Roman"/>
        </w:rPr>
        <w:footnoteRef/>
      </w:r>
      <w:r w:rsidRPr="00B76ECC">
        <w:rPr>
          <w:rFonts w:ascii="Times New Roman" w:hAnsi="Times New Roman" w:cs="Times New Roman"/>
          <w:lang w:val="en-US"/>
        </w:rPr>
        <w:t xml:space="preserve"> Edmund S. Morgan, </w:t>
      </w:r>
      <w:r w:rsidRPr="00B76ECC">
        <w:rPr>
          <w:rFonts w:ascii="Times New Roman" w:hAnsi="Times New Roman" w:cs="Times New Roman"/>
          <w:i/>
          <w:iCs/>
          <w:lang w:val="en-US"/>
        </w:rPr>
        <w:t>Visible Saints: The History of a Puritan idea</w:t>
      </w:r>
      <w:r w:rsidRPr="00B76ECC">
        <w:rPr>
          <w:rFonts w:ascii="Times New Roman" w:hAnsi="Times New Roman" w:cs="Times New Roman"/>
          <w:lang w:val="en-US"/>
        </w:rPr>
        <w:t xml:space="preserve"> (New York: New York University, 1963) 67, 91-95, 101.</w:t>
      </w:r>
    </w:p>
  </w:footnote>
  <w:footnote w:id="87">
    <w:p w14:paraId="4055DD11" w14:textId="77777777" w:rsidR="001C3247" w:rsidRPr="00B76ECC" w:rsidRDefault="001C3247" w:rsidP="00560FB8">
      <w:pPr>
        <w:pStyle w:val="FootnoteText"/>
        <w:jc w:val="both"/>
        <w:rPr>
          <w:rFonts w:ascii="Times New Roman" w:hAnsi="Times New Roman" w:cs="Times New Roman"/>
          <w:lang w:val="en-US"/>
        </w:rPr>
      </w:pPr>
      <w:r w:rsidRPr="00B76ECC">
        <w:rPr>
          <w:rStyle w:val="FootnoteReference"/>
          <w:rFonts w:ascii="Times New Roman" w:hAnsi="Times New Roman" w:cs="Times New Roman"/>
        </w:rPr>
        <w:footnoteRef/>
      </w:r>
      <w:r w:rsidRPr="00B76ECC">
        <w:rPr>
          <w:rFonts w:ascii="Times New Roman" w:hAnsi="Times New Roman" w:cs="Times New Roman"/>
          <w:lang w:val="en-US"/>
        </w:rPr>
        <w:t xml:space="preserve"> Joseph Story, History and Influence of the Puritans in Miscellaneous Writings of Joseph Story, ed. by William W. Story (Boston: C. C. Little and J. Brown, 1852) 418.</w:t>
      </w:r>
    </w:p>
  </w:footnote>
  <w:footnote w:id="88">
    <w:p w14:paraId="390EA56D" w14:textId="77777777" w:rsidR="001C3247" w:rsidRPr="00B76ECC" w:rsidRDefault="001C3247" w:rsidP="00560FB8">
      <w:pPr>
        <w:pStyle w:val="FootnoteText"/>
        <w:jc w:val="both"/>
        <w:rPr>
          <w:rFonts w:ascii="Times New Roman" w:hAnsi="Times New Roman" w:cs="Times New Roman"/>
          <w:lang w:val="en-US"/>
        </w:rPr>
      </w:pPr>
      <w:r w:rsidRPr="00B76ECC">
        <w:rPr>
          <w:rStyle w:val="FootnoteReference"/>
          <w:rFonts w:ascii="Times New Roman" w:hAnsi="Times New Roman" w:cs="Times New Roman"/>
        </w:rPr>
        <w:footnoteRef/>
      </w:r>
      <w:r w:rsidRPr="00B76ECC">
        <w:rPr>
          <w:rFonts w:ascii="Times New Roman" w:hAnsi="Times New Roman" w:cs="Times New Roman"/>
          <w:lang w:val="en-US"/>
        </w:rPr>
        <w:t xml:space="preserve"> Ibid., 435.</w:t>
      </w:r>
    </w:p>
  </w:footnote>
  <w:footnote w:id="89">
    <w:p w14:paraId="01ED0EAF" w14:textId="77777777" w:rsidR="001C3247" w:rsidRPr="00B76ECC" w:rsidRDefault="001C3247" w:rsidP="00560FB8">
      <w:pPr>
        <w:pStyle w:val="FootnoteText"/>
        <w:jc w:val="both"/>
        <w:rPr>
          <w:rFonts w:ascii="Times New Roman" w:hAnsi="Times New Roman" w:cs="Times New Roman"/>
          <w:lang w:val="en-US"/>
        </w:rPr>
      </w:pPr>
      <w:r w:rsidRPr="00B76ECC">
        <w:rPr>
          <w:rStyle w:val="FootnoteReference"/>
          <w:rFonts w:ascii="Times New Roman" w:hAnsi="Times New Roman" w:cs="Times New Roman"/>
        </w:rPr>
        <w:footnoteRef/>
      </w:r>
      <w:r w:rsidRPr="00B76ECC">
        <w:rPr>
          <w:rFonts w:ascii="Times New Roman" w:hAnsi="Times New Roman" w:cs="Times New Roman"/>
          <w:lang w:val="en-US"/>
        </w:rPr>
        <w:t xml:space="preserve"> See, among others, Richard P. </w:t>
      </w:r>
      <w:proofErr w:type="spellStart"/>
      <w:r w:rsidRPr="00B76ECC">
        <w:rPr>
          <w:rFonts w:ascii="Times New Roman" w:hAnsi="Times New Roman" w:cs="Times New Roman"/>
          <w:lang w:val="en-US"/>
        </w:rPr>
        <w:t>Longaker</w:t>
      </w:r>
      <w:proofErr w:type="spellEnd"/>
      <w:r w:rsidRPr="00B76ECC">
        <w:rPr>
          <w:rFonts w:ascii="Times New Roman" w:hAnsi="Times New Roman" w:cs="Times New Roman"/>
          <w:lang w:val="en-US"/>
        </w:rPr>
        <w:t xml:space="preserve">, Andrew Jackson and the Judiciary, 71 </w:t>
      </w:r>
      <w:r w:rsidRPr="00B76ECC">
        <w:rPr>
          <w:rFonts w:ascii="Times New Roman" w:hAnsi="Times New Roman" w:cs="Times New Roman"/>
          <w:i/>
          <w:iCs/>
          <w:lang w:val="en-US"/>
        </w:rPr>
        <w:t>Political Science Quarterly</w:t>
      </w:r>
      <w:r w:rsidRPr="00B76ECC">
        <w:rPr>
          <w:rFonts w:ascii="Times New Roman" w:hAnsi="Times New Roman" w:cs="Times New Roman"/>
          <w:lang w:val="en-US"/>
        </w:rPr>
        <w:t xml:space="preserve"> 3 (1956); on the historical significance of Jackson’s election, which quite probably animated Story’s references to demagogues, Lynn Hudson Parsons, The birth of Modern Politics: Andrew Jackson, John Quincy Adams, and the Election of 1828 (New York: Oxford University Press, 2011). </w:t>
      </w:r>
    </w:p>
  </w:footnote>
  <w:footnote w:id="90">
    <w:p w14:paraId="7E58F902" w14:textId="77777777" w:rsidR="001C3247" w:rsidRPr="00B76ECC" w:rsidRDefault="001C3247" w:rsidP="00560FB8">
      <w:pPr>
        <w:pStyle w:val="FootnoteText"/>
        <w:jc w:val="both"/>
        <w:rPr>
          <w:rFonts w:ascii="Times New Roman" w:hAnsi="Times New Roman" w:cs="Times New Roman"/>
          <w:lang w:val="en-US"/>
        </w:rPr>
      </w:pPr>
      <w:r w:rsidRPr="00B76ECC">
        <w:rPr>
          <w:rStyle w:val="FootnoteReference"/>
          <w:rFonts w:ascii="Times New Roman" w:hAnsi="Times New Roman" w:cs="Times New Roman"/>
        </w:rPr>
        <w:footnoteRef/>
      </w:r>
      <w:r w:rsidRPr="00B76ECC">
        <w:rPr>
          <w:rFonts w:ascii="Times New Roman" w:hAnsi="Times New Roman" w:cs="Times New Roman"/>
          <w:lang w:val="en-US"/>
        </w:rPr>
        <w:t xml:space="preserve"> Story, </w:t>
      </w:r>
      <w:r w:rsidRPr="004F1CE6">
        <w:rPr>
          <w:rFonts w:ascii="Times New Roman" w:hAnsi="Times New Roman" w:cs="Times New Roman"/>
          <w:i/>
          <w:lang w:val="en-US"/>
        </w:rPr>
        <w:t>Commentaries</w:t>
      </w:r>
      <w:r w:rsidRPr="00B76ECC">
        <w:rPr>
          <w:rFonts w:ascii="Times New Roman" w:hAnsi="Times New Roman" w:cs="Times New Roman"/>
          <w:lang w:val="en-US"/>
        </w:rPr>
        <w:t>… v. I, 265.</w:t>
      </w:r>
    </w:p>
  </w:footnote>
  <w:footnote w:id="91">
    <w:p w14:paraId="3655ACBA" w14:textId="77777777" w:rsidR="001C3247" w:rsidRPr="00B76ECC" w:rsidRDefault="001C3247" w:rsidP="00560FB8">
      <w:pPr>
        <w:pStyle w:val="FootnoteText"/>
        <w:jc w:val="both"/>
        <w:rPr>
          <w:rFonts w:ascii="Times New Roman" w:hAnsi="Times New Roman" w:cs="Times New Roman"/>
          <w:lang w:val="en-US"/>
        </w:rPr>
      </w:pPr>
      <w:r w:rsidRPr="00B76ECC">
        <w:rPr>
          <w:rStyle w:val="FootnoteReference"/>
          <w:rFonts w:ascii="Times New Roman" w:hAnsi="Times New Roman" w:cs="Times New Roman"/>
        </w:rPr>
        <w:footnoteRef/>
      </w:r>
      <w:r w:rsidRPr="00B76ECC">
        <w:rPr>
          <w:rFonts w:ascii="Times New Roman" w:hAnsi="Times New Roman" w:cs="Times New Roman"/>
          <w:lang w:val="en-US"/>
        </w:rPr>
        <w:t xml:space="preserve"> </w:t>
      </w:r>
      <w:r w:rsidRPr="00B76ECC">
        <w:rPr>
          <w:rFonts w:ascii="Times New Roman" w:hAnsi="Times New Roman" w:cs="Times New Roman"/>
          <w:color w:val="000000"/>
          <w:lang w:val="en-US"/>
        </w:rPr>
        <w:t xml:space="preserve">William Blackstone, </w:t>
      </w:r>
      <w:r w:rsidRPr="00B76ECC">
        <w:rPr>
          <w:rFonts w:ascii="Times New Roman" w:hAnsi="Times New Roman" w:cs="Times New Roman"/>
          <w:i/>
          <w:iCs/>
          <w:color w:val="000000"/>
          <w:lang w:val="en-US"/>
        </w:rPr>
        <w:t>Commentaries on the Laws of England</w:t>
      </w:r>
      <w:r w:rsidRPr="00B76ECC">
        <w:rPr>
          <w:rFonts w:ascii="Times New Roman" w:hAnsi="Times New Roman" w:cs="Times New Roman"/>
          <w:color w:val="000000"/>
          <w:lang w:val="en-US"/>
        </w:rPr>
        <w:t>, v. I (Oxford: The Clarendon Press, 1765)</w:t>
      </w:r>
      <w:r w:rsidRPr="00B76ECC">
        <w:rPr>
          <w:rFonts w:ascii="Times New Roman" w:hAnsi="Times New Roman" w:cs="Times New Roman"/>
          <w:color w:val="000000"/>
          <w:lang w:val="en-US"/>
        </w:rPr>
        <w:br/>
        <w:t>257.</w:t>
      </w:r>
    </w:p>
  </w:footnote>
  <w:footnote w:id="92">
    <w:p w14:paraId="0FD034D0" w14:textId="77777777" w:rsidR="001C3247" w:rsidRPr="00B76ECC" w:rsidRDefault="001C3247" w:rsidP="00560FB8">
      <w:pPr>
        <w:pStyle w:val="FootnoteText"/>
        <w:jc w:val="both"/>
        <w:rPr>
          <w:rFonts w:ascii="Times New Roman" w:hAnsi="Times New Roman" w:cs="Times New Roman"/>
          <w:lang w:val="en-US"/>
        </w:rPr>
      </w:pPr>
      <w:r w:rsidRPr="00B76ECC">
        <w:rPr>
          <w:rStyle w:val="FootnoteReference"/>
          <w:rFonts w:ascii="Times New Roman" w:hAnsi="Times New Roman" w:cs="Times New Roman"/>
        </w:rPr>
        <w:footnoteRef/>
      </w:r>
      <w:r w:rsidRPr="00B76ECC">
        <w:rPr>
          <w:rFonts w:ascii="Times New Roman" w:hAnsi="Times New Roman" w:cs="Times New Roman"/>
          <w:lang w:val="en-US"/>
        </w:rPr>
        <w:t xml:space="preserve"> John Calvin, </w:t>
      </w:r>
      <w:r w:rsidRPr="004F1CE6">
        <w:rPr>
          <w:rFonts w:ascii="Times New Roman" w:hAnsi="Times New Roman" w:cs="Times New Roman"/>
          <w:i/>
          <w:lang w:val="en-US"/>
        </w:rPr>
        <w:t>Institutes of the Christian Religion</w:t>
      </w:r>
      <w:r w:rsidRPr="00B76ECC">
        <w:rPr>
          <w:rFonts w:ascii="Times New Roman" w:hAnsi="Times New Roman" w:cs="Times New Roman"/>
          <w:lang w:val="en-US"/>
        </w:rPr>
        <w:t>, v. III, transl. by John Allen (London: J. G. Barnard,</w:t>
      </w:r>
    </w:p>
    <w:p w14:paraId="4186CFDA" w14:textId="77777777" w:rsidR="001C3247" w:rsidRPr="00B76ECC" w:rsidRDefault="001C3247" w:rsidP="00560FB8">
      <w:pPr>
        <w:pStyle w:val="FootnoteText"/>
        <w:jc w:val="both"/>
        <w:rPr>
          <w:rFonts w:ascii="Times New Roman" w:hAnsi="Times New Roman" w:cs="Times New Roman"/>
          <w:lang w:val="en-US"/>
        </w:rPr>
      </w:pPr>
      <w:r w:rsidRPr="00B76ECC">
        <w:rPr>
          <w:rFonts w:ascii="Times New Roman" w:hAnsi="Times New Roman" w:cs="Times New Roman"/>
          <w:lang w:val="en-US"/>
        </w:rPr>
        <w:t>1813) 394.</w:t>
      </w:r>
    </w:p>
  </w:footnote>
  <w:footnote w:id="93">
    <w:p w14:paraId="6BE0B230" w14:textId="77777777" w:rsidR="001C3247" w:rsidRPr="00B76ECC" w:rsidRDefault="001C3247" w:rsidP="00560FB8">
      <w:pPr>
        <w:pStyle w:val="FootnoteText"/>
        <w:jc w:val="both"/>
        <w:rPr>
          <w:rFonts w:ascii="Times New Roman" w:hAnsi="Times New Roman" w:cs="Times New Roman"/>
          <w:lang w:val="en-US"/>
        </w:rPr>
      </w:pPr>
      <w:r w:rsidRPr="00B76ECC">
        <w:rPr>
          <w:rStyle w:val="FootnoteReference"/>
          <w:rFonts w:ascii="Times New Roman" w:hAnsi="Times New Roman" w:cs="Times New Roman"/>
        </w:rPr>
        <w:footnoteRef/>
      </w:r>
      <w:r w:rsidRPr="00B76ECC">
        <w:rPr>
          <w:rFonts w:ascii="Times New Roman" w:hAnsi="Times New Roman" w:cs="Times New Roman"/>
          <w:lang w:val="en-US"/>
        </w:rPr>
        <w:t xml:space="preserve"> On Story’s religious background, see Joseph Story, Life and Letters of Joseph Story: Associate Justice of the Supreme Court and Dane Professor of Law at Harvard University, v. I, ed. by William W. Story, (Boston: Charles C. Little and James Brown, 1851) p. 57, 86, 94, 419, 441, 512, 533.  </w:t>
      </w:r>
    </w:p>
  </w:footnote>
  <w:footnote w:id="94">
    <w:p w14:paraId="2620CD08" w14:textId="10C65C4F" w:rsidR="001C3247" w:rsidRPr="00B76ECC" w:rsidRDefault="001C3247" w:rsidP="00560FB8">
      <w:pPr>
        <w:pStyle w:val="FootnoteText"/>
        <w:jc w:val="both"/>
        <w:rPr>
          <w:rFonts w:ascii="Times New Roman" w:hAnsi="Times New Roman" w:cs="Times New Roman"/>
          <w:lang w:val="en-US"/>
        </w:rPr>
      </w:pPr>
      <w:r w:rsidRPr="00B76ECC">
        <w:rPr>
          <w:rStyle w:val="FootnoteReference"/>
          <w:rFonts w:ascii="Times New Roman" w:hAnsi="Times New Roman" w:cs="Times New Roman"/>
        </w:rPr>
        <w:footnoteRef/>
      </w:r>
      <w:r w:rsidRPr="00B76ECC">
        <w:rPr>
          <w:rFonts w:ascii="Times New Roman" w:hAnsi="Times New Roman" w:cs="Times New Roman"/>
          <w:lang w:val="en-US"/>
        </w:rPr>
        <w:t xml:space="preserve"> For Calvin’s take on the Christian sacraments, see Calvin, Institutes… v. III, 385ff. I discuss this in more detail </w:t>
      </w:r>
      <w:r>
        <w:rPr>
          <w:rFonts w:ascii="Times New Roman" w:hAnsi="Times New Roman" w:cs="Times New Roman"/>
          <w:lang w:val="en-US"/>
        </w:rPr>
        <w:t>i</w:t>
      </w:r>
      <w:r w:rsidRPr="00B76ECC">
        <w:rPr>
          <w:rFonts w:ascii="Times New Roman" w:hAnsi="Times New Roman" w:cs="Times New Roman"/>
          <w:lang w:val="en-US"/>
        </w:rPr>
        <w:t xml:space="preserve">n part </w:t>
      </w:r>
      <w:r>
        <w:rPr>
          <w:rFonts w:ascii="Times New Roman" w:hAnsi="Times New Roman" w:cs="Times New Roman"/>
          <w:lang w:val="en-US"/>
        </w:rPr>
        <w:t>two</w:t>
      </w:r>
      <w:r w:rsidRPr="00B76ECC">
        <w:rPr>
          <w:rFonts w:ascii="Times New Roman" w:hAnsi="Times New Roman" w:cs="Times New Roman"/>
          <w:lang w:val="en-US"/>
        </w:rPr>
        <w:t xml:space="preserve"> of this dissertation.</w:t>
      </w:r>
    </w:p>
  </w:footnote>
  <w:footnote w:id="95">
    <w:p w14:paraId="53666D78" w14:textId="77777777" w:rsidR="001C3247" w:rsidRPr="00B76ECC" w:rsidRDefault="001C3247" w:rsidP="00560FB8">
      <w:pPr>
        <w:pStyle w:val="FootnoteText"/>
        <w:jc w:val="both"/>
        <w:rPr>
          <w:rFonts w:ascii="Times New Roman" w:hAnsi="Times New Roman" w:cs="Times New Roman"/>
          <w:lang w:val="en-US"/>
        </w:rPr>
      </w:pPr>
      <w:r w:rsidRPr="00B76ECC">
        <w:rPr>
          <w:rStyle w:val="FootnoteReference"/>
          <w:rFonts w:ascii="Times New Roman" w:hAnsi="Times New Roman" w:cs="Times New Roman"/>
        </w:rPr>
        <w:footnoteRef/>
      </w:r>
      <w:r w:rsidRPr="00B76ECC">
        <w:rPr>
          <w:rFonts w:ascii="Times New Roman" w:hAnsi="Times New Roman" w:cs="Times New Roman"/>
          <w:lang w:val="en-US"/>
        </w:rPr>
        <w:t xml:space="preserve"> Story, Commentaries... v. I, 293.</w:t>
      </w:r>
    </w:p>
  </w:footnote>
  <w:footnote w:id="96">
    <w:p w14:paraId="1B826BF6" w14:textId="77777777" w:rsidR="001C3247" w:rsidRPr="00B76ECC" w:rsidRDefault="001C3247" w:rsidP="00560FB8">
      <w:pPr>
        <w:pStyle w:val="FootnoteText"/>
        <w:jc w:val="both"/>
        <w:rPr>
          <w:rFonts w:ascii="Times New Roman" w:hAnsi="Times New Roman" w:cs="Times New Roman"/>
          <w:lang w:val="en-US"/>
        </w:rPr>
      </w:pPr>
      <w:r w:rsidRPr="00B76ECC">
        <w:rPr>
          <w:rStyle w:val="FootnoteReference"/>
          <w:rFonts w:ascii="Times New Roman" w:hAnsi="Times New Roman" w:cs="Times New Roman"/>
        </w:rPr>
        <w:footnoteRef/>
      </w:r>
      <w:r w:rsidRPr="00B76ECC">
        <w:rPr>
          <w:rFonts w:ascii="Times New Roman" w:hAnsi="Times New Roman" w:cs="Times New Roman"/>
          <w:lang w:val="en-US"/>
        </w:rPr>
        <w:t xml:space="preserve"> Ibid., 258.</w:t>
      </w:r>
    </w:p>
  </w:footnote>
  <w:footnote w:id="97">
    <w:p w14:paraId="75748E43" w14:textId="77777777" w:rsidR="001C3247" w:rsidRPr="00B76ECC" w:rsidRDefault="001C3247" w:rsidP="00560FB8">
      <w:pPr>
        <w:pStyle w:val="FootnoteText"/>
        <w:jc w:val="both"/>
        <w:rPr>
          <w:rFonts w:ascii="Times New Roman" w:hAnsi="Times New Roman" w:cs="Times New Roman"/>
          <w:lang w:val="en-US"/>
        </w:rPr>
      </w:pPr>
      <w:r w:rsidRPr="00B76ECC">
        <w:rPr>
          <w:rStyle w:val="FootnoteReference"/>
          <w:rFonts w:ascii="Times New Roman" w:hAnsi="Times New Roman" w:cs="Times New Roman"/>
        </w:rPr>
        <w:footnoteRef/>
      </w:r>
      <w:r w:rsidRPr="00B76ECC">
        <w:rPr>
          <w:rFonts w:ascii="Times New Roman" w:hAnsi="Times New Roman" w:cs="Times New Roman"/>
          <w:lang w:val="en-US"/>
        </w:rPr>
        <w:t xml:space="preserve"> Ibid., 300.</w:t>
      </w:r>
    </w:p>
  </w:footnote>
  <w:footnote w:id="98">
    <w:p w14:paraId="13828EA3" w14:textId="77777777" w:rsidR="001C3247" w:rsidRPr="00B76ECC" w:rsidRDefault="001C3247" w:rsidP="00560FB8">
      <w:pPr>
        <w:pStyle w:val="FootnoteText"/>
        <w:jc w:val="both"/>
        <w:rPr>
          <w:rFonts w:ascii="Times New Roman" w:hAnsi="Times New Roman" w:cs="Times New Roman"/>
          <w:lang w:val="en-US"/>
        </w:rPr>
      </w:pPr>
      <w:r w:rsidRPr="00B76ECC">
        <w:rPr>
          <w:rStyle w:val="FootnoteReference"/>
          <w:rFonts w:ascii="Times New Roman" w:hAnsi="Times New Roman" w:cs="Times New Roman"/>
        </w:rPr>
        <w:footnoteRef/>
      </w:r>
      <w:r w:rsidRPr="00B76ECC">
        <w:rPr>
          <w:rFonts w:ascii="Times New Roman" w:hAnsi="Times New Roman" w:cs="Times New Roman"/>
          <w:lang w:val="en-US"/>
        </w:rPr>
        <w:t xml:space="preserve"> Calvin, Institutes... v. III, 448.</w:t>
      </w:r>
    </w:p>
  </w:footnote>
  <w:footnote w:id="99">
    <w:p w14:paraId="22E35D25" w14:textId="77777777" w:rsidR="001C3247" w:rsidRPr="00B76ECC" w:rsidRDefault="001C3247" w:rsidP="00560FB8">
      <w:pPr>
        <w:pStyle w:val="FootnoteText"/>
        <w:jc w:val="both"/>
        <w:rPr>
          <w:rFonts w:ascii="Times New Roman" w:hAnsi="Times New Roman" w:cs="Times New Roman"/>
          <w:lang w:val="en-US"/>
        </w:rPr>
      </w:pPr>
      <w:r w:rsidRPr="00B76ECC">
        <w:rPr>
          <w:rStyle w:val="FootnoteReference"/>
          <w:rFonts w:ascii="Times New Roman" w:hAnsi="Times New Roman" w:cs="Times New Roman"/>
        </w:rPr>
        <w:footnoteRef/>
      </w:r>
      <w:r w:rsidRPr="00B76ECC">
        <w:rPr>
          <w:rFonts w:ascii="Times New Roman" w:hAnsi="Times New Roman" w:cs="Times New Roman"/>
          <w:lang w:val="en-US"/>
        </w:rPr>
        <w:t xml:space="preserve"> Story, Commentaries… v. I, 191.</w:t>
      </w:r>
    </w:p>
  </w:footnote>
  <w:footnote w:id="100">
    <w:p w14:paraId="077915DC" w14:textId="77777777" w:rsidR="001C3247" w:rsidRPr="00B76ECC" w:rsidRDefault="001C3247" w:rsidP="00560FB8">
      <w:pPr>
        <w:pStyle w:val="FootnoteText"/>
        <w:jc w:val="both"/>
        <w:rPr>
          <w:rFonts w:ascii="Times New Roman" w:hAnsi="Times New Roman" w:cs="Times New Roman"/>
          <w:lang w:val="en-US"/>
        </w:rPr>
      </w:pPr>
      <w:r w:rsidRPr="00B76ECC">
        <w:rPr>
          <w:rStyle w:val="FootnoteReference"/>
          <w:rFonts w:ascii="Times New Roman" w:hAnsi="Times New Roman" w:cs="Times New Roman"/>
        </w:rPr>
        <w:footnoteRef/>
      </w:r>
      <w:r w:rsidRPr="00B76ECC">
        <w:rPr>
          <w:rFonts w:ascii="Times New Roman" w:hAnsi="Times New Roman" w:cs="Times New Roman"/>
          <w:lang w:val="en-US"/>
        </w:rPr>
        <w:t xml:space="preserve"> Ibid., 197.</w:t>
      </w:r>
    </w:p>
  </w:footnote>
  <w:footnote w:id="101">
    <w:p w14:paraId="513F7A3C" w14:textId="79B0038D" w:rsidR="001C3247" w:rsidRPr="00B76ECC" w:rsidRDefault="001C3247" w:rsidP="00560FB8">
      <w:pPr>
        <w:pStyle w:val="FootnoteText"/>
        <w:jc w:val="both"/>
        <w:rPr>
          <w:rFonts w:ascii="Times New Roman" w:hAnsi="Times New Roman" w:cs="Times New Roman"/>
          <w:lang w:val="en-US"/>
        </w:rPr>
      </w:pPr>
      <w:r w:rsidRPr="00B76ECC">
        <w:rPr>
          <w:rStyle w:val="FootnoteReference"/>
          <w:rFonts w:ascii="Times New Roman" w:hAnsi="Times New Roman" w:cs="Times New Roman"/>
        </w:rPr>
        <w:footnoteRef/>
      </w:r>
      <w:r w:rsidRPr="00B76ECC">
        <w:rPr>
          <w:rFonts w:ascii="Times New Roman" w:hAnsi="Times New Roman" w:cs="Times New Roman"/>
          <w:lang w:val="en-US"/>
        </w:rPr>
        <w:t xml:space="preserve"> Ibid., 206. Although not a legal opinion properly speaking, for a very clear example of this</w:t>
      </w:r>
      <w:r>
        <w:rPr>
          <w:rFonts w:ascii="Times New Roman" w:hAnsi="Times New Roman" w:cs="Times New Roman"/>
          <w:lang w:val="en-US"/>
        </w:rPr>
        <w:t xml:space="preserve"> </w:t>
      </w:r>
      <w:r w:rsidRPr="00B76ECC">
        <w:rPr>
          <w:rFonts w:ascii="Times New Roman" w:hAnsi="Times New Roman" w:cs="Times New Roman"/>
          <w:lang w:val="en-US"/>
        </w:rPr>
        <w:t>typological interpretation, see William H. Rehnquist, The Notion of a Living Constitution, Harvard Journal</w:t>
      </w:r>
      <w:r>
        <w:rPr>
          <w:rFonts w:ascii="Times New Roman" w:hAnsi="Times New Roman" w:cs="Times New Roman"/>
          <w:lang w:val="en-US"/>
        </w:rPr>
        <w:t xml:space="preserve"> </w:t>
      </w:r>
      <w:r w:rsidRPr="00B76ECC">
        <w:rPr>
          <w:rFonts w:ascii="Times New Roman" w:hAnsi="Times New Roman" w:cs="Times New Roman"/>
          <w:lang w:val="en-US"/>
        </w:rPr>
        <w:t>of Law &amp; Public Policy, v. 29, n. 2, p. 401-415, 2006. From the other side of the party line, as it were, as</w:t>
      </w:r>
      <w:r>
        <w:rPr>
          <w:rFonts w:ascii="Times New Roman" w:hAnsi="Times New Roman" w:cs="Times New Roman"/>
          <w:lang w:val="en-US"/>
        </w:rPr>
        <w:t xml:space="preserve"> </w:t>
      </w:r>
      <w:r w:rsidRPr="00B76ECC">
        <w:rPr>
          <w:rFonts w:ascii="Times New Roman" w:hAnsi="Times New Roman" w:cs="Times New Roman"/>
          <w:lang w:val="en-US"/>
        </w:rPr>
        <w:t>former Chief Justice Rehnquist is usually painted by its environment as a conservative, Bruce Ackerman’s</w:t>
      </w:r>
      <w:r>
        <w:rPr>
          <w:rFonts w:ascii="Times New Roman" w:hAnsi="Times New Roman" w:cs="Times New Roman"/>
          <w:lang w:val="en-US"/>
        </w:rPr>
        <w:t xml:space="preserve"> </w:t>
      </w:r>
      <w:r w:rsidRPr="00B76ECC">
        <w:rPr>
          <w:rFonts w:ascii="Times New Roman" w:hAnsi="Times New Roman" w:cs="Times New Roman"/>
          <w:lang w:val="en-US"/>
        </w:rPr>
        <w:t>three-volume endeavor dedicated to capture, through typological exegesis, a morphology of constitutional change in the United States of America is, perhaps, the pinnacle of the scholarly possibilities first opened by Joseph Story, in his connection of constitutional interpretation and constitutional history, metonym and typology, Bruce Ackerman, We The People, Volume 1: Foundations, (Cambridge: Harvard University Press, 1993); id., We The People, Volume 2: Transformations, (Cambridge: Harvard University Press, 2000); id., We The People, Volume 3: The Civil Rights Revolution, (Cambridge: Harvard University Press, 2018).</w:t>
      </w:r>
    </w:p>
  </w:footnote>
  <w:footnote w:id="102">
    <w:p w14:paraId="0B413ACC" w14:textId="77777777" w:rsidR="001C3247" w:rsidRPr="00B76ECC" w:rsidRDefault="001C3247" w:rsidP="00560FB8">
      <w:pPr>
        <w:pStyle w:val="FootnoteText"/>
        <w:jc w:val="both"/>
        <w:rPr>
          <w:rFonts w:ascii="Times New Roman" w:hAnsi="Times New Roman" w:cs="Times New Roman"/>
          <w:lang w:val="en-US"/>
        </w:rPr>
      </w:pPr>
      <w:r w:rsidRPr="00B76ECC">
        <w:rPr>
          <w:rStyle w:val="FootnoteReference"/>
          <w:rFonts w:ascii="Times New Roman" w:hAnsi="Times New Roman" w:cs="Times New Roman"/>
        </w:rPr>
        <w:footnoteRef/>
      </w:r>
      <w:r w:rsidRPr="00B76ECC">
        <w:rPr>
          <w:rFonts w:ascii="Times New Roman" w:hAnsi="Times New Roman" w:cs="Times New Roman"/>
          <w:lang w:val="en-US"/>
        </w:rPr>
        <w:t xml:space="preserve"> Willian </w:t>
      </w:r>
      <w:r w:rsidRPr="00B76ECC">
        <w:rPr>
          <w:rFonts w:ascii="Times New Roman" w:hAnsi="Times New Roman" w:cs="Times New Roman"/>
          <w:color w:val="000000"/>
          <w:lang w:val="en-US"/>
        </w:rPr>
        <w:t xml:space="preserve">Brennan, In defense of dissents 37 </w:t>
      </w:r>
      <w:r w:rsidRPr="00B76ECC">
        <w:rPr>
          <w:rFonts w:ascii="Times New Roman" w:hAnsi="Times New Roman" w:cs="Times New Roman"/>
          <w:i/>
          <w:iCs/>
          <w:color w:val="000000"/>
          <w:lang w:val="en-US"/>
        </w:rPr>
        <w:t>The Hastings Law Journal</w:t>
      </w:r>
      <w:r w:rsidRPr="00B76ECC">
        <w:rPr>
          <w:rFonts w:ascii="Times New Roman" w:hAnsi="Times New Roman" w:cs="Times New Roman"/>
          <w:color w:val="000000"/>
          <w:lang w:val="en-US"/>
        </w:rPr>
        <w:t xml:space="preserve"> (1986). On the significance of prophecy in US political discourse, see George Schulman, </w:t>
      </w:r>
      <w:r w:rsidRPr="00B76ECC">
        <w:rPr>
          <w:rFonts w:ascii="Times New Roman" w:hAnsi="Times New Roman" w:cs="Times New Roman"/>
          <w:i/>
          <w:iCs/>
          <w:color w:val="000000"/>
          <w:lang w:val="en-US"/>
        </w:rPr>
        <w:t>American Prophecy: Race and Redemption in American Political Culture</w:t>
      </w:r>
      <w:r w:rsidRPr="00B76ECC">
        <w:rPr>
          <w:rFonts w:ascii="Times New Roman" w:hAnsi="Times New Roman" w:cs="Times New Roman"/>
          <w:color w:val="000000"/>
          <w:lang w:val="en-US"/>
        </w:rPr>
        <w:t xml:space="preserve"> (Minneapolis: University of Minnesota Press, 2008).</w:t>
      </w:r>
    </w:p>
  </w:footnote>
  <w:footnote w:id="103">
    <w:p w14:paraId="60796645" w14:textId="77777777" w:rsidR="001C3247" w:rsidRPr="00B76ECC" w:rsidRDefault="001C3247" w:rsidP="00560FB8">
      <w:pPr>
        <w:pStyle w:val="FootnoteText"/>
        <w:jc w:val="both"/>
        <w:rPr>
          <w:rFonts w:ascii="Times New Roman" w:hAnsi="Times New Roman" w:cs="Times New Roman"/>
          <w:lang w:val="en-US"/>
        </w:rPr>
      </w:pPr>
      <w:r w:rsidRPr="00B76ECC">
        <w:rPr>
          <w:rStyle w:val="FootnoteReference"/>
          <w:rFonts w:ascii="Times New Roman" w:hAnsi="Times New Roman" w:cs="Times New Roman"/>
        </w:rPr>
        <w:footnoteRef/>
      </w:r>
      <w:r w:rsidRPr="00B76ECC">
        <w:rPr>
          <w:rFonts w:ascii="Times New Roman" w:hAnsi="Times New Roman" w:cs="Times New Roman"/>
          <w:lang w:val="en-US"/>
        </w:rPr>
        <w:t xml:space="preserve"> Morgan, </w:t>
      </w:r>
      <w:r w:rsidRPr="00B76ECC">
        <w:rPr>
          <w:rFonts w:ascii="Times New Roman" w:hAnsi="Times New Roman" w:cs="Times New Roman"/>
          <w:i/>
          <w:iCs/>
          <w:lang w:val="en-US"/>
        </w:rPr>
        <w:t>The Visible Saints</w:t>
      </w:r>
      <w:r w:rsidRPr="00B76ECC">
        <w:rPr>
          <w:rFonts w:ascii="Times New Roman" w:hAnsi="Times New Roman" w:cs="Times New Roman"/>
          <w:lang w:val="en-US"/>
        </w:rPr>
        <w:t>, 99.</w:t>
      </w:r>
    </w:p>
  </w:footnote>
  <w:footnote w:id="104">
    <w:p w14:paraId="798D026F" w14:textId="64C805DA" w:rsidR="007E5180" w:rsidRPr="007E5180" w:rsidRDefault="007E5180">
      <w:pPr>
        <w:pStyle w:val="FootnoteText"/>
        <w:rPr>
          <w:lang w:val="en-US"/>
        </w:rPr>
      </w:pPr>
      <w:r>
        <w:rPr>
          <w:rStyle w:val="FootnoteReference"/>
        </w:rPr>
        <w:footnoteRef/>
      </w:r>
      <w:r w:rsidRPr="007E5180">
        <w:rPr>
          <w:lang w:val="en-US"/>
        </w:rPr>
        <w:t xml:space="preserve"> </w:t>
      </w:r>
    </w:p>
  </w:footnote>
  <w:footnote w:id="105">
    <w:p w14:paraId="2C554DD1" w14:textId="77777777" w:rsidR="001C3247" w:rsidRPr="00B76ECC" w:rsidRDefault="001C3247" w:rsidP="00560FB8">
      <w:pPr>
        <w:pStyle w:val="FootnoteText"/>
        <w:jc w:val="both"/>
        <w:rPr>
          <w:rFonts w:ascii="Times New Roman" w:hAnsi="Times New Roman" w:cs="Times New Roman"/>
          <w:lang w:val="en-US"/>
        </w:rPr>
      </w:pPr>
      <w:r w:rsidRPr="00B76ECC">
        <w:rPr>
          <w:rStyle w:val="FootnoteReference"/>
          <w:rFonts w:ascii="Times New Roman" w:hAnsi="Times New Roman" w:cs="Times New Roman"/>
        </w:rPr>
        <w:footnoteRef/>
      </w:r>
      <w:r w:rsidRPr="00B76ECC">
        <w:rPr>
          <w:rFonts w:ascii="Times New Roman" w:hAnsi="Times New Roman" w:cs="Times New Roman"/>
          <w:lang w:val="en-US"/>
        </w:rPr>
        <w:t xml:space="preserve"> For a critique thereof, see Pierre Legrand, Foreign Law: Understanding </w:t>
      </w:r>
      <w:proofErr w:type="spellStart"/>
      <w:r w:rsidRPr="00B76ECC">
        <w:rPr>
          <w:rFonts w:ascii="Times New Roman" w:hAnsi="Times New Roman" w:cs="Times New Roman"/>
          <w:lang w:val="en-US"/>
        </w:rPr>
        <w:t>Understanding</w:t>
      </w:r>
      <w:proofErr w:type="spellEnd"/>
      <w:r w:rsidRPr="00B76ECC">
        <w:rPr>
          <w:rFonts w:ascii="Times New Roman" w:hAnsi="Times New Roman" w:cs="Times New Roman"/>
          <w:lang w:val="en-US"/>
        </w:rPr>
        <w:t xml:space="preserve"> 6 </w:t>
      </w:r>
      <w:r w:rsidRPr="00B76ECC">
        <w:rPr>
          <w:rFonts w:ascii="Times New Roman" w:hAnsi="Times New Roman" w:cs="Times New Roman"/>
          <w:i/>
          <w:iCs/>
          <w:lang w:val="en-US"/>
        </w:rPr>
        <w:t>Journal of Comparative Law</w:t>
      </w:r>
      <w:r w:rsidRPr="00B76ECC">
        <w:rPr>
          <w:rFonts w:ascii="Times New Roman" w:hAnsi="Times New Roman" w:cs="Times New Roman"/>
          <w:lang w:val="en-US"/>
        </w:rPr>
        <w:t xml:space="preserve"> 2 (2011).</w:t>
      </w:r>
    </w:p>
  </w:footnote>
  <w:footnote w:id="106">
    <w:p w14:paraId="5F972237" w14:textId="77777777" w:rsidR="001C3247" w:rsidRPr="00B76ECC" w:rsidRDefault="001C3247" w:rsidP="00560FB8">
      <w:pPr>
        <w:pStyle w:val="FootnoteText"/>
        <w:jc w:val="both"/>
        <w:rPr>
          <w:rFonts w:ascii="Times New Roman" w:hAnsi="Times New Roman" w:cs="Times New Roman"/>
          <w:lang w:val="de-DE"/>
        </w:rPr>
      </w:pPr>
      <w:r w:rsidRPr="00B76ECC">
        <w:rPr>
          <w:rStyle w:val="FootnoteReference"/>
          <w:rFonts w:ascii="Times New Roman" w:hAnsi="Times New Roman" w:cs="Times New Roman"/>
        </w:rPr>
        <w:footnoteRef/>
      </w:r>
      <w:r w:rsidRPr="00B76ECC">
        <w:rPr>
          <w:rFonts w:ascii="Times New Roman" w:hAnsi="Times New Roman" w:cs="Times New Roman"/>
          <w:lang w:val="de-DE"/>
        </w:rPr>
        <w:t xml:space="preserve"> See, for instance, Kau, </w:t>
      </w:r>
      <w:r w:rsidRPr="00B76ECC">
        <w:rPr>
          <w:rFonts w:ascii="Times New Roman" w:hAnsi="Times New Roman" w:cs="Times New Roman"/>
          <w:i/>
          <w:iCs/>
          <w:lang w:val="de-DE"/>
        </w:rPr>
        <w:t>United States Supreme Court und Bundesverfassungsgericht</w:t>
      </w:r>
      <w:r w:rsidRPr="00B76ECC">
        <w:rPr>
          <w:rFonts w:ascii="Times New Roman" w:hAnsi="Times New Roman" w:cs="Times New Roman"/>
          <w:lang w:val="de-DE"/>
        </w:rPr>
        <w:t xml:space="preserve">...; see also Wesel, </w:t>
      </w:r>
      <w:r w:rsidRPr="00B76ECC">
        <w:rPr>
          <w:rFonts w:ascii="Times New Roman" w:hAnsi="Times New Roman" w:cs="Times New Roman"/>
          <w:i/>
          <w:iCs/>
          <w:lang w:val="de-DE"/>
        </w:rPr>
        <w:t>Der Gang nach Karlsruhe</w:t>
      </w:r>
      <w:r w:rsidRPr="00B76ECC">
        <w:rPr>
          <w:rFonts w:ascii="Times New Roman" w:hAnsi="Times New Roman" w:cs="Times New Roman"/>
          <w:lang w:val="de-DE"/>
        </w:rPr>
        <w:t>.</w:t>
      </w:r>
    </w:p>
  </w:footnote>
  <w:footnote w:id="107">
    <w:p w14:paraId="44088946" w14:textId="77777777" w:rsidR="001C3247" w:rsidRPr="00E24D2D" w:rsidRDefault="001C3247" w:rsidP="00560FB8">
      <w:pPr>
        <w:pStyle w:val="FootnoteText"/>
        <w:jc w:val="both"/>
        <w:rPr>
          <w:rFonts w:ascii="Times New Roman" w:hAnsi="Times New Roman" w:cs="Times New Roman"/>
          <w:lang w:val="de-DE"/>
        </w:rPr>
      </w:pPr>
      <w:r w:rsidRPr="00B76ECC">
        <w:rPr>
          <w:rStyle w:val="FootnoteReference"/>
          <w:rFonts w:ascii="Times New Roman" w:hAnsi="Times New Roman" w:cs="Times New Roman"/>
        </w:rPr>
        <w:footnoteRef/>
      </w:r>
      <w:r w:rsidRPr="00B76ECC">
        <w:rPr>
          <w:rFonts w:ascii="Times New Roman" w:hAnsi="Times New Roman" w:cs="Times New Roman"/>
          <w:lang w:val="de-DE"/>
        </w:rPr>
        <w:t xml:space="preserve"> On the role of the occupying powers in the constitution-making process, see Werner Sörgel, Konsensus </w:t>
      </w:r>
      <w:r w:rsidRPr="00E24D2D">
        <w:rPr>
          <w:rFonts w:ascii="Times New Roman" w:hAnsi="Times New Roman" w:cs="Times New Roman"/>
          <w:lang w:val="de-DE"/>
        </w:rPr>
        <w:t>und Interessen: Eine Studie zur Entstehung des Grundgesetzes (Opladen: Leske Verlag, 1985); see also Frieder Günther, Denken vom Staat her: Die bundesdeutsche Staatsrechtslehre zwischen Dezision und Integration 1949-1970 (München: R. Oldenbourg Verlag, 2004).</w:t>
      </w:r>
    </w:p>
  </w:footnote>
  <w:footnote w:id="108">
    <w:p w14:paraId="001DD342" w14:textId="1432937F" w:rsidR="00E24D2D" w:rsidRPr="00E24D2D" w:rsidRDefault="00E24D2D">
      <w:pPr>
        <w:pStyle w:val="FootnoteText"/>
        <w:rPr>
          <w:rFonts w:ascii="Times New Roman" w:hAnsi="Times New Roman" w:cs="Times New Roman"/>
          <w:lang w:val="en-US"/>
        </w:rPr>
      </w:pPr>
      <w:r w:rsidRPr="00E24D2D">
        <w:rPr>
          <w:rStyle w:val="FootnoteReference"/>
          <w:rFonts w:ascii="Times New Roman" w:hAnsi="Times New Roman" w:cs="Times New Roman"/>
        </w:rPr>
        <w:footnoteRef/>
      </w:r>
      <w:r w:rsidRPr="00E24D2D">
        <w:rPr>
          <w:rFonts w:ascii="Times New Roman" w:hAnsi="Times New Roman" w:cs="Times New Roman"/>
          <w:lang w:val="en-US"/>
        </w:rPr>
        <w:t xml:space="preserve"> For one authoritative, doctrinal articulation of this common place, see, among others, Klaus Stern’s discussion about </w:t>
      </w:r>
      <w:r>
        <w:rPr>
          <w:rFonts w:ascii="Times New Roman" w:hAnsi="Times New Roman" w:cs="Times New Roman"/>
          <w:lang w:val="en-US"/>
        </w:rPr>
        <w:t>the constitutional court in</w:t>
      </w:r>
      <w:r w:rsidRPr="00E24D2D">
        <w:rPr>
          <w:rFonts w:ascii="Times New Roman" w:hAnsi="Times New Roman" w:cs="Times New Roman"/>
          <w:lang w:val="en-US"/>
        </w:rPr>
        <w:t xml:space="preserve"> </w:t>
      </w:r>
      <w:r w:rsidRPr="00E24D2D">
        <w:rPr>
          <w:rFonts w:ascii="Times New Roman" w:hAnsi="Times New Roman" w:cs="Times New Roman"/>
          <w:i/>
          <w:iCs/>
          <w:lang w:val="en-US"/>
        </w:rPr>
        <w:t xml:space="preserve">Das </w:t>
      </w:r>
      <w:proofErr w:type="spellStart"/>
      <w:r w:rsidRPr="00E24D2D">
        <w:rPr>
          <w:rFonts w:ascii="Times New Roman" w:hAnsi="Times New Roman" w:cs="Times New Roman"/>
          <w:i/>
          <w:iCs/>
          <w:lang w:val="en-US"/>
        </w:rPr>
        <w:t>Staatsrecht</w:t>
      </w:r>
      <w:proofErr w:type="spellEnd"/>
      <w:r w:rsidRPr="00E24D2D">
        <w:rPr>
          <w:rFonts w:ascii="Times New Roman" w:hAnsi="Times New Roman" w:cs="Times New Roman"/>
          <w:i/>
          <w:iCs/>
          <w:lang w:val="en-US"/>
        </w:rPr>
        <w:t xml:space="preserve"> der </w:t>
      </w:r>
      <w:proofErr w:type="spellStart"/>
      <w:r w:rsidRPr="00E24D2D">
        <w:rPr>
          <w:rFonts w:ascii="Times New Roman" w:hAnsi="Times New Roman" w:cs="Times New Roman"/>
          <w:i/>
          <w:iCs/>
          <w:lang w:val="en-US"/>
        </w:rPr>
        <w:t>Bundesrepublik</w:t>
      </w:r>
      <w:proofErr w:type="spellEnd"/>
      <w:r w:rsidRPr="00E24D2D">
        <w:rPr>
          <w:rFonts w:ascii="Times New Roman" w:hAnsi="Times New Roman" w:cs="Times New Roman"/>
          <w:i/>
          <w:iCs/>
          <w:lang w:val="en-US"/>
        </w:rPr>
        <w:t xml:space="preserve"> Deutschland</w:t>
      </w:r>
      <w:r w:rsidRPr="00E24D2D">
        <w:rPr>
          <w:rFonts w:ascii="Times New Roman" w:hAnsi="Times New Roman" w:cs="Times New Roman"/>
          <w:lang w:val="en-US"/>
        </w:rPr>
        <w:t>, v. 2 (Munich: C. H. Beck, 1984).</w:t>
      </w:r>
    </w:p>
  </w:footnote>
  <w:footnote w:id="109">
    <w:p w14:paraId="16870E7C" w14:textId="77777777" w:rsidR="001C3247" w:rsidRPr="00E24D2D" w:rsidRDefault="001C3247" w:rsidP="00560FB8">
      <w:pPr>
        <w:pStyle w:val="FootnoteText"/>
        <w:jc w:val="both"/>
        <w:rPr>
          <w:rFonts w:ascii="Times New Roman" w:hAnsi="Times New Roman" w:cs="Times New Roman"/>
          <w:lang w:val="en-US"/>
        </w:rPr>
      </w:pPr>
      <w:r w:rsidRPr="00E24D2D">
        <w:rPr>
          <w:rStyle w:val="FootnoteReference"/>
          <w:rFonts w:ascii="Times New Roman" w:hAnsi="Times New Roman" w:cs="Times New Roman"/>
        </w:rPr>
        <w:footnoteRef/>
      </w:r>
      <w:r w:rsidRPr="00E24D2D">
        <w:rPr>
          <w:rFonts w:ascii="Times New Roman" w:hAnsi="Times New Roman" w:cs="Times New Roman"/>
          <w:lang w:val="en-US"/>
        </w:rPr>
        <w:t xml:space="preserve"> See Michael </w:t>
      </w:r>
      <w:proofErr w:type="spellStart"/>
      <w:r w:rsidRPr="00E24D2D">
        <w:rPr>
          <w:rFonts w:ascii="Times New Roman" w:hAnsi="Times New Roman" w:cs="Times New Roman"/>
          <w:lang w:val="en-US"/>
        </w:rPr>
        <w:t>Stolleis</w:t>
      </w:r>
      <w:proofErr w:type="spellEnd"/>
      <w:r w:rsidRPr="00E24D2D">
        <w:rPr>
          <w:rFonts w:ascii="Times New Roman" w:hAnsi="Times New Roman" w:cs="Times New Roman"/>
          <w:lang w:val="en-US"/>
        </w:rPr>
        <w:t xml:space="preserve">, Judicial Review, Administrative Review, and Constitutional Review in the Weimar Republic, 16 </w:t>
      </w:r>
      <w:r w:rsidRPr="00E24D2D">
        <w:rPr>
          <w:rFonts w:ascii="Times New Roman" w:hAnsi="Times New Roman" w:cs="Times New Roman"/>
          <w:i/>
          <w:iCs/>
          <w:lang w:val="en-US"/>
        </w:rPr>
        <w:t>Ratio Juris</w:t>
      </w:r>
      <w:r w:rsidRPr="00E24D2D">
        <w:rPr>
          <w:rFonts w:ascii="Times New Roman" w:hAnsi="Times New Roman" w:cs="Times New Roman"/>
          <w:lang w:val="en-US"/>
        </w:rPr>
        <w:t xml:space="preserve"> 2 (2003).</w:t>
      </w:r>
    </w:p>
  </w:footnote>
  <w:footnote w:id="110">
    <w:p w14:paraId="56436C88" w14:textId="77777777" w:rsidR="001C3247" w:rsidRPr="00B76ECC" w:rsidRDefault="001C3247" w:rsidP="00560FB8">
      <w:pPr>
        <w:pStyle w:val="FootnoteText"/>
        <w:jc w:val="both"/>
        <w:rPr>
          <w:rFonts w:ascii="Times New Roman" w:hAnsi="Times New Roman" w:cs="Times New Roman"/>
          <w:lang w:val="de-DE"/>
        </w:rPr>
      </w:pPr>
      <w:r w:rsidRPr="00E24D2D">
        <w:rPr>
          <w:rStyle w:val="FootnoteReference"/>
          <w:rFonts w:ascii="Times New Roman" w:hAnsi="Times New Roman" w:cs="Times New Roman"/>
        </w:rPr>
        <w:footnoteRef/>
      </w:r>
      <w:r w:rsidRPr="00E24D2D">
        <w:rPr>
          <w:rFonts w:ascii="Times New Roman" w:hAnsi="Times New Roman" w:cs="Times New Roman"/>
          <w:lang w:val="de-DE"/>
        </w:rPr>
        <w:t xml:space="preserve"> Id., Geschichte des öffentlichen Rechts in Deutschland</w:t>
      </w:r>
      <w:r w:rsidRPr="00B76ECC">
        <w:rPr>
          <w:rFonts w:ascii="Times New Roman" w:hAnsi="Times New Roman" w:cs="Times New Roman"/>
          <w:lang w:val="de-DE"/>
        </w:rPr>
        <w:t xml:space="preserve"> v. 4 1945-1990 (München: C. H. Beck, 2012) 25-32.</w:t>
      </w:r>
    </w:p>
  </w:footnote>
  <w:footnote w:id="111">
    <w:p w14:paraId="73A7942A" w14:textId="77777777" w:rsidR="001C3247" w:rsidRPr="00B76ECC" w:rsidRDefault="001C3247" w:rsidP="00560FB8">
      <w:pPr>
        <w:pStyle w:val="FootnoteText"/>
        <w:jc w:val="both"/>
        <w:rPr>
          <w:rFonts w:ascii="Times New Roman" w:hAnsi="Times New Roman" w:cs="Times New Roman"/>
          <w:lang w:val="de-DE"/>
        </w:rPr>
      </w:pPr>
      <w:r w:rsidRPr="00B76ECC">
        <w:rPr>
          <w:rStyle w:val="FootnoteReference"/>
          <w:rFonts w:ascii="Times New Roman" w:hAnsi="Times New Roman" w:cs="Times New Roman"/>
        </w:rPr>
        <w:footnoteRef/>
      </w:r>
      <w:r w:rsidRPr="00B76ECC">
        <w:rPr>
          <w:rFonts w:ascii="Times New Roman" w:hAnsi="Times New Roman" w:cs="Times New Roman"/>
          <w:lang w:val="en-US"/>
        </w:rPr>
        <w:t xml:space="preserve"> See the contributions to the volume </w:t>
      </w:r>
      <w:proofErr w:type="spellStart"/>
      <w:r w:rsidRPr="00B76ECC">
        <w:rPr>
          <w:rFonts w:ascii="Times New Roman" w:hAnsi="Times New Roman" w:cs="Times New Roman"/>
          <w:i/>
          <w:iCs/>
          <w:lang w:val="en-US"/>
        </w:rPr>
        <w:t>Neugründung</w:t>
      </w:r>
      <w:proofErr w:type="spellEnd"/>
      <w:r w:rsidRPr="00B76ECC">
        <w:rPr>
          <w:rFonts w:ascii="Times New Roman" w:hAnsi="Times New Roman" w:cs="Times New Roman"/>
          <w:i/>
          <w:iCs/>
          <w:lang w:val="en-US"/>
        </w:rPr>
        <w:t xml:space="preserve"> auf </w:t>
      </w:r>
      <w:proofErr w:type="spellStart"/>
      <w:r w:rsidRPr="00B76ECC">
        <w:rPr>
          <w:rFonts w:ascii="Times New Roman" w:hAnsi="Times New Roman" w:cs="Times New Roman"/>
          <w:i/>
          <w:iCs/>
          <w:lang w:val="en-US"/>
        </w:rPr>
        <w:t>alten</w:t>
      </w:r>
      <w:proofErr w:type="spellEnd"/>
      <w:r w:rsidRPr="00B76ECC">
        <w:rPr>
          <w:rFonts w:ascii="Times New Roman" w:hAnsi="Times New Roman" w:cs="Times New Roman"/>
          <w:i/>
          <w:iCs/>
          <w:lang w:val="en-US"/>
        </w:rPr>
        <w:t xml:space="preserve"> </w:t>
      </w:r>
      <w:proofErr w:type="spellStart"/>
      <w:r w:rsidRPr="00B76ECC">
        <w:rPr>
          <w:rFonts w:ascii="Times New Roman" w:hAnsi="Times New Roman" w:cs="Times New Roman"/>
          <w:i/>
          <w:iCs/>
          <w:lang w:val="en-US"/>
        </w:rPr>
        <w:t>Werten</w:t>
      </w:r>
      <w:proofErr w:type="spellEnd"/>
      <w:r w:rsidRPr="00B76ECC">
        <w:rPr>
          <w:rFonts w:ascii="Times New Roman" w:hAnsi="Times New Roman" w:cs="Times New Roman"/>
          <w:i/>
          <w:iCs/>
          <w:lang w:val="en-US"/>
        </w:rPr>
        <w:t xml:space="preserve">? </w:t>
      </w:r>
      <w:r w:rsidRPr="00B76ECC">
        <w:rPr>
          <w:rFonts w:ascii="Times New Roman" w:hAnsi="Times New Roman" w:cs="Times New Roman"/>
          <w:i/>
          <w:iCs/>
          <w:lang w:val="de-DE"/>
        </w:rPr>
        <w:t>Konservative Intellektuelle und Politik in der Bundesrepublik</w:t>
      </w:r>
      <w:r w:rsidRPr="00B76ECC">
        <w:rPr>
          <w:rFonts w:ascii="Times New Roman" w:hAnsi="Times New Roman" w:cs="Times New Roman"/>
          <w:lang w:val="de-DE"/>
        </w:rPr>
        <w:t>, ed. by Sebastian Liebold and Frank Schale, (Baden-Baden: Nomos, 2017).</w:t>
      </w:r>
    </w:p>
  </w:footnote>
  <w:footnote w:id="112">
    <w:p w14:paraId="7EEC0BA3" w14:textId="77777777" w:rsidR="001C3247" w:rsidRPr="00B76ECC" w:rsidRDefault="001C3247" w:rsidP="00560FB8">
      <w:pPr>
        <w:pStyle w:val="FootnoteText"/>
        <w:jc w:val="both"/>
        <w:rPr>
          <w:rFonts w:ascii="Times New Roman" w:hAnsi="Times New Roman" w:cs="Times New Roman"/>
          <w:lang w:val="de-DE"/>
        </w:rPr>
      </w:pPr>
      <w:r w:rsidRPr="00B76ECC">
        <w:rPr>
          <w:rStyle w:val="FootnoteReference"/>
          <w:rFonts w:ascii="Times New Roman" w:hAnsi="Times New Roman" w:cs="Times New Roman"/>
        </w:rPr>
        <w:footnoteRef/>
      </w:r>
      <w:r w:rsidRPr="00B76ECC">
        <w:rPr>
          <w:rFonts w:ascii="Times New Roman" w:hAnsi="Times New Roman" w:cs="Times New Roman"/>
          <w:lang w:val="de-DE"/>
        </w:rPr>
        <w:t xml:space="preserve"> For a perspicuous depiction and forceful critique of this narrative, see Ingeborg Maus, </w:t>
      </w:r>
      <w:r w:rsidRPr="00B76ECC">
        <w:rPr>
          <w:rFonts w:ascii="Times New Roman" w:hAnsi="Times New Roman" w:cs="Times New Roman"/>
          <w:i/>
          <w:iCs/>
          <w:lang w:val="de-DE"/>
        </w:rPr>
        <w:t>Justiz als gesellschaftliches Über-Ich</w:t>
      </w:r>
      <w:r w:rsidRPr="00B76ECC">
        <w:rPr>
          <w:rFonts w:ascii="Times New Roman" w:hAnsi="Times New Roman" w:cs="Times New Roman"/>
          <w:lang w:val="de-DE"/>
        </w:rPr>
        <w:t xml:space="preserve"> (Frankfurt a. M.: Suhrkamp, 2018).</w:t>
      </w:r>
    </w:p>
  </w:footnote>
  <w:footnote w:id="113">
    <w:p w14:paraId="40875A23" w14:textId="77777777" w:rsidR="001C3247" w:rsidRPr="00B76ECC" w:rsidRDefault="001C3247" w:rsidP="00560FB8">
      <w:pPr>
        <w:pStyle w:val="FootnoteText"/>
        <w:jc w:val="both"/>
        <w:rPr>
          <w:rFonts w:ascii="Times New Roman" w:hAnsi="Times New Roman" w:cs="Times New Roman"/>
          <w:lang w:val="de-DE"/>
        </w:rPr>
      </w:pPr>
      <w:r w:rsidRPr="00B76ECC">
        <w:rPr>
          <w:rStyle w:val="FootnoteReference"/>
          <w:rFonts w:ascii="Times New Roman" w:hAnsi="Times New Roman" w:cs="Times New Roman"/>
        </w:rPr>
        <w:footnoteRef/>
      </w:r>
      <w:r w:rsidRPr="00B76ECC">
        <w:rPr>
          <w:rFonts w:ascii="Times New Roman" w:hAnsi="Times New Roman" w:cs="Times New Roman"/>
          <w:lang w:val="de-DE"/>
        </w:rPr>
        <w:t xml:space="preserve"> Grundgesetz für die Bundesrepublik Deutschland (1949)</w:t>
      </w:r>
    </w:p>
  </w:footnote>
  <w:footnote w:id="114">
    <w:p w14:paraId="2399B62D" w14:textId="77777777" w:rsidR="001C3247" w:rsidRPr="00B76ECC" w:rsidRDefault="001C3247" w:rsidP="00560FB8">
      <w:pPr>
        <w:pStyle w:val="FootnoteText"/>
        <w:jc w:val="both"/>
        <w:rPr>
          <w:rFonts w:ascii="Times New Roman" w:hAnsi="Times New Roman" w:cs="Times New Roman"/>
          <w:lang w:val="de-DE"/>
        </w:rPr>
      </w:pPr>
      <w:r w:rsidRPr="00B76ECC">
        <w:rPr>
          <w:rStyle w:val="FootnoteReference"/>
          <w:rFonts w:ascii="Times New Roman" w:hAnsi="Times New Roman" w:cs="Times New Roman"/>
        </w:rPr>
        <w:footnoteRef/>
      </w:r>
      <w:r w:rsidRPr="00B76ECC">
        <w:rPr>
          <w:rFonts w:ascii="Times New Roman" w:hAnsi="Times New Roman" w:cs="Times New Roman"/>
          <w:lang w:val="de-DE"/>
        </w:rPr>
        <w:t xml:space="preserve"> See Bredekamp, Politische Ikonologie...</w:t>
      </w:r>
    </w:p>
  </w:footnote>
  <w:footnote w:id="115">
    <w:p w14:paraId="5AEE9E6F" w14:textId="77777777" w:rsidR="001C3247" w:rsidRPr="00B76ECC" w:rsidRDefault="001C3247" w:rsidP="00560FB8">
      <w:pPr>
        <w:pStyle w:val="FootnoteText"/>
        <w:jc w:val="both"/>
        <w:rPr>
          <w:rFonts w:ascii="Times New Roman" w:hAnsi="Times New Roman" w:cs="Times New Roman"/>
          <w:lang w:val="de-DE"/>
        </w:rPr>
      </w:pPr>
      <w:r w:rsidRPr="00B76ECC">
        <w:rPr>
          <w:rStyle w:val="FootnoteReference"/>
          <w:rFonts w:ascii="Times New Roman" w:hAnsi="Times New Roman" w:cs="Times New Roman"/>
        </w:rPr>
        <w:footnoteRef/>
      </w:r>
      <w:r w:rsidRPr="00B76ECC">
        <w:rPr>
          <w:rFonts w:ascii="Times New Roman" w:hAnsi="Times New Roman" w:cs="Times New Roman"/>
          <w:lang w:val="de-DE"/>
        </w:rPr>
        <w:t xml:space="preserve"> Protokolle Parlamentarischer Rat, Bd. 9, Dokumentennummer 2 (Zweite Sitzung d. Plenums, 8. 9. 1948), 18, 66 f. in Marcel Kau, United States Supreme Court und Bundesverfassungsgericht..., 34.</w:t>
      </w:r>
    </w:p>
  </w:footnote>
  <w:footnote w:id="116">
    <w:p w14:paraId="07FCF251" w14:textId="77777777" w:rsidR="00B8175F" w:rsidRPr="00B76ECC" w:rsidRDefault="00B8175F" w:rsidP="00B8175F">
      <w:pPr>
        <w:pStyle w:val="FootnoteText"/>
        <w:jc w:val="both"/>
        <w:rPr>
          <w:rFonts w:ascii="Times New Roman" w:hAnsi="Times New Roman" w:cs="Times New Roman"/>
          <w:lang w:val="de-DE"/>
        </w:rPr>
      </w:pPr>
      <w:r w:rsidRPr="00B76ECC">
        <w:rPr>
          <w:rStyle w:val="FootnoteReference"/>
          <w:rFonts w:ascii="Times New Roman" w:hAnsi="Times New Roman" w:cs="Times New Roman"/>
        </w:rPr>
        <w:footnoteRef/>
      </w:r>
      <w:r w:rsidRPr="00B76ECC">
        <w:rPr>
          <w:rFonts w:ascii="Times New Roman" w:hAnsi="Times New Roman" w:cs="Times New Roman"/>
          <w:lang w:val="de-DE"/>
        </w:rPr>
        <w:t xml:space="preserve"> See Gerhard Leibholz, Bericht des Berichterstatters des Bundesverfassungsgerichts vom 21. März 1952 6 </w:t>
      </w:r>
      <w:r w:rsidRPr="00F86AE0">
        <w:rPr>
          <w:rFonts w:ascii="Times New Roman" w:hAnsi="Times New Roman" w:cs="Times New Roman"/>
          <w:i/>
          <w:iCs/>
          <w:lang w:val="de-DE"/>
        </w:rPr>
        <w:t>Jahrbuch des Öffentlichen Rechts der Gegenwart</w:t>
      </w:r>
      <w:r w:rsidRPr="00B76ECC">
        <w:rPr>
          <w:rFonts w:ascii="Times New Roman" w:hAnsi="Times New Roman" w:cs="Times New Roman"/>
          <w:lang w:val="de-DE"/>
        </w:rPr>
        <w:t xml:space="preserve"> (1957) e.g. 121, 122, 126.</w:t>
      </w:r>
    </w:p>
  </w:footnote>
  <w:footnote w:id="117">
    <w:p w14:paraId="0DE8CB9F" w14:textId="508CA77C" w:rsidR="00B8175F" w:rsidRPr="002E6A6F" w:rsidRDefault="00B8175F" w:rsidP="00B8175F">
      <w:pPr>
        <w:pStyle w:val="FootnoteText"/>
        <w:jc w:val="both"/>
        <w:rPr>
          <w:lang w:val="en-US"/>
        </w:rPr>
      </w:pPr>
      <w:r>
        <w:rPr>
          <w:rStyle w:val="FootnoteReference"/>
        </w:rPr>
        <w:footnoteRef/>
      </w:r>
      <w:r w:rsidRPr="00795176">
        <w:rPr>
          <w:lang w:val="de-DE"/>
        </w:rPr>
        <w:t xml:space="preserve"> </w:t>
      </w:r>
      <w:r w:rsidRPr="00795176">
        <w:rPr>
          <w:rFonts w:ascii="Times New Roman" w:hAnsi="Times New Roman" w:cs="Times New Roman"/>
          <w:lang w:val="de-DE"/>
        </w:rPr>
        <w:t xml:space="preserve">For its declared Florentine inspiration, see Bundesverfassungsgericht, </w:t>
      </w:r>
      <w:r w:rsidRPr="00795176">
        <w:rPr>
          <w:rFonts w:ascii="Times New Roman" w:hAnsi="Times New Roman" w:cs="Times New Roman"/>
          <w:i/>
          <w:iCs/>
          <w:lang w:val="de-DE"/>
        </w:rPr>
        <w:t>Jahrbericht</w:t>
      </w:r>
      <w:r w:rsidRPr="00795176">
        <w:rPr>
          <w:rFonts w:ascii="Times New Roman" w:hAnsi="Times New Roman" w:cs="Times New Roman"/>
          <w:lang w:val="de-DE"/>
        </w:rPr>
        <w:t xml:space="preserve"> </w:t>
      </w:r>
      <w:r w:rsidRPr="00795176">
        <w:rPr>
          <w:rFonts w:ascii="Times New Roman" w:hAnsi="Times New Roman" w:cs="Times New Roman"/>
          <w:i/>
          <w:iCs/>
          <w:lang w:val="de-DE"/>
        </w:rPr>
        <w:t>2021</w:t>
      </w:r>
      <w:r w:rsidRPr="00795176">
        <w:rPr>
          <w:rFonts w:ascii="Times New Roman" w:hAnsi="Times New Roman" w:cs="Times New Roman"/>
          <w:lang w:val="de-DE"/>
        </w:rPr>
        <w:t>.</w:t>
      </w:r>
      <w:r>
        <w:rPr>
          <w:rFonts w:ascii="Times New Roman" w:hAnsi="Times New Roman" w:cs="Times New Roman"/>
          <w:lang w:val="de-DE"/>
        </w:rPr>
        <w:t>..</w:t>
      </w:r>
      <w:r w:rsidRPr="00795176">
        <w:rPr>
          <w:rFonts w:ascii="Times New Roman" w:hAnsi="Times New Roman" w:cs="Times New Roman"/>
          <w:lang w:val="de-DE"/>
        </w:rPr>
        <w:t xml:space="preserve"> </w:t>
      </w:r>
      <w:r w:rsidRPr="002E6A6F">
        <w:rPr>
          <w:rFonts w:ascii="Times New Roman" w:hAnsi="Times New Roman" w:cs="Times New Roman"/>
          <w:lang w:val="en-US"/>
        </w:rPr>
        <w:t>11 („In the public sphere the image of th</w:t>
      </w:r>
      <w:r>
        <w:rPr>
          <w:rFonts w:ascii="Times New Roman" w:hAnsi="Times New Roman" w:cs="Times New Roman"/>
          <w:lang w:val="en-US"/>
        </w:rPr>
        <w:t xml:space="preserve">e judges </w:t>
      </w:r>
      <w:proofErr w:type="gramStart"/>
      <w:r>
        <w:rPr>
          <w:rFonts w:ascii="Times New Roman" w:hAnsi="Times New Roman" w:cs="Times New Roman"/>
          <w:lang w:val="en-US"/>
        </w:rPr>
        <w:t>ha</w:t>
      </w:r>
      <w:r w:rsidR="00D9568E">
        <w:rPr>
          <w:rFonts w:ascii="Times New Roman" w:hAnsi="Times New Roman" w:cs="Times New Roman"/>
          <w:lang w:val="en-US"/>
        </w:rPr>
        <w:t>v</w:t>
      </w:r>
      <w:r>
        <w:rPr>
          <w:rFonts w:ascii="Times New Roman" w:hAnsi="Times New Roman" w:cs="Times New Roman"/>
          <w:lang w:val="en-US"/>
        </w:rPr>
        <w:t>e</w:t>
      </w:r>
      <w:proofErr w:type="gramEnd"/>
      <w:r>
        <w:rPr>
          <w:rFonts w:ascii="Times New Roman" w:hAnsi="Times New Roman" w:cs="Times New Roman"/>
          <w:lang w:val="en-US"/>
        </w:rPr>
        <w:t xml:space="preserve"> been engraved with the velvet robes with the white laces. The judges wear the robes during oral procedures and the pronouncement of judgments. </w:t>
      </w:r>
      <w:r w:rsidRPr="002E6A6F">
        <w:rPr>
          <w:rFonts w:ascii="Times New Roman" w:hAnsi="Times New Roman" w:cs="Times New Roman"/>
          <w:lang w:val="en-US"/>
        </w:rPr>
        <w:t>They were based on the traditional judicial habit of t</w:t>
      </w:r>
      <w:r>
        <w:rPr>
          <w:rFonts w:ascii="Times New Roman" w:hAnsi="Times New Roman" w:cs="Times New Roman"/>
          <w:lang w:val="en-US"/>
        </w:rPr>
        <w:t>he City of Florence in the 15</w:t>
      </w:r>
      <w:r w:rsidRPr="002E6A6F">
        <w:rPr>
          <w:rFonts w:ascii="Times New Roman" w:hAnsi="Times New Roman" w:cs="Times New Roman"/>
          <w:vertAlign w:val="superscript"/>
          <w:lang w:val="en-US"/>
        </w:rPr>
        <w:t>th</w:t>
      </w:r>
      <w:r>
        <w:rPr>
          <w:rFonts w:ascii="Times New Roman" w:hAnsi="Times New Roman" w:cs="Times New Roman"/>
          <w:lang w:val="en-US"/>
        </w:rPr>
        <w:t xml:space="preserve"> century.”)</w:t>
      </w:r>
    </w:p>
  </w:footnote>
  <w:footnote w:id="118">
    <w:p w14:paraId="36D83D19" w14:textId="77777777" w:rsidR="00B8175F" w:rsidRPr="003A24D7" w:rsidRDefault="00B8175F" w:rsidP="00B8175F">
      <w:pPr>
        <w:pStyle w:val="FootnoteText"/>
        <w:jc w:val="both"/>
        <w:rPr>
          <w:rFonts w:ascii="Times New Roman" w:hAnsi="Times New Roman" w:cs="Times New Roman"/>
          <w:lang w:val="en-US"/>
        </w:rPr>
      </w:pPr>
      <w:r w:rsidRPr="00B76ECC">
        <w:rPr>
          <w:rStyle w:val="FootnoteReference"/>
          <w:rFonts w:ascii="Times New Roman" w:hAnsi="Times New Roman" w:cs="Times New Roman"/>
        </w:rPr>
        <w:footnoteRef/>
      </w:r>
      <w:r w:rsidRPr="00B76ECC">
        <w:rPr>
          <w:rFonts w:ascii="Times New Roman" w:hAnsi="Times New Roman" w:cs="Times New Roman"/>
          <w:lang w:val="de-DE"/>
        </w:rPr>
        <w:t xml:space="preserve"> On the Schöffen, see Adolf Stölzel, </w:t>
      </w:r>
      <w:r w:rsidRPr="00B76ECC">
        <w:rPr>
          <w:rFonts w:ascii="Times New Roman" w:hAnsi="Times New Roman" w:cs="Times New Roman"/>
          <w:i/>
          <w:iCs/>
          <w:lang w:val="de-DE"/>
        </w:rPr>
        <w:t>Die Entwicklung der gelehrten Rechtsprechung</w:t>
      </w:r>
      <w:r w:rsidRPr="00B76ECC">
        <w:rPr>
          <w:rFonts w:ascii="Times New Roman" w:hAnsi="Times New Roman" w:cs="Times New Roman"/>
          <w:lang w:val="de-DE"/>
        </w:rPr>
        <w:t xml:space="preserve"> (Berlin: Franz Vahlen, 1901). </w:t>
      </w:r>
      <w:r w:rsidRPr="003A24D7">
        <w:rPr>
          <w:rFonts w:ascii="Times New Roman" w:hAnsi="Times New Roman" w:cs="Times New Roman"/>
          <w:lang w:val="en-US"/>
        </w:rPr>
        <w:t xml:space="preserve">See also Dawson, </w:t>
      </w:r>
      <w:r w:rsidRPr="003A24D7">
        <w:rPr>
          <w:rFonts w:ascii="Times New Roman" w:hAnsi="Times New Roman" w:cs="Times New Roman"/>
          <w:i/>
          <w:iCs/>
          <w:lang w:val="en-US"/>
        </w:rPr>
        <w:t>Oracles of the Law</w:t>
      </w:r>
      <w:r w:rsidRPr="003A24D7">
        <w:rPr>
          <w:rFonts w:ascii="Times New Roman" w:hAnsi="Times New Roman" w:cs="Times New Roman"/>
          <w:lang w:val="en-US"/>
        </w:rPr>
        <w:t xml:space="preserve"> (Ann Arbor: The University of Michigan Press,</w:t>
      </w:r>
      <w:r>
        <w:rPr>
          <w:rFonts w:ascii="Times New Roman" w:hAnsi="Times New Roman" w:cs="Times New Roman"/>
          <w:lang w:val="en-US"/>
        </w:rPr>
        <w:t xml:space="preserve"> 1968)</w:t>
      </w:r>
      <w:r w:rsidRPr="003A24D7">
        <w:rPr>
          <w:rFonts w:ascii="Times New Roman" w:hAnsi="Times New Roman" w:cs="Times New Roman"/>
          <w:lang w:val="en-US"/>
        </w:rPr>
        <w:t xml:space="preserve">; and Helmut </w:t>
      </w:r>
      <w:proofErr w:type="spellStart"/>
      <w:r w:rsidRPr="003A24D7">
        <w:rPr>
          <w:rFonts w:ascii="Times New Roman" w:hAnsi="Times New Roman" w:cs="Times New Roman"/>
          <w:lang w:val="en-US"/>
        </w:rPr>
        <w:t>Coing</w:t>
      </w:r>
      <w:proofErr w:type="spellEnd"/>
      <w:r w:rsidRPr="003A24D7">
        <w:rPr>
          <w:rFonts w:ascii="Times New Roman" w:hAnsi="Times New Roman" w:cs="Times New Roman"/>
          <w:lang w:val="en-US"/>
        </w:rPr>
        <w:t xml:space="preserve">, </w:t>
      </w:r>
      <w:r w:rsidRPr="003A24D7">
        <w:rPr>
          <w:rFonts w:ascii="Times New Roman" w:hAnsi="Times New Roman" w:cs="Times New Roman"/>
          <w:i/>
          <w:iCs/>
          <w:lang w:val="en-US"/>
        </w:rPr>
        <w:t xml:space="preserve">Die </w:t>
      </w:r>
      <w:proofErr w:type="spellStart"/>
      <w:r w:rsidRPr="003A24D7">
        <w:rPr>
          <w:rFonts w:ascii="Times New Roman" w:hAnsi="Times New Roman" w:cs="Times New Roman"/>
          <w:i/>
          <w:iCs/>
          <w:lang w:val="en-US"/>
        </w:rPr>
        <w:t>Rezeption</w:t>
      </w:r>
      <w:proofErr w:type="spellEnd"/>
      <w:r w:rsidRPr="003A24D7">
        <w:rPr>
          <w:rFonts w:ascii="Times New Roman" w:hAnsi="Times New Roman" w:cs="Times New Roman"/>
          <w:i/>
          <w:iCs/>
          <w:lang w:val="en-US"/>
        </w:rPr>
        <w:t xml:space="preserve"> des </w:t>
      </w:r>
      <w:proofErr w:type="spellStart"/>
      <w:r w:rsidRPr="003A24D7">
        <w:rPr>
          <w:rFonts w:ascii="Times New Roman" w:hAnsi="Times New Roman" w:cs="Times New Roman"/>
          <w:i/>
          <w:iCs/>
          <w:lang w:val="en-US"/>
        </w:rPr>
        <w:t>Römischen</w:t>
      </w:r>
      <w:proofErr w:type="spellEnd"/>
      <w:r w:rsidRPr="003A24D7">
        <w:rPr>
          <w:rFonts w:ascii="Times New Roman" w:hAnsi="Times New Roman" w:cs="Times New Roman"/>
          <w:i/>
          <w:iCs/>
          <w:lang w:val="en-US"/>
        </w:rPr>
        <w:t xml:space="preserve"> </w:t>
      </w:r>
      <w:proofErr w:type="spellStart"/>
      <w:r w:rsidRPr="003A24D7">
        <w:rPr>
          <w:rFonts w:ascii="Times New Roman" w:hAnsi="Times New Roman" w:cs="Times New Roman"/>
          <w:i/>
          <w:iCs/>
          <w:lang w:val="en-US"/>
        </w:rPr>
        <w:t>Rechts</w:t>
      </w:r>
      <w:proofErr w:type="spellEnd"/>
      <w:r w:rsidRPr="003A24D7">
        <w:rPr>
          <w:rFonts w:ascii="Times New Roman" w:hAnsi="Times New Roman" w:cs="Times New Roman"/>
          <w:i/>
          <w:iCs/>
          <w:lang w:val="en-US"/>
        </w:rPr>
        <w:t xml:space="preserve"> in Frankfurt am Main</w:t>
      </w:r>
      <w:r w:rsidRPr="003A24D7">
        <w:rPr>
          <w:rFonts w:ascii="Times New Roman" w:hAnsi="Times New Roman" w:cs="Times New Roman"/>
          <w:lang w:val="en-US"/>
        </w:rPr>
        <w:t xml:space="preserve"> (Frankfurt a. M.: Vittorio </w:t>
      </w:r>
      <w:proofErr w:type="spellStart"/>
      <w:r w:rsidRPr="003A24D7">
        <w:rPr>
          <w:rFonts w:ascii="Times New Roman" w:hAnsi="Times New Roman" w:cs="Times New Roman"/>
          <w:lang w:val="en-US"/>
        </w:rPr>
        <w:t>Klostermann</w:t>
      </w:r>
      <w:proofErr w:type="spellEnd"/>
      <w:r w:rsidRPr="003A24D7">
        <w:rPr>
          <w:rFonts w:ascii="Times New Roman" w:hAnsi="Times New Roman" w:cs="Times New Roman"/>
          <w:lang w:val="en-US"/>
        </w:rPr>
        <w:t>, 1962).</w:t>
      </w:r>
    </w:p>
  </w:footnote>
  <w:footnote w:id="119">
    <w:p w14:paraId="20ACB39D" w14:textId="77777777" w:rsidR="00B8175F" w:rsidRPr="00F86AE0" w:rsidRDefault="00B8175F" w:rsidP="00B8175F">
      <w:pPr>
        <w:pStyle w:val="FootnoteText"/>
        <w:jc w:val="both"/>
        <w:rPr>
          <w:rFonts w:ascii="Times New Roman" w:hAnsi="Times New Roman" w:cs="Times New Roman"/>
          <w:lang w:val="de-DE"/>
        </w:rPr>
      </w:pPr>
      <w:r>
        <w:rPr>
          <w:rStyle w:val="FootnoteReference"/>
        </w:rPr>
        <w:footnoteRef/>
      </w:r>
      <w:r w:rsidRPr="00F86AE0">
        <w:rPr>
          <w:lang w:val="en-US"/>
        </w:rPr>
        <w:t xml:space="preserve"> </w:t>
      </w:r>
      <w:r w:rsidRPr="00B76ECC">
        <w:rPr>
          <w:rFonts w:ascii="Times New Roman" w:hAnsi="Times New Roman" w:cs="Times New Roman"/>
          <w:lang w:val="en-US"/>
        </w:rPr>
        <w:t>On the lack of special garment for</w:t>
      </w:r>
      <w:r>
        <w:rPr>
          <w:rFonts w:ascii="Times New Roman" w:hAnsi="Times New Roman" w:cs="Times New Roman"/>
          <w:lang w:val="en-US"/>
        </w:rPr>
        <w:t xml:space="preserve"> either </w:t>
      </w:r>
      <w:proofErr w:type="spellStart"/>
      <w:r>
        <w:rPr>
          <w:rFonts w:ascii="Times New Roman" w:hAnsi="Times New Roman" w:cs="Times New Roman"/>
          <w:lang w:val="en-US"/>
        </w:rPr>
        <w:t>Schöffen</w:t>
      </w:r>
      <w:proofErr w:type="spellEnd"/>
      <w:r>
        <w:rPr>
          <w:rFonts w:ascii="Times New Roman" w:hAnsi="Times New Roman" w:cs="Times New Roman"/>
          <w:lang w:val="en-US"/>
        </w:rPr>
        <w:t xml:space="preserve"> or</w:t>
      </w:r>
      <w:r w:rsidRPr="00B76ECC">
        <w:rPr>
          <w:rFonts w:ascii="Times New Roman" w:hAnsi="Times New Roman" w:cs="Times New Roman"/>
          <w:lang w:val="en-US"/>
        </w:rPr>
        <w:t xml:space="preserve"> German city judges during the Middle Ages, see Franz-Josef </w:t>
      </w:r>
      <w:proofErr w:type="spellStart"/>
      <w:r w:rsidRPr="00B76ECC">
        <w:rPr>
          <w:rFonts w:ascii="Times New Roman" w:hAnsi="Times New Roman" w:cs="Times New Roman"/>
          <w:lang w:val="en-US"/>
        </w:rPr>
        <w:t>Arlinghaus</w:t>
      </w:r>
      <w:proofErr w:type="spellEnd"/>
      <w:r w:rsidRPr="00B76ECC">
        <w:rPr>
          <w:rFonts w:ascii="Times New Roman" w:hAnsi="Times New Roman" w:cs="Times New Roman"/>
          <w:lang w:val="en-US"/>
        </w:rPr>
        <w:t xml:space="preserve">, </w:t>
      </w:r>
      <w:proofErr w:type="spellStart"/>
      <w:r w:rsidRPr="00B76ECC">
        <w:rPr>
          <w:rFonts w:ascii="Times New Roman" w:hAnsi="Times New Roman" w:cs="Times New Roman"/>
          <w:lang w:val="en-US"/>
        </w:rPr>
        <w:t>Mittelalterliche</w:t>
      </w:r>
      <w:proofErr w:type="spellEnd"/>
      <w:r w:rsidRPr="00B76ECC">
        <w:rPr>
          <w:rFonts w:ascii="Times New Roman" w:hAnsi="Times New Roman" w:cs="Times New Roman"/>
          <w:lang w:val="en-US"/>
        </w:rPr>
        <w:t xml:space="preserve"> </w:t>
      </w:r>
      <w:proofErr w:type="spellStart"/>
      <w:r w:rsidRPr="00B76ECC">
        <w:rPr>
          <w:rFonts w:ascii="Times New Roman" w:hAnsi="Times New Roman" w:cs="Times New Roman"/>
          <w:lang w:val="en-US"/>
        </w:rPr>
        <w:t>Rituale</w:t>
      </w:r>
      <w:proofErr w:type="spellEnd"/>
      <w:r w:rsidRPr="00B76ECC">
        <w:rPr>
          <w:rFonts w:ascii="Times New Roman" w:hAnsi="Times New Roman" w:cs="Times New Roman"/>
          <w:lang w:val="en-US"/>
        </w:rPr>
        <w:t xml:space="preserve"> in </w:t>
      </w:r>
      <w:proofErr w:type="spellStart"/>
      <w:r w:rsidRPr="00B76ECC">
        <w:rPr>
          <w:rFonts w:ascii="Times New Roman" w:hAnsi="Times New Roman" w:cs="Times New Roman"/>
          <w:lang w:val="en-US"/>
        </w:rPr>
        <w:t>systemtheoretischer</w:t>
      </w:r>
      <w:proofErr w:type="spellEnd"/>
      <w:r w:rsidRPr="00B76ECC">
        <w:rPr>
          <w:rFonts w:ascii="Times New Roman" w:hAnsi="Times New Roman" w:cs="Times New Roman"/>
          <w:lang w:val="en-US"/>
        </w:rPr>
        <w:t xml:space="preserve"> </w:t>
      </w:r>
      <w:proofErr w:type="spellStart"/>
      <w:r w:rsidRPr="00B76ECC">
        <w:rPr>
          <w:rFonts w:ascii="Times New Roman" w:hAnsi="Times New Roman" w:cs="Times New Roman"/>
          <w:lang w:val="en-US"/>
        </w:rPr>
        <w:t>Perspektive</w:t>
      </w:r>
      <w:proofErr w:type="spellEnd"/>
      <w:r w:rsidRPr="00B76ECC">
        <w:rPr>
          <w:rFonts w:ascii="Times New Roman" w:hAnsi="Times New Roman" w:cs="Times New Roman"/>
          <w:lang w:val="en-US"/>
        </w:rPr>
        <w:t xml:space="preserve">. </w:t>
      </w:r>
      <w:r w:rsidRPr="00B76ECC">
        <w:rPr>
          <w:rFonts w:ascii="Times New Roman" w:hAnsi="Times New Roman" w:cs="Times New Roman"/>
          <w:lang w:val="de-DE"/>
        </w:rPr>
        <w:t xml:space="preserve">Übergangsriten als basale Kommunikationsform in einer stratifikatorisch-segmentären Gesellschaft in </w:t>
      </w:r>
      <w:r w:rsidRPr="00B76ECC">
        <w:rPr>
          <w:rFonts w:ascii="Times New Roman" w:hAnsi="Times New Roman" w:cs="Times New Roman"/>
          <w:i/>
          <w:iCs/>
          <w:lang w:val="de-DE"/>
        </w:rPr>
        <w:t>Geschichte und Systemtheorie: Exemplarische Fallstudien</w:t>
      </w:r>
      <w:r w:rsidRPr="00B76ECC">
        <w:rPr>
          <w:rFonts w:ascii="Times New Roman" w:hAnsi="Times New Roman" w:cs="Times New Roman"/>
          <w:lang w:val="de-DE"/>
        </w:rPr>
        <w:t>, ed. by Frank Becker, (Frankfurt/New York: Campus Verlag, 2001).</w:t>
      </w:r>
    </w:p>
  </w:footnote>
  <w:footnote w:id="120">
    <w:p w14:paraId="1C73451C" w14:textId="77777777" w:rsidR="00B8175F" w:rsidRPr="00084BF6" w:rsidRDefault="00B8175F" w:rsidP="00B8175F">
      <w:pPr>
        <w:pStyle w:val="FootnoteText"/>
        <w:jc w:val="both"/>
        <w:rPr>
          <w:rFonts w:ascii="Times New Roman" w:hAnsi="Times New Roman" w:cs="Times New Roman"/>
          <w:lang w:val="en-US"/>
        </w:rPr>
      </w:pPr>
      <w:r w:rsidRPr="00B76ECC">
        <w:rPr>
          <w:rStyle w:val="FootnoteReference"/>
          <w:rFonts w:ascii="Times New Roman" w:hAnsi="Times New Roman" w:cs="Times New Roman"/>
        </w:rPr>
        <w:footnoteRef/>
      </w:r>
      <w:r w:rsidRPr="00B76ECC">
        <w:rPr>
          <w:rFonts w:ascii="Times New Roman" w:hAnsi="Times New Roman" w:cs="Times New Roman"/>
          <w:lang w:val="de-DE"/>
        </w:rPr>
        <w:t xml:space="preserve"> Gerhard Leibholz, </w:t>
      </w:r>
      <w:r w:rsidRPr="00084BF6">
        <w:rPr>
          <w:rFonts w:ascii="Times New Roman" w:hAnsi="Times New Roman" w:cs="Times New Roman"/>
          <w:i/>
          <w:iCs/>
          <w:lang w:val="de-DE"/>
        </w:rPr>
        <w:t>Die Repräsentation in der Demokratie</w:t>
      </w:r>
      <w:r w:rsidRPr="00B76ECC">
        <w:rPr>
          <w:rFonts w:ascii="Times New Roman" w:hAnsi="Times New Roman" w:cs="Times New Roman"/>
          <w:lang w:val="de-DE"/>
        </w:rPr>
        <w:t>, (Berlin/New York: De Gruyter, 1973) 39, note 1.</w:t>
      </w:r>
      <w:r>
        <w:rPr>
          <w:rFonts w:ascii="Times New Roman" w:hAnsi="Times New Roman" w:cs="Times New Roman"/>
          <w:lang w:val="de-DE"/>
        </w:rPr>
        <w:t xml:space="preserve"> </w:t>
      </w:r>
      <w:r w:rsidRPr="00B76ECC">
        <w:rPr>
          <w:rFonts w:ascii="Times New Roman" w:hAnsi="Times New Roman" w:cs="Times New Roman"/>
          <w:lang w:val="de-DE"/>
        </w:rPr>
        <w:t xml:space="preserve">On the deliberations preceding </w:t>
      </w:r>
      <w:r>
        <w:rPr>
          <w:rFonts w:ascii="Times New Roman" w:hAnsi="Times New Roman" w:cs="Times New Roman"/>
          <w:lang w:val="de-DE"/>
        </w:rPr>
        <w:t>the</w:t>
      </w:r>
      <w:r w:rsidRPr="00B76ECC">
        <w:rPr>
          <w:rFonts w:ascii="Times New Roman" w:hAnsi="Times New Roman" w:cs="Times New Roman"/>
          <w:lang w:val="de-DE"/>
        </w:rPr>
        <w:t xml:space="preserve"> adoption</w:t>
      </w:r>
      <w:r>
        <w:rPr>
          <w:rFonts w:ascii="Times New Roman" w:hAnsi="Times New Roman" w:cs="Times New Roman"/>
          <w:lang w:val="de-DE"/>
        </w:rPr>
        <w:t xml:space="preserve"> of the velvet robes</w:t>
      </w:r>
      <w:r w:rsidRPr="00B76ECC">
        <w:rPr>
          <w:rFonts w:ascii="Times New Roman" w:hAnsi="Times New Roman" w:cs="Times New Roman"/>
          <w:lang w:val="de-DE"/>
        </w:rPr>
        <w:t xml:space="preserve">, see Sebastian Felz: Die Historizität der Autorität oder: Des Verfassungsrichters neue Robe, 2010 </w:t>
      </w:r>
      <w:r w:rsidRPr="00F86AE0">
        <w:rPr>
          <w:rFonts w:ascii="Times New Roman" w:hAnsi="Times New Roman" w:cs="Times New Roman"/>
          <w:i/>
          <w:iCs/>
          <w:lang w:val="de-DE"/>
        </w:rPr>
        <w:t xml:space="preserve">Jarhbuch </w:t>
      </w:r>
      <w:r>
        <w:rPr>
          <w:rFonts w:ascii="Times New Roman" w:hAnsi="Times New Roman" w:cs="Times New Roman"/>
          <w:i/>
          <w:iCs/>
          <w:lang w:val="de-DE"/>
        </w:rPr>
        <w:t>j</w:t>
      </w:r>
      <w:r w:rsidRPr="00F86AE0">
        <w:rPr>
          <w:rFonts w:ascii="Times New Roman" w:hAnsi="Times New Roman" w:cs="Times New Roman"/>
          <w:i/>
          <w:iCs/>
          <w:lang w:val="de-DE"/>
        </w:rPr>
        <w:t>unge Rechtsgeschichte</w:t>
      </w:r>
      <w:r w:rsidRPr="00B76ECC">
        <w:rPr>
          <w:rFonts w:ascii="Times New Roman" w:hAnsi="Times New Roman" w:cs="Times New Roman"/>
          <w:lang w:val="de-DE"/>
        </w:rPr>
        <w:t xml:space="preserve"> (2011) 109-117; Felix Lange, Der Dehler-Faktor – Die wiederwillige Akzeptanz des Bundesverfassungsgerichts durch die Staatsrechtslehre, 56 </w:t>
      </w:r>
      <w:r w:rsidRPr="00F86AE0">
        <w:rPr>
          <w:rFonts w:ascii="Times New Roman" w:hAnsi="Times New Roman" w:cs="Times New Roman"/>
          <w:i/>
          <w:iCs/>
          <w:lang w:val="de-DE"/>
        </w:rPr>
        <w:t>Der Staat</w:t>
      </w:r>
      <w:r w:rsidRPr="00B76ECC">
        <w:rPr>
          <w:rFonts w:ascii="Times New Roman" w:hAnsi="Times New Roman" w:cs="Times New Roman"/>
          <w:lang w:val="de-DE"/>
        </w:rPr>
        <w:t xml:space="preserve"> 1 (2017) 77-105.</w:t>
      </w:r>
      <w:r>
        <w:rPr>
          <w:rFonts w:ascii="Times New Roman" w:hAnsi="Times New Roman" w:cs="Times New Roman"/>
          <w:lang w:val="de-DE"/>
        </w:rPr>
        <w:t xml:space="preserve"> </w:t>
      </w:r>
      <w:r w:rsidRPr="00084BF6">
        <w:rPr>
          <w:rFonts w:ascii="Times New Roman" w:hAnsi="Times New Roman" w:cs="Times New Roman"/>
          <w:lang w:val="en-US"/>
        </w:rPr>
        <w:t xml:space="preserve">Christoph </w:t>
      </w:r>
      <w:proofErr w:type="spellStart"/>
      <w:r w:rsidRPr="00084BF6">
        <w:rPr>
          <w:rFonts w:ascii="Times New Roman" w:hAnsi="Times New Roman" w:cs="Times New Roman"/>
          <w:lang w:val="en-US"/>
        </w:rPr>
        <w:t>Schönberger</w:t>
      </w:r>
      <w:proofErr w:type="spellEnd"/>
      <w:r w:rsidRPr="00084BF6">
        <w:rPr>
          <w:rFonts w:ascii="Times New Roman" w:hAnsi="Times New Roman" w:cs="Times New Roman"/>
          <w:lang w:val="en-US"/>
        </w:rPr>
        <w:t xml:space="preserve"> </w:t>
      </w:r>
      <w:proofErr w:type="spellStart"/>
      <w:r w:rsidRPr="00084BF6">
        <w:rPr>
          <w:rFonts w:ascii="Times New Roman" w:hAnsi="Times New Roman" w:cs="Times New Roman"/>
          <w:lang w:val="en-US"/>
        </w:rPr>
        <w:t>undescores</w:t>
      </w:r>
      <w:proofErr w:type="spellEnd"/>
      <w:r w:rsidRPr="00084BF6">
        <w:rPr>
          <w:rFonts w:ascii="Times New Roman" w:hAnsi="Times New Roman" w:cs="Times New Roman"/>
          <w:lang w:val="en-US"/>
        </w:rPr>
        <w:t xml:space="preserve"> how its adoption was a deliberate s</w:t>
      </w:r>
      <w:r>
        <w:rPr>
          <w:rFonts w:ascii="Times New Roman" w:hAnsi="Times New Roman" w:cs="Times New Roman"/>
          <w:lang w:val="en-US"/>
        </w:rPr>
        <w:t xml:space="preserve">trategy to translate in terms of the Court’s medial constellation what they were pushing for structurally, by the way of articulating its semantic apparatus, and, ultimately, how the Court related to politics, see </w:t>
      </w:r>
      <w:proofErr w:type="spellStart"/>
      <w:r>
        <w:rPr>
          <w:rFonts w:ascii="Times New Roman" w:hAnsi="Times New Roman" w:cs="Times New Roman"/>
          <w:lang w:val="en-US"/>
        </w:rPr>
        <w:t>Anmerkungen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zu</w:t>
      </w:r>
      <w:proofErr w:type="spellEnd"/>
      <w:r>
        <w:rPr>
          <w:rFonts w:ascii="Times New Roman" w:hAnsi="Times New Roman" w:cs="Times New Roman"/>
          <w:lang w:val="en-US"/>
        </w:rPr>
        <w:t xml:space="preserve"> Karlsruhe in </w:t>
      </w:r>
      <w:r w:rsidRPr="00084BF6">
        <w:rPr>
          <w:rFonts w:ascii="Times New Roman" w:hAnsi="Times New Roman" w:cs="Times New Roman"/>
          <w:i/>
          <w:iCs/>
          <w:lang w:val="en-US"/>
        </w:rPr>
        <w:t xml:space="preserve">Das </w:t>
      </w:r>
      <w:proofErr w:type="spellStart"/>
      <w:r w:rsidRPr="00084BF6">
        <w:rPr>
          <w:rFonts w:ascii="Times New Roman" w:hAnsi="Times New Roman" w:cs="Times New Roman"/>
          <w:i/>
          <w:iCs/>
          <w:lang w:val="en-US"/>
        </w:rPr>
        <w:t>entgrenzte</w:t>
      </w:r>
      <w:proofErr w:type="spellEnd"/>
      <w:r w:rsidRPr="00084BF6">
        <w:rPr>
          <w:rFonts w:ascii="Times New Roman" w:hAnsi="Times New Roman" w:cs="Times New Roman"/>
          <w:i/>
          <w:iCs/>
          <w:lang w:val="en-US"/>
        </w:rPr>
        <w:t xml:space="preserve"> </w:t>
      </w:r>
      <w:proofErr w:type="spellStart"/>
      <w:r w:rsidRPr="00084BF6">
        <w:rPr>
          <w:rFonts w:ascii="Times New Roman" w:hAnsi="Times New Roman" w:cs="Times New Roman"/>
          <w:i/>
          <w:iCs/>
          <w:lang w:val="en-US"/>
        </w:rPr>
        <w:t>Gericht</w:t>
      </w:r>
      <w:proofErr w:type="spellEnd"/>
      <w:r>
        <w:rPr>
          <w:rFonts w:ascii="Times New Roman" w:hAnsi="Times New Roman" w:cs="Times New Roman"/>
          <w:lang w:val="en-US"/>
        </w:rPr>
        <w:t>… I discuss the documents constituting and registering the debates over the velvet robes on part two.</w:t>
      </w:r>
    </w:p>
  </w:footnote>
  <w:footnote w:id="121">
    <w:p w14:paraId="0F40EA1C" w14:textId="77777777" w:rsidR="001C3247" w:rsidRPr="00B76ECC" w:rsidRDefault="001C3247" w:rsidP="00560FB8">
      <w:pPr>
        <w:pStyle w:val="FootnoteText"/>
        <w:jc w:val="both"/>
        <w:rPr>
          <w:rFonts w:ascii="Times New Roman" w:hAnsi="Times New Roman" w:cs="Times New Roman"/>
          <w:lang w:val="en-US"/>
        </w:rPr>
      </w:pPr>
      <w:r w:rsidRPr="00B76ECC">
        <w:rPr>
          <w:rStyle w:val="FootnoteReference"/>
          <w:rFonts w:ascii="Times New Roman" w:hAnsi="Times New Roman" w:cs="Times New Roman"/>
        </w:rPr>
        <w:footnoteRef/>
      </w:r>
      <w:r w:rsidRPr="00B76ECC">
        <w:rPr>
          <w:rFonts w:ascii="Times New Roman" w:hAnsi="Times New Roman" w:cs="Times New Roman"/>
          <w:lang w:val="en-US"/>
        </w:rPr>
        <w:t xml:space="preserve"> Catherine Drinker Bowen, </w:t>
      </w:r>
      <w:r w:rsidRPr="00B76ECC">
        <w:rPr>
          <w:rFonts w:ascii="Times New Roman" w:hAnsi="Times New Roman" w:cs="Times New Roman"/>
          <w:i/>
          <w:iCs/>
          <w:lang w:val="en-US"/>
        </w:rPr>
        <w:t>Miracle at Philadelphia: The Story of the Constitutional Convention</w:t>
      </w:r>
      <w:r w:rsidRPr="00B76ECC">
        <w:rPr>
          <w:rFonts w:ascii="Times New Roman" w:hAnsi="Times New Roman" w:cs="Times New Roman"/>
          <w:lang w:val="en-US"/>
        </w:rPr>
        <w:t xml:space="preserve"> (New York: Little Brown &amp; Co., 1966).</w:t>
      </w:r>
    </w:p>
  </w:footnote>
  <w:footnote w:id="122">
    <w:p w14:paraId="4861E939" w14:textId="77777777" w:rsidR="001C3247" w:rsidRPr="00B76ECC" w:rsidRDefault="001C3247" w:rsidP="00560FB8">
      <w:pPr>
        <w:pStyle w:val="FootnoteText"/>
        <w:jc w:val="both"/>
        <w:rPr>
          <w:rFonts w:ascii="Times New Roman" w:hAnsi="Times New Roman" w:cs="Times New Roman"/>
          <w:lang w:val="de-DE"/>
        </w:rPr>
      </w:pPr>
      <w:r w:rsidRPr="00B76ECC">
        <w:rPr>
          <w:rStyle w:val="FootnoteReference"/>
          <w:rFonts w:ascii="Times New Roman" w:hAnsi="Times New Roman" w:cs="Times New Roman"/>
        </w:rPr>
        <w:footnoteRef/>
      </w:r>
      <w:r w:rsidRPr="00B76ECC">
        <w:rPr>
          <w:rFonts w:ascii="Times New Roman" w:hAnsi="Times New Roman" w:cs="Times New Roman"/>
          <w:lang w:val="en-US"/>
        </w:rPr>
        <w:t xml:space="preserve"> This construction was of the greatest importance for the series of decisions of the </w:t>
      </w:r>
      <w:proofErr w:type="spellStart"/>
      <w:r w:rsidRPr="00B76ECC">
        <w:rPr>
          <w:rFonts w:ascii="Times New Roman" w:hAnsi="Times New Roman" w:cs="Times New Roman"/>
          <w:i/>
          <w:iCs/>
          <w:lang w:val="en-US"/>
        </w:rPr>
        <w:t>Bundesverfassungsgericht</w:t>
      </w:r>
      <w:proofErr w:type="spellEnd"/>
      <w:r w:rsidRPr="00B76ECC">
        <w:rPr>
          <w:rFonts w:ascii="Times New Roman" w:hAnsi="Times New Roman" w:cs="Times New Roman"/>
          <w:lang w:val="en-US"/>
        </w:rPr>
        <w:t xml:space="preserve"> on the treaties of the European Union, beginning with the Maastricht-</w:t>
      </w:r>
      <w:proofErr w:type="spellStart"/>
      <w:r w:rsidRPr="00B76ECC">
        <w:rPr>
          <w:rFonts w:ascii="Times New Roman" w:hAnsi="Times New Roman" w:cs="Times New Roman"/>
          <w:lang w:val="en-US"/>
        </w:rPr>
        <w:t>Urteil</w:t>
      </w:r>
      <w:proofErr w:type="spellEnd"/>
      <w:r w:rsidRPr="00B76ECC">
        <w:rPr>
          <w:rFonts w:ascii="Times New Roman" w:hAnsi="Times New Roman" w:cs="Times New Roman"/>
          <w:lang w:val="en-US"/>
        </w:rPr>
        <w:t xml:space="preserve"> (</w:t>
      </w:r>
      <w:proofErr w:type="spellStart"/>
      <w:r w:rsidRPr="00B76ECC">
        <w:rPr>
          <w:rFonts w:ascii="Times New Roman" w:hAnsi="Times New Roman" w:cs="Times New Roman"/>
          <w:lang w:val="en-US"/>
        </w:rPr>
        <w:t>BVerfGE</w:t>
      </w:r>
      <w:proofErr w:type="spellEnd"/>
      <w:r w:rsidRPr="00B76ECC">
        <w:rPr>
          <w:rFonts w:ascii="Times New Roman" w:hAnsi="Times New Roman" w:cs="Times New Roman"/>
          <w:lang w:val="en-US"/>
        </w:rPr>
        <w:t xml:space="preserve"> 89, 155). For a discussion and critique of the underlying rationale of this judgment, see J. H. H. </w:t>
      </w:r>
      <w:proofErr w:type="spellStart"/>
      <w:r w:rsidRPr="00B76ECC">
        <w:rPr>
          <w:rFonts w:ascii="Times New Roman" w:hAnsi="Times New Roman" w:cs="Times New Roman"/>
          <w:lang w:val="en-US"/>
        </w:rPr>
        <w:t>Weiler</w:t>
      </w:r>
      <w:proofErr w:type="spellEnd"/>
      <w:r w:rsidRPr="00B76ECC">
        <w:rPr>
          <w:rFonts w:ascii="Times New Roman" w:hAnsi="Times New Roman" w:cs="Times New Roman"/>
          <w:lang w:val="en-US"/>
        </w:rPr>
        <w:t>, The State “</w:t>
      </w:r>
      <w:proofErr w:type="spellStart"/>
      <w:r w:rsidRPr="00B76ECC">
        <w:rPr>
          <w:rFonts w:ascii="Times New Roman" w:hAnsi="Times New Roman" w:cs="Times New Roman"/>
          <w:lang w:val="en-US"/>
        </w:rPr>
        <w:t>über</w:t>
      </w:r>
      <w:proofErr w:type="spellEnd"/>
      <w:r w:rsidRPr="00B76ECC">
        <w:rPr>
          <w:rFonts w:ascii="Times New Roman" w:hAnsi="Times New Roman" w:cs="Times New Roman"/>
          <w:lang w:val="en-US"/>
        </w:rPr>
        <w:t xml:space="preserve"> </w:t>
      </w:r>
      <w:proofErr w:type="spellStart"/>
      <w:r w:rsidRPr="00B76ECC">
        <w:rPr>
          <w:rFonts w:ascii="Times New Roman" w:hAnsi="Times New Roman" w:cs="Times New Roman"/>
          <w:lang w:val="en-US"/>
        </w:rPr>
        <w:t>alles</w:t>
      </w:r>
      <w:proofErr w:type="spellEnd"/>
      <w:r w:rsidRPr="00B76ECC">
        <w:rPr>
          <w:rFonts w:ascii="Times New Roman" w:hAnsi="Times New Roman" w:cs="Times New Roman"/>
          <w:lang w:val="en-US"/>
        </w:rPr>
        <w:t xml:space="preserve">”: Demos, Telos and the German Maastricht Decision (1995) available at </w:t>
      </w:r>
      <w:hyperlink r:id="rId6" w:history="1">
        <w:r w:rsidRPr="00B76ECC">
          <w:rPr>
            <w:rStyle w:val="Hyperlink"/>
            <w:rFonts w:ascii="Times New Roman" w:hAnsi="Times New Roman" w:cs="Times New Roman"/>
            <w:lang w:val="en-US"/>
          </w:rPr>
          <w:t>https://jeanmonnetprogram.org/archive/papers/95/9506ind.html</w:t>
        </w:r>
      </w:hyperlink>
      <w:r w:rsidRPr="00B76ECC">
        <w:rPr>
          <w:rFonts w:ascii="Times New Roman" w:hAnsi="Times New Roman" w:cs="Times New Roman"/>
          <w:lang w:val="en-US"/>
        </w:rPr>
        <w:t xml:space="preserve">. </w:t>
      </w:r>
      <w:r w:rsidRPr="00B76ECC">
        <w:rPr>
          <w:rFonts w:ascii="Times New Roman" w:hAnsi="Times New Roman" w:cs="Times New Roman"/>
          <w:lang w:val="de-DE"/>
        </w:rPr>
        <w:t>I thank Gwinyai Machona for this reference.</w:t>
      </w:r>
    </w:p>
  </w:footnote>
  <w:footnote w:id="123">
    <w:p w14:paraId="6F3CFA42" w14:textId="77777777" w:rsidR="001C3247" w:rsidRPr="00B76ECC" w:rsidRDefault="001C3247" w:rsidP="00560FB8">
      <w:pPr>
        <w:pStyle w:val="FootnoteText"/>
        <w:jc w:val="both"/>
        <w:rPr>
          <w:rFonts w:ascii="Times New Roman" w:hAnsi="Times New Roman" w:cs="Times New Roman"/>
          <w:lang w:val="de-DE"/>
        </w:rPr>
      </w:pPr>
      <w:r w:rsidRPr="00B76ECC">
        <w:rPr>
          <w:rStyle w:val="FootnoteReference"/>
          <w:rFonts w:ascii="Times New Roman" w:hAnsi="Times New Roman" w:cs="Times New Roman"/>
        </w:rPr>
        <w:footnoteRef/>
      </w:r>
      <w:r w:rsidRPr="00B76ECC">
        <w:rPr>
          <w:rFonts w:ascii="Times New Roman" w:hAnsi="Times New Roman" w:cs="Times New Roman"/>
          <w:lang w:val="de-DE"/>
        </w:rPr>
        <w:t xml:space="preserve"> Paul Kirchhof, Die Identität der Verfassung in ihren unabänderlichen Inhalten in Josef Isensee; Paul Kirchhof (eds.) Handbuch des Staatsrechts (Heidelberg: C. F. Müller Juristischer Verlag, 1987) 779.</w:t>
      </w:r>
    </w:p>
  </w:footnote>
  <w:footnote w:id="124">
    <w:p w14:paraId="1159ABEB" w14:textId="77777777" w:rsidR="001C3247" w:rsidRPr="00B76ECC" w:rsidRDefault="001C3247" w:rsidP="00560FB8">
      <w:pPr>
        <w:pStyle w:val="FootnoteText"/>
        <w:jc w:val="both"/>
        <w:rPr>
          <w:rFonts w:ascii="Times New Roman" w:hAnsi="Times New Roman" w:cs="Times New Roman"/>
          <w:lang w:val="de-DE"/>
        </w:rPr>
      </w:pPr>
      <w:r w:rsidRPr="00B76ECC">
        <w:rPr>
          <w:rStyle w:val="FootnoteReference"/>
          <w:rFonts w:ascii="Times New Roman" w:hAnsi="Times New Roman" w:cs="Times New Roman"/>
        </w:rPr>
        <w:footnoteRef/>
      </w:r>
      <w:r w:rsidRPr="00B76ECC">
        <w:rPr>
          <w:rFonts w:ascii="Times New Roman" w:hAnsi="Times New Roman" w:cs="Times New Roman"/>
          <w:lang w:val="de-DE"/>
        </w:rPr>
        <w:t xml:space="preserve"> Rudolf Smend, Das Bundesverfassungsgericht in </w:t>
      </w:r>
      <w:r w:rsidRPr="00A73557">
        <w:rPr>
          <w:rFonts w:ascii="Times New Roman" w:hAnsi="Times New Roman" w:cs="Times New Roman"/>
          <w:i/>
          <w:iCs/>
          <w:lang w:val="de-DE"/>
        </w:rPr>
        <w:t>Staatsrechtliche Abhandlungen</w:t>
      </w:r>
      <w:r w:rsidRPr="00B76ECC">
        <w:rPr>
          <w:rFonts w:ascii="Times New Roman" w:hAnsi="Times New Roman" w:cs="Times New Roman"/>
          <w:lang w:val="de-DE"/>
        </w:rPr>
        <w:t>, 4th ed., (Berlin: Duncker &amp; Humblot, 2010) 583, 588.</w:t>
      </w:r>
    </w:p>
  </w:footnote>
  <w:footnote w:id="125">
    <w:p w14:paraId="38250640" w14:textId="77777777" w:rsidR="001C3247" w:rsidRPr="00B76ECC" w:rsidRDefault="001C3247" w:rsidP="00560FB8">
      <w:pPr>
        <w:pStyle w:val="FootnoteText"/>
        <w:jc w:val="both"/>
        <w:rPr>
          <w:rFonts w:ascii="Times New Roman" w:hAnsi="Times New Roman" w:cs="Times New Roman"/>
          <w:lang w:val="de-DE"/>
        </w:rPr>
      </w:pPr>
      <w:r w:rsidRPr="00B76ECC">
        <w:rPr>
          <w:rStyle w:val="FootnoteReference"/>
          <w:rFonts w:ascii="Times New Roman" w:hAnsi="Times New Roman" w:cs="Times New Roman"/>
        </w:rPr>
        <w:footnoteRef/>
      </w:r>
      <w:r w:rsidRPr="00B76ECC">
        <w:rPr>
          <w:rFonts w:ascii="Times New Roman" w:hAnsi="Times New Roman" w:cs="Times New Roman"/>
          <w:lang w:val="de-DE"/>
        </w:rPr>
        <w:t xml:space="preserve"> Id., Verfassung und Verfassungsrecht in Staatsrechtliche Abhandlungen, 204, note 23.</w:t>
      </w:r>
    </w:p>
  </w:footnote>
  <w:footnote w:id="126">
    <w:p w14:paraId="7F6DA1B5" w14:textId="113FEF4D" w:rsidR="001C3247" w:rsidRPr="00B76ECC" w:rsidRDefault="001C3247" w:rsidP="00560FB8">
      <w:pPr>
        <w:pStyle w:val="FootnoteText"/>
        <w:jc w:val="both"/>
        <w:rPr>
          <w:rFonts w:ascii="Times New Roman" w:hAnsi="Times New Roman" w:cs="Times New Roman"/>
          <w:lang w:val="de-DE"/>
        </w:rPr>
      </w:pPr>
      <w:r w:rsidRPr="00B76ECC">
        <w:rPr>
          <w:rStyle w:val="FootnoteReference"/>
          <w:rFonts w:ascii="Times New Roman" w:hAnsi="Times New Roman" w:cs="Times New Roman"/>
        </w:rPr>
        <w:footnoteRef/>
      </w:r>
      <w:r w:rsidRPr="00B76ECC">
        <w:rPr>
          <w:rFonts w:ascii="Times New Roman" w:hAnsi="Times New Roman" w:cs="Times New Roman"/>
          <w:lang w:val="de-DE"/>
        </w:rPr>
        <w:t xml:space="preserve"> See, in general, the contributions to </w:t>
      </w:r>
      <w:r w:rsidRPr="00B76ECC">
        <w:rPr>
          <w:rFonts w:ascii="Times New Roman" w:hAnsi="Times New Roman" w:cs="Times New Roman"/>
          <w:i/>
          <w:iCs/>
          <w:lang w:val="de-DE"/>
        </w:rPr>
        <w:t>Das en</w:t>
      </w:r>
      <w:r>
        <w:rPr>
          <w:rFonts w:ascii="Times New Roman" w:hAnsi="Times New Roman" w:cs="Times New Roman"/>
          <w:i/>
          <w:iCs/>
          <w:lang w:val="de-DE"/>
        </w:rPr>
        <w:t>t</w:t>
      </w:r>
      <w:r w:rsidRPr="00B76ECC">
        <w:rPr>
          <w:rFonts w:ascii="Times New Roman" w:hAnsi="Times New Roman" w:cs="Times New Roman"/>
          <w:i/>
          <w:iCs/>
          <w:lang w:val="de-DE"/>
        </w:rPr>
        <w:t>grenzte Gericht: eine kritische Bilanz nach sechzig Jahren Bundesverfassungsgericht</w:t>
      </w:r>
      <w:r w:rsidRPr="00B76ECC">
        <w:rPr>
          <w:rFonts w:ascii="Times New Roman" w:hAnsi="Times New Roman" w:cs="Times New Roman"/>
          <w:lang w:val="de-DE"/>
        </w:rPr>
        <w:t xml:space="preserve"> (Frankfurt a. M.: Suhrkamp, 2019). Esp., see Konstantin Chatziathanasiou, Die Status-Denkschrift des Bundesverfassungsgerichts als informaler Beitrag zur Entstehung der Verfassungsordnung 11 Rechtswissenschaft 2 (2020).</w:t>
      </w:r>
    </w:p>
  </w:footnote>
  <w:footnote w:id="127">
    <w:p w14:paraId="2BE1A281" w14:textId="77777777" w:rsidR="001C3247" w:rsidRPr="00B76ECC" w:rsidRDefault="001C3247" w:rsidP="00560FB8">
      <w:pPr>
        <w:pStyle w:val="FootnoteText"/>
        <w:jc w:val="both"/>
        <w:rPr>
          <w:rFonts w:ascii="Times New Roman" w:hAnsi="Times New Roman" w:cs="Times New Roman"/>
          <w:lang w:val="de-DE"/>
        </w:rPr>
      </w:pPr>
      <w:r w:rsidRPr="00B76ECC">
        <w:rPr>
          <w:rStyle w:val="FootnoteReference"/>
          <w:rFonts w:ascii="Times New Roman" w:hAnsi="Times New Roman" w:cs="Times New Roman"/>
        </w:rPr>
        <w:footnoteRef/>
      </w:r>
      <w:r w:rsidRPr="00B76ECC">
        <w:rPr>
          <w:rFonts w:ascii="Times New Roman" w:hAnsi="Times New Roman" w:cs="Times New Roman"/>
          <w:lang w:val="de-DE"/>
        </w:rPr>
        <w:t xml:space="preserve"> Wesel, </w:t>
      </w:r>
      <w:r w:rsidRPr="00B76ECC">
        <w:rPr>
          <w:rFonts w:ascii="Times New Roman" w:hAnsi="Times New Roman" w:cs="Times New Roman"/>
          <w:i/>
          <w:iCs/>
          <w:lang w:val="de-DE"/>
        </w:rPr>
        <w:t>Der Gang nach Karlsruhe</w:t>
      </w:r>
      <w:r w:rsidRPr="00B76ECC">
        <w:rPr>
          <w:rFonts w:ascii="Times New Roman" w:hAnsi="Times New Roman" w:cs="Times New Roman"/>
          <w:lang w:val="de-DE"/>
        </w:rPr>
        <w:t>, 38-42.</w:t>
      </w:r>
    </w:p>
  </w:footnote>
  <w:footnote w:id="128">
    <w:p w14:paraId="0A23EB2F" w14:textId="708520AC" w:rsidR="001C3247" w:rsidRPr="00B76ECC" w:rsidRDefault="001C3247" w:rsidP="00560FB8">
      <w:pPr>
        <w:pStyle w:val="FootnoteText"/>
        <w:jc w:val="both"/>
        <w:rPr>
          <w:rFonts w:ascii="Times New Roman" w:hAnsi="Times New Roman" w:cs="Times New Roman"/>
          <w:lang w:val="de-DE"/>
        </w:rPr>
      </w:pPr>
      <w:r w:rsidRPr="00B76ECC">
        <w:rPr>
          <w:rStyle w:val="FootnoteReference"/>
          <w:rFonts w:ascii="Times New Roman" w:hAnsi="Times New Roman" w:cs="Times New Roman"/>
        </w:rPr>
        <w:footnoteRef/>
      </w:r>
      <w:r w:rsidRPr="00B76ECC">
        <w:rPr>
          <w:rFonts w:ascii="Times New Roman" w:hAnsi="Times New Roman" w:cs="Times New Roman"/>
          <w:lang w:val="de-DE"/>
        </w:rPr>
        <w:t xml:space="preserve"> Ibid., 53-75; Lange, Der Dehler-Faktor...;</w:t>
      </w:r>
      <w:r>
        <w:rPr>
          <w:rFonts w:ascii="Times New Roman" w:hAnsi="Times New Roman" w:cs="Times New Roman"/>
          <w:lang w:val="de-DE"/>
        </w:rPr>
        <w:t xml:space="preserve"> </w:t>
      </w:r>
      <w:r w:rsidRPr="00B76ECC">
        <w:rPr>
          <w:rFonts w:ascii="Times New Roman" w:hAnsi="Times New Roman" w:cs="Times New Roman"/>
          <w:lang w:val="de-DE"/>
        </w:rPr>
        <w:t xml:space="preserve">Bundesverfassungsgericht, Denkschrift des Bundesverfassungsgerichts and also Schreiben des Vizepräsidenten des Bundesverfassungsgerichts vom 29. Oktober 1952, both edited in 6 </w:t>
      </w:r>
      <w:r w:rsidRPr="00FC667A">
        <w:rPr>
          <w:rFonts w:ascii="Times New Roman" w:hAnsi="Times New Roman" w:cs="Times New Roman"/>
          <w:i/>
          <w:iCs/>
          <w:lang w:val="de-DE"/>
        </w:rPr>
        <w:t>Jahrbuch des öffentlichen Rechts der Gegenwart</w:t>
      </w:r>
      <w:r w:rsidRPr="00B76ECC">
        <w:rPr>
          <w:rFonts w:ascii="Times New Roman" w:hAnsi="Times New Roman" w:cs="Times New Roman"/>
          <w:lang w:val="de-DE"/>
        </w:rPr>
        <w:t xml:space="preserve"> (1957) 144-148; 156-159.</w:t>
      </w:r>
    </w:p>
  </w:footnote>
  <w:footnote w:id="129">
    <w:p w14:paraId="1F022605" w14:textId="77777777" w:rsidR="001C3247" w:rsidRPr="00B76ECC" w:rsidRDefault="001C3247" w:rsidP="00560FB8">
      <w:pPr>
        <w:pStyle w:val="FootnoteText"/>
        <w:jc w:val="both"/>
        <w:rPr>
          <w:rFonts w:ascii="Times New Roman" w:hAnsi="Times New Roman" w:cs="Times New Roman"/>
          <w:lang w:val="de-DE"/>
        </w:rPr>
      </w:pPr>
      <w:r w:rsidRPr="00B76ECC">
        <w:rPr>
          <w:rStyle w:val="FootnoteReference"/>
          <w:rFonts w:ascii="Times New Roman" w:hAnsi="Times New Roman" w:cs="Times New Roman"/>
        </w:rPr>
        <w:footnoteRef/>
      </w:r>
      <w:r w:rsidRPr="00B76ECC">
        <w:rPr>
          <w:rFonts w:ascii="Times New Roman" w:hAnsi="Times New Roman" w:cs="Times New Roman"/>
          <w:lang w:val="de-DE"/>
        </w:rPr>
        <w:t xml:space="preserve"> Lembcke, Hüter der Verfassung, 105-166.</w:t>
      </w:r>
    </w:p>
  </w:footnote>
  <w:footnote w:id="130">
    <w:p w14:paraId="30794D48" w14:textId="77777777" w:rsidR="001C3247" w:rsidRPr="00B76ECC" w:rsidRDefault="001C3247" w:rsidP="00560FB8">
      <w:pPr>
        <w:pStyle w:val="FootnoteText"/>
        <w:jc w:val="both"/>
        <w:rPr>
          <w:rFonts w:ascii="Times New Roman" w:hAnsi="Times New Roman" w:cs="Times New Roman"/>
          <w:lang w:val="de-DE"/>
        </w:rPr>
      </w:pPr>
      <w:r w:rsidRPr="00B76ECC">
        <w:rPr>
          <w:rStyle w:val="FootnoteReference"/>
          <w:rFonts w:ascii="Times New Roman" w:hAnsi="Times New Roman" w:cs="Times New Roman"/>
        </w:rPr>
        <w:footnoteRef/>
      </w:r>
      <w:r w:rsidRPr="00B76ECC">
        <w:rPr>
          <w:rFonts w:ascii="Times New Roman" w:hAnsi="Times New Roman" w:cs="Times New Roman"/>
          <w:lang w:val="de-DE"/>
        </w:rPr>
        <w:t xml:space="preserve"> On Leibholz and Dietrich Bonhoeffer’s mutual influence, see Korioth, in Evangelisch-theologische Staatsethik und juristisch Staatslehre; see also Karola Radier, The Leibholz-Schmitt connection’s formative influence on Bonhoeffer’s 1932-1933 entry into public theology, 4 </w:t>
      </w:r>
      <w:r w:rsidRPr="00B76ECC">
        <w:rPr>
          <w:rFonts w:ascii="Times New Roman" w:hAnsi="Times New Roman" w:cs="Times New Roman"/>
          <w:i/>
          <w:iCs/>
          <w:lang w:val="de-DE"/>
        </w:rPr>
        <w:t>Stellenbosch Theological Journal</w:t>
      </w:r>
      <w:r w:rsidRPr="00B76ECC">
        <w:rPr>
          <w:rFonts w:ascii="Times New Roman" w:hAnsi="Times New Roman" w:cs="Times New Roman"/>
          <w:lang w:val="de-DE"/>
        </w:rPr>
        <w:t xml:space="preserve"> 2, (2018).</w:t>
      </w:r>
    </w:p>
  </w:footnote>
  <w:footnote w:id="131">
    <w:p w14:paraId="3896973A" w14:textId="77777777" w:rsidR="001C3247" w:rsidRPr="00B76ECC" w:rsidRDefault="001C3247" w:rsidP="00560FB8">
      <w:pPr>
        <w:pStyle w:val="FootnoteText"/>
        <w:jc w:val="both"/>
        <w:rPr>
          <w:rFonts w:ascii="Times New Roman" w:hAnsi="Times New Roman" w:cs="Times New Roman"/>
          <w:lang w:val="de-DE"/>
        </w:rPr>
      </w:pPr>
      <w:r w:rsidRPr="00B76ECC">
        <w:rPr>
          <w:rStyle w:val="FootnoteReference"/>
          <w:rFonts w:ascii="Times New Roman" w:hAnsi="Times New Roman" w:cs="Times New Roman"/>
        </w:rPr>
        <w:footnoteRef/>
      </w:r>
      <w:r w:rsidRPr="00B76ECC">
        <w:rPr>
          <w:rFonts w:ascii="Times New Roman" w:hAnsi="Times New Roman" w:cs="Times New Roman"/>
          <w:lang w:val="de-DE"/>
        </w:rPr>
        <w:t xml:space="preserve"> Dietrich Bonhoeffer, </w:t>
      </w:r>
      <w:r w:rsidRPr="00B76ECC">
        <w:rPr>
          <w:rFonts w:ascii="Times New Roman" w:hAnsi="Times New Roman" w:cs="Times New Roman"/>
          <w:i/>
          <w:iCs/>
          <w:lang w:val="de-DE"/>
        </w:rPr>
        <w:t>Sanctorum Communio</w:t>
      </w:r>
      <w:r w:rsidRPr="00B76ECC">
        <w:rPr>
          <w:rFonts w:ascii="Times New Roman" w:hAnsi="Times New Roman" w:cs="Times New Roman"/>
          <w:lang w:val="de-DE"/>
        </w:rPr>
        <w:t>, Werkausgabe v. 1, ed. by Joachim von Soosten (München: Chr. Kaiser, 2005).</w:t>
      </w:r>
    </w:p>
  </w:footnote>
  <w:footnote w:id="132">
    <w:p w14:paraId="04345E45" w14:textId="77777777" w:rsidR="001C3247" w:rsidRPr="00B76ECC" w:rsidRDefault="001C3247" w:rsidP="00560FB8">
      <w:pPr>
        <w:pStyle w:val="FootnoteText"/>
        <w:jc w:val="both"/>
        <w:rPr>
          <w:rFonts w:ascii="Times New Roman" w:hAnsi="Times New Roman" w:cs="Times New Roman"/>
          <w:lang w:val="de-DE"/>
        </w:rPr>
      </w:pPr>
      <w:r w:rsidRPr="00B76ECC">
        <w:rPr>
          <w:rStyle w:val="FootnoteReference"/>
          <w:rFonts w:ascii="Times New Roman" w:hAnsi="Times New Roman" w:cs="Times New Roman"/>
        </w:rPr>
        <w:footnoteRef/>
      </w:r>
      <w:r w:rsidRPr="00B76ECC">
        <w:rPr>
          <w:rFonts w:ascii="Times New Roman" w:hAnsi="Times New Roman" w:cs="Times New Roman"/>
          <w:lang w:val="de-DE"/>
        </w:rPr>
        <w:t xml:space="preserve"> See Willi Geiger, Ergänzende Bemerkungen zum Bericht des Berichterstatters zur Stellung des Bundesverfassungsgericht and Hermann Höpker-Aschoff, Schreiben des Präsidenten des Bundesverfassungsgerichts vom 13. Oktober 1952, both edited in 6 </w:t>
      </w:r>
      <w:r w:rsidRPr="004F1CE6">
        <w:rPr>
          <w:rFonts w:ascii="Times New Roman" w:hAnsi="Times New Roman" w:cs="Times New Roman"/>
          <w:i/>
          <w:lang w:val="de-DE"/>
        </w:rPr>
        <w:t>Jahrbuch des öffentlichen Rechts der Gegenwart</w:t>
      </w:r>
      <w:r w:rsidRPr="00B76ECC">
        <w:rPr>
          <w:rFonts w:ascii="Times New Roman" w:hAnsi="Times New Roman" w:cs="Times New Roman"/>
          <w:lang w:val="de-DE"/>
        </w:rPr>
        <w:t xml:space="preserve"> (1957) 137-142, 149-159.</w:t>
      </w:r>
    </w:p>
  </w:footnote>
  <w:footnote w:id="133">
    <w:p w14:paraId="68113A81" w14:textId="77777777" w:rsidR="001C3247" w:rsidRPr="00B76ECC" w:rsidRDefault="001C3247" w:rsidP="00560FB8">
      <w:pPr>
        <w:pStyle w:val="FootnoteText"/>
        <w:jc w:val="both"/>
        <w:rPr>
          <w:rFonts w:ascii="Times New Roman" w:hAnsi="Times New Roman" w:cs="Times New Roman"/>
          <w:lang w:val="de-DE"/>
        </w:rPr>
      </w:pPr>
      <w:r w:rsidRPr="00B76ECC">
        <w:rPr>
          <w:rStyle w:val="FootnoteReference"/>
          <w:rFonts w:ascii="Times New Roman" w:hAnsi="Times New Roman" w:cs="Times New Roman"/>
        </w:rPr>
        <w:footnoteRef/>
      </w:r>
      <w:r w:rsidRPr="00B76ECC">
        <w:rPr>
          <w:rFonts w:ascii="Times New Roman" w:hAnsi="Times New Roman" w:cs="Times New Roman"/>
          <w:lang w:val="en-US"/>
        </w:rPr>
        <w:t xml:space="preserve"> For </w:t>
      </w:r>
      <w:proofErr w:type="spellStart"/>
      <w:r w:rsidRPr="00B76ECC">
        <w:rPr>
          <w:rFonts w:ascii="Times New Roman" w:hAnsi="Times New Roman" w:cs="Times New Roman"/>
          <w:lang w:val="en-US"/>
        </w:rPr>
        <w:t>Thoma’s</w:t>
      </w:r>
      <w:proofErr w:type="spellEnd"/>
      <w:r w:rsidRPr="00B76ECC">
        <w:rPr>
          <w:rFonts w:ascii="Times New Roman" w:hAnsi="Times New Roman" w:cs="Times New Roman"/>
          <w:lang w:val="en-US"/>
        </w:rPr>
        <w:t xml:space="preserve"> highlight and criticism of </w:t>
      </w:r>
      <w:proofErr w:type="spellStart"/>
      <w:r w:rsidRPr="00B76ECC">
        <w:rPr>
          <w:rFonts w:ascii="Times New Roman" w:hAnsi="Times New Roman" w:cs="Times New Roman"/>
          <w:lang w:val="en-US"/>
        </w:rPr>
        <w:t>Leibholz’s</w:t>
      </w:r>
      <w:proofErr w:type="spellEnd"/>
      <w:r w:rsidRPr="00B76ECC">
        <w:rPr>
          <w:rFonts w:ascii="Times New Roman" w:hAnsi="Times New Roman" w:cs="Times New Roman"/>
          <w:lang w:val="en-US"/>
        </w:rPr>
        <w:t xml:space="preserve"> </w:t>
      </w:r>
      <w:proofErr w:type="spellStart"/>
      <w:r w:rsidRPr="00B76ECC">
        <w:rPr>
          <w:rFonts w:ascii="Times New Roman" w:hAnsi="Times New Roman" w:cs="Times New Roman"/>
          <w:lang w:val="en-US"/>
        </w:rPr>
        <w:t>rhetorics</w:t>
      </w:r>
      <w:proofErr w:type="spellEnd"/>
      <w:r w:rsidRPr="00B76ECC">
        <w:rPr>
          <w:rFonts w:ascii="Times New Roman" w:hAnsi="Times New Roman" w:cs="Times New Roman"/>
          <w:lang w:val="en-US"/>
        </w:rPr>
        <w:t xml:space="preserve">, see Richard </w:t>
      </w:r>
      <w:proofErr w:type="spellStart"/>
      <w:r w:rsidRPr="00B76ECC">
        <w:rPr>
          <w:rFonts w:ascii="Times New Roman" w:hAnsi="Times New Roman" w:cs="Times New Roman"/>
          <w:lang w:val="en-US"/>
        </w:rPr>
        <w:t>Thoma</w:t>
      </w:r>
      <w:proofErr w:type="spellEnd"/>
      <w:r w:rsidRPr="00B76ECC">
        <w:rPr>
          <w:rFonts w:ascii="Times New Roman" w:hAnsi="Times New Roman" w:cs="Times New Roman"/>
          <w:lang w:val="en-US"/>
        </w:rPr>
        <w:t xml:space="preserve">, </w:t>
      </w:r>
      <w:proofErr w:type="spellStart"/>
      <w:r w:rsidRPr="00B76ECC">
        <w:rPr>
          <w:rFonts w:ascii="Times New Roman" w:hAnsi="Times New Roman" w:cs="Times New Roman"/>
          <w:lang w:val="en-US"/>
        </w:rPr>
        <w:t>Rechtsgutachten</w:t>
      </w:r>
      <w:proofErr w:type="spellEnd"/>
      <w:r w:rsidRPr="00B76ECC">
        <w:rPr>
          <w:rFonts w:ascii="Times New Roman" w:hAnsi="Times New Roman" w:cs="Times New Roman"/>
          <w:lang w:val="en-US"/>
        </w:rPr>
        <w:t xml:space="preserve"> </w:t>
      </w:r>
      <w:proofErr w:type="spellStart"/>
      <w:r w:rsidRPr="00B76ECC">
        <w:rPr>
          <w:rFonts w:ascii="Times New Roman" w:hAnsi="Times New Roman" w:cs="Times New Roman"/>
          <w:lang w:val="en-US"/>
        </w:rPr>
        <w:t>betr</w:t>
      </w:r>
      <w:proofErr w:type="spellEnd"/>
      <w:r w:rsidRPr="00B76ECC">
        <w:rPr>
          <w:rFonts w:ascii="Times New Roman" w:hAnsi="Times New Roman" w:cs="Times New Roman"/>
          <w:lang w:val="en-US"/>
        </w:rPr>
        <w:t xml:space="preserve">. </w:t>
      </w:r>
      <w:r w:rsidRPr="00B76ECC">
        <w:rPr>
          <w:rFonts w:ascii="Times New Roman" w:hAnsi="Times New Roman" w:cs="Times New Roman"/>
          <w:lang w:val="de-DE"/>
        </w:rPr>
        <w:t xml:space="preserve">Die Stellung des Bundesverfassungsgerichts 6 </w:t>
      </w:r>
      <w:r w:rsidRPr="004F1CE6">
        <w:rPr>
          <w:rFonts w:ascii="Times New Roman" w:hAnsi="Times New Roman" w:cs="Times New Roman"/>
          <w:i/>
          <w:lang w:val="de-DE"/>
        </w:rPr>
        <w:t>Jahrbuch des öffentlichen Rechts der Gegenwart</w:t>
      </w:r>
      <w:r w:rsidRPr="00B76ECC">
        <w:rPr>
          <w:rFonts w:ascii="Times New Roman" w:hAnsi="Times New Roman" w:cs="Times New Roman"/>
          <w:lang w:val="de-DE"/>
        </w:rPr>
        <w:t xml:space="preserve"> (1957) 161-193, esp. 165-168.</w:t>
      </w:r>
    </w:p>
  </w:footnote>
  <w:footnote w:id="134">
    <w:p w14:paraId="77FE64F7" w14:textId="77777777" w:rsidR="001C3247" w:rsidRPr="00B76ECC" w:rsidRDefault="001C3247" w:rsidP="00560FB8">
      <w:pPr>
        <w:pStyle w:val="FootnoteText"/>
        <w:jc w:val="both"/>
        <w:rPr>
          <w:rFonts w:ascii="Times New Roman" w:hAnsi="Times New Roman" w:cs="Times New Roman"/>
          <w:lang w:val="de-DE"/>
        </w:rPr>
      </w:pPr>
      <w:r w:rsidRPr="00B76ECC">
        <w:rPr>
          <w:rStyle w:val="FootnoteReference"/>
          <w:rFonts w:ascii="Times New Roman" w:hAnsi="Times New Roman" w:cs="Times New Roman"/>
        </w:rPr>
        <w:footnoteRef/>
      </w:r>
      <w:r w:rsidRPr="00B76ECC">
        <w:rPr>
          <w:rFonts w:ascii="Times New Roman" w:hAnsi="Times New Roman" w:cs="Times New Roman"/>
          <w:lang w:val="de-DE"/>
        </w:rPr>
        <w:t xml:space="preserve"> Dietrich Bonhoeffer, Die Geschichte und das Gute [Erste Fassung] in </w:t>
      </w:r>
      <w:r w:rsidRPr="00B76ECC">
        <w:rPr>
          <w:rFonts w:ascii="Times New Roman" w:hAnsi="Times New Roman" w:cs="Times New Roman"/>
          <w:i/>
          <w:iCs/>
          <w:lang w:val="de-DE"/>
        </w:rPr>
        <w:t>Ethik</w:t>
      </w:r>
      <w:r w:rsidRPr="00B76ECC">
        <w:rPr>
          <w:rFonts w:ascii="Times New Roman" w:hAnsi="Times New Roman" w:cs="Times New Roman"/>
          <w:lang w:val="de-DE"/>
        </w:rPr>
        <w:t xml:space="preserve">, Werke v. 6, ed. by Ilse Tödt et al. (München: Gütersloher Verlag, 1992) 226-227.  </w:t>
      </w:r>
    </w:p>
  </w:footnote>
  <w:footnote w:id="135">
    <w:p w14:paraId="75744C77" w14:textId="77777777" w:rsidR="001C3247" w:rsidRPr="00BD3702" w:rsidRDefault="001C3247" w:rsidP="00560FB8">
      <w:pPr>
        <w:pStyle w:val="FootnoteText"/>
        <w:jc w:val="both"/>
        <w:rPr>
          <w:rFonts w:ascii="Times New Roman" w:hAnsi="Times New Roman" w:cs="Times New Roman"/>
          <w:lang w:val="de-DE"/>
        </w:rPr>
      </w:pPr>
      <w:r w:rsidRPr="00B76ECC">
        <w:rPr>
          <w:rStyle w:val="FootnoteReference"/>
          <w:rFonts w:ascii="Times New Roman" w:hAnsi="Times New Roman" w:cs="Times New Roman"/>
        </w:rPr>
        <w:footnoteRef/>
      </w:r>
      <w:r w:rsidRPr="00B76ECC">
        <w:rPr>
          <w:rFonts w:ascii="Times New Roman" w:hAnsi="Times New Roman" w:cs="Times New Roman"/>
          <w:lang w:val="de-DE"/>
        </w:rPr>
        <w:t xml:space="preserve"> Id., Christus, die Wirklichkeit und das Gute. Christus, Kirche und Welt in </w:t>
      </w:r>
      <w:r w:rsidRPr="00B76ECC">
        <w:rPr>
          <w:rFonts w:ascii="Times New Roman" w:hAnsi="Times New Roman" w:cs="Times New Roman"/>
          <w:i/>
          <w:iCs/>
          <w:lang w:val="de-DE"/>
        </w:rPr>
        <w:t>Ethik</w:t>
      </w:r>
      <w:r w:rsidRPr="00B76ECC">
        <w:rPr>
          <w:rFonts w:ascii="Times New Roman" w:hAnsi="Times New Roman" w:cs="Times New Roman"/>
          <w:lang w:val="de-DE"/>
        </w:rPr>
        <w:t xml:space="preserve">, Werke v. 6, ed. by Ilse Tödt et al. </w:t>
      </w:r>
      <w:r w:rsidRPr="00BD3702">
        <w:rPr>
          <w:rFonts w:ascii="Times New Roman" w:hAnsi="Times New Roman" w:cs="Times New Roman"/>
          <w:lang w:val="de-DE"/>
        </w:rPr>
        <w:t>(München: Gütersloher Verlag, 1992) 41.</w:t>
      </w:r>
    </w:p>
  </w:footnote>
  <w:footnote w:id="136">
    <w:p w14:paraId="09A67170" w14:textId="77777777" w:rsidR="001C3247" w:rsidRPr="00B76ECC" w:rsidRDefault="001C3247" w:rsidP="00560FB8">
      <w:pPr>
        <w:pStyle w:val="FootnoteText"/>
        <w:jc w:val="both"/>
        <w:rPr>
          <w:rFonts w:ascii="Times New Roman" w:hAnsi="Times New Roman" w:cs="Times New Roman"/>
          <w:lang w:val="de-DE"/>
        </w:rPr>
      </w:pPr>
      <w:r w:rsidRPr="00B76ECC">
        <w:rPr>
          <w:rStyle w:val="FootnoteReference"/>
          <w:rFonts w:ascii="Times New Roman" w:hAnsi="Times New Roman" w:cs="Times New Roman"/>
        </w:rPr>
        <w:footnoteRef/>
      </w:r>
      <w:r w:rsidRPr="00BD3702">
        <w:rPr>
          <w:rFonts w:ascii="Times New Roman" w:hAnsi="Times New Roman" w:cs="Times New Roman"/>
          <w:lang w:val="de-DE"/>
        </w:rPr>
        <w:t xml:space="preserve"> Ibid., 41, editor note 34. </w:t>
      </w:r>
      <w:r w:rsidRPr="00B76ECC">
        <w:rPr>
          <w:rFonts w:ascii="Times New Roman" w:hAnsi="Times New Roman" w:cs="Times New Roman"/>
          <w:lang w:val="de-DE"/>
        </w:rPr>
        <w:t xml:space="preserve">About the relationship between Hitler and the Evangelical Church, see Klaus Scholder, Die evangelische Kirche in der Sicht der national-sozialistichen Führung bis zum Kriegsausbruch 16 </w:t>
      </w:r>
      <w:r w:rsidRPr="00B76ECC">
        <w:rPr>
          <w:rFonts w:ascii="Times New Roman" w:hAnsi="Times New Roman" w:cs="Times New Roman"/>
          <w:i/>
          <w:iCs/>
          <w:lang w:val="de-DE"/>
        </w:rPr>
        <w:t>Vierteljahrshefte für Zeitgeschichte</w:t>
      </w:r>
      <w:r w:rsidRPr="00B76ECC">
        <w:rPr>
          <w:rFonts w:ascii="Times New Roman" w:hAnsi="Times New Roman" w:cs="Times New Roman"/>
          <w:lang w:val="de-DE"/>
        </w:rPr>
        <w:t xml:space="preserve"> 1 (1968).</w:t>
      </w:r>
    </w:p>
  </w:footnote>
  <w:footnote w:id="137">
    <w:p w14:paraId="515A8112" w14:textId="77777777" w:rsidR="001C3247" w:rsidRPr="00B76ECC" w:rsidRDefault="001C3247" w:rsidP="00560FB8">
      <w:pPr>
        <w:pStyle w:val="FootnoteText"/>
        <w:jc w:val="both"/>
        <w:rPr>
          <w:rFonts w:ascii="Times New Roman" w:hAnsi="Times New Roman" w:cs="Times New Roman"/>
          <w:lang w:val="de-DE"/>
        </w:rPr>
      </w:pPr>
      <w:r w:rsidRPr="00B76ECC">
        <w:rPr>
          <w:rStyle w:val="FootnoteReference"/>
          <w:rFonts w:ascii="Times New Roman" w:hAnsi="Times New Roman" w:cs="Times New Roman"/>
        </w:rPr>
        <w:footnoteRef/>
      </w:r>
      <w:r w:rsidRPr="00B76ECC">
        <w:rPr>
          <w:rFonts w:ascii="Times New Roman" w:hAnsi="Times New Roman" w:cs="Times New Roman"/>
          <w:lang w:val="de-DE"/>
        </w:rPr>
        <w:t xml:space="preserve"> See Der „Ansbacher Ratschlag“ zu der Barmer „Theologischen Erklärung“ in: Kurt Dietrich Schmidt, </w:t>
      </w:r>
      <w:r w:rsidRPr="004F1CE6">
        <w:rPr>
          <w:rFonts w:ascii="Times New Roman" w:hAnsi="Times New Roman" w:cs="Times New Roman"/>
          <w:i/>
          <w:lang w:val="de-DE"/>
        </w:rPr>
        <w:t>Die Bekenntnisse und grundsätzlichen Äußerungen zur Kirchenfrage</w:t>
      </w:r>
      <w:r w:rsidRPr="00B76ECC">
        <w:rPr>
          <w:rFonts w:ascii="Times New Roman" w:hAnsi="Times New Roman" w:cs="Times New Roman"/>
          <w:lang w:val="de-DE"/>
        </w:rPr>
        <w:t>. v. 2: Das Jahr 1934 (Göttingen: Vandenhoeck &amp; Ruprecht, 1935) 102–104.</w:t>
      </w:r>
    </w:p>
  </w:footnote>
  <w:footnote w:id="138">
    <w:p w14:paraId="18166FE6" w14:textId="77777777" w:rsidR="001C3247" w:rsidRPr="00B76ECC" w:rsidRDefault="001C3247" w:rsidP="00560FB8">
      <w:pPr>
        <w:pStyle w:val="FootnoteText"/>
        <w:jc w:val="both"/>
        <w:rPr>
          <w:rFonts w:ascii="Times New Roman" w:hAnsi="Times New Roman" w:cs="Times New Roman"/>
          <w:lang w:val="en-US"/>
        </w:rPr>
      </w:pPr>
      <w:r w:rsidRPr="00B76ECC">
        <w:rPr>
          <w:rStyle w:val="FootnoteReference"/>
          <w:rFonts w:ascii="Times New Roman" w:hAnsi="Times New Roman" w:cs="Times New Roman"/>
        </w:rPr>
        <w:footnoteRef/>
      </w:r>
      <w:r w:rsidRPr="00B76ECC">
        <w:rPr>
          <w:rFonts w:ascii="Times New Roman" w:hAnsi="Times New Roman" w:cs="Times New Roman"/>
          <w:lang w:val="en-US"/>
        </w:rPr>
        <w:t xml:space="preserve"> Bonhoeffer, Christus... 47.</w:t>
      </w:r>
    </w:p>
  </w:footnote>
  <w:footnote w:id="139">
    <w:p w14:paraId="2FCF94A9" w14:textId="77777777" w:rsidR="001C3247" w:rsidRPr="0038646F" w:rsidRDefault="001C3247" w:rsidP="00560FB8">
      <w:pPr>
        <w:pStyle w:val="FootnoteText"/>
        <w:jc w:val="both"/>
        <w:rPr>
          <w:rFonts w:ascii="Times New Roman" w:hAnsi="Times New Roman" w:cs="Times New Roman"/>
          <w:lang w:val="en-US"/>
        </w:rPr>
      </w:pPr>
      <w:r w:rsidRPr="00B76ECC">
        <w:rPr>
          <w:rStyle w:val="FootnoteReference"/>
          <w:rFonts w:ascii="Times New Roman" w:hAnsi="Times New Roman" w:cs="Times New Roman"/>
        </w:rPr>
        <w:footnoteRef/>
      </w:r>
      <w:r w:rsidRPr="0038646F">
        <w:rPr>
          <w:rFonts w:ascii="Times New Roman" w:hAnsi="Times New Roman" w:cs="Times New Roman"/>
          <w:lang w:val="en-US"/>
        </w:rPr>
        <w:t xml:space="preserve"> Ibid., 54.</w:t>
      </w:r>
    </w:p>
  </w:footnote>
  <w:footnote w:id="140">
    <w:p w14:paraId="4986E385" w14:textId="77777777" w:rsidR="001C3247" w:rsidRPr="0038646F" w:rsidRDefault="001C3247" w:rsidP="00560FB8">
      <w:pPr>
        <w:pStyle w:val="FootnoteText"/>
        <w:jc w:val="both"/>
        <w:rPr>
          <w:rFonts w:ascii="Times New Roman" w:hAnsi="Times New Roman" w:cs="Times New Roman"/>
          <w:lang w:val="en-US"/>
        </w:rPr>
      </w:pPr>
      <w:r w:rsidRPr="00B76ECC">
        <w:rPr>
          <w:rStyle w:val="FootnoteReference"/>
          <w:rFonts w:ascii="Times New Roman" w:hAnsi="Times New Roman" w:cs="Times New Roman"/>
        </w:rPr>
        <w:footnoteRef/>
      </w:r>
      <w:r w:rsidRPr="0038646F">
        <w:rPr>
          <w:rFonts w:ascii="Times New Roman" w:hAnsi="Times New Roman" w:cs="Times New Roman"/>
          <w:lang w:val="en-US"/>
        </w:rPr>
        <w:t xml:space="preserve"> Ibid., 45.</w:t>
      </w:r>
    </w:p>
  </w:footnote>
  <w:footnote w:id="141">
    <w:p w14:paraId="56D35422" w14:textId="77777777" w:rsidR="001C3247" w:rsidRPr="0038646F" w:rsidRDefault="001C3247" w:rsidP="00560FB8">
      <w:pPr>
        <w:pStyle w:val="FootnoteText"/>
        <w:jc w:val="both"/>
        <w:rPr>
          <w:rFonts w:ascii="Times New Roman" w:hAnsi="Times New Roman" w:cs="Times New Roman"/>
          <w:lang w:val="en-US"/>
        </w:rPr>
      </w:pPr>
      <w:r w:rsidRPr="00B76ECC">
        <w:rPr>
          <w:rStyle w:val="FootnoteReference"/>
          <w:rFonts w:ascii="Times New Roman" w:hAnsi="Times New Roman" w:cs="Times New Roman"/>
        </w:rPr>
        <w:footnoteRef/>
      </w:r>
      <w:r w:rsidRPr="0038646F">
        <w:rPr>
          <w:rFonts w:ascii="Times New Roman" w:hAnsi="Times New Roman" w:cs="Times New Roman"/>
          <w:lang w:val="en-US"/>
        </w:rPr>
        <w:t xml:space="preserve"> Ibid., 49.</w:t>
      </w:r>
    </w:p>
  </w:footnote>
  <w:footnote w:id="142">
    <w:p w14:paraId="044F8EFF" w14:textId="77777777" w:rsidR="001C3247" w:rsidRPr="0038646F" w:rsidRDefault="001C3247" w:rsidP="00560FB8">
      <w:pPr>
        <w:pStyle w:val="FootnoteText"/>
        <w:jc w:val="both"/>
        <w:rPr>
          <w:rFonts w:ascii="Times New Roman" w:hAnsi="Times New Roman" w:cs="Times New Roman"/>
          <w:lang w:val="en-US"/>
        </w:rPr>
      </w:pPr>
      <w:r w:rsidRPr="00B76ECC">
        <w:rPr>
          <w:rStyle w:val="FootnoteReference"/>
          <w:rFonts w:ascii="Times New Roman" w:hAnsi="Times New Roman" w:cs="Times New Roman"/>
        </w:rPr>
        <w:footnoteRef/>
      </w:r>
      <w:r w:rsidRPr="0038646F">
        <w:rPr>
          <w:rFonts w:ascii="Times New Roman" w:hAnsi="Times New Roman" w:cs="Times New Roman"/>
          <w:lang w:val="en-US"/>
        </w:rPr>
        <w:t xml:space="preserve"> Idem.</w:t>
      </w:r>
    </w:p>
  </w:footnote>
  <w:footnote w:id="143">
    <w:p w14:paraId="58C1C09D" w14:textId="03104C56" w:rsidR="00E24D2D" w:rsidRPr="00E24D2D" w:rsidRDefault="00E24D2D">
      <w:pPr>
        <w:pStyle w:val="FootnoteText"/>
        <w:rPr>
          <w:lang w:val="de-DE"/>
        </w:rPr>
      </w:pPr>
      <w:r>
        <w:rPr>
          <w:rStyle w:val="FootnoteReference"/>
        </w:rPr>
        <w:footnoteRef/>
      </w:r>
      <w:r w:rsidRPr="00E24D2D">
        <w:rPr>
          <w:lang w:val="en-US"/>
        </w:rPr>
        <w:t xml:space="preserve"> </w:t>
      </w:r>
      <w:r w:rsidRPr="00B76ECC">
        <w:rPr>
          <w:rFonts w:ascii="Times New Roman" w:hAnsi="Times New Roman" w:cs="Times New Roman"/>
          <w:lang w:val="en-US"/>
        </w:rPr>
        <w:t xml:space="preserve">Sabine </w:t>
      </w:r>
      <w:proofErr w:type="spellStart"/>
      <w:r w:rsidRPr="00B76ECC">
        <w:rPr>
          <w:rFonts w:ascii="Times New Roman" w:hAnsi="Times New Roman" w:cs="Times New Roman"/>
          <w:lang w:val="en-US"/>
        </w:rPr>
        <w:t>Leibholz</w:t>
      </w:r>
      <w:proofErr w:type="spellEnd"/>
      <w:r w:rsidRPr="00B76ECC">
        <w:rPr>
          <w:rFonts w:ascii="Times New Roman" w:hAnsi="Times New Roman" w:cs="Times New Roman"/>
          <w:lang w:val="en-US"/>
        </w:rPr>
        <w:t xml:space="preserve">, Gerhard </w:t>
      </w:r>
      <w:proofErr w:type="spellStart"/>
      <w:r w:rsidRPr="00B76ECC">
        <w:rPr>
          <w:rFonts w:ascii="Times New Roman" w:hAnsi="Times New Roman" w:cs="Times New Roman"/>
          <w:lang w:val="en-US"/>
        </w:rPr>
        <w:t>Leibholz</w:t>
      </w:r>
      <w:proofErr w:type="spellEnd"/>
      <w:r w:rsidRPr="00B76ECC">
        <w:rPr>
          <w:rFonts w:ascii="Times New Roman" w:hAnsi="Times New Roman" w:cs="Times New Roman"/>
          <w:lang w:val="en-US"/>
        </w:rPr>
        <w:t xml:space="preserve"> and Dietrich Bonhoeffer often discussed and exchanged letters over this subject (Bonhoeffer refers to it as their “old topic of discussion”). </w:t>
      </w:r>
      <w:r w:rsidRPr="00B76ECC">
        <w:rPr>
          <w:rFonts w:ascii="Times New Roman" w:hAnsi="Times New Roman" w:cs="Times New Roman"/>
          <w:lang w:val="de-DE"/>
        </w:rPr>
        <w:t>See, for instance, Brief 182. An Sabine und Gerhard Leibholz 7.3.1940 in Illegale Theologenausbildung: Sammelvikariate 1937-1940, Werke v. 15 (München: Gütersloher Verlag, 1992) 296-300.</w:t>
      </w:r>
    </w:p>
  </w:footnote>
  <w:footnote w:id="144">
    <w:p w14:paraId="7B2D7CAA" w14:textId="77777777" w:rsidR="001C3247" w:rsidRPr="00B76ECC" w:rsidRDefault="001C3247" w:rsidP="00560FB8">
      <w:pPr>
        <w:pStyle w:val="FootnoteText"/>
        <w:jc w:val="both"/>
        <w:rPr>
          <w:rFonts w:ascii="Times New Roman" w:hAnsi="Times New Roman" w:cs="Times New Roman"/>
          <w:lang w:val="de-DE"/>
        </w:rPr>
      </w:pPr>
      <w:r w:rsidRPr="00B76ECC">
        <w:rPr>
          <w:rStyle w:val="FootnoteReference"/>
          <w:rFonts w:ascii="Times New Roman" w:hAnsi="Times New Roman" w:cs="Times New Roman"/>
        </w:rPr>
        <w:footnoteRef/>
      </w:r>
      <w:r w:rsidRPr="00B76ECC">
        <w:rPr>
          <w:rFonts w:ascii="Times New Roman" w:hAnsi="Times New Roman" w:cs="Times New Roman"/>
          <w:lang w:val="de-DE"/>
        </w:rPr>
        <w:t xml:space="preserve"> Wilhelm Hennis, Verfassung und Verfassungswirklichkeit. – Ein deutsches Problem in </w:t>
      </w:r>
      <w:r w:rsidRPr="004F1CE6">
        <w:rPr>
          <w:rFonts w:ascii="Times New Roman" w:hAnsi="Times New Roman" w:cs="Times New Roman"/>
          <w:i/>
          <w:lang w:val="de-DE"/>
        </w:rPr>
        <w:t xml:space="preserve">Die missverstandene Demokratie </w:t>
      </w:r>
      <w:r w:rsidRPr="00B76ECC">
        <w:rPr>
          <w:rFonts w:ascii="Times New Roman" w:hAnsi="Times New Roman" w:cs="Times New Roman"/>
          <w:lang w:val="de-DE"/>
        </w:rPr>
        <w:t>(Freiburg: Herder, 1973) 64.</w:t>
      </w:r>
    </w:p>
  </w:footnote>
  <w:footnote w:id="145">
    <w:p w14:paraId="1B147029" w14:textId="77777777" w:rsidR="001C3247" w:rsidRPr="00B76ECC" w:rsidRDefault="001C3247" w:rsidP="00560FB8">
      <w:pPr>
        <w:pStyle w:val="FootnoteText"/>
        <w:jc w:val="both"/>
        <w:rPr>
          <w:rFonts w:ascii="Times New Roman" w:hAnsi="Times New Roman" w:cs="Times New Roman"/>
          <w:lang w:val="de-DE"/>
        </w:rPr>
      </w:pPr>
      <w:r w:rsidRPr="00B76ECC">
        <w:rPr>
          <w:rStyle w:val="FootnoteReference"/>
          <w:rFonts w:ascii="Times New Roman" w:hAnsi="Times New Roman" w:cs="Times New Roman"/>
        </w:rPr>
        <w:footnoteRef/>
      </w:r>
      <w:r w:rsidRPr="00B76ECC">
        <w:rPr>
          <w:rFonts w:ascii="Times New Roman" w:hAnsi="Times New Roman" w:cs="Times New Roman"/>
          <w:lang w:val="de-DE"/>
        </w:rPr>
        <w:t xml:space="preserve"> Gerhard Leibholz, Bericht des Berichterstatters an das Plenum des Bundesverfassungsgerichts zur „Status“-Frage 6 </w:t>
      </w:r>
      <w:r w:rsidRPr="00B76ECC">
        <w:rPr>
          <w:rFonts w:ascii="Times New Roman" w:hAnsi="Times New Roman" w:cs="Times New Roman"/>
          <w:i/>
          <w:iCs/>
          <w:lang w:val="de-DE"/>
        </w:rPr>
        <w:t>Jahrbuch des öffentlichen Rechts der Gegenwart</w:t>
      </w:r>
      <w:r w:rsidRPr="00B76ECC">
        <w:rPr>
          <w:rFonts w:ascii="Times New Roman" w:hAnsi="Times New Roman" w:cs="Times New Roman"/>
          <w:lang w:val="de-DE"/>
        </w:rPr>
        <w:t xml:space="preserve"> (1957) 122.</w:t>
      </w:r>
    </w:p>
  </w:footnote>
  <w:footnote w:id="146">
    <w:p w14:paraId="7A1F85AB" w14:textId="77777777" w:rsidR="001C3247" w:rsidRPr="00560FB8" w:rsidRDefault="001C3247" w:rsidP="00560FB8">
      <w:pPr>
        <w:pStyle w:val="FootnoteText"/>
        <w:jc w:val="both"/>
        <w:rPr>
          <w:rFonts w:ascii="Times New Roman" w:hAnsi="Times New Roman" w:cs="Times New Roman"/>
          <w:lang w:val="de-DE"/>
        </w:rPr>
      </w:pPr>
      <w:r w:rsidRPr="00B76ECC">
        <w:rPr>
          <w:rStyle w:val="FootnoteReference"/>
          <w:rFonts w:ascii="Times New Roman" w:hAnsi="Times New Roman" w:cs="Times New Roman"/>
        </w:rPr>
        <w:footnoteRef/>
      </w:r>
      <w:r w:rsidRPr="00560FB8">
        <w:rPr>
          <w:rFonts w:ascii="Times New Roman" w:hAnsi="Times New Roman" w:cs="Times New Roman"/>
          <w:lang w:val="de-DE"/>
        </w:rPr>
        <w:t xml:space="preserve"> Idem.</w:t>
      </w:r>
    </w:p>
  </w:footnote>
  <w:footnote w:id="147">
    <w:p w14:paraId="2657FAD7" w14:textId="77777777" w:rsidR="001C3247" w:rsidRPr="00560FB8" w:rsidRDefault="001C3247" w:rsidP="00560FB8">
      <w:pPr>
        <w:pStyle w:val="FootnoteText"/>
        <w:jc w:val="both"/>
        <w:rPr>
          <w:rFonts w:ascii="Times New Roman" w:hAnsi="Times New Roman" w:cs="Times New Roman"/>
          <w:lang w:val="de-DE"/>
        </w:rPr>
      </w:pPr>
      <w:r w:rsidRPr="00B76ECC">
        <w:rPr>
          <w:rStyle w:val="FootnoteReference"/>
          <w:rFonts w:ascii="Times New Roman" w:hAnsi="Times New Roman" w:cs="Times New Roman"/>
        </w:rPr>
        <w:footnoteRef/>
      </w:r>
      <w:r w:rsidRPr="00560FB8">
        <w:rPr>
          <w:rFonts w:ascii="Times New Roman" w:hAnsi="Times New Roman" w:cs="Times New Roman"/>
          <w:lang w:val="de-DE"/>
        </w:rPr>
        <w:t xml:space="preserve"> Bonhoeffer, Christus... 55-57.</w:t>
      </w:r>
    </w:p>
  </w:footnote>
  <w:footnote w:id="148">
    <w:p w14:paraId="183EDE8D" w14:textId="77777777" w:rsidR="001C3247" w:rsidRPr="00B76ECC" w:rsidRDefault="001C3247" w:rsidP="00560FB8">
      <w:pPr>
        <w:pStyle w:val="FootnoteText"/>
        <w:jc w:val="both"/>
        <w:rPr>
          <w:rFonts w:ascii="Times New Roman" w:hAnsi="Times New Roman" w:cs="Times New Roman"/>
          <w:lang w:val="de-DE"/>
        </w:rPr>
      </w:pPr>
      <w:r w:rsidRPr="00B76ECC">
        <w:rPr>
          <w:rStyle w:val="FootnoteReference"/>
          <w:rFonts w:ascii="Times New Roman" w:hAnsi="Times New Roman" w:cs="Times New Roman"/>
        </w:rPr>
        <w:footnoteRef/>
      </w:r>
      <w:r w:rsidRPr="00B76ECC">
        <w:rPr>
          <w:rFonts w:ascii="Times New Roman" w:hAnsi="Times New Roman" w:cs="Times New Roman"/>
          <w:lang w:val="de-DE"/>
        </w:rPr>
        <w:t xml:space="preserve"> Peter Badura, Verfassung, Staat und Gesellschaft in der Sicht des Bundesverfassungsgericht in </w:t>
      </w:r>
      <w:r w:rsidRPr="00141CA8">
        <w:rPr>
          <w:rFonts w:ascii="Times New Roman" w:hAnsi="Times New Roman" w:cs="Times New Roman"/>
          <w:i/>
          <w:iCs/>
          <w:lang w:val="de-DE"/>
        </w:rPr>
        <w:t>Bundesverfassungsgericht und Grundgesetz: Festgabe aus Anlass des 25 jährigen Bestehens des Bundesverfassungsgerichts</w:t>
      </w:r>
      <w:r w:rsidRPr="00B76ECC">
        <w:rPr>
          <w:rFonts w:ascii="Times New Roman" w:hAnsi="Times New Roman" w:cs="Times New Roman"/>
          <w:lang w:val="de-DE"/>
        </w:rPr>
        <w:t>, v. 2 (Tübingen: Mohr Siebeck, 1976) 2; see also BverfGE 3, 225, 234-235. (Gleichberechtigung)</w:t>
      </w:r>
    </w:p>
  </w:footnote>
  <w:footnote w:id="149">
    <w:p w14:paraId="3EEC95E6" w14:textId="77777777" w:rsidR="001C3247" w:rsidRPr="00B76ECC" w:rsidRDefault="001C3247" w:rsidP="00560FB8">
      <w:pPr>
        <w:pStyle w:val="FootnoteText"/>
        <w:jc w:val="both"/>
        <w:rPr>
          <w:rFonts w:ascii="Times New Roman" w:hAnsi="Times New Roman" w:cs="Times New Roman"/>
          <w:lang w:val="en-US"/>
        </w:rPr>
      </w:pPr>
      <w:r w:rsidRPr="00B76ECC">
        <w:rPr>
          <w:rStyle w:val="FootnoteReference"/>
          <w:rFonts w:ascii="Times New Roman" w:hAnsi="Times New Roman" w:cs="Times New Roman"/>
        </w:rPr>
        <w:footnoteRef/>
      </w:r>
      <w:r w:rsidRPr="00BD3702">
        <w:rPr>
          <w:rFonts w:ascii="Times New Roman" w:hAnsi="Times New Roman" w:cs="Times New Roman"/>
          <w:lang w:val="de-DE"/>
        </w:rPr>
        <w:t xml:space="preserve"> See Gerhard Leibholz, Verfassungsrecht und Verfassungswirklichkeit in </w:t>
      </w:r>
      <w:r w:rsidRPr="00BD3702">
        <w:rPr>
          <w:rFonts w:ascii="Times New Roman" w:hAnsi="Times New Roman" w:cs="Times New Roman"/>
          <w:i/>
          <w:iCs/>
          <w:lang w:val="de-DE"/>
        </w:rPr>
        <w:t>Die Repräsentation in der Demokratie</w:t>
      </w:r>
      <w:r w:rsidRPr="00BD3702">
        <w:rPr>
          <w:rFonts w:ascii="Times New Roman" w:hAnsi="Times New Roman" w:cs="Times New Roman"/>
          <w:lang w:val="de-DE"/>
        </w:rPr>
        <w:t xml:space="preserve"> (Berlin/New York: Walter de Gruyter, 1973) 271 (“The existing tension between constitutional law and constitutional reality is ultimately a tension inherent to life, mirroring the tension between normativity and existentiality, between ought and being, between ethical reason and nature. </w:t>
      </w:r>
      <w:r w:rsidRPr="00B76ECC">
        <w:rPr>
          <w:rFonts w:ascii="Times New Roman" w:hAnsi="Times New Roman" w:cs="Times New Roman"/>
          <w:lang w:val="en-US"/>
        </w:rPr>
        <w:t xml:space="preserve">The task is therefore to rectify through a creative interpretation of the constitution this existing dialectic tension in </w:t>
      </w:r>
      <w:proofErr w:type="spellStart"/>
      <w:r w:rsidRPr="00B76ECC">
        <w:rPr>
          <w:rFonts w:ascii="Times New Roman" w:hAnsi="Times New Roman" w:cs="Times New Roman"/>
          <w:lang w:val="en-US"/>
        </w:rPr>
        <w:t>concreto</w:t>
      </w:r>
      <w:proofErr w:type="spellEnd"/>
      <w:r w:rsidRPr="00B76ECC">
        <w:rPr>
          <w:rFonts w:ascii="Times New Roman" w:hAnsi="Times New Roman" w:cs="Times New Roman"/>
          <w:lang w:val="en-US"/>
        </w:rPr>
        <w:t>[.] […] Therefore the constitutional jurist must also understand something of the essence of the political and its forces, if he wants to live up to the dignity and intrinsic value of the legal norms.”)</w:t>
      </w:r>
    </w:p>
  </w:footnote>
  <w:footnote w:id="150">
    <w:p w14:paraId="3C7C30BA" w14:textId="77777777" w:rsidR="001C3247" w:rsidRPr="00B76ECC" w:rsidRDefault="001C3247" w:rsidP="00560FB8">
      <w:pPr>
        <w:pStyle w:val="FootnoteText"/>
        <w:jc w:val="both"/>
        <w:rPr>
          <w:rFonts w:ascii="Times New Roman" w:hAnsi="Times New Roman" w:cs="Times New Roman"/>
          <w:lang w:val="de-DE"/>
        </w:rPr>
      </w:pPr>
      <w:r w:rsidRPr="00B76ECC">
        <w:rPr>
          <w:rStyle w:val="FootnoteReference"/>
          <w:rFonts w:ascii="Times New Roman" w:hAnsi="Times New Roman" w:cs="Times New Roman"/>
        </w:rPr>
        <w:footnoteRef/>
      </w:r>
      <w:r w:rsidRPr="00B76ECC">
        <w:rPr>
          <w:rFonts w:ascii="Times New Roman" w:hAnsi="Times New Roman" w:cs="Times New Roman"/>
          <w:lang w:val="de-DE"/>
        </w:rPr>
        <w:t xml:space="preserve"> Christoph Gusy, “Vergangenheitsrechtsprechung:” Die Nachwirkungen Weimars in der Rechsprechung des Bundesverfassungsgericht in Gusy (ed.) Weimars lange Schatten – „Weimar“ als Argument nach 1945 (Baden-Baden: Nomos, 2003) esp. 411-418.</w:t>
      </w:r>
    </w:p>
  </w:footnote>
  <w:footnote w:id="151">
    <w:p w14:paraId="036632B4" w14:textId="77777777" w:rsidR="001C3247" w:rsidRPr="00B76ECC" w:rsidRDefault="001C3247" w:rsidP="00560FB8">
      <w:pPr>
        <w:pStyle w:val="FootnoteText"/>
        <w:jc w:val="both"/>
        <w:rPr>
          <w:rFonts w:ascii="Times New Roman" w:hAnsi="Times New Roman" w:cs="Times New Roman"/>
          <w:lang w:val="de-DE"/>
        </w:rPr>
      </w:pPr>
      <w:r w:rsidRPr="00B76ECC">
        <w:rPr>
          <w:rStyle w:val="FootnoteReference"/>
          <w:rFonts w:ascii="Times New Roman" w:hAnsi="Times New Roman" w:cs="Times New Roman"/>
        </w:rPr>
        <w:footnoteRef/>
      </w:r>
      <w:r w:rsidRPr="00B76ECC">
        <w:rPr>
          <w:rFonts w:ascii="Times New Roman" w:hAnsi="Times New Roman" w:cs="Times New Roman"/>
          <w:lang w:val="de-DE"/>
        </w:rPr>
        <w:t xml:space="preserve"> Leibholz, Bericht... 125</w:t>
      </w:r>
    </w:p>
  </w:footnote>
  <w:footnote w:id="152">
    <w:p w14:paraId="02B3E2C9" w14:textId="5E2C41EE" w:rsidR="001C3247" w:rsidRPr="00B76ECC" w:rsidRDefault="001C3247" w:rsidP="00560FB8">
      <w:pPr>
        <w:pStyle w:val="FootnoteText"/>
        <w:jc w:val="both"/>
        <w:rPr>
          <w:rFonts w:ascii="Times New Roman" w:hAnsi="Times New Roman" w:cs="Times New Roman"/>
          <w:lang w:val="en-US"/>
        </w:rPr>
      </w:pPr>
      <w:r w:rsidRPr="00B76ECC">
        <w:rPr>
          <w:rStyle w:val="FootnoteReference"/>
          <w:rFonts w:ascii="Times New Roman" w:hAnsi="Times New Roman" w:cs="Times New Roman"/>
        </w:rPr>
        <w:footnoteRef/>
      </w:r>
      <w:r w:rsidRPr="00B76ECC">
        <w:rPr>
          <w:rFonts w:ascii="Times New Roman" w:hAnsi="Times New Roman" w:cs="Times New Roman"/>
          <w:lang w:val="de-DE"/>
        </w:rPr>
        <w:t xml:space="preserve"> </w:t>
      </w:r>
      <w:r>
        <w:rPr>
          <w:rFonts w:ascii="Times New Roman" w:hAnsi="Times New Roman" w:cs="Times New Roman"/>
          <w:lang w:val="de-DE"/>
        </w:rPr>
        <w:t xml:space="preserve">1 Corinthinas 13, 1, </w:t>
      </w:r>
      <w:r w:rsidRPr="00B76ECC">
        <w:rPr>
          <w:rFonts w:ascii="Times New Roman" w:hAnsi="Times New Roman" w:cs="Times New Roman"/>
          <w:lang w:val="de-DE"/>
        </w:rPr>
        <w:t xml:space="preserve">in Luther’s translation. </w:t>
      </w:r>
      <w:r w:rsidRPr="00B76ECC">
        <w:rPr>
          <w:rFonts w:ascii="Times New Roman" w:hAnsi="Times New Roman" w:cs="Times New Roman"/>
          <w:lang w:val="en-US"/>
        </w:rPr>
        <w:t>“We see now through a mirror in an obscure word, but then from countenance to countenance. Now I recognize partially; but then I will recognize, just as I have been recognized.”</w:t>
      </w:r>
    </w:p>
  </w:footnote>
  <w:footnote w:id="153">
    <w:p w14:paraId="6BAD5154" w14:textId="0507E749" w:rsidR="001C3247" w:rsidRPr="00B76ECC" w:rsidRDefault="001C3247" w:rsidP="00007624">
      <w:pPr>
        <w:pStyle w:val="FootnoteText"/>
        <w:jc w:val="both"/>
        <w:rPr>
          <w:rFonts w:ascii="Times New Roman" w:hAnsi="Times New Roman" w:cs="Times New Roman"/>
          <w:lang w:val="en-US"/>
        </w:rPr>
      </w:pPr>
      <w:r w:rsidRPr="00B76ECC">
        <w:rPr>
          <w:rStyle w:val="FootnoteReference"/>
          <w:rFonts w:ascii="Times New Roman" w:hAnsi="Times New Roman" w:cs="Times New Roman"/>
        </w:rPr>
        <w:footnoteRef/>
      </w:r>
      <w:r w:rsidRPr="00B76ECC">
        <w:rPr>
          <w:rFonts w:ascii="Times New Roman" w:hAnsi="Times New Roman" w:cs="Times New Roman"/>
          <w:lang w:val="en-US"/>
        </w:rPr>
        <w:t xml:space="preserve"> Regarding the US law-world, one must note the thread of scholarship around the maxim “Christianity is parcel of the laws of England,” which was the battleground in the 19</w:t>
      </w:r>
      <w:r w:rsidRPr="00B76ECC">
        <w:rPr>
          <w:rFonts w:ascii="Times New Roman" w:hAnsi="Times New Roman" w:cs="Times New Roman"/>
          <w:vertAlign w:val="superscript"/>
          <w:lang w:val="en-US"/>
        </w:rPr>
        <w:t>th</w:t>
      </w:r>
      <w:r w:rsidRPr="00B76ECC">
        <w:rPr>
          <w:rFonts w:ascii="Times New Roman" w:hAnsi="Times New Roman" w:cs="Times New Roman"/>
          <w:lang w:val="en-US"/>
        </w:rPr>
        <w:t xml:space="preserve"> century for many, among which once again Thomas Jefferson and Joseph Story. For the classic discussion of the maxim in English Law, see W. S. Holdsworth, </w:t>
      </w:r>
      <w:r w:rsidRPr="00B76ECC">
        <w:rPr>
          <w:rFonts w:ascii="Times New Roman" w:hAnsi="Times New Roman" w:cs="Times New Roman"/>
          <w:i/>
          <w:iCs/>
          <w:lang w:val="en-US"/>
        </w:rPr>
        <w:t>A History of English Law</w:t>
      </w:r>
      <w:r w:rsidRPr="00B76ECC">
        <w:rPr>
          <w:rFonts w:ascii="Times New Roman" w:hAnsi="Times New Roman" w:cs="Times New Roman"/>
          <w:lang w:val="en-US"/>
        </w:rPr>
        <w:t xml:space="preserve"> v. 8 (Boston: </w:t>
      </w:r>
      <w:proofErr w:type="spellStart"/>
      <w:r w:rsidRPr="00B76ECC">
        <w:rPr>
          <w:rFonts w:ascii="Times New Roman" w:hAnsi="Times New Roman" w:cs="Times New Roman"/>
          <w:lang w:val="en-US"/>
        </w:rPr>
        <w:t>Litle</w:t>
      </w:r>
      <w:proofErr w:type="spellEnd"/>
      <w:r w:rsidRPr="00B76ECC">
        <w:rPr>
          <w:rFonts w:ascii="Times New Roman" w:hAnsi="Times New Roman" w:cs="Times New Roman"/>
          <w:lang w:val="en-US"/>
        </w:rPr>
        <w:t>, Brown, 1926) 403, n. 5; for the maxim’s fortune in 19</w:t>
      </w:r>
      <w:r w:rsidRPr="00B76ECC">
        <w:rPr>
          <w:rFonts w:ascii="Times New Roman" w:hAnsi="Times New Roman" w:cs="Times New Roman"/>
          <w:vertAlign w:val="superscript"/>
          <w:lang w:val="en-US"/>
        </w:rPr>
        <w:t>th</w:t>
      </w:r>
      <w:r w:rsidRPr="00B76ECC">
        <w:rPr>
          <w:rFonts w:ascii="Times New Roman" w:hAnsi="Times New Roman" w:cs="Times New Roman"/>
          <w:lang w:val="en-US"/>
        </w:rPr>
        <w:t xml:space="preserve"> century United States, the best entry is still Stuart Banner, When Christianity Was Part of the Common Law, 16 </w:t>
      </w:r>
      <w:r w:rsidRPr="00B76ECC">
        <w:rPr>
          <w:rFonts w:ascii="Times New Roman" w:hAnsi="Times New Roman" w:cs="Times New Roman"/>
          <w:i/>
          <w:iCs/>
          <w:lang w:val="en-US"/>
        </w:rPr>
        <w:t>Law and History Review</w:t>
      </w:r>
      <w:r w:rsidRPr="00B76ECC">
        <w:rPr>
          <w:rFonts w:ascii="Times New Roman" w:hAnsi="Times New Roman" w:cs="Times New Roman"/>
          <w:lang w:val="en-US"/>
        </w:rPr>
        <w:t xml:space="preserve"> 1 (1998) (who summarizes the existing literature until then, and offers a careful scrutiny of the available sources, although Banner ultimately frames the maxim as “mere rhetoric,” while rhetoric is of the greatest importance to me, as it is inherently related to the dynamics of reoccupation permeating the articulation of constitutional semantics in reference to constitutional adjudication, as ignited by the increasing autonomy of the legal system vis-à-vis politics); especially on Story’s view, see Jay Alan </w:t>
      </w:r>
      <w:proofErr w:type="spellStart"/>
      <w:r w:rsidRPr="00B76ECC">
        <w:rPr>
          <w:rFonts w:ascii="Times New Roman" w:hAnsi="Times New Roman" w:cs="Times New Roman"/>
          <w:lang w:val="en-US"/>
        </w:rPr>
        <w:t>Sekulow</w:t>
      </w:r>
      <w:proofErr w:type="spellEnd"/>
      <w:r w:rsidRPr="00B76ECC">
        <w:rPr>
          <w:rFonts w:ascii="Times New Roman" w:hAnsi="Times New Roman" w:cs="Times New Roman"/>
          <w:lang w:val="en-US"/>
        </w:rPr>
        <w:t xml:space="preserve">; Jeremy Tedesco, The Story behind Vidal v. Girard’s Executors: Joseph Story, the Philadelphia Bible Riots, and Religious Liberty, 32 </w:t>
      </w:r>
      <w:proofErr w:type="spellStart"/>
      <w:r w:rsidRPr="00B76ECC">
        <w:rPr>
          <w:rFonts w:ascii="Times New Roman" w:hAnsi="Times New Roman" w:cs="Times New Roman"/>
          <w:i/>
          <w:iCs/>
          <w:lang w:val="en-US"/>
        </w:rPr>
        <w:t>Pepp</w:t>
      </w:r>
      <w:proofErr w:type="spellEnd"/>
      <w:r w:rsidRPr="00B76ECC">
        <w:rPr>
          <w:rFonts w:ascii="Times New Roman" w:hAnsi="Times New Roman" w:cs="Times New Roman"/>
          <w:i/>
          <w:iCs/>
          <w:lang w:val="en-US"/>
        </w:rPr>
        <w:t>. L. Rev</w:t>
      </w:r>
      <w:r w:rsidRPr="00B76ECC">
        <w:rPr>
          <w:rFonts w:ascii="Times New Roman" w:hAnsi="Times New Roman" w:cs="Times New Roman"/>
          <w:lang w:val="en-US"/>
        </w:rPr>
        <w:t xml:space="preserve">. 3 (2005); and James McClellan, </w:t>
      </w:r>
      <w:r w:rsidRPr="00B76ECC">
        <w:rPr>
          <w:rFonts w:ascii="Times New Roman" w:hAnsi="Times New Roman" w:cs="Times New Roman"/>
          <w:i/>
          <w:iCs/>
          <w:lang w:val="en-US"/>
        </w:rPr>
        <w:t>Joseph Story and the American Constitution</w:t>
      </w:r>
      <w:r w:rsidRPr="00B76ECC">
        <w:rPr>
          <w:rFonts w:ascii="Times New Roman" w:hAnsi="Times New Roman" w:cs="Times New Roman"/>
          <w:lang w:val="en-US"/>
        </w:rPr>
        <w:t xml:space="preserve">… </w:t>
      </w:r>
      <w:r w:rsidRPr="00560FB8">
        <w:rPr>
          <w:rFonts w:ascii="Times New Roman" w:hAnsi="Times New Roman" w:cs="Times New Roman"/>
          <w:lang w:val="de-DE"/>
        </w:rPr>
        <w:t xml:space="preserve">118-159. </w:t>
      </w:r>
      <w:r w:rsidRPr="00B76ECC">
        <w:rPr>
          <w:rFonts w:ascii="Times New Roman" w:hAnsi="Times New Roman" w:cs="Times New Roman"/>
          <w:lang w:val="de-DE"/>
        </w:rPr>
        <w:t xml:space="preserve">Regarding post-war Germany, see esp. Birgit von Bülow, </w:t>
      </w:r>
      <w:r w:rsidRPr="00B76ECC">
        <w:rPr>
          <w:rFonts w:ascii="Times New Roman" w:hAnsi="Times New Roman" w:cs="Times New Roman"/>
          <w:i/>
          <w:iCs/>
          <w:lang w:val="de-DE"/>
        </w:rPr>
        <w:t>Die Staatsrechtslehre der Nachkriegszeit (1945-1952</w:t>
      </w:r>
      <w:r w:rsidRPr="00B76ECC">
        <w:rPr>
          <w:rFonts w:ascii="Times New Roman" w:hAnsi="Times New Roman" w:cs="Times New Roman"/>
          <w:lang w:val="de-DE"/>
        </w:rPr>
        <w:t xml:space="preserve">) (Baden-Baden: Nomos, 1996). </w:t>
      </w:r>
      <w:r w:rsidRPr="00B76ECC">
        <w:rPr>
          <w:rFonts w:ascii="Times New Roman" w:hAnsi="Times New Roman" w:cs="Times New Roman"/>
          <w:lang w:val="en-US"/>
        </w:rPr>
        <w:t xml:space="preserve">Of course, regarding the relationship between law, “legal imagination” and the reformation, the scholarship is massive. See, for instance, Harold Berman, Law and Revolution II: The Impact of the Protestant Reformations on the Western Legal Tradition (Cambridge: Harvard University Press, 2003); John Jr. Witte, Law and Protestantism: The Legal Teachings of the Lutheran Reformation (Cambridge: Cambridge University Press, 2002); </w:t>
      </w:r>
      <w:proofErr w:type="spellStart"/>
      <w:r w:rsidRPr="00B76ECC">
        <w:rPr>
          <w:rFonts w:ascii="Times New Roman" w:hAnsi="Times New Roman" w:cs="Times New Roman"/>
          <w:lang w:val="en-US"/>
        </w:rPr>
        <w:t>Virpi</w:t>
      </w:r>
      <w:proofErr w:type="spellEnd"/>
      <w:r w:rsidRPr="00B76ECC">
        <w:rPr>
          <w:rFonts w:ascii="Times New Roman" w:hAnsi="Times New Roman" w:cs="Times New Roman"/>
          <w:lang w:val="en-US"/>
        </w:rPr>
        <w:t xml:space="preserve"> </w:t>
      </w:r>
      <w:proofErr w:type="spellStart"/>
      <w:r w:rsidRPr="00B76ECC">
        <w:rPr>
          <w:rFonts w:ascii="Times New Roman" w:hAnsi="Times New Roman" w:cs="Times New Roman"/>
          <w:lang w:val="en-US"/>
        </w:rPr>
        <w:t>Mäkinen</w:t>
      </w:r>
      <w:proofErr w:type="spellEnd"/>
      <w:r w:rsidRPr="00B76ECC">
        <w:rPr>
          <w:rFonts w:ascii="Times New Roman" w:hAnsi="Times New Roman" w:cs="Times New Roman"/>
          <w:lang w:val="en-US"/>
        </w:rPr>
        <w:t xml:space="preserve"> (ed.) Lutheran Reformation and the Law (Leiden: Brill, 2005).</w:t>
      </w:r>
    </w:p>
  </w:footnote>
  <w:footnote w:id="154">
    <w:p w14:paraId="0E7D732A" w14:textId="77777777" w:rsidR="001C3247" w:rsidRPr="00B76ECC" w:rsidRDefault="001C3247" w:rsidP="00560FB8">
      <w:pPr>
        <w:pStyle w:val="FootnoteText"/>
        <w:jc w:val="both"/>
        <w:rPr>
          <w:rFonts w:ascii="Times New Roman" w:hAnsi="Times New Roman" w:cs="Times New Roman"/>
          <w:lang w:val="en-US"/>
        </w:rPr>
      </w:pPr>
      <w:r w:rsidRPr="00B76ECC">
        <w:rPr>
          <w:rStyle w:val="FootnoteReference"/>
          <w:rFonts w:ascii="Times New Roman" w:hAnsi="Times New Roman" w:cs="Times New Roman"/>
        </w:rPr>
        <w:footnoteRef/>
      </w:r>
      <w:r w:rsidRPr="00B76ECC">
        <w:rPr>
          <w:rFonts w:ascii="Times New Roman" w:hAnsi="Times New Roman" w:cs="Times New Roman"/>
          <w:lang w:val="en-US"/>
        </w:rPr>
        <w:t xml:space="preserve"> New York Supreme Court, People v. Ruggles, 8 Johns. 290 (1811).</w:t>
      </w:r>
    </w:p>
  </w:footnote>
  <w:footnote w:id="155">
    <w:p w14:paraId="7DB7CAAD" w14:textId="77777777" w:rsidR="001C3247" w:rsidRPr="00B76ECC" w:rsidRDefault="001C3247" w:rsidP="00560FB8">
      <w:pPr>
        <w:pStyle w:val="FootnoteText"/>
        <w:jc w:val="both"/>
        <w:rPr>
          <w:rFonts w:ascii="Times New Roman" w:hAnsi="Times New Roman" w:cs="Times New Roman"/>
          <w:lang w:val="en-US"/>
        </w:rPr>
      </w:pPr>
      <w:r w:rsidRPr="00B76ECC">
        <w:rPr>
          <w:rStyle w:val="FootnoteReference"/>
          <w:rFonts w:ascii="Times New Roman" w:hAnsi="Times New Roman" w:cs="Times New Roman"/>
        </w:rPr>
        <w:footnoteRef/>
      </w:r>
      <w:r w:rsidRPr="00B76ECC">
        <w:rPr>
          <w:rFonts w:ascii="Times New Roman" w:hAnsi="Times New Roman" w:cs="Times New Roman"/>
          <w:lang w:val="en-US"/>
        </w:rPr>
        <w:t xml:space="preserve"> US Supreme Court, Vidal v. Girard’s Executors, 43 U.S. 127 (1844).</w:t>
      </w:r>
    </w:p>
  </w:footnote>
  <w:footnote w:id="156">
    <w:p w14:paraId="0EE74670" w14:textId="77777777" w:rsidR="001C3247" w:rsidRPr="00B76ECC" w:rsidRDefault="001C3247" w:rsidP="00560FB8">
      <w:pPr>
        <w:pStyle w:val="FootnoteText"/>
        <w:jc w:val="both"/>
        <w:rPr>
          <w:rFonts w:ascii="Times New Roman" w:hAnsi="Times New Roman" w:cs="Times New Roman"/>
          <w:lang w:val="en-US"/>
        </w:rPr>
      </w:pPr>
      <w:r w:rsidRPr="00B76ECC">
        <w:rPr>
          <w:rStyle w:val="FootnoteReference"/>
          <w:rFonts w:ascii="Times New Roman" w:hAnsi="Times New Roman" w:cs="Times New Roman"/>
        </w:rPr>
        <w:footnoteRef/>
      </w:r>
      <w:r w:rsidRPr="00B76ECC">
        <w:rPr>
          <w:rFonts w:ascii="Times New Roman" w:hAnsi="Times New Roman" w:cs="Times New Roman"/>
          <w:lang w:val="en-US"/>
        </w:rPr>
        <w:t xml:space="preserve"> US Supreme Court, Church of the Holy Trinity v. United States, 143 U.S. 467 (1892).</w:t>
      </w:r>
    </w:p>
  </w:footnote>
  <w:footnote w:id="157">
    <w:p w14:paraId="5985E644" w14:textId="77777777" w:rsidR="001C3247" w:rsidRPr="00B76ECC" w:rsidRDefault="001C3247" w:rsidP="00560FB8">
      <w:pPr>
        <w:pStyle w:val="FootnoteText"/>
        <w:jc w:val="both"/>
        <w:rPr>
          <w:rFonts w:ascii="Times New Roman" w:hAnsi="Times New Roman" w:cs="Times New Roman"/>
          <w:lang w:val="en-US"/>
        </w:rPr>
      </w:pPr>
      <w:r w:rsidRPr="00B76ECC">
        <w:rPr>
          <w:rStyle w:val="FootnoteReference"/>
          <w:rFonts w:ascii="Times New Roman" w:hAnsi="Times New Roman" w:cs="Times New Roman"/>
        </w:rPr>
        <w:footnoteRef/>
      </w:r>
      <w:r w:rsidRPr="00B76ECC">
        <w:rPr>
          <w:rFonts w:ascii="Times New Roman" w:hAnsi="Times New Roman" w:cs="Times New Roman"/>
          <w:lang w:val="en-US"/>
        </w:rPr>
        <w:t xml:space="preserve"> Banner, When Christianity…</w:t>
      </w:r>
    </w:p>
  </w:footnote>
  <w:footnote w:id="158">
    <w:p w14:paraId="00DFA5A9" w14:textId="77777777" w:rsidR="001C3247" w:rsidRPr="00B76ECC" w:rsidRDefault="001C3247" w:rsidP="00560FB8">
      <w:pPr>
        <w:pStyle w:val="FootnoteText"/>
        <w:jc w:val="both"/>
        <w:rPr>
          <w:rFonts w:ascii="Times New Roman" w:hAnsi="Times New Roman" w:cs="Times New Roman"/>
          <w:lang w:val="en-US"/>
        </w:rPr>
      </w:pPr>
      <w:r w:rsidRPr="00B76ECC">
        <w:rPr>
          <w:rStyle w:val="FootnoteReference"/>
          <w:rFonts w:ascii="Times New Roman" w:hAnsi="Times New Roman" w:cs="Times New Roman"/>
        </w:rPr>
        <w:footnoteRef/>
      </w:r>
      <w:r w:rsidRPr="00B76ECC">
        <w:rPr>
          <w:rFonts w:ascii="Times New Roman" w:hAnsi="Times New Roman" w:cs="Times New Roman"/>
          <w:lang w:val="en-US"/>
        </w:rPr>
        <w:t xml:space="preserve"> Ibid., 59-60.</w:t>
      </w:r>
    </w:p>
  </w:footnote>
  <w:footnote w:id="159">
    <w:p w14:paraId="1EE2E78A" w14:textId="7432C272" w:rsidR="001C3247" w:rsidRPr="00B76ECC" w:rsidRDefault="001C3247" w:rsidP="00560FB8">
      <w:pPr>
        <w:pStyle w:val="FootnoteText"/>
        <w:jc w:val="both"/>
        <w:rPr>
          <w:rFonts w:ascii="Times New Roman" w:hAnsi="Times New Roman" w:cs="Times New Roman"/>
          <w:lang w:val="en-US"/>
        </w:rPr>
      </w:pPr>
      <w:r w:rsidRPr="00B76ECC">
        <w:rPr>
          <w:rStyle w:val="FootnoteReference"/>
          <w:rFonts w:ascii="Times New Roman" w:hAnsi="Times New Roman" w:cs="Times New Roman"/>
        </w:rPr>
        <w:footnoteRef/>
      </w:r>
      <w:r w:rsidRPr="00B76ECC">
        <w:rPr>
          <w:rFonts w:ascii="Times New Roman" w:hAnsi="Times New Roman" w:cs="Times New Roman"/>
          <w:lang w:val="en-US"/>
        </w:rPr>
        <w:t xml:space="preserve"> See, for instance, Hatch, </w:t>
      </w:r>
      <w:r w:rsidRPr="00D17006">
        <w:rPr>
          <w:rFonts w:ascii="Times New Roman" w:hAnsi="Times New Roman" w:cs="Times New Roman"/>
          <w:i/>
          <w:iCs/>
          <w:lang w:val="en-US"/>
        </w:rPr>
        <w:t>The Democratization of American Christianity</w:t>
      </w:r>
      <w:r w:rsidRPr="00B76ECC">
        <w:rPr>
          <w:rFonts w:ascii="Times New Roman" w:hAnsi="Times New Roman" w:cs="Times New Roman"/>
          <w:lang w:val="en-US"/>
        </w:rPr>
        <w:t>.</w:t>
      </w:r>
    </w:p>
  </w:footnote>
  <w:footnote w:id="160">
    <w:p w14:paraId="01D953E2" w14:textId="77777777" w:rsidR="001C3247" w:rsidRPr="00B76ECC" w:rsidRDefault="001C3247" w:rsidP="00560FB8">
      <w:pPr>
        <w:pStyle w:val="FootnoteText"/>
        <w:jc w:val="both"/>
        <w:rPr>
          <w:rFonts w:ascii="Times New Roman" w:hAnsi="Times New Roman" w:cs="Times New Roman"/>
          <w:lang w:val="en-US"/>
        </w:rPr>
      </w:pPr>
      <w:r w:rsidRPr="00B76ECC">
        <w:rPr>
          <w:rStyle w:val="FootnoteReference"/>
          <w:rFonts w:ascii="Times New Roman" w:hAnsi="Times New Roman" w:cs="Times New Roman"/>
        </w:rPr>
        <w:footnoteRef/>
      </w:r>
      <w:r w:rsidRPr="00B76ECC">
        <w:rPr>
          <w:rFonts w:ascii="Times New Roman" w:hAnsi="Times New Roman" w:cs="Times New Roman"/>
          <w:lang w:val="en-US"/>
        </w:rPr>
        <w:t xml:space="preserve"> Victoria Larson, “Man of the Mountain”: Seeing Jefferson at Monticello, </w:t>
      </w:r>
      <w:r w:rsidRPr="00B76ECC">
        <w:rPr>
          <w:rFonts w:ascii="Times New Roman" w:hAnsi="Times New Roman" w:cs="Times New Roman"/>
          <w:i/>
          <w:iCs/>
          <w:lang w:val="en-US"/>
        </w:rPr>
        <w:t>42 Journal for eighteenth-century studies</w:t>
      </w:r>
      <w:r w:rsidRPr="00B76ECC">
        <w:rPr>
          <w:rFonts w:ascii="Times New Roman" w:hAnsi="Times New Roman" w:cs="Times New Roman"/>
          <w:lang w:val="en-US"/>
        </w:rPr>
        <w:t xml:space="preserve"> 3 (2019).</w:t>
      </w:r>
    </w:p>
  </w:footnote>
  <w:footnote w:id="161">
    <w:p w14:paraId="0973AD4E" w14:textId="77777777" w:rsidR="001C3247" w:rsidRPr="00B76ECC" w:rsidRDefault="001C3247" w:rsidP="00560FB8">
      <w:pPr>
        <w:pStyle w:val="FootnoteText"/>
        <w:jc w:val="both"/>
        <w:rPr>
          <w:rFonts w:ascii="Times New Roman" w:hAnsi="Times New Roman" w:cs="Times New Roman"/>
          <w:lang w:val="en-US"/>
        </w:rPr>
      </w:pPr>
      <w:r w:rsidRPr="00B76ECC">
        <w:rPr>
          <w:rStyle w:val="FootnoteReference"/>
          <w:rFonts w:ascii="Times New Roman" w:hAnsi="Times New Roman" w:cs="Times New Roman"/>
        </w:rPr>
        <w:footnoteRef/>
      </w:r>
      <w:r w:rsidRPr="00B76ECC">
        <w:rPr>
          <w:rFonts w:ascii="Times New Roman" w:hAnsi="Times New Roman" w:cs="Times New Roman"/>
          <w:lang w:val="en-US"/>
        </w:rPr>
        <w:t xml:space="preserve"> Thomas Jefferson, </w:t>
      </w:r>
      <w:r w:rsidRPr="00D17006">
        <w:rPr>
          <w:rFonts w:ascii="Times New Roman" w:hAnsi="Times New Roman" w:cs="Times New Roman"/>
          <w:i/>
          <w:iCs/>
          <w:lang w:val="en-US"/>
        </w:rPr>
        <w:t>From Thomas Jefferson to John Cartwright</w:t>
      </w:r>
      <w:r w:rsidRPr="00B76ECC">
        <w:rPr>
          <w:rFonts w:ascii="Times New Roman" w:hAnsi="Times New Roman" w:cs="Times New Roman"/>
          <w:lang w:val="en-US"/>
        </w:rPr>
        <w:t>, 5 June 1824, available at https://founders.archives.gov/documents/Jefferson/98-01-02-4313.</w:t>
      </w:r>
    </w:p>
  </w:footnote>
  <w:footnote w:id="162">
    <w:p w14:paraId="35CC3AE7" w14:textId="77777777" w:rsidR="001C3247" w:rsidRPr="00BD3702" w:rsidRDefault="001C3247" w:rsidP="00560FB8">
      <w:pPr>
        <w:pStyle w:val="FootnoteText"/>
        <w:jc w:val="both"/>
        <w:rPr>
          <w:rFonts w:ascii="Times New Roman" w:hAnsi="Times New Roman" w:cs="Times New Roman"/>
          <w:lang w:val="en-US"/>
        </w:rPr>
      </w:pPr>
      <w:r w:rsidRPr="00B76ECC">
        <w:rPr>
          <w:rStyle w:val="FootnoteReference"/>
          <w:rFonts w:ascii="Times New Roman" w:hAnsi="Times New Roman" w:cs="Times New Roman"/>
        </w:rPr>
        <w:footnoteRef/>
      </w:r>
      <w:r w:rsidRPr="00BD3702">
        <w:rPr>
          <w:rFonts w:ascii="Times New Roman" w:hAnsi="Times New Roman" w:cs="Times New Roman"/>
          <w:lang w:val="en-US"/>
        </w:rPr>
        <w:t xml:space="preserve"> Idem.</w:t>
      </w:r>
    </w:p>
  </w:footnote>
  <w:footnote w:id="163">
    <w:p w14:paraId="76FC9386" w14:textId="77777777" w:rsidR="001C3247" w:rsidRPr="00BD3702" w:rsidRDefault="001C3247" w:rsidP="00560FB8">
      <w:pPr>
        <w:pStyle w:val="FootnoteText"/>
        <w:jc w:val="both"/>
        <w:rPr>
          <w:rFonts w:ascii="Times New Roman" w:hAnsi="Times New Roman" w:cs="Times New Roman"/>
          <w:lang w:val="en-US"/>
        </w:rPr>
      </w:pPr>
      <w:r w:rsidRPr="00B76ECC">
        <w:rPr>
          <w:rStyle w:val="FootnoteReference"/>
          <w:rFonts w:ascii="Times New Roman" w:hAnsi="Times New Roman" w:cs="Times New Roman"/>
        </w:rPr>
        <w:footnoteRef/>
      </w:r>
      <w:r w:rsidRPr="00BD3702">
        <w:rPr>
          <w:rFonts w:ascii="Times New Roman" w:hAnsi="Times New Roman" w:cs="Times New Roman"/>
          <w:lang w:val="en-US"/>
        </w:rPr>
        <w:t xml:space="preserve"> Idem.</w:t>
      </w:r>
    </w:p>
  </w:footnote>
  <w:footnote w:id="164">
    <w:p w14:paraId="52B46C4C" w14:textId="77777777" w:rsidR="001C3247" w:rsidRPr="00B76ECC" w:rsidRDefault="001C3247" w:rsidP="00560FB8">
      <w:pPr>
        <w:pStyle w:val="FootnoteText"/>
        <w:jc w:val="both"/>
        <w:rPr>
          <w:rFonts w:ascii="Times New Roman" w:hAnsi="Times New Roman" w:cs="Times New Roman"/>
          <w:lang w:val="en-US"/>
        </w:rPr>
      </w:pPr>
      <w:r w:rsidRPr="00B76ECC">
        <w:rPr>
          <w:rStyle w:val="FootnoteReference"/>
          <w:rFonts w:ascii="Times New Roman" w:hAnsi="Times New Roman" w:cs="Times New Roman"/>
        </w:rPr>
        <w:footnoteRef/>
      </w:r>
      <w:r w:rsidRPr="00B76ECC">
        <w:rPr>
          <w:rFonts w:ascii="Times New Roman" w:hAnsi="Times New Roman" w:cs="Times New Roman"/>
          <w:lang w:val="en-US"/>
        </w:rPr>
        <w:t xml:space="preserve"> Daniel Webster, </w:t>
      </w:r>
      <w:r w:rsidRPr="00B76ECC">
        <w:rPr>
          <w:rFonts w:ascii="Times New Roman" w:hAnsi="Times New Roman" w:cs="Times New Roman"/>
          <w:i/>
          <w:iCs/>
          <w:lang w:val="en-US"/>
        </w:rPr>
        <w:t>The Writings and Speeches of Daniel Webster</w:t>
      </w:r>
      <w:r w:rsidRPr="00B76ECC">
        <w:rPr>
          <w:rFonts w:ascii="Times New Roman" w:hAnsi="Times New Roman" w:cs="Times New Roman"/>
          <w:lang w:val="en-US"/>
        </w:rPr>
        <w:t xml:space="preserve"> v. 11 (Boston: </w:t>
      </w:r>
      <w:proofErr w:type="spellStart"/>
      <w:r w:rsidRPr="00B76ECC">
        <w:rPr>
          <w:rFonts w:ascii="Times New Roman" w:hAnsi="Times New Roman" w:cs="Times New Roman"/>
          <w:lang w:val="en-US"/>
        </w:rPr>
        <w:t>Litle</w:t>
      </w:r>
      <w:proofErr w:type="spellEnd"/>
      <w:r w:rsidRPr="00B76ECC">
        <w:rPr>
          <w:rFonts w:ascii="Times New Roman" w:hAnsi="Times New Roman" w:cs="Times New Roman"/>
          <w:lang w:val="en-US"/>
        </w:rPr>
        <w:t>, Brown, 1903) 176.</w:t>
      </w:r>
    </w:p>
  </w:footnote>
  <w:footnote w:id="165">
    <w:p w14:paraId="6EAB79BF" w14:textId="77777777" w:rsidR="001C3247" w:rsidRPr="00B76ECC" w:rsidRDefault="001C3247" w:rsidP="00560FB8">
      <w:pPr>
        <w:pStyle w:val="FootnoteText"/>
        <w:jc w:val="both"/>
        <w:rPr>
          <w:rFonts w:ascii="Times New Roman" w:hAnsi="Times New Roman" w:cs="Times New Roman"/>
          <w:lang w:val="en-US"/>
        </w:rPr>
      </w:pPr>
      <w:r w:rsidRPr="00B76ECC">
        <w:rPr>
          <w:rStyle w:val="FootnoteReference"/>
          <w:rFonts w:ascii="Times New Roman" w:hAnsi="Times New Roman" w:cs="Times New Roman"/>
        </w:rPr>
        <w:footnoteRef/>
      </w:r>
      <w:r w:rsidRPr="00B76ECC">
        <w:rPr>
          <w:rFonts w:ascii="Times New Roman" w:hAnsi="Times New Roman" w:cs="Times New Roman"/>
          <w:lang w:val="en-US"/>
        </w:rPr>
        <w:t xml:space="preserve"> Thomas Jefferson, </w:t>
      </w:r>
      <w:r w:rsidRPr="00D17006">
        <w:rPr>
          <w:rFonts w:ascii="Times New Roman" w:hAnsi="Times New Roman" w:cs="Times New Roman"/>
          <w:i/>
          <w:iCs/>
          <w:lang w:val="en-US"/>
        </w:rPr>
        <w:t>From Thomas Jefferson to John Cartwright</w:t>
      </w:r>
      <w:r w:rsidRPr="00B76ECC">
        <w:rPr>
          <w:rFonts w:ascii="Times New Roman" w:hAnsi="Times New Roman" w:cs="Times New Roman"/>
          <w:lang w:val="en-US"/>
        </w:rPr>
        <w:t>…</w:t>
      </w:r>
    </w:p>
  </w:footnote>
  <w:footnote w:id="166">
    <w:p w14:paraId="436A81EF" w14:textId="77777777" w:rsidR="001C3247" w:rsidRPr="00B76ECC" w:rsidRDefault="001C3247" w:rsidP="00560FB8">
      <w:pPr>
        <w:pStyle w:val="FootnoteText"/>
        <w:jc w:val="both"/>
        <w:rPr>
          <w:rFonts w:ascii="Times New Roman" w:hAnsi="Times New Roman" w:cs="Times New Roman"/>
          <w:lang w:val="en-US"/>
        </w:rPr>
      </w:pPr>
      <w:r w:rsidRPr="00B76ECC">
        <w:rPr>
          <w:rStyle w:val="FootnoteReference"/>
          <w:rFonts w:ascii="Times New Roman" w:hAnsi="Times New Roman" w:cs="Times New Roman"/>
        </w:rPr>
        <w:footnoteRef/>
      </w:r>
      <w:r w:rsidRPr="00B76ECC">
        <w:rPr>
          <w:rFonts w:ascii="Times New Roman" w:hAnsi="Times New Roman" w:cs="Times New Roman"/>
          <w:lang w:val="en-US"/>
        </w:rPr>
        <w:t xml:space="preserve"> Joseph Story, Christianity: A part of the Common Law, in </w:t>
      </w:r>
      <w:r w:rsidRPr="00D17006">
        <w:rPr>
          <w:rFonts w:ascii="Times New Roman" w:hAnsi="Times New Roman" w:cs="Times New Roman"/>
          <w:i/>
          <w:iCs/>
          <w:lang w:val="en-US"/>
        </w:rPr>
        <w:t>Joseph Story: A Collection of Writings by and about an Eminent American Jurist</w:t>
      </w:r>
      <w:r w:rsidRPr="00B76ECC">
        <w:rPr>
          <w:rFonts w:ascii="Times New Roman" w:hAnsi="Times New Roman" w:cs="Times New Roman"/>
          <w:lang w:val="en-US"/>
        </w:rPr>
        <w:t>, ed. by Mortimer D. Schwartz and John C Hogan, (New York: Oceana Publications, 1959) 182</w:t>
      </w:r>
    </w:p>
  </w:footnote>
  <w:footnote w:id="167">
    <w:p w14:paraId="680776E1" w14:textId="77777777" w:rsidR="001C3247" w:rsidRPr="00BD3702" w:rsidRDefault="001C3247" w:rsidP="00560FB8">
      <w:pPr>
        <w:pStyle w:val="FootnoteText"/>
        <w:jc w:val="both"/>
        <w:rPr>
          <w:rFonts w:ascii="Times New Roman" w:hAnsi="Times New Roman" w:cs="Times New Roman"/>
          <w:lang w:val="en-US"/>
        </w:rPr>
      </w:pPr>
      <w:r w:rsidRPr="00B76ECC">
        <w:rPr>
          <w:rStyle w:val="FootnoteReference"/>
          <w:rFonts w:ascii="Times New Roman" w:hAnsi="Times New Roman" w:cs="Times New Roman"/>
        </w:rPr>
        <w:footnoteRef/>
      </w:r>
      <w:r w:rsidRPr="00BD3702">
        <w:rPr>
          <w:rFonts w:ascii="Times New Roman" w:hAnsi="Times New Roman" w:cs="Times New Roman"/>
          <w:lang w:val="en-US"/>
        </w:rPr>
        <w:t xml:space="preserve"> Idem.</w:t>
      </w:r>
    </w:p>
  </w:footnote>
  <w:footnote w:id="168">
    <w:p w14:paraId="01687367" w14:textId="77777777" w:rsidR="001C3247" w:rsidRPr="00B76ECC" w:rsidRDefault="001C3247" w:rsidP="00560FB8">
      <w:pPr>
        <w:pStyle w:val="FootnoteText"/>
        <w:jc w:val="both"/>
        <w:rPr>
          <w:rFonts w:ascii="Times New Roman" w:hAnsi="Times New Roman" w:cs="Times New Roman"/>
          <w:lang w:val="en-US"/>
        </w:rPr>
      </w:pPr>
      <w:r w:rsidRPr="00B76ECC">
        <w:rPr>
          <w:rStyle w:val="FootnoteReference"/>
          <w:rFonts w:ascii="Times New Roman" w:hAnsi="Times New Roman" w:cs="Times New Roman"/>
        </w:rPr>
        <w:footnoteRef/>
      </w:r>
      <w:r w:rsidRPr="00B76ECC">
        <w:rPr>
          <w:rFonts w:ascii="Times New Roman" w:hAnsi="Times New Roman" w:cs="Times New Roman"/>
          <w:lang w:val="en-US"/>
        </w:rPr>
        <w:t xml:space="preserve"> Id., The Value and Importance of Legal Studies, in </w:t>
      </w:r>
      <w:r w:rsidRPr="00D17006">
        <w:rPr>
          <w:rFonts w:ascii="Times New Roman" w:hAnsi="Times New Roman" w:cs="Times New Roman"/>
          <w:i/>
          <w:iCs/>
          <w:lang w:val="en-US"/>
        </w:rPr>
        <w:t>Miscellaneous Writings of Joseph Story</w:t>
      </w:r>
      <w:r w:rsidRPr="00B76ECC">
        <w:rPr>
          <w:rFonts w:ascii="Times New Roman" w:hAnsi="Times New Roman" w:cs="Times New Roman"/>
          <w:lang w:val="en-US"/>
        </w:rPr>
        <w:t>, ed. by William W. Story (Boston: C. C. Little and J. Brown, 1852) 517.</w:t>
      </w:r>
    </w:p>
  </w:footnote>
  <w:footnote w:id="169">
    <w:p w14:paraId="1F1FEBD8" w14:textId="7824EF37" w:rsidR="001C3247" w:rsidRPr="00B76ECC" w:rsidRDefault="001C3247" w:rsidP="00560FB8">
      <w:pPr>
        <w:pStyle w:val="FootnoteText"/>
        <w:jc w:val="both"/>
        <w:rPr>
          <w:rFonts w:ascii="Times New Roman" w:hAnsi="Times New Roman" w:cs="Times New Roman"/>
          <w:lang w:val="en-US"/>
        </w:rPr>
      </w:pPr>
      <w:r w:rsidRPr="00B76ECC">
        <w:rPr>
          <w:rStyle w:val="FootnoteReference"/>
          <w:rFonts w:ascii="Times New Roman" w:hAnsi="Times New Roman" w:cs="Times New Roman"/>
        </w:rPr>
        <w:footnoteRef/>
      </w:r>
      <w:r w:rsidRPr="00B76ECC">
        <w:rPr>
          <w:rFonts w:ascii="Times New Roman" w:hAnsi="Times New Roman" w:cs="Times New Roman"/>
          <w:lang w:val="en-US"/>
        </w:rPr>
        <w:t xml:space="preserve"> Thomas M. Cooley</w:t>
      </w:r>
      <w:r>
        <w:rPr>
          <w:rFonts w:ascii="Times New Roman" w:hAnsi="Times New Roman" w:cs="Times New Roman"/>
          <w:lang w:val="en-US"/>
        </w:rPr>
        <w:t>,</w:t>
      </w:r>
      <w:r w:rsidRPr="00B76ECC">
        <w:rPr>
          <w:rFonts w:ascii="Times New Roman" w:hAnsi="Times New Roman" w:cs="Times New Roman"/>
          <w:lang w:val="en-US"/>
        </w:rPr>
        <w:t xml:space="preserve"> </w:t>
      </w:r>
      <w:r w:rsidRPr="00D17006">
        <w:rPr>
          <w:rFonts w:ascii="Times New Roman" w:hAnsi="Times New Roman" w:cs="Times New Roman"/>
          <w:i/>
          <w:iCs/>
          <w:lang w:val="en-US"/>
        </w:rPr>
        <w:t>A Treatise on the Constitutional Limitations which rest upon the Legislative Power of the States of the American Union</w:t>
      </w:r>
      <w:r w:rsidRPr="00B76ECC">
        <w:rPr>
          <w:rFonts w:ascii="Times New Roman" w:hAnsi="Times New Roman" w:cs="Times New Roman"/>
          <w:lang w:val="en-US"/>
        </w:rPr>
        <w:t>, (Boston: Little, Brown and Co., 1868) 472.</w:t>
      </w:r>
    </w:p>
  </w:footnote>
  <w:footnote w:id="170">
    <w:p w14:paraId="26A78481" w14:textId="77777777" w:rsidR="001C3247" w:rsidRPr="00B76ECC" w:rsidRDefault="001C3247" w:rsidP="00560FB8">
      <w:pPr>
        <w:pStyle w:val="FootnoteText"/>
        <w:jc w:val="both"/>
        <w:rPr>
          <w:rFonts w:ascii="Times New Roman" w:hAnsi="Times New Roman" w:cs="Times New Roman"/>
          <w:lang w:val="en-US"/>
        </w:rPr>
      </w:pPr>
      <w:r w:rsidRPr="00B76ECC">
        <w:rPr>
          <w:rStyle w:val="FootnoteReference"/>
          <w:rFonts w:ascii="Times New Roman" w:hAnsi="Times New Roman" w:cs="Times New Roman"/>
        </w:rPr>
        <w:footnoteRef/>
      </w:r>
      <w:r w:rsidRPr="00B76ECC">
        <w:rPr>
          <w:rFonts w:ascii="Times New Roman" w:hAnsi="Times New Roman" w:cs="Times New Roman"/>
          <w:lang w:val="en-US"/>
        </w:rPr>
        <w:t xml:space="preserve"> US Supreme Court, Bowers v. Hardwick 478 U.S. 186 (1986). There is a huge literature on Bowers. Sharing the perspective of analysis presented therein, see Kendall Thomas, The Eclipse of Reason: A rhetorical reading of Bowers v. Hardwick, 79 </w:t>
      </w:r>
      <w:r w:rsidRPr="00D17006">
        <w:rPr>
          <w:rFonts w:ascii="Times New Roman" w:hAnsi="Times New Roman" w:cs="Times New Roman"/>
          <w:i/>
          <w:iCs/>
          <w:lang w:val="en-US"/>
        </w:rPr>
        <w:t>Virginia Law Review</w:t>
      </w:r>
      <w:r w:rsidRPr="00B76ECC">
        <w:rPr>
          <w:rFonts w:ascii="Times New Roman" w:hAnsi="Times New Roman" w:cs="Times New Roman"/>
          <w:lang w:val="en-US"/>
        </w:rPr>
        <w:t xml:space="preserve"> (1993).</w:t>
      </w:r>
    </w:p>
  </w:footnote>
  <w:footnote w:id="171">
    <w:p w14:paraId="03930F56" w14:textId="77777777" w:rsidR="001C3247" w:rsidRPr="00B76ECC" w:rsidRDefault="001C3247" w:rsidP="00560FB8">
      <w:pPr>
        <w:pStyle w:val="FootnoteText"/>
        <w:jc w:val="both"/>
        <w:rPr>
          <w:rFonts w:ascii="Times New Roman" w:hAnsi="Times New Roman" w:cs="Times New Roman"/>
          <w:lang w:val="en-US"/>
        </w:rPr>
      </w:pPr>
      <w:r w:rsidRPr="00B76ECC">
        <w:rPr>
          <w:rStyle w:val="FootnoteReference"/>
          <w:rFonts w:ascii="Times New Roman" w:hAnsi="Times New Roman" w:cs="Times New Roman"/>
        </w:rPr>
        <w:footnoteRef/>
      </w:r>
      <w:r w:rsidRPr="00B76ECC">
        <w:rPr>
          <w:rFonts w:ascii="Times New Roman" w:hAnsi="Times New Roman" w:cs="Times New Roman"/>
          <w:lang w:val="en-US"/>
        </w:rPr>
        <w:t xml:space="preserve"> Idem.</w:t>
      </w:r>
    </w:p>
  </w:footnote>
  <w:footnote w:id="172">
    <w:p w14:paraId="3BC0167E" w14:textId="77777777" w:rsidR="001C3247" w:rsidRPr="00B76ECC" w:rsidRDefault="001C3247" w:rsidP="00560FB8">
      <w:pPr>
        <w:pStyle w:val="FootnoteText"/>
        <w:jc w:val="both"/>
        <w:rPr>
          <w:rFonts w:ascii="Times New Roman" w:hAnsi="Times New Roman" w:cs="Times New Roman"/>
          <w:lang w:val="en-US"/>
        </w:rPr>
      </w:pPr>
      <w:r w:rsidRPr="00B76ECC">
        <w:rPr>
          <w:rStyle w:val="FootnoteReference"/>
          <w:rFonts w:ascii="Times New Roman" w:hAnsi="Times New Roman" w:cs="Times New Roman"/>
        </w:rPr>
        <w:footnoteRef/>
      </w:r>
      <w:r w:rsidRPr="00B76ECC">
        <w:rPr>
          <w:rFonts w:ascii="Times New Roman" w:hAnsi="Times New Roman" w:cs="Times New Roman"/>
          <w:lang w:val="en-US"/>
        </w:rPr>
        <w:t xml:space="preserve"> US Supreme Court, Bowers v. Hardwick 478 U.S. 186 (1986) (C.J. Burger concurring)</w:t>
      </w:r>
    </w:p>
  </w:footnote>
  <w:footnote w:id="173">
    <w:p w14:paraId="532BC377" w14:textId="554A7293" w:rsidR="001C3247" w:rsidRPr="00B76ECC" w:rsidRDefault="001C3247" w:rsidP="00560FB8">
      <w:pPr>
        <w:pStyle w:val="FootnoteText"/>
        <w:jc w:val="both"/>
        <w:rPr>
          <w:rFonts w:ascii="Times New Roman" w:hAnsi="Times New Roman" w:cs="Times New Roman"/>
          <w:lang w:val="de-DE"/>
        </w:rPr>
      </w:pPr>
      <w:r w:rsidRPr="00B76ECC">
        <w:rPr>
          <w:rStyle w:val="FootnoteReference"/>
          <w:rFonts w:ascii="Times New Roman" w:hAnsi="Times New Roman" w:cs="Times New Roman"/>
        </w:rPr>
        <w:footnoteRef/>
      </w:r>
      <w:r w:rsidRPr="00B76ECC">
        <w:rPr>
          <w:rFonts w:ascii="Times New Roman" w:hAnsi="Times New Roman" w:cs="Times New Roman"/>
          <w:lang w:val="de-DE"/>
        </w:rPr>
        <w:t xml:space="preserve"> Ernst von Hippel, Ungeschriebenes Verfassungsrecht, Bericht in </w:t>
      </w:r>
      <w:r w:rsidR="00C43623" w:rsidRPr="00C43623">
        <w:rPr>
          <w:rFonts w:ascii="Times New Roman" w:hAnsi="Times New Roman" w:cs="Times New Roman"/>
          <w:i/>
          <w:iCs/>
          <w:lang w:val="de-DE"/>
        </w:rPr>
        <w:t xml:space="preserve">Vereinigung der Deutschen Staatsrechtslehrer </w:t>
      </w:r>
      <w:r w:rsidRPr="00B76ECC">
        <w:rPr>
          <w:rFonts w:ascii="Times New Roman" w:hAnsi="Times New Roman" w:cs="Times New Roman"/>
          <w:lang w:val="de-DE"/>
        </w:rPr>
        <w:t>(Berlin: VVdStL, 1952) 5.</w:t>
      </w:r>
    </w:p>
  </w:footnote>
  <w:footnote w:id="174">
    <w:p w14:paraId="50F68CBD" w14:textId="77777777" w:rsidR="001C3247" w:rsidRPr="00B76ECC" w:rsidRDefault="001C3247" w:rsidP="00560FB8">
      <w:pPr>
        <w:pStyle w:val="FootnoteText"/>
        <w:jc w:val="both"/>
        <w:rPr>
          <w:rFonts w:ascii="Times New Roman" w:hAnsi="Times New Roman" w:cs="Times New Roman"/>
          <w:lang w:val="de-DE"/>
        </w:rPr>
      </w:pPr>
      <w:r w:rsidRPr="00B76ECC">
        <w:rPr>
          <w:rStyle w:val="FootnoteReference"/>
          <w:rFonts w:ascii="Times New Roman" w:hAnsi="Times New Roman" w:cs="Times New Roman"/>
        </w:rPr>
        <w:footnoteRef/>
      </w:r>
      <w:r w:rsidRPr="00B76ECC">
        <w:rPr>
          <w:rFonts w:ascii="Times New Roman" w:hAnsi="Times New Roman" w:cs="Times New Roman"/>
          <w:lang w:val="de-DE"/>
        </w:rPr>
        <w:t xml:space="preserve"> Von Bülow, </w:t>
      </w:r>
      <w:r w:rsidRPr="00B76ECC">
        <w:rPr>
          <w:rFonts w:ascii="Times New Roman" w:hAnsi="Times New Roman" w:cs="Times New Roman"/>
          <w:i/>
          <w:iCs/>
          <w:lang w:val="de-DE"/>
        </w:rPr>
        <w:t xml:space="preserve">Die Staatsrechtslehre... </w:t>
      </w:r>
      <w:r w:rsidRPr="00B76ECC">
        <w:rPr>
          <w:rFonts w:ascii="Times New Roman" w:hAnsi="Times New Roman" w:cs="Times New Roman"/>
          <w:lang w:val="de-DE"/>
        </w:rPr>
        <w:t>20.</w:t>
      </w:r>
    </w:p>
  </w:footnote>
  <w:footnote w:id="175">
    <w:p w14:paraId="1D8206B4" w14:textId="77777777" w:rsidR="001C3247" w:rsidRPr="00B76ECC" w:rsidRDefault="001C3247" w:rsidP="00560FB8">
      <w:pPr>
        <w:pStyle w:val="FootnoteText"/>
        <w:jc w:val="both"/>
        <w:rPr>
          <w:rFonts w:ascii="Times New Roman" w:hAnsi="Times New Roman" w:cs="Times New Roman"/>
          <w:lang w:val="de-DE"/>
        </w:rPr>
      </w:pPr>
      <w:r w:rsidRPr="00B76ECC">
        <w:rPr>
          <w:rStyle w:val="FootnoteReference"/>
          <w:rFonts w:ascii="Times New Roman" w:hAnsi="Times New Roman" w:cs="Times New Roman"/>
        </w:rPr>
        <w:footnoteRef/>
      </w:r>
      <w:r w:rsidRPr="00B76ECC">
        <w:rPr>
          <w:rFonts w:ascii="Times New Roman" w:hAnsi="Times New Roman" w:cs="Times New Roman"/>
          <w:lang w:val="de-DE"/>
        </w:rPr>
        <w:t xml:space="preserve"> On the Vereinigung der Deutschen Staatsrechtslehrer, see Michael Stolleis, Die Vereinigung der Deutschen Staatsrechtslehrer. Bemerkngen zu ihrer Geschichte 80 </w:t>
      </w:r>
      <w:r w:rsidRPr="00E0017A">
        <w:rPr>
          <w:rFonts w:ascii="Times New Roman" w:hAnsi="Times New Roman" w:cs="Times New Roman"/>
          <w:i/>
          <w:iCs/>
          <w:lang w:val="de-DE"/>
        </w:rPr>
        <w:t>Kritische Vierteljahresschrift für Gesetzgebung und Rechtswissenschaft</w:t>
      </w:r>
      <w:r w:rsidRPr="00B76ECC">
        <w:rPr>
          <w:rFonts w:ascii="Times New Roman" w:hAnsi="Times New Roman" w:cs="Times New Roman"/>
          <w:lang w:val="de-DE"/>
        </w:rPr>
        <w:t xml:space="preserve"> 4 (1997); see also Günther, </w:t>
      </w:r>
      <w:r w:rsidRPr="00E0017A">
        <w:rPr>
          <w:rFonts w:ascii="Times New Roman" w:hAnsi="Times New Roman" w:cs="Times New Roman"/>
          <w:i/>
          <w:iCs/>
          <w:lang w:val="de-DE"/>
        </w:rPr>
        <w:t>Denken vom Staat her</w:t>
      </w:r>
      <w:r w:rsidRPr="00B76ECC">
        <w:rPr>
          <w:rFonts w:ascii="Times New Roman" w:hAnsi="Times New Roman" w:cs="Times New Roman"/>
          <w:lang w:val="de-DE"/>
        </w:rPr>
        <w:t>...</w:t>
      </w:r>
    </w:p>
  </w:footnote>
  <w:footnote w:id="176">
    <w:p w14:paraId="2047EB47" w14:textId="040C0796" w:rsidR="001C3247" w:rsidRPr="00B76ECC" w:rsidRDefault="001C3247" w:rsidP="00560FB8">
      <w:pPr>
        <w:pStyle w:val="FootnoteText"/>
        <w:jc w:val="both"/>
        <w:rPr>
          <w:rFonts w:ascii="Times New Roman" w:hAnsi="Times New Roman" w:cs="Times New Roman"/>
          <w:lang w:val="de-DE"/>
        </w:rPr>
      </w:pPr>
      <w:r w:rsidRPr="00B76ECC">
        <w:rPr>
          <w:rStyle w:val="FootnoteReference"/>
          <w:rFonts w:ascii="Times New Roman" w:hAnsi="Times New Roman" w:cs="Times New Roman"/>
        </w:rPr>
        <w:footnoteRef/>
      </w:r>
      <w:r w:rsidRPr="00B76ECC">
        <w:rPr>
          <w:rFonts w:ascii="Times New Roman" w:hAnsi="Times New Roman" w:cs="Times New Roman"/>
          <w:lang w:val="de-DE"/>
        </w:rPr>
        <w:t xml:space="preserve"> Among others, I note Otto Bachof, </w:t>
      </w:r>
      <w:r w:rsidRPr="004F1CE6">
        <w:rPr>
          <w:rFonts w:ascii="Times New Roman" w:hAnsi="Times New Roman" w:cs="Times New Roman"/>
          <w:i/>
          <w:lang w:val="de-DE"/>
        </w:rPr>
        <w:t>Verfassungswidrige Verfassungsnormen?</w:t>
      </w:r>
      <w:r w:rsidRPr="00B76ECC">
        <w:rPr>
          <w:rFonts w:ascii="Times New Roman" w:hAnsi="Times New Roman" w:cs="Times New Roman"/>
          <w:lang w:val="de-DE"/>
        </w:rPr>
        <w:t xml:space="preserve"> (Tübingen: Mohr Siebeck, 1951); also the already mentioned Von Hippel, </w:t>
      </w:r>
      <w:r w:rsidRPr="004F1CE6">
        <w:rPr>
          <w:rFonts w:ascii="Times New Roman" w:hAnsi="Times New Roman" w:cs="Times New Roman"/>
          <w:i/>
          <w:lang w:val="de-DE"/>
        </w:rPr>
        <w:t>Ungeschriebenes Verfassungsrecht</w:t>
      </w:r>
      <w:r w:rsidRPr="00B76ECC">
        <w:rPr>
          <w:rFonts w:ascii="Times New Roman" w:hAnsi="Times New Roman" w:cs="Times New Roman"/>
          <w:lang w:val="de-DE"/>
        </w:rPr>
        <w:t>...; and Gerhard Leibholz, Der Struktur der neuen Verfassung,</w:t>
      </w:r>
      <w:r w:rsidR="00167A23" w:rsidRPr="00167A23">
        <w:rPr>
          <w:rFonts w:ascii="Times New Roman" w:hAnsi="Times New Roman" w:cs="Times New Roman"/>
          <w:i/>
          <w:lang w:val="de-DE"/>
        </w:rPr>
        <w:t xml:space="preserve"> </w:t>
      </w:r>
      <w:r w:rsidR="00167A23" w:rsidRPr="004F1CE6">
        <w:rPr>
          <w:rFonts w:ascii="Times New Roman" w:hAnsi="Times New Roman" w:cs="Times New Roman"/>
          <w:i/>
          <w:lang w:val="de-DE"/>
        </w:rPr>
        <w:t>D</w:t>
      </w:r>
      <w:r w:rsidR="00167A23">
        <w:rPr>
          <w:rFonts w:ascii="Times New Roman" w:hAnsi="Times New Roman" w:cs="Times New Roman"/>
          <w:i/>
          <w:lang w:val="de-DE"/>
        </w:rPr>
        <w:t xml:space="preserve">ie </w:t>
      </w:r>
      <w:r w:rsidR="00167A23" w:rsidRPr="004F1CE6">
        <w:rPr>
          <w:rFonts w:ascii="Times New Roman" w:hAnsi="Times New Roman" w:cs="Times New Roman"/>
          <w:i/>
          <w:lang w:val="de-DE"/>
        </w:rPr>
        <w:t>V</w:t>
      </w:r>
      <w:r w:rsidR="00167A23">
        <w:rPr>
          <w:rFonts w:ascii="Times New Roman" w:hAnsi="Times New Roman" w:cs="Times New Roman"/>
          <w:i/>
          <w:lang w:val="de-DE"/>
        </w:rPr>
        <w:t>erwaltung</w:t>
      </w:r>
      <w:r w:rsidRPr="00B76ECC">
        <w:rPr>
          <w:rFonts w:ascii="Times New Roman" w:hAnsi="Times New Roman" w:cs="Times New Roman"/>
          <w:lang w:val="de-DE"/>
        </w:rPr>
        <w:t xml:space="preserve"> (1948).</w:t>
      </w:r>
    </w:p>
  </w:footnote>
  <w:footnote w:id="177">
    <w:p w14:paraId="0219CC01" w14:textId="3C54B08D" w:rsidR="001C3247" w:rsidRPr="00B76ECC" w:rsidRDefault="001C3247" w:rsidP="00560FB8">
      <w:pPr>
        <w:pStyle w:val="FootnoteText"/>
        <w:jc w:val="both"/>
        <w:rPr>
          <w:rFonts w:ascii="Times New Roman" w:hAnsi="Times New Roman" w:cs="Times New Roman"/>
          <w:lang w:val="de-DE"/>
        </w:rPr>
      </w:pPr>
      <w:r w:rsidRPr="00B76ECC">
        <w:rPr>
          <w:rStyle w:val="FootnoteReference"/>
          <w:rFonts w:ascii="Times New Roman" w:hAnsi="Times New Roman" w:cs="Times New Roman"/>
        </w:rPr>
        <w:footnoteRef/>
      </w:r>
      <w:r w:rsidRPr="00B76ECC">
        <w:rPr>
          <w:rFonts w:ascii="Times New Roman" w:hAnsi="Times New Roman" w:cs="Times New Roman"/>
          <w:lang w:val="de-DE"/>
        </w:rPr>
        <w:t xml:space="preserve"> Such as Apelt, Zum Bedeutungswandel der Gelichheitssatzes, </w:t>
      </w:r>
      <w:r w:rsidR="00167A23" w:rsidRPr="004F1CE6">
        <w:rPr>
          <w:rFonts w:ascii="Times New Roman" w:hAnsi="Times New Roman" w:cs="Times New Roman"/>
          <w:i/>
          <w:lang w:val="de-DE"/>
        </w:rPr>
        <w:t>D</w:t>
      </w:r>
      <w:r w:rsidR="00167A23">
        <w:rPr>
          <w:rFonts w:ascii="Times New Roman" w:hAnsi="Times New Roman" w:cs="Times New Roman"/>
          <w:i/>
          <w:lang w:val="de-DE"/>
        </w:rPr>
        <w:t>eutsche Rechts-Zeitschrift</w:t>
      </w:r>
      <w:r w:rsidRPr="00B76ECC">
        <w:rPr>
          <w:rFonts w:ascii="Times New Roman" w:hAnsi="Times New Roman" w:cs="Times New Roman"/>
          <w:lang w:val="de-DE"/>
        </w:rPr>
        <w:t xml:space="preserve"> (1946); Nawiasky, Ungeschriebenes Verfassungsrecht, Ausprache, </w:t>
      </w:r>
      <w:r w:rsidRPr="004F1CE6">
        <w:rPr>
          <w:rFonts w:ascii="Times New Roman" w:hAnsi="Times New Roman" w:cs="Times New Roman"/>
          <w:i/>
          <w:lang w:val="de-DE"/>
        </w:rPr>
        <w:t>VVdStL</w:t>
      </w:r>
      <w:r w:rsidRPr="00B76ECC">
        <w:rPr>
          <w:rFonts w:ascii="Times New Roman" w:hAnsi="Times New Roman" w:cs="Times New Roman"/>
          <w:lang w:val="de-DE"/>
        </w:rPr>
        <w:t xml:space="preserve"> v. 10 (1951); and Richard Thoma, </w:t>
      </w:r>
      <w:r w:rsidR="009169A7">
        <w:rPr>
          <w:rFonts w:ascii="Times New Roman" w:hAnsi="Times New Roman" w:cs="Times New Roman"/>
          <w:i/>
          <w:lang w:val="de-DE"/>
        </w:rPr>
        <w:t>Ü</w:t>
      </w:r>
      <w:r w:rsidRPr="004F1CE6">
        <w:rPr>
          <w:rFonts w:ascii="Times New Roman" w:hAnsi="Times New Roman" w:cs="Times New Roman"/>
          <w:i/>
          <w:lang w:val="de-DE"/>
        </w:rPr>
        <w:t>ber Wesen und Erscheinungsformen der modernen Demokratie</w:t>
      </w:r>
      <w:r w:rsidRPr="00B76ECC">
        <w:rPr>
          <w:rFonts w:ascii="Times New Roman" w:hAnsi="Times New Roman" w:cs="Times New Roman"/>
          <w:lang w:val="de-DE"/>
        </w:rPr>
        <w:t xml:space="preserve"> (Bonn: F. Dümmler, 1948).</w:t>
      </w:r>
    </w:p>
  </w:footnote>
  <w:footnote w:id="178">
    <w:p w14:paraId="32B3E13C" w14:textId="0A02774F" w:rsidR="001C3247" w:rsidRPr="00B76ECC" w:rsidRDefault="001C3247" w:rsidP="00560FB8">
      <w:pPr>
        <w:pStyle w:val="FootnoteText"/>
        <w:jc w:val="both"/>
        <w:rPr>
          <w:rFonts w:ascii="Times New Roman" w:hAnsi="Times New Roman" w:cs="Times New Roman"/>
          <w:lang w:val="de-DE"/>
        </w:rPr>
      </w:pPr>
      <w:r w:rsidRPr="00B76ECC">
        <w:rPr>
          <w:rStyle w:val="FootnoteReference"/>
          <w:rFonts w:ascii="Times New Roman" w:hAnsi="Times New Roman" w:cs="Times New Roman"/>
        </w:rPr>
        <w:footnoteRef/>
      </w:r>
      <w:r w:rsidRPr="00B76ECC">
        <w:rPr>
          <w:rFonts w:ascii="Times New Roman" w:hAnsi="Times New Roman" w:cs="Times New Roman"/>
          <w:lang w:val="de-DE"/>
        </w:rPr>
        <w:t xml:space="preserve"> Notoriously, Ulrich Schneuer, Probleme und Verantwortungen der Verfassungsgerichtsbarkeit der Bundesrepublik, </w:t>
      </w:r>
      <w:r w:rsidR="00167A23">
        <w:rPr>
          <w:rFonts w:ascii="Times New Roman" w:hAnsi="Times New Roman" w:cs="Times New Roman"/>
          <w:i/>
          <w:lang w:val="de-DE"/>
        </w:rPr>
        <w:t>Deutsches Verwaltungsblatt</w:t>
      </w:r>
      <w:r w:rsidR="00167A23" w:rsidRPr="00B76ECC">
        <w:rPr>
          <w:rFonts w:ascii="Times New Roman" w:hAnsi="Times New Roman" w:cs="Times New Roman"/>
          <w:lang w:val="de-DE"/>
        </w:rPr>
        <w:t xml:space="preserve"> </w:t>
      </w:r>
      <w:r w:rsidRPr="00B76ECC">
        <w:rPr>
          <w:rFonts w:ascii="Times New Roman" w:hAnsi="Times New Roman" w:cs="Times New Roman"/>
          <w:lang w:val="de-DE"/>
        </w:rPr>
        <w:t xml:space="preserve">(1952); Theodor Maunz, </w:t>
      </w:r>
      <w:r w:rsidRPr="004F1CE6">
        <w:rPr>
          <w:rFonts w:ascii="Times New Roman" w:hAnsi="Times New Roman" w:cs="Times New Roman"/>
          <w:i/>
          <w:lang w:val="de-DE"/>
        </w:rPr>
        <w:t>Deutsches Staatsrecht</w:t>
      </w:r>
      <w:r w:rsidRPr="00B76ECC">
        <w:rPr>
          <w:rFonts w:ascii="Times New Roman" w:hAnsi="Times New Roman" w:cs="Times New Roman"/>
          <w:lang w:val="de-DE"/>
        </w:rPr>
        <w:t xml:space="preserve"> (München: C. H. Beck, 1951); and Hermann von Mangoldt, Die Grundrechte </w:t>
      </w:r>
      <w:r w:rsidR="00167A23" w:rsidRPr="00CC0702">
        <w:rPr>
          <w:rFonts w:ascii="Times New Roman" w:hAnsi="Times New Roman" w:cs="Times New Roman"/>
          <w:i/>
          <w:iCs/>
          <w:lang w:val="de-DE"/>
        </w:rPr>
        <w:t>Die Öffentliche Verwaltung</w:t>
      </w:r>
      <w:r w:rsidR="00167A23">
        <w:rPr>
          <w:rFonts w:ascii="Times New Roman" w:hAnsi="Times New Roman" w:cs="Times New Roman"/>
          <w:lang w:val="de-DE"/>
        </w:rPr>
        <w:t xml:space="preserve"> </w:t>
      </w:r>
      <w:r w:rsidRPr="00B76ECC">
        <w:rPr>
          <w:rFonts w:ascii="Times New Roman" w:hAnsi="Times New Roman" w:cs="Times New Roman"/>
          <w:lang w:val="de-DE"/>
        </w:rPr>
        <w:t>(1949).</w:t>
      </w:r>
    </w:p>
  </w:footnote>
  <w:footnote w:id="179">
    <w:p w14:paraId="39D48E58" w14:textId="77777777" w:rsidR="001C3247" w:rsidRPr="00B76ECC" w:rsidRDefault="001C3247" w:rsidP="00560FB8">
      <w:pPr>
        <w:pStyle w:val="FootnoteText"/>
        <w:jc w:val="both"/>
        <w:rPr>
          <w:rFonts w:ascii="Times New Roman" w:hAnsi="Times New Roman" w:cs="Times New Roman"/>
          <w:lang w:val="de-DE"/>
        </w:rPr>
      </w:pPr>
      <w:r w:rsidRPr="00B76ECC">
        <w:rPr>
          <w:rStyle w:val="FootnoteReference"/>
          <w:rFonts w:ascii="Times New Roman" w:hAnsi="Times New Roman" w:cs="Times New Roman"/>
        </w:rPr>
        <w:footnoteRef/>
      </w:r>
      <w:r w:rsidRPr="00B76ECC">
        <w:rPr>
          <w:rFonts w:ascii="Times New Roman" w:hAnsi="Times New Roman" w:cs="Times New Roman"/>
          <w:lang w:val="en-US"/>
        </w:rPr>
        <w:t xml:space="preserve"> See, in general, the contributions in Thomas </w:t>
      </w:r>
      <w:proofErr w:type="spellStart"/>
      <w:r w:rsidRPr="00B76ECC">
        <w:rPr>
          <w:rFonts w:ascii="Times New Roman" w:hAnsi="Times New Roman" w:cs="Times New Roman"/>
          <w:lang w:val="en-US"/>
        </w:rPr>
        <w:t>Henne</w:t>
      </w:r>
      <w:proofErr w:type="spellEnd"/>
      <w:r w:rsidRPr="00B76ECC">
        <w:rPr>
          <w:rFonts w:ascii="Times New Roman" w:hAnsi="Times New Roman" w:cs="Times New Roman"/>
          <w:lang w:val="en-US"/>
        </w:rPr>
        <w:t xml:space="preserve">; Arne </w:t>
      </w:r>
      <w:proofErr w:type="spellStart"/>
      <w:r w:rsidRPr="00B76ECC">
        <w:rPr>
          <w:rFonts w:ascii="Times New Roman" w:hAnsi="Times New Roman" w:cs="Times New Roman"/>
          <w:lang w:val="en-US"/>
        </w:rPr>
        <w:t>Riedlinger</w:t>
      </w:r>
      <w:proofErr w:type="spellEnd"/>
      <w:r w:rsidRPr="00B76ECC">
        <w:rPr>
          <w:rFonts w:ascii="Times New Roman" w:hAnsi="Times New Roman" w:cs="Times New Roman"/>
          <w:lang w:val="en-US"/>
        </w:rPr>
        <w:t xml:space="preserve"> (eds.) </w:t>
      </w:r>
      <w:r w:rsidRPr="00B76ECC">
        <w:rPr>
          <w:rFonts w:ascii="Times New Roman" w:hAnsi="Times New Roman" w:cs="Times New Roman"/>
          <w:i/>
          <w:iCs/>
          <w:lang w:val="de-DE"/>
        </w:rPr>
        <w:t>Das Lüth-Urteil aus (rechts-)historischer Sicht. Die Konflikte um Veit Harlan und die Grundrechtsjudikatur des Bundesverfassungsgerichts</w:t>
      </w:r>
      <w:r w:rsidRPr="00B76ECC">
        <w:rPr>
          <w:rFonts w:ascii="Times New Roman" w:hAnsi="Times New Roman" w:cs="Times New Roman"/>
          <w:lang w:val="de-DE"/>
        </w:rPr>
        <w:t xml:space="preserve"> (Berlin: Berliner Wissenschafts-Verlag, 2005).</w:t>
      </w:r>
    </w:p>
  </w:footnote>
  <w:footnote w:id="180">
    <w:p w14:paraId="2A65A4C1" w14:textId="77777777" w:rsidR="001C3247" w:rsidRPr="00B76ECC" w:rsidRDefault="001C3247" w:rsidP="00560FB8">
      <w:pPr>
        <w:pStyle w:val="FootnoteText"/>
        <w:jc w:val="both"/>
        <w:rPr>
          <w:rFonts w:ascii="Times New Roman" w:hAnsi="Times New Roman" w:cs="Times New Roman"/>
          <w:lang w:val="de-DE"/>
        </w:rPr>
      </w:pPr>
      <w:r w:rsidRPr="00B76ECC">
        <w:rPr>
          <w:rStyle w:val="FootnoteReference"/>
          <w:rFonts w:ascii="Times New Roman" w:hAnsi="Times New Roman" w:cs="Times New Roman"/>
        </w:rPr>
        <w:footnoteRef/>
      </w:r>
      <w:r w:rsidRPr="00B76ECC">
        <w:rPr>
          <w:rFonts w:ascii="Times New Roman" w:hAnsi="Times New Roman" w:cs="Times New Roman"/>
          <w:lang w:val="de-DE"/>
        </w:rPr>
        <w:t xml:space="preserve"> </w:t>
      </w:r>
      <w:r w:rsidRPr="00C43623">
        <w:rPr>
          <w:rFonts w:ascii="Times New Roman" w:hAnsi="Times New Roman" w:cs="Times New Roman"/>
          <w:i/>
          <w:iCs/>
          <w:lang w:val="de-DE"/>
        </w:rPr>
        <w:t>Grundgesetz für die Bundesrepublik Deutschland</w:t>
      </w:r>
      <w:r w:rsidRPr="00B76ECC">
        <w:rPr>
          <w:rFonts w:ascii="Times New Roman" w:hAnsi="Times New Roman" w:cs="Times New Roman"/>
          <w:lang w:val="de-DE"/>
        </w:rPr>
        <w:t xml:space="preserve"> (1949) Präambel (“Im Bewußtsein seiner Verantwortung vor Gott und den Menschen...“).</w:t>
      </w:r>
    </w:p>
  </w:footnote>
  <w:footnote w:id="181">
    <w:p w14:paraId="186E5157" w14:textId="571EFAAC" w:rsidR="001C3247" w:rsidRPr="00B76ECC" w:rsidRDefault="001C3247" w:rsidP="00560FB8">
      <w:pPr>
        <w:pStyle w:val="FootnoteText"/>
        <w:jc w:val="both"/>
        <w:rPr>
          <w:rFonts w:ascii="Times New Roman" w:hAnsi="Times New Roman" w:cs="Times New Roman"/>
          <w:lang w:val="de-DE"/>
        </w:rPr>
      </w:pPr>
      <w:r w:rsidRPr="00B76ECC">
        <w:rPr>
          <w:rStyle w:val="FootnoteReference"/>
          <w:rFonts w:ascii="Times New Roman" w:hAnsi="Times New Roman" w:cs="Times New Roman"/>
        </w:rPr>
        <w:footnoteRef/>
      </w:r>
      <w:r w:rsidRPr="00B76ECC">
        <w:rPr>
          <w:rFonts w:ascii="Times New Roman" w:hAnsi="Times New Roman" w:cs="Times New Roman"/>
          <w:lang w:val="de-DE"/>
        </w:rPr>
        <w:t xml:space="preserve"> Ernst-Wolfgang Böckenförde, Demokratie als Verfassungsprinzip in Josef Isensee; Paul Kirchhof (eds.) </w:t>
      </w:r>
      <w:r w:rsidRPr="004F1CE6">
        <w:rPr>
          <w:rFonts w:ascii="Times New Roman" w:hAnsi="Times New Roman" w:cs="Times New Roman"/>
          <w:i/>
          <w:lang w:val="de-DE"/>
        </w:rPr>
        <w:t>Handbuch des Staatsrechts</w:t>
      </w:r>
      <w:r w:rsidRPr="00B76ECC">
        <w:rPr>
          <w:rFonts w:ascii="Times New Roman" w:hAnsi="Times New Roman" w:cs="Times New Roman"/>
          <w:lang w:val="de-DE"/>
        </w:rPr>
        <w:t xml:space="preserve"> (Heidelberg: C. F. Müller Juristischer Verlag, 1987) 894.</w:t>
      </w:r>
    </w:p>
  </w:footnote>
  <w:footnote w:id="182">
    <w:p w14:paraId="5B33262F" w14:textId="77777777" w:rsidR="001C3247" w:rsidRPr="00B76ECC" w:rsidRDefault="001C3247" w:rsidP="00560FB8">
      <w:pPr>
        <w:pStyle w:val="FootnoteText"/>
        <w:jc w:val="both"/>
        <w:rPr>
          <w:rFonts w:ascii="Times New Roman" w:hAnsi="Times New Roman" w:cs="Times New Roman"/>
          <w:lang w:val="de-DE"/>
        </w:rPr>
      </w:pPr>
      <w:r w:rsidRPr="00B76ECC">
        <w:rPr>
          <w:rStyle w:val="FootnoteReference"/>
          <w:rFonts w:ascii="Times New Roman" w:hAnsi="Times New Roman" w:cs="Times New Roman"/>
        </w:rPr>
        <w:footnoteRef/>
      </w:r>
      <w:r w:rsidRPr="00B76ECC">
        <w:rPr>
          <w:rFonts w:ascii="Times New Roman" w:hAnsi="Times New Roman" w:cs="Times New Roman"/>
          <w:lang w:val="de-DE"/>
        </w:rPr>
        <w:t xml:space="preserve"> Kirchhof, Die Identität der Verfassung... 795</w:t>
      </w:r>
    </w:p>
  </w:footnote>
  <w:footnote w:id="183">
    <w:p w14:paraId="544CC006" w14:textId="77777777" w:rsidR="001C3247" w:rsidRPr="00B76ECC" w:rsidRDefault="001C3247" w:rsidP="00560FB8">
      <w:pPr>
        <w:pStyle w:val="FootnoteText"/>
        <w:jc w:val="both"/>
        <w:rPr>
          <w:rFonts w:ascii="Times New Roman" w:hAnsi="Times New Roman" w:cs="Times New Roman"/>
          <w:lang w:val="de-DE"/>
        </w:rPr>
      </w:pPr>
      <w:r w:rsidRPr="00B76ECC">
        <w:rPr>
          <w:rStyle w:val="FootnoteReference"/>
          <w:rFonts w:ascii="Times New Roman" w:hAnsi="Times New Roman" w:cs="Times New Roman"/>
        </w:rPr>
        <w:footnoteRef/>
      </w:r>
      <w:r w:rsidRPr="00B76ECC">
        <w:rPr>
          <w:rFonts w:ascii="Times New Roman" w:hAnsi="Times New Roman" w:cs="Times New Roman"/>
          <w:lang w:val="de-DE"/>
        </w:rPr>
        <w:t xml:space="preserve"> Klaus Stern</w:t>
      </w:r>
      <w:r w:rsidRPr="00B76ECC">
        <w:rPr>
          <w:rFonts w:ascii="Times New Roman" w:hAnsi="Times New Roman" w:cs="Times New Roman"/>
          <w:i/>
          <w:iCs/>
          <w:lang w:val="de-DE"/>
        </w:rPr>
        <w:t>, Das Staatsrecht der Bundesrepublik Deutschland</w:t>
      </w:r>
      <w:r w:rsidRPr="00B76ECC">
        <w:rPr>
          <w:rFonts w:ascii="Times New Roman" w:hAnsi="Times New Roman" w:cs="Times New Roman"/>
          <w:lang w:val="de-DE"/>
        </w:rPr>
        <w:t>, v. 1 (Munich: C. H. Beck, 1984) 102ff.</w:t>
      </w:r>
    </w:p>
  </w:footnote>
  <w:footnote w:id="184">
    <w:p w14:paraId="1F6F960D" w14:textId="77777777" w:rsidR="001C3247" w:rsidRPr="00B76ECC" w:rsidRDefault="001C3247" w:rsidP="00560FB8">
      <w:pPr>
        <w:pStyle w:val="FootnoteText"/>
        <w:jc w:val="both"/>
        <w:rPr>
          <w:rFonts w:ascii="Times New Roman" w:hAnsi="Times New Roman" w:cs="Times New Roman"/>
          <w:lang w:val="de-DE"/>
        </w:rPr>
      </w:pPr>
      <w:r w:rsidRPr="00B76ECC">
        <w:rPr>
          <w:rStyle w:val="FootnoteReference"/>
          <w:rFonts w:ascii="Times New Roman" w:hAnsi="Times New Roman" w:cs="Times New Roman"/>
        </w:rPr>
        <w:footnoteRef/>
      </w:r>
      <w:r w:rsidRPr="00B76ECC">
        <w:rPr>
          <w:rFonts w:ascii="Times New Roman" w:hAnsi="Times New Roman" w:cs="Times New Roman"/>
          <w:lang w:val="de-DE"/>
        </w:rPr>
        <w:t xml:space="preserve"> Konrad Hesse, Die normative Kraft der Verfassung in </w:t>
      </w:r>
      <w:r w:rsidRPr="00B76ECC">
        <w:rPr>
          <w:rFonts w:ascii="Times New Roman" w:hAnsi="Times New Roman" w:cs="Times New Roman"/>
          <w:i/>
          <w:iCs/>
          <w:lang w:val="de-DE"/>
        </w:rPr>
        <w:t>Konrad Hesses normative Kraft der Verfassung</w:t>
      </w:r>
      <w:r w:rsidRPr="00B76ECC">
        <w:rPr>
          <w:rFonts w:ascii="Times New Roman" w:hAnsi="Times New Roman" w:cs="Times New Roman"/>
          <w:lang w:val="de-DE"/>
        </w:rPr>
        <w:t>, ed. by Julian Krüper, Mehrdad Payandeh and Heiko Sauer (Tübingen: Mohr Siebeck, 2019).</w:t>
      </w:r>
    </w:p>
  </w:footnote>
  <w:footnote w:id="185">
    <w:p w14:paraId="16DC2B78" w14:textId="77777777" w:rsidR="001C3247" w:rsidRPr="00B76ECC" w:rsidRDefault="001C3247" w:rsidP="00560FB8">
      <w:pPr>
        <w:pStyle w:val="FootnoteText"/>
        <w:jc w:val="both"/>
        <w:rPr>
          <w:rFonts w:ascii="Times New Roman" w:hAnsi="Times New Roman" w:cs="Times New Roman"/>
          <w:lang w:val="de-DE"/>
        </w:rPr>
      </w:pPr>
      <w:r w:rsidRPr="00B76ECC">
        <w:rPr>
          <w:rStyle w:val="FootnoteReference"/>
          <w:rFonts w:ascii="Times New Roman" w:hAnsi="Times New Roman" w:cs="Times New Roman"/>
        </w:rPr>
        <w:footnoteRef/>
      </w:r>
      <w:r w:rsidRPr="00B76ECC">
        <w:rPr>
          <w:rFonts w:ascii="Times New Roman" w:hAnsi="Times New Roman" w:cs="Times New Roman"/>
          <w:lang w:val="de-DE"/>
        </w:rPr>
        <w:t xml:space="preserve"> See Theodor Maunz; Günter Dürig; Roman Herzog; Rupert Scholz, </w:t>
      </w:r>
      <w:r w:rsidRPr="00C43623">
        <w:rPr>
          <w:rFonts w:ascii="Times New Roman" w:hAnsi="Times New Roman" w:cs="Times New Roman"/>
          <w:i/>
          <w:iCs/>
          <w:lang w:val="de-DE"/>
        </w:rPr>
        <w:t>Grundgezetz Kommentar</w:t>
      </w:r>
      <w:r w:rsidRPr="00B76ECC">
        <w:rPr>
          <w:rFonts w:ascii="Times New Roman" w:hAnsi="Times New Roman" w:cs="Times New Roman"/>
          <w:lang w:val="de-DE"/>
        </w:rPr>
        <w:t xml:space="preserve"> (München: C. H. Beck, 1958) [on article 1 GG].</w:t>
      </w:r>
    </w:p>
  </w:footnote>
  <w:footnote w:id="186">
    <w:p w14:paraId="177C5DA8" w14:textId="77777777" w:rsidR="001C3247" w:rsidRPr="00B76ECC" w:rsidRDefault="001C3247" w:rsidP="00560FB8">
      <w:pPr>
        <w:pStyle w:val="FootnoteText"/>
        <w:jc w:val="both"/>
        <w:rPr>
          <w:rFonts w:ascii="Times New Roman" w:hAnsi="Times New Roman" w:cs="Times New Roman"/>
          <w:lang w:val="de-DE"/>
        </w:rPr>
      </w:pPr>
      <w:r w:rsidRPr="00B76ECC">
        <w:rPr>
          <w:rStyle w:val="FootnoteReference"/>
          <w:rFonts w:ascii="Times New Roman" w:hAnsi="Times New Roman" w:cs="Times New Roman"/>
        </w:rPr>
        <w:footnoteRef/>
      </w:r>
      <w:r w:rsidRPr="00B76ECC">
        <w:rPr>
          <w:rFonts w:ascii="Times New Roman" w:hAnsi="Times New Roman" w:cs="Times New Roman"/>
          <w:lang w:val="de-DE"/>
        </w:rPr>
        <w:t xml:space="preserve"> Illustrativelly, consider Horst Dreier, </w:t>
      </w:r>
      <w:r w:rsidRPr="00B76ECC">
        <w:rPr>
          <w:rFonts w:ascii="Times New Roman" w:hAnsi="Times New Roman" w:cs="Times New Roman"/>
          <w:i/>
          <w:iCs/>
          <w:lang w:val="de-DE"/>
        </w:rPr>
        <w:t>Säkularisierung und Sakralität</w:t>
      </w:r>
      <w:r w:rsidRPr="00B76ECC">
        <w:rPr>
          <w:rFonts w:ascii="Times New Roman" w:hAnsi="Times New Roman" w:cs="Times New Roman"/>
          <w:lang w:val="de-DE"/>
        </w:rPr>
        <w:t xml:space="preserve"> (Tübingen: Mohr Siebeck, 2013) 79ff on one side, and Joseph Isensee, Menschenwürde: die säkulare Gesellschaft auf der Suche nach dem Absoluten, 131 </w:t>
      </w:r>
      <w:r w:rsidRPr="00B76ECC">
        <w:rPr>
          <w:rFonts w:ascii="Times New Roman" w:hAnsi="Times New Roman" w:cs="Times New Roman"/>
          <w:i/>
          <w:iCs/>
          <w:lang w:val="de-DE"/>
        </w:rPr>
        <w:t>Archiv des öffentlichen Rechts</w:t>
      </w:r>
      <w:r w:rsidRPr="00B76ECC">
        <w:rPr>
          <w:rFonts w:ascii="Times New Roman" w:hAnsi="Times New Roman" w:cs="Times New Roman"/>
          <w:lang w:val="de-DE"/>
        </w:rPr>
        <w:t xml:space="preserve"> 2 (2006).</w:t>
      </w:r>
    </w:p>
  </w:footnote>
  <w:footnote w:id="187">
    <w:p w14:paraId="1921BF50" w14:textId="77777777" w:rsidR="001C3247" w:rsidRPr="00BD6FD3" w:rsidRDefault="001C3247" w:rsidP="00560FB8">
      <w:pPr>
        <w:pStyle w:val="FootnoteText"/>
        <w:jc w:val="both"/>
        <w:rPr>
          <w:lang w:val="de-DE"/>
        </w:rPr>
      </w:pPr>
      <w:r w:rsidRPr="00B76ECC">
        <w:rPr>
          <w:rStyle w:val="FootnoteReference"/>
          <w:rFonts w:ascii="Times New Roman" w:hAnsi="Times New Roman" w:cs="Times New Roman"/>
        </w:rPr>
        <w:footnoteRef/>
      </w:r>
      <w:r w:rsidRPr="00B76ECC">
        <w:rPr>
          <w:rFonts w:ascii="Times New Roman" w:hAnsi="Times New Roman" w:cs="Times New Roman"/>
          <w:lang w:val="de-DE"/>
        </w:rPr>
        <w:t xml:space="preserve"> Süddeutsche Zeitung, </w:t>
      </w:r>
      <w:r w:rsidRPr="00C43623">
        <w:rPr>
          <w:rFonts w:ascii="Times New Roman" w:hAnsi="Times New Roman" w:cs="Times New Roman"/>
          <w:i/>
          <w:iCs/>
          <w:lang w:val="de-DE"/>
        </w:rPr>
        <w:t>Händenschütteln erwünscht</w:t>
      </w:r>
      <w:r w:rsidRPr="00B76ECC">
        <w:rPr>
          <w:rFonts w:ascii="Times New Roman" w:hAnsi="Times New Roman" w:cs="Times New Roman"/>
          <w:lang w:val="de-DE"/>
        </w:rPr>
        <w:t>, 16 Oct.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2819182"/>
      <w:docPartObj>
        <w:docPartGallery w:val="Page Numbers (Top of Page)"/>
        <w:docPartUnique/>
      </w:docPartObj>
    </w:sdtPr>
    <w:sdtEndPr>
      <w:rPr>
        <w:rFonts w:ascii="Times New Roman" w:hAnsi="Times New Roman" w:cs="Times New Roman"/>
        <w:noProof/>
        <w:sz w:val="20"/>
        <w:szCs w:val="20"/>
      </w:rPr>
    </w:sdtEndPr>
    <w:sdtContent>
      <w:p w14:paraId="1D63A90D" w14:textId="15F0C418" w:rsidR="001C3247" w:rsidRPr="004F1CE6" w:rsidRDefault="001C3247">
        <w:pPr>
          <w:pStyle w:val="Header"/>
          <w:jc w:val="right"/>
          <w:rPr>
            <w:rFonts w:ascii="Times New Roman" w:hAnsi="Times New Roman" w:cs="Times New Roman"/>
            <w:sz w:val="20"/>
            <w:szCs w:val="20"/>
          </w:rPr>
        </w:pPr>
        <w:r w:rsidRPr="004F1CE6">
          <w:rPr>
            <w:rFonts w:ascii="Times New Roman" w:hAnsi="Times New Roman" w:cs="Times New Roman"/>
            <w:sz w:val="20"/>
            <w:szCs w:val="20"/>
          </w:rPr>
          <w:fldChar w:fldCharType="begin"/>
        </w:r>
        <w:r w:rsidRPr="004F1CE6">
          <w:rPr>
            <w:rFonts w:ascii="Times New Roman" w:hAnsi="Times New Roman" w:cs="Times New Roman"/>
            <w:sz w:val="20"/>
            <w:szCs w:val="20"/>
          </w:rPr>
          <w:instrText xml:space="preserve"> PAGE   \* MERGEFORMAT </w:instrText>
        </w:r>
        <w:r w:rsidRPr="004F1CE6">
          <w:rPr>
            <w:rFonts w:ascii="Times New Roman" w:hAnsi="Times New Roman" w:cs="Times New Roman"/>
            <w:sz w:val="20"/>
            <w:szCs w:val="20"/>
          </w:rPr>
          <w:fldChar w:fldCharType="separate"/>
        </w:r>
        <w:r w:rsidR="00D423CE">
          <w:rPr>
            <w:rFonts w:ascii="Times New Roman" w:hAnsi="Times New Roman" w:cs="Times New Roman"/>
            <w:noProof/>
            <w:sz w:val="20"/>
            <w:szCs w:val="20"/>
          </w:rPr>
          <w:t>46</w:t>
        </w:r>
        <w:r w:rsidRPr="004F1CE6">
          <w:rPr>
            <w:rFonts w:ascii="Times New Roman" w:hAnsi="Times New Roman" w:cs="Times New Roman"/>
            <w:noProof/>
            <w:sz w:val="20"/>
            <w:szCs w:val="20"/>
          </w:rPr>
          <w:fldChar w:fldCharType="end"/>
        </w:r>
      </w:p>
    </w:sdtContent>
  </w:sdt>
  <w:p w14:paraId="2D12B88E" w14:textId="77777777" w:rsidR="001C3247" w:rsidRDefault="001C32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7C0A3D"/>
    <w:multiLevelType w:val="multilevel"/>
    <w:tmpl w:val="01D4881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3767166F"/>
    <w:multiLevelType w:val="multilevel"/>
    <w:tmpl w:val="8B92C7C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Roman"/>
      <w:lvlText w:val="%1.%2.%3."/>
      <w:lvlJc w:val="left"/>
      <w:pPr>
        <w:ind w:left="1080" w:hanging="108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377714B7"/>
    <w:multiLevelType w:val="hybridMultilevel"/>
    <w:tmpl w:val="90B61C32"/>
    <w:lvl w:ilvl="0" w:tplc="9F54F70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4C7D2C4E"/>
    <w:multiLevelType w:val="hybridMultilevel"/>
    <w:tmpl w:val="CA049B9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60666321"/>
    <w:multiLevelType w:val="hybridMultilevel"/>
    <w:tmpl w:val="607AACA0"/>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5" w15:restartNumberingAfterBreak="0">
    <w:nsid w:val="64943B9A"/>
    <w:multiLevelType w:val="hybridMultilevel"/>
    <w:tmpl w:val="105E50CA"/>
    <w:lvl w:ilvl="0" w:tplc="9942221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680F6652"/>
    <w:multiLevelType w:val="hybridMultilevel"/>
    <w:tmpl w:val="A16EAA1A"/>
    <w:lvl w:ilvl="0" w:tplc="6E52BE7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72155D03"/>
    <w:multiLevelType w:val="multilevel"/>
    <w:tmpl w:val="20CA488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688756090">
    <w:abstractNumId w:val="6"/>
  </w:num>
  <w:num w:numId="2" w16cid:durableId="1780564144">
    <w:abstractNumId w:val="5"/>
  </w:num>
  <w:num w:numId="3" w16cid:durableId="1305815066">
    <w:abstractNumId w:val="7"/>
  </w:num>
  <w:num w:numId="4" w16cid:durableId="615449139">
    <w:abstractNumId w:val="0"/>
  </w:num>
  <w:num w:numId="5" w16cid:durableId="1964261532">
    <w:abstractNumId w:val="2"/>
  </w:num>
  <w:num w:numId="6" w16cid:durableId="535389902">
    <w:abstractNumId w:val="4"/>
  </w:num>
  <w:num w:numId="7" w16cid:durableId="500973587">
    <w:abstractNumId w:val="3"/>
  </w:num>
  <w:num w:numId="8" w16cid:durableId="17811471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Y1NTEwNrAwNTG0NLBQ0lEKTi0uzszPAykwrAUAHi9iHSwAAAA="/>
  </w:docVars>
  <w:rsids>
    <w:rsidRoot w:val="00D25E42"/>
    <w:rsid w:val="00000419"/>
    <w:rsid w:val="000016A1"/>
    <w:rsid w:val="0000237F"/>
    <w:rsid w:val="000034AE"/>
    <w:rsid w:val="00003AE3"/>
    <w:rsid w:val="0000410D"/>
    <w:rsid w:val="0000426E"/>
    <w:rsid w:val="00004D50"/>
    <w:rsid w:val="00007624"/>
    <w:rsid w:val="00007C8E"/>
    <w:rsid w:val="00010424"/>
    <w:rsid w:val="000106A0"/>
    <w:rsid w:val="00011D58"/>
    <w:rsid w:val="000132C8"/>
    <w:rsid w:val="000146F4"/>
    <w:rsid w:val="0001678F"/>
    <w:rsid w:val="00016F8C"/>
    <w:rsid w:val="00022DA9"/>
    <w:rsid w:val="00024291"/>
    <w:rsid w:val="000243F3"/>
    <w:rsid w:val="00024BA0"/>
    <w:rsid w:val="00025164"/>
    <w:rsid w:val="00025BC2"/>
    <w:rsid w:val="00034AAD"/>
    <w:rsid w:val="000358F3"/>
    <w:rsid w:val="00036E29"/>
    <w:rsid w:val="00037D61"/>
    <w:rsid w:val="00042BD9"/>
    <w:rsid w:val="000435A9"/>
    <w:rsid w:val="0004567F"/>
    <w:rsid w:val="00046E68"/>
    <w:rsid w:val="00050664"/>
    <w:rsid w:val="000525F2"/>
    <w:rsid w:val="0005431E"/>
    <w:rsid w:val="00054BD8"/>
    <w:rsid w:val="0005506D"/>
    <w:rsid w:val="000561A2"/>
    <w:rsid w:val="0006049F"/>
    <w:rsid w:val="00061C89"/>
    <w:rsid w:val="0006327D"/>
    <w:rsid w:val="000638B2"/>
    <w:rsid w:val="000648A3"/>
    <w:rsid w:val="00066995"/>
    <w:rsid w:val="0007079D"/>
    <w:rsid w:val="0007081E"/>
    <w:rsid w:val="000713DC"/>
    <w:rsid w:val="00073CC9"/>
    <w:rsid w:val="00074B6B"/>
    <w:rsid w:val="00075225"/>
    <w:rsid w:val="0007601E"/>
    <w:rsid w:val="00076BE5"/>
    <w:rsid w:val="00076CEF"/>
    <w:rsid w:val="00077397"/>
    <w:rsid w:val="0008190C"/>
    <w:rsid w:val="00084BF6"/>
    <w:rsid w:val="0008698A"/>
    <w:rsid w:val="00091484"/>
    <w:rsid w:val="000917CD"/>
    <w:rsid w:val="00092123"/>
    <w:rsid w:val="00094E7F"/>
    <w:rsid w:val="000A005C"/>
    <w:rsid w:val="000A0667"/>
    <w:rsid w:val="000A2C60"/>
    <w:rsid w:val="000A3857"/>
    <w:rsid w:val="000A608E"/>
    <w:rsid w:val="000B01A7"/>
    <w:rsid w:val="000B04DD"/>
    <w:rsid w:val="000B1EBF"/>
    <w:rsid w:val="000B2A33"/>
    <w:rsid w:val="000B37E6"/>
    <w:rsid w:val="000B5ECA"/>
    <w:rsid w:val="000B7EFA"/>
    <w:rsid w:val="000C0E77"/>
    <w:rsid w:val="000C36B2"/>
    <w:rsid w:val="000C5F85"/>
    <w:rsid w:val="000D087D"/>
    <w:rsid w:val="000D0F26"/>
    <w:rsid w:val="000D2612"/>
    <w:rsid w:val="000D4BC7"/>
    <w:rsid w:val="000E08D0"/>
    <w:rsid w:val="000E1FE8"/>
    <w:rsid w:val="000E2087"/>
    <w:rsid w:val="000E3470"/>
    <w:rsid w:val="000F0A7E"/>
    <w:rsid w:val="000F388F"/>
    <w:rsid w:val="000F60E1"/>
    <w:rsid w:val="000F6357"/>
    <w:rsid w:val="000F7BCD"/>
    <w:rsid w:val="00103CF3"/>
    <w:rsid w:val="001040F4"/>
    <w:rsid w:val="00104A5F"/>
    <w:rsid w:val="00106BEF"/>
    <w:rsid w:val="0011014B"/>
    <w:rsid w:val="001113D4"/>
    <w:rsid w:val="00111DAD"/>
    <w:rsid w:val="00112275"/>
    <w:rsid w:val="00113D2A"/>
    <w:rsid w:val="00116638"/>
    <w:rsid w:val="0012038D"/>
    <w:rsid w:val="001216D6"/>
    <w:rsid w:val="0012232B"/>
    <w:rsid w:val="0012251A"/>
    <w:rsid w:val="00122846"/>
    <w:rsid w:val="00123CDB"/>
    <w:rsid w:val="00127826"/>
    <w:rsid w:val="0013385B"/>
    <w:rsid w:val="00133DE9"/>
    <w:rsid w:val="00134A82"/>
    <w:rsid w:val="00136675"/>
    <w:rsid w:val="0013672E"/>
    <w:rsid w:val="00136D07"/>
    <w:rsid w:val="00137CF6"/>
    <w:rsid w:val="00141CA8"/>
    <w:rsid w:val="0014208F"/>
    <w:rsid w:val="00144110"/>
    <w:rsid w:val="00146442"/>
    <w:rsid w:val="0014730C"/>
    <w:rsid w:val="00152699"/>
    <w:rsid w:val="00154CEB"/>
    <w:rsid w:val="00155407"/>
    <w:rsid w:val="00155517"/>
    <w:rsid w:val="001556B1"/>
    <w:rsid w:val="00155C8A"/>
    <w:rsid w:val="00157586"/>
    <w:rsid w:val="00160C31"/>
    <w:rsid w:val="0016306A"/>
    <w:rsid w:val="00163E2D"/>
    <w:rsid w:val="00164204"/>
    <w:rsid w:val="0016453E"/>
    <w:rsid w:val="001647D5"/>
    <w:rsid w:val="00164A99"/>
    <w:rsid w:val="0016514E"/>
    <w:rsid w:val="00165F01"/>
    <w:rsid w:val="0016645B"/>
    <w:rsid w:val="00167125"/>
    <w:rsid w:val="0016792A"/>
    <w:rsid w:val="00167A23"/>
    <w:rsid w:val="00167A4D"/>
    <w:rsid w:val="00175D56"/>
    <w:rsid w:val="0017696B"/>
    <w:rsid w:val="0017729C"/>
    <w:rsid w:val="001775BC"/>
    <w:rsid w:val="00177B53"/>
    <w:rsid w:val="00180898"/>
    <w:rsid w:val="001808A3"/>
    <w:rsid w:val="0018212C"/>
    <w:rsid w:val="0018222F"/>
    <w:rsid w:val="00183892"/>
    <w:rsid w:val="0018634C"/>
    <w:rsid w:val="00186561"/>
    <w:rsid w:val="001868D7"/>
    <w:rsid w:val="00187A47"/>
    <w:rsid w:val="00190888"/>
    <w:rsid w:val="0019227B"/>
    <w:rsid w:val="0019269F"/>
    <w:rsid w:val="00193C22"/>
    <w:rsid w:val="00195DE8"/>
    <w:rsid w:val="001963B2"/>
    <w:rsid w:val="00196DA7"/>
    <w:rsid w:val="001A0241"/>
    <w:rsid w:val="001A18DE"/>
    <w:rsid w:val="001A1A2B"/>
    <w:rsid w:val="001A1EAF"/>
    <w:rsid w:val="001A40F6"/>
    <w:rsid w:val="001A461A"/>
    <w:rsid w:val="001A5E8C"/>
    <w:rsid w:val="001B031E"/>
    <w:rsid w:val="001C0CBD"/>
    <w:rsid w:val="001C3247"/>
    <w:rsid w:val="001C3A58"/>
    <w:rsid w:val="001C643C"/>
    <w:rsid w:val="001C6978"/>
    <w:rsid w:val="001C75FF"/>
    <w:rsid w:val="001C7FC1"/>
    <w:rsid w:val="001D0743"/>
    <w:rsid w:val="001D459B"/>
    <w:rsid w:val="001D5382"/>
    <w:rsid w:val="001E2E15"/>
    <w:rsid w:val="001E3EE9"/>
    <w:rsid w:val="001E58BB"/>
    <w:rsid w:val="001E62E3"/>
    <w:rsid w:val="001E6B59"/>
    <w:rsid w:val="001F004F"/>
    <w:rsid w:val="001F031E"/>
    <w:rsid w:val="001F04A7"/>
    <w:rsid w:val="001F0A28"/>
    <w:rsid w:val="001F0B51"/>
    <w:rsid w:val="001F2669"/>
    <w:rsid w:val="001F2957"/>
    <w:rsid w:val="001F3F6E"/>
    <w:rsid w:val="001F596D"/>
    <w:rsid w:val="00202E09"/>
    <w:rsid w:val="002108CA"/>
    <w:rsid w:val="002124EE"/>
    <w:rsid w:val="002130C4"/>
    <w:rsid w:val="00213B97"/>
    <w:rsid w:val="00213EB9"/>
    <w:rsid w:val="00214A38"/>
    <w:rsid w:val="00214C9B"/>
    <w:rsid w:val="002156F4"/>
    <w:rsid w:val="00216E6E"/>
    <w:rsid w:val="00220352"/>
    <w:rsid w:val="00220CB2"/>
    <w:rsid w:val="002219FC"/>
    <w:rsid w:val="002224BA"/>
    <w:rsid w:val="00222DE0"/>
    <w:rsid w:val="00223128"/>
    <w:rsid w:val="002234AF"/>
    <w:rsid w:val="00225C2C"/>
    <w:rsid w:val="00226F6C"/>
    <w:rsid w:val="00227615"/>
    <w:rsid w:val="00231555"/>
    <w:rsid w:val="00231B14"/>
    <w:rsid w:val="00232F51"/>
    <w:rsid w:val="00234879"/>
    <w:rsid w:val="00234ABE"/>
    <w:rsid w:val="002406A2"/>
    <w:rsid w:val="00243CAF"/>
    <w:rsid w:val="00245B36"/>
    <w:rsid w:val="00246350"/>
    <w:rsid w:val="002463F6"/>
    <w:rsid w:val="002517B5"/>
    <w:rsid w:val="0025185B"/>
    <w:rsid w:val="00252098"/>
    <w:rsid w:val="002525F7"/>
    <w:rsid w:val="00255352"/>
    <w:rsid w:val="0025638A"/>
    <w:rsid w:val="00256C28"/>
    <w:rsid w:val="0025744E"/>
    <w:rsid w:val="00257ED4"/>
    <w:rsid w:val="0026293F"/>
    <w:rsid w:val="00262DFA"/>
    <w:rsid w:val="00263384"/>
    <w:rsid w:val="0026373C"/>
    <w:rsid w:val="00263CC7"/>
    <w:rsid w:val="00264550"/>
    <w:rsid w:val="0026593D"/>
    <w:rsid w:val="00266A3C"/>
    <w:rsid w:val="00267964"/>
    <w:rsid w:val="002679C5"/>
    <w:rsid w:val="0027280F"/>
    <w:rsid w:val="00274AD3"/>
    <w:rsid w:val="00274F85"/>
    <w:rsid w:val="00277B10"/>
    <w:rsid w:val="00282D58"/>
    <w:rsid w:val="002861D0"/>
    <w:rsid w:val="00287ECB"/>
    <w:rsid w:val="00295E8D"/>
    <w:rsid w:val="002A01B1"/>
    <w:rsid w:val="002A0EC2"/>
    <w:rsid w:val="002A1B1E"/>
    <w:rsid w:val="002B104B"/>
    <w:rsid w:val="002B1BE8"/>
    <w:rsid w:val="002B2C46"/>
    <w:rsid w:val="002B3311"/>
    <w:rsid w:val="002B3AA2"/>
    <w:rsid w:val="002B67A8"/>
    <w:rsid w:val="002B68E1"/>
    <w:rsid w:val="002B6E32"/>
    <w:rsid w:val="002B7602"/>
    <w:rsid w:val="002C0C08"/>
    <w:rsid w:val="002C16A1"/>
    <w:rsid w:val="002C2941"/>
    <w:rsid w:val="002C41F3"/>
    <w:rsid w:val="002C461E"/>
    <w:rsid w:val="002C4895"/>
    <w:rsid w:val="002C53F7"/>
    <w:rsid w:val="002C5B6A"/>
    <w:rsid w:val="002D06E8"/>
    <w:rsid w:val="002D1A58"/>
    <w:rsid w:val="002D2741"/>
    <w:rsid w:val="002D2995"/>
    <w:rsid w:val="002D456D"/>
    <w:rsid w:val="002D46CB"/>
    <w:rsid w:val="002E08E3"/>
    <w:rsid w:val="002E2515"/>
    <w:rsid w:val="002E3A26"/>
    <w:rsid w:val="002E4733"/>
    <w:rsid w:val="002E6A6F"/>
    <w:rsid w:val="002F0180"/>
    <w:rsid w:val="00300BBB"/>
    <w:rsid w:val="00301CCE"/>
    <w:rsid w:val="00304864"/>
    <w:rsid w:val="00310EDD"/>
    <w:rsid w:val="003127D1"/>
    <w:rsid w:val="00313C46"/>
    <w:rsid w:val="00313DA4"/>
    <w:rsid w:val="00314595"/>
    <w:rsid w:val="003151C3"/>
    <w:rsid w:val="0032056F"/>
    <w:rsid w:val="003208E1"/>
    <w:rsid w:val="00322975"/>
    <w:rsid w:val="00325288"/>
    <w:rsid w:val="00325B2A"/>
    <w:rsid w:val="0033023E"/>
    <w:rsid w:val="00332BA4"/>
    <w:rsid w:val="00333353"/>
    <w:rsid w:val="00333ACE"/>
    <w:rsid w:val="0033539F"/>
    <w:rsid w:val="003409C4"/>
    <w:rsid w:val="00344A89"/>
    <w:rsid w:val="00346505"/>
    <w:rsid w:val="0034796D"/>
    <w:rsid w:val="00347EAC"/>
    <w:rsid w:val="003507A5"/>
    <w:rsid w:val="003511BA"/>
    <w:rsid w:val="00351587"/>
    <w:rsid w:val="00351EA3"/>
    <w:rsid w:val="00352C7E"/>
    <w:rsid w:val="003561BA"/>
    <w:rsid w:val="00360020"/>
    <w:rsid w:val="003605D8"/>
    <w:rsid w:val="003606F2"/>
    <w:rsid w:val="0036213D"/>
    <w:rsid w:val="003626F9"/>
    <w:rsid w:val="0036294B"/>
    <w:rsid w:val="0036401C"/>
    <w:rsid w:val="00364AD9"/>
    <w:rsid w:val="00365FAE"/>
    <w:rsid w:val="00366669"/>
    <w:rsid w:val="00366988"/>
    <w:rsid w:val="00370995"/>
    <w:rsid w:val="00370BEB"/>
    <w:rsid w:val="00374190"/>
    <w:rsid w:val="00375912"/>
    <w:rsid w:val="00375FD3"/>
    <w:rsid w:val="003766A9"/>
    <w:rsid w:val="00381791"/>
    <w:rsid w:val="00382A15"/>
    <w:rsid w:val="00382B5F"/>
    <w:rsid w:val="00382CA2"/>
    <w:rsid w:val="00383D6E"/>
    <w:rsid w:val="00383F74"/>
    <w:rsid w:val="0038646F"/>
    <w:rsid w:val="0038704A"/>
    <w:rsid w:val="00390DAD"/>
    <w:rsid w:val="0039154D"/>
    <w:rsid w:val="00393FBA"/>
    <w:rsid w:val="0039570A"/>
    <w:rsid w:val="00396454"/>
    <w:rsid w:val="00397C6E"/>
    <w:rsid w:val="003A181A"/>
    <w:rsid w:val="003A24D7"/>
    <w:rsid w:val="003A2D6D"/>
    <w:rsid w:val="003B1825"/>
    <w:rsid w:val="003B2947"/>
    <w:rsid w:val="003C054B"/>
    <w:rsid w:val="003C2A0B"/>
    <w:rsid w:val="003C330C"/>
    <w:rsid w:val="003C4204"/>
    <w:rsid w:val="003C7672"/>
    <w:rsid w:val="003C7735"/>
    <w:rsid w:val="003D15A0"/>
    <w:rsid w:val="003E03A6"/>
    <w:rsid w:val="003E319A"/>
    <w:rsid w:val="003E3D84"/>
    <w:rsid w:val="003E4C7D"/>
    <w:rsid w:val="003E55B1"/>
    <w:rsid w:val="003E5AC9"/>
    <w:rsid w:val="003E68F8"/>
    <w:rsid w:val="003E7BDB"/>
    <w:rsid w:val="003F0189"/>
    <w:rsid w:val="003F0468"/>
    <w:rsid w:val="003F20FB"/>
    <w:rsid w:val="003F44BA"/>
    <w:rsid w:val="003F62A5"/>
    <w:rsid w:val="0040596B"/>
    <w:rsid w:val="00405E3C"/>
    <w:rsid w:val="00406285"/>
    <w:rsid w:val="004103D1"/>
    <w:rsid w:val="00410AD4"/>
    <w:rsid w:val="00411A90"/>
    <w:rsid w:val="00412C15"/>
    <w:rsid w:val="004136DC"/>
    <w:rsid w:val="004166C9"/>
    <w:rsid w:val="00417CC5"/>
    <w:rsid w:val="004232E5"/>
    <w:rsid w:val="00425A1D"/>
    <w:rsid w:val="00425A9C"/>
    <w:rsid w:val="00425BB3"/>
    <w:rsid w:val="004267B3"/>
    <w:rsid w:val="00430410"/>
    <w:rsid w:val="00430D6C"/>
    <w:rsid w:val="00431AE9"/>
    <w:rsid w:val="00433C8C"/>
    <w:rsid w:val="004375A9"/>
    <w:rsid w:val="00441AF5"/>
    <w:rsid w:val="00443C47"/>
    <w:rsid w:val="00452F2A"/>
    <w:rsid w:val="004537B3"/>
    <w:rsid w:val="00457B74"/>
    <w:rsid w:val="00460E4F"/>
    <w:rsid w:val="00461925"/>
    <w:rsid w:val="00461A52"/>
    <w:rsid w:val="00461F44"/>
    <w:rsid w:val="00462A4C"/>
    <w:rsid w:val="00462E17"/>
    <w:rsid w:val="004659A4"/>
    <w:rsid w:val="004702C7"/>
    <w:rsid w:val="004716DE"/>
    <w:rsid w:val="004733CC"/>
    <w:rsid w:val="00473661"/>
    <w:rsid w:val="00473EA8"/>
    <w:rsid w:val="00473F0A"/>
    <w:rsid w:val="004748D2"/>
    <w:rsid w:val="00476871"/>
    <w:rsid w:val="004776B7"/>
    <w:rsid w:val="00481BAD"/>
    <w:rsid w:val="00483057"/>
    <w:rsid w:val="0048405D"/>
    <w:rsid w:val="004843CD"/>
    <w:rsid w:val="004844BB"/>
    <w:rsid w:val="00485489"/>
    <w:rsid w:val="00485F15"/>
    <w:rsid w:val="00490D43"/>
    <w:rsid w:val="004970D1"/>
    <w:rsid w:val="004A1D32"/>
    <w:rsid w:val="004A28C4"/>
    <w:rsid w:val="004A2975"/>
    <w:rsid w:val="004A349E"/>
    <w:rsid w:val="004A35D3"/>
    <w:rsid w:val="004A473B"/>
    <w:rsid w:val="004A6931"/>
    <w:rsid w:val="004A735B"/>
    <w:rsid w:val="004A7E63"/>
    <w:rsid w:val="004B1225"/>
    <w:rsid w:val="004B165A"/>
    <w:rsid w:val="004B1FED"/>
    <w:rsid w:val="004B2E74"/>
    <w:rsid w:val="004B4A80"/>
    <w:rsid w:val="004C056F"/>
    <w:rsid w:val="004C11F8"/>
    <w:rsid w:val="004C121D"/>
    <w:rsid w:val="004C15AD"/>
    <w:rsid w:val="004C4BFB"/>
    <w:rsid w:val="004D0B77"/>
    <w:rsid w:val="004D0D83"/>
    <w:rsid w:val="004D1860"/>
    <w:rsid w:val="004D7020"/>
    <w:rsid w:val="004D77AE"/>
    <w:rsid w:val="004E38CC"/>
    <w:rsid w:val="004E45A2"/>
    <w:rsid w:val="004E5D9A"/>
    <w:rsid w:val="004E62DD"/>
    <w:rsid w:val="004E64DC"/>
    <w:rsid w:val="004E71B9"/>
    <w:rsid w:val="004E73CA"/>
    <w:rsid w:val="004F10A8"/>
    <w:rsid w:val="004F1CE6"/>
    <w:rsid w:val="004F209A"/>
    <w:rsid w:val="004F38EC"/>
    <w:rsid w:val="004F5829"/>
    <w:rsid w:val="004F5A39"/>
    <w:rsid w:val="004F7A54"/>
    <w:rsid w:val="005040A9"/>
    <w:rsid w:val="0050639C"/>
    <w:rsid w:val="00513C0D"/>
    <w:rsid w:val="00514485"/>
    <w:rsid w:val="00515414"/>
    <w:rsid w:val="00521BB6"/>
    <w:rsid w:val="00522510"/>
    <w:rsid w:val="005235CD"/>
    <w:rsid w:val="00523C40"/>
    <w:rsid w:val="005245F3"/>
    <w:rsid w:val="00527E5F"/>
    <w:rsid w:val="00535118"/>
    <w:rsid w:val="005358F7"/>
    <w:rsid w:val="0054097A"/>
    <w:rsid w:val="0054226C"/>
    <w:rsid w:val="0054293C"/>
    <w:rsid w:val="00546A0F"/>
    <w:rsid w:val="005470B7"/>
    <w:rsid w:val="0055095C"/>
    <w:rsid w:val="00552BF3"/>
    <w:rsid w:val="00553EF7"/>
    <w:rsid w:val="005563C6"/>
    <w:rsid w:val="00560FB8"/>
    <w:rsid w:val="00561620"/>
    <w:rsid w:val="0056305A"/>
    <w:rsid w:val="005643FD"/>
    <w:rsid w:val="00565BEE"/>
    <w:rsid w:val="005663CF"/>
    <w:rsid w:val="005664A4"/>
    <w:rsid w:val="00567859"/>
    <w:rsid w:val="00570589"/>
    <w:rsid w:val="005749C2"/>
    <w:rsid w:val="00574EEB"/>
    <w:rsid w:val="00575FA1"/>
    <w:rsid w:val="005827FE"/>
    <w:rsid w:val="0058342C"/>
    <w:rsid w:val="00585B8C"/>
    <w:rsid w:val="0058671F"/>
    <w:rsid w:val="00587D8A"/>
    <w:rsid w:val="00591822"/>
    <w:rsid w:val="00596227"/>
    <w:rsid w:val="00596D44"/>
    <w:rsid w:val="005A2185"/>
    <w:rsid w:val="005A454B"/>
    <w:rsid w:val="005A637F"/>
    <w:rsid w:val="005A6FFE"/>
    <w:rsid w:val="005A7106"/>
    <w:rsid w:val="005B08A7"/>
    <w:rsid w:val="005B1B5B"/>
    <w:rsid w:val="005B2693"/>
    <w:rsid w:val="005B3E1A"/>
    <w:rsid w:val="005B6CBE"/>
    <w:rsid w:val="005B72F9"/>
    <w:rsid w:val="005C3C54"/>
    <w:rsid w:val="005C61D9"/>
    <w:rsid w:val="005C6A14"/>
    <w:rsid w:val="005C7D9D"/>
    <w:rsid w:val="005D0626"/>
    <w:rsid w:val="005D354D"/>
    <w:rsid w:val="005D4441"/>
    <w:rsid w:val="005D6C03"/>
    <w:rsid w:val="005D7E0E"/>
    <w:rsid w:val="005E0034"/>
    <w:rsid w:val="005E5101"/>
    <w:rsid w:val="005E53C9"/>
    <w:rsid w:val="005E711D"/>
    <w:rsid w:val="005F1FEC"/>
    <w:rsid w:val="005F2A55"/>
    <w:rsid w:val="00600899"/>
    <w:rsid w:val="00603159"/>
    <w:rsid w:val="00604316"/>
    <w:rsid w:val="00605090"/>
    <w:rsid w:val="00606657"/>
    <w:rsid w:val="006073C7"/>
    <w:rsid w:val="006079FD"/>
    <w:rsid w:val="00610604"/>
    <w:rsid w:val="00611843"/>
    <w:rsid w:val="0061408B"/>
    <w:rsid w:val="00615D4B"/>
    <w:rsid w:val="00615FDF"/>
    <w:rsid w:val="00616599"/>
    <w:rsid w:val="006179D1"/>
    <w:rsid w:val="00621DC7"/>
    <w:rsid w:val="006244BD"/>
    <w:rsid w:val="00624EE1"/>
    <w:rsid w:val="00625CC5"/>
    <w:rsid w:val="00626918"/>
    <w:rsid w:val="00626C6B"/>
    <w:rsid w:val="006278A0"/>
    <w:rsid w:val="00630416"/>
    <w:rsid w:val="00632A3A"/>
    <w:rsid w:val="00634573"/>
    <w:rsid w:val="0063514C"/>
    <w:rsid w:val="0063629F"/>
    <w:rsid w:val="00636986"/>
    <w:rsid w:val="00636D89"/>
    <w:rsid w:val="00636E9D"/>
    <w:rsid w:val="00637CBB"/>
    <w:rsid w:val="00640614"/>
    <w:rsid w:val="006427E8"/>
    <w:rsid w:val="00643954"/>
    <w:rsid w:val="00644708"/>
    <w:rsid w:val="00644E6D"/>
    <w:rsid w:val="00645062"/>
    <w:rsid w:val="00646150"/>
    <w:rsid w:val="00646B0D"/>
    <w:rsid w:val="006470A7"/>
    <w:rsid w:val="00647311"/>
    <w:rsid w:val="006523F3"/>
    <w:rsid w:val="00652726"/>
    <w:rsid w:val="00653692"/>
    <w:rsid w:val="00655EE0"/>
    <w:rsid w:val="00660C4E"/>
    <w:rsid w:val="006626CF"/>
    <w:rsid w:val="00662E2E"/>
    <w:rsid w:val="0066357D"/>
    <w:rsid w:val="00665BF8"/>
    <w:rsid w:val="00666C83"/>
    <w:rsid w:val="0067066E"/>
    <w:rsid w:val="00670967"/>
    <w:rsid w:val="00671B49"/>
    <w:rsid w:val="006724C1"/>
    <w:rsid w:val="00673CD2"/>
    <w:rsid w:val="00677192"/>
    <w:rsid w:val="0068040C"/>
    <w:rsid w:val="00680ECD"/>
    <w:rsid w:val="0068109D"/>
    <w:rsid w:val="0068141E"/>
    <w:rsid w:val="00683548"/>
    <w:rsid w:val="00683578"/>
    <w:rsid w:val="006841A6"/>
    <w:rsid w:val="00684A7B"/>
    <w:rsid w:val="00684B11"/>
    <w:rsid w:val="00685400"/>
    <w:rsid w:val="00687DE1"/>
    <w:rsid w:val="0069068B"/>
    <w:rsid w:val="0069168B"/>
    <w:rsid w:val="00691A6C"/>
    <w:rsid w:val="00694910"/>
    <w:rsid w:val="00695871"/>
    <w:rsid w:val="006A1863"/>
    <w:rsid w:val="006A1C1A"/>
    <w:rsid w:val="006A1CF9"/>
    <w:rsid w:val="006A35BC"/>
    <w:rsid w:val="006A6405"/>
    <w:rsid w:val="006A7DE7"/>
    <w:rsid w:val="006B0055"/>
    <w:rsid w:val="006B04EE"/>
    <w:rsid w:val="006B38AD"/>
    <w:rsid w:val="006B65D6"/>
    <w:rsid w:val="006B6945"/>
    <w:rsid w:val="006B7EE2"/>
    <w:rsid w:val="006C159E"/>
    <w:rsid w:val="006C32CA"/>
    <w:rsid w:val="006C430D"/>
    <w:rsid w:val="006C5F6F"/>
    <w:rsid w:val="006D02D7"/>
    <w:rsid w:val="006D2E3F"/>
    <w:rsid w:val="006D758C"/>
    <w:rsid w:val="006D75FF"/>
    <w:rsid w:val="006E062C"/>
    <w:rsid w:val="006E07B8"/>
    <w:rsid w:val="006E365B"/>
    <w:rsid w:val="006E4BAA"/>
    <w:rsid w:val="006E4EEE"/>
    <w:rsid w:val="006E7B23"/>
    <w:rsid w:val="006F1A23"/>
    <w:rsid w:val="006F267E"/>
    <w:rsid w:val="006F31FB"/>
    <w:rsid w:val="006F3589"/>
    <w:rsid w:val="006F3884"/>
    <w:rsid w:val="006F6489"/>
    <w:rsid w:val="006F7BEC"/>
    <w:rsid w:val="006F7C6B"/>
    <w:rsid w:val="006F7E4D"/>
    <w:rsid w:val="00702388"/>
    <w:rsid w:val="00703B54"/>
    <w:rsid w:val="00704E57"/>
    <w:rsid w:val="0070587A"/>
    <w:rsid w:val="007066C0"/>
    <w:rsid w:val="00713683"/>
    <w:rsid w:val="007146FC"/>
    <w:rsid w:val="00715A93"/>
    <w:rsid w:val="00716AE7"/>
    <w:rsid w:val="007178DD"/>
    <w:rsid w:val="00717D5F"/>
    <w:rsid w:val="00721BF3"/>
    <w:rsid w:val="0072528F"/>
    <w:rsid w:val="007257CE"/>
    <w:rsid w:val="00726788"/>
    <w:rsid w:val="00726A20"/>
    <w:rsid w:val="00733C91"/>
    <w:rsid w:val="007342FA"/>
    <w:rsid w:val="00737643"/>
    <w:rsid w:val="00740825"/>
    <w:rsid w:val="0074120F"/>
    <w:rsid w:val="00744C87"/>
    <w:rsid w:val="007454CC"/>
    <w:rsid w:val="007473F2"/>
    <w:rsid w:val="00751BDF"/>
    <w:rsid w:val="00752BF5"/>
    <w:rsid w:val="007541BD"/>
    <w:rsid w:val="00755E5F"/>
    <w:rsid w:val="00756C06"/>
    <w:rsid w:val="0076244B"/>
    <w:rsid w:val="00764285"/>
    <w:rsid w:val="00764FD3"/>
    <w:rsid w:val="00765722"/>
    <w:rsid w:val="0077105D"/>
    <w:rsid w:val="00772D49"/>
    <w:rsid w:val="00774E35"/>
    <w:rsid w:val="00780D01"/>
    <w:rsid w:val="007837F7"/>
    <w:rsid w:val="00784C30"/>
    <w:rsid w:val="00793C9B"/>
    <w:rsid w:val="00793F6C"/>
    <w:rsid w:val="00795176"/>
    <w:rsid w:val="0079643F"/>
    <w:rsid w:val="007A0403"/>
    <w:rsid w:val="007A2ED1"/>
    <w:rsid w:val="007A46F4"/>
    <w:rsid w:val="007A6E7A"/>
    <w:rsid w:val="007A7C04"/>
    <w:rsid w:val="007B1B28"/>
    <w:rsid w:val="007B2A07"/>
    <w:rsid w:val="007B6070"/>
    <w:rsid w:val="007B66D5"/>
    <w:rsid w:val="007C042A"/>
    <w:rsid w:val="007C15E5"/>
    <w:rsid w:val="007C212A"/>
    <w:rsid w:val="007C65A2"/>
    <w:rsid w:val="007C78F9"/>
    <w:rsid w:val="007C79FB"/>
    <w:rsid w:val="007C7EEE"/>
    <w:rsid w:val="007D0C65"/>
    <w:rsid w:val="007D6CA8"/>
    <w:rsid w:val="007D70DB"/>
    <w:rsid w:val="007D720C"/>
    <w:rsid w:val="007E0349"/>
    <w:rsid w:val="007E0435"/>
    <w:rsid w:val="007E0EBD"/>
    <w:rsid w:val="007E1759"/>
    <w:rsid w:val="007E25E1"/>
    <w:rsid w:val="007E5180"/>
    <w:rsid w:val="007E69A6"/>
    <w:rsid w:val="007E7D67"/>
    <w:rsid w:val="007F25EE"/>
    <w:rsid w:val="007F6AD5"/>
    <w:rsid w:val="0080498A"/>
    <w:rsid w:val="00805114"/>
    <w:rsid w:val="008055E9"/>
    <w:rsid w:val="008064C1"/>
    <w:rsid w:val="00807F00"/>
    <w:rsid w:val="00814631"/>
    <w:rsid w:val="00814D09"/>
    <w:rsid w:val="00814F5A"/>
    <w:rsid w:val="00816809"/>
    <w:rsid w:val="0081687A"/>
    <w:rsid w:val="008168DB"/>
    <w:rsid w:val="00816B18"/>
    <w:rsid w:val="0081772A"/>
    <w:rsid w:val="00822120"/>
    <w:rsid w:val="00822293"/>
    <w:rsid w:val="00823570"/>
    <w:rsid w:val="00830573"/>
    <w:rsid w:val="0083205A"/>
    <w:rsid w:val="0083564A"/>
    <w:rsid w:val="00840644"/>
    <w:rsid w:val="00841934"/>
    <w:rsid w:val="00844672"/>
    <w:rsid w:val="00846790"/>
    <w:rsid w:val="00851141"/>
    <w:rsid w:val="0086172F"/>
    <w:rsid w:val="00861A32"/>
    <w:rsid w:val="00862503"/>
    <w:rsid w:val="00862676"/>
    <w:rsid w:val="00864926"/>
    <w:rsid w:val="00864DD1"/>
    <w:rsid w:val="00864E58"/>
    <w:rsid w:val="008679A8"/>
    <w:rsid w:val="00870ADF"/>
    <w:rsid w:val="00872569"/>
    <w:rsid w:val="00873579"/>
    <w:rsid w:val="00873BB3"/>
    <w:rsid w:val="008750F5"/>
    <w:rsid w:val="00876249"/>
    <w:rsid w:val="008770F5"/>
    <w:rsid w:val="008805D5"/>
    <w:rsid w:val="008809A9"/>
    <w:rsid w:val="00881EF9"/>
    <w:rsid w:val="0088256A"/>
    <w:rsid w:val="008849A1"/>
    <w:rsid w:val="008868AE"/>
    <w:rsid w:val="00890E36"/>
    <w:rsid w:val="00891615"/>
    <w:rsid w:val="008928B9"/>
    <w:rsid w:val="00894BE4"/>
    <w:rsid w:val="00896BBB"/>
    <w:rsid w:val="00897A8F"/>
    <w:rsid w:val="008A012C"/>
    <w:rsid w:val="008A6ED0"/>
    <w:rsid w:val="008A7BC1"/>
    <w:rsid w:val="008B0C9A"/>
    <w:rsid w:val="008B2064"/>
    <w:rsid w:val="008B41CE"/>
    <w:rsid w:val="008B569F"/>
    <w:rsid w:val="008B5B73"/>
    <w:rsid w:val="008B7202"/>
    <w:rsid w:val="008C096B"/>
    <w:rsid w:val="008C1244"/>
    <w:rsid w:val="008C16B5"/>
    <w:rsid w:val="008C1BFD"/>
    <w:rsid w:val="008C2526"/>
    <w:rsid w:val="008C5823"/>
    <w:rsid w:val="008C5B60"/>
    <w:rsid w:val="008C7404"/>
    <w:rsid w:val="008D0027"/>
    <w:rsid w:val="008D08C0"/>
    <w:rsid w:val="008D227D"/>
    <w:rsid w:val="008E0B76"/>
    <w:rsid w:val="008E1022"/>
    <w:rsid w:val="008E21CC"/>
    <w:rsid w:val="008E21EF"/>
    <w:rsid w:val="008E5BD4"/>
    <w:rsid w:val="008E7630"/>
    <w:rsid w:val="008F3B95"/>
    <w:rsid w:val="008F3BD4"/>
    <w:rsid w:val="008F40C5"/>
    <w:rsid w:val="008F4BF1"/>
    <w:rsid w:val="008F4CCA"/>
    <w:rsid w:val="008F7D92"/>
    <w:rsid w:val="00900982"/>
    <w:rsid w:val="00902F78"/>
    <w:rsid w:val="0090419F"/>
    <w:rsid w:val="009046AE"/>
    <w:rsid w:val="00905AE7"/>
    <w:rsid w:val="00905DA1"/>
    <w:rsid w:val="009065B7"/>
    <w:rsid w:val="009102D0"/>
    <w:rsid w:val="00913010"/>
    <w:rsid w:val="00913427"/>
    <w:rsid w:val="009169A7"/>
    <w:rsid w:val="00922273"/>
    <w:rsid w:val="00922A95"/>
    <w:rsid w:val="00922B6D"/>
    <w:rsid w:val="00926782"/>
    <w:rsid w:val="00930308"/>
    <w:rsid w:val="0093036C"/>
    <w:rsid w:val="00934121"/>
    <w:rsid w:val="00934318"/>
    <w:rsid w:val="009359CB"/>
    <w:rsid w:val="00935F6A"/>
    <w:rsid w:val="0093667E"/>
    <w:rsid w:val="009439C0"/>
    <w:rsid w:val="00952886"/>
    <w:rsid w:val="009538E1"/>
    <w:rsid w:val="00955351"/>
    <w:rsid w:val="0095646C"/>
    <w:rsid w:val="00957714"/>
    <w:rsid w:val="00964CAC"/>
    <w:rsid w:val="00966107"/>
    <w:rsid w:val="0096664D"/>
    <w:rsid w:val="00967A1D"/>
    <w:rsid w:val="009709E0"/>
    <w:rsid w:val="009710B6"/>
    <w:rsid w:val="00971BC1"/>
    <w:rsid w:val="00972513"/>
    <w:rsid w:val="00973B4E"/>
    <w:rsid w:val="00973D25"/>
    <w:rsid w:val="00973FE5"/>
    <w:rsid w:val="00974D04"/>
    <w:rsid w:val="009765D7"/>
    <w:rsid w:val="0097686E"/>
    <w:rsid w:val="0098066C"/>
    <w:rsid w:val="00980F84"/>
    <w:rsid w:val="0098245F"/>
    <w:rsid w:val="00983294"/>
    <w:rsid w:val="00983A7A"/>
    <w:rsid w:val="00984CC5"/>
    <w:rsid w:val="00984FB6"/>
    <w:rsid w:val="00986086"/>
    <w:rsid w:val="009861E5"/>
    <w:rsid w:val="00990822"/>
    <w:rsid w:val="00991027"/>
    <w:rsid w:val="00991A7C"/>
    <w:rsid w:val="00994792"/>
    <w:rsid w:val="00994A86"/>
    <w:rsid w:val="00994CBD"/>
    <w:rsid w:val="0099575F"/>
    <w:rsid w:val="009957B3"/>
    <w:rsid w:val="00996045"/>
    <w:rsid w:val="009A165C"/>
    <w:rsid w:val="009A4B21"/>
    <w:rsid w:val="009A6B37"/>
    <w:rsid w:val="009B03EC"/>
    <w:rsid w:val="009B35D8"/>
    <w:rsid w:val="009B4D37"/>
    <w:rsid w:val="009B64DC"/>
    <w:rsid w:val="009B6EFC"/>
    <w:rsid w:val="009B7A56"/>
    <w:rsid w:val="009C2AEA"/>
    <w:rsid w:val="009C5A1B"/>
    <w:rsid w:val="009C70DD"/>
    <w:rsid w:val="009D69AB"/>
    <w:rsid w:val="009D7A2A"/>
    <w:rsid w:val="009E1627"/>
    <w:rsid w:val="009E3952"/>
    <w:rsid w:val="009E4246"/>
    <w:rsid w:val="009F307E"/>
    <w:rsid w:val="009F3CF7"/>
    <w:rsid w:val="009F451C"/>
    <w:rsid w:val="009F53FA"/>
    <w:rsid w:val="00A019D4"/>
    <w:rsid w:val="00A06E9A"/>
    <w:rsid w:val="00A105A1"/>
    <w:rsid w:val="00A10FF8"/>
    <w:rsid w:val="00A1589A"/>
    <w:rsid w:val="00A2236C"/>
    <w:rsid w:val="00A223C2"/>
    <w:rsid w:val="00A22A2B"/>
    <w:rsid w:val="00A2375A"/>
    <w:rsid w:val="00A2550D"/>
    <w:rsid w:val="00A269A6"/>
    <w:rsid w:val="00A27661"/>
    <w:rsid w:val="00A27EFF"/>
    <w:rsid w:val="00A30DE1"/>
    <w:rsid w:val="00A30EB6"/>
    <w:rsid w:val="00A314B1"/>
    <w:rsid w:val="00A41DF4"/>
    <w:rsid w:val="00A44EF4"/>
    <w:rsid w:val="00A44F7B"/>
    <w:rsid w:val="00A5511D"/>
    <w:rsid w:val="00A55D24"/>
    <w:rsid w:val="00A64907"/>
    <w:rsid w:val="00A649F1"/>
    <w:rsid w:val="00A65D15"/>
    <w:rsid w:val="00A6629B"/>
    <w:rsid w:val="00A70234"/>
    <w:rsid w:val="00A712BE"/>
    <w:rsid w:val="00A713CC"/>
    <w:rsid w:val="00A7267D"/>
    <w:rsid w:val="00A73557"/>
    <w:rsid w:val="00A75BAA"/>
    <w:rsid w:val="00A76212"/>
    <w:rsid w:val="00A81A30"/>
    <w:rsid w:val="00A83FB6"/>
    <w:rsid w:val="00A85D97"/>
    <w:rsid w:val="00A85EDA"/>
    <w:rsid w:val="00A9030E"/>
    <w:rsid w:val="00A93173"/>
    <w:rsid w:val="00A93CA2"/>
    <w:rsid w:val="00A94B04"/>
    <w:rsid w:val="00A96E8E"/>
    <w:rsid w:val="00AA2B28"/>
    <w:rsid w:val="00AA2BBD"/>
    <w:rsid w:val="00AA2C84"/>
    <w:rsid w:val="00AA481C"/>
    <w:rsid w:val="00AA6B21"/>
    <w:rsid w:val="00AA6D49"/>
    <w:rsid w:val="00AA6E9D"/>
    <w:rsid w:val="00AB0084"/>
    <w:rsid w:val="00AB115C"/>
    <w:rsid w:val="00AB32FA"/>
    <w:rsid w:val="00AB4991"/>
    <w:rsid w:val="00AB75C6"/>
    <w:rsid w:val="00AC05D4"/>
    <w:rsid w:val="00AC2124"/>
    <w:rsid w:val="00AC24F2"/>
    <w:rsid w:val="00AC28A8"/>
    <w:rsid w:val="00AC55BC"/>
    <w:rsid w:val="00AC7AE0"/>
    <w:rsid w:val="00AC7B13"/>
    <w:rsid w:val="00AD0D96"/>
    <w:rsid w:val="00AD0FB2"/>
    <w:rsid w:val="00AD1ABE"/>
    <w:rsid w:val="00AD447A"/>
    <w:rsid w:val="00AD5511"/>
    <w:rsid w:val="00AD59D1"/>
    <w:rsid w:val="00AD68F9"/>
    <w:rsid w:val="00AD7293"/>
    <w:rsid w:val="00AE33DF"/>
    <w:rsid w:val="00AE3817"/>
    <w:rsid w:val="00AE44F3"/>
    <w:rsid w:val="00AE6969"/>
    <w:rsid w:val="00AF01A3"/>
    <w:rsid w:val="00AF0EB2"/>
    <w:rsid w:val="00AF4854"/>
    <w:rsid w:val="00AF4E20"/>
    <w:rsid w:val="00AF4ECB"/>
    <w:rsid w:val="00AF6498"/>
    <w:rsid w:val="00AF670E"/>
    <w:rsid w:val="00AF7684"/>
    <w:rsid w:val="00AF773C"/>
    <w:rsid w:val="00B00216"/>
    <w:rsid w:val="00B05827"/>
    <w:rsid w:val="00B12703"/>
    <w:rsid w:val="00B15526"/>
    <w:rsid w:val="00B16D25"/>
    <w:rsid w:val="00B17477"/>
    <w:rsid w:val="00B21AC7"/>
    <w:rsid w:val="00B2242A"/>
    <w:rsid w:val="00B22DFA"/>
    <w:rsid w:val="00B25B11"/>
    <w:rsid w:val="00B26C10"/>
    <w:rsid w:val="00B30E17"/>
    <w:rsid w:val="00B32453"/>
    <w:rsid w:val="00B3344A"/>
    <w:rsid w:val="00B34945"/>
    <w:rsid w:val="00B35440"/>
    <w:rsid w:val="00B35A2E"/>
    <w:rsid w:val="00B44D0E"/>
    <w:rsid w:val="00B4753D"/>
    <w:rsid w:val="00B475C5"/>
    <w:rsid w:val="00B5180A"/>
    <w:rsid w:val="00B52A3E"/>
    <w:rsid w:val="00B53BF2"/>
    <w:rsid w:val="00B5408B"/>
    <w:rsid w:val="00B55505"/>
    <w:rsid w:val="00B555AA"/>
    <w:rsid w:val="00B56745"/>
    <w:rsid w:val="00B568D7"/>
    <w:rsid w:val="00B60C3B"/>
    <w:rsid w:val="00B60EA4"/>
    <w:rsid w:val="00B611BC"/>
    <w:rsid w:val="00B61223"/>
    <w:rsid w:val="00B6286F"/>
    <w:rsid w:val="00B6510C"/>
    <w:rsid w:val="00B66554"/>
    <w:rsid w:val="00B76188"/>
    <w:rsid w:val="00B76ECC"/>
    <w:rsid w:val="00B77201"/>
    <w:rsid w:val="00B7788B"/>
    <w:rsid w:val="00B810DA"/>
    <w:rsid w:val="00B8175F"/>
    <w:rsid w:val="00B81CF5"/>
    <w:rsid w:val="00B8486E"/>
    <w:rsid w:val="00B84ECD"/>
    <w:rsid w:val="00B850BA"/>
    <w:rsid w:val="00B87F03"/>
    <w:rsid w:val="00B92658"/>
    <w:rsid w:val="00B935C1"/>
    <w:rsid w:val="00B94FCF"/>
    <w:rsid w:val="00B96941"/>
    <w:rsid w:val="00B97746"/>
    <w:rsid w:val="00B97E5E"/>
    <w:rsid w:val="00BA095C"/>
    <w:rsid w:val="00BA0D28"/>
    <w:rsid w:val="00BA32D8"/>
    <w:rsid w:val="00BA48C2"/>
    <w:rsid w:val="00BA4A8B"/>
    <w:rsid w:val="00BA5647"/>
    <w:rsid w:val="00BA58C4"/>
    <w:rsid w:val="00BA5FB5"/>
    <w:rsid w:val="00BA73BD"/>
    <w:rsid w:val="00BA7565"/>
    <w:rsid w:val="00BB0713"/>
    <w:rsid w:val="00BB2A3F"/>
    <w:rsid w:val="00BB3EB1"/>
    <w:rsid w:val="00BB53AB"/>
    <w:rsid w:val="00BB74AB"/>
    <w:rsid w:val="00BC0815"/>
    <w:rsid w:val="00BC23C4"/>
    <w:rsid w:val="00BC2B1D"/>
    <w:rsid w:val="00BD0D91"/>
    <w:rsid w:val="00BD0FB7"/>
    <w:rsid w:val="00BD2D6C"/>
    <w:rsid w:val="00BD34EA"/>
    <w:rsid w:val="00BD3702"/>
    <w:rsid w:val="00BD417B"/>
    <w:rsid w:val="00BD6FD3"/>
    <w:rsid w:val="00BD74FB"/>
    <w:rsid w:val="00BE126D"/>
    <w:rsid w:val="00BE1CE9"/>
    <w:rsid w:val="00BE3A02"/>
    <w:rsid w:val="00BE402C"/>
    <w:rsid w:val="00BE432E"/>
    <w:rsid w:val="00BF1B2C"/>
    <w:rsid w:val="00BF37D8"/>
    <w:rsid w:val="00BF42C1"/>
    <w:rsid w:val="00BF4472"/>
    <w:rsid w:val="00C0037E"/>
    <w:rsid w:val="00C029DC"/>
    <w:rsid w:val="00C03429"/>
    <w:rsid w:val="00C04B65"/>
    <w:rsid w:val="00C07EF4"/>
    <w:rsid w:val="00C14CAE"/>
    <w:rsid w:val="00C14D60"/>
    <w:rsid w:val="00C162F3"/>
    <w:rsid w:val="00C168F9"/>
    <w:rsid w:val="00C17616"/>
    <w:rsid w:val="00C208F1"/>
    <w:rsid w:val="00C2237F"/>
    <w:rsid w:val="00C23DC5"/>
    <w:rsid w:val="00C23DD3"/>
    <w:rsid w:val="00C23DE0"/>
    <w:rsid w:val="00C25339"/>
    <w:rsid w:val="00C336DA"/>
    <w:rsid w:val="00C34638"/>
    <w:rsid w:val="00C34A6D"/>
    <w:rsid w:val="00C364F1"/>
    <w:rsid w:val="00C37BBA"/>
    <w:rsid w:val="00C406D1"/>
    <w:rsid w:val="00C43623"/>
    <w:rsid w:val="00C44597"/>
    <w:rsid w:val="00C46AAB"/>
    <w:rsid w:val="00C46FAA"/>
    <w:rsid w:val="00C51F5A"/>
    <w:rsid w:val="00C53D0D"/>
    <w:rsid w:val="00C563A9"/>
    <w:rsid w:val="00C56F11"/>
    <w:rsid w:val="00C63808"/>
    <w:rsid w:val="00C646B3"/>
    <w:rsid w:val="00C65ADE"/>
    <w:rsid w:val="00C65E6B"/>
    <w:rsid w:val="00C66BBA"/>
    <w:rsid w:val="00C671E1"/>
    <w:rsid w:val="00C67DB2"/>
    <w:rsid w:val="00C728F6"/>
    <w:rsid w:val="00C7375B"/>
    <w:rsid w:val="00C73F84"/>
    <w:rsid w:val="00C74332"/>
    <w:rsid w:val="00C74CA9"/>
    <w:rsid w:val="00C74E55"/>
    <w:rsid w:val="00C761FA"/>
    <w:rsid w:val="00C77218"/>
    <w:rsid w:val="00C77C3A"/>
    <w:rsid w:val="00C77DAB"/>
    <w:rsid w:val="00C80C69"/>
    <w:rsid w:val="00C81965"/>
    <w:rsid w:val="00C81B3A"/>
    <w:rsid w:val="00C81B84"/>
    <w:rsid w:val="00C9324B"/>
    <w:rsid w:val="00C942B8"/>
    <w:rsid w:val="00C9764E"/>
    <w:rsid w:val="00C97D6B"/>
    <w:rsid w:val="00CA144C"/>
    <w:rsid w:val="00CA202F"/>
    <w:rsid w:val="00CA357A"/>
    <w:rsid w:val="00CA70D7"/>
    <w:rsid w:val="00CA7334"/>
    <w:rsid w:val="00CA7B78"/>
    <w:rsid w:val="00CB02C1"/>
    <w:rsid w:val="00CB156F"/>
    <w:rsid w:val="00CB3125"/>
    <w:rsid w:val="00CB40A7"/>
    <w:rsid w:val="00CC0470"/>
    <w:rsid w:val="00CC1361"/>
    <w:rsid w:val="00CC1889"/>
    <w:rsid w:val="00CC43C2"/>
    <w:rsid w:val="00CD1A0A"/>
    <w:rsid w:val="00CD26C0"/>
    <w:rsid w:val="00CD3F90"/>
    <w:rsid w:val="00CD4414"/>
    <w:rsid w:val="00CD588B"/>
    <w:rsid w:val="00CD5E39"/>
    <w:rsid w:val="00CD5EDE"/>
    <w:rsid w:val="00CE08C4"/>
    <w:rsid w:val="00CE0AFE"/>
    <w:rsid w:val="00CE17AF"/>
    <w:rsid w:val="00CE22B7"/>
    <w:rsid w:val="00CF12FA"/>
    <w:rsid w:val="00CF13C0"/>
    <w:rsid w:val="00CF20D1"/>
    <w:rsid w:val="00CF35C4"/>
    <w:rsid w:val="00CF50A7"/>
    <w:rsid w:val="00CF5ACD"/>
    <w:rsid w:val="00CF75AC"/>
    <w:rsid w:val="00D006A5"/>
    <w:rsid w:val="00D01255"/>
    <w:rsid w:val="00D01922"/>
    <w:rsid w:val="00D06296"/>
    <w:rsid w:val="00D15811"/>
    <w:rsid w:val="00D15F47"/>
    <w:rsid w:val="00D17006"/>
    <w:rsid w:val="00D208CC"/>
    <w:rsid w:val="00D22B6E"/>
    <w:rsid w:val="00D248B3"/>
    <w:rsid w:val="00D25E42"/>
    <w:rsid w:val="00D327AF"/>
    <w:rsid w:val="00D3355B"/>
    <w:rsid w:val="00D3461B"/>
    <w:rsid w:val="00D36252"/>
    <w:rsid w:val="00D3787A"/>
    <w:rsid w:val="00D40DCE"/>
    <w:rsid w:val="00D416AC"/>
    <w:rsid w:val="00D423CE"/>
    <w:rsid w:val="00D42EA1"/>
    <w:rsid w:val="00D4443A"/>
    <w:rsid w:val="00D45BAF"/>
    <w:rsid w:val="00D4624B"/>
    <w:rsid w:val="00D46270"/>
    <w:rsid w:val="00D472DF"/>
    <w:rsid w:val="00D47807"/>
    <w:rsid w:val="00D47AE6"/>
    <w:rsid w:val="00D518F7"/>
    <w:rsid w:val="00D52766"/>
    <w:rsid w:val="00D52C38"/>
    <w:rsid w:val="00D53FD5"/>
    <w:rsid w:val="00D5415F"/>
    <w:rsid w:val="00D54361"/>
    <w:rsid w:val="00D544A0"/>
    <w:rsid w:val="00D61041"/>
    <w:rsid w:val="00D6121D"/>
    <w:rsid w:val="00D62BD6"/>
    <w:rsid w:val="00D631B6"/>
    <w:rsid w:val="00D665C2"/>
    <w:rsid w:val="00D667EF"/>
    <w:rsid w:val="00D668D3"/>
    <w:rsid w:val="00D669A3"/>
    <w:rsid w:val="00D7300A"/>
    <w:rsid w:val="00D85AFD"/>
    <w:rsid w:val="00D90590"/>
    <w:rsid w:val="00D90B05"/>
    <w:rsid w:val="00D9232C"/>
    <w:rsid w:val="00D94AAF"/>
    <w:rsid w:val="00D9568E"/>
    <w:rsid w:val="00D978B0"/>
    <w:rsid w:val="00D9799A"/>
    <w:rsid w:val="00DA03D2"/>
    <w:rsid w:val="00DA11E6"/>
    <w:rsid w:val="00DA2FFE"/>
    <w:rsid w:val="00DA33D3"/>
    <w:rsid w:val="00DA37C4"/>
    <w:rsid w:val="00DA42E7"/>
    <w:rsid w:val="00DA71FB"/>
    <w:rsid w:val="00DB2031"/>
    <w:rsid w:val="00DB21CE"/>
    <w:rsid w:val="00DB3216"/>
    <w:rsid w:val="00DB3323"/>
    <w:rsid w:val="00DB4168"/>
    <w:rsid w:val="00DB41E0"/>
    <w:rsid w:val="00DB57C6"/>
    <w:rsid w:val="00DB635B"/>
    <w:rsid w:val="00DB6D27"/>
    <w:rsid w:val="00DC0252"/>
    <w:rsid w:val="00DC14DD"/>
    <w:rsid w:val="00DC39E5"/>
    <w:rsid w:val="00DC5379"/>
    <w:rsid w:val="00DD123C"/>
    <w:rsid w:val="00DD2635"/>
    <w:rsid w:val="00DD29D4"/>
    <w:rsid w:val="00DD4193"/>
    <w:rsid w:val="00DD4CE8"/>
    <w:rsid w:val="00DD50CE"/>
    <w:rsid w:val="00DD53EA"/>
    <w:rsid w:val="00DE3AEE"/>
    <w:rsid w:val="00DE450E"/>
    <w:rsid w:val="00DE54D2"/>
    <w:rsid w:val="00DE57FE"/>
    <w:rsid w:val="00DE6965"/>
    <w:rsid w:val="00DE76B4"/>
    <w:rsid w:val="00DE78C4"/>
    <w:rsid w:val="00DF05B8"/>
    <w:rsid w:val="00DF0912"/>
    <w:rsid w:val="00DF0F42"/>
    <w:rsid w:val="00DF1830"/>
    <w:rsid w:val="00DF1C38"/>
    <w:rsid w:val="00DF1D03"/>
    <w:rsid w:val="00DF3BFE"/>
    <w:rsid w:val="00DF4736"/>
    <w:rsid w:val="00DF6E73"/>
    <w:rsid w:val="00DF6FB1"/>
    <w:rsid w:val="00E0017A"/>
    <w:rsid w:val="00E02E21"/>
    <w:rsid w:val="00E03528"/>
    <w:rsid w:val="00E0559A"/>
    <w:rsid w:val="00E056C2"/>
    <w:rsid w:val="00E06077"/>
    <w:rsid w:val="00E06235"/>
    <w:rsid w:val="00E07C8A"/>
    <w:rsid w:val="00E12875"/>
    <w:rsid w:val="00E1433C"/>
    <w:rsid w:val="00E14D9B"/>
    <w:rsid w:val="00E154ED"/>
    <w:rsid w:val="00E205AD"/>
    <w:rsid w:val="00E20925"/>
    <w:rsid w:val="00E2122F"/>
    <w:rsid w:val="00E2160D"/>
    <w:rsid w:val="00E24D2D"/>
    <w:rsid w:val="00E24D32"/>
    <w:rsid w:val="00E27C2A"/>
    <w:rsid w:val="00E30454"/>
    <w:rsid w:val="00E31D1F"/>
    <w:rsid w:val="00E33508"/>
    <w:rsid w:val="00E35B75"/>
    <w:rsid w:val="00E418D6"/>
    <w:rsid w:val="00E43905"/>
    <w:rsid w:val="00E46453"/>
    <w:rsid w:val="00E536F5"/>
    <w:rsid w:val="00E54490"/>
    <w:rsid w:val="00E54A47"/>
    <w:rsid w:val="00E55F31"/>
    <w:rsid w:val="00E5672E"/>
    <w:rsid w:val="00E60B07"/>
    <w:rsid w:val="00E633CA"/>
    <w:rsid w:val="00E705F8"/>
    <w:rsid w:val="00E70EC9"/>
    <w:rsid w:val="00E71BAE"/>
    <w:rsid w:val="00E71EAD"/>
    <w:rsid w:val="00E75A1B"/>
    <w:rsid w:val="00E81262"/>
    <w:rsid w:val="00E81D8A"/>
    <w:rsid w:val="00E8264C"/>
    <w:rsid w:val="00E83541"/>
    <w:rsid w:val="00E8530E"/>
    <w:rsid w:val="00E86A60"/>
    <w:rsid w:val="00E86B57"/>
    <w:rsid w:val="00E90360"/>
    <w:rsid w:val="00E90DC5"/>
    <w:rsid w:val="00E90E45"/>
    <w:rsid w:val="00E91165"/>
    <w:rsid w:val="00E92EFA"/>
    <w:rsid w:val="00E93CDE"/>
    <w:rsid w:val="00E943AF"/>
    <w:rsid w:val="00E95045"/>
    <w:rsid w:val="00E95075"/>
    <w:rsid w:val="00E9792C"/>
    <w:rsid w:val="00EA0966"/>
    <w:rsid w:val="00EA6269"/>
    <w:rsid w:val="00EA73B0"/>
    <w:rsid w:val="00EB12E3"/>
    <w:rsid w:val="00EB1B00"/>
    <w:rsid w:val="00EB4C04"/>
    <w:rsid w:val="00EB6871"/>
    <w:rsid w:val="00EC09A6"/>
    <w:rsid w:val="00EC0E79"/>
    <w:rsid w:val="00EC1015"/>
    <w:rsid w:val="00EC1F33"/>
    <w:rsid w:val="00EC293B"/>
    <w:rsid w:val="00EC5275"/>
    <w:rsid w:val="00EC57E6"/>
    <w:rsid w:val="00ED0403"/>
    <w:rsid w:val="00ED1C75"/>
    <w:rsid w:val="00ED5C88"/>
    <w:rsid w:val="00ED6084"/>
    <w:rsid w:val="00EE12A8"/>
    <w:rsid w:val="00EE3394"/>
    <w:rsid w:val="00EE7698"/>
    <w:rsid w:val="00EF58EA"/>
    <w:rsid w:val="00EF58F4"/>
    <w:rsid w:val="00EF700B"/>
    <w:rsid w:val="00EF7DC2"/>
    <w:rsid w:val="00F0049D"/>
    <w:rsid w:val="00F03D7B"/>
    <w:rsid w:val="00F10214"/>
    <w:rsid w:val="00F109B7"/>
    <w:rsid w:val="00F10CE1"/>
    <w:rsid w:val="00F17DDF"/>
    <w:rsid w:val="00F2055C"/>
    <w:rsid w:val="00F240B2"/>
    <w:rsid w:val="00F24222"/>
    <w:rsid w:val="00F25348"/>
    <w:rsid w:val="00F27140"/>
    <w:rsid w:val="00F32650"/>
    <w:rsid w:val="00F3315F"/>
    <w:rsid w:val="00F40EB5"/>
    <w:rsid w:val="00F41083"/>
    <w:rsid w:val="00F42633"/>
    <w:rsid w:val="00F429C8"/>
    <w:rsid w:val="00F42C09"/>
    <w:rsid w:val="00F43D0D"/>
    <w:rsid w:val="00F43D64"/>
    <w:rsid w:val="00F44864"/>
    <w:rsid w:val="00F44E61"/>
    <w:rsid w:val="00F52767"/>
    <w:rsid w:val="00F61F75"/>
    <w:rsid w:val="00F62A65"/>
    <w:rsid w:val="00F63EF9"/>
    <w:rsid w:val="00F64D81"/>
    <w:rsid w:val="00F67830"/>
    <w:rsid w:val="00F71074"/>
    <w:rsid w:val="00F7217A"/>
    <w:rsid w:val="00F730F0"/>
    <w:rsid w:val="00F73316"/>
    <w:rsid w:val="00F735D1"/>
    <w:rsid w:val="00F73FC0"/>
    <w:rsid w:val="00F75329"/>
    <w:rsid w:val="00F75EB7"/>
    <w:rsid w:val="00F77C2C"/>
    <w:rsid w:val="00F80D8B"/>
    <w:rsid w:val="00F82FEF"/>
    <w:rsid w:val="00F84936"/>
    <w:rsid w:val="00F853FA"/>
    <w:rsid w:val="00F86AE0"/>
    <w:rsid w:val="00F8798E"/>
    <w:rsid w:val="00F9020C"/>
    <w:rsid w:val="00F90C59"/>
    <w:rsid w:val="00F93132"/>
    <w:rsid w:val="00F93320"/>
    <w:rsid w:val="00F93904"/>
    <w:rsid w:val="00F96E2E"/>
    <w:rsid w:val="00F97A20"/>
    <w:rsid w:val="00FA25BB"/>
    <w:rsid w:val="00FA4522"/>
    <w:rsid w:val="00FA483C"/>
    <w:rsid w:val="00FA4C08"/>
    <w:rsid w:val="00FA684A"/>
    <w:rsid w:val="00FA6BA7"/>
    <w:rsid w:val="00FB0036"/>
    <w:rsid w:val="00FB0990"/>
    <w:rsid w:val="00FB1351"/>
    <w:rsid w:val="00FB27F0"/>
    <w:rsid w:val="00FB2EB3"/>
    <w:rsid w:val="00FB4EBB"/>
    <w:rsid w:val="00FB73F7"/>
    <w:rsid w:val="00FB7F4B"/>
    <w:rsid w:val="00FC01E9"/>
    <w:rsid w:val="00FC3765"/>
    <w:rsid w:val="00FC4554"/>
    <w:rsid w:val="00FC667A"/>
    <w:rsid w:val="00FC7AE2"/>
    <w:rsid w:val="00FD0041"/>
    <w:rsid w:val="00FD0584"/>
    <w:rsid w:val="00FD1864"/>
    <w:rsid w:val="00FD2036"/>
    <w:rsid w:val="00FD2092"/>
    <w:rsid w:val="00FD245F"/>
    <w:rsid w:val="00FD2796"/>
    <w:rsid w:val="00FD43D0"/>
    <w:rsid w:val="00FD4A06"/>
    <w:rsid w:val="00FD5DAF"/>
    <w:rsid w:val="00FD70D6"/>
    <w:rsid w:val="00FE671B"/>
    <w:rsid w:val="00FF0ECC"/>
    <w:rsid w:val="00FF1E31"/>
    <w:rsid w:val="00FF5589"/>
    <w:rsid w:val="00FF55BD"/>
    <w:rsid w:val="00FF5D68"/>
    <w:rsid w:val="00FF726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D77D37"/>
  <w15:chartTrackingRefBased/>
  <w15:docId w15:val="{D0273446-1703-45BB-81CD-A57930E0E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07C8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07C8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07C8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83205A"/>
    <w:pPr>
      <w:spacing w:after="0" w:line="240" w:lineRule="auto"/>
    </w:pPr>
    <w:rPr>
      <w:sz w:val="20"/>
      <w:szCs w:val="20"/>
    </w:rPr>
  </w:style>
  <w:style w:type="character" w:customStyle="1" w:styleId="FootnoteTextChar">
    <w:name w:val="Footnote Text Char"/>
    <w:basedOn w:val="DefaultParagraphFont"/>
    <w:link w:val="FootnoteText"/>
    <w:uiPriority w:val="99"/>
    <w:rsid w:val="0083205A"/>
    <w:rPr>
      <w:sz w:val="20"/>
      <w:szCs w:val="20"/>
    </w:rPr>
  </w:style>
  <w:style w:type="character" w:styleId="FootnoteReference">
    <w:name w:val="footnote reference"/>
    <w:basedOn w:val="DefaultParagraphFont"/>
    <w:uiPriority w:val="99"/>
    <w:semiHidden/>
    <w:unhideWhenUsed/>
    <w:rsid w:val="0083205A"/>
    <w:rPr>
      <w:vertAlign w:val="superscript"/>
    </w:rPr>
  </w:style>
  <w:style w:type="paragraph" w:styleId="ListParagraph">
    <w:name w:val="List Paragraph"/>
    <w:basedOn w:val="Normal"/>
    <w:uiPriority w:val="34"/>
    <w:qFormat/>
    <w:rsid w:val="00DC0252"/>
    <w:pPr>
      <w:ind w:left="720"/>
      <w:contextualSpacing/>
    </w:pPr>
  </w:style>
  <w:style w:type="character" w:customStyle="1" w:styleId="fontstyle01">
    <w:name w:val="fontstyle01"/>
    <w:basedOn w:val="DefaultParagraphFont"/>
    <w:rsid w:val="00AE44F3"/>
    <w:rPr>
      <w:rFonts w:ascii="TimesNewRomanPS-ItalicMT" w:hAnsi="TimesNewRomanPS-ItalicMT" w:hint="default"/>
      <w:b w:val="0"/>
      <w:bCs w:val="0"/>
      <w:i/>
      <w:iCs/>
      <w:color w:val="000000"/>
      <w:sz w:val="20"/>
      <w:szCs w:val="20"/>
    </w:rPr>
  </w:style>
  <w:style w:type="character" w:customStyle="1" w:styleId="fontstyle21">
    <w:name w:val="fontstyle21"/>
    <w:basedOn w:val="DefaultParagraphFont"/>
    <w:rsid w:val="00AE44F3"/>
    <w:rPr>
      <w:rFonts w:ascii="TimesNewRomanPSMT" w:hAnsi="TimesNewRomanPSMT" w:hint="default"/>
      <w:b w:val="0"/>
      <w:bCs w:val="0"/>
      <w:i w:val="0"/>
      <w:iCs w:val="0"/>
      <w:color w:val="000000"/>
      <w:sz w:val="20"/>
      <w:szCs w:val="20"/>
    </w:rPr>
  </w:style>
  <w:style w:type="paragraph" w:styleId="Revision">
    <w:name w:val="Revision"/>
    <w:hidden/>
    <w:uiPriority w:val="99"/>
    <w:semiHidden/>
    <w:rsid w:val="00DF1830"/>
    <w:pPr>
      <w:spacing w:after="0" w:line="240" w:lineRule="auto"/>
    </w:pPr>
  </w:style>
  <w:style w:type="character" w:customStyle="1" w:styleId="Heading1Char">
    <w:name w:val="Heading 1 Char"/>
    <w:basedOn w:val="DefaultParagraphFont"/>
    <w:link w:val="Heading1"/>
    <w:uiPriority w:val="9"/>
    <w:rsid w:val="00007C8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07C8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007C8E"/>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E70EC9"/>
    <w:pPr>
      <w:outlineLvl w:val="9"/>
    </w:pPr>
    <w:rPr>
      <w:lang w:val="en-US"/>
    </w:rPr>
  </w:style>
  <w:style w:type="paragraph" w:styleId="TOC1">
    <w:name w:val="toc 1"/>
    <w:basedOn w:val="Normal"/>
    <w:next w:val="Normal"/>
    <w:autoRedefine/>
    <w:uiPriority w:val="39"/>
    <w:unhideWhenUsed/>
    <w:rsid w:val="00E70EC9"/>
    <w:pPr>
      <w:spacing w:after="100"/>
    </w:pPr>
  </w:style>
  <w:style w:type="paragraph" w:styleId="TOC2">
    <w:name w:val="toc 2"/>
    <w:basedOn w:val="Normal"/>
    <w:next w:val="Normal"/>
    <w:autoRedefine/>
    <w:uiPriority w:val="39"/>
    <w:unhideWhenUsed/>
    <w:rsid w:val="00E70EC9"/>
    <w:pPr>
      <w:spacing w:after="100"/>
      <w:ind w:left="220"/>
    </w:pPr>
  </w:style>
  <w:style w:type="paragraph" w:styleId="TOC3">
    <w:name w:val="toc 3"/>
    <w:basedOn w:val="Normal"/>
    <w:next w:val="Normal"/>
    <w:autoRedefine/>
    <w:uiPriority w:val="39"/>
    <w:unhideWhenUsed/>
    <w:rsid w:val="00E70EC9"/>
    <w:pPr>
      <w:spacing w:after="100"/>
      <w:ind w:left="440"/>
    </w:pPr>
  </w:style>
  <w:style w:type="character" w:styleId="Hyperlink">
    <w:name w:val="Hyperlink"/>
    <w:basedOn w:val="DefaultParagraphFont"/>
    <w:uiPriority w:val="99"/>
    <w:unhideWhenUsed/>
    <w:rsid w:val="00E70EC9"/>
    <w:rPr>
      <w:color w:val="0563C1" w:themeColor="hyperlink"/>
      <w:u w:val="single"/>
    </w:rPr>
  </w:style>
  <w:style w:type="character" w:customStyle="1" w:styleId="UnresolvedMention1">
    <w:name w:val="Unresolved Mention1"/>
    <w:basedOn w:val="DefaultParagraphFont"/>
    <w:uiPriority w:val="99"/>
    <w:semiHidden/>
    <w:unhideWhenUsed/>
    <w:rsid w:val="000E2087"/>
    <w:rPr>
      <w:color w:val="605E5C"/>
      <w:shd w:val="clear" w:color="auto" w:fill="E1DFDD"/>
    </w:rPr>
  </w:style>
  <w:style w:type="character" w:styleId="CommentReference">
    <w:name w:val="annotation reference"/>
    <w:basedOn w:val="DefaultParagraphFont"/>
    <w:uiPriority w:val="99"/>
    <w:semiHidden/>
    <w:unhideWhenUsed/>
    <w:rsid w:val="00957714"/>
    <w:rPr>
      <w:sz w:val="16"/>
      <w:szCs w:val="16"/>
    </w:rPr>
  </w:style>
  <w:style w:type="paragraph" w:styleId="CommentText">
    <w:name w:val="annotation text"/>
    <w:basedOn w:val="Normal"/>
    <w:link w:val="CommentTextChar"/>
    <w:uiPriority w:val="99"/>
    <w:semiHidden/>
    <w:unhideWhenUsed/>
    <w:rsid w:val="00957714"/>
    <w:pPr>
      <w:spacing w:line="240" w:lineRule="auto"/>
    </w:pPr>
    <w:rPr>
      <w:sz w:val="20"/>
      <w:szCs w:val="20"/>
    </w:rPr>
  </w:style>
  <w:style w:type="character" w:customStyle="1" w:styleId="CommentTextChar">
    <w:name w:val="Comment Text Char"/>
    <w:basedOn w:val="DefaultParagraphFont"/>
    <w:link w:val="CommentText"/>
    <w:uiPriority w:val="99"/>
    <w:semiHidden/>
    <w:rsid w:val="00957714"/>
    <w:rPr>
      <w:sz w:val="20"/>
      <w:szCs w:val="20"/>
    </w:rPr>
  </w:style>
  <w:style w:type="paragraph" w:styleId="CommentSubject">
    <w:name w:val="annotation subject"/>
    <w:basedOn w:val="CommentText"/>
    <w:next w:val="CommentText"/>
    <w:link w:val="CommentSubjectChar"/>
    <w:uiPriority w:val="99"/>
    <w:semiHidden/>
    <w:unhideWhenUsed/>
    <w:rsid w:val="00957714"/>
    <w:rPr>
      <w:b/>
      <w:bCs/>
    </w:rPr>
  </w:style>
  <w:style w:type="character" w:customStyle="1" w:styleId="CommentSubjectChar">
    <w:name w:val="Comment Subject Char"/>
    <w:basedOn w:val="CommentTextChar"/>
    <w:link w:val="CommentSubject"/>
    <w:uiPriority w:val="99"/>
    <w:semiHidden/>
    <w:rsid w:val="00957714"/>
    <w:rPr>
      <w:b/>
      <w:bCs/>
      <w:sz w:val="20"/>
      <w:szCs w:val="20"/>
    </w:rPr>
  </w:style>
  <w:style w:type="paragraph" w:styleId="NoSpacing">
    <w:name w:val="No Spacing"/>
    <w:uiPriority w:val="1"/>
    <w:qFormat/>
    <w:rsid w:val="001A5E8C"/>
    <w:pPr>
      <w:spacing w:after="0" w:line="240" w:lineRule="auto"/>
    </w:pPr>
  </w:style>
  <w:style w:type="paragraph" w:styleId="Header">
    <w:name w:val="header"/>
    <w:basedOn w:val="Normal"/>
    <w:link w:val="HeaderChar"/>
    <w:uiPriority w:val="99"/>
    <w:unhideWhenUsed/>
    <w:rsid w:val="001F04A7"/>
    <w:pPr>
      <w:tabs>
        <w:tab w:val="center" w:pos="4252"/>
        <w:tab w:val="right" w:pos="8504"/>
      </w:tabs>
      <w:spacing w:after="0" w:line="240" w:lineRule="auto"/>
    </w:pPr>
  </w:style>
  <w:style w:type="character" w:customStyle="1" w:styleId="HeaderChar">
    <w:name w:val="Header Char"/>
    <w:basedOn w:val="DefaultParagraphFont"/>
    <w:link w:val="Header"/>
    <w:uiPriority w:val="99"/>
    <w:rsid w:val="001F04A7"/>
  </w:style>
  <w:style w:type="paragraph" w:styleId="Footer">
    <w:name w:val="footer"/>
    <w:basedOn w:val="Normal"/>
    <w:link w:val="FooterChar"/>
    <w:uiPriority w:val="99"/>
    <w:unhideWhenUsed/>
    <w:rsid w:val="001F04A7"/>
    <w:pPr>
      <w:tabs>
        <w:tab w:val="center" w:pos="4252"/>
        <w:tab w:val="right" w:pos="8504"/>
      </w:tabs>
      <w:spacing w:after="0" w:line="240" w:lineRule="auto"/>
    </w:pPr>
  </w:style>
  <w:style w:type="character" w:customStyle="1" w:styleId="FooterChar">
    <w:name w:val="Footer Char"/>
    <w:basedOn w:val="DefaultParagraphFont"/>
    <w:link w:val="Footer"/>
    <w:uiPriority w:val="99"/>
    <w:rsid w:val="001F04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4658905">
      <w:bodyDiv w:val="1"/>
      <w:marLeft w:val="0"/>
      <w:marRight w:val="0"/>
      <w:marTop w:val="0"/>
      <w:marBottom w:val="0"/>
      <w:divBdr>
        <w:top w:val="none" w:sz="0" w:space="0" w:color="auto"/>
        <w:left w:val="none" w:sz="0" w:space="0" w:color="auto"/>
        <w:bottom w:val="none" w:sz="0" w:space="0" w:color="auto"/>
        <w:right w:val="none" w:sz="0" w:space="0" w:color="auto"/>
      </w:divBdr>
    </w:div>
    <w:div w:id="666396473">
      <w:bodyDiv w:val="1"/>
      <w:marLeft w:val="0"/>
      <w:marRight w:val="0"/>
      <w:marTop w:val="0"/>
      <w:marBottom w:val="0"/>
      <w:divBdr>
        <w:top w:val="none" w:sz="0" w:space="0" w:color="auto"/>
        <w:left w:val="none" w:sz="0" w:space="0" w:color="auto"/>
        <w:bottom w:val="none" w:sz="0" w:space="0" w:color="auto"/>
        <w:right w:val="none" w:sz="0" w:space="0" w:color="auto"/>
      </w:divBdr>
    </w:div>
    <w:div w:id="966163897">
      <w:bodyDiv w:val="1"/>
      <w:marLeft w:val="0"/>
      <w:marRight w:val="0"/>
      <w:marTop w:val="0"/>
      <w:marBottom w:val="0"/>
      <w:divBdr>
        <w:top w:val="none" w:sz="0" w:space="0" w:color="auto"/>
        <w:left w:val="none" w:sz="0" w:space="0" w:color="auto"/>
        <w:bottom w:val="none" w:sz="0" w:space="0" w:color="auto"/>
        <w:right w:val="none" w:sz="0" w:space="0" w:color="auto"/>
      </w:divBdr>
    </w:div>
    <w:div w:id="1244028152">
      <w:bodyDiv w:val="1"/>
      <w:marLeft w:val="0"/>
      <w:marRight w:val="0"/>
      <w:marTop w:val="0"/>
      <w:marBottom w:val="0"/>
      <w:divBdr>
        <w:top w:val="none" w:sz="0" w:space="0" w:color="auto"/>
        <w:left w:val="none" w:sz="0" w:space="0" w:color="auto"/>
        <w:bottom w:val="none" w:sz="0" w:space="0" w:color="auto"/>
        <w:right w:val="none" w:sz="0" w:space="0" w:color="auto"/>
      </w:divBdr>
    </w:div>
    <w:div w:id="1337267019">
      <w:bodyDiv w:val="1"/>
      <w:marLeft w:val="0"/>
      <w:marRight w:val="0"/>
      <w:marTop w:val="0"/>
      <w:marBottom w:val="0"/>
      <w:divBdr>
        <w:top w:val="none" w:sz="0" w:space="0" w:color="auto"/>
        <w:left w:val="none" w:sz="0" w:space="0" w:color="auto"/>
        <w:bottom w:val="none" w:sz="0" w:space="0" w:color="auto"/>
        <w:right w:val="none" w:sz="0" w:space="0" w:color="auto"/>
      </w:divBdr>
    </w:div>
    <w:div w:id="1475950391">
      <w:bodyDiv w:val="1"/>
      <w:marLeft w:val="0"/>
      <w:marRight w:val="0"/>
      <w:marTop w:val="0"/>
      <w:marBottom w:val="0"/>
      <w:divBdr>
        <w:top w:val="none" w:sz="0" w:space="0" w:color="auto"/>
        <w:left w:val="none" w:sz="0" w:space="0" w:color="auto"/>
        <w:bottom w:val="none" w:sz="0" w:space="0" w:color="auto"/>
        <w:right w:val="none" w:sz="0" w:space="0" w:color="auto"/>
      </w:divBdr>
    </w:div>
    <w:div w:id="1582986424">
      <w:bodyDiv w:val="1"/>
      <w:marLeft w:val="0"/>
      <w:marRight w:val="0"/>
      <w:marTop w:val="0"/>
      <w:marBottom w:val="0"/>
      <w:divBdr>
        <w:top w:val="none" w:sz="0" w:space="0" w:color="auto"/>
        <w:left w:val="none" w:sz="0" w:space="0" w:color="auto"/>
        <w:bottom w:val="none" w:sz="0" w:space="0" w:color="auto"/>
        <w:right w:val="none" w:sz="0" w:space="0" w:color="auto"/>
      </w:divBdr>
    </w:div>
    <w:div w:id="1789541193">
      <w:bodyDiv w:val="1"/>
      <w:marLeft w:val="0"/>
      <w:marRight w:val="0"/>
      <w:marTop w:val="0"/>
      <w:marBottom w:val="0"/>
      <w:divBdr>
        <w:top w:val="none" w:sz="0" w:space="0" w:color="auto"/>
        <w:left w:val="none" w:sz="0" w:space="0" w:color="auto"/>
        <w:bottom w:val="none" w:sz="0" w:space="0" w:color="auto"/>
        <w:right w:val="none" w:sz="0" w:space="0" w:color="auto"/>
      </w:divBdr>
    </w:div>
    <w:div w:id="1810122233">
      <w:bodyDiv w:val="1"/>
      <w:marLeft w:val="0"/>
      <w:marRight w:val="0"/>
      <w:marTop w:val="0"/>
      <w:marBottom w:val="0"/>
      <w:divBdr>
        <w:top w:val="none" w:sz="0" w:space="0" w:color="auto"/>
        <w:left w:val="none" w:sz="0" w:space="0" w:color="auto"/>
        <w:bottom w:val="none" w:sz="0" w:space="0" w:color="auto"/>
        <w:right w:val="none" w:sz="0" w:space="0" w:color="auto"/>
      </w:divBdr>
    </w:div>
    <w:div w:id="2118714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3" Type="http://schemas.openxmlformats.org/officeDocument/2006/relationships/hyperlink" Target="https://www.supremecourt.gov/visiting/activities/pdf/JM_Portrait_DD_Web_Version.pdf" TargetMode="External"/><Relationship Id="rId2" Type="http://schemas.openxmlformats.org/officeDocument/2006/relationships/hyperlink" Target="https://en.todocoleccion.net/postcards-america/postal-massive-sliding-bronze-doors-of-the-supreme-court-building-in-washington-d-c~x101850111" TargetMode="External"/><Relationship Id="rId1" Type="http://schemas.openxmlformats.org/officeDocument/2006/relationships/hyperlink" Target="https://news.gallup.com/poll/394103/confidence-supreme-court-sinks-historic-low.aspx" TargetMode="External"/><Relationship Id="rId6" Type="http://schemas.openxmlformats.org/officeDocument/2006/relationships/hyperlink" Target="https://jeanmonnetprogram.org/archive/papers/95/9506ind.html" TargetMode="External"/><Relationship Id="rId5" Type="http://schemas.openxmlformats.org/officeDocument/2006/relationships/hyperlink" Target="https://www.lto.de/recht/feuilleton/f/rechtsgeschichte-reichsgericht-75-jahre-urteile-banalitaet-rechtsstaat/" TargetMode="External"/><Relationship Id="rId4" Type="http://schemas.openxmlformats.org/officeDocument/2006/relationships/hyperlink" Target="https://www.thoughtco.com/us-supreme-court-building-by-cass-gilbert-17792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1CB90F-557F-4394-8034-8242E3CED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3408</TotalTime>
  <Pages>48</Pages>
  <Words>15017</Words>
  <Characters>81092</Characters>
  <Application>Microsoft Office Word</Application>
  <DocSecurity>0</DocSecurity>
  <Lines>675</Lines>
  <Paragraphs>191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95918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Ricardo Diniz</dc:creator>
  <cp:keywords/>
  <dc:description/>
  <cp:lastModifiedBy>Ricardo Diniz</cp:lastModifiedBy>
  <cp:revision>90</cp:revision>
  <dcterms:created xsi:type="dcterms:W3CDTF">2022-07-27T08:26:00Z</dcterms:created>
  <dcterms:modified xsi:type="dcterms:W3CDTF">2022-12-03T20:07:00Z</dcterms:modified>
</cp:coreProperties>
</file>