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F30F" w14:textId="77777777" w:rsidR="0008687F" w:rsidRPr="00E94148" w:rsidRDefault="0008687F" w:rsidP="008553F4">
      <w:pPr>
        <w:spacing w:line="276" w:lineRule="auto"/>
        <w:jc w:val="center"/>
        <w:rPr>
          <w:rFonts w:ascii="Cambria" w:hAnsi="Cambria" w:cs="Times New Roman"/>
          <w:b/>
          <w:bCs/>
          <w:sz w:val="52"/>
          <w:szCs w:val="52"/>
          <w:u w:val="single"/>
        </w:rPr>
      </w:pPr>
    </w:p>
    <w:p w14:paraId="08717AAB" w14:textId="77777777" w:rsidR="0008687F" w:rsidRPr="00E94148" w:rsidRDefault="0008687F" w:rsidP="008553F4">
      <w:pPr>
        <w:spacing w:line="276" w:lineRule="auto"/>
        <w:jc w:val="center"/>
        <w:rPr>
          <w:rFonts w:ascii="Cambria" w:hAnsi="Cambria" w:cs="Times New Roman"/>
          <w:b/>
          <w:bCs/>
          <w:sz w:val="52"/>
          <w:szCs w:val="52"/>
          <w:u w:val="single"/>
        </w:rPr>
      </w:pPr>
    </w:p>
    <w:p w14:paraId="047B9B1C" w14:textId="77777777" w:rsidR="00186F54" w:rsidRPr="00E94148" w:rsidRDefault="008421B8" w:rsidP="008553F4">
      <w:pPr>
        <w:spacing w:line="276" w:lineRule="auto"/>
        <w:jc w:val="center"/>
        <w:rPr>
          <w:rFonts w:ascii="Cambria" w:hAnsi="Cambria" w:cs="Times New Roman"/>
          <w:b/>
          <w:bCs/>
          <w:i/>
          <w:iCs/>
          <w:sz w:val="32"/>
          <w:szCs w:val="32"/>
          <w:u w:val="single"/>
        </w:rPr>
      </w:pPr>
      <w:r w:rsidRPr="00E94148">
        <w:rPr>
          <w:rFonts w:ascii="Cambria" w:hAnsi="Cambria" w:cs="Times New Roman"/>
          <w:b/>
          <w:bCs/>
          <w:i/>
          <w:iCs/>
          <w:sz w:val="32"/>
          <w:szCs w:val="32"/>
          <w:u w:val="single"/>
        </w:rPr>
        <w:t xml:space="preserve">Artificial Intelligence as an undue influence in criminal </w:t>
      </w:r>
      <w:r w:rsidR="00932171" w:rsidRPr="00E94148">
        <w:rPr>
          <w:rFonts w:ascii="Cambria" w:hAnsi="Cambria" w:cs="Times New Roman"/>
          <w:b/>
          <w:bCs/>
          <w:i/>
          <w:iCs/>
          <w:sz w:val="32"/>
          <w:szCs w:val="32"/>
          <w:u w:val="single"/>
        </w:rPr>
        <w:t>trials:</w:t>
      </w:r>
      <w:r w:rsidRPr="00E94148">
        <w:rPr>
          <w:rFonts w:ascii="Cambria" w:hAnsi="Cambria" w:cs="Times New Roman"/>
          <w:b/>
          <w:bCs/>
          <w:i/>
          <w:iCs/>
          <w:sz w:val="32"/>
          <w:szCs w:val="32"/>
          <w:u w:val="single"/>
        </w:rPr>
        <w:t xml:space="preserve"> Issuing the use of algorithms under the principle of independence</w:t>
      </w:r>
      <w:r w:rsidR="00666590" w:rsidRPr="00E94148">
        <w:rPr>
          <w:rFonts w:ascii="Cambria" w:hAnsi="Cambria" w:cs="Times New Roman"/>
          <w:b/>
          <w:bCs/>
          <w:i/>
          <w:iCs/>
          <w:sz w:val="32"/>
          <w:szCs w:val="32"/>
          <w:u w:val="single"/>
        </w:rPr>
        <w:t xml:space="preserve"> of </w:t>
      </w:r>
      <w:r w:rsidR="00E16998" w:rsidRPr="00E94148">
        <w:rPr>
          <w:rFonts w:ascii="Cambria" w:hAnsi="Cambria" w:cs="Times New Roman"/>
          <w:b/>
          <w:bCs/>
          <w:i/>
          <w:iCs/>
          <w:sz w:val="32"/>
          <w:szCs w:val="32"/>
          <w:u w:val="single"/>
        </w:rPr>
        <w:t>j</w:t>
      </w:r>
      <w:r w:rsidR="00666590" w:rsidRPr="00E94148">
        <w:rPr>
          <w:rFonts w:ascii="Cambria" w:hAnsi="Cambria" w:cs="Times New Roman"/>
          <w:b/>
          <w:bCs/>
          <w:i/>
          <w:iCs/>
          <w:sz w:val="32"/>
          <w:szCs w:val="32"/>
          <w:u w:val="single"/>
        </w:rPr>
        <w:t>udges</w:t>
      </w:r>
      <w:r w:rsidRPr="00E94148">
        <w:rPr>
          <w:rFonts w:ascii="Cambria" w:hAnsi="Cambria" w:cs="Times New Roman"/>
          <w:b/>
          <w:bCs/>
          <w:i/>
          <w:iCs/>
          <w:sz w:val="32"/>
          <w:szCs w:val="32"/>
          <w:u w:val="single"/>
        </w:rPr>
        <w:t xml:space="preserve"> in Europe.</w:t>
      </w:r>
    </w:p>
    <w:p w14:paraId="14FA425D" w14:textId="77777777" w:rsidR="008421B8" w:rsidRPr="00E94148" w:rsidRDefault="008421B8" w:rsidP="008553F4">
      <w:pPr>
        <w:spacing w:line="276" w:lineRule="auto"/>
        <w:jc w:val="center"/>
        <w:rPr>
          <w:rFonts w:ascii="Cambria" w:hAnsi="Cambria" w:cs="Times New Roman"/>
          <w:sz w:val="24"/>
          <w:szCs w:val="24"/>
        </w:rPr>
      </w:pPr>
    </w:p>
    <w:p w14:paraId="5FD09E4F" w14:textId="77777777" w:rsidR="00965559" w:rsidRPr="00E94148" w:rsidRDefault="00965559" w:rsidP="008553F4">
      <w:pPr>
        <w:spacing w:line="276" w:lineRule="auto"/>
        <w:jc w:val="center"/>
        <w:rPr>
          <w:rFonts w:ascii="Cambria" w:hAnsi="Cambria" w:cs="Times New Roman"/>
          <w:sz w:val="28"/>
          <w:szCs w:val="28"/>
        </w:rPr>
      </w:pPr>
    </w:p>
    <w:p w14:paraId="61562333" w14:textId="77777777" w:rsidR="004007EC" w:rsidRPr="00E94148" w:rsidRDefault="004007EC" w:rsidP="008553F4">
      <w:pPr>
        <w:spacing w:line="276" w:lineRule="auto"/>
        <w:jc w:val="center"/>
        <w:rPr>
          <w:rFonts w:ascii="Cambria" w:hAnsi="Cambria" w:cs="Times New Roman"/>
          <w:sz w:val="28"/>
          <w:szCs w:val="28"/>
        </w:rPr>
      </w:pPr>
    </w:p>
    <w:p w14:paraId="409147F3" w14:textId="77777777" w:rsidR="004007EC" w:rsidRPr="00E94148" w:rsidRDefault="004007EC" w:rsidP="008553F4">
      <w:pPr>
        <w:spacing w:line="276" w:lineRule="auto"/>
        <w:jc w:val="center"/>
        <w:rPr>
          <w:rFonts w:ascii="Cambria" w:hAnsi="Cambria" w:cs="Times New Roman"/>
          <w:sz w:val="28"/>
          <w:szCs w:val="28"/>
        </w:rPr>
      </w:pPr>
    </w:p>
    <w:p w14:paraId="208208C0" w14:textId="77777777" w:rsidR="004007EC" w:rsidRPr="00E94148" w:rsidRDefault="004007EC" w:rsidP="008553F4">
      <w:pPr>
        <w:spacing w:line="276" w:lineRule="auto"/>
        <w:jc w:val="center"/>
        <w:rPr>
          <w:rFonts w:ascii="Cambria" w:hAnsi="Cambria" w:cs="Times New Roman"/>
          <w:sz w:val="28"/>
          <w:szCs w:val="28"/>
        </w:rPr>
      </w:pPr>
    </w:p>
    <w:p w14:paraId="37966E90" w14:textId="77777777" w:rsidR="004007EC" w:rsidRPr="00E94148" w:rsidRDefault="004007EC" w:rsidP="008553F4">
      <w:pPr>
        <w:spacing w:line="276" w:lineRule="auto"/>
        <w:jc w:val="center"/>
        <w:rPr>
          <w:rFonts w:ascii="Cambria" w:hAnsi="Cambria" w:cs="Times New Roman"/>
          <w:sz w:val="28"/>
          <w:szCs w:val="28"/>
        </w:rPr>
      </w:pPr>
    </w:p>
    <w:p w14:paraId="211C68B9" w14:textId="77777777" w:rsidR="00965559" w:rsidRPr="00E94148" w:rsidRDefault="00C813A2" w:rsidP="008553F4">
      <w:pPr>
        <w:spacing w:line="276" w:lineRule="auto"/>
        <w:jc w:val="center"/>
        <w:rPr>
          <w:rFonts w:ascii="Cambria" w:hAnsi="Cambria" w:cs="Times New Roman"/>
          <w:sz w:val="28"/>
          <w:szCs w:val="28"/>
        </w:rPr>
      </w:pPr>
      <w:r w:rsidRPr="00E94148">
        <w:rPr>
          <w:rFonts w:ascii="Cambria" w:hAnsi="Cambria" w:cs="Times New Roman"/>
          <w:sz w:val="28"/>
          <w:szCs w:val="28"/>
        </w:rPr>
        <w:t>Théo Antunes</w:t>
      </w:r>
    </w:p>
    <w:p w14:paraId="59EA55F3" w14:textId="77777777" w:rsidR="00965559" w:rsidRPr="00E94148" w:rsidRDefault="00965559" w:rsidP="008553F4">
      <w:pPr>
        <w:spacing w:line="276" w:lineRule="auto"/>
        <w:jc w:val="center"/>
        <w:rPr>
          <w:rFonts w:ascii="Cambria" w:hAnsi="Cambria" w:cs="Times New Roman"/>
          <w:sz w:val="28"/>
          <w:szCs w:val="28"/>
        </w:rPr>
      </w:pPr>
    </w:p>
    <w:p w14:paraId="0DF035D4" w14:textId="77777777" w:rsidR="00965559" w:rsidRPr="00E94148" w:rsidRDefault="00965559" w:rsidP="008553F4">
      <w:pPr>
        <w:spacing w:line="276" w:lineRule="auto"/>
        <w:jc w:val="center"/>
        <w:rPr>
          <w:rFonts w:ascii="Cambria" w:hAnsi="Cambria" w:cs="Times New Roman"/>
          <w:sz w:val="28"/>
          <w:szCs w:val="28"/>
        </w:rPr>
      </w:pPr>
    </w:p>
    <w:p w14:paraId="534DC4BB" w14:textId="77777777" w:rsidR="004007EC" w:rsidRPr="00E94148" w:rsidRDefault="004007EC" w:rsidP="008553F4">
      <w:pPr>
        <w:spacing w:line="276" w:lineRule="auto"/>
        <w:rPr>
          <w:rFonts w:ascii="Cambria" w:hAnsi="Cambria" w:cs="Times New Roman"/>
          <w:sz w:val="28"/>
          <w:szCs w:val="28"/>
        </w:rPr>
      </w:pPr>
    </w:p>
    <w:p w14:paraId="6981150B" w14:textId="77777777" w:rsidR="004007EC" w:rsidRPr="00E94148" w:rsidRDefault="004007EC" w:rsidP="008553F4">
      <w:pPr>
        <w:spacing w:line="276" w:lineRule="auto"/>
        <w:jc w:val="center"/>
        <w:rPr>
          <w:rFonts w:ascii="Cambria" w:hAnsi="Cambria" w:cs="Times New Roman"/>
          <w:sz w:val="28"/>
          <w:szCs w:val="28"/>
        </w:rPr>
      </w:pPr>
    </w:p>
    <w:p w14:paraId="18114268" w14:textId="77777777" w:rsidR="004007EC" w:rsidRPr="00E94148" w:rsidRDefault="004007EC" w:rsidP="008553F4">
      <w:pPr>
        <w:spacing w:line="276" w:lineRule="auto"/>
        <w:jc w:val="center"/>
        <w:rPr>
          <w:rFonts w:ascii="Cambria" w:hAnsi="Cambria" w:cs="Times New Roman"/>
          <w:sz w:val="28"/>
          <w:szCs w:val="28"/>
        </w:rPr>
      </w:pPr>
    </w:p>
    <w:p w14:paraId="692D4979" w14:textId="77777777" w:rsidR="004007EC" w:rsidRPr="00E94148" w:rsidRDefault="004007EC" w:rsidP="008553F4">
      <w:pPr>
        <w:spacing w:line="276" w:lineRule="auto"/>
        <w:jc w:val="center"/>
        <w:rPr>
          <w:rFonts w:ascii="Cambria" w:hAnsi="Cambria" w:cs="Times New Roman"/>
          <w:sz w:val="28"/>
          <w:szCs w:val="28"/>
        </w:rPr>
      </w:pPr>
    </w:p>
    <w:p w14:paraId="0968A1EB" w14:textId="77777777" w:rsidR="00B451D0" w:rsidRPr="00E94148" w:rsidRDefault="00B451D0" w:rsidP="008553F4">
      <w:pPr>
        <w:spacing w:line="276" w:lineRule="auto"/>
        <w:jc w:val="center"/>
        <w:rPr>
          <w:rFonts w:ascii="Cambria" w:hAnsi="Cambria" w:cs="Times New Roman"/>
          <w:sz w:val="28"/>
          <w:szCs w:val="28"/>
        </w:rPr>
      </w:pPr>
    </w:p>
    <w:p w14:paraId="0E186A9F" w14:textId="77777777" w:rsidR="00B451D0" w:rsidRPr="00E94148" w:rsidRDefault="00B451D0" w:rsidP="008553F4">
      <w:pPr>
        <w:spacing w:line="276" w:lineRule="auto"/>
        <w:jc w:val="center"/>
        <w:rPr>
          <w:rFonts w:ascii="Cambria" w:hAnsi="Cambria" w:cs="Times New Roman"/>
          <w:sz w:val="28"/>
          <w:szCs w:val="28"/>
        </w:rPr>
      </w:pPr>
      <w:r w:rsidRPr="00E94148">
        <w:rPr>
          <w:rFonts w:ascii="Cambria" w:hAnsi="Cambria" w:cs="Times New Roman"/>
          <w:sz w:val="28"/>
          <w:szCs w:val="28"/>
        </w:rPr>
        <w:t>Conference Paper:</w:t>
      </w:r>
    </w:p>
    <w:p w14:paraId="59BF1CB8" w14:textId="77777777" w:rsidR="009C708A" w:rsidRPr="00E94148" w:rsidRDefault="009C708A" w:rsidP="008553F4">
      <w:pPr>
        <w:spacing w:line="276" w:lineRule="auto"/>
        <w:jc w:val="center"/>
        <w:rPr>
          <w:rFonts w:ascii="Cambria" w:hAnsi="Cambria" w:cs="Times New Roman"/>
          <w:sz w:val="28"/>
          <w:szCs w:val="28"/>
        </w:rPr>
      </w:pPr>
      <w:r w:rsidRPr="00E94148">
        <w:rPr>
          <w:rFonts w:ascii="Cambria" w:hAnsi="Cambria" w:cs="Times New Roman"/>
          <w:sz w:val="28"/>
          <w:szCs w:val="28"/>
        </w:rPr>
        <w:t>Artificial Intelligence from the Perspective of Law and Ethics:</w:t>
      </w:r>
    </w:p>
    <w:p w14:paraId="13BD9936" w14:textId="77777777" w:rsidR="00174CED" w:rsidRPr="00E94148" w:rsidRDefault="009C708A" w:rsidP="008553F4">
      <w:pPr>
        <w:spacing w:line="276" w:lineRule="auto"/>
        <w:jc w:val="center"/>
        <w:rPr>
          <w:rFonts w:ascii="Cambria" w:hAnsi="Cambria" w:cs="Times New Roman"/>
          <w:sz w:val="28"/>
          <w:szCs w:val="28"/>
        </w:rPr>
      </w:pPr>
      <w:r w:rsidRPr="00E94148">
        <w:rPr>
          <w:rFonts w:ascii="Cambria" w:hAnsi="Cambria" w:cs="Times New Roman"/>
          <w:sz w:val="28"/>
          <w:szCs w:val="28"/>
        </w:rPr>
        <w:t>Contemporary Issues, Challenges and Perspectives</w:t>
      </w:r>
    </w:p>
    <w:p w14:paraId="6BAB6257" w14:textId="77777777" w:rsidR="00EC59CB" w:rsidRPr="00E94148" w:rsidRDefault="00EC59CB" w:rsidP="008553F4">
      <w:pPr>
        <w:spacing w:line="276" w:lineRule="auto"/>
        <w:jc w:val="center"/>
        <w:rPr>
          <w:rFonts w:ascii="Cambria" w:hAnsi="Cambria" w:cs="Times New Roman"/>
          <w:sz w:val="28"/>
          <w:szCs w:val="28"/>
        </w:rPr>
      </w:pPr>
    </w:p>
    <w:p w14:paraId="28E88683" w14:textId="77777777" w:rsidR="005B161A" w:rsidRPr="00E94148" w:rsidRDefault="00666590" w:rsidP="008553F4">
      <w:pPr>
        <w:spacing w:line="276" w:lineRule="auto"/>
        <w:rPr>
          <w:rFonts w:ascii="Cambria" w:hAnsi="Cambria" w:cs="Times New Roman"/>
          <w:sz w:val="28"/>
          <w:szCs w:val="28"/>
        </w:rPr>
      </w:pPr>
      <w:r w:rsidRPr="00E94148">
        <w:rPr>
          <w:rFonts w:ascii="Cambria" w:hAnsi="Cambria" w:cs="Times New Roman"/>
          <w:sz w:val="24"/>
          <w:szCs w:val="24"/>
        </w:rPr>
        <w:lastRenderedPageBreak/>
        <w:tab/>
      </w:r>
      <w:r w:rsidR="005B161A" w:rsidRPr="00E94148">
        <w:rPr>
          <w:rFonts w:ascii="Cambria" w:hAnsi="Cambria" w:cs="Times New Roman"/>
          <w:sz w:val="28"/>
          <w:szCs w:val="28"/>
        </w:rPr>
        <w:t>Abstract:</w:t>
      </w:r>
    </w:p>
    <w:p w14:paraId="7B7D206F" w14:textId="77777777" w:rsidR="008421B8" w:rsidRPr="00E94148" w:rsidRDefault="00666590" w:rsidP="008553F4">
      <w:pPr>
        <w:spacing w:line="276" w:lineRule="auto"/>
        <w:jc w:val="both"/>
        <w:rPr>
          <w:rFonts w:ascii="Cambria" w:hAnsi="Cambria" w:cs="Times New Roman"/>
          <w:i/>
          <w:iCs/>
          <w:sz w:val="24"/>
          <w:szCs w:val="24"/>
        </w:rPr>
      </w:pPr>
      <w:r w:rsidRPr="00E94148">
        <w:rPr>
          <w:rFonts w:ascii="Cambria" w:hAnsi="Cambria" w:cs="Times New Roman"/>
          <w:sz w:val="24"/>
          <w:szCs w:val="24"/>
        </w:rPr>
        <w:t>This paper will focus its approach on the extent under which the use of</w:t>
      </w:r>
      <w:r w:rsidR="00BB2141" w:rsidRPr="00E94148">
        <w:rPr>
          <w:rFonts w:ascii="Cambria" w:hAnsi="Cambria" w:cs="Times New Roman"/>
          <w:sz w:val="24"/>
          <w:szCs w:val="24"/>
        </w:rPr>
        <w:t xml:space="preserve"> A.I based</w:t>
      </w:r>
      <w:r w:rsidRPr="00E94148">
        <w:rPr>
          <w:rFonts w:ascii="Cambria" w:hAnsi="Cambria" w:cs="Times New Roman"/>
          <w:sz w:val="24"/>
          <w:szCs w:val="24"/>
        </w:rPr>
        <w:t xml:space="preserve"> algorithms in criminal courts could be qualified as an undue influence under European human rights law. However, this paper will also point at some leading evolution that could render a compatibility between the principle of independence and the use of algorithms as legitimate influences within the criminal trial.</w:t>
      </w:r>
      <w:r w:rsidR="00072C79" w:rsidRPr="00E94148">
        <w:rPr>
          <w:rFonts w:ascii="Cambria" w:hAnsi="Cambria" w:cs="Times New Roman"/>
          <w:sz w:val="24"/>
          <w:szCs w:val="24"/>
        </w:rPr>
        <w:t xml:space="preserve"> It will focus on the following question: </w:t>
      </w:r>
      <w:r w:rsidR="00072C79" w:rsidRPr="00E94148">
        <w:rPr>
          <w:rFonts w:ascii="Cambria" w:hAnsi="Cambria" w:cs="Times New Roman"/>
          <w:i/>
          <w:iCs/>
          <w:sz w:val="24"/>
          <w:szCs w:val="24"/>
        </w:rPr>
        <w:t xml:space="preserve">At what extent </w:t>
      </w:r>
      <w:r w:rsidR="001254B9" w:rsidRPr="00E94148">
        <w:rPr>
          <w:rFonts w:ascii="Cambria" w:hAnsi="Cambria" w:cs="Times New Roman"/>
          <w:i/>
          <w:iCs/>
          <w:sz w:val="24"/>
          <w:szCs w:val="24"/>
        </w:rPr>
        <w:t>the use of A.I can be qualified as an undue influence under European human rights law?</w:t>
      </w:r>
    </w:p>
    <w:p w14:paraId="0A524228" w14:textId="77777777" w:rsidR="00EC59CB" w:rsidRPr="00E94148" w:rsidRDefault="00EC59CB" w:rsidP="008553F4">
      <w:pPr>
        <w:spacing w:line="276" w:lineRule="auto"/>
        <w:jc w:val="both"/>
        <w:rPr>
          <w:rFonts w:ascii="Cambria" w:hAnsi="Cambria" w:cs="Times New Roman"/>
          <w:sz w:val="24"/>
          <w:szCs w:val="24"/>
        </w:rPr>
      </w:pPr>
      <w:r w:rsidRPr="00E94148">
        <w:rPr>
          <w:rFonts w:ascii="Cambria" w:hAnsi="Cambria" w:cs="Times New Roman"/>
          <w:sz w:val="24"/>
          <w:szCs w:val="24"/>
        </w:rPr>
        <w:tab/>
      </w:r>
    </w:p>
    <w:p w14:paraId="10C0A784" w14:textId="77777777" w:rsidR="00EC59CB" w:rsidRPr="00E94148" w:rsidRDefault="00EC59CB" w:rsidP="008553F4">
      <w:pPr>
        <w:spacing w:line="276" w:lineRule="auto"/>
        <w:jc w:val="both"/>
        <w:rPr>
          <w:rFonts w:ascii="Cambria" w:hAnsi="Cambria" w:cs="Times New Roman"/>
          <w:sz w:val="24"/>
          <w:szCs w:val="24"/>
        </w:rPr>
      </w:pPr>
    </w:p>
    <w:p w14:paraId="49E72228" w14:textId="77777777" w:rsidR="00EC59CB" w:rsidRPr="00E94148" w:rsidRDefault="00EC59CB" w:rsidP="008553F4">
      <w:pPr>
        <w:spacing w:line="276" w:lineRule="auto"/>
        <w:jc w:val="both"/>
        <w:rPr>
          <w:rFonts w:ascii="Cambria" w:hAnsi="Cambria" w:cs="Times New Roman"/>
          <w:sz w:val="24"/>
          <w:szCs w:val="24"/>
        </w:rPr>
      </w:pPr>
    </w:p>
    <w:p w14:paraId="43164301" w14:textId="77777777" w:rsidR="00EC59CB" w:rsidRPr="00E94148" w:rsidRDefault="00EC59CB" w:rsidP="008553F4">
      <w:pPr>
        <w:spacing w:line="276" w:lineRule="auto"/>
        <w:jc w:val="both"/>
        <w:rPr>
          <w:rFonts w:ascii="Cambria" w:hAnsi="Cambria" w:cs="Times New Roman"/>
          <w:sz w:val="24"/>
          <w:szCs w:val="24"/>
        </w:rPr>
      </w:pPr>
    </w:p>
    <w:p w14:paraId="48155B79" w14:textId="77777777" w:rsidR="00EC59CB" w:rsidRPr="00E94148" w:rsidRDefault="00EC59CB" w:rsidP="008553F4">
      <w:pPr>
        <w:spacing w:line="276" w:lineRule="auto"/>
        <w:jc w:val="both"/>
        <w:rPr>
          <w:rFonts w:ascii="Cambria" w:hAnsi="Cambria" w:cs="Times New Roman"/>
          <w:sz w:val="24"/>
          <w:szCs w:val="24"/>
        </w:rPr>
      </w:pPr>
    </w:p>
    <w:p w14:paraId="76631030" w14:textId="77777777" w:rsidR="00EC59CB" w:rsidRPr="00E94148" w:rsidRDefault="00EC59CB" w:rsidP="008553F4">
      <w:pPr>
        <w:spacing w:line="276" w:lineRule="auto"/>
        <w:jc w:val="both"/>
        <w:rPr>
          <w:rFonts w:ascii="Cambria" w:hAnsi="Cambria" w:cs="Times New Roman"/>
          <w:sz w:val="24"/>
          <w:szCs w:val="24"/>
        </w:rPr>
      </w:pPr>
    </w:p>
    <w:p w14:paraId="5170FC78" w14:textId="77777777" w:rsidR="00EC59CB" w:rsidRPr="00E94148" w:rsidRDefault="00EC59CB" w:rsidP="008553F4">
      <w:pPr>
        <w:spacing w:line="276" w:lineRule="auto"/>
        <w:jc w:val="both"/>
        <w:rPr>
          <w:rFonts w:ascii="Cambria" w:hAnsi="Cambria" w:cs="Times New Roman"/>
          <w:sz w:val="24"/>
          <w:szCs w:val="24"/>
        </w:rPr>
      </w:pPr>
    </w:p>
    <w:p w14:paraId="76926B52" w14:textId="77777777" w:rsidR="00EC59CB" w:rsidRPr="00E94148" w:rsidRDefault="00EC59CB" w:rsidP="008553F4">
      <w:pPr>
        <w:spacing w:line="276" w:lineRule="auto"/>
        <w:jc w:val="both"/>
        <w:rPr>
          <w:rFonts w:ascii="Cambria" w:hAnsi="Cambria" w:cs="Times New Roman"/>
          <w:sz w:val="24"/>
          <w:szCs w:val="24"/>
        </w:rPr>
      </w:pPr>
    </w:p>
    <w:p w14:paraId="6A2C1FEC" w14:textId="77777777" w:rsidR="00EC59CB" w:rsidRPr="00E94148" w:rsidRDefault="00EC59CB" w:rsidP="008553F4">
      <w:pPr>
        <w:spacing w:line="276" w:lineRule="auto"/>
        <w:jc w:val="both"/>
        <w:rPr>
          <w:rFonts w:ascii="Cambria" w:hAnsi="Cambria" w:cs="Times New Roman"/>
          <w:sz w:val="24"/>
          <w:szCs w:val="24"/>
        </w:rPr>
      </w:pPr>
    </w:p>
    <w:p w14:paraId="39D199BF" w14:textId="77777777" w:rsidR="00EC59CB" w:rsidRPr="00E94148" w:rsidRDefault="00EC59CB" w:rsidP="008553F4">
      <w:pPr>
        <w:spacing w:line="276" w:lineRule="auto"/>
        <w:jc w:val="both"/>
        <w:rPr>
          <w:rFonts w:ascii="Cambria" w:hAnsi="Cambria" w:cs="Times New Roman"/>
          <w:sz w:val="24"/>
          <w:szCs w:val="24"/>
        </w:rPr>
      </w:pPr>
    </w:p>
    <w:p w14:paraId="3903F546" w14:textId="77777777" w:rsidR="00EC59CB" w:rsidRPr="00E94148" w:rsidRDefault="00EC59CB" w:rsidP="008553F4">
      <w:pPr>
        <w:spacing w:line="276" w:lineRule="auto"/>
        <w:jc w:val="both"/>
        <w:rPr>
          <w:rFonts w:ascii="Cambria" w:hAnsi="Cambria" w:cs="Times New Roman"/>
          <w:sz w:val="24"/>
          <w:szCs w:val="24"/>
        </w:rPr>
      </w:pPr>
    </w:p>
    <w:p w14:paraId="67E563CE" w14:textId="77777777" w:rsidR="00EC59CB" w:rsidRPr="00E94148" w:rsidRDefault="00EC59CB" w:rsidP="008553F4">
      <w:pPr>
        <w:spacing w:line="276" w:lineRule="auto"/>
        <w:jc w:val="both"/>
        <w:rPr>
          <w:rFonts w:ascii="Cambria" w:hAnsi="Cambria" w:cs="Times New Roman"/>
          <w:sz w:val="24"/>
          <w:szCs w:val="24"/>
        </w:rPr>
      </w:pPr>
    </w:p>
    <w:p w14:paraId="6632CCD2" w14:textId="77777777" w:rsidR="00EC59CB" w:rsidRPr="00E94148" w:rsidRDefault="00EC59CB" w:rsidP="008553F4">
      <w:pPr>
        <w:spacing w:line="276" w:lineRule="auto"/>
        <w:jc w:val="both"/>
        <w:rPr>
          <w:rFonts w:ascii="Cambria" w:hAnsi="Cambria" w:cs="Times New Roman"/>
          <w:sz w:val="24"/>
          <w:szCs w:val="24"/>
        </w:rPr>
      </w:pPr>
    </w:p>
    <w:p w14:paraId="45E87F36" w14:textId="77777777" w:rsidR="00EC59CB" w:rsidRPr="00E94148" w:rsidRDefault="00EC59CB" w:rsidP="008553F4">
      <w:pPr>
        <w:spacing w:line="276" w:lineRule="auto"/>
        <w:jc w:val="both"/>
        <w:rPr>
          <w:rFonts w:ascii="Cambria" w:hAnsi="Cambria" w:cs="Times New Roman"/>
          <w:sz w:val="24"/>
          <w:szCs w:val="24"/>
        </w:rPr>
      </w:pPr>
    </w:p>
    <w:p w14:paraId="03651C2E" w14:textId="77777777" w:rsidR="00EC59CB" w:rsidRPr="00E94148" w:rsidRDefault="00EC59CB" w:rsidP="008553F4">
      <w:pPr>
        <w:spacing w:line="276" w:lineRule="auto"/>
        <w:jc w:val="both"/>
        <w:rPr>
          <w:rFonts w:ascii="Cambria" w:hAnsi="Cambria" w:cs="Times New Roman"/>
          <w:sz w:val="24"/>
          <w:szCs w:val="24"/>
        </w:rPr>
      </w:pPr>
    </w:p>
    <w:p w14:paraId="58F6B0DB" w14:textId="77777777" w:rsidR="00EC59CB" w:rsidRPr="00E94148" w:rsidRDefault="00EC59CB" w:rsidP="008553F4">
      <w:pPr>
        <w:spacing w:line="276" w:lineRule="auto"/>
        <w:jc w:val="both"/>
        <w:rPr>
          <w:rFonts w:ascii="Cambria" w:hAnsi="Cambria" w:cs="Times New Roman"/>
          <w:sz w:val="24"/>
          <w:szCs w:val="24"/>
        </w:rPr>
      </w:pPr>
    </w:p>
    <w:p w14:paraId="0AEB987B" w14:textId="77777777" w:rsidR="00EC59CB" w:rsidRPr="00E94148" w:rsidRDefault="00EC59CB" w:rsidP="008553F4">
      <w:pPr>
        <w:spacing w:line="276" w:lineRule="auto"/>
        <w:jc w:val="both"/>
        <w:rPr>
          <w:rFonts w:ascii="Cambria" w:hAnsi="Cambria" w:cs="Times New Roman"/>
          <w:sz w:val="24"/>
          <w:szCs w:val="24"/>
        </w:rPr>
      </w:pPr>
    </w:p>
    <w:p w14:paraId="0B454EC6" w14:textId="77777777" w:rsidR="00EC59CB" w:rsidRPr="00E94148" w:rsidRDefault="00EC59CB" w:rsidP="008553F4">
      <w:pPr>
        <w:spacing w:line="276" w:lineRule="auto"/>
        <w:jc w:val="both"/>
        <w:rPr>
          <w:rFonts w:ascii="Cambria" w:hAnsi="Cambria" w:cs="Times New Roman"/>
          <w:sz w:val="24"/>
          <w:szCs w:val="24"/>
        </w:rPr>
      </w:pPr>
    </w:p>
    <w:p w14:paraId="7CEBBC38" w14:textId="77777777" w:rsidR="00EC59CB" w:rsidRPr="00E94148" w:rsidRDefault="00EC59CB" w:rsidP="008553F4">
      <w:pPr>
        <w:spacing w:line="276" w:lineRule="auto"/>
        <w:jc w:val="both"/>
        <w:rPr>
          <w:rFonts w:ascii="Cambria" w:hAnsi="Cambria" w:cs="Times New Roman"/>
          <w:sz w:val="24"/>
          <w:szCs w:val="24"/>
        </w:rPr>
      </w:pPr>
    </w:p>
    <w:p w14:paraId="7AA0BCAE" w14:textId="77777777" w:rsidR="00EC59CB" w:rsidRDefault="00EC59CB" w:rsidP="008553F4">
      <w:pPr>
        <w:spacing w:line="276" w:lineRule="auto"/>
        <w:jc w:val="both"/>
        <w:rPr>
          <w:rFonts w:ascii="Cambria" w:hAnsi="Cambria" w:cs="Times New Roman"/>
          <w:sz w:val="24"/>
          <w:szCs w:val="24"/>
        </w:rPr>
      </w:pPr>
    </w:p>
    <w:p w14:paraId="037367A9" w14:textId="77777777" w:rsidR="00B64A4D" w:rsidRPr="00E94148" w:rsidRDefault="00B64A4D" w:rsidP="008553F4">
      <w:pPr>
        <w:spacing w:line="276" w:lineRule="auto"/>
        <w:jc w:val="both"/>
        <w:rPr>
          <w:rFonts w:ascii="Cambria" w:hAnsi="Cambria" w:cs="Times New Roman"/>
          <w:sz w:val="24"/>
          <w:szCs w:val="24"/>
        </w:rPr>
      </w:pPr>
    </w:p>
    <w:p w14:paraId="7D5C6906" w14:textId="77777777" w:rsidR="00EC59CB" w:rsidRPr="00E94148" w:rsidRDefault="00EC59CB" w:rsidP="008553F4">
      <w:pPr>
        <w:spacing w:line="276" w:lineRule="auto"/>
        <w:jc w:val="both"/>
        <w:rPr>
          <w:rFonts w:ascii="Cambria" w:hAnsi="Cambria" w:cs="Times New Roman"/>
          <w:sz w:val="28"/>
          <w:szCs w:val="28"/>
        </w:rPr>
      </w:pPr>
      <w:r w:rsidRPr="00E94148">
        <w:rPr>
          <w:rFonts w:ascii="Cambria" w:hAnsi="Cambria" w:cs="Times New Roman"/>
          <w:sz w:val="28"/>
          <w:szCs w:val="28"/>
        </w:rPr>
        <w:lastRenderedPageBreak/>
        <w:t>Introduction</w:t>
      </w:r>
    </w:p>
    <w:p w14:paraId="5D3618F1" w14:textId="77777777" w:rsidR="00EC59CB" w:rsidRPr="00E94148" w:rsidRDefault="005A398D" w:rsidP="008553F4">
      <w:pPr>
        <w:spacing w:line="276" w:lineRule="auto"/>
        <w:jc w:val="both"/>
        <w:rPr>
          <w:rFonts w:ascii="Cambria" w:hAnsi="Cambria" w:cs="Times New Roman"/>
          <w:sz w:val="24"/>
          <w:szCs w:val="24"/>
        </w:rPr>
      </w:pPr>
      <w:r w:rsidRPr="00E94148">
        <w:rPr>
          <w:rFonts w:ascii="Cambria" w:hAnsi="Cambria"/>
          <w:sz w:val="24"/>
          <w:szCs w:val="24"/>
        </w:rPr>
        <w:t>The principle of independence stands at the crossway of the Criminal Trial and the guarantees of the Rule of Law, its main aim is to render Justice through a neutral, law-</w:t>
      </w:r>
      <w:proofErr w:type="gramStart"/>
      <w:r w:rsidRPr="00E94148">
        <w:rPr>
          <w:rFonts w:ascii="Cambria" w:hAnsi="Cambria"/>
          <w:sz w:val="24"/>
          <w:szCs w:val="24"/>
        </w:rPr>
        <w:t>based</w:t>
      </w:r>
      <w:proofErr w:type="gramEnd"/>
      <w:r w:rsidRPr="00E94148">
        <w:rPr>
          <w:rFonts w:ascii="Cambria" w:hAnsi="Cambria"/>
          <w:sz w:val="24"/>
          <w:szCs w:val="24"/>
        </w:rPr>
        <w:t xml:space="preserve"> and fact-based decision without any interference from other branches of power nor from any other undue influence and interference</w:t>
      </w:r>
      <w:r w:rsidRPr="00E94148">
        <w:rPr>
          <w:rStyle w:val="FootnoteReference"/>
          <w:rFonts w:ascii="Cambria" w:hAnsi="Cambria"/>
          <w:sz w:val="24"/>
          <w:szCs w:val="24"/>
        </w:rPr>
        <w:footnoteReference w:id="2"/>
      </w:r>
      <w:r w:rsidRPr="00E94148">
        <w:rPr>
          <w:rFonts w:ascii="Cambria" w:hAnsi="Cambria"/>
          <w:sz w:val="24"/>
          <w:szCs w:val="24"/>
        </w:rPr>
        <w:t xml:space="preserve">. This paper would thus aim at </w:t>
      </w:r>
      <w:r w:rsidR="0063493F" w:rsidRPr="00E94148">
        <w:rPr>
          <w:rFonts w:ascii="Cambria" w:hAnsi="Cambria"/>
          <w:sz w:val="24"/>
          <w:szCs w:val="24"/>
        </w:rPr>
        <w:t>investigating</w:t>
      </w:r>
      <w:r w:rsidRPr="00E94148">
        <w:rPr>
          <w:rFonts w:ascii="Cambria" w:hAnsi="Cambria"/>
          <w:sz w:val="24"/>
          <w:szCs w:val="24"/>
        </w:rPr>
        <w:t xml:space="preserve"> the impact and the challenges of the use of such advanced technology on the principle of independence of the Judiciary as a cardinal principle of the Rule of Law and criminal Justice</w:t>
      </w:r>
    </w:p>
    <w:p w14:paraId="7F67C8DD" w14:textId="77777777" w:rsidR="00E37B3F" w:rsidRPr="00E94148" w:rsidRDefault="00932171" w:rsidP="008553F4">
      <w:pPr>
        <w:spacing w:line="276" w:lineRule="auto"/>
        <w:jc w:val="both"/>
        <w:rPr>
          <w:rFonts w:ascii="Cambria" w:hAnsi="Cambria" w:cs="Times New Roman"/>
          <w:sz w:val="24"/>
          <w:szCs w:val="24"/>
        </w:rPr>
      </w:pPr>
      <w:r w:rsidRPr="00E94148">
        <w:rPr>
          <w:rFonts w:ascii="Cambria" w:hAnsi="Cambria" w:cs="Times New Roman"/>
          <w:sz w:val="24"/>
          <w:szCs w:val="24"/>
        </w:rPr>
        <w:t>Firstly, this paper will focus on the question of what an undue influence under European human rights law is, and to what extent such notion would reach. This qualification would be made through the common work of both the European Court on Human rights and the European Court of Justice.</w:t>
      </w:r>
      <w:r w:rsidR="00E37B3F" w:rsidRPr="00E94148">
        <w:rPr>
          <w:rFonts w:ascii="Cambria" w:hAnsi="Cambria" w:cs="Times New Roman"/>
          <w:sz w:val="24"/>
          <w:szCs w:val="24"/>
        </w:rPr>
        <w:t xml:space="preserve"> This approach would lead to assess the common features of the courts toward identifying an undue influence, but also where divergences can be found, especially when focusing on the </w:t>
      </w:r>
      <w:proofErr w:type="spellStart"/>
      <w:r w:rsidR="00E37B3F" w:rsidRPr="00E94148">
        <w:rPr>
          <w:rFonts w:ascii="Cambria" w:hAnsi="Cambria" w:cs="Times New Roman"/>
          <w:i/>
          <w:iCs/>
          <w:sz w:val="24"/>
          <w:szCs w:val="24"/>
        </w:rPr>
        <w:t>rationae</w:t>
      </w:r>
      <w:proofErr w:type="spellEnd"/>
      <w:r w:rsidR="00E37B3F" w:rsidRPr="00E94148">
        <w:rPr>
          <w:rFonts w:ascii="Cambria" w:hAnsi="Cambria" w:cs="Times New Roman"/>
          <w:i/>
          <w:iCs/>
          <w:sz w:val="24"/>
          <w:szCs w:val="24"/>
        </w:rPr>
        <w:t xml:space="preserve"> personae</w:t>
      </w:r>
      <w:r w:rsidR="00E37B3F" w:rsidRPr="00E94148">
        <w:rPr>
          <w:rFonts w:ascii="Cambria" w:hAnsi="Cambria" w:cs="Times New Roman"/>
          <w:sz w:val="24"/>
          <w:szCs w:val="24"/>
        </w:rPr>
        <w:t xml:space="preserve"> extent of the notion. This work would also be led with the textual materials on the principle of independence in Europe such as the consultative council of judges or the </w:t>
      </w:r>
      <w:proofErr w:type="spellStart"/>
      <w:r w:rsidR="00E37B3F" w:rsidRPr="00E94148">
        <w:rPr>
          <w:rFonts w:ascii="Cambria" w:hAnsi="Cambria" w:cs="Times New Roman"/>
          <w:sz w:val="24"/>
          <w:szCs w:val="24"/>
        </w:rPr>
        <w:t>Venise</w:t>
      </w:r>
      <w:proofErr w:type="spellEnd"/>
      <w:r w:rsidR="00E37B3F" w:rsidRPr="00E94148">
        <w:rPr>
          <w:rFonts w:ascii="Cambria" w:hAnsi="Cambria" w:cs="Times New Roman"/>
          <w:sz w:val="24"/>
          <w:szCs w:val="24"/>
        </w:rPr>
        <w:t xml:space="preserve"> commission; </w:t>
      </w:r>
      <w:proofErr w:type="gramStart"/>
      <w:r w:rsidR="00E37B3F" w:rsidRPr="00E94148">
        <w:rPr>
          <w:rFonts w:ascii="Cambria" w:hAnsi="Cambria" w:cs="Times New Roman"/>
          <w:sz w:val="24"/>
          <w:szCs w:val="24"/>
        </w:rPr>
        <w:t>in order to</w:t>
      </w:r>
      <w:proofErr w:type="gramEnd"/>
      <w:r w:rsidR="00E37B3F" w:rsidRPr="00E94148">
        <w:rPr>
          <w:rFonts w:ascii="Cambria" w:hAnsi="Cambria" w:cs="Times New Roman"/>
          <w:sz w:val="24"/>
          <w:szCs w:val="24"/>
        </w:rPr>
        <w:t xml:space="preserve"> better grasp the notion of undue influence under European human rights law.</w:t>
      </w:r>
    </w:p>
    <w:p w14:paraId="4B91B507" w14:textId="77777777" w:rsidR="00E37B3F" w:rsidRPr="00E94148" w:rsidRDefault="00932171" w:rsidP="008553F4">
      <w:pPr>
        <w:spacing w:line="276" w:lineRule="auto"/>
        <w:jc w:val="both"/>
        <w:rPr>
          <w:rFonts w:ascii="Cambria" w:hAnsi="Cambria" w:cs="Times New Roman"/>
          <w:sz w:val="24"/>
          <w:szCs w:val="24"/>
        </w:rPr>
      </w:pPr>
      <w:r w:rsidRPr="00E94148">
        <w:rPr>
          <w:rFonts w:ascii="Cambria" w:hAnsi="Cambria" w:cs="Times New Roman"/>
          <w:sz w:val="24"/>
          <w:szCs w:val="24"/>
        </w:rPr>
        <w:t>Secondly, this paper will focus on whether such algorithms would meet this qualification</w:t>
      </w:r>
      <w:r w:rsidR="00BB2141" w:rsidRPr="00E94148">
        <w:rPr>
          <w:rFonts w:ascii="Cambria" w:hAnsi="Cambria" w:cs="Times New Roman"/>
          <w:sz w:val="24"/>
          <w:szCs w:val="24"/>
        </w:rPr>
        <w:t xml:space="preserve"> while referencing what type of algorithms exist in such trials nowadays (Reoffending probabilities, Analytic Justice…)</w:t>
      </w:r>
      <w:r w:rsidRPr="00E94148">
        <w:rPr>
          <w:rFonts w:ascii="Cambria" w:hAnsi="Cambria" w:cs="Times New Roman"/>
          <w:sz w:val="24"/>
          <w:szCs w:val="24"/>
        </w:rPr>
        <w:t xml:space="preserve">. This part will be divided in two questions. To what extent the algorithm </w:t>
      </w:r>
      <w:r w:rsidR="00BB2141" w:rsidRPr="00E94148">
        <w:rPr>
          <w:rFonts w:ascii="Cambria" w:hAnsi="Cambria" w:cs="Times New Roman"/>
          <w:sz w:val="24"/>
          <w:szCs w:val="24"/>
        </w:rPr>
        <w:t>constitutes</w:t>
      </w:r>
      <w:r w:rsidRPr="00E94148">
        <w:rPr>
          <w:rFonts w:ascii="Cambria" w:hAnsi="Cambria" w:cs="Times New Roman"/>
          <w:sz w:val="24"/>
          <w:szCs w:val="24"/>
        </w:rPr>
        <w:t xml:space="preserve"> an influence </w:t>
      </w:r>
      <w:proofErr w:type="gramStart"/>
      <w:r w:rsidRPr="00E94148">
        <w:rPr>
          <w:rFonts w:ascii="Cambria" w:hAnsi="Cambria" w:cs="Times New Roman"/>
          <w:sz w:val="24"/>
          <w:szCs w:val="24"/>
        </w:rPr>
        <w:t>to</w:t>
      </w:r>
      <w:proofErr w:type="gramEnd"/>
      <w:r w:rsidRPr="00E94148">
        <w:rPr>
          <w:rFonts w:ascii="Cambria" w:hAnsi="Cambria" w:cs="Times New Roman"/>
          <w:sz w:val="24"/>
          <w:szCs w:val="24"/>
        </w:rPr>
        <w:t xml:space="preserve"> the Judge, as a direct influencer (The outcome of the algorithm to the Judge) and as an indirect influencer (The developer of the technology to the Judge).</w:t>
      </w:r>
      <w:r w:rsidR="00E37B3F" w:rsidRPr="00E94148">
        <w:rPr>
          <w:rFonts w:ascii="Cambria" w:hAnsi="Cambria" w:cs="Times New Roman"/>
          <w:sz w:val="24"/>
          <w:szCs w:val="24"/>
        </w:rPr>
        <w:t xml:space="preserve"> And the second question would focus on the extent of the “undue” character of the algorithm especially in cases where the variables of the algorithm are weighted in a manner that could alter direly the decision of the Judge if followed.</w:t>
      </w:r>
    </w:p>
    <w:p w14:paraId="2FDAB95E" w14:textId="77777777" w:rsidR="00932171" w:rsidRPr="00E94148" w:rsidRDefault="00E37B3F" w:rsidP="008553F4">
      <w:pPr>
        <w:spacing w:line="276" w:lineRule="auto"/>
        <w:jc w:val="both"/>
        <w:rPr>
          <w:rFonts w:ascii="Cambria" w:hAnsi="Cambria" w:cs="Times New Roman"/>
          <w:sz w:val="24"/>
          <w:szCs w:val="24"/>
        </w:rPr>
      </w:pPr>
      <w:r w:rsidRPr="00E94148">
        <w:rPr>
          <w:rFonts w:ascii="Cambria" w:hAnsi="Cambria" w:cs="Times New Roman"/>
          <w:sz w:val="24"/>
          <w:szCs w:val="24"/>
        </w:rPr>
        <w:t>Third and finally, this paper will focus on the emerging legislative solutions that could render the A.I based algorithm as a legitimate interference in the criminal trial</w:t>
      </w:r>
      <w:r w:rsidR="00BB2141" w:rsidRPr="00E94148">
        <w:rPr>
          <w:rFonts w:ascii="Cambria" w:hAnsi="Cambria" w:cs="Times New Roman"/>
          <w:sz w:val="24"/>
          <w:szCs w:val="24"/>
        </w:rPr>
        <w:t xml:space="preserve">, on the use of such technology but also regarding the legislative </w:t>
      </w:r>
      <w:r w:rsidR="00F9324A" w:rsidRPr="00E94148">
        <w:rPr>
          <w:rFonts w:ascii="Cambria" w:hAnsi="Cambria" w:cs="Times New Roman"/>
          <w:sz w:val="24"/>
          <w:szCs w:val="24"/>
        </w:rPr>
        <w:t>framework</w:t>
      </w:r>
      <w:r w:rsidRPr="00E94148">
        <w:rPr>
          <w:rFonts w:ascii="Cambria" w:hAnsi="Cambria" w:cs="Times New Roman"/>
          <w:sz w:val="24"/>
          <w:szCs w:val="24"/>
        </w:rPr>
        <w:t xml:space="preserve">. These solutions would be divided between the technology itself, the developers of such technology and the involved actors, and finally the attitude of the judge toward the use of such technology. More than these </w:t>
      </w:r>
      <w:proofErr w:type="spellStart"/>
      <w:r w:rsidRPr="00E94148">
        <w:rPr>
          <w:rFonts w:ascii="Cambria" w:hAnsi="Cambria" w:cs="Times New Roman"/>
          <w:i/>
          <w:iCs/>
          <w:sz w:val="24"/>
          <w:szCs w:val="24"/>
        </w:rPr>
        <w:t>rationae</w:t>
      </w:r>
      <w:proofErr w:type="spellEnd"/>
      <w:r w:rsidRPr="00E94148">
        <w:rPr>
          <w:rFonts w:ascii="Cambria" w:hAnsi="Cambria" w:cs="Times New Roman"/>
          <w:i/>
          <w:iCs/>
          <w:sz w:val="24"/>
          <w:szCs w:val="24"/>
        </w:rPr>
        <w:t xml:space="preserve"> personae</w:t>
      </w:r>
      <w:r w:rsidRPr="00E94148">
        <w:rPr>
          <w:rFonts w:ascii="Cambria" w:hAnsi="Cambria" w:cs="Times New Roman"/>
          <w:sz w:val="24"/>
          <w:szCs w:val="24"/>
        </w:rPr>
        <w:t xml:space="preserve"> approach of regulations, this paper will also focus on the overall legislative framework needed </w:t>
      </w:r>
      <w:r w:rsidR="00BB2141" w:rsidRPr="00E94148">
        <w:rPr>
          <w:rFonts w:ascii="Cambria" w:hAnsi="Cambria" w:cs="Times New Roman"/>
          <w:sz w:val="24"/>
          <w:szCs w:val="24"/>
        </w:rPr>
        <w:t>to</w:t>
      </w:r>
      <w:r w:rsidRPr="00E94148">
        <w:rPr>
          <w:rFonts w:ascii="Cambria" w:hAnsi="Cambria" w:cs="Times New Roman"/>
          <w:sz w:val="24"/>
          <w:szCs w:val="24"/>
        </w:rPr>
        <w:t xml:space="preserve"> both guarantee the effectiveness of the technology while preserving judges from being submitted to an undue influence under European human rights law.</w:t>
      </w:r>
    </w:p>
    <w:p w14:paraId="75060D3B" w14:textId="77777777" w:rsidR="00CF42EA" w:rsidRPr="00E94148" w:rsidRDefault="00BB2141" w:rsidP="008553F4">
      <w:pPr>
        <w:spacing w:line="276" w:lineRule="auto"/>
        <w:jc w:val="both"/>
        <w:rPr>
          <w:rFonts w:ascii="Cambria" w:hAnsi="Cambria" w:cs="Times New Roman"/>
          <w:sz w:val="24"/>
          <w:szCs w:val="24"/>
        </w:rPr>
      </w:pPr>
      <w:r w:rsidRPr="00E94148">
        <w:rPr>
          <w:rFonts w:ascii="Cambria" w:hAnsi="Cambria" w:cs="Times New Roman"/>
          <w:sz w:val="24"/>
          <w:szCs w:val="24"/>
        </w:rPr>
        <w:t>This paper would thus serve as a better understanding of the potential threats of the use of such technology in the criminal trials in Europe</w:t>
      </w:r>
      <w:r w:rsidR="00392CCC" w:rsidRPr="00E94148">
        <w:rPr>
          <w:rFonts w:ascii="Cambria" w:hAnsi="Cambria" w:cs="Times New Roman"/>
          <w:sz w:val="24"/>
          <w:szCs w:val="24"/>
        </w:rPr>
        <w:t xml:space="preserve"> but also the benefits such technology could </w:t>
      </w:r>
      <w:r w:rsidR="00392CCC" w:rsidRPr="00E94148">
        <w:rPr>
          <w:rFonts w:ascii="Cambria" w:hAnsi="Cambria" w:cs="Times New Roman"/>
          <w:sz w:val="24"/>
          <w:szCs w:val="24"/>
        </w:rPr>
        <w:lastRenderedPageBreak/>
        <w:t>bring in these trials without however undermining the principle of independence of the judiciary by incorporating an undue influence within the criminal administration of Justice.</w:t>
      </w:r>
    </w:p>
    <w:p w14:paraId="04369895" w14:textId="77777777" w:rsidR="00226234" w:rsidRPr="00E94148" w:rsidRDefault="00226234" w:rsidP="008553F4">
      <w:pPr>
        <w:spacing w:line="276" w:lineRule="auto"/>
        <w:jc w:val="both"/>
        <w:rPr>
          <w:rFonts w:ascii="Cambria" w:hAnsi="Cambria" w:cs="Times New Roman"/>
          <w:sz w:val="24"/>
          <w:szCs w:val="24"/>
        </w:rPr>
      </w:pPr>
    </w:p>
    <w:p w14:paraId="3D884141" w14:textId="77777777" w:rsidR="00CF42EA" w:rsidRPr="00E94148" w:rsidRDefault="000543D6" w:rsidP="008553F4">
      <w:pPr>
        <w:pStyle w:val="ListParagraph"/>
        <w:numPr>
          <w:ilvl w:val="0"/>
          <w:numId w:val="2"/>
        </w:numPr>
        <w:spacing w:line="276" w:lineRule="auto"/>
        <w:rPr>
          <w:rFonts w:ascii="Cambria" w:hAnsi="Cambria" w:cs="Times New Roman"/>
          <w:b/>
          <w:bCs/>
          <w:sz w:val="28"/>
          <w:szCs w:val="28"/>
        </w:rPr>
      </w:pPr>
      <w:r w:rsidRPr="00E94148">
        <w:rPr>
          <w:rFonts w:ascii="Cambria" w:hAnsi="Cambria" w:cs="Times New Roman"/>
          <w:b/>
          <w:bCs/>
          <w:sz w:val="28"/>
          <w:szCs w:val="28"/>
        </w:rPr>
        <w:t>The notion of u</w:t>
      </w:r>
      <w:r w:rsidR="00CF42EA" w:rsidRPr="00E94148">
        <w:rPr>
          <w:rFonts w:ascii="Cambria" w:hAnsi="Cambria" w:cs="Times New Roman"/>
          <w:b/>
          <w:bCs/>
          <w:sz w:val="28"/>
          <w:szCs w:val="28"/>
        </w:rPr>
        <w:t>ndue influence: Defining the extent and the content of a complex notion under European Law</w:t>
      </w:r>
    </w:p>
    <w:p w14:paraId="2F3C2C23" w14:textId="77777777" w:rsidR="00E20BC5" w:rsidRPr="00E94148" w:rsidRDefault="00E20BC5" w:rsidP="008553F4">
      <w:pPr>
        <w:spacing w:line="276" w:lineRule="auto"/>
        <w:jc w:val="both"/>
        <w:rPr>
          <w:rFonts w:ascii="Cambria" w:hAnsi="Cambria" w:cs="Times New Roman"/>
          <w:sz w:val="24"/>
          <w:szCs w:val="24"/>
        </w:rPr>
      </w:pPr>
      <w:r w:rsidRPr="00E94148">
        <w:rPr>
          <w:rFonts w:ascii="Cambria" w:hAnsi="Cambria" w:cs="Times New Roman"/>
          <w:sz w:val="24"/>
          <w:szCs w:val="24"/>
        </w:rPr>
        <w:t>The use of A.I in criminal trials represents a revolution in the judicial decision-making</w:t>
      </w:r>
      <w:r w:rsidR="00D31F26" w:rsidRPr="00E94148">
        <w:rPr>
          <w:rFonts w:ascii="Cambria" w:hAnsi="Cambria" w:cs="Times New Roman"/>
          <w:sz w:val="24"/>
          <w:szCs w:val="24"/>
        </w:rPr>
        <w:t xml:space="preserve">. </w:t>
      </w:r>
      <w:r w:rsidR="005C2EE5" w:rsidRPr="00E94148">
        <w:rPr>
          <w:rFonts w:ascii="Cambria" w:hAnsi="Cambria" w:cs="Times New Roman"/>
          <w:sz w:val="24"/>
          <w:szCs w:val="24"/>
        </w:rPr>
        <w:t>Such technology, as developed today, could be an asset in helping the judge assessing a decision. The most prominent for of advises given by such a technology lies in the prediction whether a given person is likely to reoffend</w:t>
      </w:r>
      <w:r w:rsidR="001E78C3" w:rsidRPr="00E94148">
        <w:rPr>
          <w:rStyle w:val="FootnoteReference"/>
          <w:rFonts w:ascii="Cambria" w:hAnsi="Cambria" w:cs="Times New Roman"/>
          <w:sz w:val="24"/>
          <w:szCs w:val="24"/>
        </w:rPr>
        <w:footnoteReference w:id="3"/>
      </w:r>
      <w:r w:rsidR="005C2EE5" w:rsidRPr="00E94148">
        <w:rPr>
          <w:rFonts w:ascii="Cambria" w:hAnsi="Cambria" w:cs="Times New Roman"/>
          <w:sz w:val="24"/>
          <w:szCs w:val="24"/>
        </w:rPr>
        <w:t>.</w:t>
      </w:r>
      <w:r w:rsidR="001E78C3" w:rsidRPr="00E94148">
        <w:rPr>
          <w:rFonts w:ascii="Cambria" w:hAnsi="Cambria" w:cs="Times New Roman"/>
          <w:sz w:val="24"/>
          <w:szCs w:val="24"/>
        </w:rPr>
        <w:t xml:space="preserve"> Such a use however </w:t>
      </w:r>
      <w:r w:rsidR="00353049" w:rsidRPr="00E94148">
        <w:rPr>
          <w:rFonts w:ascii="Cambria" w:hAnsi="Cambria" w:cs="Times New Roman"/>
          <w:sz w:val="24"/>
          <w:szCs w:val="24"/>
        </w:rPr>
        <w:t>poses</w:t>
      </w:r>
      <w:r w:rsidR="001E78C3" w:rsidRPr="00E94148">
        <w:rPr>
          <w:rFonts w:ascii="Cambria" w:hAnsi="Cambria" w:cs="Times New Roman"/>
          <w:sz w:val="24"/>
          <w:szCs w:val="24"/>
        </w:rPr>
        <w:t xml:space="preserve"> major challenges under the pri</w:t>
      </w:r>
      <w:r w:rsidR="00E75086" w:rsidRPr="00E94148">
        <w:rPr>
          <w:rFonts w:ascii="Cambria" w:hAnsi="Cambria" w:cs="Times New Roman"/>
          <w:sz w:val="24"/>
          <w:szCs w:val="24"/>
        </w:rPr>
        <w:t xml:space="preserve">nciple of independence of the judiciary, one of the major </w:t>
      </w:r>
      <w:r w:rsidR="00746157" w:rsidRPr="00E94148">
        <w:rPr>
          <w:rFonts w:ascii="Cambria" w:hAnsi="Cambria" w:cs="Times New Roman"/>
          <w:sz w:val="24"/>
          <w:szCs w:val="24"/>
        </w:rPr>
        <w:t>cornerstones</w:t>
      </w:r>
      <w:r w:rsidR="00E75086" w:rsidRPr="00E94148">
        <w:rPr>
          <w:rFonts w:ascii="Cambria" w:hAnsi="Cambria" w:cs="Times New Roman"/>
          <w:sz w:val="24"/>
          <w:szCs w:val="24"/>
        </w:rPr>
        <w:t xml:space="preserve"> of the rule of law in Europe. Indeed, </w:t>
      </w:r>
      <w:r w:rsidR="00AD7BE2" w:rsidRPr="00E94148">
        <w:rPr>
          <w:rFonts w:ascii="Cambria" w:hAnsi="Cambria" w:cs="Times New Roman"/>
          <w:sz w:val="24"/>
          <w:szCs w:val="24"/>
        </w:rPr>
        <w:t>the use of A.I could pose a challenge, especially in the case of protecting judges against undue influences.</w:t>
      </w:r>
      <w:r w:rsidR="00727550" w:rsidRPr="00E94148">
        <w:rPr>
          <w:rFonts w:ascii="Cambria" w:hAnsi="Cambria" w:cs="Times New Roman"/>
          <w:sz w:val="24"/>
          <w:szCs w:val="24"/>
        </w:rPr>
        <w:t xml:space="preserve"> The protection against undue influences is one of the four aspects of the principle of independence. However, it remains </w:t>
      </w:r>
      <w:r w:rsidR="00CA2716" w:rsidRPr="00E94148">
        <w:rPr>
          <w:rFonts w:ascii="Cambria" w:hAnsi="Cambria" w:cs="Times New Roman"/>
          <w:sz w:val="24"/>
          <w:szCs w:val="24"/>
        </w:rPr>
        <w:t xml:space="preserve">a blurry notion and its framework of application remains </w:t>
      </w:r>
      <w:r w:rsidR="002D582C" w:rsidRPr="00E94148">
        <w:rPr>
          <w:rFonts w:ascii="Cambria" w:hAnsi="Cambria" w:cs="Times New Roman"/>
          <w:sz w:val="24"/>
          <w:szCs w:val="24"/>
        </w:rPr>
        <w:t xml:space="preserve">unsure. As such, this section of the paper would focus on </w:t>
      </w:r>
      <w:r w:rsidR="006606A8" w:rsidRPr="00E94148">
        <w:rPr>
          <w:rFonts w:ascii="Cambria" w:hAnsi="Cambria" w:cs="Times New Roman"/>
          <w:sz w:val="24"/>
          <w:szCs w:val="24"/>
        </w:rPr>
        <w:t xml:space="preserve">framing the concept of “Undue influence” in Europe. It will first demonstrate that both the E.U and the Council of Europe are relevant </w:t>
      </w:r>
      <w:proofErr w:type="gramStart"/>
      <w:r w:rsidR="006606A8" w:rsidRPr="00E94148">
        <w:rPr>
          <w:rFonts w:ascii="Cambria" w:hAnsi="Cambria" w:cs="Times New Roman"/>
          <w:sz w:val="24"/>
          <w:szCs w:val="24"/>
        </w:rPr>
        <w:t>in order to</w:t>
      </w:r>
      <w:proofErr w:type="gramEnd"/>
      <w:r w:rsidR="006606A8" w:rsidRPr="00E94148">
        <w:rPr>
          <w:rFonts w:ascii="Cambria" w:hAnsi="Cambria" w:cs="Times New Roman"/>
          <w:sz w:val="24"/>
          <w:szCs w:val="24"/>
        </w:rPr>
        <w:t xml:space="preserve"> assess such notion, especially in assessing whether A.I could qualify as one in criminal trials (A). </w:t>
      </w:r>
      <w:r w:rsidR="00696E1E" w:rsidRPr="00E94148">
        <w:rPr>
          <w:rFonts w:ascii="Cambria" w:hAnsi="Cambria" w:cs="Times New Roman"/>
          <w:sz w:val="24"/>
          <w:szCs w:val="24"/>
        </w:rPr>
        <w:t xml:space="preserve">Then, this section will focus of what kind of influences are permitted and which ones are not under European Law (B). Finally, it will be necessary to assess what would characterize an “undue” influence </w:t>
      </w:r>
      <w:r w:rsidR="00696E1E" w:rsidRPr="00E94148">
        <w:rPr>
          <w:rFonts w:ascii="Cambria" w:hAnsi="Cambria" w:cs="Times New Roman"/>
          <w:i/>
          <w:iCs/>
          <w:sz w:val="24"/>
          <w:szCs w:val="24"/>
        </w:rPr>
        <w:t>per se</w:t>
      </w:r>
      <w:r w:rsidR="00696E1E" w:rsidRPr="00E94148">
        <w:rPr>
          <w:rFonts w:ascii="Cambria" w:hAnsi="Cambria" w:cs="Times New Roman"/>
          <w:sz w:val="24"/>
          <w:szCs w:val="24"/>
        </w:rPr>
        <w:t xml:space="preserve"> (C).</w:t>
      </w:r>
    </w:p>
    <w:p w14:paraId="3276062B" w14:textId="77777777" w:rsidR="006A06D7" w:rsidRPr="00E94148" w:rsidRDefault="006A06D7" w:rsidP="008553F4">
      <w:pPr>
        <w:pStyle w:val="ListParagraph"/>
        <w:numPr>
          <w:ilvl w:val="0"/>
          <w:numId w:val="4"/>
        </w:numPr>
        <w:spacing w:line="276" w:lineRule="auto"/>
        <w:jc w:val="both"/>
        <w:rPr>
          <w:rFonts w:ascii="Cambria" w:hAnsi="Cambria" w:cs="Times New Roman"/>
          <w:b/>
          <w:bCs/>
          <w:sz w:val="24"/>
          <w:szCs w:val="24"/>
        </w:rPr>
      </w:pPr>
      <w:r w:rsidRPr="00E94148">
        <w:rPr>
          <w:rFonts w:ascii="Cambria" w:hAnsi="Cambria" w:cs="Times New Roman"/>
          <w:b/>
          <w:bCs/>
          <w:sz w:val="24"/>
          <w:szCs w:val="24"/>
        </w:rPr>
        <w:t xml:space="preserve">The relevance of the council of Europe and European Union Law in assessing undue influence and the working of </w:t>
      </w:r>
      <w:r w:rsidR="00590F16">
        <w:rPr>
          <w:rFonts w:ascii="Cambria" w:hAnsi="Cambria" w:cs="Times New Roman"/>
          <w:b/>
          <w:bCs/>
          <w:sz w:val="24"/>
          <w:szCs w:val="24"/>
        </w:rPr>
        <w:t>artificial intelligence</w:t>
      </w:r>
      <w:r w:rsidRPr="00E94148">
        <w:rPr>
          <w:rFonts w:ascii="Cambria" w:hAnsi="Cambria" w:cs="Times New Roman"/>
          <w:b/>
          <w:bCs/>
          <w:sz w:val="24"/>
          <w:szCs w:val="24"/>
        </w:rPr>
        <w:t>.</w:t>
      </w:r>
    </w:p>
    <w:p w14:paraId="74D77616" w14:textId="77777777" w:rsidR="00C942D2" w:rsidRPr="00E94148" w:rsidRDefault="003F16CA"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The regime of protection of the independence of the Council of Europe is mainly embodied in Article 6 of the European Convention on Human Rights</w:t>
      </w:r>
      <w:r w:rsidRPr="00E94148">
        <w:rPr>
          <w:rStyle w:val="FootnoteReference"/>
          <w:rFonts w:ascii="Cambria" w:hAnsi="Cambria" w:cs="Times New Roman"/>
          <w:sz w:val="24"/>
          <w:szCs w:val="24"/>
        </w:rPr>
        <w:footnoteReference w:id="4"/>
      </w:r>
      <w:r w:rsidR="00D1304E" w:rsidRPr="00E94148">
        <w:rPr>
          <w:rFonts w:ascii="Cambria" w:hAnsi="Cambria" w:cs="Times New Roman"/>
          <w:sz w:val="24"/>
          <w:szCs w:val="24"/>
        </w:rPr>
        <w:t xml:space="preserve">. </w:t>
      </w:r>
      <w:r w:rsidR="0014133F" w:rsidRPr="00E94148">
        <w:rPr>
          <w:rFonts w:ascii="Cambria" w:hAnsi="Cambria" w:cs="Times New Roman"/>
          <w:sz w:val="24"/>
          <w:szCs w:val="24"/>
        </w:rPr>
        <w:t xml:space="preserve">Thus, </w:t>
      </w:r>
      <w:proofErr w:type="gramStart"/>
      <w:r w:rsidR="0014133F" w:rsidRPr="00E94148">
        <w:rPr>
          <w:rFonts w:ascii="Cambria" w:hAnsi="Cambria" w:cs="Times New Roman"/>
          <w:sz w:val="24"/>
          <w:szCs w:val="24"/>
        </w:rPr>
        <w:t>in order to</w:t>
      </w:r>
      <w:proofErr w:type="gramEnd"/>
      <w:r w:rsidR="0014133F" w:rsidRPr="00E94148">
        <w:rPr>
          <w:rFonts w:ascii="Cambria" w:hAnsi="Cambria" w:cs="Times New Roman"/>
          <w:sz w:val="24"/>
          <w:szCs w:val="24"/>
        </w:rPr>
        <w:t xml:space="preserve"> assess the relevance of such protection, it is necessary to assess the protection of Human rights in the </w:t>
      </w:r>
      <w:r w:rsidR="00341ABD" w:rsidRPr="00E94148">
        <w:rPr>
          <w:rFonts w:ascii="Cambria" w:hAnsi="Cambria" w:cs="Times New Roman"/>
          <w:sz w:val="24"/>
          <w:szCs w:val="24"/>
        </w:rPr>
        <w:t>Convention framework as a whole.</w:t>
      </w:r>
      <w:r w:rsidR="001C203C" w:rsidRPr="00E94148">
        <w:rPr>
          <w:rFonts w:ascii="Cambria" w:hAnsi="Cambria" w:cs="Times New Roman"/>
          <w:sz w:val="24"/>
          <w:szCs w:val="24"/>
        </w:rPr>
        <w:t xml:space="preserve"> Under Article </w:t>
      </w:r>
      <w:r w:rsidR="00751C40" w:rsidRPr="00E94148">
        <w:rPr>
          <w:rFonts w:ascii="Cambria" w:hAnsi="Cambria" w:cs="Times New Roman"/>
          <w:sz w:val="24"/>
          <w:szCs w:val="24"/>
        </w:rPr>
        <w:t>1 of the ECHR, it is provided that “</w:t>
      </w:r>
      <w:r w:rsidR="00E372A3" w:rsidRPr="00E94148">
        <w:rPr>
          <w:rFonts w:ascii="Cambria" w:hAnsi="Cambria" w:cs="Times New Roman"/>
          <w:sz w:val="24"/>
          <w:szCs w:val="24"/>
        </w:rPr>
        <w:t>The High Contracting Parties shall secure to everyone within their jurisdiction the rights and freedoms defined in Section I of this Convention”</w:t>
      </w:r>
      <w:r w:rsidR="00E372A3" w:rsidRPr="00E94148">
        <w:rPr>
          <w:rStyle w:val="FootnoteReference"/>
          <w:rFonts w:ascii="Cambria" w:hAnsi="Cambria" w:cs="Times New Roman"/>
          <w:sz w:val="24"/>
          <w:szCs w:val="24"/>
        </w:rPr>
        <w:footnoteReference w:id="5"/>
      </w:r>
      <w:r w:rsidR="00E372A3" w:rsidRPr="00E94148">
        <w:rPr>
          <w:rFonts w:ascii="Cambria" w:hAnsi="Cambria" w:cs="Times New Roman"/>
          <w:sz w:val="24"/>
          <w:szCs w:val="24"/>
        </w:rPr>
        <w:t xml:space="preserve">. </w:t>
      </w:r>
      <w:r w:rsidR="007C6060" w:rsidRPr="00E94148">
        <w:rPr>
          <w:rFonts w:ascii="Cambria" w:hAnsi="Cambria" w:cs="Times New Roman"/>
          <w:sz w:val="24"/>
          <w:szCs w:val="24"/>
        </w:rPr>
        <w:t xml:space="preserve">Then, the application of human rights under such a framework is conditioned </w:t>
      </w:r>
      <w:r w:rsidR="00460624" w:rsidRPr="00E94148">
        <w:rPr>
          <w:rFonts w:ascii="Cambria" w:hAnsi="Cambria" w:cs="Times New Roman"/>
          <w:sz w:val="24"/>
          <w:szCs w:val="24"/>
        </w:rPr>
        <w:t>under</w:t>
      </w:r>
      <w:r w:rsidR="007C6060" w:rsidRPr="00E94148">
        <w:rPr>
          <w:rFonts w:ascii="Cambria" w:hAnsi="Cambria" w:cs="Times New Roman"/>
          <w:sz w:val="24"/>
          <w:szCs w:val="24"/>
        </w:rPr>
        <w:t xml:space="preserve"> </w:t>
      </w:r>
      <w:r w:rsidR="00021FFB" w:rsidRPr="00E94148">
        <w:rPr>
          <w:rFonts w:ascii="Cambria" w:hAnsi="Cambria" w:cs="Times New Roman"/>
          <w:sz w:val="24"/>
          <w:szCs w:val="24"/>
        </w:rPr>
        <w:t xml:space="preserve">the jurisdiction notion. Through the </w:t>
      </w:r>
      <w:r w:rsidR="00021FFB" w:rsidRPr="00E94148">
        <w:rPr>
          <w:rFonts w:ascii="Cambria" w:hAnsi="Cambria" w:cs="Times New Roman"/>
          <w:sz w:val="24"/>
          <w:szCs w:val="24"/>
        </w:rPr>
        <w:lastRenderedPageBreak/>
        <w:t>interpretation of the case-law of the European Court on Human Rights (ECtHR)</w:t>
      </w:r>
      <w:r w:rsidR="00F0669C" w:rsidRPr="00E94148">
        <w:rPr>
          <w:rFonts w:ascii="Cambria" w:hAnsi="Cambria" w:cs="Times New Roman"/>
          <w:sz w:val="24"/>
          <w:szCs w:val="24"/>
        </w:rPr>
        <w:t xml:space="preserve">, one can see that the notion of jurisdiction is deeply linked with the territorial approach of responsibility. This means that </w:t>
      </w:r>
      <w:r w:rsidR="00757649" w:rsidRPr="00E94148">
        <w:rPr>
          <w:rFonts w:ascii="Cambria" w:hAnsi="Cambria" w:cs="Times New Roman"/>
          <w:sz w:val="24"/>
          <w:szCs w:val="24"/>
        </w:rPr>
        <w:t xml:space="preserve">States must ensure Human rights within their territory, or any other area they have an effective and </w:t>
      </w:r>
      <w:r w:rsidR="00E96DEA" w:rsidRPr="00E94148">
        <w:rPr>
          <w:rFonts w:ascii="Cambria" w:hAnsi="Cambria" w:cs="Times New Roman"/>
          <w:sz w:val="24"/>
          <w:szCs w:val="24"/>
        </w:rPr>
        <w:t>direct control upon</w:t>
      </w:r>
      <w:r w:rsidR="00B746E3" w:rsidRPr="00E94148">
        <w:rPr>
          <w:rStyle w:val="FootnoteReference"/>
          <w:rFonts w:ascii="Cambria" w:hAnsi="Cambria" w:cs="Times New Roman"/>
          <w:sz w:val="24"/>
          <w:szCs w:val="24"/>
        </w:rPr>
        <w:footnoteReference w:id="6"/>
      </w:r>
      <w:r w:rsidR="00E96DEA" w:rsidRPr="00E94148">
        <w:rPr>
          <w:rFonts w:ascii="Cambria" w:hAnsi="Cambria" w:cs="Times New Roman"/>
          <w:sz w:val="24"/>
          <w:szCs w:val="24"/>
        </w:rPr>
        <w:t>.</w:t>
      </w:r>
      <w:r w:rsidR="00E372A3" w:rsidRPr="00E94148">
        <w:rPr>
          <w:rFonts w:ascii="Cambria" w:hAnsi="Cambria" w:cs="Times New Roman"/>
          <w:sz w:val="24"/>
          <w:szCs w:val="24"/>
        </w:rPr>
        <w:t xml:space="preserve"> </w:t>
      </w:r>
      <w:r w:rsidR="00D34493" w:rsidRPr="00E94148">
        <w:rPr>
          <w:rFonts w:ascii="Cambria" w:hAnsi="Cambria" w:cs="Times New Roman"/>
          <w:sz w:val="24"/>
          <w:szCs w:val="24"/>
        </w:rPr>
        <w:t>Hence the approach of the ECHR is of a general application of human rights</w:t>
      </w:r>
      <w:r w:rsidR="00E62EDC" w:rsidRPr="00E94148">
        <w:rPr>
          <w:rFonts w:ascii="Cambria" w:hAnsi="Cambria" w:cs="Times New Roman"/>
          <w:sz w:val="24"/>
          <w:szCs w:val="24"/>
        </w:rPr>
        <w:t xml:space="preserve"> of persons</w:t>
      </w:r>
      <w:r w:rsidR="00D34493" w:rsidRPr="00E94148">
        <w:rPr>
          <w:rFonts w:ascii="Cambria" w:hAnsi="Cambria" w:cs="Times New Roman"/>
          <w:sz w:val="24"/>
          <w:szCs w:val="24"/>
        </w:rPr>
        <w:t xml:space="preserve">, </w:t>
      </w:r>
      <w:r w:rsidR="00E62EDC" w:rsidRPr="00E94148">
        <w:rPr>
          <w:rFonts w:ascii="Cambria" w:hAnsi="Cambria" w:cs="Times New Roman"/>
          <w:sz w:val="24"/>
          <w:szCs w:val="24"/>
        </w:rPr>
        <w:t>pending that States have jurisdiction on them.</w:t>
      </w:r>
    </w:p>
    <w:p w14:paraId="08DA1B5D" w14:textId="77777777" w:rsidR="00E62EDC" w:rsidRPr="00E94148" w:rsidRDefault="00E62EDC"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The protection of the independence in the EU and the application of human rights in general is more complex than the ECHR one. Indeed, </w:t>
      </w:r>
      <w:r w:rsidR="004B2514" w:rsidRPr="00E94148">
        <w:rPr>
          <w:rFonts w:ascii="Cambria" w:hAnsi="Cambria" w:cs="Times New Roman"/>
          <w:sz w:val="24"/>
          <w:szCs w:val="24"/>
        </w:rPr>
        <w:t>the protection of independence of the judiciary is enshrined at article 47 of the Charter of the Fundamental Rights of the European Union</w:t>
      </w:r>
      <w:r w:rsidR="006C43F4" w:rsidRPr="00E94148">
        <w:rPr>
          <w:rStyle w:val="FootnoteReference"/>
          <w:rFonts w:ascii="Cambria" w:hAnsi="Cambria" w:cs="Times New Roman"/>
          <w:sz w:val="24"/>
          <w:szCs w:val="24"/>
        </w:rPr>
        <w:footnoteReference w:id="7"/>
      </w:r>
      <w:r w:rsidR="00FD34A9" w:rsidRPr="00E94148">
        <w:rPr>
          <w:rFonts w:ascii="Cambria" w:hAnsi="Cambria" w:cs="Times New Roman"/>
          <w:sz w:val="24"/>
          <w:szCs w:val="24"/>
        </w:rPr>
        <w:t xml:space="preserve">. </w:t>
      </w:r>
      <w:r w:rsidR="00D029BD" w:rsidRPr="00E94148">
        <w:rPr>
          <w:rFonts w:ascii="Cambria" w:hAnsi="Cambria" w:cs="Times New Roman"/>
          <w:sz w:val="24"/>
          <w:szCs w:val="24"/>
        </w:rPr>
        <w:t>However,</w:t>
      </w:r>
      <w:r w:rsidR="00FD34A9" w:rsidRPr="00E94148">
        <w:rPr>
          <w:rFonts w:ascii="Cambria" w:hAnsi="Cambria" w:cs="Times New Roman"/>
          <w:sz w:val="24"/>
          <w:szCs w:val="24"/>
        </w:rPr>
        <w:t xml:space="preserve"> the conditional application of human rights is found at Article </w:t>
      </w:r>
      <w:r w:rsidR="00BE60AD" w:rsidRPr="00E94148">
        <w:rPr>
          <w:rFonts w:ascii="Cambria" w:hAnsi="Cambria" w:cs="Times New Roman"/>
          <w:sz w:val="24"/>
          <w:szCs w:val="24"/>
        </w:rPr>
        <w:t>51 that provides “</w:t>
      </w:r>
      <w:r w:rsidR="00E34EFF" w:rsidRPr="00E94148">
        <w:rPr>
          <w:rFonts w:ascii="Cambria" w:hAnsi="Cambria" w:cs="Times New Roman"/>
          <w:sz w:val="24"/>
          <w:szCs w:val="24"/>
        </w:rPr>
        <w:t xml:space="preserve">The provisions of this Charter are addressed to the institutions and bodies of the Union with due regard for the principle of subsidiarity and to the Member States </w:t>
      </w:r>
      <w:r w:rsidR="00E34EFF" w:rsidRPr="00E94148">
        <w:rPr>
          <w:rFonts w:ascii="Cambria" w:hAnsi="Cambria" w:cs="Times New Roman"/>
          <w:b/>
          <w:bCs/>
          <w:sz w:val="24"/>
          <w:szCs w:val="24"/>
        </w:rPr>
        <w:t>only when they are implementing Union law</w:t>
      </w:r>
      <w:r w:rsidR="00E34EFF" w:rsidRPr="00E94148">
        <w:rPr>
          <w:rFonts w:ascii="Cambria" w:hAnsi="Cambria" w:cs="Times New Roman"/>
          <w:sz w:val="24"/>
          <w:szCs w:val="24"/>
        </w:rPr>
        <w:t>”</w:t>
      </w:r>
      <w:r w:rsidR="00E34EFF" w:rsidRPr="00E94148">
        <w:rPr>
          <w:rStyle w:val="FootnoteReference"/>
          <w:rFonts w:ascii="Cambria" w:hAnsi="Cambria" w:cs="Times New Roman"/>
          <w:sz w:val="24"/>
          <w:szCs w:val="24"/>
        </w:rPr>
        <w:footnoteReference w:id="8"/>
      </w:r>
      <w:r w:rsidR="00FD005C" w:rsidRPr="00E94148">
        <w:rPr>
          <w:rFonts w:ascii="Cambria" w:hAnsi="Cambria" w:cs="Times New Roman"/>
          <w:sz w:val="24"/>
          <w:szCs w:val="24"/>
        </w:rPr>
        <w:t xml:space="preserve">. </w:t>
      </w:r>
      <w:r w:rsidR="00660644" w:rsidRPr="00E94148">
        <w:rPr>
          <w:rFonts w:ascii="Cambria" w:hAnsi="Cambria" w:cs="Times New Roman"/>
          <w:sz w:val="24"/>
          <w:szCs w:val="24"/>
        </w:rPr>
        <w:t xml:space="preserve">When it comes to the Member States </w:t>
      </w:r>
      <w:r w:rsidR="00DA57D2" w:rsidRPr="00E94148">
        <w:rPr>
          <w:rFonts w:ascii="Cambria" w:hAnsi="Cambria" w:cs="Times New Roman"/>
          <w:sz w:val="24"/>
          <w:szCs w:val="24"/>
        </w:rPr>
        <w:t>insurance</w:t>
      </w:r>
      <w:r w:rsidR="00660644" w:rsidRPr="00E94148">
        <w:rPr>
          <w:rFonts w:ascii="Cambria" w:hAnsi="Cambria" w:cs="Times New Roman"/>
          <w:sz w:val="24"/>
          <w:szCs w:val="24"/>
        </w:rPr>
        <w:t xml:space="preserve"> of human rights, one can see it is only of a conditional approach of implementing E.U law. In this perspective, it thus represents a </w:t>
      </w:r>
      <w:r w:rsidR="00904845" w:rsidRPr="00E94148">
        <w:rPr>
          <w:rFonts w:ascii="Cambria" w:hAnsi="Cambria" w:cs="Times New Roman"/>
          <w:sz w:val="24"/>
          <w:szCs w:val="24"/>
        </w:rPr>
        <w:t xml:space="preserve">special framework of Law compared to the ECHR one. Thus, the question lies: Is the </w:t>
      </w:r>
      <w:r w:rsidR="00D16D81" w:rsidRPr="00E94148">
        <w:rPr>
          <w:rFonts w:ascii="Cambria" w:hAnsi="Cambria" w:cs="Times New Roman"/>
          <w:sz w:val="24"/>
          <w:szCs w:val="24"/>
        </w:rPr>
        <w:t>use</w:t>
      </w:r>
      <w:r w:rsidR="00904845" w:rsidRPr="00E94148">
        <w:rPr>
          <w:rFonts w:ascii="Cambria" w:hAnsi="Cambria" w:cs="Times New Roman"/>
          <w:sz w:val="24"/>
          <w:szCs w:val="24"/>
        </w:rPr>
        <w:t xml:space="preserve"> of A.I as part of criminal trials </w:t>
      </w:r>
      <w:r w:rsidR="00D16D81" w:rsidRPr="00E94148">
        <w:rPr>
          <w:rFonts w:ascii="Cambria" w:hAnsi="Cambria" w:cs="Times New Roman"/>
          <w:sz w:val="24"/>
          <w:szCs w:val="24"/>
        </w:rPr>
        <w:t>part of the implementation of E.U law?</w:t>
      </w:r>
      <w:r w:rsidR="00A63FD7" w:rsidRPr="00E94148">
        <w:rPr>
          <w:rFonts w:ascii="Cambria" w:hAnsi="Cambria" w:cs="Times New Roman"/>
          <w:sz w:val="24"/>
          <w:szCs w:val="24"/>
        </w:rPr>
        <w:t xml:space="preserve"> </w:t>
      </w:r>
      <w:r w:rsidR="007E2649" w:rsidRPr="00E94148">
        <w:rPr>
          <w:rFonts w:ascii="Cambria" w:hAnsi="Cambria" w:cs="Times New Roman"/>
          <w:sz w:val="24"/>
          <w:szCs w:val="24"/>
        </w:rPr>
        <w:t>This answer is twofold.</w:t>
      </w:r>
    </w:p>
    <w:p w14:paraId="32586B85" w14:textId="77777777" w:rsidR="007E2649" w:rsidRPr="00E94148" w:rsidRDefault="007E2649" w:rsidP="008553F4">
      <w:pPr>
        <w:spacing w:line="276" w:lineRule="auto"/>
        <w:jc w:val="both"/>
        <w:rPr>
          <w:rFonts w:ascii="Cambria" w:hAnsi="Cambria" w:cs="Times New Roman"/>
          <w:sz w:val="24"/>
          <w:szCs w:val="24"/>
        </w:rPr>
      </w:pPr>
      <w:r w:rsidRPr="00E94148">
        <w:rPr>
          <w:rFonts w:ascii="Cambria" w:hAnsi="Cambria" w:cs="Times New Roman"/>
          <w:sz w:val="24"/>
          <w:szCs w:val="24"/>
        </w:rPr>
        <w:tab/>
      </w:r>
      <w:proofErr w:type="gramStart"/>
      <w:r w:rsidRPr="00E94148">
        <w:rPr>
          <w:rFonts w:ascii="Cambria" w:hAnsi="Cambria" w:cs="Times New Roman"/>
          <w:sz w:val="24"/>
          <w:szCs w:val="24"/>
        </w:rPr>
        <w:t>First of all</w:t>
      </w:r>
      <w:proofErr w:type="gramEnd"/>
      <w:r w:rsidRPr="00E94148">
        <w:rPr>
          <w:rFonts w:ascii="Cambria" w:hAnsi="Cambria" w:cs="Times New Roman"/>
          <w:sz w:val="24"/>
          <w:szCs w:val="24"/>
        </w:rPr>
        <w:t xml:space="preserve">, the General Data Protection Regulation </w:t>
      </w:r>
      <w:r w:rsidR="0099387E" w:rsidRPr="00E94148">
        <w:rPr>
          <w:rFonts w:ascii="Cambria" w:hAnsi="Cambria" w:cs="Times New Roman"/>
          <w:sz w:val="24"/>
          <w:szCs w:val="24"/>
        </w:rPr>
        <w:t>oversees the regulation of “Automated decision making”</w:t>
      </w:r>
      <w:r w:rsidR="00AC78BB" w:rsidRPr="00E94148">
        <w:rPr>
          <w:rStyle w:val="FootnoteReference"/>
          <w:rFonts w:ascii="Cambria" w:hAnsi="Cambria" w:cs="Times New Roman"/>
          <w:sz w:val="24"/>
          <w:szCs w:val="24"/>
        </w:rPr>
        <w:footnoteReference w:id="9"/>
      </w:r>
      <w:r w:rsidR="0099387E" w:rsidRPr="00E94148">
        <w:rPr>
          <w:rFonts w:ascii="Cambria" w:hAnsi="Cambria" w:cs="Times New Roman"/>
          <w:sz w:val="24"/>
          <w:szCs w:val="24"/>
        </w:rPr>
        <w:t xml:space="preserve"> under which A.I is one of the many aspects through the working of algorithms</w:t>
      </w:r>
      <w:r w:rsidR="00AC78BB" w:rsidRPr="00E94148">
        <w:rPr>
          <w:rStyle w:val="FootnoteReference"/>
          <w:rFonts w:ascii="Cambria" w:hAnsi="Cambria" w:cs="Times New Roman"/>
          <w:sz w:val="24"/>
          <w:szCs w:val="24"/>
        </w:rPr>
        <w:footnoteReference w:id="10"/>
      </w:r>
      <w:r w:rsidR="0099387E" w:rsidRPr="00E94148">
        <w:rPr>
          <w:rFonts w:ascii="Cambria" w:hAnsi="Cambria" w:cs="Times New Roman"/>
          <w:sz w:val="24"/>
          <w:szCs w:val="24"/>
        </w:rPr>
        <w:t>.</w:t>
      </w:r>
      <w:r w:rsidR="00F204FF" w:rsidRPr="00E94148">
        <w:rPr>
          <w:rFonts w:ascii="Cambria" w:hAnsi="Cambria" w:cs="Times New Roman"/>
          <w:sz w:val="24"/>
          <w:szCs w:val="24"/>
        </w:rPr>
        <w:t xml:space="preserve"> Moreover, the will of the E.U to directly </w:t>
      </w:r>
      <w:r w:rsidR="00C8317C" w:rsidRPr="00E94148">
        <w:rPr>
          <w:rFonts w:ascii="Cambria" w:hAnsi="Cambria" w:cs="Times New Roman"/>
          <w:sz w:val="24"/>
          <w:szCs w:val="24"/>
        </w:rPr>
        <w:t>regulate A.I</w:t>
      </w:r>
      <w:r w:rsidR="00FE280D" w:rsidRPr="00E94148">
        <w:rPr>
          <w:rFonts w:ascii="Cambria" w:hAnsi="Cambria" w:cs="Times New Roman"/>
          <w:sz w:val="24"/>
          <w:szCs w:val="24"/>
        </w:rPr>
        <w:t xml:space="preserve"> </w:t>
      </w:r>
      <w:r w:rsidR="00AA0EBE" w:rsidRPr="00E94148">
        <w:rPr>
          <w:rFonts w:ascii="Cambria" w:hAnsi="Cambria" w:cs="Times New Roman"/>
          <w:sz w:val="24"/>
          <w:szCs w:val="24"/>
        </w:rPr>
        <w:t>can</w:t>
      </w:r>
      <w:r w:rsidR="00FE280D" w:rsidRPr="00E94148">
        <w:rPr>
          <w:rFonts w:ascii="Cambria" w:hAnsi="Cambria" w:cs="Times New Roman"/>
          <w:sz w:val="24"/>
          <w:szCs w:val="24"/>
        </w:rPr>
        <w:t xml:space="preserve"> be demonstrated through the project of regulation of A.I by the Commission as a special regulation of </w:t>
      </w:r>
      <w:r w:rsidR="00F27D4E" w:rsidRPr="00E94148">
        <w:rPr>
          <w:rFonts w:ascii="Cambria" w:hAnsi="Cambria" w:cs="Times New Roman"/>
          <w:sz w:val="24"/>
          <w:szCs w:val="24"/>
        </w:rPr>
        <w:t xml:space="preserve">this technology, </w:t>
      </w:r>
      <w:r w:rsidR="009E7986" w:rsidRPr="00E94148">
        <w:rPr>
          <w:rFonts w:ascii="Cambria" w:hAnsi="Cambria" w:cs="Times New Roman"/>
          <w:sz w:val="24"/>
          <w:szCs w:val="24"/>
        </w:rPr>
        <w:t>directly mentioning</w:t>
      </w:r>
      <w:r w:rsidR="00F27D4E" w:rsidRPr="00E94148">
        <w:rPr>
          <w:rFonts w:ascii="Cambria" w:hAnsi="Cambria" w:cs="Times New Roman"/>
          <w:sz w:val="24"/>
          <w:szCs w:val="24"/>
        </w:rPr>
        <w:t xml:space="preserve"> the use of A.I as a criminal trial tool</w:t>
      </w:r>
      <w:r w:rsidR="004457EC" w:rsidRPr="00E94148">
        <w:rPr>
          <w:rStyle w:val="FootnoteReference"/>
          <w:rFonts w:ascii="Cambria" w:hAnsi="Cambria" w:cs="Times New Roman"/>
          <w:sz w:val="24"/>
          <w:szCs w:val="24"/>
        </w:rPr>
        <w:footnoteReference w:id="11"/>
      </w:r>
      <w:r w:rsidR="00F27D4E" w:rsidRPr="00E94148">
        <w:rPr>
          <w:rFonts w:ascii="Cambria" w:hAnsi="Cambria" w:cs="Times New Roman"/>
          <w:sz w:val="24"/>
          <w:szCs w:val="24"/>
        </w:rPr>
        <w:t>.</w:t>
      </w:r>
      <w:r w:rsidR="00751E1E" w:rsidRPr="00E94148">
        <w:rPr>
          <w:rFonts w:ascii="Cambria" w:hAnsi="Cambria" w:cs="Times New Roman"/>
          <w:sz w:val="24"/>
          <w:szCs w:val="24"/>
        </w:rPr>
        <w:t xml:space="preserve"> </w:t>
      </w:r>
      <w:r w:rsidR="00F27D4E" w:rsidRPr="00E94148">
        <w:rPr>
          <w:rFonts w:ascii="Cambria" w:hAnsi="Cambria" w:cs="Times New Roman"/>
          <w:sz w:val="24"/>
          <w:szCs w:val="24"/>
        </w:rPr>
        <w:t>Secondly,</w:t>
      </w:r>
      <w:r w:rsidR="009E7986" w:rsidRPr="00E94148">
        <w:rPr>
          <w:rFonts w:ascii="Cambria" w:hAnsi="Cambria" w:cs="Times New Roman"/>
          <w:sz w:val="24"/>
          <w:szCs w:val="24"/>
        </w:rPr>
        <w:t xml:space="preserve"> under Article 288 of the TFEU, regulations are of direct effects on Member States</w:t>
      </w:r>
      <w:r w:rsidR="009E7986" w:rsidRPr="00E94148">
        <w:rPr>
          <w:rStyle w:val="FootnoteReference"/>
          <w:rFonts w:ascii="Cambria" w:hAnsi="Cambria" w:cs="Times New Roman"/>
          <w:sz w:val="24"/>
          <w:szCs w:val="24"/>
        </w:rPr>
        <w:footnoteReference w:id="12"/>
      </w:r>
      <w:r w:rsidR="009E7986" w:rsidRPr="00E94148">
        <w:rPr>
          <w:rFonts w:ascii="Cambria" w:hAnsi="Cambria" w:cs="Times New Roman"/>
          <w:sz w:val="24"/>
          <w:szCs w:val="24"/>
        </w:rPr>
        <w:t>. This means that both the GDPR and the proposition of regulation by the Commission is and will be of direct effect</w:t>
      </w:r>
      <w:r w:rsidR="00960203" w:rsidRPr="00E94148">
        <w:rPr>
          <w:rFonts w:ascii="Cambria" w:hAnsi="Cambria" w:cs="Times New Roman"/>
          <w:sz w:val="24"/>
          <w:szCs w:val="24"/>
        </w:rPr>
        <w:t xml:space="preserve">, </w:t>
      </w:r>
      <w:r w:rsidR="000A30BA" w:rsidRPr="00E94148">
        <w:rPr>
          <w:rFonts w:ascii="Cambria" w:hAnsi="Cambria" w:cs="Times New Roman"/>
          <w:sz w:val="24"/>
          <w:szCs w:val="24"/>
        </w:rPr>
        <w:t xml:space="preserve">thus giving way for the application of the Human rights provisions of </w:t>
      </w:r>
      <w:r w:rsidR="000A30BA" w:rsidRPr="00E94148">
        <w:rPr>
          <w:rFonts w:ascii="Cambria" w:hAnsi="Cambria" w:cs="Times New Roman"/>
          <w:sz w:val="24"/>
          <w:szCs w:val="24"/>
        </w:rPr>
        <w:lastRenderedPageBreak/>
        <w:t>the CFEU.</w:t>
      </w:r>
      <w:r w:rsidR="00CD3FB6" w:rsidRPr="00E94148">
        <w:rPr>
          <w:rFonts w:ascii="Cambria" w:hAnsi="Cambria" w:cs="Times New Roman"/>
          <w:sz w:val="24"/>
          <w:szCs w:val="24"/>
        </w:rPr>
        <w:t xml:space="preserve"> And by extension, this means that the principle of </w:t>
      </w:r>
      <w:r w:rsidR="00E3750B" w:rsidRPr="00E94148">
        <w:rPr>
          <w:rFonts w:ascii="Cambria" w:hAnsi="Cambria" w:cs="Times New Roman"/>
          <w:sz w:val="24"/>
          <w:szCs w:val="24"/>
        </w:rPr>
        <w:t>independence</w:t>
      </w:r>
      <w:r w:rsidR="00CD3FB6" w:rsidRPr="00E94148">
        <w:rPr>
          <w:rFonts w:ascii="Cambria" w:hAnsi="Cambria" w:cs="Times New Roman"/>
          <w:sz w:val="24"/>
          <w:szCs w:val="24"/>
        </w:rPr>
        <w:t xml:space="preserve"> would apply in such a context.</w:t>
      </w:r>
    </w:p>
    <w:p w14:paraId="052191A8" w14:textId="77777777" w:rsidR="002F346B" w:rsidRPr="00E94148" w:rsidRDefault="002F346B" w:rsidP="008553F4">
      <w:pPr>
        <w:spacing w:line="276" w:lineRule="auto"/>
        <w:jc w:val="both"/>
        <w:rPr>
          <w:rFonts w:ascii="Cambria" w:hAnsi="Cambria" w:cs="Times New Roman"/>
          <w:sz w:val="24"/>
          <w:szCs w:val="24"/>
        </w:rPr>
      </w:pPr>
      <w:r w:rsidRPr="00E94148">
        <w:rPr>
          <w:rFonts w:ascii="Cambria" w:hAnsi="Cambria" w:cs="Times New Roman"/>
          <w:sz w:val="24"/>
          <w:szCs w:val="24"/>
        </w:rPr>
        <w:tab/>
        <w:t xml:space="preserve">Hence, even if the framework of the E.U is of a special one, it would apply in such a context of A.I in the criminal trials frame. In this perspective, both the ECHR and the CFEU would be relevant </w:t>
      </w:r>
      <w:proofErr w:type="gramStart"/>
      <w:r w:rsidRPr="00E94148">
        <w:rPr>
          <w:rFonts w:ascii="Cambria" w:hAnsi="Cambria" w:cs="Times New Roman"/>
          <w:sz w:val="24"/>
          <w:szCs w:val="24"/>
        </w:rPr>
        <w:t>in order to</w:t>
      </w:r>
      <w:proofErr w:type="gramEnd"/>
      <w:r w:rsidRPr="00E94148">
        <w:rPr>
          <w:rFonts w:ascii="Cambria" w:hAnsi="Cambria" w:cs="Times New Roman"/>
          <w:sz w:val="24"/>
          <w:szCs w:val="24"/>
        </w:rPr>
        <w:t xml:space="preserve"> </w:t>
      </w:r>
      <w:r w:rsidR="001918A4" w:rsidRPr="00E94148">
        <w:rPr>
          <w:rFonts w:ascii="Cambria" w:hAnsi="Cambria" w:cs="Times New Roman"/>
          <w:sz w:val="24"/>
          <w:szCs w:val="24"/>
        </w:rPr>
        <w:t xml:space="preserve">concretely </w:t>
      </w:r>
      <w:r w:rsidR="00A74300" w:rsidRPr="00E94148">
        <w:rPr>
          <w:rFonts w:ascii="Cambria" w:hAnsi="Cambria" w:cs="Times New Roman"/>
          <w:sz w:val="24"/>
          <w:szCs w:val="24"/>
        </w:rPr>
        <w:t>determine</w:t>
      </w:r>
      <w:r w:rsidRPr="00E94148">
        <w:rPr>
          <w:rFonts w:ascii="Cambria" w:hAnsi="Cambria" w:cs="Times New Roman"/>
          <w:sz w:val="24"/>
          <w:szCs w:val="24"/>
        </w:rPr>
        <w:t xml:space="preserve"> what an undue influence is.</w:t>
      </w:r>
    </w:p>
    <w:p w14:paraId="73DD8051" w14:textId="77777777" w:rsidR="0088365D" w:rsidRPr="00E94148" w:rsidRDefault="0088365D" w:rsidP="008553F4">
      <w:pPr>
        <w:pStyle w:val="ListParagraph"/>
        <w:spacing w:line="276" w:lineRule="auto"/>
        <w:jc w:val="both"/>
        <w:rPr>
          <w:rFonts w:ascii="Cambria" w:hAnsi="Cambria" w:cs="Times New Roman"/>
          <w:sz w:val="24"/>
          <w:szCs w:val="24"/>
          <w:u w:val="single"/>
        </w:rPr>
      </w:pPr>
    </w:p>
    <w:p w14:paraId="13909CAA" w14:textId="77777777" w:rsidR="00CF42EA" w:rsidRPr="00E94148" w:rsidRDefault="00CF42EA" w:rsidP="008553F4">
      <w:pPr>
        <w:pStyle w:val="ListParagraph"/>
        <w:numPr>
          <w:ilvl w:val="0"/>
          <w:numId w:val="4"/>
        </w:numPr>
        <w:spacing w:line="276" w:lineRule="auto"/>
        <w:jc w:val="both"/>
        <w:rPr>
          <w:rFonts w:ascii="Cambria" w:hAnsi="Cambria" w:cs="Times New Roman"/>
          <w:b/>
          <w:bCs/>
          <w:sz w:val="24"/>
          <w:szCs w:val="24"/>
        </w:rPr>
      </w:pPr>
      <w:r w:rsidRPr="00E94148">
        <w:rPr>
          <w:rFonts w:ascii="Cambria" w:hAnsi="Cambria" w:cs="Times New Roman"/>
          <w:b/>
          <w:bCs/>
          <w:sz w:val="24"/>
          <w:szCs w:val="24"/>
        </w:rPr>
        <w:t xml:space="preserve">Undue influence: </w:t>
      </w:r>
      <w:r w:rsidR="00B86050" w:rsidRPr="00E94148">
        <w:rPr>
          <w:rFonts w:ascii="Cambria" w:hAnsi="Cambria" w:cs="Times New Roman"/>
          <w:b/>
          <w:bCs/>
          <w:sz w:val="24"/>
          <w:szCs w:val="24"/>
        </w:rPr>
        <w:t>What influences threaten the principle of independence</w:t>
      </w:r>
      <w:r w:rsidRPr="00E94148">
        <w:rPr>
          <w:rFonts w:ascii="Cambria" w:hAnsi="Cambria" w:cs="Times New Roman"/>
          <w:b/>
          <w:bCs/>
          <w:sz w:val="24"/>
          <w:szCs w:val="24"/>
        </w:rPr>
        <w:t>?</w:t>
      </w:r>
    </w:p>
    <w:p w14:paraId="2DD6D557" w14:textId="77777777" w:rsidR="0077582E" w:rsidRPr="00E94148" w:rsidRDefault="0077582E"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The </w:t>
      </w:r>
      <w:r w:rsidR="00C845D8" w:rsidRPr="00E94148">
        <w:rPr>
          <w:rFonts w:ascii="Cambria" w:hAnsi="Cambria" w:cs="Times New Roman"/>
          <w:sz w:val="24"/>
          <w:szCs w:val="24"/>
        </w:rPr>
        <w:t>question of undue influence ultimately target what influences can threaten the principle of independence. If some influences are regarded as legitimate (Experts for instance) some are regarded a</w:t>
      </w:r>
      <w:r w:rsidR="00143080" w:rsidRPr="00E94148">
        <w:rPr>
          <w:rFonts w:ascii="Cambria" w:hAnsi="Cambria" w:cs="Times New Roman"/>
          <w:sz w:val="24"/>
          <w:szCs w:val="24"/>
        </w:rPr>
        <w:t>s non</w:t>
      </w:r>
      <w:r w:rsidR="00D31CB7" w:rsidRPr="00E94148">
        <w:rPr>
          <w:rFonts w:ascii="Cambria" w:hAnsi="Cambria" w:cs="Times New Roman"/>
          <w:sz w:val="24"/>
          <w:szCs w:val="24"/>
        </w:rPr>
        <w:t>-</w:t>
      </w:r>
      <w:r w:rsidR="00143080" w:rsidRPr="00E94148">
        <w:rPr>
          <w:rFonts w:ascii="Cambria" w:hAnsi="Cambria" w:cs="Times New Roman"/>
          <w:sz w:val="24"/>
          <w:szCs w:val="24"/>
        </w:rPr>
        <w:t>legitimate in the criminal trial.</w:t>
      </w:r>
      <w:r w:rsidR="00D31CB7" w:rsidRPr="00E94148">
        <w:rPr>
          <w:rFonts w:ascii="Cambria" w:hAnsi="Cambria" w:cs="Times New Roman"/>
          <w:sz w:val="24"/>
          <w:szCs w:val="24"/>
        </w:rPr>
        <w:t xml:space="preserve"> The question thus </w:t>
      </w:r>
      <w:r w:rsidR="0067229B" w:rsidRPr="00E94148">
        <w:rPr>
          <w:rFonts w:ascii="Cambria" w:hAnsi="Cambria" w:cs="Times New Roman"/>
          <w:sz w:val="24"/>
          <w:szCs w:val="24"/>
        </w:rPr>
        <w:t>lies</w:t>
      </w:r>
      <w:r w:rsidR="00D31CB7" w:rsidRPr="00E94148">
        <w:rPr>
          <w:rFonts w:ascii="Cambria" w:hAnsi="Cambria" w:cs="Times New Roman"/>
          <w:sz w:val="24"/>
          <w:szCs w:val="24"/>
        </w:rPr>
        <w:t xml:space="preserve">, what is the </w:t>
      </w:r>
      <w:r w:rsidR="00E5307B" w:rsidRPr="00E94148">
        <w:rPr>
          <w:rFonts w:ascii="Cambria" w:hAnsi="Cambria" w:cs="Times New Roman"/>
          <w:sz w:val="24"/>
          <w:szCs w:val="24"/>
        </w:rPr>
        <w:t>extent of influences that would be regarded as non-legitimate under European Law. This thus lead to assess what point of origins of the influence would not be compatible with the principle of independence</w:t>
      </w:r>
      <w:r w:rsidR="002C0B81" w:rsidRPr="00E94148">
        <w:rPr>
          <w:rFonts w:ascii="Cambria" w:hAnsi="Cambria" w:cs="Times New Roman"/>
          <w:sz w:val="24"/>
          <w:szCs w:val="24"/>
        </w:rPr>
        <w:t>.</w:t>
      </w:r>
      <w:r w:rsidR="00F31AD5" w:rsidRPr="00E94148">
        <w:rPr>
          <w:rFonts w:ascii="Cambria" w:hAnsi="Cambria" w:cs="Times New Roman"/>
          <w:sz w:val="24"/>
          <w:szCs w:val="24"/>
        </w:rPr>
        <w:t xml:space="preserve"> </w:t>
      </w:r>
      <w:proofErr w:type="gramStart"/>
      <w:r w:rsidR="00F31AD5" w:rsidRPr="00E94148">
        <w:rPr>
          <w:rFonts w:ascii="Cambria" w:hAnsi="Cambria" w:cs="Times New Roman"/>
          <w:sz w:val="24"/>
          <w:szCs w:val="24"/>
        </w:rPr>
        <w:t>In order to</w:t>
      </w:r>
      <w:proofErr w:type="gramEnd"/>
      <w:r w:rsidR="00F31AD5" w:rsidRPr="00E94148">
        <w:rPr>
          <w:rFonts w:ascii="Cambria" w:hAnsi="Cambria" w:cs="Times New Roman"/>
          <w:sz w:val="24"/>
          <w:szCs w:val="24"/>
        </w:rPr>
        <w:t xml:space="preserve"> answer such a question, it would be necessary to assess such an extent </w:t>
      </w:r>
      <w:r w:rsidR="00FE3FE3" w:rsidRPr="00E94148">
        <w:rPr>
          <w:rFonts w:ascii="Cambria" w:hAnsi="Cambria" w:cs="Times New Roman"/>
          <w:sz w:val="24"/>
          <w:szCs w:val="24"/>
        </w:rPr>
        <w:t xml:space="preserve">under both </w:t>
      </w:r>
      <w:r w:rsidR="00F255F6" w:rsidRPr="00E94148">
        <w:rPr>
          <w:rFonts w:ascii="Cambria" w:hAnsi="Cambria" w:cs="Times New Roman"/>
          <w:sz w:val="24"/>
          <w:szCs w:val="24"/>
        </w:rPr>
        <w:t>European frameworks and to draw whether they share the same approach of what would constitute an illegi</w:t>
      </w:r>
      <w:r w:rsidR="003A7E86" w:rsidRPr="00E94148">
        <w:rPr>
          <w:rFonts w:ascii="Cambria" w:hAnsi="Cambria" w:cs="Times New Roman"/>
          <w:sz w:val="24"/>
          <w:szCs w:val="24"/>
        </w:rPr>
        <w:t>timate influence.</w:t>
      </w:r>
    </w:p>
    <w:p w14:paraId="25C32B32" w14:textId="77777777" w:rsidR="00AF30E9" w:rsidRPr="00E94148" w:rsidRDefault="00AF30E9"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The Council of Europe has developed two main approaches under the qualification of what an influence </w:t>
      </w:r>
      <w:r w:rsidR="008D01F2" w:rsidRPr="00E94148">
        <w:rPr>
          <w:rFonts w:ascii="Cambria" w:hAnsi="Cambria" w:cs="Times New Roman"/>
          <w:sz w:val="24"/>
          <w:szCs w:val="24"/>
        </w:rPr>
        <w:t xml:space="preserve">under the principle of independence would entail. Through the work of the organs of the Council of Europe, by recommendations and non-binding instruments; but </w:t>
      </w:r>
      <w:r w:rsidR="000C4C60" w:rsidRPr="00E94148">
        <w:rPr>
          <w:rFonts w:ascii="Cambria" w:hAnsi="Cambria" w:cs="Times New Roman"/>
          <w:sz w:val="24"/>
          <w:szCs w:val="24"/>
        </w:rPr>
        <w:t>also,</w:t>
      </w:r>
      <w:r w:rsidR="008D01F2" w:rsidRPr="00E94148">
        <w:rPr>
          <w:rFonts w:ascii="Cambria" w:hAnsi="Cambria" w:cs="Times New Roman"/>
          <w:sz w:val="24"/>
          <w:szCs w:val="24"/>
        </w:rPr>
        <w:t xml:space="preserve"> through the work of the European Court of Human rights</w:t>
      </w:r>
      <w:r w:rsidR="000C4C60" w:rsidRPr="00E94148">
        <w:rPr>
          <w:rFonts w:ascii="Cambria" w:hAnsi="Cambria" w:cs="Times New Roman"/>
          <w:sz w:val="24"/>
          <w:szCs w:val="24"/>
        </w:rPr>
        <w:t xml:space="preserve"> when interpreting Article 6 of the Convention.</w:t>
      </w:r>
    </w:p>
    <w:p w14:paraId="4B5CE6AB" w14:textId="77777777" w:rsidR="00CB6376" w:rsidRPr="00E94148" w:rsidRDefault="002D2ECB"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Regarding the textual basis of the Council of Europe, one can see that most of the texts regarding the point of origins </w:t>
      </w:r>
      <w:r w:rsidR="009A7B22" w:rsidRPr="00E94148">
        <w:rPr>
          <w:rFonts w:ascii="Cambria" w:hAnsi="Cambria" w:cs="Times New Roman"/>
          <w:sz w:val="24"/>
          <w:szCs w:val="24"/>
        </w:rPr>
        <w:t>of the influence in a broad manner</w:t>
      </w:r>
      <w:r w:rsidR="00D9077F" w:rsidRPr="00E94148">
        <w:rPr>
          <w:rFonts w:ascii="Cambria" w:hAnsi="Cambria" w:cs="Times New Roman"/>
          <w:sz w:val="24"/>
          <w:szCs w:val="24"/>
        </w:rPr>
        <w:t>.</w:t>
      </w:r>
      <w:r w:rsidRPr="00E94148">
        <w:rPr>
          <w:rFonts w:ascii="Cambria" w:hAnsi="Cambria" w:cs="Times New Roman"/>
          <w:sz w:val="24"/>
          <w:szCs w:val="24"/>
        </w:rPr>
        <w:t xml:space="preserve"> </w:t>
      </w:r>
      <w:r w:rsidR="009A7B22" w:rsidRPr="00E94148">
        <w:rPr>
          <w:rFonts w:ascii="Cambria" w:hAnsi="Cambria" w:cs="Times New Roman"/>
          <w:sz w:val="24"/>
          <w:szCs w:val="24"/>
        </w:rPr>
        <w:t>Indeed, this</w:t>
      </w:r>
      <w:r w:rsidR="00B520B8" w:rsidRPr="00E94148">
        <w:rPr>
          <w:rFonts w:ascii="Cambria" w:hAnsi="Cambria" w:cs="Times New Roman"/>
          <w:sz w:val="24"/>
          <w:szCs w:val="24"/>
        </w:rPr>
        <w:t xml:space="preserve"> approach does not pose any limit to where this influence may come from</w:t>
      </w:r>
      <w:r w:rsidR="009A7B22" w:rsidRPr="00E94148">
        <w:rPr>
          <w:rFonts w:ascii="Cambria" w:hAnsi="Cambria" w:cs="Times New Roman"/>
          <w:sz w:val="24"/>
          <w:szCs w:val="24"/>
        </w:rPr>
        <w:t xml:space="preserve"> and depart away from the separation of powers approach</w:t>
      </w:r>
      <w:r w:rsidR="00522CD8" w:rsidRPr="00E94148">
        <w:rPr>
          <w:rStyle w:val="FootnoteReference"/>
          <w:rFonts w:ascii="Cambria" w:hAnsi="Cambria" w:cs="Times New Roman"/>
          <w:sz w:val="24"/>
          <w:szCs w:val="24"/>
        </w:rPr>
        <w:footnoteReference w:id="13"/>
      </w:r>
      <w:r w:rsidR="00B520B8" w:rsidRPr="00E94148">
        <w:rPr>
          <w:rFonts w:ascii="Cambria" w:hAnsi="Cambria" w:cs="Times New Roman"/>
          <w:sz w:val="24"/>
          <w:szCs w:val="24"/>
        </w:rPr>
        <w:t xml:space="preserve">. This “Extensive” approach, </w:t>
      </w:r>
      <w:r w:rsidR="009A7B22" w:rsidRPr="00E94148">
        <w:rPr>
          <w:rFonts w:ascii="Cambria" w:hAnsi="Cambria" w:cs="Times New Roman"/>
          <w:sz w:val="24"/>
          <w:szCs w:val="24"/>
        </w:rPr>
        <w:t xml:space="preserve">also </w:t>
      </w:r>
      <w:r w:rsidR="00B520B8" w:rsidRPr="00E94148">
        <w:rPr>
          <w:rFonts w:ascii="Cambria" w:hAnsi="Cambria" w:cs="Times New Roman"/>
          <w:sz w:val="24"/>
          <w:szCs w:val="24"/>
        </w:rPr>
        <w:t xml:space="preserve">shared by </w:t>
      </w:r>
      <w:r w:rsidR="002621E4" w:rsidRPr="00E94148">
        <w:rPr>
          <w:rFonts w:ascii="Cambria" w:hAnsi="Cambria" w:cs="Times New Roman"/>
          <w:sz w:val="24"/>
          <w:szCs w:val="24"/>
        </w:rPr>
        <w:t xml:space="preserve">the work of </w:t>
      </w:r>
      <w:proofErr w:type="spellStart"/>
      <w:r w:rsidR="00B520B8" w:rsidRPr="00E94148">
        <w:rPr>
          <w:rFonts w:ascii="Cambria" w:hAnsi="Cambria" w:cs="Times New Roman"/>
          <w:sz w:val="24"/>
          <w:szCs w:val="24"/>
        </w:rPr>
        <w:t>Tescher</w:t>
      </w:r>
      <w:proofErr w:type="spellEnd"/>
      <w:r w:rsidR="00B520B8" w:rsidRPr="00E94148">
        <w:rPr>
          <w:rFonts w:ascii="Cambria" w:hAnsi="Cambria" w:cs="Times New Roman"/>
          <w:sz w:val="24"/>
          <w:szCs w:val="24"/>
        </w:rPr>
        <w:t>, seem to encompass all kin</w:t>
      </w:r>
      <w:r w:rsidR="00522CD8" w:rsidRPr="00E94148">
        <w:rPr>
          <w:rFonts w:ascii="Cambria" w:hAnsi="Cambria" w:cs="Times New Roman"/>
          <w:sz w:val="24"/>
          <w:szCs w:val="24"/>
        </w:rPr>
        <w:t>d o</w:t>
      </w:r>
      <w:r w:rsidR="00B520B8" w:rsidRPr="00E94148">
        <w:rPr>
          <w:rFonts w:ascii="Cambria" w:hAnsi="Cambria" w:cs="Times New Roman"/>
          <w:sz w:val="24"/>
          <w:szCs w:val="24"/>
        </w:rPr>
        <w:t>f influences possible</w:t>
      </w:r>
      <w:r w:rsidR="00A131C9" w:rsidRPr="00E94148">
        <w:rPr>
          <w:rFonts w:ascii="Cambria" w:hAnsi="Cambria" w:cs="Times New Roman"/>
          <w:sz w:val="24"/>
          <w:szCs w:val="24"/>
        </w:rPr>
        <w:t xml:space="preserve"> stemming from States and private companies alike</w:t>
      </w:r>
      <w:r w:rsidR="00CB53CE" w:rsidRPr="00E94148">
        <w:rPr>
          <w:rStyle w:val="FootnoteReference"/>
          <w:rFonts w:ascii="Cambria" w:hAnsi="Cambria" w:cs="Times New Roman"/>
          <w:sz w:val="24"/>
          <w:szCs w:val="24"/>
        </w:rPr>
        <w:footnoteReference w:id="14"/>
      </w:r>
      <w:r w:rsidR="00B520B8" w:rsidRPr="00E94148">
        <w:rPr>
          <w:rFonts w:ascii="Cambria" w:hAnsi="Cambria" w:cs="Times New Roman"/>
          <w:sz w:val="24"/>
          <w:szCs w:val="24"/>
        </w:rPr>
        <w:t>.</w:t>
      </w:r>
      <w:r w:rsidR="00564F64" w:rsidRPr="00E94148">
        <w:rPr>
          <w:rFonts w:ascii="Cambria" w:hAnsi="Cambria" w:cs="Times New Roman"/>
          <w:sz w:val="24"/>
          <w:szCs w:val="24"/>
        </w:rPr>
        <w:t xml:space="preserve"> Moreover, this approach is the most enshrined at the Council of Europe level. This leads to assess that under this non-binding approach</w:t>
      </w:r>
      <w:r w:rsidR="0088138D" w:rsidRPr="00E94148">
        <w:rPr>
          <w:rFonts w:ascii="Cambria" w:hAnsi="Cambria" w:cs="Times New Roman"/>
          <w:sz w:val="24"/>
          <w:szCs w:val="24"/>
        </w:rPr>
        <w:t xml:space="preserve"> of European Law</w:t>
      </w:r>
      <w:r w:rsidR="00564F64" w:rsidRPr="00E94148">
        <w:rPr>
          <w:rFonts w:ascii="Cambria" w:hAnsi="Cambria" w:cs="Times New Roman"/>
          <w:sz w:val="24"/>
          <w:szCs w:val="24"/>
        </w:rPr>
        <w:t>, the priority is given to an extensive approach of the influence.</w:t>
      </w:r>
    </w:p>
    <w:p w14:paraId="460A0F3A" w14:textId="77777777" w:rsidR="00564F64" w:rsidRPr="00E94148" w:rsidRDefault="00564F64" w:rsidP="008553F4">
      <w:pPr>
        <w:spacing w:line="276" w:lineRule="auto"/>
        <w:jc w:val="both"/>
        <w:rPr>
          <w:rFonts w:ascii="Cambria" w:hAnsi="Cambria" w:cs="Times New Roman"/>
          <w:sz w:val="24"/>
          <w:szCs w:val="24"/>
        </w:rPr>
      </w:pPr>
      <w:r w:rsidRPr="00E94148">
        <w:rPr>
          <w:rFonts w:ascii="Cambria" w:hAnsi="Cambria" w:cs="Times New Roman"/>
          <w:sz w:val="24"/>
          <w:szCs w:val="24"/>
        </w:rPr>
        <w:lastRenderedPageBreak/>
        <w:tab/>
        <w:t xml:space="preserve">However, the challenge also lies in the case-law of the ECtHR, the main </w:t>
      </w:r>
      <w:r w:rsidR="00924C9F" w:rsidRPr="00E94148">
        <w:rPr>
          <w:rFonts w:ascii="Cambria" w:hAnsi="Cambria" w:cs="Times New Roman"/>
          <w:sz w:val="24"/>
          <w:szCs w:val="24"/>
        </w:rPr>
        <w:t>adjudication</w:t>
      </w:r>
      <w:r w:rsidRPr="00E94148">
        <w:rPr>
          <w:rFonts w:ascii="Cambria" w:hAnsi="Cambria" w:cs="Times New Roman"/>
          <w:sz w:val="24"/>
          <w:szCs w:val="24"/>
        </w:rPr>
        <w:t xml:space="preserve"> body of the Council of Europe.</w:t>
      </w:r>
      <w:r w:rsidR="00341575" w:rsidRPr="00E94148">
        <w:rPr>
          <w:rFonts w:ascii="Cambria" w:hAnsi="Cambria" w:cs="Times New Roman"/>
          <w:sz w:val="24"/>
          <w:szCs w:val="24"/>
        </w:rPr>
        <w:t xml:space="preserve"> The view of such body is less clear than the textual approach. Indeed, considering the extensive case-law of the ECtHR on what would constitute</w:t>
      </w:r>
      <w:r w:rsidR="003268D4" w:rsidRPr="00E94148">
        <w:rPr>
          <w:rFonts w:ascii="Cambria" w:hAnsi="Cambria" w:cs="Times New Roman"/>
          <w:sz w:val="24"/>
          <w:szCs w:val="24"/>
        </w:rPr>
        <w:t xml:space="preserve"> an illegitimate influence over a trial</w:t>
      </w:r>
      <w:r w:rsidR="00D16A87" w:rsidRPr="00E94148">
        <w:rPr>
          <w:rFonts w:ascii="Cambria" w:hAnsi="Cambria" w:cs="Times New Roman"/>
          <w:sz w:val="24"/>
          <w:szCs w:val="24"/>
        </w:rPr>
        <w:t xml:space="preserve"> it had a long-term approach of the principle</w:t>
      </w:r>
      <w:r w:rsidR="003268D4" w:rsidRPr="00E94148">
        <w:rPr>
          <w:rFonts w:ascii="Cambria" w:hAnsi="Cambria" w:cs="Times New Roman"/>
          <w:sz w:val="24"/>
          <w:szCs w:val="24"/>
        </w:rPr>
        <w:t xml:space="preserve">. This case law is of </w:t>
      </w:r>
      <w:r w:rsidR="00877228" w:rsidRPr="00E94148">
        <w:rPr>
          <w:rFonts w:ascii="Cambria" w:hAnsi="Cambria" w:cs="Times New Roman"/>
          <w:sz w:val="24"/>
          <w:szCs w:val="24"/>
        </w:rPr>
        <w:t>an</w:t>
      </w:r>
      <w:r w:rsidR="003268D4" w:rsidRPr="00E94148">
        <w:rPr>
          <w:rFonts w:ascii="Cambria" w:hAnsi="Cambria" w:cs="Times New Roman"/>
          <w:sz w:val="24"/>
          <w:szCs w:val="24"/>
        </w:rPr>
        <w:t xml:space="preserve"> irregular one, focusing on a plural approach of </w:t>
      </w:r>
      <w:r w:rsidR="00B45B04" w:rsidRPr="00E94148">
        <w:rPr>
          <w:rFonts w:ascii="Cambria" w:hAnsi="Cambria" w:cs="Times New Roman"/>
          <w:sz w:val="24"/>
          <w:szCs w:val="24"/>
        </w:rPr>
        <w:t>influences</w:t>
      </w:r>
      <w:r w:rsidR="003268D4" w:rsidRPr="00E94148">
        <w:rPr>
          <w:rFonts w:ascii="Cambria" w:hAnsi="Cambria" w:cs="Times New Roman"/>
          <w:sz w:val="24"/>
          <w:szCs w:val="24"/>
        </w:rPr>
        <w:t xml:space="preserve"> but not sticking to one </w:t>
      </w:r>
      <w:proofErr w:type="gramStart"/>
      <w:r w:rsidR="003268D4" w:rsidRPr="00E94148">
        <w:rPr>
          <w:rFonts w:ascii="Cambria" w:hAnsi="Cambria" w:cs="Times New Roman"/>
          <w:sz w:val="24"/>
          <w:szCs w:val="24"/>
        </w:rPr>
        <w:t>approach in particular, rending</w:t>
      </w:r>
      <w:proofErr w:type="gramEnd"/>
      <w:r w:rsidR="003268D4" w:rsidRPr="00E94148">
        <w:rPr>
          <w:rFonts w:ascii="Cambria" w:hAnsi="Cambria" w:cs="Times New Roman"/>
          <w:sz w:val="24"/>
          <w:szCs w:val="24"/>
        </w:rPr>
        <w:t xml:space="preserve"> the overall </w:t>
      </w:r>
      <w:r w:rsidR="009874D4" w:rsidRPr="00E94148">
        <w:rPr>
          <w:rFonts w:ascii="Cambria" w:hAnsi="Cambria" w:cs="Times New Roman"/>
          <w:sz w:val="24"/>
          <w:szCs w:val="24"/>
        </w:rPr>
        <w:t xml:space="preserve">cases </w:t>
      </w:r>
      <w:r w:rsidR="0063275A" w:rsidRPr="00E94148">
        <w:rPr>
          <w:rFonts w:ascii="Cambria" w:hAnsi="Cambria" w:cs="Times New Roman"/>
          <w:sz w:val="24"/>
          <w:szCs w:val="24"/>
        </w:rPr>
        <w:t>confusing as to defining the scope.</w:t>
      </w:r>
      <w:r w:rsidR="00E45988" w:rsidRPr="00E94148">
        <w:rPr>
          <w:rFonts w:ascii="Cambria" w:hAnsi="Cambria" w:cs="Times New Roman"/>
          <w:sz w:val="24"/>
          <w:szCs w:val="24"/>
        </w:rPr>
        <w:t xml:space="preserve"> In defining the extent of the influence, the </w:t>
      </w:r>
      <w:r w:rsidR="009A22E0" w:rsidRPr="00E94148">
        <w:rPr>
          <w:rFonts w:ascii="Cambria" w:hAnsi="Cambria" w:cs="Times New Roman"/>
          <w:sz w:val="24"/>
          <w:szCs w:val="24"/>
        </w:rPr>
        <w:t xml:space="preserve">latest </w:t>
      </w:r>
      <w:r w:rsidR="00E45988" w:rsidRPr="00E94148">
        <w:rPr>
          <w:rFonts w:ascii="Cambria" w:hAnsi="Cambria" w:cs="Times New Roman"/>
          <w:sz w:val="24"/>
          <w:szCs w:val="24"/>
        </w:rPr>
        <w:t>ECtHR case law varies in four different approaches</w:t>
      </w:r>
      <w:r w:rsidR="002713BE" w:rsidRPr="00E94148">
        <w:rPr>
          <w:rFonts w:ascii="Cambria" w:hAnsi="Cambria" w:cs="Times New Roman"/>
          <w:sz w:val="24"/>
          <w:szCs w:val="24"/>
        </w:rPr>
        <w:t xml:space="preserve">: Either it approaches </w:t>
      </w:r>
      <w:r w:rsidR="00AD2E4D" w:rsidRPr="00E94148">
        <w:rPr>
          <w:rFonts w:ascii="Cambria" w:hAnsi="Cambria" w:cs="Times New Roman"/>
          <w:sz w:val="24"/>
          <w:szCs w:val="24"/>
        </w:rPr>
        <w:t>illegitimate interferences from the Executive</w:t>
      </w:r>
      <w:r w:rsidR="000C29FA" w:rsidRPr="00E94148">
        <w:rPr>
          <w:rFonts w:ascii="Cambria" w:hAnsi="Cambria" w:cs="Times New Roman"/>
          <w:sz w:val="24"/>
          <w:szCs w:val="24"/>
        </w:rPr>
        <w:t xml:space="preserve"> and Legislative</w:t>
      </w:r>
      <w:r w:rsidR="00C26385" w:rsidRPr="00E94148">
        <w:rPr>
          <w:rStyle w:val="FootnoteReference"/>
          <w:rFonts w:ascii="Cambria" w:hAnsi="Cambria" w:cs="Times New Roman"/>
          <w:sz w:val="24"/>
          <w:szCs w:val="24"/>
        </w:rPr>
        <w:footnoteReference w:id="15"/>
      </w:r>
      <w:r w:rsidR="00AD2E4D" w:rsidRPr="00E94148">
        <w:rPr>
          <w:rFonts w:ascii="Cambria" w:hAnsi="Cambria" w:cs="Times New Roman"/>
          <w:sz w:val="24"/>
          <w:szCs w:val="24"/>
        </w:rPr>
        <w:t xml:space="preserve">; from the </w:t>
      </w:r>
      <w:r w:rsidR="000C29FA" w:rsidRPr="00E94148">
        <w:rPr>
          <w:rFonts w:ascii="Cambria" w:hAnsi="Cambria" w:cs="Times New Roman"/>
          <w:sz w:val="24"/>
          <w:szCs w:val="24"/>
        </w:rPr>
        <w:t>parties to the case</w:t>
      </w:r>
      <w:r w:rsidR="00C26385" w:rsidRPr="00E94148">
        <w:rPr>
          <w:rStyle w:val="FootnoteReference"/>
          <w:rFonts w:ascii="Cambria" w:hAnsi="Cambria" w:cs="Times New Roman"/>
          <w:sz w:val="24"/>
          <w:szCs w:val="24"/>
        </w:rPr>
        <w:footnoteReference w:id="16"/>
      </w:r>
      <w:r w:rsidR="00AD2E4D" w:rsidRPr="00E94148">
        <w:rPr>
          <w:rFonts w:ascii="Cambria" w:hAnsi="Cambria" w:cs="Times New Roman"/>
          <w:sz w:val="24"/>
          <w:szCs w:val="24"/>
        </w:rPr>
        <w:t>; from “Other entities”</w:t>
      </w:r>
      <w:r w:rsidR="00C26385" w:rsidRPr="00E94148">
        <w:rPr>
          <w:rStyle w:val="FootnoteReference"/>
          <w:rFonts w:ascii="Cambria" w:hAnsi="Cambria" w:cs="Times New Roman"/>
          <w:sz w:val="24"/>
          <w:szCs w:val="24"/>
        </w:rPr>
        <w:footnoteReference w:id="17"/>
      </w:r>
      <w:r w:rsidR="00876B85" w:rsidRPr="00E94148">
        <w:rPr>
          <w:rFonts w:ascii="Cambria" w:hAnsi="Cambria" w:cs="Times New Roman"/>
          <w:sz w:val="24"/>
          <w:szCs w:val="24"/>
        </w:rPr>
        <w:t xml:space="preserve"> (The press was considered as such </w:t>
      </w:r>
      <w:r w:rsidR="006F13CD" w:rsidRPr="00E94148">
        <w:rPr>
          <w:rFonts w:ascii="Cambria" w:hAnsi="Cambria" w:cs="Times New Roman"/>
          <w:sz w:val="24"/>
          <w:szCs w:val="24"/>
        </w:rPr>
        <w:t>an entity</w:t>
      </w:r>
      <w:r w:rsidR="00876B85" w:rsidRPr="00E94148">
        <w:rPr>
          <w:rFonts w:ascii="Cambria" w:hAnsi="Cambria" w:cs="Times New Roman"/>
          <w:sz w:val="24"/>
          <w:szCs w:val="24"/>
        </w:rPr>
        <w:t>);</w:t>
      </w:r>
      <w:r w:rsidR="00AD2E4D" w:rsidRPr="00E94148">
        <w:rPr>
          <w:rFonts w:ascii="Cambria" w:hAnsi="Cambria" w:cs="Times New Roman"/>
          <w:sz w:val="24"/>
          <w:szCs w:val="24"/>
        </w:rPr>
        <w:t xml:space="preserve"> or does not specify the</w:t>
      </w:r>
      <w:r w:rsidR="003A7E28" w:rsidRPr="00E94148">
        <w:rPr>
          <w:rFonts w:ascii="Cambria" w:hAnsi="Cambria" w:cs="Times New Roman"/>
          <w:sz w:val="24"/>
          <w:szCs w:val="24"/>
        </w:rPr>
        <w:t xml:space="preserve"> point of origin of an illegitimate influence</w:t>
      </w:r>
      <w:r w:rsidR="00C26385" w:rsidRPr="00E94148">
        <w:rPr>
          <w:rStyle w:val="FootnoteReference"/>
          <w:rFonts w:ascii="Cambria" w:hAnsi="Cambria" w:cs="Times New Roman"/>
          <w:sz w:val="24"/>
          <w:szCs w:val="24"/>
        </w:rPr>
        <w:footnoteReference w:id="18"/>
      </w:r>
      <w:r w:rsidR="003A7E28" w:rsidRPr="00E94148">
        <w:rPr>
          <w:rFonts w:ascii="Cambria" w:hAnsi="Cambria" w:cs="Times New Roman"/>
          <w:sz w:val="24"/>
          <w:szCs w:val="24"/>
        </w:rPr>
        <w:t>.</w:t>
      </w:r>
      <w:r w:rsidR="00BF5123" w:rsidRPr="00E94148">
        <w:rPr>
          <w:rFonts w:ascii="Cambria" w:hAnsi="Cambria" w:cs="Times New Roman"/>
          <w:sz w:val="24"/>
          <w:szCs w:val="24"/>
        </w:rPr>
        <w:t xml:space="preserve"> These different approaches taken by the ECtHR is rather confusing, for </w:t>
      </w:r>
      <w:r w:rsidR="00EB7519" w:rsidRPr="00E94148">
        <w:rPr>
          <w:rFonts w:ascii="Cambria" w:hAnsi="Cambria" w:cs="Times New Roman"/>
          <w:sz w:val="24"/>
          <w:szCs w:val="24"/>
        </w:rPr>
        <w:t xml:space="preserve">it seems to be of an irregular approach and there are no </w:t>
      </w:r>
      <w:r w:rsidR="00876B85" w:rsidRPr="00E94148">
        <w:rPr>
          <w:rFonts w:ascii="Cambria" w:hAnsi="Cambria" w:cs="Times New Roman"/>
          <w:sz w:val="24"/>
          <w:szCs w:val="24"/>
        </w:rPr>
        <w:t xml:space="preserve">explicit reasons for using one specific terminology. </w:t>
      </w:r>
      <w:r w:rsidR="00711B21" w:rsidRPr="00E94148">
        <w:rPr>
          <w:rFonts w:ascii="Cambria" w:hAnsi="Cambria" w:cs="Times New Roman"/>
          <w:sz w:val="24"/>
          <w:szCs w:val="24"/>
        </w:rPr>
        <w:t xml:space="preserve">This </w:t>
      </w:r>
      <w:r w:rsidR="00860DDD" w:rsidRPr="00E94148">
        <w:rPr>
          <w:rFonts w:ascii="Cambria" w:hAnsi="Cambria" w:cs="Times New Roman"/>
          <w:sz w:val="24"/>
          <w:szCs w:val="24"/>
        </w:rPr>
        <w:t xml:space="preserve">leads to a certain confusion when it comes to analyze if the ECtHR sees the notion as an extensive one or rather stuck to the principle of separation of powers. However, due to the </w:t>
      </w:r>
      <w:r w:rsidR="004945DE" w:rsidRPr="00E94148">
        <w:rPr>
          <w:rFonts w:ascii="Cambria" w:hAnsi="Cambria" w:cs="Times New Roman"/>
          <w:sz w:val="24"/>
          <w:szCs w:val="24"/>
        </w:rPr>
        <w:t>consideration the ECtHR has for the protection of human rights against non-state entities</w:t>
      </w:r>
      <w:r w:rsidR="00C26385" w:rsidRPr="00E94148">
        <w:rPr>
          <w:rStyle w:val="FootnoteReference"/>
          <w:rFonts w:ascii="Cambria" w:hAnsi="Cambria" w:cs="Times New Roman"/>
          <w:sz w:val="24"/>
          <w:szCs w:val="24"/>
        </w:rPr>
        <w:footnoteReference w:id="19"/>
      </w:r>
      <w:r w:rsidR="004945DE" w:rsidRPr="00E94148">
        <w:rPr>
          <w:rFonts w:ascii="Cambria" w:hAnsi="Cambria" w:cs="Times New Roman"/>
          <w:sz w:val="24"/>
          <w:szCs w:val="24"/>
        </w:rPr>
        <w:t xml:space="preserve">, it could be led to assess that </w:t>
      </w:r>
      <w:r w:rsidR="00531C89" w:rsidRPr="00E94148">
        <w:rPr>
          <w:rFonts w:ascii="Cambria" w:hAnsi="Cambria" w:cs="Times New Roman"/>
          <w:sz w:val="24"/>
          <w:szCs w:val="24"/>
        </w:rPr>
        <w:t xml:space="preserve">the protection against undue influence by non-state entities could be protected in two ways. Firstly, by the </w:t>
      </w:r>
      <w:r w:rsidR="00AA4E28" w:rsidRPr="00E94148">
        <w:rPr>
          <w:rFonts w:ascii="Cambria" w:hAnsi="Cambria" w:cs="Times New Roman"/>
          <w:sz w:val="24"/>
          <w:szCs w:val="24"/>
        </w:rPr>
        <w:t>positive obligations framework of States when they have to “Secure” human rights in their jurisdictions</w:t>
      </w:r>
      <w:r w:rsidR="00C4744B" w:rsidRPr="00E94148">
        <w:rPr>
          <w:rFonts w:ascii="Cambria" w:hAnsi="Cambria" w:cs="Times New Roman"/>
          <w:sz w:val="24"/>
          <w:szCs w:val="24"/>
        </w:rPr>
        <w:t xml:space="preserve"> as a preventive measure</w:t>
      </w:r>
      <w:r w:rsidR="007D16D3" w:rsidRPr="00E94148">
        <w:rPr>
          <w:rFonts w:ascii="Cambria" w:hAnsi="Cambria" w:cs="Times New Roman"/>
          <w:sz w:val="24"/>
          <w:szCs w:val="24"/>
        </w:rPr>
        <w:t xml:space="preserve"> but also concerning investigative measures after the violation was committed</w:t>
      </w:r>
      <w:r w:rsidR="00C26385" w:rsidRPr="00E94148">
        <w:rPr>
          <w:rStyle w:val="FootnoteReference"/>
          <w:rFonts w:ascii="Cambria" w:hAnsi="Cambria" w:cs="Times New Roman"/>
          <w:sz w:val="24"/>
          <w:szCs w:val="24"/>
        </w:rPr>
        <w:footnoteReference w:id="20"/>
      </w:r>
      <w:r w:rsidR="00C4744B" w:rsidRPr="00E94148">
        <w:rPr>
          <w:rFonts w:ascii="Cambria" w:hAnsi="Cambria" w:cs="Times New Roman"/>
          <w:sz w:val="24"/>
          <w:szCs w:val="24"/>
        </w:rPr>
        <w:t xml:space="preserve">. </w:t>
      </w:r>
      <w:r w:rsidR="00735EE6" w:rsidRPr="00E94148">
        <w:rPr>
          <w:rFonts w:ascii="Cambria" w:hAnsi="Cambria" w:cs="Times New Roman"/>
          <w:sz w:val="24"/>
          <w:szCs w:val="24"/>
        </w:rPr>
        <w:t>Hence,</w:t>
      </w:r>
      <w:r w:rsidR="00C4744B" w:rsidRPr="00E94148">
        <w:rPr>
          <w:rFonts w:ascii="Cambria" w:hAnsi="Cambria" w:cs="Times New Roman"/>
          <w:sz w:val="24"/>
          <w:szCs w:val="24"/>
        </w:rPr>
        <w:t xml:space="preserve"> one could see that under such a framework, non-state entities </w:t>
      </w:r>
      <w:r w:rsidR="00FD7DB1" w:rsidRPr="00E94148">
        <w:rPr>
          <w:rFonts w:ascii="Cambria" w:hAnsi="Cambria" w:cs="Times New Roman"/>
          <w:sz w:val="24"/>
          <w:szCs w:val="24"/>
        </w:rPr>
        <w:t>could</w:t>
      </w:r>
      <w:r w:rsidR="00C4744B" w:rsidRPr="00E94148">
        <w:rPr>
          <w:rFonts w:ascii="Cambria" w:hAnsi="Cambria" w:cs="Times New Roman"/>
          <w:sz w:val="24"/>
          <w:szCs w:val="24"/>
        </w:rPr>
        <w:t xml:space="preserve"> be regarded as potential illegitimate influencers</w:t>
      </w:r>
      <w:r w:rsidR="00FD7DB1" w:rsidRPr="00E94148">
        <w:rPr>
          <w:rFonts w:ascii="Cambria" w:hAnsi="Cambria" w:cs="Times New Roman"/>
          <w:sz w:val="24"/>
          <w:szCs w:val="24"/>
        </w:rPr>
        <w:t xml:space="preserve">. However, </w:t>
      </w:r>
      <w:r w:rsidR="00E852FA" w:rsidRPr="00E94148">
        <w:rPr>
          <w:rFonts w:ascii="Cambria" w:hAnsi="Cambria" w:cs="Times New Roman"/>
          <w:sz w:val="24"/>
          <w:szCs w:val="24"/>
        </w:rPr>
        <w:t xml:space="preserve">apart from the influence of medias on a case, there are no concrete cases of </w:t>
      </w:r>
      <w:r w:rsidR="0064784B" w:rsidRPr="00E94148">
        <w:rPr>
          <w:rFonts w:ascii="Cambria" w:hAnsi="Cambria" w:cs="Times New Roman"/>
          <w:sz w:val="24"/>
          <w:szCs w:val="24"/>
        </w:rPr>
        <w:t>non-state entities influencing the outcome of a judgement under ECtHR law</w:t>
      </w:r>
      <w:r w:rsidR="00FD1A17" w:rsidRPr="00E94148">
        <w:rPr>
          <w:rStyle w:val="FootnoteReference"/>
          <w:rFonts w:ascii="Cambria" w:hAnsi="Cambria" w:cs="Times New Roman"/>
          <w:sz w:val="24"/>
          <w:szCs w:val="24"/>
        </w:rPr>
        <w:footnoteReference w:id="21"/>
      </w:r>
      <w:r w:rsidR="0064784B" w:rsidRPr="00E94148">
        <w:rPr>
          <w:rFonts w:ascii="Cambria" w:hAnsi="Cambria" w:cs="Times New Roman"/>
          <w:sz w:val="24"/>
          <w:szCs w:val="24"/>
        </w:rPr>
        <w:t>.</w:t>
      </w:r>
      <w:r w:rsidR="00DD5AE6" w:rsidRPr="00E94148">
        <w:rPr>
          <w:rFonts w:ascii="Cambria" w:hAnsi="Cambria" w:cs="Times New Roman"/>
          <w:sz w:val="24"/>
          <w:szCs w:val="24"/>
        </w:rPr>
        <w:t xml:space="preserve"> It thus appears that the Council of Europe approach is neither regular nor clear when it comes to assess the illegitimate influence notion.</w:t>
      </w:r>
    </w:p>
    <w:p w14:paraId="0AF70D7F" w14:textId="77777777" w:rsidR="00DD5AE6" w:rsidRPr="00E94148" w:rsidRDefault="00DD5AE6" w:rsidP="008553F4">
      <w:pPr>
        <w:spacing w:line="276" w:lineRule="auto"/>
        <w:jc w:val="both"/>
        <w:rPr>
          <w:rFonts w:ascii="Cambria" w:hAnsi="Cambria" w:cs="Times New Roman"/>
          <w:sz w:val="24"/>
          <w:szCs w:val="24"/>
        </w:rPr>
      </w:pPr>
      <w:r w:rsidRPr="00E94148">
        <w:rPr>
          <w:rFonts w:ascii="Cambria" w:hAnsi="Cambria" w:cs="Times New Roman"/>
          <w:sz w:val="24"/>
          <w:szCs w:val="24"/>
        </w:rPr>
        <w:tab/>
      </w:r>
      <w:r w:rsidR="0097243F" w:rsidRPr="00E94148">
        <w:rPr>
          <w:rFonts w:ascii="Cambria" w:hAnsi="Cambria" w:cs="Times New Roman"/>
          <w:sz w:val="24"/>
          <w:szCs w:val="24"/>
        </w:rPr>
        <w:t xml:space="preserve">The European Union approach of the notion is different from the Council of Europe </w:t>
      </w:r>
      <w:r w:rsidR="00992477" w:rsidRPr="00E94148">
        <w:rPr>
          <w:rFonts w:ascii="Cambria" w:hAnsi="Cambria" w:cs="Times New Roman"/>
          <w:sz w:val="24"/>
          <w:szCs w:val="24"/>
        </w:rPr>
        <w:t>one,</w:t>
      </w:r>
      <w:r w:rsidR="0097243F" w:rsidRPr="00E94148">
        <w:rPr>
          <w:rFonts w:ascii="Cambria" w:hAnsi="Cambria" w:cs="Times New Roman"/>
          <w:sz w:val="24"/>
          <w:szCs w:val="24"/>
        </w:rPr>
        <w:t xml:space="preserve"> however. </w:t>
      </w:r>
      <w:r w:rsidR="00EE7833" w:rsidRPr="00E94148">
        <w:rPr>
          <w:rFonts w:ascii="Cambria" w:hAnsi="Cambria" w:cs="Times New Roman"/>
          <w:sz w:val="24"/>
          <w:szCs w:val="24"/>
        </w:rPr>
        <w:t xml:space="preserve">For decades, the E.U had taken a similar approach as the </w:t>
      </w:r>
      <w:proofErr w:type="spellStart"/>
      <w:r w:rsidR="00EE7833" w:rsidRPr="00E94148">
        <w:rPr>
          <w:rFonts w:ascii="Cambria" w:hAnsi="Cambria" w:cs="Times New Roman"/>
          <w:sz w:val="24"/>
          <w:szCs w:val="24"/>
        </w:rPr>
        <w:t>CoE</w:t>
      </w:r>
      <w:proofErr w:type="spellEnd"/>
      <w:r w:rsidR="00992477" w:rsidRPr="00E94148">
        <w:rPr>
          <w:rFonts w:ascii="Cambria" w:hAnsi="Cambria" w:cs="Times New Roman"/>
          <w:sz w:val="24"/>
          <w:szCs w:val="24"/>
        </w:rPr>
        <w:t xml:space="preserve"> departing from the </w:t>
      </w:r>
      <w:r w:rsidR="00992477" w:rsidRPr="00E94148">
        <w:rPr>
          <w:rFonts w:ascii="Cambria" w:hAnsi="Cambria" w:cs="Times New Roman"/>
          <w:i/>
          <w:iCs/>
          <w:sz w:val="24"/>
          <w:szCs w:val="24"/>
        </w:rPr>
        <w:t xml:space="preserve">Johnston </w:t>
      </w:r>
      <w:r w:rsidR="00992477" w:rsidRPr="00E94148">
        <w:rPr>
          <w:rFonts w:ascii="Cambria" w:hAnsi="Cambria" w:cs="Times New Roman"/>
          <w:sz w:val="24"/>
          <w:szCs w:val="24"/>
        </w:rPr>
        <w:t xml:space="preserve">case, </w:t>
      </w:r>
      <w:r w:rsidR="00225CB0" w:rsidRPr="00E94148">
        <w:rPr>
          <w:rFonts w:ascii="Cambria" w:hAnsi="Cambria" w:cs="Times New Roman"/>
          <w:sz w:val="24"/>
          <w:szCs w:val="24"/>
        </w:rPr>
        <w:t>where it assimilated the right to fair trial as a general principle of E.U Law</w:t>
      </w:r>
      <w:r w:rsidR="0008292B" w:rsidRPr="00E94148">
        <w:rPr>
          <w:rFonts w:ascii="Cambria" w:hAnsi="Cambria" w:cs="Times New Roman"/>
          <w:sz w:val="24"/>
          <w:szCs w:val="24"/>
        </w:rPr>
        <w:t xml:space="preserve"> </w:t>
      </w:r>
      <w:r w:rsidR="0008292B" w:rsidRPr="00E94148">
        <w:rPr>
          <w:rFonts w:ascii="Cambria" w:hAnsi="Cambria" w:cs="Times New Roman"/>
          <w:sz w:val="24"/>
          <w:szCs w:val="24"/>
        </w:rPr>
        <w:lastRenderedPageBreak/>
        <w:t>referencing to the case law of the ECtHR on the matter</w:t>
      </w:r>
      <w:r w:rsidR="002D3E51" w:rsidRPr="00E94148">
        <w:rPr>
          <w:rStyle w:val="FootnoteReference"/>
          <w:rFonts w:ascii="Cambria" w:hAnsi="Cambria" w:cs="Times New Roman"/>
          <w:sz w:val="24"/>
          <w:szCs w:val="24"/>
        </w:rPr>
        <w:footnoteReference w:id="22"/>
      </w:r>
      <w:r w:rsidR="0008292B" w:rsidRPr="00E94148">
        <w:rPr>
          <w:rFonts w:ascii="Cambria" w:hAnsi="Cambria" w:cs="Times New Roman"/>
          <w:sz w:val="24"/>
          <w:szCs w:val="24"/>
        </w:rPr>
        <w:t xml:space="preserve">. </w:t>
      </w:r>
      <w:r w:rsidR="00597897" w:rsidRPr="00E94148">
        <w:rPr>
          <w:rFonts w:ascii="Cambria" w:hAnsi="Cambria" w:cs="Times New Roman"/>
          <w:sz w:val="24"/>
          <w:szCs w:val="24"/>
        </w:rPr>
        <w:t xml:space="preserve">Hence, there was a certain uniformity in both jurisdictions. However, as it seems that the European Union built its own approach of Human rights through their own textual instrument, the interpretation of the </w:t>
      </w:r>
      <w:r w:rsidR="004027FA" w:rsidRPr="00E94148">
        <w:rPr>
          <w:rFonts w:ascii="Cambria" w:hAnsi="Cambria" w:cs="Times New Roman"/>
          <w:sz w:val="24"/>
          <w:szCs w:val="24"/>
        </w:rPr>
        <w:t xml:space="preserve">principle of independence had also evolved. From a general principle of E.U law, it became Primary Law with the </w:t>
      </w:r>
      <w:r w:rsidR="004512C9" w:rsidRPr="00E94148">
        <w:rPr>
          <w:rFonts w:ascii="Cambria" w:hAnsi="Cambria" w:cs="Times New Roman"/>
          <w:sz w:val="24"/>
          <w:szCs w:val="24"/>
        </w:rPr>
        <w:t>enactment</w:t>
      </w:r>
      <w:r w:rsidR="004027FA" w:rsidRPr="00E94148">
        <w:rPr>
          <w:rFonts w:ascii="Cambria" w:hAnsi="Cambria" w:cs="Times New Roman"/>
          <w:sz w:val="24"/>
          <w:szCs w:val="24"/>
        </w:rPr>
        <w:t xml:space="preserve"> of the Lisbon Treaty</w:t>
      </w:r>
      <w:r w:rsidR="00D96D1B" w:rsidRPr="00E94148">
        <w:rPr>
          <w:rFonts w:ascii="Cambria" w:hAnsi="Cambria" w:cs="Times New Roman"/>
          <w:sz w:val="24"/>
          <w:szCs w:val="24"/>
        </w:rPr>
        <w:t xml:space="preserve"> and became a milestone in the values of the E.U</w:t>
      </w:r>
      <w:r w:rsidR="004027FA" w:rsidRPr="00E94148">
        <w:rPr>
          <w:rFonts w:ascii="Cambria" w:hAnsi="Cambria" w:cs="Times New Roman"/>
          <w:sz w:val="24"/>
          <w:szCs w:val="24"/>
        </w:rPr>
        <w:t>.</w:t>
      </w:r>
      <w:r w:rsidR="00C526BD" w:rsidRPr="00E94148">
        <w:rPr>
          <w:rFonts w:ascii="Cambria" w:hAnsi="Cambria" w:cs="Times New Roman"/>
          <w:sz w:val="24"/>
          <w:szCs w:val="24"/>
        </w:rPr>
        <w:t xml:space="preserve"> Since such </w:t>
      </w:r>
      <w:r w:rsidR="002D433D" w:rsidRPr="00E94148">
        <w:rPr>
          <w:rFonts w:ascii="Cambria" w:hAnsi="Cambria" w:cs="Times New Roman"/>
          <w:sz w:val="24"/>
          <w:szCs w:val="24"/>
        </w:rPr>
        <w:t>enactment</w:t>
      </w:r>
      <w:r w:rsidR="00C526BD" w:rsidRPr="00E94148">
        <w:rPr>
          <w:rFonts w:ascii="Cambria" w:hAnsi="Cambria" w:cs="Times New Roman"/>
          <w:sz w:val="24"/>
          <w:szCs w:val="24"/>
        </w:rPr>
        <w:t xml:space="preserve">, the CJEU has held its own approach of the principle of independence and </w:t>
      </w:r>
      <w:r w:rsidR="001E306B" w:rsidRPr="00E94148">
        <w:rPr>
          <w:rFonts w:ascii="Cambria" w:hAnsi="Cambria" w:cs="Times New Roman"/>
          <w:sz w:val="24"/>
          <w:szCs w:val="24"/>
        </w:rPr>
        <w:t>by extension, the notion</w:t>
      </w:r>
      <w:r w:rsidR="00C526BD" w:rsidRPr="00E94148">
        <w:rPr>
          <w:rFonts w:ascii="Cambria" w:hAnsi="Cambria" w:cs="Times New Roman"/>
          <w:sz w:val="24"/>
          <w:szCs w:val="24"/>
        </w:rPr>
        <w:t xml:space="preserve"> of undue influence.</w:t>
      </w:r>
      <w:r w:rsidR="00300DC3" w:rsidRPr="00E94148">
        <w:rPr>
          <w:rFonts w:ascii="Cambria" w:hAnsi="Cambria" w:cs="Times New Roman"/>
          <w:sz w:val="24"/>
          <w:szCs w:val="24"/>
        </w:rPr>
        <w:t xml:space="preserve"> The CJEU has thus held that </w:t>
      </w:r>
      <w:r w:rsidR="00846E1D" w:rsidRPr="00E94148">
        <w:rPr>
          <w:rFonts w:ascii="Cambria" w:hAnsi="Cambria" w:cs="Times New Roman"/>
          <w:sz w:val="24"/>
          <w:szCs w:val="24"/>
        </w:rPr>
        <w:t>the principle of independence should be erected against those influences</w:t>
      </w:r>
      <w:r w:rsidR="00F95D31" w:rsidRPr="00E94148">
        <w:rPr>
          <w:rFonts w:ascii="Cambria" w:hAnsi="Cambria" w:cs="Times New Roman"/>
          <w:sz w:val="24"/>
          <w:szCs w:val="24"/>
        </w:rPr>
        <w:t xml:space="preserve"> no matter where they come from</w:t>
      </w:r>
      <w:r w:rsidR="00846E1D" w:rsidRPr="00E94148">
        <w:rPr>
          <w:rFonts w:ascii="Cambria" w:hAnsi="Cambria" w:cs="Times New Roman"/>
          <w:sz w:val="24"/>
          <w:szCs w:val="24"/>
        </w:rPr>
        <w:t xml:space="preserve">, either direct or indirect, that can alter a judge decision and </w:t>
      </w:r>
      <w:r w:rsidR="00FC60C4" w:rsidRPr="00E94148">
        <w:rPr>
          <w:rFonts w:ascii="Cambria" w:hAnsi="Cambria" w:cs="Times New Roman"/>
          <w:sz w:val="24"/>
          <w:szCs w:val="24"/>
        </w:rPr>
        <w:t>threaten the autonomy of the judicial decision</w:t>
      </w:r>
      <w:r w:rsidR="002D3E51" w:rsidRPr="00E94148">
        <w:rPr>
          <w:rStyle w:val="FootnoteReference"/>
          <w:rFonts w:ascii="Cambria" w:hAnsi="Cambria" w:cs="Times New Roman"/>
          <w:sz w:val="24"/>
          <w:szCs w:val="24"/>
        </w:rPr>
        <w:footnoteReference w:id="23"/>
      </w:r>
      <w:r w:rsidR="00FC60C4" w:rsidRPr="00E94148">
        <w:rPr>
          <w:rFonts w:ascii="Cambria" w:hAnsi="Cambria" w:cs="Times New Roman"/>
          <w:sz w:val="24"/>
          <w:szCs w:val="24"/>
        </w:rPr>
        <w:t>.</w:t>
      </w:r>
      <w:r w:rsidR="005D0837" w:rsidRPr="00E94148">
        <w:rPr>
          <w:rFonts w:ascii="Cambria" w:hAnsi="Cambria" w:cs="Times New Roman"/>
          <w:sz w:val="24"/>
          <w:szCs w:val="24"/>
        </w:rPr>
        <w:t xml:space="preserve"> </w:t>
      </w:r>
      <w:r w:rsidR="00776336" w:rsidRPr="00E94148">
        <w:rPr>
          <w:rFonts w:ascii="Cambria" w:hAnsi="Cambria" w:cs="Times New Roman"/>
          <w:sz w:val="24"/>
          <w:szCs w:val="24"/>
        </w:rPr>
        <w:t xml:space="preserve">In its latest case law, the CJEU has maintained a robust </w:t>
      </w:r>
      <w:r w:rsidR="000F4CEA" w:rsidRPr="00E94148">
        <w:rPr>
          <w:rFonts w:ascii="Cambria" w:hAnsi="Cambria" w:cs="Times New Roman"/>
          <w:sz w:val="24"/>
          <w:szCs w:val="24"/>
        </w:rPr>
        <w:t xml:space="preserve">and continuous </w:t>
      </w:r>
      <w:r w:rsidR="00776336" w:rsidRPr="00E94148">
        <w:rPr>
          <w:rFonts w:ascii="Cambria" w:hAnsi="Cambria" w:cs="Times New Roman"/>
          <w:sz w:val="24"/>
          <w:szCs w:val="24"/>
        </w:rPr>
        <w:t>approach of the principle of independence</w:t>
      </w:r>
      <w:r w:rsidR="002D3E51" w:rsidRPr="00E94148">
        <w:rPr>
          <w:rStyle w:val="FootnoteReference"/>
          <w:rFonts w:ascii="Cambria" w:hAnsi="Cambria" w:cs="Times New Roman"/>
          <w:sz w:val="24"/>
          <w:szCs w:val="24"/>
        </w:rPr>
        <w:footnoteReference w:id="24"/>
      </w:r>
      <w:r w:rsidR="00160E8B" w:rsidRPr="00E94148">
        <w:rPr>
          <w:rFonts w:ascii="Cambria" w:hAnsi="Cambria" w:cs="Times New Roman"/>
          <w:sz w:val="24"/>
          <w:szCs w:val="24"/>
        </w:rPr>
        <w:t xml:space="preserve">. </w:t>
      </w:r>
      <w:r w:rsidR="00F95D31" w:rsidRPr="00E94148">
        <w:rPr>
          <w:rFonts w:ascii="Cambria" w:hAnsi="Cambria" w:cs="Times New Roman"/>
          <w:sz w:val="24"/>
          <w:szCs w:val="24"/>
        </w:rPr>
        <w:t xml:space="preserve">In this perspective any </w:t>
      </w:r>
      <w:r w:rsidR="00CF1376" w:rsidRPr="00E94148">
        <w:rPr>
          <w:rFonts w:ascii="Cambria" w:hAnsi="Cambria" w:cs="Times New Roman"/>
          <w:sz w:val="24"/>
          <w:szCs w:val="24"/>
        </w:rPr>
        <w:t xml:space="preserve">external or internal </w:t>
      </w:r>
      <w:r w:rsidR="00F95D31" w:rsidRPr="00E94148">
        <w:rPr>
          <w:rFonts w:ascii="Cambria" w:hAnsi="Cambria" w:cs="Times New Roman"/>
          <w:sz w:val="24"/>
          <w:szCs w:val="24"/>
        </w:rPr>
        <w:t>influence</w:t>
      </w:r>
      <w:r w:rsidR="002D3E51" w:rsidRPr="00E94148">
        <w:rPr>
          <w:rFonts w:ascii="Cambria" w:hAnsi="Cambria" w:cs="Times New Roman"/>
          <w:sz w:val="24"/>
          <w:szCs w:val="24"/>
        </w:rPr>
        <w:t xml:space="preserve"> whether direct or indirect</w:t>
      </w:r>
      <w:r w:rsidR="00F95D31" w:rsidRPr="00E94148">
        <w:rPr>
          <w:rFonts w:ascii="Cambria" w:hAnsi="Cambria" w:cs="Times New Roman"/>
          <w:sz w:val="24"/>
          <w:szCs w:val="24"/>
        </w:rPr>
        <w:t xml:space="preserve"> that could alter a judge decision should be regarded as illeg</w:t>
      </w:r>
      <w:r w:rsidR="00CF1376" w:rsidRPr="00E94148">
        <w:rPr>
          <w:rFonts w:ascii="Cambria" w:hAnsi="Cambria" w:cs="Times New Roman"/>
          <w:sz w:val="24"/>
          <w:szCs w:val="24"/>
        </w:rPr>
        <w:t>itimate</w:t>
      </w:r>
      <w:r w:rsidR="002D3E51" w:rsidRPr="00E94148">
        <w:rPr>
          <w:rStyle w:val="FootnoteReference"/>
          <w:rFonts w:ascii="Cambria" w:hAnsi="Cambria" w:cs="Times New Roman"/>
          <w:sz w:val="24"/>
          <w:szCs w:val="24"/>
        </w:rPr>
        <w:footnoteReference w:id="25"/>
      </w:r>
      <w:r w:rsidR="00CF1376" w:rsidRPr="00E94148">
        <w:rPr>
          <w:rFonts w:ascii="Cambria" w:hAnsi="Cambria" w:cs="Times New Roman"/>
          <w:sz w:val="24"/>
          <w:szCs w:val="24"/>
        </w:rPr>
        <w:t xml:space="preserve">. In this perspective, one could see that this constitutes a </w:t>
      </w:r>
      <w:r w:rsidR="00FF03C6" w:rsidRPr="00E94148">
        <w:rPr>
          <w:rFonts w:ascii="Cambria" w:hAnsi="Cambria" w:cs="Times New Roman"/>
          <w:sz w:val="24"/>
          <w:szCs w:val="24"/>
        </w:rPr>
        <w:t xml:space="preserve">clearer approach than the ECtHR but also more extensive in its mechanisms. This approach </w:t>
      </w:r>
      <w:r w:rsidR="00CC0B21" w:rsidRPr="00E94148">
        <w:rPr>
          <w:rFonts w:ascii="Cambria" w:hAnsi="Cambria" w:cs="Times New Roman"/>
          <w:sz w:val="24"/>
          <w:szCs w:val="24"/>
        </w:rPr>
        <w:t>tends</w:t>
      </w:r>
      <w:r w:rsidR="00FF03C6" w:rsidRPr="00E94148">
        <w:rPr>
          <w:rFonts w:ascii="Cambria" w:hAnsi="Cambria" w:cs="Times New Roman"/>
          <w:sz w:val="24"/>
          <w:szCs w:val="24"/>
        </w:rPr>
        <w:t xml:space="preserve"> to maximize </w:t>
      </w:r>
      <w:r w:rsidR="00CC0B21" w:rsidRPr="00E94148">
        <w:rPr>
          <w:rFonts w:ascii="Cambria" w:hAnsi="Cambria" w:cs="Times New Roman"/>
          <w:sz w:val="24"/>
          <w:szCs w:val="24"/>
        </w:rPr>
        <w:t>the reach and extent of the application of the</w:t>
      </w:r>
      <w:r w:rsidR="00CF18BF" w:rsidRPr="00E94148">
        <w:rPr>
          <w:rFonts w:ascii="Cambria" w:hAnsi="Cambria" w:cs="Times New Roman"/>
          <w:sz w:val="24"/>
          <w:szCs w:val="24"/>
        </w:rPr>
        <w:t xml:space="preserve"> protection against any</w:t>
      </w:r>
      <w:r w:rsidR="00CC0B21" w:rsidRPr="00E94148">
        <w:rPr>
          <w:rFonts w:ascii="Cambria" w:hAnsi="Cambria" w:cs="Times New Roman"/>
          <w:sz w:val="24"/>
          <w:szCs w:val="24"/>
        </w:rPr>
        <w:t xml:space="preserve"> undue influence</w:t>
      </w:r>
      <w:r w:rsidR="0010172C" w:rsidRPr="00E94148">
        <w:rPr>
          <w:rFonts w:ascii="Cambria" w:hAnsi="Cambria" w:cs="Times New Roman"/>
          <w:sz w:val="24"/>
          <w:szCs w:val="24"/>
        </w:rPr>
        <w:t>, one can see that the CJEU decided to focus on a consequence approach of the influence, since it does not matter where it comes from, but such an influence must not alter a judge decision</w:t>
      </w:r>
      <w:r w:rsidR="00522FC6" w:rsidRPr="00E94148">
        <w:rPr>
          <w:rFonts w:ascii="Cambria" w:hAnsi="Cambria" w:cs="Times New Roman"/>
          <w:sz w:val="24"/>
          <w:szCs w:val="24"/>
        </w:rPr>
        <w:t xml:space="preserve"> and threaten its decisional autonomy</w:t>
      </w:r>
      <w:r w:rsidR="0010172C" w:rsidRPr="00E94148">
        <w:rPr>
          <w:rFonts w:ascii="Cambria" w:hAnsi="Cambria" w:cs="Times New Roman"/>
          <w:sz w:val="24"/>
          <w:szCs w:val="24"/>
        </w:rPr>
        <w:t>.</w:t>
      </w:r>
      <w:r w:rsidR="00FC7E40" w:rsidRPr="00E94148">
        <w:rPr>
          <w:rFonts w:ascii="Cambria" w:hAnsi="Cambria" w:cs="Times New Roman"/>
          <w:sz w:val="24"/>
          <w:szCs w:val="24"/>
        </w:rPr>
        <w:t xml:space="preserve"> </w:t>
      </w:r>
    </w:p>
    <w:p w14:paraId="42CD8A6B" w14:textId="77777777" w:rsidR="00FC7E40" w:rsidRPr="00E94148" w:rsidRDefault="00FC7E40" w:rsidP="008553F4">
      <w:pPr>
        <w:spacing w:line="276" w:lineRule="auto"/>
        <w:jc w:val="both"/>
        <w:rPr>
          <w:rFonts w:ascii="Cambria" w:hAnsi="Cambria" w:cs="Times New Roman"/>
          <w:sz w:val="24"/>
          <w:szCs w:val="24"/>
        </w:rPr>
      </w:pPr>
      <w:r w:rsidRPr="00E94148">
        <w:rPr>
          <w:rFonts w:ascii="Cambria" w:hAnsi="Cambria" w:cs="Times New Roman"/>
          <w:sz w:val="24"/>
          <w:szCs w:val="24"/>
        </w:rPr>
        <w:tab/>
        <w:t xml:space="preserve">One can see that the </w:t>
      </w:r>
      <w:r w:rsidR="003A73F8" w:rsidRPr="00E94148">
        <w:rPr>
          <w:rFonts w:ascii="Cambria" w:hAnsi="Cambria" w:cs="Times New Roman"/>
          <w:sz w:val="24"/>
          <w:szCs w:val="24"/>
        </w:rPr>
        <w:t xml:space="preserve">overall </w:t>
      </w:r>
      <w:r w:rsidRPr="00E94148">
        <w:rPr>
          <w:rFonts w:ascii="Cambria" w:hAnsi="Cambria" w:cs="Times New Roman"/>
          <w:sz w:val="24"/>
          <w:szCs w:val="24"/>
        </w:rPr>
        <w:t xml:space="preserve">European approach of what is an </w:t>
      </w:r>
      <w:r w:rsidR="00741972" w:rsidRPr="00E94148">
        <w:rPr>
          <w:rFonts w:ascii="Cambria" w:hAnsi="Cambria" w:cs="Times New Roman"/>
          <w:sz w:val="24"/>
          <w:szCs w:val="24"/>
        </w:rPr>
        <w:t>illegitimate</w:t>
      </w:r>
      <w:r w:rsidRPr="00E94148">
        <w:rPr>
          <w:rFonts w:ascii="Cambria" w:hAnsi="Cambria" w:cs="Times New Roman"/>
          <w:sz w:val="24"/>
          <w:szCs w:val="24"/>
        </w:rPr>
        <w:t xml:space="preserve"> influence is not clear, whereas the E.U system seems to have established a </w:t>
      </w:r>
      <w:r w:rsidR="00BB673B" w:rsidRPr="00E94148">
        <w:rPr>
          <w:rFonts w:ascii="Cambria" w:hAnsi="Cambria" w:cs="Times New Roman"/>
          <w:sz w:val="24"/>
          <w:szCs w:val="24"/>
        </w:rPr>
        <w:t>robust</w:t>
      </w:r>
      <w:r w:rsidRPr="00E94148">
        <w:rPr>
          <w:rFonts w:ascii="Cambria" w:hAnsi="Cambria" w:cs="Times New Roman"/>
          <w:sz w:val="24"/>
          <w:szCs w:val="24"/>
        </w:rPr>
        <w:t xml:space="preserve"> and </w:t>
      </w:r>
      <w:r w:rsidR="00BB673B" w:rsidRPr="00E94148">
        <w:rPr>
          <w:rFonts w:ascii="Cambria" w:hAnsi="Cambria" w:cs="Times New Roman"/>
          <w:sz w:val="24"/>
          <w:szCs w:val="24"/>
        </w:rPr>
        <w:t>continuous</w:t>
      </w:r>
      <w:r w:rsidRPr="00E94148">
        <w:rPr>
          <w:rFonts w:ascii="Cambria" w:hAnsi="Cambria" w:cs="Times New Roman"/>
          <w:sz w:val="24"/>
          <w:szCs w:val="24"/>
        </w:rPr>
        <w:t xml:space="preserve"> approach, the </w:t>
      </w:r>
      <w:r w:rsidR="00094143" w:rsidRPr="00E94148">
        <w:rPr>
          <w:rFonts w:ascii="Cambria" w:hAnsi="Cambria" w:cs="Times New Roman"/>
          <w:sz w:val="24"/>
          <w:szCs w:val="24"/>
        </w:rPr>
        <w:t>Council of Europe</w:t>
      </w:r>
      <w:r w:rsidRPr="00E94148">
        <w:rPr>
          <w:rFonts w:ascii="Cambria" w:hAnsi="Cambria" w:cs="Times New Roman"/>
          <w:sz w:val="24"/>
          <w:szCs w:val="24"/>
        </w:rPr>
        <w:t xml:space="preserve"> approach is still fragmented on such a </w:t>
      </w:r>
      <w:r w:rsidR="00792C52" w:rsidRPr="00E94148">
        <w:rPr>
          <w:rFonts w:ascii="Cambria" w:hAnsi="Cambria" w:cs="Times New Roman"/>
          <w:sz w:val="24"/>
          <w:szCs w:val="24"/>
        </w:rPr>
        <w:t>complex notion</w:t>
      </w:r>
      <w:r w:rsidR="00094143" w:rsidRPr="00E94148">
        <w:rPr>
          <w:rFonts w:ascii="Cambria" w:hAnsi="Cambria" w:cs="Times New Roman"/>
          <w:sz w:val="24"/>
          <w:szCs w:val="24"/>
        </w:rPr>
        <w:t xml:space="preserve"> between extensive and restrictive approach, between the ECtHR and the non-binding instrument</w:t>
      </w:r>
      <w:r w:rsidR="00792C52" w:rsidRPr="00E94148">
        <w:rPr>
          <w:rFonts w:ascii="Cambria" w:hAnsi="Cambria" w:cs="Times New Roman"/>
          <w:sz w:val="24"/>
          <w:szCs w:val="24"/>
        </w:rPr>
        <w:t>. However, more than approaching the question of the influence; it is necessary to assess what constitutes an undue influence under European Law.</w:t>
      </w:r>
      <w:r w:rsidRPr="00E94148">
        <w:rPr>
          <w:rFonts w:ascii="Cambria" w:hAnsi="Cambria" w:cs="Times New Roman"/>
          <w:sz w:val="24"/>
          <w:szCs w:val="24"/>
        </w:rPr>
        <w:t xml:space="preserve"> </w:t>
      </w:r>
    </w:p>
    <w:p w14:paraId="6243F712" w14:textId="77777777" w:rsidR="0088365D" w:rsidRPr="00E94148" w:rsidRDefault="0088365D" w:rsidP="008553F4">
      <w:pPr>
        <w:pStyle w:val="ListParagraph"/>
        <w:spacing w:line="276" w:lineRule="auto"/>
        <w:ind w:left="1440"/>
        <w:jc w:val="both"/>
        <w:rPr>
          <w:rFonts w:ascii="Cambria" w:hAnsi="Cambria" w:cs="Times New Roman"/>
          <w:sz w:val="24"/>
          <w:szCs w:val="24"/>
        </w:rPr>
      </w:pPr>
    </w:p>
    <w:p w14:paraId="646A6353" w14:textId="77777777" w:rsidR="00CF42EA" w:rsidRPr="00E94148" w:rsidRDefault="00CF42EA" w:rsidP="008553F4">
      <w:pPr>
        <w:pStyle w:val="ListParagraph"/>
        <w:numPr>
          <w:ilvl w:val="0"/>
          <w:numId w:val="4"/>
        </w:numPr>
        <w:spacing w:line="276" w:lineRule="auto"/>
        <w:jc w:val="both"/>
        <w:rPr>
          <w:rFonts w:ascii="Cambria" w:hAnsi="Cambria" w:cs="Times New Roman"/>
          <w:b/>
          <w:bCs/>
          <w:sz w:val="24"/>
          <w:szCs w:val="24"/>
        </w:rPr>
      </w:pPr>
      <w:r w:rsidRPr="00E94148">
        <w:rPr>
          <w:rFonts w:ascii="Cambria" w:hAnsi="Cambria" w:cs="Times New Roman"/>
          <w:b/>
          <w:bCs/>
          <w:sz w:val="24"/>
          <w:szCs w:val="24"/>
        </w:rPr>
        <w:t xml:space="preserve">Undue Influence: What </w:t>
      </w:r>
      <w:r w:rsidR="00B86050" w:rsidRPr="00E94148">
        <w:rPr>
          <w:rFonts w:ascii="Cambria" w:hAnsi="Cambria" w:cs="Times New Roman"/>
          <w:b/>
          <w:bCs/>
          <w:sz w:val="24"/>
          <w:szCs w:val="24"/>
        </w:rPr>
        <w:t>qualifies an influence as undue</w:t>
      </w:r>
      <w:r w:rsidRPr="00E94148">
        <w:rPr>
          <w:rFonts w:ascii="Cambria" w:hAnsi="Cambria" w:cs="Times New Roman"/>
          <w:b/>
          <w:bCs/>
          <w:sz w:val="24"/>
          <w:szCs w:val="24"/>
        </w:rPr>
        <w:t>?</w:t>
      </w:r>
    </w:p>
    <w:p w14:paraId="607155AB" w14:textId="77777777" w:rsidR="00FE1E6E" w:rsidRPr="00E94148" w:rsidRDefault="00FE1E6E"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If the question of the influence focus on the point of origin of the influence, meaning an illegitimate actor </w:t>
      </w:r>
      <w:r w:rsidR="00FA2E31" w:rsidRPr="00E94148">
        <w:rPr>
          <w:rFonts w:ascii="Cambria" w:hAnsi="Cambria" w:cs="Times New Roman"/>
          <w:sz w:val="24"/>
          <w:szCs w:val="24"/>
        </w:rPr>
        <w:t xml:space="preserve">of the judiciary decision-making, one also </w:t>
      </w:r>
      <w:proofErr w:type="gramStart"/>
      <w:r w:rsidR="00FA2E31" w:rsidRPr="00E94148">
        <w:rPr>
          <w:rFonts w:ascii="Cambria" w:hAnsi="Cambria" w:cs="Times New Roman"/>
          <w:sz w:val="24"/>
          <w:szCs w:val="24"/>
        </w:rPr>
        <w:t>has to</w:t>
      </w:r>
      <w:proofErr w:type="gramEnd"/>
      <w:r w:rsidR="00FA2E31" w:rsidRPr="00E94148">
        <w:rPr>
          <w:rFonts w:ascii="Cambria" w:hAnsi="Cambria" w:cs="Times New Roman"/>
          <w:sz w:val="24"/>
          <w:szCs w:val="24"/>
        </w:rPr>
        <w:t xml:space="preserve"> focus on the “undue” character of an influence in order to grasp the full understanding of the notion.</w:t>
      </w:r>
      <w:r w:rsidR="00B82EDD" w:rsidRPr="00E94148">
        <w:rPr>
          <w:rFonts w:ascii="Cambria" w:hAnsi="Cambria" w:cs="Times New Roman"/>
          <w:sz w:val="24"/>
          <w:szCs w:val="24"/>
        </w:rPr>
        <w:t xml:space="preserve"> For non-judiciary actors can </w:t>
      </w:r>
      <w:proofErr w:type="gramStart"/>
      <w:r w:rsidR="00241549" w:rsidRPr="00E94148">
        <w:rPr>
          <w:rFonts w:ascii="Cambria" w:hAnsi="Cambria" w:cs="Times New Roman"/>
          <w:sz w:val="24"/>
          <w:szCs w:val="24"/>
        </w:rPr>
        <w:t xml:space="preserve">actually </w:t>
      </w:r>
      <w:r w:rsidR="00B82EDD" w:rsidRPr="00E94148">
        <w:rPr>
          <w:rFonts w:ascii="Cambria" w:hAnsi="Cambria" w:cs="Times New Roman"/>
          <w:sz w:val="24"/>
          <w:szCs w:val="24"/>
        </w:rPr>
        <w:t>participate</w:t>
      </w:r>
      <w:proofErr w:type="gramEnd"/>
      <w:r w:rsidR="00B82EDD" w:rsidRPr="00E94148">
        <w:rPr>
          <w:rFonts w:ascii="Cambria" w:hAnsi="Cambria" w:cs="Times New Roman"/>
          <w:sz w:val="24"/>
          <w:szCs w:val="24"/>
        </w:rPr>
        <w:t xml:space="preserve"> at some extent in the decision making (Medical experts, </w:t>
      </w:r>
      <w:r w:rsidR="006A155A" w:rsidRPr="00E94148">
        <w:rPr>
          <w:rFonts w:ascii="Cambria" w:hAnsi="Cambria" w:cs="Times New Roman"/>
          <w:sz w:val="24"/>
          <w:szCs w:val="24"/>
        </w:rPr>
        <w:t>p</w:t>
      </w:r>
      <w:r w:rsidR="00B82EDD" w:rsidRPr="00E94148">
        <w:rPr>
          <w:rFonts w:ascii="Cambria" w:hAnsi="Cambria" w:cs="Times New Roman"/>
          <w:sz w:val="24"/>
          <w:szCs w:val="24"/>
        </w:rPr>
        <w:t>sychological experts…)</w:t>
      </w:r>
      <w:r w:rsidR="00241549" w:rsidRPr="00E94148">
        <w:rPr>
          <w:rFonts w:ascii="Cambria" w:hAnsi="Cambria" w:cs="Times New Roman"/>
          <w:sz w:val="24"/>
          <w:szCs w:val="24"/>
        </w:rPr>
        <w:t xml:space="preserve"> and influence the judge on the decision that should be </w:t>
      </w:r>
      <w:r w:rsidR="00241549" w:rsidRPr="00E94148">
        <w:rPr>
          <w:rFonts w:ascii="Cambria" w:hAnsi="Cambria" w:cs="Times New Roman"/>
          <w:sz w:val="24"/>
          <w:szCs w:val="24"/>
        </w:rPr>
        <w:lastRenderedPageBreak/>
        <w:t>taken</w:t>
      </w:r>
      <w:r w:rsidR="003A73F8" w:rsidRPr="00E94148">
        <w:rPr>
          <w:rStyle w:val="FootnoteReference"/>
          <w:rFonts w:ascii="Cambria" w:hAnsi="Cambria" w:cs="Times New Roman"/>
          <w:sz w:val="24"/>
          <w:szCs w:val="24"/>
        </w:rPr>
        <w:footnoteReference w:id="26"/>
      </w:r>
      <w:r w:rsidR="00241549" w:rsidRPr="00E94148">
        <w:rPr>
          <w:rFonts w:ascii="Cambria" w:hAnsi="Cambria" w:cs="Times New Roman"/>
          <w:sz w:val="24"/>
          <w:szCs w:val="24"/>
        </w:rPr>
        <w:t>.</w:t>
      </w:r>
      <w:r w:rsidR="006C0F4C" w:rsidRPr="00E94148">
        <w:rPr>
          <w:rFonts w:ascii="Cambria" w:hAnsi="Cambria" w:cs="Times New Roman"/>
          <w:sz w:val="24"/>
          <w:szCs w:val="24"/>
        </w:rPr>
        <w:t xml:space="preserve"> But what if </w:t>
      </w:r>
      <w:r w:rsidR="005E0A28" w:rsidRPr="00E94148">
        <w:rPr>
          <w:rFonts w:ascii="Cambria" w:hAnsi="Cambria" w:cs="Times New Roman"/>
          <w:sz w:val="24"/>
          <w:szCs w:val="24"/>
        </w:rPr>
        <w:t>the decision reached by these non</w:t>
      </w:r>
      <w:r w:rsidR="000F73D5" w:rsidRPr="00E94148">
        <w:rPr>
          <w:rFonts w:ascii="Cambria" w:hAnsi="Cambria" w:cs="Times New Roman"/>
          <w:sz w:val="24"/>
          <w:szCs w:val="24"/>
        </w:rPr>
        <w:t>-</w:t>
      </w:r>
      <w:r w:rsidR="005E0A28" w:rsidRPr="00E94148">
        <w:rPr>
          <w:rFonts w:ascii="Cambria" w:hAnsi="Cambria" w:cs="Times New Roman"/>
          <w:sz w:val="24"/>
          <w:szCs w:val="24"/>
        </w:rPr>
        <w:t xml:space="preserve">judicial actors was inappropriate? Or completely irrelevant to the case at hand? Could it be </w:t>
      </w:r>
      <w:r w:rsidR="005B3D6B" w:rsidRPr="00E94148">
        <w:rPr>
          <w:rFonts w:ascii="Cambria" w:hAnsi="Cambria" w:cs="Times New Roman"/>
          <w:sz w:val="24"/>
          <w:szCs w:val="24"/>
        </w:rPr>
        <w:t>qualified as a legitimate influence on one hand, but of an undue character?</w:t>
      </w:r>
      <w:r w:rsidR="000F73D5" w:rsidRPr="00E94148">
        <w:rPr>
          <w:rFonts w:ascii="Cambria" w:hAnsi="Cambria" w:cs="Times New Roman"/>
          <w:sz w:val="24"/>
          <w:szCs w:val="24"/>
        </w:rPr>
        <w:t xml:space="preserve"> </w:t>
      </w:r>
    </w:p>
    <w:p w14:paraId="76F07E40" w14:textId="77777777" w:rsidR="003E5EAB" w:rsidRPr="00E94148" w:rsidRDefault="007E3F2E"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T</w:t>
      </w:r>
      <w:r w:rsidR="00EC4EFE" w:rsidRPr="00E94148">
        <w:rPr>
          <w:rFonts w:ascii="Cambria" w:hAnsi="Cambria" w:cs="Times New Roman"/>
          <w:sz w:val="24"/>
          <w:szCs w:val="24"/>
        </w:rPr>
        <w:t>hrough the case-law of both jurisdictions and the non-binding instruments, one could grasp the meaning of what undue</w:t>
      </w:r>
      <w:r w:rsidR="005652B1" w:rsidRPr="00E94148">
        <w:rPr>
          <w:rFonts w:ascii="Cambria" w:hAnsi="Cambria" w:cs="Times New Roman"/>
          <w:sz w:val="24"/>
          <w:szCs w:val="24"/>
        </w:rPr>
        <w:t xml:space="preserve"> is.</w:t>
      </w:r>
      <w:r w:rsidR="00E13024" w:rsidRPr="00E94148">
        <w:rPr>
          <w:rFonts w:ascii="Cambria" w:hAnsi="Cambria" w:cs="Times New Roman"/>
          <w:sz w:val="24"/>
          <w:szCs w:val="24"/>
        </w:rPr>
        <w:t xml:space="preserve"> The European Union through the case law of the CJEU seem</w:t>
      </w:r>
      <w:r w:rsidR="00590F16">
        <w:rPr>
          <w:rFonts w:ascii="Cambria" w:hAnsi="Cambria" w:cs="Times New Roman"/>
          <w:sz w:val="24"/>
          <w:szCs w:val="24"/>
        </w:rPr>
        <w:t>s</w:t>
      </w:r>
      <w:r w:rsidR="00E13024" w:rsidRPr="00E94148">
        <w:rPr>
          <w:rFonts w:ascii="Cambria" w:hAnsi="Cambria" w:cs="Times New Roman"/>
          <w:sz w:val="24"/>
          <w:szCs w:val="24"/>
        </w:rPr>
        <w:t xml:space="preserve"> to have approach</w:t>
      </w:r>
      <w:r w:rsidR="00590F16">
        <w:rPr>
          <w:rFonts w:ascii="Cambria" w:hAnsi="Cambria" w:cs="Times New Roman"/>
          <w:sz w:val="24"/>
          <w:szCs w:val="24"/>
        </w:rPr>
        <w:t>ed</w:t>
      </w:r>
      <w:r w:rsidR="00E13024" w:rsidRPr="00E94148">
        <w:rPr>
          <w:rFonts w:ascii="Cambria" w:hAnsi="Cambria" w:cs="Times New Roman"/>
          <w:sz w:val="24"/>
          <w:szCs w:val="24"/>
        </w:rPr>
        <w:t xml:space="preserve"> the undue influence by a purposive </w:t>
      </w:r>
      <w:r w:rsidR="008B5CAD" w:rsidRPr="00E94148">
        <w:rPr>
          <w:rFonts w:ascii="Cambria" w:hAnsi="Cambria" w:cs="Times New Roman"/>
          <w:sz w:val="24"/>
          <w:szCs w:val="24"/>
        </w:rPr>
        <w:t xml:space="preserve">goal. Meaning that the influence </w:t>
      </w:r>
      <w:proofErr w:type="gramStart"/>
      <w:r w:rsidR="008B5CAD" w:rsidRPr="00E94148">
        <w:rPr>
          <w:rFonts w:ascii="Cambria" w:hAnsi="Cambria" w:cs="Times New Roman"/>
          <w:sz w:val="24"/>
          <w:szCs w:val="24"/>
        </w:rPr>
        <w:t>in order to</w:t>
      </w:r>
      <w:proofErr w:type="gramEnd"/>
      <w:r w:rsidR="008B5CAD" w:rsidRPr="00E94148">
        <w:rPr>
          <w:rFonts w:ascii="Cambria" w:hAnsi="Cambria" w:cs="Times New Roman"/>
          <w:sz w:val="24"/>
          <w:szCs w:val="24"/>
        </w:rPr>
        <w:t xml:space="preserve"> be undue must have had for purpose to “Alter” the Judge decision </w:t>
      </w:r>
      <w:r w:rsidR="00CC50E5" w:rsidRPr="00E94148">
        <w:rPr>
          <w:rFonts w:ascii="Cambria" w:hAnsi="Cambria" w:cs="Times New Roman"/>
          <w:sz w:val="24"/>
          <w:szCs w:val="24"/>
        </w:rPr>
        <w:t>having for effect to rip</w:t>
      </w:r>
      <w:r w:rsidR="008B5CAD" w:rsidRPr="00E94148">
        <w:rPr>
          <w:rFonts w:ascii="Cambria" w:hAnsi="Cambria" w:cs="Times New Roman"/>
          <w:sz w:val="24"/>
          <w:szCs w:val="24"/>
        </w:rPr>
        <w:t xml:space="preserve"> the judge of its “Autonomy” during the </w:t>
      </w:r>
      <w:r w:rsidR="002E6AA7" w:rsidRPr="00E94148">
        <w:rPr>
          <w:rFonts w:ascii="Cambria" w:hAnsi="Cambria" w:cs="Times New Roman"/>
          <w:sz w:val="24"/>
          <w:szCs w:val="24"/>
        </w:rPr>
        <w:t xml:space="preserve">judicial </w:t>
      </w:r>
      <w:r w:rsidR="008B5CAD" w:rsidRPr="00E94148">
        <w:rPr>
          <w:rFonts w:ascii="Cambria" w:hAnsi="Cambria" w:cs="Times New Roman"/>
          <w:sz w:val="24"/>
          <w:szCs w:val="24"/>
        </w:rPr>
        <w:t>decision</w:t>
      </w:r>
      <w:r w:rsidR="007569BB" w:rsidRPr="00E94148">
        <w:rPr>
          <w:rFonts w:ascii="Cambria" w:hAnsi="Cambria" w:cs="Times New Roman"/>
          <w:sz w:val="24"/>
          <w:szCs w:val="24"/>
        </w:rPr>
        <w:t>-making</w:t>
      </w:r>
      <w:r w:rsidR="003A73F8" w:rsidRPr="00E94148">
        <w:rPr>
          <w:rStyle w:val="FootnoteReference"/>
          <w:rFonts w:ascii="Cambria" w:hAnsi="Cambria" w:cs="Times New Roman"/>
          <w:sz w:val="24"/>
          <w:szCs w:val="24"/>
        </w:rPr>
        <w:footnoteReference w:id="27"/>
      </w:r>
      <w:r w:rsidR="007569BB" w:rsidRPr="00E94148">
        <w:rPr>
          <w:rFonts w:ascii="Cambria" w:hAnsi="Cambria" w:cs="Times New Roman"/>
          <w:sz w:val="24"/>
          <w:szCs w:val="24"/>
        </w:rPr>
        <w:t xml:space="preserve">. </w:t>
      </w:r>
      <w:r w:rsidR="002E6AA7" w:rsidRPr="00E94148">
        <w:rPr>
          <w:rFonts w:ascii="Cambria" w:hAnsi="Cambria" w:cs="Times New Roman"/>
          <w:sz w:val="24"/>
          <w:szCs w:val="24"/>
        </w:rPr>
        <w:t>In this approach then, it is the effect of the influence that will render it undue</w:t>
      </w:r>
      <w:r w:rsidR="00A3488B" w:rsidRPr="00E94148">
        <w:rPr>
          <w:rFonts w:ascii="Cambria" w:hAnsi="Cambria" w:cs="Times New Roman"/>
          <w:sz w:val="24"/>
          <w:szCs w:val="24"/>
        </w:rPr>
        <w:t>, because it strikes the judge in the core of its functions, the judicial decision making</w:t>
      </w:r>
      <w:r w:rsidR="009A617C" w:rsidRPr="00E94148">
        <w:rPr>
          <w:rFonts w:ascii="Cambria" w:hAnsi="Cambria" w:cs="Times New Roman"/>
          <w:sz w:val="24"/>
          <w:szCs w:val="24"/>
        </w:rPr>
        <w:t>, by making lose to the judge the power to judge.</w:t>
      </w:r>
      <w:r w:rsidR="007347A1" w:rsidRPr="00E94148">
        <w:rPr>
          <w:rFonts w:ascii="Cambria" w:hAnsi="Cambria" w:cs="Times New Roman"/>
          <w:sz w:val="24"/>
          <w:szCs w:val="24"/>
        </w:rPr>
        <w:t xml:space="preserve"> This approach would aim at preserving the core function of the judge, but one might ask what of the influences that would </w:t>
      </w:r>
      <w:r w:rsidR="00DD0D10" w:rsidRPr="00E94148">
        <w:rPr>
          <w:rFonts w:ascii="Cambria" w:hAnsi="Cambria" w:cs="Times New Roman"/>
          <w:sz w:val="24"/>
          <w:szCs w:val="24"/>
        </w:rPr>
        <w:t>not take away the autonomy of the Judge?</w:t>
      </w:r>
      <w:r w:rsidR="009E1FE3" w:rsidRPr="00E94148">
        <w:rPr>
          <w:rFonts w:ascii="Cambria" w:hAnsi="Cambria" w:cs="Times New Roman"/>
          <w:sz w:val="24"/>
          <w:szCs w:val="24"/>
        </w:rPr>
        <w:t xml:space="preserve"> It seems that the European Union approach thus embrace a comprehensive approach with these influences that could help a judge reaching a decision </w:t>
      </w:r>
      <w:proofErr w:type="gramStart"/>
      <w:r w:rsidR="009E1FE3" w:rsidRPr="00E94148">
        <w:rPr>
          <w:rFonts w:ascii="Cambria" w:hAnsi="Cambria" w:cs="Times New Roman"/>
          <w:sz w:val="24"/>
          <w:szCs w:val="24"/>
        </w:rPr>
        <w:t>as long as</w:t>
      </w:r>
      <w:proofErr w:type="gramEnd"/>
      <w:r w:rsidR="009E1FE3" w:rsidRPr="00E94148">
        <w:rPr>
          <w:rFonts w:ascii="Cambria" w:hAnsi="Cambria" w:cs="Times New Roman"/>
          <w:sz w:val="24"/>
          <w:szCs w:val="24"/>
        </w:rPr>
        <w:t xml:space="preserve"> it does not </w:t>
      </w:r>
      <w:r w:rsidR="00CC50E5" w:rsidRPr="00E94148">
        <w:rPr>
          <w:rFonts w:ascii="Cambria" w:hAnsi="Cambria" w:cs="Times New Roman"/>
          <w:sz w:val="24"/>
          <w:szCs w:val="24"/>
        </w:rPr>
        <w:t>make lose the judge its autonomy</w:t>
      </w:r>
      <w:r w:rsidR="00D24C5B" w:rsidRPr="00E94148">
        <w:rPr>
          <w:rFonts w:ascii="Cambria" w:hAnsi="Cambria" w:cs="Times New Roman"/>
          <w:sz w:val="24"/>
          <w:szCs w:val="24"/>
        </w:rPr>
        <w:t xml:space="preserve"> in the decision-making.</w:t>
      </w:r>
    </w:p>
    <w:p w14:paraId="03284421" w14:textId="77777777" w:rsidR="003E5EAB" w:rsidRPr="00E94148" w:rsidRDefault="005D4388"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The </w:t>
      </w:r>
      <w:proofErr w:type="spellStart"/>
      <w:r w:rsidRPr="00E94148">
        <w:rPr>
          <w:rFonts w:ascii="Cambria" w:hAnsi="Cambria" w:cs="Times New Roman"/>
          <w:sz w:val="24"/>
          <w:szCs w:val="24"/>
        </w:rPr>
        <w:t>CoE</w:t>
      </w:r>
      <w:proofErr w:type="spellEnd"/>
      <w:r w:rsidRPr="00E94148">
        <w:rPr>
          <w:rFonts w:ascii="Cambria" w:hAnsi="Cambria" w:cs="Times New Roman"/>
          <w:sz w:val="24"/>
          <w:szCs w:val="24"/>
        </w:rPr>
        <w:t xml:space="preserve"> approach of what is an undue influence is however more complex, fragmented between</w:t>
      </w:r>
      <w:r w:rsidR="00E63F56" w:rsidRPr="00E94148">
        <w:rPr>
          <w:rFonts w:ascii="Cambria" w:hAnsi="Cambria" w:cs="Times New Roman"/>
          <w:sz w:val="24"/>
          <w:szCs w:val="24"/>
        </w:rPr>
        <w:t xml:space="preserve"> the textual approach and the ECtHR. </w:t>
      </w:r>
      <w:r w:rsidR="001869CF" w:rsidRPr="00E94148">
        <w:rPr>
          <w:rFonts w:ascii="Cambria" w:hAnsi="Cambria" w:cs="Times New Roman"/>
          <w:sz w:val="24"/>
          <w:szCs w:val="24"/>
        </w:rPr>
        <w:t>Under the textual approach, it seems that the main approach aims at protecting any influences deemed as “Inappropriate”</w:t>
      </w:r>
      <w:r w:rsidR="003A73F8" w:rsidRPr="00E94148">
        <w:rPr>
          <w:rStyle w:val="FootnoteReference"/>
          <w:rFonts w:ascii="Cambria" w:hAnsi="Cambria" w:cs="Times New Roman"/>
          <w:sz w:val="24"/>
          <w:szCs w:val="24"/>
        </w:rPr>
        <w:footnoteReference w:id="28"/>
      </w:r>
      <w:r w:rsidR="00D57E22" w:rsidRPr="00E94148">
        <w:rPr>
          <w:rFonts w:ascii="Cambria" w:hAnsi="Cambria" w:cs="Times New Roman"/>
          <w:sz w:val="24"/>
          <w:szCs w:val="24"/>
        </w:rPr>
        <w:t xml:space="preserve">. But the question lies, what would inappropriate entail under the human rights regime? </w:t>
      </w:r>
      <w:r w:rsidR="00E66337" w:rsidRPr="00E94148">
        <w:rPr>
          <w:rFonts w:ascii="Cambria" w:hAnsi="Cambria" w:cs="Times New Roman"/>
          <w:sz w:val="24"/>
          <w:szCs w:val="24"/>
        </w:rPr>
        <w:t>Pursuant to the Oxford dictionary definition of appropriate</w:t>
      </w:r>
      <w:r w:rsidR="00A93B38" w:rsidRPr="00E94148">
        <w:rPr>
          <w:rFonts w:ascii="Cambria" w:hAnsi="Cambria" w:cs="Times New Roman"/>
          <w:sz w:val="24"/>
          <w:szCs w:val="24"/>
        </w:rPr>
        <w:t xml:space="preserve">, the </w:t>
      </w:r>
      <w:r w:rsidR="00A7377E" w:rsidRPr="00E94148">
        <w:rPr>
          <w:rFonts w:ascii="Cambria" w:hAnsi="Cambria" w:cs="Times New Roman"/>
          <w:sz w:val="24"/>
          <w:szCs w:val="24"/>
        </w:rPr>
        <w:t>definition aims at encompassing something that would be “suitable, correct or acceptable”</w:t>
      </w:r>
      <w:r w:rsidR="003A73F8" w:rsidRPr="00E94148">
        <w:rPr>
          <w:rStyle w:val="FootnoteReference"/>
          <w:rFonts w:ascii="Cambria" w:hAnsi="Cambria" w:cs="Times New Roman"/>
          <w:sz w:val="24"/>
          <w:szCs w:val="24"/>
        </w:rPr>
        <w:footnoteReference w:id="29"/>
      </w:r>
      <w:r w:rsidR="00A7377E" w:rsidRPr="00E94148">
        <w:rPr>
          <w:rFonts w:ascii="Cambria" w:hAnsi="Cambria" w:cs="Times New Roman"/>
          <w:sz w:val="24"/>
          <w:szCs w:val="24"/>
        </w:rPr>
        <w:t xml:space="preserve"> depending on the circumstances of the event at hand</w:t>
      </w:r>
      <w:r w:rsidR="00687F17" w:rsidRPr="00E94148">
        <w:rPr>
          <w:rFonts w:ascii="Cambria" w:hAnsi="Cambria" w:cs="Times New Roman"/>
          <w:sz w:val="24"/>
          <w:szCs w:val="24"/>
        </w:rPr>
        <w:t xml:space="preserve">; something inappropriate would thus be the opposite of such a definition. But how to adapt such a definition to the human rights regime. </w:t>
      </w:r>
      <w:r w:rsidR="00644EA2" w:rsidRPr="00E94148">
        <w:rPr>
          <w:rFonts w:ascii="Cambria" w:hAnsi="Cambria" w:cs="Times New Roman"/>
          <w:sz w:val="24"/>
          <w:szCs w:val="24"/>
        </w:rPr>
        <w:t>Such an inappropriate</w:t>
      </w:r>
      <w:r w:rsidR="000812E8" w:rsidRPr="00E94148">
        <w:rPr>
          <w:rFonts w:ascii="Cambria" w:hAnsi="Cambria" w:cs="Times New Roman"/>
          <w:sz w:val="24"/>
          <w:szCs w:val="24"/>
        </w:rPr>
        <w:t xml:space="preserve">ness </w:t>
      </w:r>
      <w:r w:rsidR="00644EA2" w:rsidRPr="00E94148">
        <w:rPr>
          <w:rFonts w:ascii="Cambria" w:hAnsi="Cambria" w:cs="Times New Roman"/>
          <w:sz w:val="24"/>
          <w:szCs w:val="24"/>
        </w:rPr>
        <w:t xml:space="preserve">could thus take the form of </w:t>
      </w:r>
      <w:r w:rsidR="000812E8" w:rsidRPr="00E94148">
        <w:rPr>
          <w:rFonts w:ascii="Cambria" w:hAnsi="Cambria" w:cs="Times New Roman"/>
          <w:sz w:val="24"/>
          <w:szCs w:val="24"/>
        </w:rPr>
        <w:t xml:space="preserve">an influence </w:t>
      </w:r>
      <w:r w:rsidR="00CB6C18" w:rsidRPr="00E94148">
        <w:rPr>
          <w:rFonts w:ascii="Cambria" w:hAnsi="Cambria" w:cs="Times New Roman"/>
          <w:sz w:val="24"/>
          <w:szCs w:val="24"/>
        </w:rPr>
        <w:t>whose</w:t>
      </w:r>
      <w:r w:rsidR="0058636D" w:rsidRPr="00E94148">
        <w:rPr>
          <w:rFonts w:ascii="Cambria" w:hAnsi="Cambria" w:cs="Times New Roman"/>
          <w:sz w:val="24"/>
          <w:szCs w:val="24"/>
        </w:rPr>
        <w:t xml:space="preserve"> content would have a discriminatory </w:t>
      </w:r>
      <w:r w:rsidR="00CB6C18" w:rsidRPr="00E94148">
        <w:rPr>
          <w:rFonts w:ascii="Cambria" w:hAnsi="Cambria" w:cs="Times New Roman"/>
          <w:sz w:val="24"/>
          <w:szCs w:val="24"/>
        </w:rPr>
        <w:t>comp</w:t>
      </w:r>
      <w:r w:rsidR="004E7279" w:rsidRPr="00E94148">
        <w:rPr>
          <w:rFonts w:ascii="Cambria" w:hAnsi="Cambria" w:cs="Times New Roman"/>
          <w:sz w:val="24"/>
          <w:szCs w:val="24"/>
        </w:rPr>
        <w:t>onent for instance</w:t>
      </w:r>
      <w:r w:rsidR="00D1017B" w:rsidRPr="00E94148">
        <w:rPr>
          <w:rFonts w:ascii="Cambria" w:hAnsi="Cambria" w:cs="Times New Roman"/>
          <w:sz w:val="24"/>
          <w:szCs w:val="24"/>
        </w:rPr>
        <w:t xml:space="preserve"> or that would undermine other human rights in a disproportionate way</w:t>
      </w:r>
      <w:r w:rsidR="004E7279" w:rsidRPr="00E94148">
        <w:rPr>
          <w:rFonts w:ascii="Cambria" w:hAnsi="Cambria" w:cs="Times New Roman"/>
          <w:sz w:val="24"/>
          <w:szCs w:val="24"/>
        </w:rPr>
        <w:t>.</w:t>
      </w:r>
      <w:r w:rsidR="006B6B28" w:rsidRPr="00E94148">
        <w:rPr>
          <w:rFonts w:ascii="Cambria" w:hAnsi="Cambria" w:cs="Times New Roman"/>
          <w:sz w:val="24"/>
          <w:szCs w:val="24"/>
        </w:rPr>
        <w:t xml:space="preserve"> This could </w:t>
      </w:r>
      <w:r w:rsidR="00D7107B" w:rsidRPr="00E94148">
        <w:rPr>
          <w:rFonts w:ascii="Cambria" w:hAnsi="Cambria" w:cs="Times New Roman"/>
          <w:sz w:val="24"/>
          <w:szCs w:val="24"/>
        </w:rPr>
        <w:t>lead</w:t>
      </w:r>
      <w:r w:rsidR="006B6B28" w:rsidRPr="00E94148">
        <w:rPr>
          <w:rFonts w:ascii="Cambria" w:hAnsi="Cambria" w:cs="Times New Roman"/>
          <w:sz w:val="24"/>
          <w:szCs w:val="24"/>
        </w:rPr>
        <w:t xml:space="preserve"> to believe that any influence that would undermine the protection of another human rights during the criminal trial could be inappropriate?</w:t>
      </w:r>
      <w:r w:rsidR="00C961F5" w:rsidRPr="00E94148">
        <w:rPr>
          <w:rFonts w:ascii="Cambria" w:hAnsi="Cambria" w:cs="Times New Roman"/>
          <w:sz w:val="24"/>
          <w:szCs w:val="24"/>
        </w:rPr>
        <w:t xml:space="preserve"> This approach is however non-</w:t>
      </w:r>
      <w:r w:rsidR="00680773" w:rsidRPr="00E94148">
        <w:rPr>
          <w:rFonts w:ascii="Cambria" w:hAnsi="Cambria" w:cs="Times New Roman"/>
          <w:sz w:val="24"/>
          <w:szCs w:val="24"/>
        </w:rPr>
        <w:t>satisfactory</w:t>
      </w:r>
      <w:r w:rsidR="00C961F5" w:rsidRPr="00E94148">
        <w:rPr>
          <w:rFonts w:ascii="Cambria" w:hAnsi="Cambria" w:cs="Times New Roman"/>
          <w:sz w:val="24"/>
          <w:szCs w:val="24"/>
        </w:rPr>
        <w:t xml:space="preserve"> as to the psychological expertise for instance, that may constitute a </w:t>
      </w:r>
      <w:r w:rsidR="00B3074A" w:rsidRPr="00E94148">
        <w:rPr>
          <w:rFonts w:ascii="Cambria" w:hAnsi="Cambria" w:cs="Times New Roman"/>
          <w:sz w:val="24"/>
          <w:szCs w:val="24"/>
        </w:rPr>
        <w:t xml:space="preserve">breach of privacy under Article </w:t>
      </w:r>
      <w:r w:rsidR="00C64E0B" w:rsidRPr="00E94148">
        <w:rPr>
          <w:rFonts w:ascii="Cambria" w:hAnsi="Cambria" w:cs="Times New Roman"/>
          <w:sz w:val="24"/>
          <w:szCs w:val="24"/>
        </w:rPr>
        <w:t>8 but</w:t>
      </w:r>
      <w:r w:rsidR="00B3074A" w:rsidRPr="00E94148">
        <w:rPr>
          <w:rFonts w:ascii="Cambria" w:hAnsi="Cambria" w:cs="Times New Roman"/>
          <w:sz w:val="24"/>
          <w:szCs w:val="24"/>
        </w:rPr>
        <w:t xml:space="preserve"> would still be appropriate at some extent due to the limitative regime found in paragraph 2 of the same provision</w:t>
      </w:r>
      <w:r w:rsidR="00680773" w:rsidRPr="00E94148">
        <w:rPr>
          <w:rFonts w:ascii="Cambria" w:hAnsi="Cambria" w:cs="Times New Roman"/>
          <w:sz w:val="24"/>
          <w:szCs w:val="24"/>
        </w:rPr>
        <w:t xml:space="preserve">. </w:t>
      </w:r>
      <w:r w:rsidR="00B92384" w:rsidRPr="00E94148">
        <w:rPr>
          <w:rFonts w:ascii="Cambria" w:hAnsi="Cambria" w:cs="Times New Roman"/>
          <w:sz w:val="24"/>
          <w:szCs w:val="24"/>
        </w:rPr>
        <w:t xml:space="preserve">Thus, is the undue character of an influence submitted to the same derogatory regime than the human rights general framework? </w:t>
      </w:r>
      <w:r w:rsidR="006A7457" w:rsidRPr="00E94148">
        <w:rPr>
          <w:rFonts w:ascii="Cambria" w:hAnsi="Cambria" w:cs="Times New Roman"/>
          <w:sz w:val="24"/>
          <w:szCs w:val="24"/>
        </w:rPr>
        <w:t xml:space="preserve">This answer is not answered under the </w:t>
      </w:r>
      <w:proofErr w:type="spellStart"/>
      <w:r w:rsidR="006A7457" w:rsidRPr="00E94148">
        <w:rPr>
          <w:rFonts w:ascii="Cambria" w:hAnsi="Cambria" w:cs="Times New Roman"/>
          <w:sz w:val="24"/>
          <w:szCs w:val="24"/>
        </w:rPr>
        <w:lastRenderedPageBreak/>
        <w:t>CoE</w:t>
      </w:r>
      <w:proofErr w:type="spellEnd"/>
      <w:r w:rsidR="006A7457" w:rsidRPr="00E94148">
        <w:rPr>
          <w:rFonts w:ascii="Cambria" w:hAnsi="Cambria" w:cs="Times New Roman"/>
          <w:sz w:val="24"/>
          <w:szCs w:val="24"/>
        </w:rPr>
        <w:t xml:space="preserve"> framework but leads to think about the extent of the inappropriateness of an influence and whether it would have been qualified as undue. </w:t>
      </w:r>
    </w:p>
    <w:p w14:paraId="3ACA689A" w14:textId="77777777" w:rsidR="00DF1B13" w:rsidRPr="00E94148" w:rsidRDefault="00DF1B13"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The ECtHR approach is </w:t>
      </w:r>
      <w:r w:rsidR="00F96EAA" w:rsidRPr="00E94148">
        <w:rPr>
          <w:rFonts w:ascii="Cambria" w:hAnsi="Cambria" w:cs="Times New Roman"/>
          <w:sz w:val="24"/>
          <w:szCs w:val="24"/>
        </w:rPr>
        <w:t xml:space="preserve">however silent on the issue of what an undue could be qualified like. But hints of what it is framing upon can be determined. Indeed, one of the few </w:t>
      </w:r>
      <w:r w:rsidR="00DA055C" w:rsidRPr="00E94148">
        <w:rPr>
          <w:rFonts w:ascii="Cambria" w:hAnsi="Cambria" w:cs="Times New Roman"/>
          <w:sz w:val="24"/>
          <w:szCs w:val="24"/>
        </w:rPr>
        <w:t>times</w:t>
      </w:r>
      <w:r w:rsidR="00F96EAA" w:rsidRPr="00E94148">
        <w:rPr>
          <w:rFonts w:ascii="Cambria" w:hAnsi="Cambria" w:cs="Times New Roman"/>
          <w:sz w:val="24"/>
          <w:szCs w:val="24"/>
        </w:rPr>
        <w:t xml:space="preserve"> where the ECtHR had to assess on whether an </w:t>
      </w:r>
      <w:r w:rsidR="00245E03" w:rsidRPr="00E94148">
        <w:rPr>
          <w:rFonts w:ascii="Cambria" w:hAnsi="Cambria" w:cs="Times New Roman"/>
          <w:sz w:val="24"/>
          <w:szCs w:val="24"/>
        </w:rPr>
        <w:t>“external undue influence”</w:t>
      </w:r>
      <w:r w:rsidR="001605B7" w:rsidRPr="00E94148">
        <w:rPr>
          <w:rStyle w:val="FootnoteReference"/>
          <w:rFonts w:ascii="Cambria" w:hAnsi="Cambria" w:cs="Times New Roman"/>
          <w:sz w:val="24"/>
          <w:szCs w:val="24"/>
        </w:rPr>
        <w:footnoteReference w:id="30"/>
      </w:r>
      <w:r w:rsidR="00245E03" w:rsidRPr="00E94148">
        <w:rPr>
          <w:rFonts w:ascii="Cambria" w:hAnsi="Cambria" w:cs="Times New Roman"/>
          <w:sz w:val="24"/>
          <w:szCs w:val="24"/>
        </w:rPr>
        <w:t xml:space="preserve"> was</w:t>
      </w:r>
      <w:r w:rsidR="00AB7F65" w:rsidRPr="00E94148">
        <w:rPr>
          <w:rFonts w:ascii="Cambria" w:hAnsi="Cambria" w:cs="Times New Roman"/>
          <w:sz w:val="24"/>
          <w:szCs w:val="24"/>
        </w:rPr>
        <w:t xml:space="preserve"> found in the case; it was cases implying media influence on the case that could have led to an undermining of the presumption of innocence of the person </w:t>
      </w:r>
      <w:r w:rsidR="00907608" w:rsidRPr="00E94148">
        <w:rPr>
          <w:rFonts w:ascii="Cambria" w:hAnsi="Cambria" w:cs="Times New Roman"/>
          <w:sz w:val="24"/>
          <w:szCs w:val="24"/>
        </w:rPr>
        <w:t>on trial</w:t>
      </w:r>
      <w:r w:rsidR="00DA055C" w:rsidRPr="00E94148">
        <w:rPr>
          <w:rStyle w:val="FootnoteReference"/>
          <w:rFonts w:ascii="Cambria" w:hAnsi="Cambria" w:cs="Times New Roman"/>
          <w:sz w:val="24"/>
          <w:szCs w:val="24"/>
        </w:rPr>
        <w:footnoteReference w:id="31"/>
      </w:r>
      <w:r w:rsidR="00907608" w:rsidRPr="00E94148">
        <w:rPr>
          <w:rFonts w:ascii="Cambria" w:hAnsi="Cambria" w:cs="Times New Roman"/>
          <w:sz w:val="24"/>
          <w:szCs w:val="24"/>
        </w:rPr>
        <w:t>.</w:t>
      </w:r>
      <w:r w:rsidR="00A36819" w:rsidRPr="00E94148">
        <w:rPr>
          <w:rFonts w:ascii="Cambria" w:hAnsi="Cambria" w:cs="Times New Roman"/>
          <w:sz w:val="24"/>
          <w:szCs w:val="24"/>
        </w:rPr>
        <w:t xml:space="preserve"> </w:t>
      </w:r>
      <w:r w:rsidR="00F65D10" w:rsidRPr="00E94148">
        <w:rPr>
          <w:rFonts w:ascii="Cambria" w:hAnsi="Cambria" w:cs="Times New Roman"/>
          <w:sz w:val="24"/>
          <w:szCs w:val="24"/>
        </w:rPr>
        <w:t>The fact that such an influence could have undermined such protection might have been the reason why it was called “undue”, for many media can comment on a case without however been qualified as undue.</w:t>
      </w:r>
      <w:r w:rsidR="00FA4140" w:rsidRPr="00E94148">
        <w:rPr>
          <w:rFonts w:ascii="Cambria" w:hAnsi="Cambria" w:cs="Times New Roman"/>
          <w:sz w:val="24"/>
          <w:szCs w:val="24"/>
        </w:rPr>
        <w:t xml:space="preserve"> Therefore, </w:t>
      </w:r>
      <w:r w:rsidR="0079113F" w:rsidRPr="00E94148">
        <w:rPr>
          <w:rFonts w:ascii="Cambria" w:hAnsi="Cambria" w:cs="Times New Roman"/>
          <w:sz w:val="24"/>
          <w:szCs w:val="24"/>
        </w:rPr>
        <w:t xml:space="preserve">one could assess that </w:t>
      </w:r>
      <w:r w:rsidR="0036625B" w:rsidRPr="00E94148">
        <w:rPr>
          <w:rFonts w:ascii="Cambria" w:hAnsi="Cambria" w:cs="Times New Roman"/>
          <w:sz w:val="24"/>
          <w:szCs w:val="24"/>
        </w:rPr>
        <w:t xml:space="preserve">more than the point of origin of the influence, </w:t>
      </w:r>
      <w:r w:rsidR="00FA4140" w:rsidRPr="00E94148">
        <w:rPr>
          <w:rFonts w:ascii="Cambria" w:hAnsi="Cambria" w:cs="Times New Roman"/>
          <w:sz w:val="24"/>
          <w:szCs w:val="24"/>
        </w:rPr>
        <w:t xml:space="preserve">it is the </w:t>
      </w:r>
      <w:r w:rsidR="00C95116" w:rsidRPr="00E94148">
        <w:rPr>
          <w:rFonts w:ascii="Cambria" w:hAnsi="Cambria" w:cs="Times New Roman"/>
          <w:sz w:val="24"/>
          <w:szCs w:val="24"/>
        </w:rPr>
        <w:t xml:space="preserve">potential </w:t>
      </w:r>
      <w:r w:rsidR="00FA4140" w:rsidRPr="00E94148">
        <w:rPr>
          <w:rFonts w:ascii="Cambria" w:hAnsi="Cambria" w:cs="Times New Roman"/>
          <w:sz w:val="24"/>
          <w:szCs w:val="24"/>
        </w:rPr>
        <w:t xml:space="preserve">undermining of another </w:t>
      </w:r>
      <w:r w:rsidR="00C95116" w:rsidRPr="00E94148">
        <w:rPr>
          <w:rFonts w:ascii="Cambria" w:hAnsi="Cambria" w:cs="Times New Roman"/>
          <w:sz w:val="24"/>
          <w:szCs w:val="24"/>
        </w:rPr>
        <w:t xml:space="preserve">human right protection </w:t>
      </w:r>
      <w:r w:rsidR="0036625B" w:rsidRPr="00E94148">
        <w:rPr>
          <w:rFonts w:ascii="Cambria" w:hAnsi="Cambria" w:cs="Times New Roman"/>
          <w:sz w:val="24"/>
          <w:szCs w:val="24"/>
        </w:rPr>
        <w:t>could</w:t>
      </w:r>
      <w:r w:rsidR="00C95116" w:rsidRPr="00E94148">
        <w:rPr>
          <w:rFonts w:ascii="Cambria" w:hAnsi="Cambria" w:cs="Times New Roman"/>
          <w:sz w:val="24"/>
          <w:szCs w:val="24"/>
        </w:rPr>
        <w:t xml:space="preserve"> make </w:t>
      </w:r>
      <w:r w:rsidR="0036625B" w:rsidRPr="00E94148">
        <w:rPr>
          <w:rFonts w:ascii="Cambria" w:hAnsi="Cambria" w:cs="Times New Roman"/>
          <w:sz w:val="24"/>
          <w:szCs w:val="24"/>
        </w:rPr>
        <w:t>an</w:t>
      </w:r>
      <w:r w:rsidR="00C95116" w:rsidRPr="00E94148">
        <w:rPr>
          <w:rFonts w:ascii="Cambria" w:hAnsi="Cambria" w:cs="Times New Roman"/>
          <w:sz w:val="24"/>
          <w:szCs w:val="24"/>
        </w:rPr>
        <w:t xml:space="preserve"> influence undue.</w:t>
      </w:r>
      <w:r w:rsidR="00EB6442" w:rsidRPr="00E94148">
        <w:rPr>
          <w:rFonts w:ascii="Cambria" w:hAnsi="Cambria" w:cs="Times New Roman"/>
          <w:sz w:val="24"/>
          <w:szCs w:val="24"/>
        </w:rPr>
        <w:t xml:space="preserve"> </w:t>
      </w:r>
    </w:p>
    <w:p w14:paraId="021BA1C9" w14:textId="77777777" w:rsidR="00EB6442" w:rsidRPr="00E94148" w:rsidRDefault="00EB6442"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Therefore, to the question of what constitutes an undue influence under European Human rights law, this paper would adopt the </w:t>
      </w:r>
      <w:r w:rsidR="003D2781" w:rsidRPr="00E94148">
        <w:rPr>
          <w:rFonts w:ascii="Cambria" w:hAnsi="Cambria" w:cs="Times New Roman"/>
          <w:sz w:val="24"/>
          <w:szCs w:val="24"/>
        </w:rPr>
        <w:t xml:space="preserve">approach </w:t>
      </w:r>
      <w:r w:rsidR="00F15DB0" w:rsidRPr="00E94148">
        <w:rPr>
          <w:rFonts w:ascii="Cambria" w:hAnsi="Cambria" w:cs="Times New Roman"/>
          <w:sz w:val="24"/>
          <w:szCs w:val="24"/>
        </w:rPr>
        <w:t>of:</w:t>
      </w:r>
      <w:r w:rsidR="003D2781" w:rsidRPr="00E94148">
        <w:rPr>
          <w:rFonts w:ascii="Cambria" w:hAnsi="Cambria" w:cs="Times New Roman"/>
          <w:sz w:val="24"/>
          <w:szCs w:val="24"/>
        </w:rPr>
        <w:t xml:space="preserve"> Firstly, an influence that it deemed illegitimate </w:t>
      </w:r>
      <w:r w:rsidR="00164F3E" w:rsidRPr="00E94148">
        <w:rPr>
          <w:rFonts w:ascii="Cambria" w:hAnsi="Cambria" w:cs="Times New Roman"/>
          <w:sz w:val="24"/>
          <w:szCs w:val="24"/>
        </w:rPr>
        <w:t xml:space="preserve">for the judicial decision making, meaning an actor that can </w:t>
      </w:r>
      <w:proofErr w:type="gramStart"/>
      <w:r w:rsidR="00164F3E" w:rsidRPr="00E94148">
        <w:rPr>
          <w:rFonts w:ascii="Cambria" w:hAnsi="Cambria" w:cs="Times New Roman"/>
          <w:sz w:val="24"/>
          <w:szCs w:val="24"/>
        </w:rPr>
        <w:t>actually influence</w:t>
      </w:r>
      <w:proofErr w:type="gramEnd"/>
      <w:r w:rsidR="00164F3E" w:rsidRPr="00E94148">
        <w:rPr>
          <w:rFonts w:ascii="Cambria" w:hAnsi="Cambria" w:cs="Times New Roman"/>
          <w:sz w:val="24"/>
          <w:szCs w:val="24"/>
        </w:rPr>
        <w:t xml:space="preserve"> a decision; Secondly, it would be the capacity to undermine the autonomy of the </w:t>
      </w:r>
      <w:r w:rsidR="006605DA" w:rsidRPr="00E94148">
        <w:rPr>
          <w:rFonts w:ascii="Cambria" w:hAnsi="Cambria" w:cs="Times New Roman"/>
          <w:sz w:val="24"/>
          <w:szCs w:val="24"/>
        </w:rPr>
        <w:t xml:space="preserve">judge decision </w:t>
      </w:r>
      <w:r w:rsidR="00194A67" w:rsidRPr="00E94148">
        <w:rPr>
          <w:rFonts w:ascii="Cambria" w:hAnsi="Cambria" w:cs="Times New Roman"/>
          <w:sz w:val="24"/>
          <w:szCs w:val="24"/>
        </w:rPr>
        <w:t>when it is deciding upon</w:t>
      </w:r>
      <w:r w:rsidR="00C308E9" w:rsidRPr="00E94148">
        <w:rPr>
          <w:rFonts w:ascii="Cambria" w:hAnsi="Cambria" w:cs="Times New Roman"/>
          <w:sz w:val="24"/>
          <w:szCs w:val="24"/>
        </w:rPr>
        <w:t xml:space="preserve"> both the culpability and the sentence of a</w:t>
      </w:r>
      <w:r w:rsidR="00194A67" w:rsidRPr="00E94148">
        <w:rPr>
          <w:rFonts w:ascii="Cambria" w:hAnsi="Cambria" w:cs="Times New Roman"/>
          <w:sz w:val="24"/>
          <w:szCs w:val="24"/>
        </w:rPr>
        <w:t>n</w:t>
      </w:r>
      <w:r w:rsidR="00C308E9" w:rsidRPr="00E94148">
        <w:rPr>
          <w:rFonts w:ascii="Cambria" w:hAnsi="Cambria" w:cs="Times New Roman"/>
          <w:sz w:val="24"/>
          <w:szCs w:val="24"/>
        </w:rPr>
        <w:t xml:space="preserve"> </w:t>
      </w:r>
      <w:r w:rsidR="00194A67" w:rsidRPr="00E94148">
        <w:rPr>
          <w:rFonts w:ascii="Cambria" w:hAnsi="Cambria" w:cs="Times New Roman"/>
          <w:sz w:val="24"/>
          <w:szCs w:val="24"/>
        </w:rPr>
        <w:t>individual</w:t>
      </w:r>
      <w:r w:rsidR="006605DA" w:rsidRPr="00E94148">
        <w:rPr>
          <w:rFonts w:ascii="Cambria" w:hAnsi="Cambria" w:cs="Times New Roman"/>
          <w:sz w:val="24"/>
          <w:szCs w:val="24"/>
        </w:rPr>
        <w:t>.</w:t>
      </w:r>
      <w:r w:rsidR="00C308E9" w:rsidRPr="00E94148">
        <w:rPr>
          <w:rFonts w:ascii="Cambria" w:hAnsi="Cambria" w:cs="Times New Roman"/>
          <w:sz w:val="24"/>
          <w:szCs w:val="24"/>
        </w:rPr>
        <w:t xml:space="preserve"> </w:t>
      </w:r>
    </w:p>
    <w:p w14:paraId="791A4B39" w14:textId="77777777" w:rsidR="004C5FF4" w:rsidRPr="00E94148" w:rsidRDefault="004C5FF4" w:rsidP="008553F4">
      <w:pPr>
        <w:spacing w:line="276" w:lineRule="auto"/>
        <w:jc w:val="both"/>
        <w:rPr>
          <w:rFonts w:ascii="Cambria" w:hAnsi="Cambria" w:cs="Times New Roman"/>
          <w:sz w:val="24"/>
          <w:szCs w:val="24"/>
          <w:u w:val="single"/>
        </w:rPr>
      </w:pPr>
    </w:p>
    <w:p w14:paraId="00C4B430" w14:textId="77777777" w:rsidR="00CF42EA" w:rsidRPr="00E94148" w:rsidRDefault="00CF42EA" w:rsidP="008553F4">
      <w:pPr>
        <w:pStyle w:val="ListParagraph"/>
        <w:numPr>
          <w:ilvl w:val="0"/>
          <w:numId w:val="2"/>
        </w:numPr>
        <w:spacing w:line="276" w:lineRule="auto"/>
        <w:jc w:val="both"/>
        <w:rPr>
          <w:rFonts w:ascii="Cambria" w:hAnsi="Cambria" w:cs="Times New Roman"/>
          <w:b/>
          <w:bCs/>
          <w:sz w:val="24"/>
          <w:szCs w:val="24"/>
        </w:rPr>
      </w:pPr>
      <w:r w:rsidRPr="00E94148">
        <w:rPr>
          <w:rFonts w:ascii="Cambria" w:hAnsi="Cambria" w:cs="Times New Roman"/>
          <w:b/>
          <w:bCs/>
          <w:sz w:val="24"/>
          <w:szCs w:val="24"/>
        </w:rPr>
        <w:t>A</w:t>
      </w:r>
      <w:r w:rsidR="00590F16">
        <w:rPr>
          <w:rFonts w:ascii="Cambria" w:hAnsi="Cambria" w:cs="Times New Roman"/>
          <w:b/>
          <w:bCs/>
          <w:sz w:val="24"/>
          <w:szCs w:val="24"/>
        </w:rPr>
        <w:t>rtificial intelligence</w:t>
      </w:r>
      <w:r w:rsidRPr="00E94148">
        <w:rPr>
          <w:rFonts w:ascii="Cambria" w:hAnsi="Cambria" w:cs="Times New Roman"/>
          <w:b/>
          <w:bCs/>
          <w:sz w:val="24"/>
          <w:szCs w:val="24"/>
        </w:rPr>
        <w:t xml:space="preserve"> in criminal trials as an undue influence? Identifying the major points of tensions between such use and the principle of independence under European Law</w:t>
      </w:r>
    </w:p>
    <w:p w14:paraId="15413DD4" w14:textId="77777777" w:rsidR="00C03C45" w:rsidRPr="00E94148" w:rsidRDefault="00D614B3"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As above-mentioned, </w:t>
      </w:r>
      <w:r w:rsidR="009B2030" w:rsidRPr="00E94148">
        <w:rPr>
          <w:rFonts w:ascii="Cambria" w:hAnsi="Cambria" w:cs="Times New Roman"/>
          <w:sz w:val="24"/>
          <w:szCs w:val="24"/>
        </w:rPr>
        <w:t>an undue influence must have the capacity to influence a decision in an undue manner</w:t>
      </w:r>
      <w:r w:rsidR="000E0FB5" w:rsidRPr="00E94148">
        <w:rPr>
          <w:rFonts w:ascii="Cambria" w:hAnsi="Cambria" w:cs="Times New Roman"/>
          <w:sz w:val="24"/>
          <w:szCs w:val="24"/>
        </w:rPr>
        <w:t>, thus the question lies: At what extent can we qualify A.I in criminal trials as potential undue influence?</w:t>
      </w:r>
    </w:p>
    <w:p w14:paraId="02ED9DD3" w14:textId="77777777" w:rsidR="00295022" w:rsidRDefault="00CC7509"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Artificial intelligence can represent an asset for the Judge when deciding a case. However, as above-mentioned, such technology should not influence the judge in an “undue” manner. The question thus lies, what components would qualify A.I as such? </w:t>
      </w:r>
      <w:proofErr w:type="gramStart"/>
      <w:r w:rsidRPr="00E94148">
        <w:rPr>
          <w:rFonts w:ascii="Cambria" w:hAnsi="Cambria" w:cs="Times New Roman"/>
          <w:sz w:val="24"/>
          <w:szCs w:val="24"/>
        </w:rPr>
        <w:t>In order to</w:t>
      </w:r>
      <w:proofErr w:type="gramEnd"/>
      <w:r w:rsidRPr="00E94148">
        <w:rPr>
          <w:rFonts w:ascii="Cambria" w:hAnsi="Cambria" w:cs="Times New Roman"/>
          <w:sz w:val="24"/>
          <w:szCs w:val="24"/>
        </w:rPr>
        <w:t xml:space="preserve"> </w:t>
      </w:r>
      <w:r w:rsidR="00D07F1B" w:rsidRPr="00E94148">
        <w:rPr>
          <w:rFonts w:ascii="Cambria" w:hAnsi="Cambria" w:cs="Times New Roman"/>
          <w:sz w:val="24"/>
          <w:szCs w:val="24"/>
        </w:rPr>
        <w:t xml:space="preserve">assess this question, it will be necessary to approach it with two major axes. The first axe will focus on the influence paradigm that the technology </w:t>
      </w:r>
      <w:r w:rsidR="00A613C1" w:rsidRPr="00E94148">
        <w:rPr>
          <w:rFonts w:ascii="Cambria" w:hAnsi="Cambria" w:cs="Times New Roman"/>
          <w:sz w:val="24"/>
          <w:szCs w:val="24"/>
        </w:rPr>
        <w:t>brings</w:t>
      </w:r>
      <w:r w:rsidR="00D07F1B" w:rsidRPr="00E94148">
        <w:rPr>
          <w:rFonts w:ascii="Cambria" w:hAnsi="Cambria" w:cs="Times New Roman"/>
          <w:sz w:val="24"/>
          <w:szCs w:val="24"/>
        </w:rPr>
        <w:t xml:space="preserve">, in both direct and indirect means (A). It will then focus on the “Undue” </w:t>
      </w:r>
      <w:r w:rsidR="009E2824" w:rsidRPr="00E94148">
        <w:rPr>
          <w:rFonts w:ascii="Cambria" w:hAnsi="Cambria" w:cs="Times New Roman"/>
          <w:sz w:val="24"/>
          <w:szCs w:val="24"/>
        </w:rPr>
        <w:t>potential aspect</w:t>
      </w:r>
      <w:r w:rsidR="00D07F1B" w:rsidRPr="00E94148">
        <w:rPr>
          <w:rFonts w:ascii="Cambria" w:hAnsi="Cambria" w:cs="Times New Roman"/>
          <w:sz w:val="24"/>
          <w:szCs w:val="24"/>
        </w:rPr>
        <w:t xml:space="preserve"> of the A.I</w:t>
      </w:r>
      <w:r w:rsidRPr="00E94148">
        <w:rPr>
          <w:rFonts w:ascii="Cambria" w:hAnsi="Cambria" w:cs="Times New Roman"/>
          <w:sz w:val="24"/>
          <w:szCs w:val="24"/>
        </w:rPr>
        <w:t xml:space="preserve"> </w:t>
      </w:r>
      <w:r w:rsidR="00A613C1" w:rsidRPr="00E94148">
        <w:rPr>
          <w:rFonts w:ascii="Cambria" w:hAnsi="Cambria" w:cs="Times New Roman"/>
          <w:sz w:val="24"/>
          <w:szCs w:val="24"/>
        </w:rPr>
        <w:t xml:space="preserve">and assess </w:t>
      </w:r>
      <w:r w:rsidR="00486F46" w:rsidRPr="00E94148">
        <w:rPr>
          <w:rFonts w:ascii="Cambria" w:hAnsi="Cambria" w:cs="Times New Roman"/>
          <w:sz w:val="24"/>
          <w:szCs w:val="24"/>
        </w:rPr>
        <w:t>what components of the techno</w:t>
      </w:r>
      <w:r w:rsidR="00AA4DC8" w:rsidRPr="00E94148">
        <w:rPr>
          <w:rFonts w:ascii="Cambria" w:hAnsi="Cambria" w:cs="Times New Roman"/>
          <w:sz w:val="24"/>
          <w:szCs w:val="24"/>
        </w:rPr>
        <w:t>logy could qualify it as such (B).</w:t>
      </w:r>
    </w:p>
    <w:p w14:paraId="70CC6248" w14:textId="77777777" w:rsidR="00590F16" w:rsidRPr="00E94148" w:rsidRDefault="00590F16" w:rsidP="008553F4">
      <w:pPr>
        <w:spacing w:line="276" w:lineRule="auto"/>
        <w:ind w:firstLine="720"/>
        <w:jc w:val="both"/>
        <w:rPr>
          <w:rFonts w:ascii="Cambria" w:hAnsi="Cambria" w:cs="Times New Roman"/>
          <w:sz w:val="24"/>
          <w:szCs w:val="24"/>
        </w:rPr>
      </w:pPr>
    </w:p>
    <w:p w14:paraId="6BE3564F" w14:textId="77777777" w:rsidR="00CF42EA" w:rsidRPr="00E94148" w:rsidRDefault="00CF42EA" w:rsidP="008553F4">
      <w:pPr>
        <w:pStyle w:val="ListParagraph"/>
        <w:numPr>
          <w:ilvl w:val="0"/>
          <w:numId w:val="5"/>
        </w:numPr>
        <w:spacing w:line="276" w:lineRule="auto"/>
        <w:jc w:val="both"/>
        <w:rPr>
          <w:rFonts w:ascii="Cambria" w:hAnsi="Cambria" w:cs="Times New Roman"/>
          <w:b/>
          <w:bCs/>
          <w:sz w:val="24"/>
          <w:szCs w:val="24"/>
        </w:rPr>
      </w:pPr>
      <w:r w:rsidRPr="00E94148">
        <w:rPr>
          <w:rFonts w:ascii="Cambria" w:hAnsi="Cambria" w:cs="Times New Roman"/>
          <w:b/>
          <w:bCs/>
          <w:sz w:val="24"/>
          <w:szCs w:val="24"/>
        </w:rPr>
        <w:lastRenderedPageBreak/>
        <w:t>A</w:t>
      </w:r>
      <w:r w:rsidR="00590F16">
        <w:rPr>
          <w:rFonts w:ascii="Cambria" w:hAnsi="Cambria" w:cs="Times New Roman"/>
          <w:b/>
          <w:bCs/>
          <w:sz w:val="24"/>
          <w:szCs w:val="24"/>
        </w:rPr>
        <w:t>rtificial intelligence</w:t>
      </w:r>
      <w:r w:rsidRPr="00E94148">
        <w:rPr>
          <w:rFonts w:ascii="Cambria" w:hAnsi="Cambria" w:cs="Times New Roman"/>
          <w:b/>
          <w:bCs/>
          <w:sz w:val="24"/>
          <w:szCs w:val="24"/>
        </w:rPr>
        <w:t xml:space="preserve"> as an influencer </w:t>
      </w:r>
      <w:r w:rsidR="00590F16">
        <w:rPr>
          <w:rFonts w:ascii="Cambria" w:hAnsi="Cambria" w:cs="Times New Roman"/>
          <w:b/>
          <w:bCs/>
          <w:sz w:val="24"/>
          <w:szCs w:val="24"/>
        </w:rPr>
        <w:t>on</w:t>
      </w:r>
      <w:r w:rsidRPr="00E94148">
        <w:rPr>
          <w:rFonts w:ascii="Cambria" w:hAnsi="Cambria" w:cs="Times New Roman"/>
          <w:b/>
          <w:bCs/>
          <w:sz w:val="24"/>
          <w:szCs w:val="24"/>
        </w:rPr>
        <w:t xml:space="preserve"> the judicial decision</w:t>
      </w:r>
      <w:r w:rsidR="00590F16">
        <w:rPr>
          <w:rFonts w:ascii="Cambria" w:hAnsi="Cambria" w:cs="Times New Roman"/>
          <w:b/>
          <w:bCs/>
          <w:sz w:val="24"/>
          <w:szCs w:val="24"/>
        </w:rPr>
        <w:t xml:space="preserve"> making:</w:t>
      </w:r>
      <w:r w:rsidRPr="00E94148">
        <w:rPr>
          <w:rFonts w:ascii="Cambria" w:hAnsi="Cambria" w:cs="Times New Roman"/>
          <w:b/>
          <w:bCs/>
          <w:sz w:val="24"/>
          <w:szCs w:val="24"/>
        </w:rPr>
        <w:t xml:space="preserve"> Drawing the extent of the influence paradigm</w:t>
      </w:r>
    </w:p>
    <w:p w14:paraId="0B730E76" w14:textId="77777777" w:rsidR="0024075E" w:rsidRPr="00E94148" w:rsidRDefault="0024075E"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The potential influence of an A.I can be established through two different vectors. Firstly, through the direct working of the algorithm </w:t>
      </w:r>
      <w:r w:rsidR="0097272C" w:rsidRPr="00E94148">
        <w:rPr>
          <w:rFonts w:ascii="Cambria" w:hAnsi="Cambria" w:cs="Times New Roman"/>
          <w:sz w:val="24"/>
          <w:szCs w:val="24"/>
        </w:rPr>
        <w:t>that provides for</w:t>
      </w:r>
      <w:r w:rsidR="005A6C1E" w:rsidRPr="00E94148">
        <w:rPr>
          <w:rFonts w:ascii="Cambria" w:hAnsi="Cambria" w:cs="Times New Roman"/>
          <w:sz w:val="24"/>
          <w:szCs w:val="24"/>
        </w:rPr>
        <w:t xml:space="preserve"> an outcome to a legal issue (For instance the probability of reoffending of an individual), and the extent under which this would constitute an influence </w:t>
      </w:r>
      <w:r w:rsidR="00A72E29" w:rsidRPr="00E94148">
        <w:rPr>
          <w:rFonts w:ascii="Cambria" w:hAnsi="Cambria" w:cs="Times New Roman"/>
          <w:sz w:val="24"/>
          <w:szCs w:val="24"/>
        </w:rPr>
        <w:t>on</w:t>
      </w:r>
      <w:r w:rsidR="005A6C1E" w:rsidRPr="00E94148">
        <w:rPr>
          <w:rFonts w:ascii="Cambria" w:hAnsi="Cambria" w:cs="Times New Roman"/>
          <w:sz w:val="24"/>
          <w:szCs w:val="24"/>
        </w:rPr>
        <w:t xml:space="preserve"> the Judge. Secondly, more of an indirect influence, from the developers of the A.I to the Judge, where A.I is perceived a mere token of the developers reasoning and values.</w:t>
      </w:r>
    </w:p>
    <w:p w14:paraId="57FE7EC9" w14:textId="77777777" w:rsidR="0003106F" w:rsidRPr="00E94148" w:rsidRDefault="00A24185" w:rsidP="008553F4">
      <w:pPr>
        <w:spacing w:line="276" w:lineRule="auto"/>
        <w:jc w:val="both"/>
        <w:rPr>
          <w:rFonts w:ascii="Cambria" w:hAnsi="Cambria" w:cs="Times New Roman"/>
          <w:sz w:val="24"/>
          <w:szCs w:val="24"/>
        </w:rPr>
      </w:pPr>
      <w:r w:rsidRPr="00E94148">
        <w:rPr>
          <w:rFonts w:ascii="Cambria" w:hAnsi="Cambria" w:cs="Times New Roman"/>
          <w:sz w:val="24"/>
          <w:szCs w:val="24"/>
        </w:rPr>
        <w:tab/>
      </w:r>
      <w:r w:rsidR="003F20C8" w:rsidRPr="00E94148">
        <w:rPr>
          <w:rFonts w:ascii="Cambria" w:hAnsi="Cambria" w:cs="Times New Roman"/>
          <w:sz w:val="24"/>
          <w:szCs w:val="24"/>
        </w:rPr>
        <w:t xml:space="preserve">The algorithmic technology can be one that can directly influence the decision of the judge. </w:t>
      </w:r>
      <w:r w:rsidR="00865AB3" w:rsidRPr="00E94148">
        <w:rPr>
          <w:rFonts w:ascii="Cambria" w:hAnsi="Cambria" w:cs="Times New Roman"/>
          <w:sz w:val="24"/>
          <w:szCs w:val="24"/>
        </w:rPr>
        <w:t>However, it is necessary to assess these different vectors of influences</w:t>
      </w:r>
      <w:r w:rsidR="00031E66" w:rsidRPr="00E94148">
        <w:rPr>
          <w:rFonts w:ascii="Cambria" w:hAnsi="Cambria" w:cs="Times New Roman"/>
          <w:sz w:val="24"/>
          <w:szCs w:val="24"/>
        </w:rPr>
        <w:t xml:space="preserve"> to better determine whether such technology could be qualified as undue influence. </w:t>
      </w:r>
      <w:r w:rsidR="00762207" w:rsidRPr="00E94148">
        <w:rPr>
          <w:rFonts w:ascii="Cambria" w:hAnsi="Cambria" w:cs="Times New Roman"/>
          <w:sz w:val="24"/>
          <w:szCs w:val="24"/>
        </w:rPr>
        <w:t xml:space="preserve">One could see that there are </w:t>
      </w:r>
      <w:r w:rsidR="001030AD" w:rsidRPr="00E94148">
        <w:rPr>
          <w:rFonts w:ascii="Cambria" w:hAnsi="Cambria" w:cs="Times New Roman"/>
          <w:sz w:val="24"/>
          <w:szCs w:val="24"/>
        </w:rPr>
        <w:t>three</w:t>
      </w:r>
      <w:r w:rsidR="00762207" w:rsidRPr="00E94148">
        <w:rPr>
          <w:rFonts w:ascii="Cambria" w:hAnsi="Cambria" w:cs="Times New Roman"/>
          <w:sz w:val="24"/>
          <w:szCs w:val="24"/>
        </w:rPr>
        <w:t xml:space="preserve"> different ways under which such technology can direct</w:t>
      </w:r>
      <w:r w:rsidR="00590F16">
        <w:rPr>
          <w:rFonts w:ascii="Cambria" w:hAnsi="Cambria" w:cs="Times New Roman"/>
          <w:sz w:val="24"/>
          <w:szCs w:val="24"/>
        </w:rPr>
        <w:t>ly</w:t>
      </w:r>
      <w:r w:rsidR="00762207" w:rsidRPr="00E94148">
        <w:rPr>
          <w:rFonts w:ascii="Cambria" w:hAnsi="Cambria" w:cs="Times New Roman"/>
          <w:sz w:val="24"/>
          <w:szCs w:val="24"/>
        </w:rPr>
        <w:t xml:space="preserve"> influence the judge.</w:t>
      </w:r>
      <w:r w:rsidR="00445A92" w:rsidRPr="00E94148">
        <w:rPr>
          <w:rFonts w:ascii="Cambria" w:hAnsi="Cambria" w:cs="Times New Roman"/>
          <w:sz w:val="24"/>
          <w:szCs w:val="24"/>
        </w:rPr>
        <w:t xml:space="preserve"> </w:t>
      </w:r>
      <w:r w:rsidR="001030AD" w:rsidRPr="00E94148">
        <w:rPr>
          <w:rFonts w:ascii="Cambria" w:hAnsi="Cambria" w:cs="Times New Roman"/>
          <w:sz w:val="24"/>
          <w:szCs w:val="24"/>
        </w:rPr>
        <w:t xml:space="preserve">These </w:t>
      </w:r>
      <w:r w:rsidR="000C1103" w:rsidRPr="00E94148">
        <w:rPr>
          <w:rFonts w:ascii="Cambria" w:hAnsi="Cambria" w:cs="Times New Roman"/>
          <w:sz w:val="24"/>
          <w:szCs w:val="24"/>
        </w:rPr>
        <w:t xml:space="preserve">influences however share a certain degree of </w:t>
      </w:r>
      <w:r w:rsidR="00F15DB0" w:rsidRPr="00E94148">
        <w:rPr>
          <w:rFonts w:ascii="Cambria" w:hAnsi="Cambria" w:cs="Times New Roman"/>
          <w:sz w:val="24"/>
          <w:szCs w:val="24"/>
        </w:rPr>
        <w:t xml:space="preserve">extent </w:t>
      </w:r>
      <w:r w:rsidR="00043B5C" w:rsidRPr="00E94148">
        <w:rPr>
          <w:rFonts w:ascii="Cambria" w:hAnsi="Cambria" w:cs="Times New Roman"/>
          <w:sz w:val="24"/>
          <w:szCs w:val="24"/>
        </w:rPr>
        <w:t xml:space="preserve">on its reach on the judge. </w:t>
      </w:r>
    </w:p>
    <w:p w14:paraId="5952CE84" w14:textId="77777777" w:rsidR="00445A92" w:rsidRPr="00E94148" w:rsidRDefault="00445A92" w:rsidP="008553F4">
      <w:pPr>
        <w:spacing w:line="276" w:lineRule="auto"/>
        <w:jc w:val="both"/>
        <w:rPr>
          <w:rFonts w:ascii="Cambria" w:hAnsi="Cambria" w:cs="Times New Roman"/>
          <w:sz w:val="24"/>
          <w:szCs w:val="24"/>
        </w:rPr>
      </w:pPr>
      <w:r w:rsidRPr="00E94148">
        <w:rPr>
          <w:rFonts w:ascii="Cambria" w:hAnsi="Cambria" w:cs="Times New Roman"/>
          <w:sz w:val="24"/>
          <w:szCs w:val="24"/>
        </w:rPr>
        <w:tab/>
        <w:t>The</w:t>
      </w:r>
      <w:r w:rsidR="00F6537F" w:rsidRPr="00E94148">
        <w:rPr>
          <w:rFonts w:ascii="Cambria" w:hAnsi="Cambria" w:cs="Times New Roman"/>
          <w:sz w:val="24"/>
          <w:szCs w:val="24"/>
        </w:rPr>
        <w:t xml:space="preserve"> influencing process known as</w:t>
      </w:r>
      <w:r w:rsidRPr="00E94148">
        <w:rPr>
          <w:rFonts w:ascii="Cambria" w:hAnsi="Cambria" w:cs="Times New Roman"/>
          <w:sz w:val="24"/>
          <w:szCs w:val="24"/>
        </w:rPr>
        <w:t xml:space="preserve"> </w:t>
      </w:r>
      <w:r w:rsidR="00F6537F" w:rsidRPr="00E94148">
        <w:rPr>
          <w:rFonts w:ascii="Cambria" w:hAnsi="Cambria" w:cs="Times New Roman"/>
          <w:sz w:val="24"/>
          <w:szCs w:val="24"/>
        </w:rPr>
        <w:t>t</w:t>
      </w:r>
      <w:r w:rsidRPr="00E94148">
        <w:rPr>
          <w:rFonts w:ascii="Cambria" w:hAnsi="Cambria" w:cs="Times New Roman"/>
          <w:sz w:val="24"/>
          <w:szCs w:val="24"/>
        </w:rPr>
        <w:t>echnological Anchoring</w:t>
      </w:r>
      <w:r w:rsidR="00F6537F" w:rsidRPr="00E94148">
        <w:rPr>
          <w:rFonts w:ascii="Cambria" w:hAnsi="Cambria" w:cs="Times New Roman"/>
          <w:sz w:val="24"/>
          <w:szCs w:val="24"/>
        </w:rPr>
        <w:t xml:space="preserve"> </w:t>
      </w:r>
      <w:r w:rsidR="002732FA" w:rsidRPr="00E94148">
        <w:rPr>
          <w:rFonts w:ascii="Cambria" w:hAnsi="Cambria" w:cs="Times New Roman"/>
          <w:sz w:val="24"/>
          <w:szCs w:val="24"/>
        </w:rPr>
        <w:t xml:space="preserve">is of a major importance </w:t>
      </w:r>
      <w:r w:rsidR="00274693" w:rsidRPr="00E94148">
        <w:rPr>
          <w:rFonts w:ascii="Cambria" w:hAnsi="Cambria" w:cs="Times New Roman"/>
          <w:sz w:val="24"/>
          <w:szCs w:val="24"/>
        </w:rPr>
        <w:t xml:space="preserve">when considering a use by the judge of the A.I technology </w:t>
      </w:r>
      <w:r w:rsidR="00D93B73" w:rsidRPr="00E94148">
        <w:rPr>
          <w:rFonts w:ascii="Cambria" w:hAnsi="Cambria" w:cs="Times New Roman"/>
          <w:sz w:val="24"/>
          <w:szCs w:val="24"/>
        </w:rPr>
        <w:t xml:space="preserve">during the </w:t>
      </w:r>
      <w:proofErr w:type="gramStart"/>
      <w:r w:rsidR="0046769D" w:rsidRPr="00E94148">
        <w:rPr>
          <w:rFonts w:ascii="Cambria" w:hAnsi="Cambria" w:cs="Times New Roman"/>
          <w:sz w:val="24"/>
          <w:szCs w:val="24"/>
        </w:rPr>
        <w:t>decision making</w:t>
      </w:r>
      <w:proofErr w:type="gramEnd"/>
      <w:r w:rsidR="00D93B73" w:rsidRPr="00E94148">
        <w:rPr>
          <w:rFonts w:ascii="Cambria" w:hAnsi="Cambria" w:cs="Times New Roman"/>
          <w:sz w:val="24"/>
          <w:szCs w:val="24"/>
        </w:rPr>
        <w:t xml:space="preserve"> phase.</w:t>
      </w:r>
      <w:r w:rsidR="004D096E" w:rsidRPr="00E94148">
        <w:rPr>
          <w:rFonts w:ascii="Cambria" w:hAnsi="Cambria" w:cs="Times New Roman"/>
          <w:sz w:val="24"/>
          <w:szCs w:val="24"/>
        </w:rPr>
        <w:t xml:space="preserve"> This term reflects upon two features. The anchoring effect</w:t>
      </w:r>
      <w:r w:rsidR="00E3000B" w:rsidRPr="00E94148">
        <w:rPr>
          <w:rFonts w:ascii="Cambria" w:hAnsi="Cambria" w:cs="Times New Roman"/>
          <w:sz w:val="24"/>
          <w:szCs w:val="24"/>
        </w:rPr>
        <w:t xml:space="preserve"> and the high level of technology of the A.I.</w:t>
      </w:r>
      <w:r w:rsidR="00DA055C" w:rsidRPr="00E94148">
        <w:rPr>
          <w:rFonts w:ascii="Cambria" w:hAnsi="Cambria" w:cs="Times New Roman"/>
          <w:sz w:val="24"/>
          <w:szCs w:val="24"/>
        </w:rPr>
        <w:t xml:space="preserve">, </w:t>
      </w:r>
      <w:r w:rsidR="001505F9" w:rsidRPr="00E94148">
        <w:rPr>
          <w:rFonts w:ascii="Cambria" w:hAnsi="Cambria" w:cs="Times New Roman"/>
          <w:sz w:val="24"/>
          <w:szCs w:val="24"/>
        </w:rPr>
        <w:t xml:space="preserve">the anchoring effect </w:t>
      </w:r>
      <w:r w:rsidR="00306393" w:rsidRPr="00E94148">
        <w:rPr>
          <w:rFonts w:ascii="Cambria" w:hAnsi="Cambria" w:cs="Times New Roman"/>
          <w:sz w:val="24"/>
          <w:szCs w:val="24"/>
        </w:rPr>
        <w:t>is a decision process under which a person would likely be anchored by one piece of information over others</w:t>
      </w:r>
      <w:r w:rsidR="00DA055C" w:rsidRPr="00E94148">
        <w:rPr>
          <w:rStyle w:val="FootnoteReference"/>
          <w:rFonts w:ascii="Cambria" w:hAnsi="Cambria" w:cs="Times New Roman"/>
          <w:sz w:val="24"/>
          <w:szCs w:val="24"/>
        </w:rPr>
        <w:footnoteReference w:id="32"/>
      </w:r>
      <w:r w:rsidR="00306393" w:rsidRPr="00E94148">
        <w:rPr>
          <w:rFonts w:ascii="Cambria" w:hAnsi="Cambria" w:cs="Times New Roman"/>
          <w:sz w:val="24"/>
          <w:szCs w:val="24"/>
        </w:rPr>
        <w:t xml:space="preserve">. </w:t>
      </w:r>
      <w:r w:rsidR="000E4FBC" w:rsidRPr="00E94148">
        <w:rPr>
          <w:rFonts w:ascii="Cambria" w:hAnsi="Cambria" w:cs="Times New Roman"/>
          <w:sz w:val="24"/>
          <w:szCs w:val="24"/>
        </w:rPr>
        <w:t xml:space="preserve">In the judicial decision making, it was demonstrated that a Judge would likely be anchored regarding the first piece of </w:t>
      </w:r>
      <w:r w:rsidR="00A44FB4" w:rsidRPr="00E94148">
        <w:rPr>
          <w:rFonts w:ascii="Cambria" w:hAnsi="Cambria" w:cs="Times New Roman"/>
          <w:sz w:val="24"/>
          <w:szCs w:val="24"/>
        </w:rPr>
        <w:t>evidence</w:t>
      </w:r>
      <w:r w:rsidR="000E4FBC" w:rsidRPr="00E94148">
        <w:rPr>
          <w:rFonts w:ascii="Cambria" w:hAnsi="Cambria" w:cs="Times New Roman"/>
          <w:sz w:val="24"/>
          <w:szCs w:val="24"/>
        </w:rPr>
        <w:t xml:space="preserve"> held for or against an individual</w:t>
      </w:r>
      <w:r w:rsidR="00DA055C" w:rsidRPr="00E94148">
        <w:rPr>
          <w:rStyle w:val="FootnoteReference"/>
          <w:rFonts w:ascii="Cambria" w:hAnsi="Cambria" w:cs="Times New Roman"/>
          <w:sz w:val="24"/>
          <w:szCs w:val="24"/>
        </w:rPr>
        <w:footnoteReference w:id="33"/>
      </w:r>
      <w:r w:rsidR="00113E60" w:rsidRPr="00E94148">
        <w:rPr>
          <w:rFonts w:ascii="Cambria" w:hAnsi="Cambria" w:cs="Times New Roman"/>
          <w:sz w:val="24"/>
          <w:szCs w:val="24"/>
        </w:rPr>
        <w:t xml:space="preserve">; the judge decision would likely be anchored from </w:t>
      </w:r>
      <w:r w:rsidR="000109A4" w:rsidRPr="00E94148">
        <w:rPr>
          <w:rFonts w:ascii="Cambria" w:hAnsi="Cambria" w:cs="Times New Roman"/>
          <w:sz w:val="24"/>
          <w:szCs w:val="24"/>
        </w:rPr>
        <w:t>it. This means that the Judge decision would</w:t>
      </w:r>
      <w:r w:rsidR="003C2010" w:rsidRPr="00E94148">
        <w:rPr>
          <w:rFonts w:ascii="Cambria" w:hAnsi="Cambria" w:cs="Times New Roman"/>
          <w:sz w:val="24"/>
          <w:szCs w:val="24"/>
        </w:rPr>
        <w:t xml:space="preserve"> start from this </w:t>
      </w:r>
      <w:r w:rsidR="00A44FB4" w:rsidRPr="00E94148">
        <w:rPr>
          <w:rFonts w:ascii="Cambria" w:hAnsi="Cambria" w:cs="Times New Roman"/>
          <w:sz w:val="24"/>
          <w:szCs w:val="24"/>
        </w:rPr>
        <w:t>piece,</w:t>
      </w:r>
      <w:r w:rsidR="004768BB" w:rsidRPr="00E94148">
        <w:rPr>
          <w:rFonts w:ascii="Cambria" w:hAnsi="Cambria" w:cs="Times New Roman"/>
          <w:sz w:val="24"/>
          <w:szCs w:val="24"/>
        </w:rPr>
        <w:t xml:space="preserve"> </w:t>
      </w:r>
      <w:r w:rsidR="001A4354" w:rsidRPr="00E94148">
        <w:rPr>
          <w:rFonts w:ascii="Cambria" w:hAnsi="Cambria" w:cs="Times New Roman"/>
          <w:sz w:val="24"/>
          <w:szCs w:val="24"/>
        </w:rPr>
        <w:t xml:space="preserve">and it would be hard for the Judge to go against </w:t>
      </w:r>
      <w:r w:rsidR="00DB7B00" w:rsidRPr="00E94148">
        <w:rPr>
          <w:rFonts w:ascii="Cambria" w:hAnsi="Cambria" w:cs="Times New Roman"/>
          <w:sz w:val="24"/>
          <w:szCs w:val="24"/>
        </w:rPr>
        <w:t>the mindset the first piece of evidence created</w:t>
      </w:r>
      <w:r w:rsidR="001A4354" w:rsidRPr="00E94148">
        <w:rPr>
          <w:rFonts w:ascii="Cambria" w:hAnsi="Cambria" w:cs="Times New Roman"/>
          <w:sz w:val="24"/>
          <w:szCs w:val="24"/>
        </w:rPr>
        <w:t>.</w:t>
      </w:r>
      <w:r w:rsidR="00515F2B" w:rsidRPr="00E94148">
        <w:rPr>
          <w:rFonts w:ascii="Cambria" w:hAnsi="Cambria" w:cs="Times New Roman"/>
          <w:sz w:val="24"/>
          <w:szCs w:val="24"/>
        </w:rPr>
        <w:t xml:space="preserve"> However, the technological anchoring is </w:t>
      </w:r>
      <w:r w:rsidR="00B94FFB" w:rsidRPr="00E94148">
        <w:rPr>
          <w:rFonts w:ascii="Cambria" w:hAnsi="Cambria" w:cs="Times New Roman"/>
          <w:sz w:val="24"/>
          <w:szCs w:val="24"/>
        </w:rPr>
        <w:t xml:space="preserve">based not on the </w:t>
      </w:r>
      <w:r w:rsidR="0092077C" w:rsidRPr="00E94148">
        <w:rPr>
          <w:rFonts w:ascii="Cambria" w:hAnsi="Cambria" w:cs="Times New Roman"/>
          <w:sz w:val="24"/>
          <w:szCs w:val="24"/>
        </w:rPr>
        <w:t xml:space="preserve">chronology of the evidence, but on the argument that such technology is designed and </w:t>
      </w:r>
      <w:r w:rsidR="009E408E" w:rsidRPr="00E94148">
        <w:rPr>
          <w:rFonts w:ascii="Cambria" w:hAnsi="Cambria" w:cs="Times New Roman"/>
          <w:sz w:val="24"/>
          <w:szCs w:val="24"/>
        </w:rPr>
        <w:t xml:space="preserve">promoted as being a highly precise and expert technology </w:t>
      </w:r>
      <w:r w:rsidR="0044391C" w:rsidRPr="00E94148">
        <w:rPr>
          <w:rFonts w:ascii="Cambria" w:hAnsi="Cambria" w:cs="Times New Roman"/>
          <w:sz w:val="24"/>
          <w:szCs w:val="24"/>
        </w:rPr>
        <w:t xml:space="preserve">in its </w:t>
      </w:r>
      <w:r w:rsidR="005D1E3B" w:rsidRPr="00E94148">
        <w:rPr>
          <w:rFonts w:ascii="Cambria" w:hAnsi="Cambria" w:cs="Times New Roman"/>
          <w:sz w:val="24"/>
          <w:szCs w:val="24"/>
        </w:rPr>
        <w:t>functioning</w:t>
      </w:r>
      <w:r w:rsidR="00DA055C" w:rsidRPr="00E94148">
        <w:rPr>
          <w:rStyle w:val="FootnoteReference"/>
          <w:rFonts w:ascii="Cambria" w:hAnsi="Cambria" w:cs="Times New Roman"/>
          <w:sz w:val="24"/>
          <w:szCs w:val="24"/>
        </w:rPr>
        <w:footnoteReference w:id="34"/>
      </w:r>
      <w:r w:rsidR="005D1E3B" w:rsidRPr="00E94148">
        <w:rPr>
          <w:rFonts w:ascii="Cambria" w:hAnsi="Cambria" w:cs="Times New Roman"/>
          <w:sz w:val="24"/>
          <w:szCs w:val="24"/>
        </w:rPr>
        <w:t xml:space="preserve">. </w:t>
      </w:r>
      <w:r w:rsidR="009363E1" w:rsidRPr="00E94148">
        <w:rPr>
          <w:rFonts w:ascii="Cambria" w:hAnsi="Cambria" w:cs="Times New Roman"/>
          <w:sz w:val="24"/>
          <w:szCs w:val="24"/>
        </w:rPr>
        <w:t xml:space="preserve">This component of high technology leads to </w:t>
      </w:r>
      <w:r w:rsidR="00223040" w:rsidRPr="00E94148">
        <w:rPr>
          <w:rFonts w:ascii="Cambria" w:hAnsi="Cambria" w:cs="Times New Roman"/>
          <w:sz w:val="24"/>
          <w:szCs w:val="24"/>
        </w:rPr>
        <w:t xml:space="preserve">assess that </w:t>
      </w:r>
      <w:r w:rsidR="000C5E81" w:rsidRPr="00E94148">
        <w:rPr>
          <w:rFonts w:ascii="Cambria" w:hAnsi="Cambria" w:cs="Times New Roman"/>
          <w:sz w:val="24"/>
          <w:szCs w:val="24"/>
        </w:rPr>
        <w:t xml:space="preserve">decision makers </w:t>
      </w:r>
      <w:r w:rsidR="005C76FA" w:rsidRPr="00E94148">
        <w:rPr>
          <w:rFonts w:ascii="Cambria" w:hAnsi="Cambria" w:cs="Times New Roman"/>
          <w:sz w:val="24"/>
          <w:szCs w:val="24"/>
        </w:rPr>
        <w:t xml:space="preserve">can </w:t>
      </w:r>
      <w:r w:rsidR="00D24FF8" w:rsidRPr="00E94148">
        <w:rPr>
          <w:rFonts w:ascii="Cambria" w:hAnsi="Cambria" w:cs="Times New Roman"/>
          <w:sz w:val="24"/>
          <w:szCs w:val="24"/>
        </w:rPr>
        <w:t xml:space="preserve">let themselves influenced more easily than </w:t>
      </w:r>
      <w:r w:rsidR="003564A7" w:rsidRPr="00E94148">
        <w:rPr>
          <w:rFonts w:ascii="Cambria" w:hAnsi="Cambria" w:cs="Times New Roman"/>
          <w:sz w:val="24"/>
          <w:szCs w:val="24"/>
        </w:rPr>
        <w:t xml:space="preserve">if it was </w:t>
      </w:r>
      <w:r w:rsidR="002A0748" w:rsidRPr="00E94148">
        <w:rPr>
          <w:rFonts w:ascii="Cambria" w:hAnsi="Cambria" w:cs="Times New Roman"/>
          <w:sz w:val="24"/>
          <w:szCs w:val="24"/>
        </w:rPr>
        <w:t xml:space="preserve">a less advanced mean </w:t>
      </w:r>
      <w:r w:rsidR="002E146E" w:rsidRPr="00E94148">
        <w:rPr>
          <w:rFonts w:ascii="Cambria" w:hAnsi="Cambria" w:cs="Times New Roman"/>
          <w:sz w:val="24"/>
          <w:szCs w:val="24"/>
        </w:rPr>
        <w:t xml:space="preserve">of </w:t>
      </w:r>
      <w:r w:rsidR="003C0715" w:rsidRPr="00E94148">
        <w:rPr>
          <w:rFonts w:ascii="Cambria" w:hAnsi="Cambria" w:cs="Times New Roman"/>
          <w:sz w:val="24"/>
          <w:szCs w:val="24"/>
        </w:rPr>
        <w:t>advising.</w:t>
      </w:r>
      <w:r w:rsidR="002A0EE7" w:rsidRPr="00E94148">
        <w:rPr>
          <w:rFonts w:ascii="Cambria" w:hAnsi="Cambria" w:cs="Times New Roman"/>
          <w:sz w:val="24"/>
          <w:szCs w:val="24"/>
        </w:rPr>
        <w:t xml:space="preserve"> Hence the technological anchoring could be a</w:t>
      </w:r>
      <w:r w:rsidR="00D41A05" w:rsidRPr="00E94148">
        <w:rPr>
          <w:rFonts w:ascii="Cambria" w:hAnsi="Cambria" w:cs="Times New Roman"/>
          <w:sz w:val="24"/>
          <w:szCs w:val="24"/>
        </w:rPr>
        <w:t xml:space="preserve"> direct influencer in such a way, where the algorithm </w:t>
      </w:r>
      <w:r w:rsidR="00D41A05" w:rsidRPr="00E94148">
        <w:rPr>
          <w:rFonts w:ascii="Cambria" w:hAnsi="Cambria" w:cs="Times New Roman"/>
          <w:sz w:val="24"/>
          <w:szCs w:val="24"/>
        </w:rPr>
        <w:lastRenderedPageBreak/>
        <w:t xml:space="preserve">because of its functioning could lead to </w:t>
      </w:r>
      <w:r w:rsidR="007077CD" w:rsidRPr="00E94148">
        <w:rPr>
          <w:rFonts w:ascii="Cambria" w:hAnsi="Cambria" w:cs="Times New Roman"/>
          <w:sz w:val="24"/>
          <w:szCs w:val="24"/>
        </w:rPr>
        <w:t xml:space="preserve">subconsciously influence the judge and it would be hard for the judge to depart from the result of the algorithm. </w:t>
      </w:r>
    </w:p>
    <w:p w14:paraId="58C99490" w14:textId="77777777" w:rsidR="00445A92" w:rsidRPr="00E94148" w:rsidRDefault="00445A92" w:rsidP="008553F4">
      <w:pPr>
        <w:spacing w:line="276" w:lineRule="auto"/>
        <w:jc w:val="both"/>
        <w:rPr>
          <w:rFonts w:ascii="Cambria" w:hAnsi="Cambria" w:cs="Times New Roman"/>
          <w:sz w:val="24"/>
          <w:szCs w:val="24"/>
        </w:rPr>
      </w:pPr>
      <w:r w:rsidRPr="00E94148">
        <w:rPr>
          <w:rFonts w:ascii="Cambria" w:hAnsi="Cambria" w:cs="Times New Roman"/>
          <w:sz w:val="24"/>
          <w:szCs w:val="24"/>
        </w:rPr>
        <w:tab/>
      </w:r>
      <w:r w:rsidR="00AE7756" w:rsidRPr="00E94148">
        <w:rPr>
          <w:rFonts w:ascii="Cambria" w:hAnsi="Cambria" w:cs="Times New Roman"/>
          <w:sz w:val="24"/>
          <w:szCs w:val="24"/>
        </w:rPr>
        <w:t xml:space="preserve">The </w:t>
      </w:r>
      <w:r w:rsidR="00720F70" w:rsidRPr="00E94148">
        <w:rPr>
          <w:rFonts w:ascii="Cambria" w:hAnsi="Cambria" w:cs="Times New Roman"/>
          <w:sz w:val="24"/>
          <w:szCs w:val="24"/>
          <w:shd w:val="clear" w:color="auto" w:fill="FFFFFF"/>
        </w:rPr>
        <w:t>Glistening Simulacrum</w:t>
      </w:r>
      <w:r w:rsidR="00720F70" w:rsidRPr="00E94148">
        <w:rPr>
          <w:rFonts w:ascii="Cambria" w:hAnsi="Cambria" w:cs="Times New Roman"/>
          <w:sz w:val="24"/>
          <w:szCs w:val="24"/>
        </w:rPr>
        <w:t xml:space="preserve"> </w:t>
      </w:r>
      <w:r w:rsidR="00AE7756" w:rsidRPr="00E94148">
        <w:rPr>
          <w:rFonts w:ascii="Cambria" w:hAnsi="Cambria" w:cs="Times New Roman"/>
          <w:sz w:val="24"/>
          <w:szCs w:val="24"/>
        </w:rPr>
        <w:t xml:space="preserve">is the pervasive effect of the A.I., it is the capacity of the technology to </w:t>
      </w:r>
      <w:r w:rsidR="001A3CBE" w:rsidRPr="00E94148">
        <w:rPr>
          <w:rFonts w:ascii="Cambria" w:hAnsi="Cambria" w:cs="Times New Roman"/>
          <w:sz w:val="24"/>
          <w:szCs w:val="24"/>
        </w:rPr>
        <w:t xml:space="preserve">best or to </w:t>
      </w:r>
      <w:r w:rsidR="00AE7756" w:rsidRPr="00E94148">
        <w:rPr>
          <w:rFonts w:ascii="Cambria" w:hAnsi="Cambria" w:cs="Times New Roman"/>
          <w:sz w:val="24"/>
          <w:szCs w:val="24"/>
        </w:rPr>
        <w:t xml:space="preserve">fool humans in the </w:t>
      </w:r>
      <w:r w:rsidR="005639E4" w:rsidRPr="00E94148">
        <w:rPr>
          <w:rFonts w:ascii="Cambria" w:hAnsi="Cambria" w:cs="Times New Roman"/>
          <w:sz w:val="24"/>
          <w:szCs w:val="24"/>
        </w:rPr>
        <w:t>decision-making</w:t>
      </w:r>
      <w:r w:rsidR="00AE7756" w:rsidRPr="00E94148">
        <w:rPr>
          <w:rFonts w:ascii="Cambria" w:hAnsi="Cambria" w:cs="Times New Roman"/>
          <w:sz w:val="24"/>
          <w:szCs w:val="24"/>
        </w:rPr>
        <w:t xml:space="preserve"> process</w:t>
      </w:r>
      <w:r w:rsidR="00DD4F2D" w:rsidRPr="00E94148">
        <w:rPr>
          <w:rStyle w:val="FootnoteReference"/>
          <w:rFonts w:ascii="Cambria" w:hAnsi="Cambria" w:cs="Times New Roman"/>
          <w:sz w:val="24"/>
          <w:szCs w:val="24"/>
        </w:rPr>
        <w:footnoteReference w:id="35"/>
      </w:r>
      <w:r w:rsidR="00B232B8" w:rsidRPr="00E94148">
        <w:rPr>
          <w:rFonts w:ascii="Cambria" w:hAnsi="Cambria" w:cs="Times New Roman"/>
          <w:sz w:val="24"/>
          <w:szCs w:val="24"/>
        </w:rPr>
        <w:t xml:space="preserve">. In this perspective it </w:t>
      </w:r>
      <w:r w:rsidR="00126162" w:rsidRPr="00E94148">
        <w:rPr>
          <w:rFonts w:ascii="Cambria" w:hAnsi="Cambria" w:cs="Times New Roman"/>
          <w:sz w:val="24"/>
          <w:szCs w:val="24"/>
        </w:rPr>
        <w:t>could</w:t>
      </w:r>
      <w:r w:rsidR="00B232B8" w:rsidRPr="00E94148">
        <w:rPr>
          <w:rFonts w:ascii="Cambria" w:hAnsi="Cambria" w:cs="Times New Roman"/>
          <w:sz w:val="24"/>
          <w:szCs w:val="24"/>
        </w:rPr>
        <w:t xml:space="preserve"> </w:t>
      </w:r>
      <w:r w:rsidR="002C3E8F" w:rsidRPr="00E94148">
        <w:rPr>
          <w:rFonts w:ascii="Cambria" w:hAnsi="Cambria" w:cs="Times New Roman"/>
          <w:sz w:val="24"/>
          <w:szCs w:val="24"/>
        </w:rPr>
        <w:t>influence</w:t>
      </w:r>
      <w:r w:rsidR="00B232B8" w:rsidRPr="00E94148">
        <w:rPr>
          <w:rFonts w:ascii="Cambria" w:hAnsi="Cambria" w:cs="Times New Roman"/>
          <w:sz w:val="24"/>
          <w:szCs w:val="24"/>
        </w:rPr>
        <w:t xml:space="preserve"> the judge to take a decision</w:t>
      </w:r>
      <w:r w:rsidR="005639E4" w:rsidRPr="00E94148">
        <w:rPr>
          <w:rFonts w:ascii="Cambria" w:hAnsi="Cambria" w:cs="Times New Roman"/>
          <w:sz w:val="24"/>
          <w:szCs w:val="24"/>
        </w:rPr>
        <w:t xml:space="preserve"> that </w:t>
      </w:r>
      <w:r w:rsidR="0073297D" w:rsidRPr="00E94148">
        <w:rPr>
          <w:rFonts w:ascii="Cambria" w:hAnsi="Cambria" w:cs="Times New Roman"/>
          <w:sz w:val="24"/>
          <w:szCs w:val="24"/>
        </w:rPr>
        <w:t xml:space="preserve">would be unethical </w:t>
      </w:r>
      <w:r w:rsidR="008D152E" w:rsidRPr="00E94148">
        <w:rPr>
          <w:rFonts w:ascii="Cambria" w:hAnsi="Cambria" w:cs="Times New Roman"/>
          <w:sz w:val="24"/>
          <w:szCs w:val="24"/>
        </w:rPr>
        <w:t xml:space="preserve">or totally disproportionate to the situation at hand. </w:t>
      </w:r>
    </w:p>
    <w:p w14:paraId="485546C2" w14:textId="77777777" w:rsidR="00570236" w:rsidRPr="00E94148" w:rsidRDefault="00570236" w:rsidP="008553F4">
      <w:pPr>
        <w:spacing w:line="276" w:lineRule="auto"/>
        <w:jc w:val="both"/>
        <w:rPr>
          <w:rFonts w:ascii="Cambria" w:hAnsi="Cambria" w:cs="Times New Roman"/>
          <w:sz w:val="24"/>
          <w:szCs w:val="24"/>
        </w:rPr>
      </w:pPr>
      <w:r w:rsidRPr="00E94148">
        <w:rPr>
          <w:rFonts w:ascii="Cambria" w:hAnsi="Cambria" w:cs="Times New Roman"/>
          <w:sz w:val="24"/>
          <w:szCs w:val="24"/>
        </w:rPr>
        <w:tab/>
      </w:r>
      <w:r w:rsidR="00CC15F3" w:rsidRPr="00E94148">
        <w:rPr>
          <w:rFonts w:ascii="Cambria" w:hAnsi="Cambria" w:cs="Times New Roman"/>
          <w:sz w:val="24"/>
          <w:szCs w:val="24"/>
        </w:rPr>
        <w:t>The “sheep effect” is one that pose</w:t>
      </w:r>
      <w:r w:rsidR="00590F16">
        <w:rPr>
          <w:rFonts w:ascii="Cambria" w:hAnsi="Cambria" w:cs="Times New Roman"/>
          <w:sz w:val="24"/>
          <w:szCs w:val="24"/>
        </w:rPr>
        <w:t>s</w:t>
      </w:r>
      <w:r w:rsidR="00CC15F3" w:rsidRPr="00E94148">
        <w:rPr>
          <w:rFonts w:ascii="Cambria" w:hAnsi="Cambria" w:cs="Times New Roman"/>
          <w:sz w:val="24"/>
          <w:szCs w:val="24"/>
        </w:rPr>
        <w:t xml:space="preserve"> a major challenge to the independence of the judges</w:t>
      </w:r>
      <w:r w:rsidR="00DA055C" w:rsidRPr="00E94148">
        <w:rPr>
          <w:rStyle w:val="FootnoteReference"/>
          <w:rFonts w:ascii="Cambria" w:hAnsi="Cambria" w:cs="Times New Roman"/>
          <w:sz w:val="24"/>
          <w:szCs w:val="24"/>
        </w:rPr>
        <w:footnoteReference w:id="36"/>
      </w:r>
      <w:r w:rsidR="00CC15F3" w:rsidRPr="00E94148">
        <w:rPr>
          <w:rFonts w:ascii="Cambria" w:hAnsi="Cambria" w:cs="Times New Roman"/>
          <w:sz w:val="24"/>
          <w:szCs w:val="24"/>
        </w:rPr>
        <w:t xml:space="preserve">. Indeed, this type of influence </w:t>
      </w:r>
      <w:r w:rsidR="00255A44" w:rsidRPr="00E94148">
        <w:rPr>
          <w:rFonts w:ascii="Cambria" w:hAnsi="Cambria" w:cs="Times New Roman"/>
          <w:sz w:val="24"/>
          <w:szCs w:val="24"/>
        </w:rPr>
        <w:t>is one that transform</w:t>
      </w:r>
      <w:r w:rsidR="00590F16">
        <w:rPr>
          <w:rFonts w:ascii="Cambria" w:hAnsi="Cambria" w:cs="Times New Roman"/>
          <w:sz w:val="24"/>
          <w:szCs w:val="24"/>
        </w:rPr>
        <w:t>s</w:t>
      </w:r>
      <w:r w:rsidR="00255A44" w:rsidRPr="00E94148">
        <w:rPr>
          <w:rFonts w:ascii="Cambria" w:hAnsi="Cambria" w:cs="Times New Roman"/>
          <w:sz w:val="24"/>
          <w:szCs w:val="24"/>
        </w:rPr>
        <w:t xml:space="preserve"> the judge from an actual decision-maker to a token of the algorithm outcome</w:t>
      </w:r>
      <w:r w:rsidR="00DA055C" w:rsidRPr="00E94148">
        <w:rPr>
          <w:rStyle w:val="FootnoteReference"/>
          <w:rFonts w:ascii="Cambria" w:hAnsi="Cambria" w:cs="Times New Roman"/>
          <w:sz w:val="24"/>
          <w:szCs w:val="24"/>
        </w:rPr>
        <w:footnoteReference w:id="37"/>
      </w:r>
      <w:r w:rsidR="00255A44" w:rsidRPr="00E94148">
        <w:rPr>
          <w:rFonts w:ascii="Cambria" w:hAnsi="Cambria" w:cs="Times New Roman"/>
          <w:sz w:val="24"/>
          <w:szCs w:val="24"/>
        </w:rPr>
        <w:t xml:space="preserve">. This means that the Judge is only applying what the algorithm found </w:t>
      </w:r>
      <w:r w:rsidR="00623ABE" w:rsidRPr="00E94148">
        <w:rPr>
          <w:rFonts w:ascii="Cambria" w:hAnsi="Cambria" w:cs="Times New Roman"/>
          <w:sz w:val="24"/>
          <w:szCs w:val="24"/>
        </w:rPr>
        <w:t xml:space="preserve">without </w:t>
      </w:r>
      <w:r w:rsidR="008D7A7F" w:rsidRPr="00E94148">
        <w:rPr>
          <w:rFonts w:ascii="Cambria" w:hAnsi="Cambria" w:cs="Times New Roman"/>
          <w:sz w:val="24"/>
          <w:szCs w:val="24"/>
        </w:rPr>
        <w:t xml:space="preserve">necessarily explaining the reason for such decision. In this case, the algorithm </w:t>
      </w:r>
      <w:r w:rsidR="00607EE6" w:rsidRPr="00E94148">
        <w:rPr>
          <w:rFonts w:ascii="Cambria" w:hAnsi="Cambria" w:cs="Times New Roman"/>
          <w:sz w:val="24"/>
          <w:szCs w:val="24"/>
        </w:rPr>
        <w:t xml:space="preserve">implicitly </w:t>
      </w:r>
      <w:r w:rsidR="0067436A" w:rsidRPr="00E94148">
        <w:rPr>
          <w:rFonts w:ascii="Cambria" w:hAnsi="Cambria" w:cs="Times New Roman"/>
          <w:sz w:val="24"/>
          <w:szCs w:val="24"/>
        </w:rPr>
        <w:t>takes</w:t>
      </w:r>
      <w:r w:rsidR="008D7A7F" w:rsidRPr="00E94148">
        <w:rPr>
          <w:rFonts w:ascii="Cambria" w:hAnsi="Cambria" w:cs="Times New Roman"/>
          <w:sz w:val="24"/>
          <w:szCs w:val="24"/>
        </w:rPr>
        <w:t xml:space="preserve"> over the decision </w:t>
      </w:r>
      <w:r w:rsidR="009E0127" w:rsidRPr="00E94148">
        <w:rPr>
          <w:rFonts w:ascii="Cambria" w:hAnsi="Cambria" w:cs="Times New Roman"/>
          <w:sz w:val="24"/>
          <w:szCs w:val="24"/>
        </w:rPr>
        <w:t>process,</w:t>
      </w:r>
      <w:r w:rsidR="008D7A7F" w:rsidRPr="00E94148">
        <w:rPr>
          <w:rFonts w:ascii="Cambria" w:hAnsi="Cambria" w:cs="Times New Roman"/>
          <w:sz w:val="24"/>
          <w:szCs w:val="24"/>
        </w:rPr>
        <w:t xml:space="preserve"> which </w:t>
      </w:r>
      <w:r w:rsidR="003B77CE" w:rsidRPr="00E94148">
        <w:rPr>
          <w:rFonts w:ascii="Cambria" w:hAnsi="Cambria" w:cs="Times New Roman"/>
          <w:sz w:val="24"/>
          <w:szCs w:val="24"/>
        </w:rPr>
        <w:t xml:space="preserve">represents a real danger </w:t>
      </w:r>
      <w:r w:rsidR="00242855" w:rsidRPr="00E94148">
        <w:rPr>
          <w:rFonts w:ascii="Cambria" w:hAnsi="Cambria" w:cs="Times New Roman"/>
          <w:sz w:val="24"/>
          <w:szCs w:val="24"/>
        </w:rPr>
        <w:t>for the principle of judicial independence in European human rights law</w:t>
      </w:r>
      <w:r w:rsidR="00031BC4" w:rsidRPr="00E94148">
        <w:rPr>
          <w:rFonts w:ascii="Cambria" w:hAnsi="Cambria" w:cs="Times New Roman"/>
          <w:sz w:val="24"/>
          <w:szCs w:val="24"/>
        </w:rPr>
        <w:t>.</w:t>
      </w:r>
    </w:p>
    <w:p w14:paraId="0A885047" w14:textId="77777777" w:rsidR="00D873BA" w:rsidRPr="00E94148" w:rsidRDefault="00D873BA" w:rsidP="008553F4">
      <w:pPr>
        <w:spacing w:line="276" w:lineRule="auto"/>
        <w:jc w:val="both"/>
        <w:rPr>
          <w:rFonts w:ascii="Cambria" w:hAnsi="Cambria" w:cs="Times New Roman"/>
          <w:sz w:val="24"/>
          <w:szCs w:val="24"/>
        </w:rPr>
      </w:pPr>
      <w:r w:rsidRPr="00E94148">
        <w:rPr>
          <w:rFonts w:ascii="Cambria" w:hAnsi="Cambria" w:cs="Times New Roman"/>
          <w:sz w:val="24"/>
          <w:szCs w:val="24"/>
        </w:rPr>
        <w:tab/>
        <w:t xml:space="preserve">One can see that the judge could thus be influenced at different extent </w:t>
      </w:r>
      <w:proofErr w:type="gramStart"/>
      <w:r w:rsidRPr="00E94148">
        <w:rPr>
          <w:rFonts w:ascii="Cambria" w:hAnsi="Cambria" w:cs="Times New Roman"/>
          <w:sz w:val="24"/>
          <w:szCs w:val="24"/>
        </w:rPr>
        <w:t>by the use of</w:t>
      </w:r>
      <w:proofErr w:type="gramEnd"/>
      <w:r w:rsidRPr="00E94148">
        <w:rPr>
          <w:rFonts w:ascii="Cambria" w:hAnsi="Cambria" w:cs="Times New Roman"/>
          <w:sz w:val="24"/>
          <w:szCs w:val="24"/>
        </w:rPr>
        <w:t xml:space="preserve"> the algorithm. </w:t>
      </w:r>
      <w:r w:rsidR="00F34CCE" w:rsidRPr="00E94148">
        <w:rPr>
          <w:rFonts w:ascii="Cambria" w:hAnsi="Cambria" w:cs="Times New Roman"/>
          <w:sz w:val="24"/>
          <w:szCs w:val="24"/>
        </w:rPr>
        <w:t xml:space="preserve">Such </w:t>
      </w:r>
      <w:r w:rsidR="0008278C" w:rsidRPr="00E94148">
        <w:rPr>
          <w:rFonts w:ascii="Cambria" w:hAnsi="Cambria" w:cs="Times New Roman"/>
          <w:sz w:val="24"/>
          <w:szCs w:val="24"/>
        </w:rPr>
        <w:t>direct influence pose</w:t>
      </w:r>
      <w:r w:rsidR="00590F16">
        <w:rPr>
          <w:rFonts w:ascii="Cambria" w:hAnsi="Cambria" w:cs="Times New Roman"/>
          <w:sz w:val="24"/>
          <w:szCs w:val="24"/>
        </w:rPr>
        <w:t>s</w:t>
      </w:r>
      <w:r w:rsidR="0008278C" w:rsidRPr="00E94148">
        <w:rPr>
          <w:rFonts w:ascii="Cambria" w:hAnsi="Cambria" w:cs="Times New Roman"/>
          <w:sz w:val="24"/>
          <w:szCs w:val="24"/>
        </w:rPr>
        <w:t xml:space="preserve"> </w:t>
      </w:r>
      <w:r w:rsidR="00DF6DFE" w:rsidRPr="00E94148">
        <w:rPr>
          <w:rFonts w:ascii="Cambria" w:hAnsi="Cambria" w:cs="Times New Roman"/>
          <w:sz w:val="24"/>
          <w:szCs w:val="24"/>
        </w:rPr>
        <w:t xml:space="preserve">vital issues to the principle of independence, especially in cases where the Judge would not dare </w:t>
      </w:r>
      <w:r w:rsidR="00005559" w:rsidRPr="00E94148">
        <w:rPr>
          <w:rFonts w:ascii="Cambria" w:hAnsi="Cambria" w:cs="Times New Roman"/>
          <w:sz w:val="24"/>
          <w:szCs w:val="24"/>
        </w:rPr>
        <w:t xml:space="preserve">go against the recommendations of the algorithm. </w:t>
      </w:r>
      <w:proofErr w:type="gramStart"/>
      <w:r w:rsidR="00005559" w:rsidRPr="00E94148">
        <w:rPr>
          <w:rFonts w:ascii="Cambria" w:hAnsi="Cambria" w:cs="Times New Roman"/>
          <w:sz w:val="24"/>
          <w:szCs w:val="24"/>
        </w:rPr>
        <w:t>In order to</w:t>
      </w:r>
      <w:proofErr w:type="gramEnd"/>
      <w:r w:rsidR="00005559" w:rsidRPr="00E94148">
        <w:rPr>
          <w:rFonts w:ascii="Cambria" w:hAnsi="Cambria" w:cs="Times New Roman"/>
          <w:sz w:val="24"/>
          <w:szCs w:val="24"/>
        </w:rPr>
        <w:t xml:space="preserve"> lesser such an influence, it would be necessary to make such an algorithm better explainable and </w:t>
      </w:r>
      <w:r w:rsidR="00185286" w:rsidRPr="00E94148">
        <w:rPr>
          <w:rFonts w:ascii="Cambria" w:hAnsi="Cambria" w:cs="Times New Roman"/>
          <w:sz w:val="24"/>
          <w:szCs w:val="24"/>
        </w:rPr>
        <w:t>transparent as it will be demonstrated in part III.</w:t>
      </w:r>
    </w:p>
    <w:p w14:paraId="2A7C786E" w14:textId="77777777" w:rsidR="003F17C2" w:rsidRPr="00E94148" w:rsidRDefault="003F17C2"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More than a direct influence, A.I could also represent an indirect mean for illegitimate actors to play a role in the </w:t>
      </w:r>
      <w:r w:rsidR="00173C95" w:rsidRPr="00E94148">
        <w:rPr>
          <w:rFonts w:ascii="Cambria" w:hAnsi="Cambria" w:cs="Times New Roman"/>
          <w:sz w:val="24"/>
          <w:szCs w:val="24"/>
        </w:rPr>
        <w:t xml:space="preserve">development of the </w:t>
      </w:r>
      <w:r w:rsidR="00682746" w:rsidRPr="00E94148">
        <w:rPr>
          <w:rFonts w:ascii="Cambria" w:hAnsi="Cambria" w:cs="Times New Roman"/>
          <w:sz w:val="24"/>
          <w:szCs w:val="24"/>
        </w:rPr>
        <w:t xml:space="preserve">A.I. As such, A.I could represent a </w:t>
      </w:r>
      <w:r w:rsidR="00E964DA" w:rsidRPr="00E94148">
        <w:rPr>
          <w:rFonts w:ascii="Cambria" w:hAnsi="Cambria" w:cs="Times New Roman"/>
          <w:sz w:val="24"/>
          <w:szCs w:val="24"/>
        </w:rPr>
        <w:t>conduit</w:t>
      </w:r>
      <w:r w:rsidR="00682746" w:rsidRPr="00E94148">
        <w:rPr>
          <w:rFonts w:ascii="Cambria" w:hAnsi="Cambria" w:cs="Times New Roman"/>
          <w:sz w:val="24"/>
          <w:szCs w:val="24"/>
        </w:rPr>
        <w:t xml:space="preserve"> of their values and reasoning that could influence the judge </w:t>
      </w:r>
      <w:r w:rsidR="00E964DA" w:rsidRPr="00E94148">
        <w:rPr>
          <w:rFonts w:ascii="Cambria" w:hAnsi="Cambria" w:cs="Times New Roman"/>
          <w:sz w:val="24"/>
          <w:szCs w:val="24"/>
        </w:rPr>
        <w:t>on the judicial decision making</w:t>
      </w:r>
      <w:r w:rsidR="00DD4F2D" w:rsidRPr="00E94148">
        <w:rPr>
          <w:rStyle w:val="FootnoteReference"/>
          <w:rFonts w:ascii="Cambria" w:hAnsi="Cambria" w:cs="Times New Roman"/>
          <w:sz w:val="24"/>
          <w:szCs w:val="24"/>
        </w:rPr>
        <w:footnoteReference w:id="38"/>
      </w:r>
      <w:r w:rsidR="00E964DA" w:rsidRPr="00E94148">
        <w:rPr>
          <w:rFonts w:ascii="Cambria" w:hAnsi="Cambria" w:cs="Times New Roman"/>
          <w:sz w:val="24"/>
          <w:szCs w:val="24"/>
        </w:rPr>
        <w:t>.</w:t>
      </w:r>
      <w:r w:rsidR="007F7E07" w:rsidRPr="00E94148">
        <w:rPr>
          <w:rFonts w:ascii="Cambria" w:hAnsi="Cambria" w:cs="Times New Roman"/>
          <w:sz w:val="24"/>
          <w:szCs w:val="24"/>
        </w:rPr>
        <w:t xml:space="preserve"> The challenge would regard both traditional actors of the principle of independence, such as the Executive, but also “Legal Techs”</w:t>
      </w:r>
      <w:r w:rsidR="00EB3EC0" w:rsidRPr="00E94148">
        <w:rPr>
          <w:rFonts w:ascii="Cambria" w:hAnsi="Cambria" w:cs="Times New Roman"/>
          <w:sz w:val="24"/>
          <w:szCs w:val="24"/>
        </w:rPr>
        <w:t xml:space="preserve">, private entities that have the potential to interfere directly with </w:t>
      </w:r>
      <w:r w:rsidR="002E46A8" w:rsidRPr="00E94148">
        <w:rPr>
          <w:rFonts w:ascii="Cambria" w:hAnsi="Cambria" w:cs="Times New Roman"/>
          <w:sz w:val="24"/>
          <w:szCs w:val="24"/>
        </w:rPr>
        <w:t>the</w:t>
      </w:r>
      <w:r w:rsidR="00EB3EC0" w:rsidRPr="00E94148">
        <w:rPr>
          <w:rFonts w:ascii="Cambria" w:hAnsi="Cambria" w:cs="Times New Roman"/>
          <w:sz w:val="24"/>
          <w:szCs w:val="24"/>
        </w:rPr>
        <w:t xml:space="preserve"> judicial decision making.</w:t>
      </w:r>
      <w:r w:rsidR="00C51D0C" w:rsidRPr="00E94148">
        <w:rPr>
          <w:rFonts w:ascii="Cambria" w:hAnsi="Cambria" w:cs="Times New Roman"/>
          <w:sz w:val="24"/>
          <w:szCs w:val="24"/>
        </w:rPr>
        <w:t xml:space="preserve"> </w:t>
      </w:r>
      <w:r w:rsidR="0067436A" w:rsidRPr="00E94148">
        <w:rPr>
          <w:rFonts w:ascii="Cambria" w:hAnsi="Cambria" w:cs="Times New Roman"/>
          <w:sz w:val="24"/>
          <w:szCs w:val="24"/>
        </w:rPr>
        <w:t xml:space="preserve">Indeed, despite the name, artificial intelligence </w:t>
      </w:r>
      <w:r w:rsidR="00DD4F2D" w:rsidRPr="00E94148">
        <w:rPr>
          <w:rFonts w:ascii="Cambria" w:hAnsi="Cambria" w:cs="Times New Roman"/>
          <w:sz w:val="24"/>
          <w:szCs w:val="24"/>
        </w:rPr>
        <w:t>does</w:t>
      </w:r>
      <w:r w:rsidR="0067436A" w:rsidRPr="00E94148">
        <w:rPr>
          <w:rFonts w:ascii="Cambria" w:hAnsi="Cambria" w:cs="Times New Roman"/>
          <w:sz w:val="24"/>
          <w:szCs w:val="24"/>
        </w:rPr>
        <w:t xml:space="preserve"> not</w:t>
      </w:r>
      <w:r w:rsidR="00DD4F2D" w:rsidRPr="00E94148">
        <w:rPr>
          <w:rFonts w:ascii="Cambria" w:hAnsi="Cambria" w:cs="Times New Roman"/>
          <w:sz w:val="24"/>
          <w:szCs w:val="24"/>
        </w:rPr>
        <w:t xml:space="preserve"> act like</w:t>
      </w:r>
      <w:r w:rsidR="0067436A" w:rsidRPr="00E94148">
        <w:rPr>
          <w:rFonts w:ascii="Cambria" w:hAnsi="Cambria" w:cs="Times New Roman"/>
          <w:sz w:val="24"/>
          <w:szCs w:val="24"/>
        </w:rPr>
        <w:t xml:space="preserve"> </w:t>
      </w:r>
      <w:r w:rsidR="00A77FAD" w:rsidRPr="00E94148">
        <w:rPr>
          <w:rFonts w:ascii="Cambria" w:hAnsi="Cambria" w:cs="Times New Roman"/>
          <w:sz w:val="24"/>
          <w:szCs w:val="24"/>
        </w:rPr>
        <w:t>a real intelligence, it is submitted to the programming of its developers and the data it is fed with</w:t>
      </w:r>
      <w:r w:rsidR="00DD4F2D" w:rsidRPr="00E94148">
        <w:rPr>
          <w:rStyle w:val="FootnoteReference"/>
          <w:rFonts w:ascii="Cambria" w:hAnsi="Cambria" w:cs="Times New Roman"/>
          <w:sz w:val="24"/>
          <w:szCs w:val="24"/>
        </w:rPr>
        <w:footnoteReference w:id="39"/>
      </w:r>
      <w:r w:rsidR="00A77FAD" w:rsidRPr="00E94148">
        <w:rPr>
          <w:rFonts w:ascii="Cambria" w:hAnsi="Cambria" w:cs="Times New Roman"/>
          <w:sz w:val="24"/>
          <w:szCs w:val="24"/>
        </w:rPr>
        <w:t xml:space="preserve">. In this perspective, </w:t>
      </w:r>
      <w:r w:rsidR="004C72B0" w:rsidRPr="00E94148">
        <w:rPr>
          <w:rFonts w:ascii="Cambria" w:hAnsi="Cambria" w:cs="Times New Roman"/>
          <w:sz w:val="24"/>
          <w:szCs w:val="24"/>
        </w:rPr>
        <w:t xml:space="preserve">the judgement of the developers to consider some </w:t>
      </w:r>
      <w:r w:rsidR="004C72B0" w:rsidRPr="00E94148">
        <w:rPr>
          <w:rFonts w:ascii="Cambria" w:hAnsi="Cambria" w:cs="Times New Roman"/>
          <w:sz w:val="24"/>
          <w:szCs w:val="24"/>
        </w:rPr>
        <w:lastRenderedPageBreak/>
        <w:t>variable</w:t>
      </w:r>
      <w:r w:rsidR="002E1EC9" w:rsidRPr="00E94148">
        <w:rPr>
          <w:rFonts w:ascii="Cambria" w:hAnsi="Cambria" w:cs="Times New Roman"/>
          <w:sz w:val="24"/>
          <w:szCs w:val="24"/>
        </w:rPr>
        <w:t xml:space="preserve">s instead of others is displaced to the algorithm. Under such a theory, the algorithm would only be the </w:t>
      </w:r>
      <w:r w:rsidR="0046497E" w:rsidRPr="00E94148">
        <w:rPr>
          <w:rFonts w:ascii="Cambria" w:hAnsi="Cambria" w:cs="Times New Roman"/>
          <w:sz w:val="24"/>
          <w:szCs w:val="24"/>
        </w:rPr>
        <w:t xml:space="preserve">extension of the </w:t>
      </w:r>
      <w:proofErr w:type="gramStart"/>
      <w:r w:rsidR="00DD4F2D" w:rsidRPr="00E94148">
        <w:rPr>
          <w:rFonts w:ascii="Cambria" w:hAnsi="Cambria" w:cs="Times New Roman"/>
          <w:sz w:val="24"/>
          <w:szCs w:val="24"/>
        </w:rPr>
        <w:t>developers</w:t>
      </w:r>
      <w:proofErr w:type="gramEnd"/>
      <w:r w:rsidR="00B53DB8" w:rsidRPr="00E94148">
        <w:rPr>
          <w:rFonts w:ascii="Cambria" w:hAnsi="Cambria" w:cs="Times New Roman"/>
          <w:sz w:val="24"/>
          <w:szCs w:val="24"/>
        </w:rPr>
        <w:t xml:space="preserve"> way of thinking and judgement</w:t>
      </w:r>
      <w:r w:rsidR="00EE2205" w:rsidRPr="00E94148">
        <w:rPr>
          <w:rFonts w:ascii="Cambria" w:hAnsi="Cambria" w:cs="Times New Roman"/>
          <w:sz w:val="24"/>
          <w:szCs w:val="24"/>
        </w:rPr>
        <w:t>.</w:t>
      </w:r>
    </w:p>
    <w:p w14:paraId="0424D620" w14:textId="77777777" w:rsidR="008B0CAD" w:rsidRPr="00E94148" w:rsidRDefault="008B0CAD"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The public actors, meaning the Executive, may use such algorithms as a conduit of their own values and influence the outcome of a trial. Whereas under European law, the Executive is forbidden to do so, whether through direct or indirect means</w:t>
      </w:r>
      <w:r w:rsidR="00DD4F2D" w:rsidRPr="00E94148">
        <w:rPr>
          <w:rStyle w:val="FootnoteReference"/>
          <w:rFonts w:ascii="Cambria" w:hAnsi="Cambria" w:cs="Times New Roman"/>
          <w:sz w:val="24"/>
          <w:szCs w:val="24"/>
        </w:rPr>
        <w:footnoteReference w:id="40"/>
      </w:r>
      <w:r w:rsidRPr="00E94148">
        <w:rPr>
          <w:rFonts w:ascii="Cambria" w:hAnsi="Cambria" w:cs="Times New Roman"/>
          <w:sz w:val="24"/>
          <w:szCs w:val="24"/>
        </w:rPr>
        <w:t xml:space="preserve">, </w:t>
      </w:r>
      <w:r w:rsidR="00735BD0" w:rsidRPr="00E94148">
        <w:rPr>
          <w:rFonts w:ascii="Cambria" w:hAnsi="Cambria" w:cs="Times New Roman"/>
          <w:sz w:val="24"/>
          <w:szCs w:val="24"/>
        </w:rPr>
        <w:t>such algorithms could be another mean for the Executive to threaten judicial independence</w:t>
      </w:r>
      <w:r w:rsidR="00A5664E" w:rsidRPr="00E94148">
        <w:rPr>
          <w:rFonts w:ascii="Cambria" w:hAnsi="Cambria" w:cs="Times New Roman"/>
          <w:sz w:val="24"/>
          <w:szCs w:val="24"/>
        </w:rPr>
        <w:t xml:space="preserve">; for these algorithms are often developed </w:t>
      </w:r>
      <w:r w:rsidR="006045AD" w:rsidRPr="00E94148">
        <w:rPr>
          <w:rFonts w:ascii="Cambria" w:hAnsi="Cambria" w:cs="Times New Roman"/>
          <w:sz w:val="24"/>
          <w:szCs w:val="24"/>
        </w:rPr>
        <w:t xml:space="preserve">by private companies </w:t>
      </w:r>
      <w:r w:rsidR="00A5664E" w:rsidRPr="00E94148">
        <w:rPr>
          <w:rFonts w:ascii="Cambria" w:hAnsi="Cambria" w:cs="Times New Roman"/>
          <w:sz w:val="24"/>
          <w:szCs w:val="24"/>
        </w:rPr>
        <w:t xml:space="preserve">and </w:t>
      </w:r>
      <w:r w:rsidR="005F59FB" w:rsidRPr="00E94148">
        <w:rPr>
          <w:rFonts w:ascii="Cambria" w:hAnsi="Cambria" w:cs="Times New Roman"/>
          <w:sz w:val="24"/>
          <w:szCs w:val="24"/>
        </w:rPr>
        <w:t>deployed under Executive monitoring</w:t>
      </w:r>
      <w:r w:rsidR="00DD4F2D" w:rsidRPr="00E94148">
        <w:rPr>
          <w:rStyle w:val="FootnoteReference"/>
          <w:rFonts w:ascii="Cambria" w:hAnsi="Cambria" w:cs="Times New Roman"/>
          <w:sz w:val="24"/>
          <w:szCs w:val="24"/>
        </w:rPr>
        <w:footnoteReference w:id="41"/>
      </w:r>
      <w:r w:rsidR="005F59FB" w:rsidRPr="00E94148">
        <w:rPr>
          <w:rFonts w:ascii="Cambria" w:hAnsi="Cambria" w:cs="Times New Roman"/>
          <w:sz w:val="24"/>
          <w:szCs w:val="24"/>
        </w:rPr>
        <w:t xml:space="preserve">. </w:t>
      </w:r>
    </w:p>
    <w:p w14:paraId="14374C04" w14:textId="77777777" w:rsidR="003837C1" w:rsidRPr="00E94148" w:rsidRDefault="001A15E3"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The private actors</w:t>
      </w:r>
      <w:r w:rsidR="005F59FB" w:rsidRPr="00E94148">
        <w:rPr>
          <w:rFonts w:ascii="Cambria" w:hAnsi="Cambria" w:cs="Times New Roman"/>
          <w:sz w:val="24"/>
          <w:szCs w:val="24"/>
        </w:rPr>
        <w:t xml:space="preserve">, meaning the Legal techs also represent an indirect threat to the judicial independence </w:t>
      </w:r>
      <w:proofErr w:type="gramStart"/>
      <w:r w:rsidR="005F59FB" w:rsidRPr="00E94148">
        <w:rPr>
          <w:rFonts w:ascii="Cambria" w:hAnsi="Cambria" w:cs="Times New Roman"/>
          <w:sz w:val="24"/>
          <w:szCs w:val="24"/>
        </w:rPr>
        <w:t>through the use of</w:t>
      </w:r>
      <w:proofErr w:type="gramEnd"/>
      <w:r w:rsidR="005F59FB" w:rsidRPr="00E94148">
        <w:rPr>
          <w:rFonts w:ascii="Cambria" w:hAnsi="Cambria" w:cs="Times New Roman"/>
          <w:sz w:val="24"/>
          <w:szCs w:val="24"/>
        </w:rPr>
        <w:t xml:space="preserve"> algorithms.</w:t>
      </w:r>
      <w:r w:rsidR="001328BA" w:rsidRPr="00E94148">
        <w:rPr>
          <w:rFonts w:ascii="Cambria" w:hAnsi="Cambria" w:cs="Times New Roman"/>
          <w:sz w:val="24"/>
          <w:szCs w:val="24"/>
        </w:rPr>
        <w:t xml:space="preserve"> This challenge emerges as more and more of private companies are </w:t>
      </w:r>
      <w:r w:rsidR="00C61F43" w:rsidRPr="00E94148">
        <w:rPr>
          <w:rFonts w:ascii="Cambria" w:hAnsi="Cambria" w:cs="Times New Roman"/>
          <w:sz w:val="24"/>
          <w:szCs w:val="24"/>
        </w:rPr>
        <w:t xml:space="preserve">being delegated public powers </w:t>
      </w:r>
      <w:r w:rsidR="00400CED" w:rsidRPr="00E94148">
        <w:rPr>
          <w:rFonts w:ascii="Cambria" w:hAnsi="Cambria" w:cs="Times New Roman"/>
          <w:sz w:val="24"/>
          <w:szCs w:val="24"/>
        </w:rPr>
        <w:t>and</w:t>
      </w:r>
      <w:r w:rsidR="00C61F43" w:rsidRPr="00E94148">
        <w:rPr>
          <w:rFonts w:ascii="Cambria" w:hAnsi="Cambria" w:cs="Times New Roman"/>
          <w:sz w:val="24"/>
          <w:szCs w:val="24"/>
        </w:rPr>
        <w:t xml:space="preserve"> services</w:t>
      </w:r>
      <w:r w:rsidR="00400CED" w:rsidRPr="00E94148">
        <w:rPr>
          <w:rFonts w:ascii="Cambria" w:hAnsi="Cambria" w:cs="Times New Roman"/>
          <w:sz w:val="24"/>
          <w:szCs w:val="24"/>
        </w:rPr>
        <w:t xml:space="preserve"> by the State, </w:t>
      </w:r>
      <w:r w:rsidR="001750F8" w:rsidRPr="00E94148">
        <w:rPr>
          <w:rFonts w:ascii="Cambria" w:hAnsi="Cambria" w:cs="Times New Roman"/>
          <w:sz w:val="24"/>
          <w:szCs w:val="24"/>
        </w:rPr>
        <w:t>such as military and security for instance</w:t>
      </w:r>
      <w:r w:rsidR="00DD4F2D" w:rsidRPr="00E94148">
        <w:rPr>
          <w:rStyle w:val="FootnoteReference"/>
          <w:rFonts w:ascii="Cambria" w:hAnsi="Cambria" w:cs="Times New Roman"/>
          <w:sz w:val="24"/>
          <w:szCs w:val="24"/>
        </w:rPr>
        <w:footnoteReference w:id="42"/>
      </w:r>
      <w:r w:rsidR="001750F8" w:rsidRPr="00E94148">
        <w:rPr>
          <w:rFonts w:ascii="Cambria" w:hAnsi="Cambria" w:cs="Times New Roman"/>
          <w:sz w:val="24"/>
          <w:szCs w:val="24"/>
        </w:rPr>
        <w:t>. However, the power to render Justice has always been perceived as one that is non-delegable</w:t>
      </w:r>
      <w:r w:rsidR="00DD4F2D" w:rsidRPr="00E94148">
        <w:rPr>
          <w:rStyle w:val="FootnoteReference"/>
          <w:rFonts w:ascii="Cambria" w:hAnsi="Cambria" w:cs="Times New Roman"/>
          <w:sz w:val="24"/>
          <w:szCs w:val="24"/>
        </w:rPr>
        <w:footnoteReference w:id="43"/>
      </w:r>
      <w:r w:rsidR="001750F8" w:rsidRPr="00E94148">
        <w:rPr>
          <w:rFonts w:ascii="Cambria" w:hAnsi="Cambria" w:cs="Times New Roman"/>
          <w:sz w:val="24"/>
          <w:szCs w:val="24"/>
        </w:rPr>
        <w:t xml:space="preserve">. </w:t>
      </w:r>
      <w:r w:rsidR="00881C2A" w:rsidRPr="00E94148">
        <w:rPr>
          <w:rFonts w:ascii="Cambria" w:hAnsi="Cambria" w:cs="Times New Roman"/>
          <w:sz w:val="24"/>
          <w:szCs w:val="24"/>
        </w:rPr>
        <w:t>The fact that algorithms developed by these private entities and use by the Judge in criminal trials can however lead to tremendous consequences on the rendering of criminal justice.</w:t>
      </w:r>
      <w:r w:rsidR="005F59FB" w:rsidRPr="00E94148">
        <w:rPr>
          <w:rFonts w:ascii="Cambria" w:hAnsi="Cambria" w:cs="Times New Roman"/>
          <w:sz w:val="24"/>
          <w:szCs w:val="24"/>
        </w:rPr>
        <w:t xml:space="preserve"> </w:t>
      </w:r>
      <w:r w:rsidR="00F82C0D" w:rsidRPr="00E94148">
        <w:rPr>
          <w:rFonts w:ascii="Cambria" w:hAnsi="Cambria" w:cs="Times New Roman"/>
          <w:sz w:val="24"/>
          <w:szCs w:val="24"/>
        </w:rPr>
        <w:t>These algorithms are indeed developed and built by these private companies</w:t>
      </w:r>
      <w:r w:rsidR="00CB32AE" w:rsidRPr="00E94148">
        <w:rPr>
          <w:rFonts w:ascii="Cambria" w:hAnsi="Cambria" w:cs="Times New Roman"/>
          <w:sz w:val="24"/>
          <w:szCs w:val="24"/>
        </w:rPr>
        <w:t xml:space="preserve">; but even if the private sector can be hired to develop products that would help the judicial sector, these products </w:t>
      </w:r>
      <w:r w:rsidR="003E3013" w:rsidRPr="00E94148">
        <w:rPr>
          <w:rFonts w:ascii="Cambria" w:hAnsi="Cambria" w:cs="Times New Roman"/>
          <w:sz w:val="24"/>
          <w:szCs w:val="24"/>
        </w:rPr>
        <w:t xml:space="preserve">were targeting only </w:t>
      </w:r>
      <w:r w:rsidR="0045371F" w:rsidRPr="00E94148">
        <w:rPr>
          <w:rFonts w:ascii="Cambria" w:hAnsi="Cambria" w:cs="Times New Roman"/>
          <w:sz w:val="24"/>
          <w:szCs w:val="24"/>
        </w:rPr>
        <w:t>ancillary</w:t>
      </w:r>
      <w:r w:rsidR="003E3013" w:rsidRPr="00E94148">
        <w:rPr>
          <w:rFonts w:ascii="Cambria" w:hAnsi="Cambria" w:cs="Times New Roman"/>
          <w:sz w:val="24"/>
          <w:szCs w:val="24"/>
        </w:rPr>
        <w:t xml:space="preserve"> activities of the judicial power</w:t>
      </w:r>
      <w:r w:rsidR="009D74B3" w:rsidRPr="00E94148">
        <w:rPr>
          <w:rFonts w:ascii="Cambria" w:hAnsi="Cambria" w:cs="Times New Roman"/>
          <w:sz w:val="24"/>
          <w:szCs w:val="24"/>
        </w:rPr>
        <w:t xml:space="preserve"> that did not have an impact on the core decision as to alter the judgement outcome</w:t>
      </w:r>
      <w:r w:rsidR="003E3013" w:rsidRPr="00E94148">
        <w:rPr>
          <w:rFonts w:ascii="Cambria" w:hAnsi="Cambria" w:cs="Times New Roman"/>
          <w:sz w:val="24"/>
          <w:szCs w:val="24"/>
        </w:rPr>
        <w:t xml:space="preserve">. Such new product however would target the core of the judicial decision, by advising the judge on a potential outcome concerning </w:t>
      </w:r>
      <w:r w:rsidR="007828CE" w:rsidRPr="00E94148">
        <w:rPr>
          <w:rFonts w:ascii="Cambria" w:hAnsi="Cambria" w:cs="Times New Roman"/>
          <w:sz w:val="24"/>
          <w:szCs w:val="24"/>
        </w:rPr>
        <w:t>an individual during the criminal trial</w:t>
      </w:r>
      <w:r w:rsidR="00603A72" w:rsidRPr="00E94148">
        <w:rPr>
          <w:rFonts w:ascii="Cambria" w:hAnsi="Cambria" w:cs="Times New Roman"/>
          <w:sz w:val="24"/>
          <w:szCs w:val="24"/>
        </w:rPr>
        <w:t>.</w:t>
      </w:r>
      <w:r w:rsidR="007F3481" w:rsidRPr="00E94148">
        <w:rPr>
          <w:rFonts w:ascii="Cambria" w:hAnsi="Cambria" w:cs="Times New Roman"/>
          <w:sz w:val="24"/>
          <w:szCs w:val="24"/>
        </w:rPr>
        <w:t xml:space="preserve"> </w:t>
      </w:r>
      <w:r w:rsidR="002D4C4F" w:rsidRPr="00E94148">
        <w:rPr>
          <w:rFonts w:ascii="Cambria" w:hAnsi="Cambria" w:cs="Times New Roman"/>
          <w:sz w:val="24"/>
          <w:szCs w:val="24"/>
        </w:rPr>
        <w:t>As above-mentioned, the judge can suffer from the sheep effect, meaning turning into a mere token of the algorithm outcome</w:t>
      </w:r>
      <w:r w:rsidR="0067436A" w:rsidRPr="00E94148">
        <w:rPr>
          <w:rFonts w:ascii="Cambria" w:hAnsi="Cambria" w:cs="Times New Roman"/>
          <w:sz w:val="24"/>
          <w:szCs w:val="24"/>
        </w:rPr>
        <w:t>, this would mean that</w:t>
      </w:r>
      <w:r w:rsidR="00041CF3" w:rsidRPr="00E94148">
        <w:rPr>
          <w:rFonts w:ascii="Cambria" w:hAnsi="Cambria" w:cs="Times New Roman"/>
          <w:sz w:val="24"/>
          <w:szCs w:val="24"/>
        </w:rPr>
        <w:t xml:space="preserve"> the </w:t>
      </w:r>
      <w:r w:rsidR="009D74B3" w:rsidRPr="00E94148">
        <w:rPr>
          <w:rFonts w:ascii="Cambria" w:hAnsi="Cambria" w:cs="Times New Roman"/>
          <w:sz w:val="24"/>
          <w:szCs w:val="24"/>
        </w:rPr>
        <w:t>developers</w:t>
      </w:r>
      <w:r w:rsidR="00041CF3" w:rsidRPr="00E94148">
        <w:rPr>
          <w:rFonts w:ascii="Cambria" w:hAnsi="Cambria" w:cs="Times New Roman"/>
          <w:sz w:val="24"/>
          <w:szCs w:val="24"/>
        </w:rPr>
        <w:t xml:space="preserve"> </w:t>
      </w:r>
      <w:r w:rsidR="009D74B3" w:rsidRPr="00E94148">
        <w:rPr>
          <w:rFonts w:ascii="Cambria" w:hAnsi="Cambria" w:cs="Times New Roman"/>
          <w:sz w:val="24"/>
          <w:szCs w:val="24"/>
        </w:rPr>
        <w:t>are indirectly</w:t>
      </w:r>
      <w:r w:rsidR="00041CF3" w:rsidRPr="00E94148">
        <w:rPr>
          <w:rFonts w:ascii="Cambria" w:hAnsi="Cambria" w:cs="Times New Roman"/>
          <w:sz w:val="24"/>
          <w:szCs w:val="24"/>
        </w:rPr>
        <w:t xml:space="preserve"> </w:t>
      </w:r>
      <w:r w:rsidR="00E41DC6" w:rsidRPr="00E94148">
        <w:rPr>
          <w:rFonts w:ascii="Cambria" w:hAnsi="Cambria" w:cs="Times New Roman"/>
          <w:sz w:val="24"/>
          <w:szCs w:val="24"/>
        </w:rPr>
        <w:t>the</w:t>
      </w:r>
      <w:r w:rsidR="00041CF3" w:rsidRPr="00E94148">
        <w:rPr>
          <w:rFonts w:ascii="Cambria" w:hAnsi="Cambria" w:cs="Times New Roman"/>
          <w:sz w:val="24"/>
          <w:szCs w:val="24"/>
        </w:rPr>
        <w:t xml:space="preserve"> one deciding on a judicial decision</w:t>
      </w:r>
      <w:r w:rsidR="002C302D" w:rsidRPr="00E94148">
        <w:rPr>
          <w:rFonts w:ascii="Cambria" w:hAnsi="Cambria" w:cs="Times New Roman"/>
          <w:sz w:val="24"/>
          <w:szCs w:val="24"/>
        </w:rPr>
        <w:t xml:space="preserve">. This process of influence is </w:t>
      </w:r>
      <w:r w:rsidR="007A24D4" w:rsidRPr="00E94148">
        <w:rPr>
          <w:rFonts w:ascii="Cambria" w:hAnsi="Cambria" w:cs="Times New Roman"/>
          <w:sz w:val="24"/>
          <w:szCs w:val="24"/>
        </w:rPr>
        <w:t>dire</w:t>
      </w:r>
      <w:r w:rsidR="002C302D" w:rsidRPr="00E94148">
        <w:rPr>
          <w:rFonts w:ascii="Cambria" w:hAnsi="Cambria" w:cs="Times New Roman"/>
          <w:sz w:val="24"/>
          <w:szCs w:val="24"/>
        </w:rPr>
        <w:t xml:space="preserve"> when it comes to saving judicial autonomy from undue influence</w:t>
      </w:r>
      <w:r w:rsidR="007A24D4" w:rsidRPr="00E94148">
        <w:rPr>
          <w:rFonts w:ascii="Cambria" w:hAnsi="Cambria" w:cs="Times New Roman"/>
          <w:sz w:val="24"/>
          <w:szCs w:val="24"/>
        </w:rPr>
        <w:t>.</w:t>
      </w:r>
    </w:p>
    <w:p w14:paraId="286BE662" w14:textId="77777777" w:rsidR="00E061B4" w:rsidRDefault="00E061B4" w:rsidP="008553F4">
      <w:pPr>
        <w:spacing w:line="276" w:lineRule="auto"/>
        <w:jc w:val="both"/>
        <w:rPr>
          <w:rFonts w:ascii="Cambria" w:hAnsi="Cambria" w:cs="Times New Roman"/>
          <w:sz w:val="24"/>
          <w:szCs w:val="24"/>
        </w:rPr>
      </w:pPr>
    </w:p>
    <w:p w14:paraId="4E720888" w14:textId="77777777" w:rsidR="00815F1A" w:rsidRDefault="00815F1A" w:rsidP="008553F4">
      <w:pPr>
        <w:spacing w:line="276" w:lineRule="auto"/>
        <w:jc w:val="both"/>
        <w:rPr>
          <w:rFonts w:ascii="Cambria" w:hAnsi="Cambria" w:cs="Times New Roman"/>
          <w:sz w:val="24"/>
          <w:szCs w:val="24"/>
        </w:rPr>
      </w:pPr>
    </w:p>
    <w:p w14:paraId="07BE1576" w14:textId="77777777" w:rsidR="00590F16" w:rsidRDefault="00590F16" w:rsidP="008553F4">
      <w:pPr>
        <w:spacing w:line="276" w:lineRule="auto"/>
        <w:jc w:val="both"/>
        <w:rPr>
          <w:rFonts w:ascii="Cambria" w:hAnsi="Cambria" w:cs="Times New Roman"/>
          <w:sz w:val="24"/>
          <w:szCs w:val="24"/>
        </w:rPr>
      </w:pPr>
    </w:p>
    <w:p w14:paraId="224A115B" w14:textId="77777777" w:rsidR="00590F16" w:rsidRPr="00E94148" w:rsidRDefault="00590F16" w:rsidP="008553F4">
      <w:pPr>
        <w:spacing w:line="276" w:lineRule="auto"/>
        <w:jc w:val="both"/>
        <w:rPr>
          <w:rFonts w:ascii="Cambria" w:hAnsi="Cambria" w:cs="Times New Roman"/>
          <w:sz w:val="24"/>
          <w:szCs w:val="24"/>
        </w:rPr>
      </w:pPr>
    </w:p>
    <w:p w14:paraId="0E88A076" w14:textId="77777777" w:rsidR="00CF42EA" w:rsidRPr="00E94148" w:rsidRDefault="00CF42EA" w:rsidP="008553F4">
      <w:pPr>
        <w:pStyle w:val="ListParagraph"/>
        <w:numPr>
          <w:ilvl w:val="0"/>
          <w:numId w:val="5"/>
        </w:numPr>
        <w:spacing w:line="276" w:lineRule="auto"/>
        <w:jc w:val="both"/>
        <w:rPr>
          <w:rFonts w:ascii="Cambria" w:hAnsi="Cambria" w:cs="Times New Roman"/>
          <w:b/>
          <w:bCs/>
          <w:sz w:val="24"/>
          <w:szCs w:val="24"/>
        </w:rPr>
      </w:pPr>
      <w:r w:rsidRPr="00E94148">
        <w:rPr>
          <w:rFonts w:ascii="Cambria" w:hAnsi="Cambria" w:cs="Times New Roman"/>
          <w:b/>
          <w:bCs/>
          <w:sz w:val="24"/>
          <w:szCs w:val="24"/>
        </w:rPr>
        <w:lastRenderedPageBreak/>
        <w:t>A.I as an undue component: Defining the undue in the A</w:t>
      </w:r>
      <w:r w:rsidR="00590F16">
        <w:rPr>
          <w:rFonts w:ascii="Cambria" w:hAnsi="Cambria" w:cs="Times New Roman"/>
          <w:b/>
          <w:bCs/>
          <w:sz w:val="24"/>
          <w:szCs w:val="24"/>
        </w:rPr>
        <w:t>rtificial intelligence functioning</w:t>
      </w:r>
    </w:p>
    <w:p w14:paraId="2A807E86" w14:textId="77777777" w:rsidR="00A22E32" w:rsidRPr="00E94148" w:rsidRDefault="003837C1"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Moreover, even if the Judge is somehow </w:t>
      </w:r>
      <w:r w:rsidR="0042206A" w:rsidRPr="00E94148">
        <w:rPr>
          <w:rFonts w:ascii="Cambria" w:hAnsi="Cambria" w:cs="Times New Roman"/>
          <w:sz w:val="24"/>
          <w:szCs w:val="24"/>
        </w:rPr>
        <w:t>free from the influence of the A.I, such an A.I should not be built in a way that would render it an “Undue influence”.</w:t>
      </w:r>
      <w:r w:rsidR="002F7D21" w:rsidRPr="00E94148">
        <w:rPr>
          <w:rFonts w:ascii="Cambria" w:hAnsi="Cambria" w:cs="Times New Roman"/>
          <w:sz w:val="24"/>
          <w:szCs w:val="24"/>
        </w:rPr>
        <w:t xml:space="preserve"> As above-mentioned, what constitute</w:t>
      </w:r>
      <w:r w:rsidR="00590F16">
        <w:rPr>
          <w:rFonts w:ascii="Cambria" w:hAnsi="Cambria" w:cs="Times New Roman"/>
          <w:sz w:val="24"/>
          <w:szCs w:val="24"/>
        </w:rPr>
        <w:t>s</w:t>
      </w:r>
      <w:r w:rsidR="002F7D21" w:rsidRPr="00E94148">
        <w:rPr>
          <w:rFonts w:ascii="Cambria" w:hAnsi="Cambria" w:cs="Times New Roman"/>
          <w:sz w:val="24"/>
          <w:szCs w:val="24"/>
        </w:rPr>
        <w:t xml:space="preserve"> the undue</w:t>
      </w:r>
      <w:r w:rsidR="00590F16">
        <w:rPr>
          <w:rFonts w:ascii="Cambria" w:hAnsi="Cambria" w:cs="Times New Roman"/>
          <w:sz w:val="24"/>
          <w:szCs w:val="24"/>
        </w:rPr>
        <w:t xml:space="preserve"> component</w:t>
      </w:r>
      <w:r w:rsidR="002F7D21" w:rsidRPr="00E94148">
        <w:rPr>
          <w:rFonts w:ascii="Cambria" w:hAnsi="Cambria" w:cs="Times New Roman"/>
          <w:sz w:val="24"/>
          <w:szCs w:val="24"/>
        </w:rPr>
        <w:t xml:space="preserve"> of an influence could be the content of such an influence. In this instance, it is vital for the algorithm upon which the A.I is built to </w:t>
      </w:r>
      <w:r w:rsidR="00B73996" w:rsidRPr="00E94148">
        <w:rPr>
          <w:rFonts w:ascii="Cambria" w:hAnsi="Cambria" w:cs="Times New Roman"/>
          <w:sz w:val="24"/>
          <w:szCs w:val="24"/>
        </w:rPr>
        <w:t xml:space="preserve">not contain any </w:t>
      </w:r>
      <w:r w:rsidR="00EC22EA" w:rsidRPr="00E94148">
        <w:rPr>
          <w:rFonts w:ascii="Cambria" w:hAnsi="Cambria" w:cs="Times New Roman"/>
          <w:sz w:val="24"/>
          <w:szCs w:val="24"/>
        </w:rPr>
        <w:t xml:space="preserve">variables that could lead the Judge to an inappropriate decision. Here two main approaches lie: The first is the choice of </w:t>
      </w:r>
      <w:r w:rsidR="00C732CB" w:rsidRPr="00E94148">
        <w:rPr>
          <w:rFonts w:ascii="Cambria" w:hAnsi="Cambria" w:cs="Times New Roman"/>
          <w:sz w:val="24"/>
          <w:szCs w:val="24"/>
        </w:rPr>
        <w:t xml:space="preserve">variables and data would be important </w:t>
      </w:r>
      <w:proofErr w:type="gramStart"/>
      <w:r w:rsidR="00C732CB" w:rsidRPr="00E94148">
        <w:rPr>
          <w:rFonts w:ascii="Cambria" w:hAnsi="Cambria" w:cs="Times New Roman"/>
          <w:sz w:val="24"/>
          <w:szCs w:val="24"/>
        </w:rPr>
        <w:t>in order to</w:t>
      </w:r>
      <w:proofErr w:type="gramEnd"/>
      <w:r w:rsidR="00C732CB" w:rsidRPr="00E94148">
        <w:rPr>
          <w:rFonts w:ascii="Cambria" w:hAnsi="Cambria" w:cs="Times New Roman"/>
          <w:sz w:val="24"/>
          <w:szCs w:val="24"/>
        </w:rPr>
        <w:t xml:space="preserve"> avoid any discriminatory </w:t>
      </w:r>
      <w:r w:rsidR="00B85F20" w:rsidRPr="00E94148">
        <w:rPr>
          <w:rFonts w:ascii="Cambria" w:hAnsi="Cambria" w:cs="Times New Roman"/>
          <w:sz w:val="24"/>
          <w:szCs w:val="24"/>
        </w:rPr>
        <w:t xml:space="preserve">outcome from the algorithm. Secondly, </w:t>
      </w:r>
      <w:r w:rsidR="00342C71" w:rsidRPr="00E94148">
        <w:rPr>
          <w:rFonts w:ascii="Cambria" w:hAnsi="Cambria" w:cs="Times New Roman"/>
          <w:sz w:val="24"/>
          <w:szCs w:val="24"/>
        </w:rPr>
        <w:t xml:space="preserve">the very functioning of the algorithm and the fact that it is shrouded in a “Black Box” could lead to </w:t>
      </w:r>
      <w:r w:rsidR="00FF2566" w:rsidRPr="00E94148">
        <w:rPr>
          <w:rFonts w:ascii="Cambria" w:hAnsi="Cambria" w:cs="Times New Roman"/>
          <w:sz w:val="24"/>
          <w:szCs w:val="24"/>
        </w:rPr>
        <w:t>qualify it as an undue influence.</w:t>
      </w:r>
    </w:p>
    <w:p w14:paraId="1E82A23D" w14:textId="77777777" w:rsidR="000B4171" w:rsidRPr="00E94148" w:rsidRDefault="00E65F36"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What would make an A.I undue in the criminal trial? </w:t>
      </w:r>
      <w:r w:rsidR="00040940" w:rsidRPr="00E94148">
        <w:rPr>
          <w:rFonts w:ascii="Cambria" w:hAnsi="Cambria" w:cs="Times New Roman"/>
          <w:sz w:val="24"/>
          <w:szCs w:val="24"/>
        </w:rPr>
        <w:t>This question lies at the very core functioning of the A.I</w:t>
      </w:r>
      <w:r w:rsidR="00590F16">
        <w:rPr>
          <w:rFonts w:ascii="Cambria" w:hAnsi="Cambria" w:cs="Times New Roman"/>
          <w:sz w:val="24"/>
          <w:szCs w:val="24"/>
        </w:rPr>
        <w:t>. O</w:t>
      </w:r>
      <w:r w:rsidR="00040940" w:rsidRPr="00E94148">
        <w:rPr>
          <w:rFonts w:ascii="Cambria" w:hAnsi="Cambria" w:cs="Times New Roman"/>
          <w:sz w:val="24"/>
          <w:szCs w:val="24"/>
        </w:rPr>
        <w:t xml:space="preserve">ne potential </w:t>
      </w:r>
      <w:proofErr w:type="gramStart"/>
      <w:r w:rsidR="008C2255" w:rsidRPr="00E94148">
        <w:rPr>
          <w:rFonts w:ascii="Cambria" w:hAnsi="Cambria" w:cs="Times New Roman"/>
          <w:sz w:val="24"/>
          <w:szCs w:val="24"/>
        </w:rPr>
        <w:t>le</w:t>
      </w:r>
      <w:r w:rsidR="00590F16">
        <w:rPr>
          <w:rFonts w:ascii="Cambria" w:hAnsi="Cambria" w:cs="Times New Roman"/>
          <w:sz w:val="24"/>
          <w:szCs w:val="24"/>
        </w:rPr>
        <w:t>a</w:t>
      </w:r>
      <w:r w:rsidR="008C2255" w:rsidRPr="00E94148">
        <w:rPr>
          <w:rFonts w:ascii="Cambria" w:hAnsi="Cambria" w:cs="Times New Roman"/>
          <w:sz w:val="24"/>
          <w:szCs w:val="24"/>
        </w:rPr>
        <w:t>d</w:t>
      </w:r>
      <w:proofErr w:type="gramEnd"/>
      <w:r w:rsidR="00040940" w:rsidRPr="00E94148">
        <w:rPr>
          <w:rFonts w:ascii="Cambria" w:hAnsi="Cambria" w:cs="Times New Roman"/>
          <w:sz w:val="24"/>
          <w:szCs w:val="24"/>
        </w:rPr>
        <w:t xml:space="preserve"> to answer this question would be the question of the variables, meaning the data </w:t>
      </w:r>
      <w:r w:rsidR="00605E35" w:rsidRPr="00E94148">
        <w:rPr>
          <w:rFonts w:ascii="Cambria" w:hAnsi="Cambria" w:cs="Times New Roman"/>
          <w:sz w:val="24"/>
          <w:szCs w:val="24"/>
        </w:rPr>
        <w:t xml:space="preserve">by which the processing would lead the algorithm to </w:t>
      </w:r>
      <w:r w:rsidR="0059177F" w:rsidRPr="00E94148">
        <w:rPr>
          <w:rFonts w:ascii="Cambria" w:hAnsi="Cambria" w:cs="Times New Roman"/>
          <w:sz w:val="24"/>
          <w:szCs w:val="24"/>
        </w:rPr>
        <w:t>provide a solution</w:t>
      </w:r>
      <w:r w:rsidR="00810E27" w:rsidRPr="00E94148">
        <w:rPr>
          <w:rStyle w:val="FootnoteReference"/>
          <w:rFonts w:ascii="Cambria" w:hAnsi="Cambria" w:cs="Times New Roman"/>
          <w:sz w:val="24"/>
          <w:szCs w:val="24"/>
        </w:rPr>
        <w:footnoteReference w:id="44"/>
      </w:r>
      <w:r w:rsidR="0059177F" w:rsidRPr="00E94148">
        <w:rPr>
          <w:rFonts w:ascii="Cambria" w:hAnsi="Cambria" w:cs="Times New Roman"/>
          <w:sz w:val="24"/>
          <w:szCs w:val="24"/>
        </w:rPr>
        <w:t>.</w:t>
      </w:r>
      <w:r w:rsidR="0058213D" w:rsidRPr="00E94148">
        <w:rPr>
          <w:rFonts w:ascii="Cambria" w:hAnsi="Cambria" w:cs="Times New Roman"/>
          <w:sz w:val="24"/>
          <w:szCs w:val="24"/>
        </w:rPr>
        <w:t>However, one has to be careful with the choice of the</w:t>
      </w:r>
      <w:r w:rsidR="00A844CF" w:rsidRPr="00E94148">
        <w:rPr>
          <w:rFonts w:ascii="Cambria" w:hAnsi="Cambria" w:cs="Times New Roman"/>
          <w:sz w:val="24"/>
          <w:szCs w:val="24"/>
        </w:rPr>
        <w:t>se data, under many considerations:</w:t>
      </w:r>
    </w:p>
    <w:p w14:paraId="1496C38C" w14:textId="77777777" w:rsidR="00A844CF" w:rsidRPr="00E94148" w:rsidRDefault="00A844CF" w:rsidP="008553F4">
      <w:pPr>
        <w:spacing w:line="276" w:lineRule="auto"/>
        <w:jc w:val="both"/>
        <w:rPr>
          <w:rFonts w:ascii="Cambria" w:hAnsi="Cambria" w:cs="Times New Roman"/>
          <w:sz w:val="24"/>
          <w:szCs w:val="24"/>
        </w:rPr>
      </w:pPr>
      <w:r w:rsidRPr="00E94148">
        <w:rPr>
          <w:rFonts w:ascii="Cambria" w:hAnsi="Cambria" w:cs="Times New Roman"/>
          <w:sz w:val="24"/>
          <w:szCs w:val="24"/>
        </w:rPr>
        <w:tab/>
        <w:t>Firstly, the choice of some data that are</w:t>
      </w:r>
      <w:r w:rsidR="004E4E48" w:rsidRPr="00E94148">
        <w:rPr>
          <w:rFonts w:ascii="Cambria" w:hAnsi="Cambria" w:cs="Times New Roman"/>
          <w:sz w:val="24"/>
          <w:szCs w:val="24"/>
        </w:rPr>
        <w:t xml:space="preserve"> biased from the start. Indeed, it was demonstrated that some of these algorithms</w:t>
      </w:r>
      <w:r w:rsidR="005A60A2" w:rsidRPr="00E94148">
        <w:rPr>
          <w:rFonts w:ascii="Cambria" w:hAnsi="Cambria" w:cs="Times New Roman"/>
          <w:sz w:val="24"/>
          <w:szCs w:val="24"/>
        </w:rPr>
        <w:t xml:space="preserve"> used in criminal trials relied upon data gathered by the State and especially from the police forces</w:t>
      </w:r>
      <w:r w:rsidR="00810E27" w:rsidRPr="00E94148">
        <w:rPr>
          <w:rStyle w:val="FootnoteReference"/>
          <w:rFonts w:ascii="Cambria" w:hAnsi="Cambria" w:cs="Times New Roman"/>
          <w:sz w:val="24"/>
          <w:szCs w:val="24"/>
        </w:rPr>
        <w:footnoteReference w:id="45"/>
      </w:r>
      <w:r w:rsidR="005A60A2" w:rsidRPr="00E94148">
        <w:rPr>
          <w:rFonts w:ascii="Cambria" w:hAnsi="Cambria" w:cs="Times New Roman"/>
          <w:sz w:val="24"/>
          <w:szCs w:val="24"/>
        </w:rPr>
        <w:t xml:space="preserve">. However, for some of these algorithms it was demonstrated that the data were biased as they were collected, thus </w:t>
      </w:r>
      <w:r w:rsidR="007F546F" w:rsidRPr="00E94148">
        <w:rPr>
          <w:rFonts w:ascii="Cambria" w:hAnsi="Cambria" w:cs="Times New Roman"/>
          <w:sz w:val="24"/>
          <w:szCs w:val="24"/>
        </w:rPr>
        <w:t xml:space="preserve">when the normal functioning of the algorithm, by processing these data, was already biased from the </w:t>
      </w:r>
      <w:proofErr w:type="gramStart"/>
      <w:r w:rsidR="007F546F" w:rsidRPr="00E94148">
        <w:rPr>
          <w:rFonts w:ascii="Cambria" w:hAnsi="Cambria" w:cs="Times New Roman"/>
          <w:sz w:val="24"/>
          <w:szCs w:val="24"/>
        </w:rPr>
        <w:t>start</w:t>
      </w:r>
      <w:proofErr w:type="gramEnd"/>
      <w:r w:rsidR="007F546F" w:rsidRPr="00E94148">
        <w:rPr>
          <w:rFonts w:ascii="Cambria" w:hAnsi="Cambria" w:cs="Times New Roman"/>
          <w:sz w:val="24"/>
          <w:szCs w:val="24"/>
        </w:rPr>
        <w:t xml:space="preserve"> and led to discriminatory outcome as the bias were perpetuated and repeated</w:t>
      </w:r>
      <w:r w:rsidR="00810E27" w:rsidRPr="00E94148">
        <w:rPr>
          <w:rStyle w:val="FootnoteReference"/>
          <w:rFonts w:ascii="Cambria" w:hAnsi="Cambria" w:cs="Times New Roman"/>
          <w:sz w:val="24"/>
          <w:szCs w:val="24"/>
        </w:rPr>
        <w:footnoteReference w:id="46"/>
      </w:r>
      <w:r w:rsidR="007F546F" w:rsidRPr="00E94148">
        <w:rPr>
          <w:rFonts w:ascii="Cambria" w:hAnsi="Cambria" w:cs="Times New Roman"/>
          <w:sz w:val="24"/>
          <w:szCs w:val="24"/>
        </w:rPr>
        <w:t>.</w:t>
      </w:r>
    </w:p>
    <w:p w14:paraId="76D88CFA" w14:textId="77777777" w:rsidR="00A844CF" w:rsidRPr="00E94148" w:rsidRDefault="00A844CF" w:rsidP="008553F4">
      <w:pPr>
        <w:spacing w:line="276" w:lineRule="auto"/>
        <w:jc w:val="both"/>
        <w:rPr>
          <w:rFonts w:ascii="Cambria" w:hAnsi="Cambria" w:cs="Times New Roman"/>
          <w:sz w:val="24"/>
          <w:szCs w:val="24"/>
        </w:rPr>
      </w:pPr>
      <w:r w:rsidRPr="00E94148">
        <w:rPr>
          <w:rFonts w:ascii="Cambria" w:hAnsi="Cambria" w:cs="Times New Roman"/>
          <w:sz w:val="24"/>
          <w:szCs w:val="24"/>
        </w:rPr>
        <w:tab/>
        <w:t>Secondly</w:t>
      </w:r>
      <w:r w:rsidR="0009727D" w:rsidRPr="00E94148">
        <w:rPr>
          <w:rFonts w:ascii="Cambria" w:hAnsi="Cambria" w:cs="Times New Roman"/>
          <w:sz w:val="24"/>
          <w:szCs w:val="24"/>
        </w:rPr>
        <w:t>, the challenge lie</w:t>
      </w:r>
      <w:r w:rsidR="00590F16">
        <w:rPr>
          <w:rFonts w:ascii="Cambria" w:hAnsi="Cambria" w:cs="Times New Roman"/>
          <w:sz w:val="24"/>
          <w:szCs w:val="24"/>
        </w:rPr>
        <w:t>s</w:t>
      </w:r>
      <w:r w:rsidR="0009727D" w:rsidRPr="00E94148">
        <w:rPr>
          <w:rFonts w:ascii="Cambria" w:hAnsi="Cambria" w:cs="Times New Roman"/>
          <w:sz w:val="24"/>
          <w:szCs w:val="24"/>
        </w:rPr>
        <w:t xml:space="preserve"> on what kind of data can be setup in the algorithm and are adapted to the programming of this algorithm.</w:t>
      </w:r>
      <w:r w:rsidR="004538D8" w:rsidRPr="00E94148">
        <w:rPr>
          <w:rFonts w:ascii="Cambria" w:hAnsi="Cambria" w:cs="Times New Roman"/>
          <w:sz w:val="24"/>
          <w:szCs w:val="24"/>
        </w:rPr>
        <w:t xml:space="preserve"> However, </w:t>
      </w:r>
      <w:r w:rsidR="00345B2A" w:rsidRPr="00E94148">
        <w:rPr>
          <w:rFonts w:ascii="Cambria" w:hAnsi="Cambria" w:cs="Times New Roman"/>
          <w:sz w:val="24"/>
          <w:szCs w:val="24"/>
        </w:rPr>
        <w:t xml:space="preserve">when one </w:t>
      </w:r>
      <w:proofErr w:type="gramStart"/>
      <w:r w:rsidR="00345B2A" w:rsidRPr="00E94148">
        <w:rPr>
          <w:rFonts w:ascii="Cambria" w:hAnsi="Cambria" w:cs="Times New Roman"/>
          <w:sz w:val="24"/>
          <w:szCs w:val="24"/>
        </w:rPr>
        <w:t>takes into account</w:t>
      </w:r>
      <w:proofErr w:type="gramEnd"/>
      <w:r w:rsidR="00345B2A" w:rsidRPr="00E94148">
        <w:rPr>
          <w:rFonts w:ascii="Cambria" w:hAnsi="Cambria" w:cs="Times New Roman"/>
          <w:sz w:val="24"/>
          <w:szCs w:val="24"/>
        </w:rPr>
        <w:t xml:space="preserve"> too much data or irrelevant data, this might create a disparate outcome, as irrelevant factors are taken into account to </w:t>
      </w:r>
      <w:r w:rsidR="005646B4" w:rsidRPr="00E94148">
        <w:rPr>
          <w:rFonts w:ascii="Cambria" w:hAnsi="Cambria" w:cs="Times New Roman"/>
          <w:sz w:val="24"/>
          <w:szCs w:val="24"/>
        </w:rPr>
        <w:t xml:space="preserve">provide a solution. </w:t>
      </w:r>
      <w:r w:rsidR="00532348" w:rsidRPr="00E94148">
        <w:rPr>
          <w:rFonts w:ascii="Cambria" w:hAnsi="Cambria" w:cs="Times New Roman"/>
          <w:sz w:val="24"/>
          <w:szCs w:val="24"/>
        </w:rPr>
        <w:t xml:space="preserve">This was established through the working of the COMPAS algorithm that was taking too </w:t>
      </w:r>
      <w:r w:rsidR="004F4E8D" w:rsidRPr="00E94148">
        <w:rPr>
          <w:rFonts w:ascii="Cambria" w:hAnsi="Cambria" w:cs="Times New Roman"/>
          <w:sz w:val="24"/>
          <w:szCs w:val="24"/>
        </w:rPr>
        <w:t>many</w:t>
      </w:r>
      <w:r w:rsidR="00532348" w:rsidRPr="00E94148">
        <w:rPr>
          <w:rFonts w:ascii="Cambria" w:hAnsi="Cambria" w:cs="Times New Roman"/>
          <w:sz w:val="24"/>
          <w:szCs w:val="24"/>
        </w:rPr>
        <w:t xml:space="preserve"> factors into account, leading to give discriminatory outcomes </w:t>
      </w:r>
      <w:r w:rsidR="00470C1E" w:rsidRPr="00E94148">
        <w:rPr>
          <w:rFonts w:ascii="Cambria" w:hAnsi="Cambria" w:cs="Times New Roman"/>
          <w:sz w:val="24"/>
          <w:szCs w:val="24"/>
        </w:rPr>
        <w:t>on Afro-American population</w:t>
      </w:r>
      <w:r w:rsidR="00810E27" w:rsidRPr="00E94148">
        <w:rPr>
          <w:rStyle w:val="FootnoteReference"/>
          <w:rFonts w:ascii="Cambria" w:hAnsi="Cambria" w:cs="Times New Roman"/>
          <w:sz w:val="24"/>
          <w:szCs w:val="24"/>
        </w:rPr>
        <w:footnoteReference w:id="47"/>
      </w:r>
      <w:r w:rsidR="00470C1E" w:rsidRPr="00E94148">
        <w:rPr>
          <w:rFonts w:ascii="Cambria" w:hAnsi="Cambria" w:cs="Times New Roman"/>
          <w:sz w:val="24"/>
          <w:szCs w:val="24"/>
        </w:rPr>
        <w:t xml:space="preserve">. </w:t>
      </w:r>
    </w:p>
    <w:p w14:paraId="6CA538B8" w14:textId="77777777" w:rsidR="000B4171" w:rsidRPr="00E94148" w:rsidRDefault="00A844CF" w:rsidP="008553F4">
      <w:pPr>
        <w:spacing w:line="276" w:lineRule="auto"/>
        <w:jc w:val="both"/>
        <w:rPr>
          <w:rFonts w:ascii="Cambria" w:hAnsi="Cambria" w:cs="Times New Roman"/>
          <w:sz w:val="24"/>
          <w:szCs w:val="24"/>
        </w:rPr>
      </w:pPr>
      <w:r w:rsidRPr="00E94148">
        <w:rPr>
          <w:rFonts w:ascii="Cambria" w:hAnsi="Cambria" w:cs="Times New Roman"/>
          <w:sz w:val="24"/>
          <w:szCs w:val="24"/>
        </w:rPr>
        <w:lastRenderedPageBreak/>
        <w:tab/>
        <w:t>Thirdly data that can indirectly lead to a discriminatory outcome</w:t>
      </w:r>
      <w:r w:rsidR="00BB6CB9" w:rsidRPr="00E94148">
        <w:rPr>
          <w:rFonts w:ascii="Cambria" w:hAnsi="Cambria" w:cs="Times New Roman"/>
          <w:sz w:val="24"/>
          <w:szCs w:val="24"/>
        </w:rPr>
        <w:t>. These are data that as such are not discriminatory</w:t>
      </w:r>
      <w:r w:rsidR="00DD2C77" w:rsidRPr="00E94148">
        <w:rPr>
          <w:rFonts w:ascii="Cambria" w:hAnsi="Cambria" w:cs="Times New Roman"/>
          <w:sz w:val="24"/>
          <w:szCs w:val="24"/>
        </w:rPr>
        <w:t xml:space="preserve"> (Family name, Residential </w:t>
      </w:r>
      <w:proofErr w:type="gramStart"/>
      <w:r w:rsidR="00DD2C77" w:rsidRPr="00E94148">
        <w:rPr>
          <w:rFonts w:ascii="Cambria" w:hAnsi="Cambria" w:cs="Times New Roman"/>
          <w:sz w:val="24"/>
          <w:szCs w:val="24"/>
        </w:rPr>
        <w:t>city</w:t>
      </w:r>
      <w:r w:rsidR="00F66FEA" w:rsidRPr="00E94148">
        <w:rPr>
          <w:rFonts w:ascii="Cambria" w:hAnsi="Cambria" w:cs="Times New Roman"/>
          <w:sz w:val="24"/>
          <w:szCs w:val="24"/>
        </w:rPr>
        <w:t>..</w:t>
      </w:r>
      <w:proofErr w:type="gramEnd"/>
      <w:r w:rsidR="00F66FEA" w:rsidRPr="00E94148">
        <w:rPr>
          <w:rFonts w:ascii="Cambria" w:hAnsi="Cambria" w:cs="Times New Roman"/>
          <w:sz w:val="24"/>
          <w:szCs w:val="24"/>
        </w:rPr>
        <w:t>)</w:t>
      </w:r>
      <w:r w:rsidR="00BB6CB9" w:rsidRPr="00E94148">
        <w:rPr>
          <w:rFonts w:ascii="Cambria" w:hAnsi="Cambria" w:cs="Times New Roman"/>
          <w:sz w:val="24"/>
          <w:szCs w:val="24"/>
        </w:rPr>
        <w:t xml:space="preserve">, but taken together as a group of data </w:t>
      </w:r>
      <w:r w:rsidR="00DD2C77" w:rsidRPr="00E94148">
        <w:rPr>
          <w:rFonts w:ascii="Cambria" w:hAnsi="Cambria" w:cs="Times New Roman"/>
          <w:sz w:val="24"/>
          <w:szCs w:val="24"/>
        </w:rPr>
        <w:t>the algorithm would deduce t</w:t>
      </w:r>
      <w:r w:rsidR="00F66FEA" w:rsidRPr="00E94148">
        <w:rPr>
          <w:rFonts w:ascii="Cambria" w:hAnsi="Cambria" w:cs="Times New Roman"/>
          <w:sz w:val="24"/>
          <w:szCs w:val="24"/>
        </w:rPr>
        <w:t xml:space="preserve">hat a certain person belongs to a certain minority and as a result, might </w:t>
      </w:r>
      <w:r w:rsidR="008A1C08" w:rsidRPr="00E94148">
        <w:rPr>
          <w:rFonts w:ascii="Cambria" w:hAnsi="Cambria" w:cs="Times New Roman"/>
          <w:sz w:val="24"/>
          <w:szCs w:val="24"/>
        </w:rPr>
        <w:t>take</w:t>
      </w:r>
      <w:r w:rsidR="00F66FEA" w:rsidRPr="00E94148">
        <w:rPr>
          <w:rFonts w:ascii="Cambria" w:hAnsi="Cambria" w:cs="Times New Roman"/>
          <w:sz w:val="24"/>
          <w:szCs w:val="24"/>
        </w:rPr>
        <w:t xml:space="preserve"> a decision that would lead to a discriminatory </w:t>
      </w:r>
      <w:r w:rsidR="002B778B" w:rsidRPr="00E94148">
        <w:rPr>
          <w:rFonts w:ascii="Cambria" w:hAnsi="Cambria" w:cs="Times New Roman"/>
          <w:sz w:val="24"/>
          <w:szCs w:val="24"/>
        </w:rPr>
        <w:t>outcome for these minorities</w:t>
      </w:r>
      <w:r w:rsidR="00BB19C6" w:rsidRPr="00E94148">
        <w:rPr>
          <w:rStyle w:val="FootnoteReference"/>
          <w:rFonts w:ascii="Cambria" w:hAnsi="Cambria" w:cs="Times New Roman"/>
          <w:sz w:val="24"/>
          <w:szCs w:val="24"/>
        </w:rPr>
        <w:footnoteReference w:id="48"/>
      </w:r>
      <w:r w:rsidR="002B778B" w:rsidRPr="00E94148">
        <w:rPr>
          <w:rFonts w:ascii="Cambria" w:hAnsi="Cambria" w:cs="Times New Roman"/>
          <w:sz w:val="24"/>
          <w:szCs w:val="24"/>
        </w:rPr>
        <w:t>.</w:t>
      </w:r>
    </w:p>
    <w:p w14:paraId="197DEC3F" w14:textId="77777777" w:rsidR="0088365D" w:rsidRPr="00E94148" w:rsidRDefault="0088365D"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The functioning of the A.I </w:t>
      </w:r>
      <w:r w:rsidR="004C59A7" w:rsidRPr="00E94148">
        <w:rPr>
          <w:rFonts w:ascii="Cambria" w:hAnsi="Cambria" w:cs="Times New Roman"/>
          <w:sz w:val="24"/>
          <w:szCs w:val="24"/>
        </w:rPr>
        <w:t xml:space="preserve">can also be a source of undue influence under European Law. </w:t>
      </w:r>
      <w:r w:rsidR="006E0E9A" w:rsidRPr="00E94148">
        <w:rPr>
          <w:rFonts w:ascii="Cambria" w:hAnsi="Cambria" w:cs="Times New Roman"/>
          <w:sz w:val="24"/>
          <w:szCs w:val="24"/>
        </w:rPr>
        <w:t xml:space="preserve">More than the </w:t>
      </w:r>
      <w:r w:rsidR="00D171A6" w:rsidRPr="00E94148">
        <w:rPr>
          <w:rFonts w:ascii="Cambria" w:hAnsi="Cambria" w:cs="Times New Roman"/>
          <w:sz w:val="24"/>
          <w:szCs w:val="24"/>
        </w:rPr>
        <w:t xml:space="preserve">data it is using, one should also focus on the functioning of the algorithm, meaning </w:t>
      </w:r>
      <w:r w:rsidR="008504F7" w:rsidRPr="00E94148">
        <w:rPr>
          <w:rFonts w:ascii="Cambria" w:hAnsi="Cambria" w:cs="Times New Roman"/>
          <w:sz w:val="24"/>
          <w:szCs w:val="24"/>
        </w:rPr>
        <w:t>how does the algorithm comes to an outcome, from the data to the solution.</w:t>
      </w:r>
      <w:r w:rsidR="001D14FB" w:rsidRPr="00E94148">
        <w:rPr>
          <w:rFonts w:ascii="Cambria" w:hAnsi="Cambria" w:cs="Times New Roman"/>
          <w:sz w:val="24"/>
          <w:szCs w:val="24"/>
        </w:rPr>
        <w:t xml:space="preserve"> Such undue character can be exposed in two different approaches, firstly </w:t>
      </w:r>
      <w:r w:rsidR="00217E5D" w:rsidRPr="00E94148">
        <w:rPr>
          <w:rFonts w:ascii="Cambria" w:hAnsi="Cambria" w:cs="Times New Roman"/>
          <w:sz w:val="24"/>
          <w:szCs w:val="24"/>
        </w:rPr>
        <w:t>through the weight of the variables</w:t>
      </w:r>
      <w:r w:rsidR="005C79E5" w:rsidRPr="00E94148">
        <w:rPr>
          <w:rFonts w:ascii="Cambria" w:hAnsi="Cambria" w:cs="Times New Roman"/>
          <w:sz w:val="24"/>
          <w:szCs w:val="24"/>
        </w:rPr>
        <w:t xml:space="preserve"> when the functioning is </w:t>
      </w:r>
      <w:r w:rsidR="00CF4096" w:rsidRPr="00E94148">
        <w:rPr>
          <w:rFonts w:ascii="Cambria" w:hAnsi="Cambria" w:cs="Times New Roman"/>
          <w:sz w:val="24"/>
          <w:szCs w:val="24"/>
        </w:rPr>
        <w:t>known:</w:t>
      </w:r>
      <w:r w:rsidR="0021197D" w:rsidRPr="00E94148">
        <w:rPr>
          <w:rFonts w:ascii="Cambria" w:hAnsi="Cambria" w:cs="Times New Roman"/>
          <w:sz w:val="24"/>
          <w:szCs w:val="24"/>
        </w:rPr>
        <w:t xml:space="preserve"> and secondly through the “Black box” paradigm. </w:t>
      </w:r>
    </w:p>
    <w:p w14:paraId="0EDCFB0A" w14:textId="77777777" w:rsidR="00C0084A" w:rsidRPr="00E94148" w:rsidRDefault="00C0084A"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It was demonstrated </w:t>
      </w:r>
      <w:proofErr w:type="gramStart"/>
      <w:r w:rsidRPr="00E94148">
        <w:rPr>
          <w:rFonts w:ascii="Cambria" w:hAnsi="Cambria" w:cs="Times New Roman"/>
          <w:sz w:val="24"/>
          <w:szCs w:val="24"/>
        </w:rPr>
        <w:t>through the use of</w:t>
      </w:r>
      <w:proofErr w:type="gramEnd"/>
      <w:r w:rsidRPr="00E94148">
        <w:rPr>
          <w:rFonts w:ascii="Cambria" w:hAnsi="Cambria" w:cs="Times New Roman"/>
          <w:sz w:val="24"/>
          <w:szCs w:val="24"/>
        </w:rPr>
        <w:t xml:space="preserve"> certain algorithms, that </w:t>
      </w:r>
      <w:r w:rsidR="00FE72DE" w:rsidRPr="00E94148">
        <w:rPr>
          <w:rFonts w:ascii="Cambria" w:hAnsi="Cambria" w:cs="Times New Roman"/>
          <w:sz w:val="24"/>
          <w:szCs w:val="24"/>
        </w:rPr>
        <w:t xml:space="preserve">some of the calculations made by it could be flawed and disproportionate. It is the case of the HART algorithm, that was deployed in England as a mean for the local police to assess whether a person would be likely to reoffend. Individuals were then </w:t>
      </w:r>
      <w:r w:rsidR="00BF0EC0" w:rsidRPr="00E94148">
        <w:rPr>
          <w:rFonts w:ascii="Cambria" w:hAnsi="Cambria" w:cs="Times New Roman"/>
          <w:sz w:val="24"/>
          <w:szCs w:val="24"/>
        </w:rPr>
        <w:t xml:space="preserve">categorized as a high probability reoffender, medium </w:t>
      </w:r>
      <w:proofErr w:type="gramStart"/>
      <w:r w:rsidR="00BF0EC0" w:rsidRPr="00E94148">
        <w:rPr>
          <w:rFonts w:ascii="Cambria" w:hAnsi="Cambria" w:cs="Times New Roman"/>
          <w:sz w:val="24"/>
          <w:szCs w:val="24"/>
        </w:rPr>
        <w:t>probability</w:t>
      </w:r>
      <w:proofErr w:type="gramEnd"/>
      <w:r w:rsidR="00BF0EC0" w:rsidRPr="00E94148">
        <w:rPr>
          <w:rFonts w:ascii="Cambria" w:hAnsi="Cambria" w:cs="Times New Roman"/>
          <w:sz w:val="24"/>
          <w:szCs w:val="24"/>
        </w:rPr>
        <w:t xml:space="preserve"> and low probability</w:t>
      </w:r>
      <w:r w:rsidR="00BB19C6" w:rsidRPr="00E94148">
        <w:rPr>
          <w:rStyle w:val="FootnoteReference"/>
          <w:rFonts w:ascii="Cambria" w:hAnsi="Cambria" w:cs="Times New Roman"/>
          <w:sz w:val="24"/>
          <w:szCs w:val="24"/>
        </w:rPr>
        <w:footnoteReference w:id="49"/>
      </w:r>
      <w:r w:rsidR="00BF0EC0" w:rsidRPr="00E94148">
        <w:rPr>
          <w:rFonts w:ascii="Cambria" w:hAnsi="Cambria" w:cs="Times New Roman"/>
          <w:sz w:val="24"/>
          <w:szCs w:val="24"/>
        </w:rPr>
        <w:t xml:space="preserve">. </w:t>
      </w:r>
      <w:r w:rsidR="000C6446" w:rsidRPr="00E94148">
        <w:rPr>
          <w:rFonts w:ascii="Cambria" w:hAnsi="Cambria" w:cs="Times New Roman"/>
          <w:sz w:val="24"/>
          <w:szCs w:val="24"/>
        </w:rPr>
        <w:t xml:space="preserve">This outcome is </w:t>
      </w:r>
      <w:r w:rsidR="004F4F43" w:rsidRPr="00E94148">
        <w:rPr>
          <w:rFonts w:ascii="Cambria" w:hAnsi="Cambria" w:cs="Times New Roman"/>
          <w:sz w:val="24"/>
          <w:szCs w:val="24"/>
        </w:rPr>
        <w:t>determined through a weight of the different variables that were installed during the development phase.</w:t>
      </w:r>
      <w:r w:rsidR="00DC4C6A" w:rsidRPr="00E94148">
        <w:rPr>
          <w:rFonts w:ascii="Cambria" w:hAnsi="Cambria" w:cs="Times New Roman"/>
          <w:sz w:val="24"/>
          <w:szCs w:val="24"/>
        </w:rPr>
        <w:t xml:space="preserve"> However, it was demonstrated that the algorithm was </w:t>
      </w:r>
      <w:r w:rsidR="00A73C60" w:rsidRPr="00E94148">
        <w:rPr>
          <w:rFonts w:ascii="Cambria" w:hAnsi="Cambria" w:cs="Times New Roman"/>
          <w:sz w:val="24"/>
          <w:szCs w:val="24"/>
        </w:rPr>
        <w:t>developed</w:t>
      </w:r>
      <w:r w:rsidR="00DC4C6A" w:rsidRPr="00E94148">
        <w:rPr>
          <w:rFonts w:ascii="Cambria" w:hAnsi="Cambria" w:cs="Times New Roman"/>
          <w:sz w:val="24"/>
          <w:szCs w:val="24"/>
        </w:rPr>
        <w:t xml:space="preserve"> in a way </w:t>
      </w:r>
      <w:r w:rsidR="00CA75DF" w:rsidRPr="00E94148">
        <w:rPr>
          <w:rFonts w:ascii="Cambria" w:hAnsi="Cambria" w:cs="Times New Roman"/>
          <w:sz w:val="24"/>
          <w:szCs w:val="24"/>
        </w:rPr>
        <w:t>that was minimizing the threat posed by individuals</w:t>
      </w:r>
      <w:r w:rsidR="007B01DD" w:rsidRPr="00E94148">
        <w:rPr>
          <w:rFonts w:ascii="Cambria" w:hAnsi="Cambria" w:cs="Times New Roman"/>
          <w:sz w:val="24"/>
          <w:szCs w:val="24"/>
        </w:rPr>
        <w:t xml:space="preserve">. </w:t>
      </w:r>
      <w:proofErr w:type="gramStart"/>
      <w:r w:rsidR="007B01DD" w:rsidRPr="00E94148">
        <w:rPr>
          <w:rFonts w:ascii="Cambria" w:hAnsi="Cambria" w:cs="Times New Roman"/>
          <w:sz w:val="24"/>
          <w:szCs w:val="24"/>
        </w:rPr>
        <w:t>In order to</w:t>
      </w:r>
      <w:proofErr w:type="gramEnd"/>
      <w:r w:rsidR="007B01DD" w:rsidRPr="00E94148">
        <w:rPr>
          <w:rFonts w:ascii="Cambria" w:hAnsi="Cambria" w:cs="Times New Roman"/>
          <w:sz w:val="24"/>
          <w:szCs w:val="24"/>
        </w:rPr>
        <w:t xml:space="preserve"> do so, the algorithm </w:t>
      </w:r>
      <w:r w:rsidR="0008137D" w:rsidRPr="00E94148">
        <w:rPr>
          <w:rFonts w:ascii="Cambria" w:hAnsi="Cambria" w:cs="Times New Roman"/>
          <w:sz w:val="24"/>
          <w:szCs w:val="24"/>
        </w:rPr>
        <w:t>overestimated the risk of some individuals</w:t>
      </w:r>
      <w:r w:rsidR="00BA564E" w:rsidRPr="00E94148">
        <w:rPr>
          <w:rFonts w:ascii="Cambria" w:hAnsi="Cambria" w:cs="Times New Roman"/>
          <w:sz w:val="24"/>
          <w:szCs w:val="24"/>
        </w:rPr>
        <w:t xml:space="preserve"> in order to incapacitate threats more effectively</w:t>
      </w:r>
      <w:r w:rsidR="00BB19C6" w:rsidRPr="00E94148">
        <w:rPr>
          <w:rStyle w:val="FootnoteReference"/>
          <w:rFonts w:ascii="Cambria" w:hAnsi="Cambria" w:cs="Times New Roman"/>
          <w:sz w:val="24"/>
          <w:szCs w:val="24"/>
        </w:rPr>
        <w:footnoteReference w:id="50"/>
      </w:r>
      <w:r w:rsidR="00BA564E" w:rsidRPr="00E94148">
        <w:rPr>
          <w:rFonts w:ascii="Cambria" w:hAnsi="Cambria" w:cs="Times New Roman"/>
          <w:sz w:val="24"/>
          <w:szCs w:val="24"/>
        </w:rPr>
        <w:t xml:space="preserve">. However, such overestimation </w:t>
      </w:r>
      <w:r w:rsidR="00E6585F" w:rsidRPr="00E94148">
        <w:rPr>
          <w:rFonts w:ascii="Cambria" w:hAnsi="Cambria" w:cs="Times New Roman"/>
          <w:sz w:val="24"/>
          <w:szCs w:val="24"/>
        </w:rPr>
        <w:t>could</w:t>
      </w:r>
      <w:r w:rsidR="00BA564E" w:rsidRPr="00E94148">
        <w:rPr>
          <w:rFonts w:ascii="Cambria" w:hAnsi="Cambria" w:cs="Times New Roman"/>
          <w:sz w:val="24"/>
          <w:szCs w:val="24"/>
        </w:rPr>
        <w:t xml:space="preserve"> lead to </w:t>
      </w:r>
      <w:r w:rsidR="00E6585F" w:rsidRPr="00E94148">
        <w:rPr>
          <w:rFonts w:ascii="Cambria" w:hAnsi="Cambria" w:cs="Times New Roman"/>
          <w:sz w:val="24"/>
          <w:szCs w:val="24"/>
        </w:rPr>
        <w:t xml:space="preserve">decide a </w:t>
      </w:r>
      <w:r w:rsidR="00E1440A" w:rsidRPr="00E94148">
        <w:rPr>
          <w:rFonts w:ascii="Cambria" w:hAnsi="Cambria" w:cs="Times New Roman"/>
          <w:sz w:val="24"/>
          <w:szCs w:val="24"/>
        </w:rPr>
        <w:t>unbased harsher</w:t>
      </w:r>
      <w:r w:rsidR="00E6585F" w:rsidRPr="00E94148">
        <w:rPr>
          <w:rFonts w:ascii="Cambria" w:hAnsi="Cambria" w:cs="Times New Roman"/>
          <w:sz w:val="24"/>
          <w:szCs w:val="24"/>
        </w:rPr>
        <w:t xml:space="preserve"> sentence</w:t>
      </w:r>
      <w:r w:rsidR="00157940" w:rsidRPr="00E94148">
        <w:rPr>
          <w:rFonts w:ascii="Cambria" w:hAnsi="Cambria" w:cs="Times New Roman"/>
          <w:sz w:val="24"/>
          <w:szCs w:val="24"/>
        </w:rPr>
        <w:t xml:space="preserve"> on an individual due to an overestimation of a risk</w:t>
      </w:r>
      <w:r w:rsidR="00E1440A" w:rsidRPr="00E94148">
        <w:rPr>
          <w:rFonts w:ascii="Cambria" w:hAnsi="Cambria" w:cs="Times New Roman"/>
          <w:sz w:val="24"/>
          <w:szCs w:val="24"/>
        </w:rPr>
        <w:t xml:space="preserve"> by the algorithm.</w:t>
      </w:r>
      <w:r w:rsidR="0033747C" w:rsidRPr="00E94148">
        <w:rPr>
          <w:rFonts w:ascii="Cambria" w:hAnsi="Cambria" w:cs="Times New Roman"/>
          <w:sz w:val="24"/>
          <w:szCs w:val="24"/>
        </w:rPr>
        <w:t xml:space="preserve"> This sentence, based only on the theory of incapacitation and without concrete basis other than overestimated an individual could </w:t>
      </w:r>
      <w:r w:rsidR="007F6C29" w:rsidRPr="00E94148">
        <w:rPr>
          <w:rFonts w:ascii="Cambria" w:hAnsi="Cambria" w:cs="Times New Roman"/>
          <w:sz w:val="24"/>
          <w:szCs w:val="24"/>
        </w:rPr>
        <w:t>be qualified as undue</w:t>
      </w:r>
      <w:r w:rsidR="008F1282" w:rsidRPr="00E94148">
        <w:rPr>
          <w:rFonts w:ascii="Cambria" w:hAnsi="Cambria" w:cs="Times New Roman"/>
          <w:sz w:val="24"/>
          <w:szCs w:val="24"/>
        </w:rPr>
        <w:t xml:space="preserve">. </w:t>
      </w:r>
    </w:p>
    <w:p w14:paraId="4E97736B" w14:textId="77777777" w:rsidR="00EF7CA1" w:rsidRPr="00E94148" w:rsidRDefault="008F1282"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However, most of the time, the algorithmic process </w:t>
      </w:r>
      <w:r w:rsidR="00943E90" w:rsidRPr="00E94148">
        <w:rPr>
          <w:rFonts w:ascii="Cambria" w:hAnsi="Cambria" w:cs="Times New Roman"/>
          <w:sz w:val="24"/>
          <w:szCs w:val="24"/>
        </w:rPr>
        <w:t xml:space="preserve">is not </w:t>
      </w:r>
      <w:r w:rsidR="00A06755" w:rsidRPr="00E94148">
        <w:rPr>
          <w:rFonts w:ascii="Cambria" w:hAnsi="Cambria" w:cs="Times New Roman"/>
          <w:sz w:val="24"/>
          <w:szCs w:val="24"/>
        </w:rPr>
        <w:t xml:space="preserve">known to the user or the individual whom the decision will concern; and sometimes to the developers </w:t>
      </w:r>
      <w:r w:rsidR="00014D3D" w:rsidRPr="00E94148">
        <w:rPr>
          <w:rFonts w:ascii="Cambria" w:hAnsi="Cambria" w:cs="Times New Roman"/>
          <w:sz w:val="24"/>
          <w:szCs w:val="24"/>
        </w:rPr>
        <w:t xml:space="preserve">themselves </w:t>
      </w:r>
      <w:r w:rsidR="00A06755" w:rsidRPr="00E94148">
        <w:rPr>
          <w:rFonts w:ascii="Cambria" w:hAnsi="Cambria" w:cs="Times New Roman"/>
          <w:sz w:val="24"/>
          <w:szCs w:val="24"/>
        </w:rPr>
        <w:t xml:space="preserve">t is </w:t>
      </w:r>
      <w:r w:rsidR="00014D3D" w:rsidRPr="00E94148">
        <w:rPr>
          <w:rFonts w:ascii="Cambria" w:hAnsi="Cambria" w:cs="Times New Roman"/>
          <w:sz w:val="24"/>
          <w:szCs w:val="24"/>
        </w:rPr>
        <w:t>called the</w:t>
      </w:r>
      <w:r w:rsidR="00A06755" w:rsidRPr="00E94148">
        <w:rPr>
          <w:rFonts w:ascii="Cambria" w:hAnsi="Cambria" w:cs="Times New Roman"/>
          <w:sz w:val="24"/>
          <w:szCs w:val="24"/>
        </w:rPr>
        <w:t xml:space="preserve"> “Black Box”</w:t>
      </w:r>
      <w:r w:rsidR="00BB19C6" w:rsidRPr="00E94148">
        <w:rPr>
          <w:rStyle w:val="FootnoteReference"/>
          <w:rFonts w:ascii="Cambria" w:hAnsi="Cambria" w:cs="Times New Roman"/>
          <w:sz w:val="24"/>
          <w:szCs w:val="24"/>
        </w:rPr>
        <w:footnoteReference w:id="51"/>
      </w:r>
      <w:r w:rsidR="005D4390" w:rsidRPr="00E94148">
        <w:rPr>
          <w:rFonts w:ascii="Cambria" w:hAnsi="Cambria" w:cs="Times New Roman"/>
          <w:sz w:val="24"/>
          <w:szCs w:val="24"/>
        </w:rPr>
        <w:t xml:space="preserve">. </w:t>
      </w:r>
      <w:r w:rsidR="003917E9" w:rsidRPr="00E94148">
        <w:rPr>
          <w:rFonts w:ascii="Cambria" w:hAnsi="Cambria" w:cs="Times New Roman"/>
          <w:sz w:val="24"/>
          <w:szCs w:val="24"/>
        </w:rPr>
        <w:t>In this perspective the user, meaning the judge, would not know</w:t>
      </w:r>
      <w:r w:rsidR="009E5EC9" w:rsidRPr="00E94148">
        <w:rPr>
          <w:rFonts w:ascii="Cambria" w:hAnsi="Cambria" w:cs="Times New Roman"/>
          <w:sz w:val="24"/>
          <w:szCs w:val="24"/>
        </w:rPr>
        <w:t xml:space="preserve"> </w:t>
      </w:r>
      <w:r w:rsidR="004C497F" w:rsidRPr="00E94148">
        <w:rPr>
          <w:rFonts w:ascii="Cambria" w:hAnsi="Cambria" w:cs="Times New Roman"/>
          <w:sz w:val="24"/>
          <w:szCs w:val="24"/>
        </w:rPr>
        <w:t xml:space="preserve">the process under which the algorithm </w:t>
      </w:r>
      <w:r w:rsidR="00751497" w:rsidRPr="00E94148">
        <w:rPr>
          <w:rFonts w:ascii="Cambria" w:hAnsi="Cambria" w:cs="Times New Roman"/>
          <w:sz w:val="24"/>
          <w:szCs w:val="24"/>
        </w:rPr>
        <w:t xml:space="preserve">would decide of a solution; adding to this the </w:t>
      </w:r>
      <w:r w:rsidR="00384678" w:rsidRPr="00E94148">
        <w:rPr>
          <w:rFonts w:ascii="Cambria" w:hAnsi="Cambria" w:cs="Times New Roman"/>
          <w:sz w:val="24"/>
          <w:szCs w:val="24"/>
        </w:rPr>
        <w:t xml:space="preserve">paradigm of the direct influence </w:t>
      </w:r>
      <w:r w:rsidR="001B2FF6" w:rsidRPr="00E94148">
        <w:rPr>
          <w:rFonts w:ascii="Cambria" w:hAnsi="Cambria" w:cs="Times New Roman"/>
          <w:sz w:val="24"/>
          <w:szCs w:val="24"/>
        </w:rPr>
        <w:t xml:space="preserve">it can </w:t>
      </w:r>
      <w:r w:rsidR="0034531A" w:rsidRPr="00E94148">
        <w:rPr>
          <w:rFonts w:ascii="Cambria" w:hAnsi="Cambria" w:cs="Times New Roman"/>
          <w:sz w:val="24"/>
          <w:szCs w:val="24"/>
        </w:rPr>
        <w:t xml:space="preserve">create on the Judge, would create a decision that can be based </w:t>
      </w:r>
      <w:r w:rsidR="0034531A" w:rsidRPr="00E94148">
        <w:rPr>
          <w:rFonts w:ascii="Cambria" w:hAnsi="Cambria" w:cs="Times New Roman"/>
          <w:sz w:val="24"/>
          <w:szCs w:val="24"/>
        </w:rPr>
        <w:lastRenderedPageBreak/>
        <w:t xml:space="preserve">on a </w:t>
      </w:r>
      <w:r w:rsidR="00954E32" w:rsidRPr="00E94148">
        <w:rPr>
          <w:rFonts w:ascii="Cambria" w:hAnsi="Cambria" w:cs="Times New Roman"/>
          <w:sz w:val="24"/>
          <w:szCs w:val="24"/>
        </w:rPr>
        <w:t>technology that</w:t>
      </w:r>
      <w:r w:rsidR="00125A81" w:rsidRPr="00E94148">
        <w:rPr>
          <w:rFonts w:ascii="Cambria" w:hAnsi="Cambria" w:cs="Times New Roman"/>
          <w:sz w:val="24"/>
          <w:szCs w:val="24"/>
        </w:rPr>
        <w:t xml:space="preserve"> is not transparent thus </w:t>
      </w:r>
      <w:r w:rsidR="00433733" w:rsidRPr="00E94148">
        <w:rPr>
          <w:rFonts w:ascii="Cambria" w:hAnsi="Cambria" w:cs="Times New Roman"/>
          <w:sz w:val="24"/>
          <w:szCs w:val="24"/>
        </w:rPr>
        <w:t>based on information not available</w:t>
      </w:r>
      <w:r w:rsidR="00BB19C6" w:rsidRPr="00E94148">
        <w:rPr>
          <w:rStyle w:val="FootnoteReference"/>
          <w:rFonts w:ascii="Cambria" w:hAnsi="Cambria" w:cs="Times New Roman"/>
          <w:sz w:val="24"/>
          <w:szCs w:val="24"/>
        </w:rPr>
        <w:footnoteReference w:id="52"/>
      </w:r>
      <w:r w:rsidR="00125A81" w:rsidRPr="00E94148">
        <w:rPr>
          <w:rFonts w:ascii="Cambria" w:hAnsi="Cambria" w:cs="Times New Roman"/>
          <w:sz w:val="24"/>
          <w:szCs w:val="24"/>
        </w:rPr>
        <w:t>.</w:t>
      </w:r>
      <w:r w:rsidR="00B82E94" w:rsidRPr="00E94148">
        <w:rPr>
          <w:rFonts w:ascii="Cambria" w:hAnsi="Cambria" w:cs="Times New Roman"/>
          <w:sz w:val="24"/>
          <w:szCs w:val="24"/>
        </w:rPr>
        <w:t xml:space="preserve"> Thus, considering the independence of the judge, how can one judge explain the decision if the reasoning of one of his means is </w:t>
      </w:r>
      <w:r w:rsidR="00D667D2" w:rsidRPr="00E94148">
        <w:rPr>
          <w:rFonts w:ascii="Cambria" w:hAnsi="Cambria" w:cs="Times New Roman"/>
          <w:sz w:val="24"/>
          <w:szCs w:val="24"/>
        </w:rPr>
        <w:t>unknown to him and the developers.</w:t>
      </w:r>
    </w:p>
    <w:p w14:paraId="23339FF9" w14:textId="77777777" w:rsidR="00AC5AD1" w:rsidRPr="00E94148" w:rsidRDefault="00AC5AD1"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Hence the functioning of the algorithm could be qualified as undue, because of the high potential of bias it can create but also through its unknown functioning that could lead to</w:t>
      </w:r>
      <w:r w:rsidR="004D78A5" w:rsidRPr="00E94148">
        <w:rPr>
          <w:rFonts w:ascii="Cambria" w:hAnsi="Cambria" w:cs="Times New Roman"/>
          <w:sz w:val="24"/>
          <w:szCs w:val="24"/>
        </w:rPr>
        <w:t xml:space="preserve"> </w:t>
      </w:r>
      <w:r w:rsidR="00A043C5" w:rsidRPr="00E94148">
        <w:rPr>
          <w:rFonts w:ascii="Cambria" w:hAnsi="Cambria" w:cs="Times New Roman"/>
          <w:sz w:val="24"/>
          <w:szCs w:val="24"/>
        </w:rPr>
        <w:t>a disproportionate sentence without the individual to know what led the algorithm to decide so.</w:t>
      </w:r>
    </w:p>
    <w:p w14:paraId="0E8CCD9B" w14:textId="77777777" w:rsidR="00BB19C6" w:rsidRPr="00E94148" w:rsidRDefault="00BB19C6" w:rsidP="008553F4">
      <w:pPr>
        <w:spacing w:line="276" w:lineRule="auto"/>
        <w:jc w:val="both"/>
        <w:rPr>
          <w:rFonts w:ascii="Cambria" w:hAnsi="Cambria" w:cs="Times New Roman"/>
          <w:sz w:val="24"/>
          <w:szCs w:val="24"/>
        </w:rPr>
      </w:pPr>
    </w:p>
    <w:p w14:paraId="4AB864FC" w14:textId="77777777" w:rsidR="00CF42EA" w:rsidRPr="00E94148" w:rsidRDefault="00BF4A0E" w:rsidP="008553F4">
      <w:pPr>
        <w:pStyle w:val="ListParagraph"/>
        <w:numPr>
          <w:ilvl w:val="0"/>
          <w:numId w:val="2"/>
        </w:numPr>
        <w:spacing w:line="276" w:lineRule="auto"/>
        <w:jc w:val="both"/>
        <w:rPr>
          <w:rFonts w:ascii="Cambria" w:hAnsi="Cambria" w:cs="Times New Roman"/>
          <w:b/>
          <w:bCs/>
          <w:sz w:val="24"/>
          <w:szCs w:val="24"/>
        </w:rPr>
      </w:pPr>
      <w:r w:rsidRPr="00E94148">
        <w:rPr>
          <w:rFonts w:ascii="Cambria" w:hAnsi="Cambria" w:cs="Times New Roman"/>
          <w:b/>
          <w:bCs/>
          <w:sz w:val="24"/>
          <w:szCs w:val="24"/>
        </w:rPr>
        <w:t>A</w:t>
      </w:r>
      <w:r w:rsidR="00590F16">
        <w:rPr>
          <w:rFonts w:ascii="Cambria" w:hAnsi="Cambria" w:cs="Times New Roman"/>
          <w:b/>
          <w:bCs/>
          <w:sz w:val="24"/>
          <w:szCs w:val="24"/>
        </w:rPr>
        <w:t>rtificial intelligence</w:t>
      </w:r>
      <w:r w:rsidRPr="00E94148">
        <w:rPr>
          <w:rFonts w:ascii="Cambria" w:hAnsi="Cambria" w:cs="Times New Roman"/>
          <w:b/>
          <w:bCs/>
          <w:sz w:val="24"/>
          <w:szCs w:val="24"/>
        </w:rPr>
        <w:t xml:space="preserve"> in criminal trials as a legitimate influence? Drawing a compatibility scheme between the principle of independence and the use of </w:t>
      </w:r>
      <w:r w:rsidR="00590F16">
        <w:rPr>
          <w:rFonts w:ascii="Cambria" w:hAnsi="Cambria" w:cs="Times New Roman"/>
          <w:b/>
          <w:bCs/>
          <w:sz w:val="24"/>
          <w:szCs w:val="24"/>
        </w:rPr>
        <w:t>algorithm</w:t>
      </w:r>
      <w:r w:rsidRPr="00E94148">
        <w:rPr>
          <w:rFonts w:ascii="Cambria" w:hAnsi="Cambria" w:cs="Times New Roman"/>
          <w:b/>
          <w:bCs/>
          <w:sz w:val="24"/>
          <w:szCs w:val="24"/>
        </w:rPr>
        <w:t xml:space="preserve"> in criminal trials.</w:t>
      </w:r>
    </w:p>
    <w:p w14:paraId="1F0701CC" w14:textId="77777777" w:rsidR="00806D1A" w:rsidRPr="00E94148" w:rsidRDefault="00407892" w:rsidP="008553F4">
      <w:pPr>
        <w:spacing w:line="276" w:lineRule="auto"/>
        <w:jc w:val="both"/>
        <w:rPr>
          <w:rFonts w:ascii="Cambria" w:hAnsi="Cambria" w:cs="Times New Roman"/>
          <w:sz w:val="24"/>
          <w:szCs w:val="24"/>
        </w:rPr>
      </w:pPr>
      <w:r w:rsidRPr="00E94148">
        <w:rPr>
          <w:rFonts w:ascii="Cambria" w:hAnsi="Cambria" w:cs="Times New Roman"/>
          <w:sz w:val="24"/>
          <w:szCs w:val="24"/>
        </w:rPr>
        <w:t xml:space="preserve">Artificial intelligence thus can be qualified as an undue influence under European law if no guarantees or principles are applied to its inner working and its use by the Judge. </w:t>
      </w:r>
      <w:r w:rsidR="006D0E4B" w:rsidRPr="00E94148">
        <w:rPr>
          <w:rFonts w:ascii="Cambria" w:hAnsi="Cambria" w:cs="Times New Roman"/>
          <w:sz w:val="24"/>
          <w:szCs w:val="24"/>
        </w:rPr>
        <w:t xml:space="preserve">In this perspective, if a use of A.I is </w:t>
      </w:r>
      <w:proofErr w:type="gramStart"/>
      <w:r w:rsidR="006D0E4B" w:rsidRPr="00E94148">
        <w:rPr>
          <w:rFonts w:ascii="Cambria" w:hAnsi="Cambria" w:cs="Times New Roman"/>
          <w:sz w:val="24"/>
          <w:szCs w:val="24"/>
        </w:rPr>
        <w:t>tent</w:t>
      </w:r>
      <w:proofErr w:type="gramEnd"/>
      <w:r w:rsidR="006D0E4B" w:rsidRPr="00E94148">
        <w:rPr>
          <w:rFonts w:ascii="Cambria" w:hAnsi="Cambria" w:cs="Times New Roman"/>
          <w:sz w:val="24"/>
          <w:szCs w:val="24"/>
        </w:rPr>
        <w:t xml:space="preserve"> to be generalized in some legal systems, then this technology would have to </w:t>
      </w:r>
      <w:r w:rsidR="00670726" w:rsidRPr="00E94148">
        <w:rPr>
          <w:rFonts w:ascii="Cambria" w:hAnsi="Cambria" w:cs="Times New Roman"/>
          <w:sz w:val="24"/>
          <w:szCs w:val="24"/>
        </w:rPr>
        <w:t>be adapted to the principle of independence.</w:t>
      </w:r>
      <w:r w:rsidR="00E214A7" w:rsidRPr="00E94148">
        <w:rPr>
          <w:rFonts w:ascii="Cambria" w:hAnsi="Cambria" w:cs="Times New Roman"/>
          <w:sz w:val="24"/>
          <w:szCs w:val="24"/>
        </w:rPr>
        <w:t xml:space="preserve"> In this perspective, it will be necessary to assess such compatibility under two </w:t>
      </w:r>
      <w:r w:rsidR="00FD34A9" w:rsidRPr="00E94148">
        <w:rPr>
          <w:rFonts w:ascii="Cambria" w:hAnsi="Cambria" w:cs="Times New Roman"/>
          <w:sz w:val="24"/>
          <w:szCs w:val="24"/>
        </w:rPr>
        <w:t>perspectives</w:t>
      </w:r>
      <w:r w:rsidR="00E214A7" w:rsidRPr="00E94148">
        <w:rPr>
          <w:rFonts w:ascii="Cambria" w:hAnsi="Cambria" w:cs="Times New Roman"/>
          <w:sz w:val="24"/>
          <w:szCs w:val="24"/>
        </w:rPr>
        <w:t>, one considering the technology itself (A); while the other would focus on the legal framework that would render the use of such tech</w:t>
      </w:r>
      <w:r w:rsidR="005858E3" w:rsidRPr="00E94148">
        <w:rPr>
          <w:rFonts w:ascii="Cambria" w:hAnsi="Cambria" w:cs="Times New Roman"/>
          <w:sz w:val="24"/>
          <w:szCs w:val="24"/>
        </w:rPr>
        <w:t>nology compatible under European law (B).</w:t>
      </w:r>
    </w:p>
    <w:p w14:paraId="6ADCB850" w14:textId="77777777" w:rsidR="00BF4A0E" w:rsidRPr="00E94148" w:rsidRDefault="00BF4A0E" w:rsidP="008553F4">
      <w:pPr>
        <w:pStyle w:val="ListParagraph"/>
        <w:numPr>
          <w:ilvl w:val="0"/>
          <w:numId w:val="6"/>
        </w:numPr>
        <w:spacing w:line="276" w:lineRule="auto"/>
        <w:jc w:val="both"/>
        <w:rPr>
          <w:rFonts w:ascii="Cambria" w:hAnsi="Cambria" w:cs="Times New Roman"/>
          <w:b/>
          <w:bCs/>
          <w:sz w:val="24"/>
          <w:szCs w:val="24"/>
        </w:rPr>
      </w:pPr>
      <w:r w:rsidRPr="00E94148">
        <w:rPr>
          <w:rFonts w:ascii="Cambria" w:hAnsi="Cambria" w:cs="Times New Roman"/>
          <w:b/>
          <w:bCs/>
          <w:sz w:val="24"/>
          <w:szCs w:val="24"/>
        </w:rPr>
        <w:t xml:space="preserve">What principles for the governance of algorithms in criminal trials: </w:t>
      </w:r>
      <w:r w:rsidR="00D422E2" w:rsidRPr="00E94148">
        <w:rPr>
          <w:rFonts w:ascii="Cambria" w:hAnsi="Cambria" w:cs="Times New Roman"/>
          <w:b/>
          <w:bCs/>
          <w:sz w:val="24"/>
          <w:szCs w:val="24"/>
        </w:rPr>
        <w:t xml:space="preserve">Addressing the unveiling of the undue character of </w:t>
      </w:r>
      <w:r w:rsidR="00590F16">
        <w:rPr>
          <w:rFonts w:ascii="Cambria" w:hAnsi="Cambria" w:cs="Times New Roman"/>
          <w:b/>
          <w:bCs/>
          <w:sz w:val="24"/>
          <w:szCs w:val="24"/>
        </w:rPr>
        <w:t>artificial intelligence</w:t>
      </w:r>
      <w:r w:rsidR="00D422E2" w:rsidRPr="00E94148">
        <w:rPr>
          <w:rFonts w:ascii="Cambria" w:hAnsi="Cambria" w:cs="Times New Roman"/>
          <w:b/>
          <w:bCs/>
          <w:sz w:val="24"/>
          <w:szCs w:val="24"/>
        </w:rPr>
        <w:t xml:space="preserve"> in criminal trials</w:t>
      </w:r>
      <w:r w:rsidRPr="00E94148">
        <w:rPr>
          <w:rFonts w:ascii="Cambria" w:hAnsi="Cambria" w:cs="Times New Roman"/>
          <w:b/>
          <w:bCs/>
          <w:sz w:val="24"/>
          <w:szCs w:val="24"/>
        </w:rPr>
        <w:t>?</w:t>
      </w:r>
    </w:p>
    <w:p w14:paraId="3097C0A9" w14:textId="77777777" w:rsidR="00806D1A" w:rsidRPr="00E94148" w:rsidRDefault="00806D1A"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The principle of transparency is one that is </w:t>
      </w:r>
      <w:r w:rsidR="00825AAF" w:rsidRPr="00E94148">
        <w:rPr>
          <w:rFonts w:ascii="Cambria" w:hAnsi="Cambria" w:cs="Times New Roman"/>
          <w:sz w:val="24"/>
          <w:szCs w:val="24"/>
        </w:rPr>
        <w:t xml:space="preserve">often </w:t>
      </w:r>
      <w:r w:rsidR="00A77731" w:rsidRPr="00E94148">
        <w:rPr>
          <w:rFonts w:ascii="Cambria" w:hAnsi="Cambria" w:cs="Times New Roman"/>
          <w:sz w:val="24"/>
          <w:szCs w:val="24"/>
        </w:rPr>
        <w:t>promoted</w:t>
      </w:r>
      <w:r w:rsidR="00825AAF" w:rsidRPr="00E94148">
        <w:rPr>
          <w:rFonts w:ascii="Cambria" w:hAnsi="Cambria" w:cs="Times New Roman"/>
          <w:sz w:val="24"/>
          <w:szCs w:val="24"/>
        </w:rPr>
        <w:t xml:space="preserve"> by human rights bodies as part of the principle governing a trustworthy A.I.</w:t>
      </w:r>
      <w:r w:rsidR="002C6DAE" w:rsidRPr="00E94148">
        <w:rPr>
          <w:rStyle w:val="FootnoteReference"/>
          <w:rFonts w:ascii="Cambria" w:hAnsi="Cambria" w:cs="Times New Roman"/>
          <w:sz w:val="24"/>
          <w:szCs w:val="24"/>
        </w:rPr>
        <w:footnoteReference w:id="53"/>
      </w:r>
      <w:r w:rsidR="00591F6B" w:rsidRPr="00E94148">
        <w:rPr>
          <w:rFonts w:ascii="Cambria" w:hAnsi="Cambria" w:cs="Times New Roman"/>
          <w:sz w:val="24"/>
          <w:szCs w:val="24"/>
        </w:rPr>
        <w:t xml:space="preserve"> </w:t>
      </w:r>
      <w:r w:rsidR="00F26BFE" w:rsidRPr="00E94148">
        <w:rPr>
          <w:rFonts w:ascii="Cambria" w:hAnsi="Cambria" w:cs="Times New Roman"/>
          <w:sz w:val="24"/>
          <w:szCs w:val="24"/>
        </w:rPr>
        <w:t xml:space="preserve">Such a principle expects the algorithm to </w:t>
      </w:r>
      <w:r w:rsidR="000E1462" w:rsidRPr="00E94148">
        <w:rPr>
          <w:rFonts w:ascii="Cambria" w:hAnsi="Cambria" w:cs="Times New Roman"/>
          <w:sz w:val="24"/>
          <w:szCs w:val="24"/>
        </w:rPr>
        <w:t>unveil the inner working of its functioning</w:t>
      </w:r>
      <w:r w:rsidR="00923160" w:rsidRPr="00E94148">
        <w:rPr>
          <w:rFonts w:ascii="Cambria" w:hAnsi="Cambria" w:cs="Times New Roman"/>
          <w:sz w:val="24"/>
          <w:szCs w:val="24"/>
        </w:rPr>
        <w:t xml:space="preserve">, from the data used, to the model developed and what happens between the introduction of data and the </w:t>
      </w:r>
      <w:r w:rsidR="00AF7740" w:rsidRPr="00E94148">
        <w:rPr>
          <w:rFonts w:ascii="Cambria" w:hAnsi="Cambria" w:cs="Times New Roman"/>
          <w:sz w:val="24"/>
          <w:szCs w:val="24"/>
        </w:rPr>
        <w:t xml:space="preserve">outcome of the algorithmic solution. </w:t>
      </w:r>
      <w:r w:rsidR="00586CA5" w:rsidRPr="00E94148">
        <w:rPr>
          <w:rFonts w:ascii="Cambria" w:hAnsi="Cambria" w:cs="Times New Roman"/>
          <w:sz w:val="24"/>
          <w:szCs w:val="24"/>
        </w:rPr>
        <w:t>This publicity would allow for more clearance in the path of the algorithm</w:t>
      </w:r>
      <w:r w:rsidR="00A8377B" w:rsidRPr="00E94148">
        <w:rPr>
          <w:rFonts w:ascii="Cambria" w:hAnsi="Cambria" w:cs="Times New Roman"/>
          <w:sz w:val="24"/>
          <w:szCs w:val="24"/>
        </w:rPr>
        <w:t xml:space="preserve"> solution </w:t>
      </w:r>
      <w:r w:rsidR="00D15108" w:rsidRPr="00E94148">
        <w:rPr>
          <w:rFonts w:ascii="Cambria" w:hAnsi="Cambria" w:cs="Times New Roman"/>
          <w:sz w:val="24"/>
          <w:szCs w:val="24"/>
        </w:rPr>
        <w:t xml:space="preserve">and witness what path he did take </w:t>
      </w:r>
      <w:proofErr w:type="gramStart"/>
      <w:r w:rsidR="00D15108" w:rsidRPr="00E94148">
        <w:rPr>
          <w:rFonts w:ascii="Cambria" w:hAnsi="Cambria" w:cs="Times New Roman"/>
          <w:sz w:val="24"/>
          <w:szCs w:val="24"/>
        </w:rPr>
        <w:t>in order to</w:t>
      </w:r>
      <w:proofErr w:type="gramEnd"/>
      <w:r w:rsidR="00D15108" w:rsidRPr="00E94148">
        <w:rPr>
          <w:rFonts w:ascii="Cambria" w:hAnsi="Cambria" w:cs="Times New Roman"/>
          <w:sz w:val="24"/>
          <w:szCs w:val="24"/>
        </w:rPr>
        <w:t xml:space="preserve"> reach its conclusion. However, such a transparency is problematic considering </w:t>
      </w:r>
      <w:r w:rsidR="00432556" w:rsidRPr="00E94148">
        <w:rPr>
          <w:rFonts w:ascii="Cambria" w:hAnsi="Cambria" w:cs="Times New Roman"/>
          <w:sz w:val="24"/>
          <w:szCs w:val="24"/>
        </w:rPr>
        <w:t>the proprietary nature of the algorithm as a private company product</w:t>
      </w:r>
      <w:r w:rsidR="006F6575" w:rsidRPr="00E94148">
        <w:rPr>
          <w:rFonts w:ascii="Cambria" w:hAnsi="Cambria" w:cs="Times New Roman"/>
          <w:sz w:val="24"/>
          <w:szCs w:val="24"/>
        </w:rPr>
        <w:t xml:space="preserve"> and thus leading to be protected under intellectual property law</w:t>
      </w:r>
      <w:r w:rsidR="00445643" w:rsidRPr="00E94148">
        <w:rPr>
          <w:rStyle w:val="FootnoteReference"/>
          <w:rFonts w:ascii="Cambria" w:hAnsi="Cambria" w:cs="Times New Roman"/>
          <w:sz w:val="24"/>
          <w:szCs w:val="24"/>
        </w:rPr>
        <w:footnoteReference w:id="54"/>
      </w:r>
      <w:r w:rsidR="006F6575" w:rsidRPr="00E94148">
        <w:rPr>
          <w:rFonts w:ascii="Cambria" w:hAnsi="Cambria" w:cs="Times New Roman"/>
          <w:sz w:val="24"/>
          <w:szCs w:val="24"/>
        </w:rPr>
        <w:t xml:space="preserve">. Such an issue </w:t>
      </w:r>
      <w:r w:rsidR="00B26D02" w:rsidRPr="00E94148">
        <w:rPr>
          <w:rFonts w:ascii="Cambria" w:hAnsi="Cambria" w:cs="Times New Roman"/>
          <w:sz w:val="24"/>
          <w:szCs w:val="24"/>
        </w:rPr>
        <w:t>has</w:t>
      </w:r>
      <w:r w:rsidR="006F6575" w:rsidRPr="00E94148">
        <w:rPr>
          <w:rFonts w:ascii="Cambria" w:hAnsi="Cambria" w:cs="Times New Roman"/>
          <w:sz w:val="24"/>
          <w:szCs w:val="24"/>
        </w:rPr>
        <w:t xml:space="preserve"> already </w:t>
      </w:r>
      <w:r w:rsidR="002C6DAE" w:rsidRPr="00E94148">
        <w:rPr>
          <w:rFonts w:ascii="Cambria" w:hAnsi="Cambria" w:cs="Times New Roman"/>
          <w:sz w:val="24"/>
          <w:szCs w:val="24"/>
        </w:rPr>
        <w:t>been presented</w:t>
      </w:r>
      <w:r w:rsidR="006F6575" w:rsidRPr="00E94148">
        <w:rPr>
          <w:rFonts w:ascii="Cambria" w:hAnsi="Cambria" w:cs="Times New Roman"/>
          <w:sz w:val="24"/>
          <w:szCs w:val="24"/>
        </w:rPr>
        <w:t xml:space="preserve"> in front of U.S courts in the cases of </w:t>
      </w:r>
      <w:r w:rsidR="006F6575" w:rsidRPr="00E94148">
        <w:rPr>
          <w:rFonts w:ascii="Cambria" w:hAnsi="Cambria" w:cs="Times New Roman"/>
          <w:i/>
          <w:iCs/>
          <w:sz w:val="24"/>
          <w:szCs w:val="24"/>
        </w:rPr>
        <w:t xml:space="preserve">Kansas v Walls </w:t>
      </w:r>
      <w:r w:rsidR="006F6575" w:rsidRPr="00E94148">
        <w:rPr>
          <w:rFonts w:ascii="Cambria" w:hAnsi="Cambria" w:cs="Times New Roman"/>
          <w:sz w:val="24"/>
          <w:szCs w:val="24"/>
        </w:rPr>
        <w:t xml:space="preserve">and </w:t>
      </w:r>
      <w:r w:rsidR="006F6575" w:rsidRPr="00E94148">
        <w:rPr>
          <w:rFonts w:ascii="Cambria" w:hAnsi="Cambria" w:cs="Times New Roman"/>
          <w:i/>
          <w:iCs/>
          <w:sz w:val="24"/>
          <w:szCs w:val="24"/>
        </w:rPr>
        <w:lastRenderedPageBreak/>
        <w:t xml:space="preserve">Loomis v </w:t>
      </w:r>
      <w:r w:rsidR="00334CB0" w:rsidRPr="00E94148">
        <w:rPr>
          <w:rFonts w:ascii="Cambria" w:hAnsi="Cambria" w:cs="Times New Roman"/>
          <w:i/>
          <w:iCs/>
          <w:sz w:val="24"/>
          <w:szCs w:val="24"/>
        </w:rPr>
        <w:t>Wisconsin</w:t>
      </w:r>
      <w:r w:rsidR="006F6575" w:rsidRPr="00E94148">
        <w:rPr>
          <w:rFonts w:ascii="Cambria" w:hAnsi="Cambria" w:cs="Times New Roman"/>
          <w:sz w:val="24"/>
          <w:szCs w:val="24"/>
        </w:rPr>
        <w:t xml:space="preserve"> where the intellectual property was confronted to due process rights</w:t>
      </w:r>
      <w:r w:rsidR="000433FB" w:rsidRPr="00E94148">
        <w:rPr>
          <w:rStyle w:val="FootnoteReference"/>
          <w:rFonts w:ascii="Cambria" w:hAnsi="Cambria" w:cs="Times New Roman"/>
          <w:sz w:val="24"/>
          <w:szCs w:val="24"/>
        </w:rPr>
        <w:footnoteReference w:id="55"/>
      </w:r>
      <w:r w:rsidR="006F6575" w:rsidRPr="00E94148">
        <w:rPr>
          <w:rFonts w:ascii="Cambria" w:hAnsi="Cambria" w:cs="Times New Roman"/>
          <w:sz w:val="24"/>
          <w:szCs w:val="24"/>
        </w:rPr>
        <w:t xml:space="preserve">. </w:t>
      </w:r>
      <w:r w:rsidR="003D2336" w:rsidRPr="00E94148">
        <w:rPr>
          <w:rFonts w:ascii="Cambria" w:hAnsi="Cambria" w:cs="Times New Roman"/>
          <w:sz w:val="24"/>
          <w:szCs w:val="24"/>
        </w:rPr>
        <w:t>Such intellectual property protection is also recognized in the GDPR recital 61, where it is provided forth that intellectual property law</w:t>
      </w:r>
      <w:r w:rsidR="00807C13" w:rsidRPr="00E94148">
        <w:rPr>
          <w:rFonts w:ascii="Cambria" w:hAnsi="Cambria" w:cs="Times New Roman"/>
          <w:sz w:val="24"/>
          <w:szCs w:val="24"/>
        </w:rPr>
        <w:t xml:space="preserve"> should not be breached considering the publicity of the algorithms</w:t>
      </w:r>
      <w:r w:rsidR="000433FB" w:rsidRPr="00E94148">
        <w:rPr>
          <w:rStyle w:val="FootnoteReference"/>
          <w:rFonts w:ascii="Cambria" w:hAnsi="Cambria" w:cs="Times New Roman"/>
          <w:sz w:val="24"/>
          <w:szCs w:val="24"/>
        </w:rPr>
        <w:footnoteReference w:id="56"/>
      </w:r>
      <w:r w:rsidR="00807C13" w:rsidRPr="00E94148">
        <w:rPr>
          <w:rFonts w:ascii="Cambria" w:hAnsi="Cambria" w:cs="Times New Roman"/>
          <w:sz w:val="24"/>
          <w:szCs w:val="24"/>
        </w:rPr>
        <w:t xml:space="preserve">. </w:t>
      </w:r>
      <w:r w:rsidR="00B26D02" w:rsidRPr="00E94148">
        <w:rPr>
          <w:rFonts w:ascii="Cambria" w:hAnsi="Cambria" w:cs="Times New Roman"/>
          <w:sz w:val="24"/>
          <w:szCs w:val="24"/>
        </w:rPr>
        <w:t xml:space="preserve">Such provision was also </w:t>
      </w:r>
      <w:r w:rsidR="006362A0" w:rsidRPr="00E94148">
        <w:rPr>
          <w:rFonts w:ascii="Cambria" w:hAnsi="Cambria" w:cs="Times New Roman"/>
          <w:sz w:val="24"/>
          <w:szCs w:val="24"/>
        </w:rPr>
        <w:t>held in the Loomis case</w:t>
      </w:r>
      <w:r w:rsidR="00282AB4" w:rsidRPr="00E94148">
        <w:rPr>
          <w:rFonts w:ascii="Cambria" w:hAnsi="Cambria" w:cs="Times New Roman"/>
          <w:sz w:val="24"/>
          <w:szCs w:val="24"/>
        </w:rPr>
        <w:t xml:space="preserve"> and prevented any disclosure of the inner working of the algorithm</w:t>
      </w:r>
      <w:r w:rsidR="006362A0" w:rsidRPr="00E94148">
        <w:rPr>
          <w:rFonts w:ascii="Cambria" w:hAnsi="Cambria" w:cs="Times New Roman"/>
          <w:sz w:val="24"/>
          <w:szCs w:val="24"/>
        </w:rPr>
        <w:t xml:space="preserve">; </w:t>
      </w:r>
      <w:r w:rsidR="00E33406" w:rsidRPr="00E94148">
        <w:rPr>
          <w:rFonts w:ascii="Cambria" w:hAnsi="Cambria" w:cs="Times New Roman"/>
          <w:sz w:val="24"/>
          <w:szCs w:val="24"/>
        </w:rPr>
        <w:t>however,</w:t>
      </w:r>
      <w:r w:rsidR="006362A0" w:rsidRPr="00E94148">
        <w:rPr>
          <w:rFonts w:ascii="Cambria" w:hAnsi="Cambria" w:cs="Times New Roman"/>
          <w:sz w:val="24"/>
          <w:szCs w:val="24"/>
        </w:rPr>
        <w:t xml:space="preserve"> the Walls case have also presented a</w:t>
      </w:r>
      <w:r w:rsidR="004A557B" w:rsidRPr="00E94148">
        <w:rPr>
          <w:rFonts w:ascii="Cambria" w:hAnsi="Cambria" w:cs="Times New Roman"/>
          <w:sz w:val="24"/>
          <w:szCs w:val="24"/>
        </w:rPr>
        <w:t xml:space="preserve">n exception to this rule, if the algorithm is the sole piece of evidence under which the judge </w:t>
      </w:r>
      <w:r w:rsidR="000433FB" w:rsidRPr="00E94148">
        <w:rPr>
          <w:rFonts w:ascii="Cambria" w:hAnsi="Cambria" w:cs="Times New Roman"/>
          <w:sz w:val="24"/>
          <w:szCs w:val="24"/>
        </w:rPr>
        <w:t>gives</w:t>
      </w:r>
      <w:r w:rsidR="004A557B" w:rsidRPr="00E94148">
        <w:rPr>
          <w:rFonts w:ascii="Cambria" w:hAnsi="Cambria" w:cs="Times New Roman"/>
          <w:sz w:val="24"/>
          <w:szCs w:val="24"/>
        </w:rPr>
        <w:t xml:space="preserve"> a decision, then </w:t>
      </w:r>
      <w:r w:rsidR="0090679F" w:rsidRPr="00E94148">
        <w:rPr>
          <w:rFonts w:ascii="Cambria" w:hAnsi="Cambria" w:cs="Times New Roman"/>
          <w:sz w:val="24"/>
          <w:szCs w:val="24"/>
        </w:rPr>
        <w:t xml:space="preserve">the intellectual property of the algorithm cannot be </w:t>
      </w:r>
      <w:r w:rsidR="000433FB" w:rsidRPr="00E94148">
        <w:rPr>
          <w:rFonts w:ascii="Cambria" w:hAnsi="Cambria" w:cs="Times New Roman"/>
          <w:sz w:val="24"/>
          <w:szCs w:val="24"/>
        </w:rPr>
        <w:t>invoked,</w:t>
      </w:r>
      <w:r w:rsidR="0090679F" w:rsidRPr="00E94148">
        <w:rPr>
          <w:rFonts w:ascii="Cambria" w:hAnsi="Cambria" w:cs="Times New Roman"/>
          <w:sz w:val="24"/>
          <w:szCs w:val="24"/>
        </w:rPr>
        <w:t xml:space="preserve"> and the algorithm must be disclosed to the </w:t>
      </w:r>
      <w:r w:rsidR="00206C1B" w:rsidRPr="00E94148">
        <w:rPr>
          <w:rFonts w:ascii="Cambria" w:hAnsi="Cambria" w:cs="Times New Roman"/>
          <w:sz w:val="24"/>
          <w:szCs w:val="24"/>
        </w:rPr>
        <w:t>defendant</w:t>
      </w:r>
      <w:r w:rsidR="000433FB" w:rsidRPr="00E94148">
        <w:rPr>
          <w:rStyle w:val="FootnoteReference"/>
          <w:rFonts w:ascii="Cambria" w:hAnsi="Cambria" w:cs="Times New Roman"/>
          <w:sz w:val="24"/>
          <w:szCs w:val="24"/>
        </w:rPr>
        <w:footnoteReference w:id="57"/>
      </w:r>
      <w:r w:rsidR="00206C1B" w:rsidRPr="00E94148">
        <w:rPr>
          <w:rFonts w:ascii="Cambria" w:hAnsi="Cambria" w:cs="Times New Roman"/>
          <w:sz w:val="24"/>
          <w:szCs w:val="24"/>
        </w:rPr>
        <w:t>.</w:t>
      </w:r>
      <w:r w:rsidR="00686FBF" w:rsidRPr="00E94148">
        <w:rPr>
          <w:rFonts w:ascii="Cambria" w:hAnsi="Cambria" w:cs="Times New Roman"/>
          <w:sz w:val="24"/>
          <w:szCs w:val="24"/>
        </w:rPr>
        <w:t xml:space="preserve"> </w:t>
      </w:r>
      <w:r w:rsidR="00C83C29" w:rsidRPr="00E94148">
        <w:rPr>
          <w:rFonts w:ascii="Cambria" w:hAnsi="Cambria" w:cs="Times New Roman"/>
          <w:sz w:val="24"/>
          <w:szCs w:val="24"/>
        </w:rPr>
        <w:t xml:space="preserve">Such transparency thus remains vital </w:t>
      </w:r>
      <w:proofErr w:type="gramStart"/>
      <w:r w:rsidR="00C83C29" w:rsidRPr="00E94148">
        <w:rPr>
          <w:rFonts w:ascii="Cambria" w:hAnsi="Cambria" w:cs="Times New Roman"/>
          <w:sz w:val="24"/>
          <w:szCs w:val="24"/>
        </w:rPr>
        <w:t>in order to</w:t>
      </w:r>
      <w:proofErr w:type="gramEnd"/>
      <w:r w:rsidR="00C83C29" w:rsidRPr="00E94148">
        <w:rPr>
          <w:rFonts w:ascii="Cambria" w:hAnsi="Cambria" w:cs="Times New Roman"/>
          <w:sz w:val="24"/>
          <w:szCs w:val="24"/>
        </w:rPr>
        <w:t xml:space="preserve"> make sure that no undue</w:t>
      </w:r>
      <w:r w:rsidR="00DF3826" w:rsidRPr="00E94148">
        <w:rPr>
          <w:rFonts w:ascii="Cambria" w:hAnsi="Cambria" w:cs="Times New Roman"/>
          <w:sz w:val="24"/>
          <w:szCs w:val="24"/>
        </w:rPr>
        <w:t xml:space="preserve"> </w:t>
      </w:r>
      <w:r w:rsidR="004A00A4" w:rsidRPr="00E94148">
        <w:rPr>
          <w:rFonts w:ascii="Cambria" w:hAnsi="Cambria" w:cs="Times New Roman"/>
          <w:sz w:val="24"/>
          <w:szCs w:val="24"/>
        </w:rPr>
        <w:t>functioning</w:t>
      </w:r>
      <w:r w:rsidR="00C83C29" w:rsidRPr="00E94148">
        <w:rPr>
          <w:rFonts w:ascii="Cambria" w:hAnsi="Cambria" w:cs="Times New Roman"/>
          <w:sz w:val="24"/>
          <w:szCs w:val="24"/>
        </w:rPr>
        <w:t xml:space="preserve"> could have influenced the judge in its decision.</w:t>
      </w:r>
    </w:p>
    <w:p w14:paraId="48C6E6F0" w14:textId="77777777" w:rsidR="00C83C29" w:rsidRPr="00E94148" w:rsidRDefault="00DF3826"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However, </w:t>
      </w:r>
      <w:r w:rsidR="00D960F5" w:rsidRPr="00E94148">
        <w:rPr>
          <w:rFonts w:ascii="Cambria" w:hAnsi="Cambria" w:cs="Times New Roman"/>
          <w:sz w:val="24"/>
          <w:szCs w:val="24"/>
        </w:rPr>
        <w:t>the complexity of the algorithm and its functioning requires more than transparency. Indeed, judges are no computer scientist, and even if the algorithm is transparent to them</w:t>
      </w:r>
      <w:r w:rsidR="009052E7" w:rsidRPr="00E94148">
        <w:rPr>
          <w:rFonts w:ascii="Cambria" w:hAnsi="Cambria" w:cs="Times New Roman"/>
          <w:sz w:val="24"/>
          <w:szCs w:val="24"/>
        </w:rPr>
        <w:t>, there will be an issue on how to</w:t>
      </w:r>
      <w:r w:rsidR="00AC04AF" w:rsidRPr="00E94148">
        <w:rPr>
          <w:rFonts w:ascii="Cambria" w:hAnsi="Cambria" w:cs="Times New Roman"/>
          <w:sz w:val="24"/>
          <w:szCs w:val="24"/>
        </w:rPr>
        <w:t xml:space="preserve"> explain </w:t>
      </w:r>
      <w:r w:rsidR="006A3749" w:rsidRPr="00E94148">
        <w:rPr>
          <w:rFonts w:ascii="Cambria" w:hAnsi="Cambria" w:cs="Times New Roman"/>
          <w:sz w:val="24"/>
          <w:szCs w:val="24"/>
        </w:rPr>
        <w:t>the outcome of the algorithm</w:t>
      </w:r>
      <w:r w:rsidR="005742E1" w:rsidRPr="00E94148">
        <w:rPr>
          <w:rStyle w:val="FootnoteReference"/>
          <w:rFonts w:ascii="Cambria" w:hAnsi="Cambria" w:cs="Times New Roman"/>
          <w:sz w:val="24"/>
          <w:szCs w:val="24"/>
        </w:rPr>
        <w:footnoteReference w:id="58"/>
      </w:r>
      <w:r w:rsidR="006A3749" w:rsidRPr="00E94148">
        <w:rPr>
          <w:rFonts w:ascii="Cambria" w:hAnsi="Cambria" w:cs="Times New Roman"/>
          <w:sz w:val="24"/>
          <w:szCs w:val="24"/>
        </w:rPr>
        <w:t>. The reasoning of the judge can represent a</w:t>
      </w:r>
      <w:r w:rsidR="004B4D83" w:rsidRPr="00E94148">
        <w:rPr>
          <w:rFonts w:ascii="Cambria" w:hAnsi="Cambria" w:cs="Times New Roman"/>
          <w:sz w:val="24"/>
          <w:szCs w:val="24"/>
        </w:rPr>
        <w:t>n assurance against a potential undue influence, for the reasoning explain the reason of the decision.</w:t>
      </w:r>
      <w:r w:rsidR="006427C3" w:rsidRPr="00E94148">
        <w:rPr>
          <w:rFonts w:ascii="Cambria" w:hAnsi="Cambria" w:cs="Times New Roman"/>
          <w:sz w:val="24"/>
          <w:szCs w:val="24"/>
        </w:rPr>
        <w:t xml:space="preserve"> However, if a judge based a decision upon the algorithm outcome but cannot explain </w:t>
      </w:r>
      <w:r w:rsidR="00EE7141" w:rsidRPr="00E94148">
        <w:rPr>
          <w:rFonts w:ascii="Cambria" w:hAnsi="Cambria" w:cs="Times New Roman"/>
          <w:sz w:val="24"/>
          <w:szCs w:val="24"/>
        </w:rPr>
        <w:t>neither the reason it relied upon it nor how the algorithm came to such a conclusion, this could represent a problem of assurance</w:t>
      </w:r>
      <w:r w:rsidR="00A44789" w:rsidRPr="00E94148">
        <w:rPr>
          <w:rFonts w:ascii="Cambria" w:hAnsi="Cambria" w:cs="Times New Roman"/>
          <w:sz w:val="24"/>
          <w:szCs w:val="24"/>
        </w:rPr>
        <w:t>s</w:t>
      </w:r>
      <w:r w:rsidR="00EE7141" w:rsidRPr="00E94148">
        <w:rPr>
          <w:rFonts w:ascii="Cambria" w:hAnsi="Cambria" w:cs="Times New Roman"/>
          <w:sz w:val="24"/>
          <w:szCs w:val="24"/>
        </w:rPr>
        <w:t xml:space="preserve"> against undue influence.</w:t>
      </w:r>
      <w:r w:rsidR="00A44789" w:rsidRPr="00E94148">
        <w:rPr>
          <w:rFonts w:ascii="Cambria" w:hAnsi="Cambria" w:cs="Times New Roman"/>
          <w:sz w:val="24"/>
          <w:szCs w:val="24"/>
        </w:rPr>
        <w:t xml:space="preserve"> </w:t>
      </w:r>
      <w:r w:rsidR="00181D9B" w:rsidRPr="00E94148">
        <w:rPr>
          <w:rFonts w:ascii="Cambria" w:hAnsi="Cambria" w:cs="Times New Roman"/>
          <w:sz w:val="24"/>
          <w:szCs w:val="24"/>
        </w:rPr>
        <w:t>Then, more than transparency such algorithms should answer to the principle of explainability</w:t>
      </w:r>
      <w:r w:rsidR="00750936" w:rsidRPr="00E94148">
        <w:rPr>
          <w:rFonts w:ascii="Cambria" w:hAnsi="Cambria" w:cs="Times New Roman"/>
          <w:sz w:val="24"/>
          <w:szCs w:val="24"/>
        </w:rPr>
        <w:t xml:space="preserve"> </w:t>
      </w:r>
      <w:proofErr w:type="gramStart"/>
      <w:r w:rsidR="00750936" w:rsidRPr="00E94148">
        <w:rPr>
          <w:rFonts w:ascii="Cambria" w:hAnsi="Cambria" w:cs="Times New Roman"/>
          <w:sz w:val="24"/>
          <w:szCs w:val="24"/>
        </w:rPr>
        <w:t xml:space="preserve">in order </w:t>
      </w:r>
      <w:r w:rsidR="003438D8" w:rsidRPr="00E94148">
        <w:rPr>
          <w:rFonts w:ascii="Cambria" w:hAnsi="Cambria" w:cs="Times New Roman"/>
          <w:sz w:val="24"/>
          <w:szCs w:val="24"/>
        </w:rPr>
        <w:t>to</w:t>
      </w:r>
      <w:proofErr w:type="gramEnd"/>
      <w:r w:rsidR="003438D8" w:rsidRPr="00E94148">
        <w:rPr>
          <w:rFonts w:ascii="Cambria" w:hAnsi="Cambria" w:cs="Times New Roman"/>
          <w:sz w:val="24"/>
          <w:szCs w:val="24"/>
        </w:rPr>
        <w:t xml:space="preserve"> unveil the inner functioning and to assess whether such algorithm </w:t>
      </w:r>
      <w:r w:rsidR="005B4496" w:rsidRPr="00E94148">
        <w:rPr>
          <w:rFonts w:ascii="Cambria" w:hAnsi="Cambria" w:cs="Times New Roman"/>
          <w:sz w:val="24"/>
          <w:szCs w:val="24"/>
        </w:rPr>
        <w:t>reasoning was tainted in an undue manner</w:t>
      </w:r>
      <w:r w:rsidR="00F2036C" w:rsidRPr="00E94148">
        <w:rPr>
          <w:rStyle w:val="FootnoteReference"/>
          <w:rFonts w:ascii="Cambria" w:hAnsi="Cambria" w:cs="Times New Roman"/>
          <w:sz w:val="24"/>
          <w:szCs w:val="24"/>
        </w:rPr>
        <w:footnoteReference w:id="59"/>
      </w:r>
      <w:r w:rsidR="005B4496" w:rsidRPr="00E94148">
        <w:rPr>
          <w:rFonts w:ascii="Cambria" w:hAnsi="Cambria" w:cs="Times New Roman"/>
          <w:sz w:val="24"/>
          <w:szCs w:val="24"/>
        </w:rPr>
        <w:t>.</w:t>
      </w:r>
      <w:r w:rsidR="00181D9B" w:rsidRPr="00E94148">
        <w:rPr>
          <w:rFonts w:ascii="Cambria" w:hAnsi="Cambria" w:cs="Times New Roman"/>
          <w:sz w:val="24"/>
          <w:szCs w:val="24"/>
        </w:rPr>
        <w:t xml:space="preserve"> </w:t>
      </w:r>
      <w:r w:rsidR="00C628B2" w:rsidRPr="00E94148">
        <w:rPr>
          <w:rFonts w:ascii="Cambria" w:hAnsi="Cambria" w:cs="Times New Roman"/>
          <w:sz w:val="24"/>
          <w:szCs w:val="24"/>
        </w:rPr>
        <w:t xml:space="preserve">It could also lead to judge to </w:t>
      </w:r>
      <w:r w:rsidR="00D16974" w:rsidRPr="00E94148">
        <w:rPr>
          <w:rFonts w:ascii="Cambria" w:hAnsi="Cambria" w:cs="Times New Roman"/>
          <w:sz w:val="24"/>
          <w:szCs w:val="24"/>
        </w:rPr>
        <w:t>intervene and not consider the algorithm if it did act in such a manner.</w:t>
      </w:r>
      <w:r w:rsidR="004E59C1" w:rsidRPr="00E94148">
        <w:rPr>
          <w:rFonts w:ascii="Cambria" w:hAnsi="Cambria" w:cs="Times New Roman"/>
          <w:sz w:val="24"/>
          <w:szCs w:val="24"/>
        </w:rPr>
        <w:t xml:space="preserve"> Therefore, taken together the principle of transparency and </w:t>
      </w:r>
      <w:r w:rsidR="0075656E" w:rsidRPr="00E94148">
        <w:rPr>
          <w:rFonts w:ascii="Cambria" w:hAnsi="Cambria" w:cs="Times New Roman"/>
          <w:sz w:val="24"/>
          <w:szCs w:val="24"/>
        </w:rPr>
        <w:t>explainability</w:t>
      </w:r>
      <w:r w:rsidR="004E59C1" w:rsidRPr="00E94148">
        <w:rPr>
          <w:rFonts w:ascii="Cambria" w:hAnsi="Cambria" w:cs="Times New Roman"/>
          <w:sz w:val="24"/>
          <w:szCs w:val="24"/>
        </w:rPr>
        <w:t xml:space="preserve"> could represent a barrier to</w:t>
      </w:r>
      <w:r w:rsidR="0075656E" w:rsidRPr="00E94148">
        <w:rPr>
          <w:rFonts w:ascii="Cambria" w:hAnsi="Cambria" w:cs="Times New Roman"/>
          <w:sz w:val="24"/>
          <w:szCs w:val="24"/>
        </w:rPr>
        <w:t xml:space="preserve"> the undue character of the influence </w:t>
      </w:r>
      <w:proofErr w:type="gramStart"/>
      <w:r w:rsidR="0075656E" w:rsidRPr="00E94148">
        <w:rPr>
          <w:rFonts w:ascii="Cambria" w:hAnsi="Cambria" w:cs="Times New Roman"/>
          <w:sz w:val="24"/>
          <w:szCs w:val="24"/>
        </w:rPr>
        <w:t>in order to</w:t>
      </w:r>
      <w:proofErr w:type="gramEnd"/>
      <w:r w:rsidR="0075656E" w:rsidRPr="00E94148">
        <w:rPr>
          <w:rFonts w:ascii="Cambria" w:hAnsi="Cambria" w:cs="Times New Roman"/>
          <w:sz w:val="24"/>
          <w:szCs w:val="24"/>
        </w:rPr>
        <w:t xml:space="preserve"> </w:t>
      </w:r>
      <w:r w:rsidR="00FC3669" w:rsidRPr="00E94148">
        <w:rPr>
          <w:rFonts w:ascii="Cambria" w:hAnsi="Cambria" w:cs="Times New Roman"/>
          <w:sz w:val="24"/>
          <w:szCs w:val="24"/>
        </w:rPr>
        <w:t xml:space="preserve">preserve the integrity of the principle of independence against such influences. </w:t>
      </w:r>
      <w:r w:rsidR="00D64D39" w:rsidRPr="00E94148">
        <w:rPr>
          <w:rFonts w:ascii="Cambria" w:hAnsi="Cambria" w:cs="Times New Roman"/>
          <w:sz w:val="24"/>
          <w:szCs w:val="24"/>
        </w:rPr>
        <w:t xml:space="preserve">Such publicity in both the knowledge and the understanding of the functioning would be the first step toward building trustworthy algorithm, upon which </w:t>
      </w:r>
      <w:r w:rsidR="00F04DBF" w:rsidRPr="00E94148">
        <w:rPr>
          <w:rFonts w:ascii="Cambria" w:hAnsi="Cambria" w:cs="Times New Roman"/>
          <w:sz w:val="24"/>
          <w:szCs w:val="24"/>
        </w:rPr>
        <w:t>the E.U has planned its strategy for such technology</w:t>
      </w:r>
      <w:r w:rsidR="00F2036C" w:rsidRPr="00E94148">
        <w:rPr>
          <w:rStyle w:val="FootnoteReference"/>
          <w:rFonts w:ascii="Cambria" w:hAnsi="Cambria" w:cs="Times New Roman"/>
          <w:sz w:val="24"/>
          <w:szCs w:val="24"/>
        </w:rPr>
        <w:footnoteReference w:id="60"/>
      </w:r>
      <w:r w:rsidR="00F04DBF" w:rsidRPr="00E94148">
        <w:rPr>
          <w:rFonts w:ascii="Cambria" w:hAnsi="Cambria" w:cs="Times New Roman"/>
          <w:sz w:val="24"/>
          <w:szCs w:val="24"/>
        </w:rPr>
        <w:t>.</w:t>
      </w:r>
      <w:r w:rsidR="00E65AD2" w:rsidRPr="00E94148">
        <w:rPr>
          <w:rFonts w:ascii="Cambria" w:hAnsi="Cambria" w:cs="Times New Roman"/>
          <w:sz w:val="24"/>
          <w:szCs w:val="24"/>
        </w:rPr>
        <w:t xml:space="preserve"> Indeed, the </w:t>
      </w:r>
      <w:r w:rsidR="00E65AD2" w:rsidRPr="00E94148">
        <w:rPr>
          <w:rFonts w:ascii="Cambria" w:hAnsi="Cambria" w:cs="Times New Roman"/>
          <w:sz w:val="24"/>
          <w:szCs w:val="24"/>
        </w:rPr>
        <w:lastRenderedPageBreak/>
        <w:t xml:space="preserve">knowledge and understanding of such technology would lead to assess what data might cause an undue component </w:t>
      </w:r>
      <w:r w:rsidR="00A560F4" w:rsidRPr="00E94148">
        <w:rPr>
          <w:rFonts w:ascii="Cambria" w:hAnsi="Cambria" w:cs="Times New Roman"/>
          <w:sz w:val="24"/>
          <w:szCs w:val="24"/>
        </w:rPr>
        <w:t>in the influence scheme</w:t>
      </w:r>
      <w:r w:rsidR="00E65AD2" w:rsidRPr="00E94148">
        <w:rPr>
          <w:rFonts w:ascii="Cambria" w:hAnsi="Cambria" w:cs="Times New Roman"/>
          <w:sz w:val="24"/>
          <w:szCs w:val="24"/>
        </w:rPr>
        <w:t>.</w:t>
      </w:r>
      <w:r w:rsidR="00A50E26" w:rsidRPr="00E94148">
        <w:rPr>
          <w:rFonts w:ascii="Cambria" w:hAnsi="Cambria" w:cs="Times New Roman"/>
          <w:sz w:val="24"/>
          <w:szCs w:val="24"/>
        </w:rPr>
        <w:t xml:space="preserve"> The irrelevant and not necessary data could thus be corrected in further implementation of the algorithm. </w:t>
      </w:r>
    </w:p>
    <w:p w14:paraId="11967356" w14:textId="77777777" w:rsidR="00007D3D" w:rsidRPr="00E94148" w:rsidRDefault="00007D3D"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Thus, these two principles remain essential </w:t>
      </w:r>
      <w:proofErr w:type="gramStart"/>
      <w:r w:rsidRPr="00E94148">
        <w:rPr>
          <w:rFonts w:ascii="Cambria" w:hAnsi="Cambria" w:cs="Times New Roman"/>
          <w:sz w:val="24"/>
          <w:szCs w:val="24"/>
        </w:rPr>
        <w:t>in order to</w:t>
      </w:r>
      <w:proofErr w:type="gramEnd"/>
      <w:r w:rsidRPr="00E94148">
        <w:rPr>
          <w:rFonts w:ascii="Cambria" w:hAnsi="Cambria" w:cs="Times New Roman"/>
          <w:sz w:val="24"/>
          <w:szCs w:val="24"/>
        </w:rPr>
        <w:t xml:space="preserve"> build fair algorithms and for safekeeping the </w:t>
      </w:r>
      <w:r w:rsidR="00D77408" w:rsidRPr="00E94148">
        <w:rPr>
          <w:rFonts w:ascii="Cambria" w:hAnsi="Cambria" w:cs="Times New Roman"/>
          <w:sz w:val="24"/>
          <w:szCs w:val="24"/>
        </w:rPr>
        <w:t xml:space="preserve">protection of the judge against undue influences under European Law; nevertheless, in order to further protect such vital component of the Rule of Law, not only it is essential to limit the undue; but </w:t>
      </w:r>
      <w:r w:rsidR="00E07566" w:rsidRPr="00E94148">
        <w:rPr>
          <w:rFonts w:ascii="Cambria" w:hAnsi="Cambria" w:cs="Times New Roman"/>
          <w:sz w:val="24"/>
          <w:szCs w:val="24"/>
        </w:rPr>
        <w:t>also,</w:t>
      </w:r>
      <w:r w:rsidR="00D77408" w:rsidRPr="00E94148">
        <w:rPr>
          <w:rFonts w:ascii="Cambria" w:hAnsi="Cambria" w:cs="Times New Roman"/>
          <w:sz w:val="24"/>
          <w:szCs w:val="24"/>
        </w:rPr>
        <w:t xml:space="preserve"> the influence.</w:t>
      </w:r>
    </w:p>
    <w:p w14:paraId="53D35E2B" w14:textId="77777777" w:rsidR="000C4959" w:rsidRPr="00E94148" w:rsidRDefault="000C4959" w:rsidP="008553F4">
      <w:pPr>
        <w:spacing w:line="276" w:lineRule="auto"/>
        <w:jc w:val="both"/>
        <w:rPr>
          <w:rFonts w:ascii="Cambria" w:hAnsi="Cambria" w:cs="Times New Roman"/>
          <w:sz w:val="24"/>
          <w:szCs w:val="24"/>
          <w:u w:val="single"/>
        </w:rPr>
      </w:pPr>
    </w:p>
    <w:p w14:paraId="6ED06CBD" w14:textId="77777777" w:rsidR="00BF4A0E" w:rsidRPr="00E94148" w:rsidRDefault="005906A8" w:rsidP="008553F4">
      <w:pPr>
        <w:pStyle w:val="ListParagraph"/>
        <w:numPr>
          <w:ilvl w:val="0"/>
          <w:numId w:val="6"/>
        </w:numPr>
        <w:spacing w:line="276" w:lineRule="auto"/>
        <w:jc w:val="both"/>
        <w:rPr>
          <w:rFonts w:ascii="Cambria" w:hAnsi="Cambria" w:cs="Times New Roman"/>
          <w:b/>
          <w:bCs/>
          <w:sz w:val="24"/>
          <w:szCs w:val="24"/>
        </w:rPr>
      </w:pPr>
      <w:r w:rsidRPr="00E94148">
        <w:rPr>
          <w:rFonts w:ascii="Cambria" w:hAnsi="Cambria" w:cs="Times New Roman"/>
          <w:b/>
          <w:bCs/>
          <w:sz w:val="24"/>
          <w:szCs w:val="24"/>
        </w:rPr>
        <w:t xml:space="preserve">What extent of the </w:t>
      </w:r>
      <w:r w:rsidR="002324BC" w:rsidRPr="00E94148">
        <w:rPr>
          <w:rFonts w:ascii="Cambria" w:hAnsi="Cambria" w:cs="Times New Roman"/>
          <w:b/>
          <w:bCs/>
          <w:sz w:val="24"/>
          <w:szCs w:val="24"/>
        </w:rPr>
        <w:t xml:space="preserve">influence of </w:t>
      </w:r>
      <w:r w:rsidR="00590F16">
        <w:rPr>
          <w:rFonts w:ascii="Cambria" w:hAnsi="Cambria" w:cs="Times New Roman"/>
          <w:b/>
          <w:bCs/>
          <w:sz w:val="24"/>
          <w:szCs w:val="24"/>
        </w:rPr>
        <w:t>artificial intelligence</w:t>
      </w:r>
      <w:r w:rsidR="002324BC" w:rsidRPr="00E94148">
        <w:rPr>
          <w:rFonts w:ascii="Cambria" w:hAnsi="Cambria" w:cs="Times New Roman"/>
          <w:b/>
          <w:bCs/>
          <w:sz w:val="24"/>
          <w:szCs w:val="24"/>
        </w:rPr>
        <w:t xml:space="preserve"> in the criminal trials: Drawing a European </w:t>
      </w:r>
      <w:r w:rsidR="00725566" w:rsidRPr="00E94148">
        <w:rPr>
          <w:rFonts w:ascii="Cambria" w:hAnsi="Cambria" w:cs="Times New Roman"/>
          <w:b/>
          <w:bCs/>
          <w:sz w:val="24"/>
          <w:szCs w:val="24"/>
        </w:rPr>
        <w:t>perspective?</w:t>
      </w:r>
    </w:p>
    <w:p w14:paraId="4CE875B0" w14:textId="77777777" w:rsidR="009D5107" w:rsidRPr="00E94148" w:rsidRDefault="00914946" w:rsidP="008553F4">
      <w:pPr>
        <w:spacing w:line="276" w:lineRule="auto"/>
        <w:ind w:firstLine="720"/>
        <w:jc w:val="both"/>
        <w:rPr>
          <w:rFonts w:ascii="Cambria" w:hAnsi="Cambria" w:cs="Times New Roman"/>
          <w:sz w:val="24"/>
          <w:szCs w:val="24"/>
        </w:rPr>
      </w:pPr>
      <w:proofErr w:type="gramStart"/>
      <w:r w:rsidRPr="00E94148">
        <w:rPr>
          <w:rFonts w:ascii="Cambria" w:hAnsi="Cambria" w:cs="Times New Roman"/>
          <w:sz w:val="24"/>
          <w:szCs w:val="24"/>
        </w:rPr>
        <w:t>In order to</w:t>
      </w:r>
      <w:proofErr w:type="gramEnd"/>
      <w:r w:rsidRPr="00E94148">
        <w:rPr>
          <w:rFonts w:ascii="Cambria" w:hAnsi="Cambria" w:cs="Times New Roman"/>
          <w:sz w:val="24"/>
          <w:szCs w:val="24"/>
        </w:rPr>
        <w:t xml:space="preserve"> ass the influence of A.I regulation under the principle of independence</w:t>
      </w:r>
      <w:r w:rsidR="00C7353C" w:rsidRPr="00E94148">
        <w:rPr>
          <w:rFonts w:ascii="Cambria" w:hAnsi="Cambria" w:cs="Times New Roman"/>
          <w:sz w:val="24"/>
          <w:szCs w:val="24"/>
        </w:rPr>
        <w:t xml:space="preserve"> in Europe, one could see that two sorts of frameworks </w:t>
      </w:r>
      <w:r w:rsidR="001648C5" w:rsidRPr="00E94148">
        <w:rPr>
          <w:rFonts w:ascii="Cambria" w:hAnsi="Cambria" w:cs="Times New Roman"/>
          <w:sz w:val="24"/>
          <w:szCs w:val="24"/>
        </w:rPr>
        <w:t xml:space="preserve">can aim to regulate such influence. The first one would be the general framework of protection </w:t>
      </w:r>
      <w:r w:rsidR="004D1B68" w:rsidRPr="00E94148">
        <w:rPr>
          <w:rFonts w:ascii="Cambria" w:hAnsi="Cambria" w:cs="Times New Roman"/>
          <w:sz w:val="24"/>
          <w:szCs w:val="24"/>
        </w:rPr>
        <w:t>of human rights adapted to this paradigm; the second one would be the specialized framework specifically adapted to the undue influence paradi</w:t>
      </w:r>
      <w:r w:rsidR="009D5107" w:rsidRPr="00E94148">
        <w:rPr>
          <w:rFonts w:ascii="Cambria" w:hAnsi="Cambria" w:cs="Times New Roman"/>
          <w:sz w:val="24"/>
          <w:szCs w:val="24"/>
        </w:rPr>
        <w:t>gm.</w:t>
      </w:r>
    </w:p>
    <w:p w14:paraId="0CF7B17D" w14:textId="77777777" w:rsidR="004E04AC" w:rsidRPr="00E94148" w:rsidRDefault="004E04AC"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The general framework of protection of human rights and A.I offers the ground basis protection that can adapt to the undue influence paradigm.</w:t>
      </w:r>
      <w:r w:rsidR="00E33B9E" w:rsidRPr="00E94148">
        <w:rPr>
          <w:rFonts w:ascii="Cambria" w:hAnsi="Cambria" w:cs="Times New Roman"/>
          <w:sz w:val="24"/>
          <w:szCs w:val="24"/>
        </w:rPr>
        <w:t xml:space="preserve"> In this approach one </w:t>
      </w:r>
      <w:proofErr w:type="gramStart"/>
      <w:r w:rsidR="00E33B9E" w:rsidRPr="00E94148">
        <w:rPr>
          <w:rFonts w:ascii="Cambria" w:hAnsi="Cambria" w:cs="Times New Roman"/>
          <w:sz w:val="24"/>
          <w:szCs w:val="24"/>
        </w:rPr>
        <w:t>has to</w:t>
      </w:r>
      <w:proofErr w:type="gramEnd"/>
      <w:r w:rsidR="00E33B9E" w:rsidRPr="00E94148">
        <w:rPr>
          <w:rFonts w:ascii="Cambria" w:hAnsi="Cambria" w:cs="Times New Roman"/>
          <w:sz w:val="24"/>
          <w:szCs w:val="24"/>
        </w:rPr>
        <w:t xml:space="preserve"> </w:t>
      </w:r>
      <w:r w:rsidR="00AD7CB6" w:rsidRPr="00E94148">
        <w:rPr>
          <w:rFonts w:ascii="Cambria" w:hAnsi="Cambria" w:cs="Times New Roman"/>
          <w:sz w:val="24"/>
          <w:szCs w:val="24"/>
        </w:rPr>
        <w:t xml:space="preserve">focus on two different approaches these regimes aim to target: The </w:t>
      </w:r>
      <w:r w:rsidR="00974F46" w:rsidRPr="00E94148">
        <w:rPr>
          <w:rFonts w:ascii="Cambria" w:hAnsi="Cambria" w:cs="Times New Roman"/>
          <w:sz w:val="24"/>
          <w:szCs w:val="24"/>
        </w:rPr>
        <w:t>State and the developers.</w:t>
      </w:r>
    </w:p>
    <w:p w14:paraId="1560C601" w14:textId="77777777" w:rsidR="009A4CB0" w:rsidRPr="00E94148" w:rsidRDefault="00DB3D75"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In the general framework of human rights, states hold positive obligations </w:t>
      </w:r>
      <w:proofErr w:type="gramStart"/>
      <w:r w:rsidR="002776C2" w:rsidRPr="00E94148">
        <w:rPr>
          <w:rFonts w:ascii="Cambria" w:hAnsi="Cambria" w:cs="Times New Roman"/>
          <w:sz w:val="24"/>
          <w:szCs w:val="24"/>
        </w:rPr>
        <w:t>in order to</w:t>
      </w:r>
      <w:proofErr w:type="gramEnd"/>
      <w:r w:rsidR="002776C2" w:rsidRPr="00E94148">
        <w:rPr>
          <w:rFonts w:ascii="Cambria" w:hAnsi="Cambria" w:cs="Times New Roman"/>
          <w:sz w:val="24"/>
          <w:szCs w:val="24"/>
        </w:rPr>
        <w:t xml:space="preserve"> “secure” human rights in their jurisdictions</w:t>
      </w:r>
      <w:r w:rsidR="00F2036C" w:rsidRPr="00E94148">
        <w:rPr>
          <w:rStyle w:val="FootnoteReference"/>
          <w:rFonts w:ascii="Cambria" w:hAnsi="Cambria" w:cs="Times New Roman"/>
          <w:sz w:val="24"/>
          <w:szCs w:val="24"/>
        </w:rPr>
        <w:footnoteReference w:id="61"/>
      </w:r>
      <w:r w:rsidR="002776C2" w:rsidRPr="00E94148">
        <w:rPr>
          <w:rFonts w:ascii="Cambria" w:hAnsi="Cambria" w:cs="Times New Roman"/>
          <w:sz w:val="24"/>
          <w:szCs w:val="24"/>
        </w:rPr>
        <w:t>.</w:t>
      </w:r>
      <w:r w:rsidR="002C6E25" w:rsidRPr="00E94148">
        <w:rPr>
          <w:rFonts w:ascii="Cambria" w:hAnsi="Cambria" w:cs="Times New Roman"/>
          <w:sz w:val="24"/>
          <w:szCs w:val="24"/>
        </w:rPr>
        <w:t xml:space="preserve"> In th</w:t>
      </w:r>
      <w:r w:rsidR="0089227C" w:rsidRPr="00E94148">
        <w:rPr>
          <w:rFonts w:ascii="Cambria" w:hAnsi="Cambria" w:cs="Times New Roman"/>
          <w:sz w:val="24"/>
          <w:szCs w:val="24"/>
        </w:rPr>
        <w:t>e matter of new technology</w:t>
      </w:r>
      <w:r w:rsidR="002C6E25" w:rsidRPr="00E94148">
        <w:rPr>
          <w:rFonts w:ascii="Cambria" w:hAnsi="Cambria" w:cs="Times New Roman"/>
          <w:sz w:val="24"/>
          <w:szCs w:val="24"/>
        </w:rPr>
        <w:t>, it was held that States</w:t>
      </w:r>
      <w:r w:rsidR="007A168D" w:rsidRPr="00E94148">
        <w:rPr>
          <w:rFonts w:ascii="Cambria" w:hAnsi="Cambria" w:cs="Times New Roman"/>
          <w:sz w:val="24"/>
          <w:szCs w:val="24"/>
        </w:rPr>
        <w:t xml:space="preserve"> hold </w:t>
      </w:r>
      <w:r w:rsidR="00D0640B" w:rsidRPr="00E94148">
        <w:rPr>
          <w:rFonts w:ascii="Cambria" w:hAnsi="Cambria" w:cs="Times New Roman"/>
          <w:sz w:val="24"/>
          <w:szCs w:val="24"/>
        </w:rPr>
        <w:t xml:space="preserve">a </w:t>
      </w:r>
      <w:r w:rsidR="009A6A82" w:rsidRPr="00E94148">
        <w:rPr>
          <w:rFonts w:ascii="Cambria" w:hAnsi="Cambria" w:cs="Times New Roman"/>
          <w:sz w:val="24"/>
          <w:szCs w:val="24"/>
        </w:rPr>
        <w:t>“</w:t>
      </w:r>
      <w:r w:rsidR="00D0640B" w:rsidRPr="00E94148">
        <w:rPr>
          <w:rFonts w:ascii="Cambria" w:hAnsi="Cambria" w:cs="Times New Roman"/>
          <w:sz w:val="24"/>
          <w:szCs w:val="24"/>
        </w:rPr>
        <w:t xml:space="preserve">special </w:t>
      </w:r>
      <w:r w:rsidR="007A168D" w:rsidRPr="00E94148">
        <w:rPr>
          <w:rFonts w:ascii="Cambria" w:hAnsi="Cambria" w:cs="Times New Roman"/>
          <w:sz w:val="24"/>
          <w:szCs w:val="24"/>
        </w:rPr>
        <w:t>responsibility</w:t>
      </w:r>
      <w:r w:rsidR="009A6A82" w:rsidRPr="00E94148">
        <w:rPr>
          <w:rFonts w:ascii="Cambria" w:hAnsi="Cambria" w:cs="Times New Roman"/>
          <w:sz w:val="24"/>
          <w:szCs w:val="24"/>
        </w:rPr>
        <w:t xml:space="preserve">” </w:t>
      </w:r>
      <w:r w:rsidR="007A168D" w:rsidRPr="00E94148">
        <w:rPr>
          <w:rFonts w:ascii="Cambria" w:hAnsi="Cambria" w:cs="Times New Roman"/>
          <w:sz w:val="24"/>
          <w:szCs w:val="24"/>
        </w:rPr>
        <w:t>when they introduce new technology that have the potential to harm human rights</w:t>
      </w:r>
      <w:r w:rsidR="009A6A82" w:rsidRPr="00E94148">
        <w:rPr>
          <w:rFonts w:ascii="Cambria" w:hAnsi="Cambria" w:cs="Times New Roman"/>
          <w:sz w:val="24"/>
          <w:szCs w:val="24"/>
        </w:rPr>
        <w:t xml:space="preserve"> in their criminal justice system</w:t>
      </w:r>
      <w:r w:rsidR="00716D20" w:rsidRPr="00E94148">
        <w:rPr>
          <w:rStyle w:val="FootnoteReference"/>
          <w:rFonts w:ascii="Cambria" w:hAnsi="Cambria" w:cs="Times New Roman"/>
          <w:sz w:val="24"/>
          <w:szCs w:val="24"/>
        </w:rPr>
        <w:footnoteReference w:id="62"/>
      </w:r>
      <w:r w:rsidR="007A168D" w:rsidRPr="00E94148">
        <w:rPr>
          <w:rFonts w:ascii="Cambria" w:hAnsi="Cambria" w:cs="Times New Roman"/>
          <w:sz w:val="24"/>
          <w:szCs w:val="24"/>
        </w:rPr>
        <w:t>.</w:t>
      </w:r>
      <w:r w:rsidR="00DE5416" w:rsidRPr="00E94148">
        <w:rPr>
          <w:rFonts w:ascii="Cambria" w:hAnsi="Cambria" w:cs="Times New Roman"/>
          <w:sz w:val="24"/>
          <w:szCs w:val="24"/>
        </w:rPr>
        <w:t xml:space="preserve"> </w:t>
      </w:r>
      <w:r w:rsidR="00661C19" w:rsidRPr="00E94148">
        <w:rPr>
          <w:rFonts w:ascii="Cambria" w:hAnsi="Cambria" w:cs="Times New Roman"/>
          <w:sz w:val="24"/>
          <w:szCs w:val="24"/>
        </w:rPr>
        <w:t xml:space="preserve">Therefore, </w:t>
      </w:r>
      <w:r w:rsidR="005B4491" w:rsidRPr="00E94148">
        <w:rPr>
          <w:rFonts w:ascii="Cambria" w:hAnsi="Cambria" w:cs="Times New Roman"/>
          <w:sz w:val="24"/>
          <w:szCs w:val="24"/>
        </w:rPr>
        <w:t xml:space="preserve">when introducing such a technology one could see that States would have to provide for </w:t>
      </w:r>
      <w:r w:rsidR="00927513" w:rsidRPr="00E94148">
        <w:rPr>
          <w:rFonts w:ascii="Cambria" w:hAnsi="Cambria" w:cs="Times New Roman"/>
          <w:sz w:val="24"/>
          <w:szCs w:val="24"/>
        </w:rPr>
        <w:t xml:space="preserve">special guarantees </w:t>
      </w:r>
      <w:proofErr w:type="gramStart"/>
      <w:r w:rsidR="00927513" w:rsidRPr="00E94148">
        <w:rPr>
          <w:rFonts w:ascii="Cambria" w:hAnsi="Cambria" w:cs="Times New Roman"/>
          <w:sz w:val="24"/>
          <w:szCs w:val="24"/>
        </w:rPr>
        <w:t>in order to</w:t>
      </w:r>
      <w:proofErr w:type="gramEnd"/>
      <w:r w:rsidR="00927513" w:rsidRPr="00E94148">
        <w:rPr>
          <w:rFonts w:ascii="Cambria" w:hAnsi="Cambria" w:cs="Times New Roman"/>
          <w:sz w:val="24"/>
          <w:szCs w:val="24"/>
        </w:rPr>
        <w:t xml:space="preserve"> limit the harm to human rights. From this general perspective, comes another regime of human rights obligations for States: The positive obligations</w:t>
      </w:r>
      <w:r w:rsidR="001C7F1E" w:rsidRPr="00E94148">
        <w:rPr>
          <w:rFonts w:ascii="Cambria" w:hAnsi="Cambria" w:cs="Times New Roman"/>
          <w:sz w:val="24"/>
          <w:szCs w:val="24"/>
        </w:rPr>
        <w:t>. Whereas the traditional perspective of human rights protection focused on a negative approach of protection; meaning that States should not harm their citizens human rights</w:t>
      </w:r>
      <w:r w:rsidR="00976B41" w:rsidRPr="00E94148">
        <w:rPr>
          <w:rFonts w:ascii="Cambria" w:hAnsi="Cambria" w:cs="Times New Roman"/>
          <w:sz w:val="24"/>
          <w:szCs w:val="24"/>
        </w:rPr>
        <w:t xml:space="preserve"> (A vertical protection of human rights</w:t>
      </w:r>
      <w:r w:rsidR="00140CF8" w:rsidRPr="00E94148">
        <w:rPr>
          <w:rFonts w:ascii="Cambria" w:hAnsi="Cambria" w:cs="Times New Roman"/>
          <w:sz w:val="24"/>
          <w:szCs w:val="24"/>
        </w:rPr>
        <w:t xml:space="preserve"> from the State to the citizen)</w:t>
      </w:r>
      <w:r w:rsidR="001C7F1E" w:rsidRPr="00E94148">
        <w:rPr>
          <w:rFonts w:ascii="Cambria" w:hAnsi="Cambria" w:cs="Times New Roman"/>
          <w:sz w:val="24"/>
          <w:szCs w:val="24"/>
        </w:rPr>
        <w:t xml:space="preserve"> </w:t>
      </w:r>
      <w:r w:rsidR="00976B41" w:rsidRPr="00E94148">
        <w:rPr>
          <w:rFonts w:ascii="Cambria" w:hAnsi="Cambria" w:cs="Times New Roman"/>
          <w:sz w:val="24"/>
          <w:szCs w:val="24"/>
        </w:rPr>
        <w:t xml:space="preserve">the perspective </w:t>
      </w:r>
      <w:r w:rsidR="00140CF8" w:rsidRPr="00E94148">
        <w:rPr>
          <w:rFonts w:ascii="Cambria" w:hAnsi="Cambria" w:cs="Times New Roman"/>
          <w:sz w:val="24"/>
          <w:szCs w:val="24"/>
        </w:rPr>
        <w:t xml:space="preserve">of positive obligations tend to not only provide a vertical protection but also the obligation for States to use the means at disposal </w:t>
      </w:r>
      <w:proofErr w:type="gramStart"/>
      <w:r w:rsidR="00140CF8" w:rsidRPr="00E94148">
        <w:rPr>
          <w:rFonts w:ascii="Cambria" w:hAnsi="Cambria" w:cs="Times New Roman"/>
          <w:sz w:val="24"/>
          <w:szCs w:val="24"/>
        </w:rPr>
        <w:t>in order to</w:t>
      </w:r>
      <w:proofErr w:type="gramEnd"/>
      <w:r w:rsidR="00140CF8" w:rsidRPr="00E94148">
        <w:rPr>
          <w:rFonts w:ascii="Cambria" w:hAnsi="Cambria" w:cs="Times New Roman"/>
          <w:sz w:val="24"/>
          <w:szCs w:val="24"/>
        </w:rPr>
        <w:t xml:space="preserve"> secure them in a horizontal perspective (From citizens to citizens)</w:t>
      </w:r>
      <w:r w:rsidR="00F2036C" w:rsidRPr="00E94148">
        <w:rPr>
          <w:rStyle w:val="FootnoteReference"/>
          <w:rFonts w:ascii="Cambria" w:hAnsi="Cambria" w:cs="Times New Roman"/>
          <w:sz w:val="24"/>
          <w:szCs w:val="24"/>
        </w:rPr>
        <w:footnoteReference w:id="63"/>
      </w:r>
      <w:r w:rsidR="00140CF8" w:rsidRPr="00E94148">
        <w:rPr>
          <w:rFonts w:ascii="Cambria" w:hAnsi="Cambria" w:cs="Times New Roman"/>
          <w:sz w:val="24"/>
          <w:szCs w:val="24"/>
        </w:rPr>
        <w:t>.</w:t>
      </w:r>
      <w:r w:rsidR="0066303C" w:rsidRPr="00E94148">
        <w:rPr>
          <w:rFonts w:ascii="Cambria" w:hAnsi="Cambria" w:cs="Times New Roman"/>
          <w:sz w:val="24"/>
          <w:szCs w:val="24"/>
        </w:rPr>
        <w:t xml:space="preserve"> These two sets of obligations aim at providing a general protection of human rights in </w:t>
      </w:r>
      <w:r w:rsidR="009A4CB0" w:rsidRPr="00E94148">
        <w:rPr>
          <w:rFonts w:ascii="Cambria" w:hAnsi="Cambria" w:cs="Times New Roman"/>
          <w:sz w:val="24"/>
          <w:szCs w:val="24"/>
        </w:rPr>
        <w:t xml:space="preserve">the jurisdictions of States.  One could ask however, what is the material </w:t>
      </w:r>
      <w:r w:rsidR="00915C22" w:rsidRPr="00E94148">
        <w:rPr>
          <w:rFonts w:ascii="Cambria" w:hAnsi="Cambria" w:cs="Times New Roman"/>
          <w:sz w:val="24"/>
          <w:szCs w:val="24"/>
        </w:rPr>
        <w:t xml:space="preserve">scope of </w:t>
      </w:r>
      <w:r w:rsidR="00915C22" w:rsidRPr="00E94148">
        <w:rPr>
          <w:rFonts w:ascii="Cambria" w:hAnsi="Cambria" w:cs="Times New Roman"/>
          <w:sz w:val="24"/>
          <w:szCs w:val="24"/>
        </w:rPr>
        <w:lastRenderedPageBreak/>
        <w:t xml:space="preserve">such positive obligations under the principle of independence in Europe. </w:t>
      </w:r>
      <w:r w:rsidR="008922DE" w:rsidRPr="00E94148">
        <w:rPr>
          <w:rFonts w:ascii="Cambria" w:hAnsi="Cambria" w:cs="Times New Roman"/>
          <w:sz w:val="24"/>
          <w:szCs w:val="24"/>
        </w:rPr>
        <w:t xml:space="preserve">The European courts have yet to statute on such </w:t>
      </w:r>
      <w:r w:rsidR="00015FBB" w:rsidRPr="00E94148">
        <w:rPr>
          <w:rFonts w:ascii="Cambria" w:hAnsi="Cambria" w:cs="Times New Roman"/>
          <w:sz w:val="24"/>
          <w:szCs w:val="24"/>
        </w:rPr>
        <w:t xml:space="preserve">topic as only a negative aspect has been witnessed in the case-law, due to the State interfering in the principle of independence; and even </w:t>
      </w:r>
      <w:r w:rsidR="00191C42" w:rsidRPr="00E94148">
        <w:rPr>
          <w:rFonts w:ascii="Cambria" w:hAnsi="Cambria" w:cs="Times New Roman"/>
          <w:sz w:val="24"/>
          <w:szCs w:val="24"/>
        </w:rPr>
        <w:t xml:space="preserve">in cases where </w:t>
      </w:r>
      <w:r w:rsidR="009F0A58" w:rsidRPr="00E94148">
        <w:rPr>
          <w:rFonts w:ascii="Cambria" w:hAnsi="Cambria" w:cs="Times New Roman"/>
          <w:sz w:val="24"/>
          <w:szCs w:val="24"/>
        </w:rPr>
        <w:t>non-states actor could have had an influence over the criminal trial</w:t>
      </w:r>
      <w:r w:rsidR="008C01EB" w:rsidRPr="00E94148">
        <w:rPr>
          <w:rFonts w:ascii="Cambria" w:hAnsi="Cambria" w:cs="Times New Roman"/>
          <w:sz w:val="24"/>
          <w:szCs w:val="24"/>
        </w:rPr>
        <w:t xml:space="preserve"> (Press and Media)</w:t>
      </w:r>
      <w:r w:rsidR="009F0A58" w:rsidRPr="00E94148">
        <w:rPr>
          <w:rFonts w:ascii="Cambria" w:hAnsi="Cambria" w:cs="Times New Roman"/>
          <w:sz w:val="24"/>
          <w:szCs w:val="24"/>
        </w:rPr>
        <w:t xml:space="preserve">, the ECtHR only assessed that : Judges being professional have a presumption against such influences; and that since </w:t>
      </w:r>
      <w:r w:rsidR="00801D0E" w:rsidRPr="00E94148">
        <w:rPr>
          <w:rFonts w:ascii="Cambria" w:hAnsi="Cambria" w:cs="Times New Roman"/>
          <w:sz w:val="24"/>
          <w:szCs w:val="24"/>
        </w:rPr>
        <w:t xml:space="preserve">courts have given reasoned decision, it is enough to </w:t>
      </w:r>
      <w:r w:rsidR="008C01EB" w:rsidRPr="00E94148">
        <w:rPr>
          <w:rFonts w:ascii="Cambria" w:hAnsi="Cambria" w:cs="Times New Roman"/>
          <w:sz w:val="24"/>
          <w:szCs w:val="24"/>
        </w:rPr>
        <w:t>affirm that judges were not influenced</w:t>
      </w:r>
      <w:r w:rsidR="00F2036C" w:rsidRPr="00E94148">
        <w:rPr>
          <w:rStyle w:val="FootnoteReference"/>
          <w:rFonts w:ascii="Cambria" w:hAnsi="Cambria" w:cs="Times New Roman"/>
          <w:sz w:val="24"/>
          <w:szCs w:val="24"/>
        </w:rPr>
        <w:footnoteReference w:id="64"/>
      </w:r>
      <w:r w:rsidR="008C01EB" w:rsidRPr="00E94148">
        <w:rPr>
          <w:rFonts w:ascii="Cambria" w:hAnsi="Cambria" w:cs="Times New Roman"/>
          <w:sz w:val="24"/>
          <w:szCs w:val="24"/>
        </w:rPr>
        <w:t>.</w:t>
      </w:r>
      <w:r w:rsidR="00D17CCA" w:rsidRPr="00E94148">
        <w:rPr>
          <w:rFonts w:ascii="Cambria" w:hAnsi="Cambria" w:cs="Times New Roman"/>
          <w:sz w:val="24"/>
          <w:szCs w:val="24"/>
        </w:rPr>
        <w:t xml:space="preserve"> However, the ECtHR did not undergo any positive </w:t>
      </w:r>
      <w:r w:rsidR="00E15F22" w:rsidRPr="00E94148">
        <w:rPr>
          <w:rFonts w:ascii="Cambria" w:hAnsi="Cambria" w:cs="Times New Roman"/>
          <w:sz w:val="24"/>
          <w:szCs w:val="24"/>
        </w:rPr>
        <w:t>obligations</w:t>
      </w:r>
      <w:r w:rsidR="00D17CCA" w:rsidRPr="00E94148">
        <w:rPr>
          <w:rFonts w:ascii="Cambria" w:hAnsi="Cambria" w:cs="Times New Roman"/>
          <w:sz w:val="24"/>
          <w:szCs w:val="24"/>
        </w:rPr>
        <w:t xml:space="preserve"> for the State.</w:t>
      </w:r>
      <w:r w:rsidR="009E39E0" w:rsidRPr="00E94148">
        <w:rPr>
          <w:rFonts w:ascii="Cambria" w:hAnsi="Cambria" w:cs="Times New Roman"/>
          <w:sz w:val="24"/>
          <w:szCs w:val="24"/>
        </w:rPr>
        <w:t xml:space="preserve"> One could theorize that States </w:t>
      </w:r>
      <w:proofErr w:type="gramStart"/>
      <w:r w:rsidR="009E39E0" w:rsidRPr="00E94148">
        <w:rPr>
          <w:rFonts w:ascii="Cambria" w:hAnsi="Cambria" w:cs="Times New Roman"/>
          <w:sz w:val="24"/>
          <w:szCs w:val="24"/>
        </w:rPr>
        <w:t>have to</w:t>
      </w:r>
      <w:proofErr w:type="gramEnd"/>
      <w:r w:rsidR="009E39E0" w:rsidRPr="00E94148">
        <w:rPr>
          <w:rFonts w:ascii="Cambria" w:hAnsi="Cambria" w:cs="Times New Roman"/>
          <w:sz w:val="24"/>
          <w:szCs w:val="24"/>
        </w:rPr>
        <w:t xml:space="preserve"> take the guarantees in order not to let any undue influences </w:t>
      </w:r>
      <w:r w:rsidR="00112E14" w:rsidRPr="00E94148">
        <w:rPr>
          <w:rFonts w:ascii="Cambria" w:hAnsi="Cambria" w:cs="Times New Roman"/>
          <w:sz w:val="24"/>
          <w:szCs w:val="24"/>
        </w:rPr>
        <w:t>affect criminal justice</w:t>
      </w:r>
      <w:r w:rsidR="009365E1" w:rsidRPr="00E94148">
        <w:rPr>
          <w:rFonts w:ascii="Cambria" w:hAnsi="Cambria" w:cs="Times New Roman"/>
          <w:sz w:val="24"/>
          <w:szCs w:val="24"/>
        </w:rPr>
        <w:t xml:space="preserve"> by adopting a legal framework capable of protecting judges, through continuous training of judges</w:t>
      </w:r>
      <w:r w:rsidR="00312D75" w:rsidRPr="00E94148">
        <w:rPr>
          <w:rFonts w:ascii="Cambria" w:hAnsi="Cambria" w:cs="Times New Roman"/>
          <w:sz w:val="24"/>
          <w:szCs w:val="24"/>
        </w:rPr>
        <w:t xml:space="preserve"> and satisfactory legal safeguards by criminalizing </w:t>
      </w:r>
      <w:r w:rsidR="007F4619" w:rsidRPr="00E94148">
        <w:rPr>
          <w:rFonts w:ascii="Cambria" w:hAnsi="Cambria" w:cs="Times New Roman"/>
          <w:sz w:val="24"/>
          <w:szCs w:val="24"/>
        </w:rPr>
        <w:t>behavior</w:t>
      </w:r>
      <w:r w:rsidR="00312D75" w:rsidRPr="00E94148">
        <w:rPr>
          <w:rFonts w:ascii="Cambria" w:hAnsi="Cambria" w:cs="Times New Roman"/>
          <w:sz w:val="24"/>
          <w:szCs w:val="24"/>
        </w:rPr>
        <w:t xml:space="preserve"> that could undermine such independence</w:t>
      </w:r>
      <w:r w:rsidR="005D7B1D" w:rsidRPr="00E94148">
        <w:rPr>
          <w:rFonts w:ascii="Cambria" w:hAnsi="Cambria" w:cs="Times New Roman"/>
          <w:sz w:val="24"/>
          <w:szCs w:val="24"/>
        </w:rPr>
        <w:t xml:space="preserve"> such as i</w:t>
      </w:r>
      <w:r w:rsidR="001175DA" w:rsidRPr="00E94148">
        <w:rPr>
          <w:rFonts w:ascii="Cambria" w:hAnsi="Cambria" w:cs="Times New Roman"/>
          <w:sz w:val="24"/>
          <w:szCs w:val="24"/>
        </w:rPr>
        <w:t>n France</w:t>
      </w:r>
      <w:r w:rsidR="00E32839" w:rsidRPr="00E94148">
        <w:rPr>
          <w:rFonts w:ascii="Cambria" w:hAnsi="Cambria" w:cs="Times New Roman"/>
          <w:sz w:val="24"/>
          <w:szCs w:val="24"/>
        </w:rPr>
        <w:t xml:space="preserve"> where such influences are punished under various criminal provisions</w:t>
      </w:r>
      <w:r w:rsidR="00F2036C" w:rsidRPr="00E94148">
        <w:rPr>
          <w:rStyle w:val="FootnoteReference"/>
          <w:rFonts w:ascii="Cambria" w:hAnsi="Cambria" w:cs="Times New Roman"/>
          <w:sz w:val="24"/>
          <w:szCs w:val="24"/>
        </w:rPr>
        <w:footnoteReference w:id="65"/>
      </w:r>
      <w:r w:rsidR="00312D75" w:rsidRPr="00E94148">
        <w:rPr>
          <w:rFonts w:ascii="Cambria" w:hAnsi="Cambria" w:cs="Times New Roman"/>
          <w:sz w:val="24"/>
          <w:szCs w:val="24"/>
        </w:rPr>
        <w:t xml:space="preserve">. But on the specific topic of A.I, it is more </w:t>
      </w:r>
      <w:r w:rsidR="007F4619" w:rsidRPr="00E94148">
        <w:rPr>
          <w:rFonts w:ascii="Cambria" w:hAnsi="Cambria" w:cs="Times New Roman"/>
          <w:sz w:val="24"/>
          <w:szCs w:val="24"/>
        </w:rPr>
        <w:t>complex.</w:t>
      </w:r>
      <w:r w:rsidR="00312D75" w:rsidRPr="00E94148">
        <w:rPr>
          <w:rFonts w:ascii="Cambria" w:hAnsi="Cambria" w:cs="Times New Roman"/>
          <w:sz w:val="24"/>
          <w:szCs w:val="24"/>
        </w:rPr>
        <w:t xml:space="preserve"> </w:t>
      </w:r>
      <w:r w:rsidR="007F4619" w:rsidRPr="00E94148">
        <w:rPr>
          <w:rFonts w:ascii="Cambria" w:hAnsi="Cambria" w:cs="Times New Roman"/>
          <w:sz w:val="24"/>
          <w:szCs w:val="24"/>
        </w:rPr>
        <w:t xml:space="preserve">For a criminal intent on the A.I would be difficult to demonstrate in cases where </w:t>
      </w:r>
      <w:r w:rsidR="00C808D5" w:rsidRPr="00E94148">
        <w:rPr>
          <w:rFonts w:ascii="Cambria" w:hAnsi="Cambria" w:cs="Times New Roman"/>
          <w:sz w:val="24"/>
          <w:szCs w:val="24"/>
        </w:rPr>
        <w:t xml:space="preserve">it would exercise an influence on the </w:t>
      </w:r>
      <w:r w:rsidR="00F069B9" w:rsidRPr="00E94148">
        <w:rPr>
          <w:rFonts w:ascii="Cambria" w:hAnsi="Cambria" w:cs="Times New Roman"/>
          <w:sz w:val="24"/>
          <w:szCs w:val="24"/>
        </w:rPr>
        <w:t xml:space="preserve">judge; the question lies whether the developers could be held criminally liable by negligence in cases where data infused in the algorithm </w:t>
      </w:r>
      <w:r w:rsidR="00AF0E03" w:rsidRPr="00E94148">
        <w:rPr>
          <w:rFonts w:ascii="Cambria" w:hAnsi="Cambria" w:cs="Times New Roman"/>
          <w:sz w:val="24"/>
          <w:szCs w:val="24"/>
        </w:rPr>
        <w:t xml:space="preserve">lead to a discrimination </w:t>
      </w:r>
      <w:r w:rsidR="00173899" w:rsidRPr="00E94148">
        <w:rPr>
          <w:rFonts w:ascii="Cambria" w:hAnsi="Cambria" w:cs="Times New Roman"/>
          <w:sz w:val="24"/>
          <w:szCs w:val="24"/>
        </w:rPr>
        <w:t>of the individual concerned</w:t>
      </w:r>
      <w:r w:rsidR="00C356B9" w:rsidRPr="00E94148">
        <w:rPr>
          <w:rFonts w:ascii="Cambria" w:hAnsi="Cambria" w:cs="Times New Roman"/>
          <w:sz w:val="24"/>
          <w:szCs w:val="24"/>
        </w:rPr>
        <w:t xml:space="preserve">.  This remains purely hypothetical </w:t>
      </w:r>
      <w:proofErr w:type="gramStart"/>
      <w:r w:rsidR="00C356B9" w:rsidRPr="00E94148">
        <w:rPr>
          <w:rFonts w:ascii="Cambria" w:hAnsi="Cambria" w:cs="Times New Roman"/>
          <w:sz w:val="24"/>
          <w:szCs w:val="24"/>
        </w:rPr>
        <w:t xml:space="preserve">at the </w:t>
      </w:r>
      <w:r w:rsidR="001175DA" w:rsidRPr="00E94148">
        <w:rPr>
          <w:rFonts w:ascii="Cambria" w:hAnsi="Cambria" w:cs="Times New Roman"/>
          <w:sz w:val="24"/>
          <w:szCs w:val="24"/>
        </w:rPr>
        <w:t>moment</w:t>
      </w:r>
      <w:proofErr w:type="gramEnd"/>
      <w:r w:rsidR="001175DA" w:rsidRPr="00E94148">
        <w:rPr>
          <w:rFonts w:ascii="Cambria" w:hAnsi="Cambria" w:cs="Times New Roman"/>
          <w:sz w:val="24"/>
          <w:szCs w:val="24"/>
        </w:rPr>
        <w:t>,</w:t>
      </w:r>
      <w:r w:rsidR="00C356B9" w:rsidRPr="00E94148">
        <w:rPr>
          <w:rFonts w:ascii="Cambria" w:hAnsi="Cambria" w:cs="Times New Roman"/>
          <w:sz w:val="24"/>
          <w:szCs w:val="24"/>
        </w:rPr>
        <w:t xml:space="preserve"> however. </w:t>
      </w:r>
      <w:r w:rsidR="001175DA" w:rsidRPr="00E94148">
        <w:rPr>
          <w:rFonts w:ascii="Cambria" w:hAnsi="Cambria" w:cs="Times New Roman"/>
          <w:sz w:val="24"/>
          <w:szCs w:val="24"/>
        </w:rPr>
        <w:t>Therefore,</w:t>
      </w:r>
      <w:r w:rsidR="00D54C8B" w:rsidRPr="00E94148">
        <w:rPr>
          <w:rFonts w:ascii="Cambria" w:hAnsi="Cambria" w:cs="Times New Roman"/>
          <w:sz w:val="24"/>
          <w:szCs w:val="24"/>
        </w:rPr>
        <w:t xml:space="preserve"> the challenge of A.I as an undue influence would also lie in the context where it could thrive in a legal void </w:t>
      </w:r>
      <w:r w:rsidR="005D7B1D" w:rsidRPr="00E94148">
        <w:rPr>
          <w:rFonts w:ascii="Cambria" w:hAnsi="Cambria" w:cs="Times New Roman"/>
          <w:sz w:val="24"/>
          <w:szCs w:val="24"/>
        </w:rPr>
        <w:t>where</w:t>
      </w:r>
      <w:r w:rsidR="001175DA" w:rsidRPr="00E94148">
        <w:rPr>
          <w:rFonts w:ascii="Cambria" w:hAnsi="Cambria" w:cs="Times New Roman"/>
          <w:sz w:val="24"/>
          <w:szCs w:val="24"/>
        </w:rPr>
        <w:t xml:space="preserve"> an undue influence could occur without criminal intent</w:t>
      </w:r>
      <w:r w:rsidR="00910D9D" w:rsidRPr="00E94148">
        <w:rPr>
          <w:rFonts w:ascii="Cambria" w:hAnsi="Cambria" w:cs="Times New Roman"/>
          <w:sz w:val="24"/>
          <w:szCs w:val="24"/>
        </w:rPr>
        <w:t xml:space="preserve">. </w:t>
      </w:r>
    </w:p>
    <w:p w14:paraId="3C98D3AE" w14:textId="77777777" w:rsidR="00736DBC" w:rsidRPr="00E94148" w:rsidRDefault="00736DBC"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t xml:space="preserve">The specialized framework directly targeting the elimination of undue influence can be deduced from both the principle of independence regime </w:t>
      </w:r>
      <w:r w:rsidR="005C7440" w:rsidRPr="00E94148">
        <w:rPr>
          <w:rFonts w:ascii="Cambria" w:hAnsi="Cambria" w:cs="Times New Roman"/>
          <w:sz w:val="24"/>
          <w:szCs w:val="24"/>
        </w:rPr>
        <w:t>and the regulation regarding algorithm and A.I.</w:t>
      </w:r>
    </w:p>
    <w:p w14:paraId="4DFD8058" w14:textId="77777777" w:rsidR="00E30708" w:rsidRPr="00E94148" w:rsidRDefault="00E30708" w:rsidP="008553F4">
      <w:pPr>
        <w:spacing w:line="276" w:lineRule="auto"/>
        <w:jc w:val="both"/>
        <w:rPr>
          <w:rFonts w:ascii="Cambria" w:hAnsi="Cambria" w:cs="Times New Roman"/>
          <w:sz w:val="24"/>
          <w:szCs w:val="24"/>
        </w:rPr>
      </w:pPr>
      <w:r w:rsidRPr="00E94148">
        <w:rPr>
          <w:rFonts w:ascii="Cambria" w:hAnsi="Cambria" w:cs="Times New Roman"/>
          <w:sz w:val="24"/>
          <w:szCs w:val="24"/>
        </w:rPr>
        <w:tab/>
        <w:t xml:space="preserve">Indeed, </w:t>
      </w:r>
      <w:r w:rsidR="00604A0C" w:rsidRPr="00E94148">
        <w:rPr>
          <w:rFonts w:ascii="Cambria" w:hAnsi="Cambria" w:cs="Times New Roman"/>
          <w:sz w:val="24"/>
          <w:szCs w:val="24"/>
        </w:rPr>
        <w:t>under these two regimes it seems that A.I would be deployed on the first instance of criminal trials</w:t>
      </w:r>
      <w:r w:rsidR="00FA3563" w:rsidRPr="00E94148">
        <w:rPr>
          <w:rFonts w:ascii="Cambria" w:hAnsi="Cambria" w:cs="Times New Roman"/>
          <w:sz w:val="24"/>
          <w:szCs w:val="24"/>
        </w:rPr>
        <w:t xml:space="preserve">. Two arguments can be held to demonstrate such point; firstly under the principle of independence, in order to </w:t>
      </w:r>
      <w:r w:rsidR="003046CA" w:rsidRPr="00E94148">
        <w:rPr>
          <w:rFonts w:ascii="Cambria" w:hAnsi="Cambria" w:cs="Times New Roman"/>
          <w:sz w:val="24"/>
          <w:szCs w:val="24"/>
        </w:rPr>
        <w:t xml:space="preserve">guarantee that judge were not influenced in a undue manner </w:t>
      </w:r>
      <w:r w:rsidR="00A20AA2" w:rsidRPr="00E94148">
        <w:rPr>
          <w:rFonts w:ascii="Cambria" w:hAnsi="Cambria" w:cs="Times New Roman"/>
          <w:sz w:val="24"/>
          <w:szCs w:val="24"/>
        </w:rPr>
        <w:t>there should be a control of higher courts on lower courts as to assess whether the principle of independence was secured</w:t>
      </w:r>
      <w:r w:rsidR="00147349" w:rsidRPr="00E94148">
        <w:rPr>
          <w:rStyle w:val="FootnoteReference"/>
          <w:rFonts w:ascii="Cambria" w:hAnsi="Cambria" w:cs="Times New Roman"/>
          <w:sz w:val="24"/>
          <w:szCs w:val="24"/>
        </w:rPr>
        <w:footnoteReference w:id="66"/>
      </w:r>
      <w:r w:rsidR="00A20AA2" w:rsidRPr="00E94148">
        <w:rPr>
          <w:rFonts w:ascii="Cambria" w:hAnsi="Cambria" w:cs="Times New Roman"/>
          <w:sz w:val="24"/>
          <w:szCs w:val="24"/>
        </w:rPr>
        <w:t xml:space="preserve">; secondly </w:t>
      </w:r>
      <w:r w:rsidR="000C6016" w:rsidRPr="00E94148">
        <w:rPr>
          <w:rFonts w:ascii="Cambria" w:hAnsi="Cambria" w:cs="Times New Roman"/>
          <w:sz w:val="24"/>
          <w:szCs w:val="24"/>
        </w:rPr>
        <w:t>under the GDPR</w:t>
      </w:r>
      <w:r w:rsidR="00A01D2C" w:rsidRPr="00E94148">
        <w:rPr>
          <w:rFonts w:ascii="Cambria" w:hAnsi="Cambria" w:cs="Times New Roman"/>
          <w:sz w:val="24"/>
          <w:szCs w:val="24"/>
        </w:rPr>
        <w:t xml:space="preserve"> and the regulation of automated data processing under which algorithms thrive, </w:t>
      </w:r>
      <w:r w:rsidR="003B6451" w:rsidRPr="00E94148">
        <w:rPr>
          <w:rFonts w:ascii="Cambria" w:hAnsi="Cambria" w:cs="Times New Roman"/>
          <w:sz w:val="24"/>
          <w:szCs w:val="24"/>
        </w:rPr>
        <w:t xml:space="preserve">individuals have the right to appeal the algorithmic decision to a human </w:t>
      </w:r>
      <w:r w:rsidR="00ED6F8F" w:rsidRPr="00E94148">
        <w:rPr>
          <w:rFonts w:ascii="Cambria" w:hAnsi="Cambria" w:cs="Times New Roman"/>
          <w:sz w:val="24"/>
          <w:szCs w:val="24"/>
        </w:rPr>
        <w:t>controller</w:t>
      </w:r>
      <w:r w:rsidR="00AE0100" w:rsidRPr="00E94148">
        <w:rPr>
          <w:rStyle w:val="FootnoteReference"/>
          <w:rFonts w:ascii="Cambria" w:hAnsi="Cambria" w:cs="Times New Roman"/>
          <w:sz w:val="24"/>
          <w:szCs w:val="24"/>
        </w:rPr>
        <w:footnoteReference w:id="67"/>
      </w:r>
      <w:r w:rsidR="00ED6F8F" w:rsidRPr="00E94148">
        <w:rPr>
          <w:rFonts w:ascii="Cambria" w:hAnsi="Cambria" w:cs="Times New Roman"/>
          <w:sz w:val="24"/>
          <w:szCs w:val="24"/>
        </w:rPr>
        <w:t xml:space="preserve">. </w:t>
      </w:r>
      <w:r w:rsidR="00AE0100" w:rsidRPr="00E94148">
        <w:rPr>
          <w:rFonts w:ascii="Cambria" w:hAnsi="Cambria" w:cs="Times New Roman"/>
          <w:sz w:val="24"/>
          <w:szCs w:val="24"/>
        </w:rPr>
        <w:t>So,</w:t>
      </w:r>
      <w:r w:rsidR="00BA3653" w:rsidRPr="00E94148">
        <w:rPr>
          <w:rFonts w:ascii="Cambria" w:hAnsi="Cambria" w:cs="Times New Roman"/>
          <w:sz w:val="24"/>
          <w:szCs w:val="24"/>
        </w:rPr>
        <w:t xml:space="preserve"> one could see that under these two regimes, it is necessary to have a control over the decision of whether lower court or the algorithm, </w:t>
      </w:r>
      <w:proofErr w:type="gramStart"/>
      <w:r w:rsidR="00BA3653" w:rsidRPr="00E94148">
        <w:rPr>
          <w:rFonts w:ascii="Cambria" w:hAnsi="Cambria" w:cs="Times New Roman"/>
          <w:sz w:val="24"/>
          <w:szCs w:val="24"/>
        </w:rPr>
        <w:t>in order to</w:t>
      </w:r>
      <w:proofErr w:type="gramEnd"/>
      <w:r w:rsidR="00BA3653" w:rsidRPr="00E94148">
        <w:rPr>
          <w:rFonts w:ascii="Cambria" w:hAnsi="Cambria" w:cs="Times New Roman"/>
          <w:sz w:val="24"/>
          <w:szCs w:val="24"/>
        </w:rPr>
        <w:t xml:space="preserve"> secure the independence or individuals rights. </w:t>
      </w:r>
      <w:r w:rsidR="002D12B5" w:rsidRPr="00E94148">
        <w:rPr>
          <w:rFonts w:ascii="Cambria" w:hAnsi="Cambria" w:cs="Times New Roman"/>
          <w:sz w:val="24"/>
          <w:szCs w:val="24"/>
        </w:rPr>
        <w:t>Hence in the case where algorithm</w:t>
      </w:r>
      <w:r w:rsidR="007001E7" w:rsidRPr="00E94148">
        <w:rPr>
          <w:rFonts w:ascii="Cambria" w:hAnsi="Cambria" w:cs="Times New Roman"/>
          <w:sz w:val="24"/>
          <w:szCs w:val="24"/>
        </w:rPr>
        <w:t>s</w:t>
      </w:r>
      <w:r w:rsidR="002D12B5" w:rsidRPr="00E94148">
        <w:rPr>
          <w:rFonts w:ascii="Cambria" w:hAnsi="Cambria" w:cs="Times New Roman"/>
          <w:sz w:val="24"/>
          <w:szCs w:val="24"/>
        </w:rPr>
        <w:t xml:space="preserve"> are implemented in the criminal justice system only in first instance, this </w:t>
      </w:r>
      <w:r w:rsidR="002D12B5" w:rsidRPr="00E94148">
        <w:rPr>
          <w:rFonts w:ascii="Cambria" w:hAnsi="Cambria" w:cs="Times New Roman"/>
          <w:sz w:val="24"/>
          <w:szCs w:val="24"/>
        </w:rPr>
        <w:lastRenderedPageBreak/>
        <w:t xml:space="preserve">would allow for higher courts to both control whether the </w:t>
      </w:r>
      <w:r w:rsidR="0066744E" w:rsidRPr="00E94148">
        <w:rPr>
          <w:rFonts w:ascii="Cambria" w:hAnsi="Cambria" w:cs="Times New Roman"/>
          <w:sz w:val="24"/>
          <w:szCs w:val="24"/>
        </w:rPr>
        <w:t>algorithm did influence the judge in an undue manner and could also exercise its scrutiny on the decision.</w:t>
      </w:r>
    </w:p>
    <w:p w14:paraId="11318A69" w14:textId="77777777" w:rsidR="00C578BF" w:rsidRPr="00E94148" w:rsidRDefault="00C578BF" w:rsidP="008553F4">
      <w:pPr>
        <w:spacing w:line="276" w:lineRule="auto"/>
        <w:jc w:val="both"/>
        <w:rPr>
          <w:rFonts w:ascii="Cambria" w:hAnsi="Cambria" w:cs="Times New Roman"/>
          <w:sz w:val="24"/>
          <w:szCs w:val="24"/>
        </w:rPr>
      </w:pPr>
      <w:r w:rsidRPr="00E94148">
        <w:rPr>
          <w:rFonts w:ascii="Cambria" w:hAnsi="Cambria" w:cs="Times New Roman"/>
          <w:sz w:val="24"/>
          <w:szCs w:val="24"/>
        </w:rPr>
        <w:tab/>
        <w:t xml:space="preserve">Moreover, </w:t>
      </w:r>
      <w:r w:rsidR="00C37ED0" w:rsidRPr="00E94148">
        <w:rPr>
          <w:rFonts w:ascii="Cambria" w:hAnsi="Cambria" w:cs="Times New Roman"/>
          <w:sz w:val="24"/>
          <w:szCs w:val="24"/>
        </w:rPr>
        <w:t>the question lies on the extent of the place of the algorithm in the criminal trial.</w:t>
      </w:r>
      <w:r w:rsidR="00572E31" w:rsidRPr="00E94148">
        <w:rPr>
          <w:rFonts w:ascii="Cambria" w:hAnsi="Cambria" w:cs="Times New Roman"/>
          <w:sz w:val="24"/>
          <w:szCs w:val="24"/>
        </w:rPr>
        <w:t xml:space="preserve"> </w:t>
      </w:r>
      <w:r w:rsidR="00C37ED0" w:rsidRPr="00E94148">
        <w:rPr>
          <w:rFonts w:ascii="Cambria" w:hAnsi="Cambria" w:cs="Times New Roman"/>
          <w:sz w:val="24"/>
          <w:szCs w:val="24"/>
        </w:rPr>
        <w:t xml:space="preserve">One could see that there seems to be a common extent between </w:t>
      </w:r>
      <w:r w:rsidR="00EA0DD7" w:rsidRPr="00E94148">
        <w:rPr>
          <w:rFonts w:ascii="Cambria" w:hAnsi="Cambria" w:cs="Times New Roman"/>
          <w:sz w:val="24"/>
          <w:szCs w:val="24"/>
        </w:rPr>
        <w:t>numerous legal systems</w:t>
      </w:r>
      <w:r w:rsidR="00572E31" w:rsidRPr="00E94148">
        <w:rPr>
          <w:rFonts w:ascii="Cambria" w:hAnsi="Cambria" w:cs="Times New Roman"/>
          <w:sz w:val="24"/>
          <w:szCs w:val="24"/>
        </w:rPr>
        <w:t xml:space="preserve"> </w:t>
      </w:r>
      <w:r w:rsidR="009B154F" w:rsidRPr="00E94148">
        <w:rPr>
          <w:rFonts w:ascii="Cambria" w:hAnsi="Cambria" w:cs="Times New Roman"/>
          <w:sz w:val="24"/>
          <w:szCs w:val="24"/>
        </w:rPr>
        <w:t>under which the algorithm cannot be used as the sole basis for the judicial decision.</w:t>
      </w:r>
      <w:r w:rsidR="00EA0DD7" w:rsidRPr="00E94148">
        <w:rPr>
          <w:rFonts w:ascii="Cambria" w:hAnsi="Cambria" w:cs="Times New Roman"/>
          <w:sz w:val="24"/>
          <w:szCs w:val="24"/>
        </w:rPr>
        <w:t xml:space="preserve"> </w:t>
      </w:r>
      <w:proofErr w:type="gramStart"/>
      <w:r w:rsidR="009B154F" w:rsidRPr="00E94148">
        <w:rPr>
          <w:rFonts w:ascii="Cambria" w:hAnsi="Cambria" w:cs="Times New Roman"/>
          <w:sz w:val="24"/>
          <w:szCs w:val="24"/>
        </w:rPr>
        <w:t>I</w:t>
      </w:r>
      <w:r w:rsidR="00EA0DD7" w:rsidRPr="00E94148">
        <w:rPr>
          <w:rFonts w:ascii="Cambria" w:hAnsi="Cambria" w:cs="Times New Roman"/>
          <w:sz w:val="24"/>
          <w:szCs w:val="24"/>
        </w:rPr>
        <w:t>n order to</w:t>
      </w:r>
      <w:proofErr w:type="gramEnd"/>
      <w:r w:rsidR="00EA0DD7" w:rsidRPr="00E94148">
        <w:rPr>
          <w:rFonts w:ascii="Cambria" w:hAnsi="Cambria" w:cs="Times New Roman"/>
          <w:sz w:val="24"/>
          <w:szCs w:val="24"/>
        </w:rPr>
        <w:t xml:space="preserve"> demonstrate such </w:t>
      </w:r>
      <w:r w:rsidR="007E1B9A" w:rsidRPr="00E94148">
        <w:rPr>
          <w:rFonts w:ascii="Cambria" w:hAnsi="Cambria" w:cs="Times New Roman"/>
          <w:sz w:val="24"/>
          <w:szCs w:val="24"/>
        </w:rPr>
        <w:t>extent, the French, the U.S and the European framework would be studied.</w:t>
      </w:r>
    </w:p>
    <w:p w14:paraId="34979AD6" w14:textId="77777777" w:rsidR="00D85318" w:rsidRPr="00E94148" w:rsidRDefault="00D85318" w:rsidP="008553F4">
      <w:pPr>
        <w:spacing w:line="276" w:lineRule="auto"/>
        <w:jc w:val="both"/>
        <w:rPr>
          <w:rFonts w:ascii="Cambria" w:hAnsi="Cambria" w:cs="Times New Roman"/>
          <w:sz w:val="24"/>
          <w:szCs w:val="24"/>
        </w:rPr>
      </w:pPr>
      <w:r w:rsidRPr="00E94148">
        <w:rPr>
          <w:rFonts w:ascii="Cambria" w:hAnsi="Cambria" w:cs="Times New Roman"/>
          <w:sz w:val="24"/>
          <w:szCs w:val="24"/>
        </w:rPr>
        <w:tab/>
      </w:r>
      <w:r w:rsidR="00AD7EA3" w:rsidRPr="00E94148">
        <w:rPr>
          <w:rFonts w:ascii="Cambria" w:hAnsi="Cambria" w:cs="Times New Roman"/>
          <w:sz w:val="24"/>
          <w:szCs w:val="24"/>
        </w:rPr>
        <w:t xml:space="preserve">The U.S system is relevant for this study as algorithms are incorporated in the criminal justice system for </w:t>
      </w:r>
      <w:r w:rsidR="00766E40" w:rsidRPr="00E94148">
        <w:rPr>
          <w:rFonts w:ascii="Cambria" w:hAnsi="Cambria" w:cs="Times New Roman"/>
          <w:sz w:val="24"/>
          <w:szCs w:val="24"/>
        </w:rPr>
        <w:t>some years and has revealed the flaws of such use. Two cases demonstrate such extent of the use of the algorithm</w:t>
      </w:r>
      <w:r w:rsidR="00412DDC" w:rsidRPr="00E94148">
        <w:rPr>
          <w:rFonts w:ascii="Cambria" w:hAnsi="Cambria" w:cs="Times New Roman"/>
          <w:sz w:val="24"/>
          <w:szCs w:val="24"/>
        </w:rPr>
        <w:t xml:space="preserve">; </w:t>
      </w:r>
      <w:r w:rsidR="00412DDC" w:rsidRPr="00E94148">
        <w:rPr>
          <w:rFonts w:ascii="Cambria" w:hAnsi="Cambria" w:cs="Times New Roman"/>
          <w:i/>
          <w:iCs/>
          <w:sz w:val="24"/>
          <w:szCs w:val="24"/>
        </w:rPr>
        <w:t xml:space="preserve">Loomis v </w:t>
      </w:r>
      <w:proofErr w:type="spellStart"/>
      <w:r w:rsidR="00412DDC" w:rsidRPr="00E94148">
        <w:rPr>
          <w:rFonts w:ascii="Cambria" w:hAnsi="Cambria" w:cs="Times New Roman"/>
          <w:i/>
          <w:iCs/>
          <w:sz w:val="24"/>
          <w:szCs w:val="24"/>
        </w:rPr>
        <w:t>Wisconcin</w:t>
      </w:r>
      <w:proofErr w:type="spellEnd"/>
      <w:r w:rsidR="00412DDC" w:rsidRPr="00E94148">
        <w:rPr>
          <w:rFonts w:ascii="Cambria" w:hAnsi="Cambria" w:cs="Times New Roman"/>
          <w:i/>
          <w:iCs/>
          <w:sz w:val="24"/>
          <w:szCs w:val="24"/>
        </w:rPr>
        <w:t xml:space="preserve"> </w:t>
      </w:r>
      <w:r w:rsidR="00412DDC" w:rsidRPr="00E94148">
        <w:rPr>
          <w:rFonts w:ascii="Cambria" w:hAnsi="Cambria" w:cs="Times New Roman"/>
          <w:sz w:val="24"/>
          <w:szCs w:val="24"/>
        </w:rPr>
        <w:t>demonstrated that the a</w:t>
      </w:r>
      <w:r w:rsidR="005858EC" w:rsidRPr="00E94148">
        <w:rPr>
          <w:rFonts w:ascii="Cambria" w:hAnsi="Cambria" w:cs="Times New Roman"/>
          <w:sz w:val="24"/>
          <w:szCs w:val="24"/>
        </w:rPr>
        <w:t xml:space="preserve">lgorithm did not have </w:t>
      </w:r>
      <w:r w:rsidR="007D7938" w:rsidRPr="00E94148">
        <w:rPr>
          <w:rFonts w:ascii="Cambria" w:hAnsi="Cambria" w:cs="Times New Roman"/>
          <w:sz w:val="24"/>
          <w:szCs w:val="24"/>
        </w:rPr>
        <w:t>to</w:t>
      </w:r>
      <w:r w:rsidR="005858EC" w:rsidRPr="00E94148">
        <w:rPr>
          <w:rFonts w:ascii="Cambria" w:hAnsi="Cambria" w:cs="Times New Roman"/>
          <w:sz w:val="24"/>
          <w:szCs w:val="24"/>
        </w:rPr>
        <w:t xml:space="preserve"> be disclosed to the parties of the proceedings </w:t>
      </w:r>
      <w:proofErr w:type="gramStart"/>
      <w:r w:rsidR="005858EC" w:rsidRPr="00E94148">
        <w:rPr>
          <w:rFonts w:ascii="Cambria" w:hAnsi="Cambria" w:cs="Times New Roman"/>
          <w:sz w:val="24"/>
          <w:szCs w:val="24"/>
        </w:rPr>
        <w:t>as long as</w:t>
      </w:r>
      <w:proofErr w:type="gramEnd"/>
      <w:r w:rsidR="005858EC" w:rsidRPr="00E94148">
        <w:rPr>
          <w:rFonts w:ascii="Cambria" w:hAnsi="Cambria" w:cs="Times New Roman"/>
          <w:sz w:val="24"/>
          <w:szCs w:val="24"/>
        </w:rPr>
        <w:t xml:space="preserve"> other materials </w:t>
      </w:r>
      <w:r w:rsidR="00FA73DB" w:rsidRPr="00E94148">
        <w:rPr>
          <w:rFonts w:ascii="Cambria" w:hAnsi="Cambria" w:cs="Times New Roman"/>
          <w:sz w:val="24"/>
          <w:szCs w:val="24"/>
        </w:rPr>
        <w:t>supported the judge decision</w:t>
      </w:r>
      <w:r w:rsidR="007001E7" w:rsidRPr="00E94148">
        <w:rPr>
          <w:rStyle w:val="FootnoteReference"/>
          <w:rFonts w:ascii="Cambria" w:hAnsi="Cambria" w:cs="Times New Roman"/>
          <w:sz w:val="24"/>
          <w:szCs w:val="24"/>
        </w:rPr>
        <w:footnoteReference w:id="68"/>
      </w:r>
      <w:r w:rsidR="009D2788" w:rsidRPr="00E94148">
        <w:rPr>
          <w:rFonts w:ascii="Cambria" w:hAnsi="Cambria" w:cs="Times New Roman"/>
          <w:sz w:val="24"/>
          <w:szCs w:val="24"/>
        </w:rPr>
        <w:t xml:space="preserve">; on the opposite </w:t>
      </w:r>
      <w:r w:rsidR="009D2788" w:rsidRPr="00E94148">
        <w:rPr>
          <w:rFonts w:ascii="Cambria" w:hAnsi="Cambria" w:cs="Times New Roman"/>
          <w:i/>
          <w:iCs/>
          <w:sz w:val="24"/>
          <w:szCs w:val="24"/>
        </w:rPr>
        <w:t xml:space="preserve">Kansas v Walls </w:t>
      </w:r>
      <w:r w:rsidR="009D2788" w:rsidRPr="00E94148">
        <w:rPr>
          <w:rFonts w:ascii="Cambria" w:hAnsi="Cambria" w:cs="Times New Roman"/>
          <w:sz w:val="24"/>
          <w:szCs w:val="24"/>
        </w:rPr>
        <w:t>demonstrated that whe</w:t>
      </w:r>
      <w:r w:rsidR="00BE7826" w:rsidRPr="00E94148">
        <w:rPr>
          <w:rFonts w:ascii="Cambria" w:hAnsi="Cambria" w:cs="Times New Roman"/>
          <w:sz w:val="24"/>
          <w:szCs w:val="24"/>
        </w:rPr>
        <w:t xml:space="preserve">n the algorithm is the main or sole piece under which the judge took its decision, it </w:t>
      </w:r>
      <w:r w:rsidR="007001E7" w:rsidRPr="00E94148">
        <w:rPr>
          <w:rFonts w:ascii="Cambria" w:hAnsi="Cambria" w:cs="Times New Roman"/>
          <w:sz w:val="24"/>
          <w:szCs w:val="24"/>
        </w:rPr>
        <w:t>must</w:t>
      </w:r>
      <w:r w:rsidR="00BE7826" w:rsidRPr="00E94148">
        <w:rPr>
          <w:rFonts w:ascii="Cambria" w:hAnsi="Cambria" w:cs="Times New Roman"/>
          <w:sz w:val="24"/>
          <w:szCs w:val="24"/>
        </w:rPr>
        <w:t xml:space="preserve"> be disclosed</w:t>
      </w:r>
      <w:r w:rsidR="007001E7" w:rsidRPr="00E94148">
        <w:rPr>
          <w:rStyle w:val="FootnoteReference"/>
          <w:rFonts w:ascii="Cambria" w:hAnsi="Cambria" w:cs="Times New Roman"/>
          <w:sz w:val="24"/>
          <w:szCs w:val="24"/>
        </w:rPr>
        <w:footnoteReference w:id="69"/>
      </w:r>
      <w:r w:rsidR="00BE7826" w:rsidRPr="00E94148">
        <w:rPr>
          <w:rFonts w:ascii="Cambria" w:hAnsi="Cambria" w:cs="Times New Roman"/>
          <w:sz w:val="24"/>
          <w:szCs w:val="24"/>
        </w:rPr>
        <w:t xml:space="preserve">. One could argue that </w:t>
      </w:r>
      <w:r w:rsidR="00F80DE5" w:rsidRPr="00E94148">
        <w:rPr>
          <w:rFonts w:ascii="Cambria" w:hAnsi="Cambria" w:cs="Times New Roman"/>
          <w:sz w:val="24"/>
          <w:szCs w:val="24"/>
        </w:rPr>
        <w:t xml:space="preserve">the extent under which </w:t>
      </w:r>
      <w:r w:rsidR="00D026E1" w:rsidRPr="00E94148">
        <w:rPr>
          <w:rFonts w:ascii="Cambria" w:hAnsi="Cambria" w:cs="Times New Roman"/>
          <w:sz w:val="24"/>
          <w:szCs w:val="24"/>
        </w:rPr>
        <w:t xml:space="preserve">the algorithm is used </w:t>
      </w:r>
      <w:r w:rsidR="007B1E8A" w:rsidRPr="00E94148">
        <w:rPr>
          <w:rFonts w:ascii="Cambria" w:hAnsi="Cambria" w:cs="Times New Roman"/>
          <w:sz w:val="24"/>
          <w:szCs w:val="24"/>
        </w:rPr>
        <w:t xml:space="preserve">as part of larger materials and support these materials could lead to believe that the Judge did not face an undue influence. </w:t>
      </w:r>
      <w:r w:rsidR="00BA6045" w:rsidRPr="00E94148">
        <w:rPr>
          <w:rFonts w:ascii="Cambria" w:hAnsi="Cambria" w:cs="Times New Roman"/>
          <w:sz w:val="24"/>
          <w:szCs w:val="24"/>
        </w:rPr>
        <w:t xml:space="preserve">Whereas when it was the sole material that led to the decision, the disclosing must be effective </w:t>
      </w:r>
      <w:proofErr w:type="gramStart"/>
      <w:r w:rsidR="00BA6045" w:rsidRPr="00E94148">
        <w:rPr>
          <w:rFonts w:ascii="Cambria" w:hAnsi="Cambria" w:cs="Times New Roman"/>
          <w:sz w:val="24"/>
          <w:szCs w:val="24"/>
        </w:rPr>
        <w:t xml:space="preserve">in order </w:t>
      </w:r>
      <w:r w:rsidR="00194D99" w:rsidRPr="00E94148">
        <w:rPr>
          <w:rFonts w:ascii="Cambria" w:hAnsi="Cambria" w:cs="Times New Roman"/>
          <w:sz w:val="24"/>
          <w:szCs w:val="24"/>
        </w:rPr>
        <w:t>to</w:t>
      </w:r>
      <w:proofErr w:type="gramEnd"/>
      <w:r w:rsidR="00194D99" w:rsidRPr="00E94148">
        <w:rPr>
          <w:rFonts w:ascii="Cambria" w:hAnsi="Cambria" w:cs="Times New Roman"/>
          <w:sz w:val="24"/>
          <w:szCs w:val="24"/>
        </w:rPr>
        <w:t>:</w:t>
      </w:r>
      <w:r w:rsidR="00BA6045" w:rsidRPr="00E94148">
        <w:rPr>
          <w:rFonts w:ascii="Cambria" w:hAnsi="Cambria" w:cs="Times New Roman"/>
          <w:sz w:val="24"/>
          <w:szCs w:val="24"/>
        </w:rPr>
        <w:t xml:space="preserve"> Firstly, allow the defendant to respond to the argument and secondly to </w:t>
      </w:r>
      <w:r w:rsidR="00CA11D8" w:rsidRPr="00E94148">
        <w:rPr>
          <w:rFonts w:ascii="Cambria" w:hAnsi="Cambria" w:cs="Times New Roman"/>
          <w:sz w:val="24"/>
          <w:szCs w:val="24"/>
        </w:rPr>
        <w:t>make sure</w:t>
      </w:r>
      <w:r w:rsidR="00BA6045" w:rsidRPr="00E94148">
        <w:rPr>
          <w:rFonts w:ascii="Cambria" w:hAnsi="Cambria" w:cs="Times New Roman"/>
          <w:sz w:val="24"/>
          <w:szCs w:val="24"/>
        </w:rPr>
        <w:t xml:space="preserve"> whether the algorithm </w:t>
      </w:r>
      <w:r w:rsidR="00390D4A" w:rsidRPr="00E94148">
        <w:rPr>
          <w:rFonts w:ascii="Cambria" w:hAnsi="Cambria" w:cs="Times New Roman"/>
          <w:sz w:val="24"/>
          <w:szCs w:val="24"/>
        </w:rPr>
        <w:t xml:space="preserve">did not </w:t>
      </w:r>
      <w:r w:rsidR="00FC7047" w:rsidRPr="00E94148">
        <w:rPr>
          <w:rFonts w:ascii="Cambria" w:hAnsi="Cambria" w:cs="Times New Roman"/>
          <w:sz w:val="24"/>
          <w:szCs w:val="24"/>
        </w:rPr>
        <w:t xml:space="preserve">unduly </w:t>
      </w:r>
      <w:r w:rsidR="00BD3459" w:rsidRPr="00E94148">
        <w:rPr>
          <w:rFonts w:ascii="Cambria" w:hAnsi="Cambria" w:cs="Times New Roman"/>
          <w:sz w:val="24"/>
          <w:szCs w:val="24"/>
        </w:rPr>
        <w:t>influence</w:t>
      </w:r>
      <w:r w:rsidR="00FC7047" w:rsidRPr="00E94148">
        <w:rPr>
          <w:rFonts w:ascii="Cambria" w:hAnsi="Cambria" w:cs="Times New Roman"/>
          <w:sz w:val="24"/>
          <w:szCs w:val="24"/>
        </w:rPr>
        <w:t xml:space="preserve"> the Judge</w:t>
      </w:r>
      <w:r w:rsidR="00226CB1" w:rsidRPr="00E94148">
        <w:rPr>
          <w:rFonts w:ascii="Cambria" w:hAnsi="Cambria" w:cs="Times New Roman"/>
          <w:sz w:val="24"/>
          <w:szCs w:val="24"/>
        </w:rPr>
        <w:t>, through its functioning</w:t>
      </w:r>
      <w:r w:rsidR="00C275B3" w:rsidRPr="00E94148">
        <w:rPr>
          <w:rFonts w:ascii="Cambria" w:hAnsi="Cambria" w:cs="Times New Roman"/>
          <w:sz w:val="24"/>
          <w:szCs w:val="24"/>
        </w:rPr>
        <w:t>.</w:t>
      </w:r>
    </w:p>
    <w:p w14:paraId="371BE287" w14:textId="77777777" w:rsidR="009B7313" w:rsidRPr="00E94148" w:rsidRDefault="00224C77" w:rsidP="008553F4">
      <w:pPr>
        <w:spacing w:line="276" w:lineRule="auto"/>
        <w:jc w:val="both"/>
        <w:rPr>
          <w:rFonts w:ascii="Cambria" w:hAnsi="Cambria" w:cs="Times New Roman"/>
          <w:sz w:val="24"/>
          <w:szCs w:val="24"/>
        </w:rPr>
      </w:pPr>
      <w:r w:rsidRPr="00E94148">
        <w:rPr>
          <w:rFonts w:ascii="Cambria" w:hAnsi="Cambria" w:cs="Times New Roman"/>
          <w:sz w:val="24"/>
          <w:szCs w:val="24"/>
        </w:rPr>
        <w:tab/>
      </w:r>
      <w:r w:rsidR="000351EE" w:rsidRPr="00E94148">
        <w:rPr>
          <w:rFonts w:ascii="Cambria" w:hAnsi="Cambria" w:cs="Times New Roman"/>
          <w:sz w:val="24"/>
          <w:szCs w:val="24"/>
        </w:rPr>
        <w:t xml:space="preserve">The European way focuses </w:t>
      </w:r>
      <w:r w:rsidR="00BC6057" w:rsidRPr="00E94148">
        <w:rPr>
          <w:rFonts w:ascii="Cambria" w:hAnsi="Cambria" w:cs="Times New Roman"/>
          <w:sz w:val="24"/>
          <w:szCs w:val="24"/>
        </w:rPr>
        <w:t xml:space="preserve">too on such extent, especially with the current regulation contained in the GDPR in Article 22; under such provision </w:t>
      </w:r>
      <w:r w:rsidR="006031F8" w:rsidRPr="00E94148">
        <w:rPr>
          <w:rFonts w:ascii="Cambria" w:hAnsi="Cambria" w:cs="Times New Roman"/>
          <w:sz w:val="24"/>
          <w:szCs w:val="24"/>
        </w:rPr>
        <w:t xml:space="preserve">the </w:t>
      </w:r>
      <w:r w:rsidR="00DF477B" w:rsidRPr="00E94148">
        <w:rPr>
          <w:rFonts w:ascii="Cambria" w:hAnsi="Cambria" w:cs="Times New Roman"/>
          <w:sz w:val="24"/>
          <w:szCs w:val="24"/>
        </w:rPr>
        <w:t xml:space="preserve">an individual cannot </w:t>
      </w:r>
      <w:r w:rsidR="00414407" w:rsidRPr="00E94148">
        <w:rPr>
          <w:rFonts w:ascii="Cambria" w:hAnsi="Cambria" w:cs="Times New Roman"/>
          <w:sz w:val="24"/>
          <w:szCs w:val="24"/>
        </w:rPr>
        <w:t xml:space="preserve">solely </w:t>
      </w:r>
      <w:r w:rsidR="00DF477B" w:rsidRPr="00E94148">
        <w:rPr>
          <w:rFonts w:ascii="Cambria" w:hAnsi="Cambria" w:cs="Times New Roman"/>
          <w:sz w:val="24"/>
          <w:szCs w:val="24"/>
        </w:rPr>
        <w:t>be subjected to a</w:t>
      </w:r>
      <w:r w:rsidR="000F7EF7" w:rsidRPr="00E94148">
        <w:rPr>
          <w:rFonts w:ascii="Cambria" w:hAnsi="Cambria" w:cs="Times New Roman"/>
          <w:sz w:val="24"/>
          <w:szCs w:val="24"/>
        </w:rPr>
        <w:t>n automated decision making that would have legal effects on this individual</w:t>
      </w:r>
      <w:r w:rsidR="00414407" w:rsidRPr="00E94148">
        <w:rPr>
          <w:rStyle w:val="FootnoteReference"/>
          <w:rFonts w:ascii="Cambria" w:hAnsi="Cambria" w:cs="Times New Roman"/>
          <w:sz w:val="24"/>
          <w:szCs w:val="24"/>
        </w:rPr>
        <w:footnoteReference w:id="70"/>
      </w:r>
      <w:r w:rsidR="00D14CC0" w:rsidRPr="00E94148">
        <w:rPr>
          <w:rFonts w:ascii="Cambria" w:hAnsi="Cambria" w:cs="Times New Roman"/>
          <w:sz w:val="24"/>
          <w:szCs w:val="24"/>
        </w:rPr>
        <w:t xml:space="preserve">; the project of regulation </w:t>
      </w:r>
      <w:r w:rsidR="00CF0AD5" w:rsidRPr="00E94148">
        <w:rPr>
          <w:rFonts w:ascii="Cambria" w:hAnsi="Cambria" w:cs="Times New Roman"/>
          <w:sz w:val="24"/>
          <w:szCs w:val="24"/>
        </w:rPr>
        <w:t>of</w:t>
      </w:r>
      <w:r w:rsidR="00D14CC0" w:rsidRPr="00E94148">
        <w:rPr>
          <w:rFonts w:ascii="Cambria" w:hAnsi="Cambria" w:cs="Times New Roman"/>
          <w:sz w:val="24"/>
          <w:szCs w:val="24"/>
        </w:rPr>
        <w:t xml:space="preserve"> A.I </w:t>
      </w:r>
      <w:r w:rsidR="00CF0AD5" w:rsidRPr="00E94148">
        <w:rPr>
          <w:rFonts w:ascii="Cambria" w:hAnsi="Cambria" w:cs="Times New Roman"/>
          <w:sz w:val="24"/>
          <w:szCs w:val="24"/>
        </w:rPr>
        <w:t xml:space="preserve">by the Parliament and the council </w:t>
      </w:r>
      <w:r w:rsidR="00D14CC0" w:rsidRPr="00E94148">
        <w:rPr>
          <w:rFonts w:ascii="Cambria" w:hAnsi="Cambria" w:cs="Times New Roman"/>
          <w:sz w:val="24"/>
          <w:szCs w:val="24"/>
        </w:rPr>
        <w:t xml:space="preserve">also focuses on an A.I as an assistant </w:t>
      </w:r>
      <w:r w:rsidR="00B5081E" w:rsidRPr="00E94148">
        <w:rPr>
          <w:rFonts w:ascii="Cambria" w:hAnsi="Cambria" w:cs="Times New Roman"/>
          <w:sz w:val="24"/>
          <w:szCs w:val="24"/>
        </w:rPr>
        <w:t xml:space="preserve">and </w:t>
      </w:r>
      <w:r w:rsidR="00CF0AD5" w:rsidRPr="00E94148">
        <w:rPr>
          <w:rFonts w:ascii="Cambria" w:hAnsi="Cambria" w:cs="Times New Roman"/>
          <w:sz w:val="24"/>
          <w:szCs w:val="24"/>
        </w:rPr>
        <w:t>on the danger of over-reliance of A.I as a decision helper</w:t>
      </w:r>
      <w:r w:rsidR="00BD3459" w:rsidRPr="00E94148">
        <w:rPr>
          <w:rStyle w:val="FootnoteReference"/>
          <w:rFonts w:ascii="Cambria" w:hAnsi="Cambria" w:cs="Times New Roman"/>
          <w:sz w:val="24"/>
          <w:szCs w:val="24"/>
        </w:rPr>
        <w:footnoteReference w:id="71"/>
      </w:r>
      <w:r w:rsidR="00CF0AD5" w:rsidRPr="00E94148">
        <w:rPr>
          <w:rFonts w:ascii="Cambria" w:hAnsi="Cambria" w:cs="Times New Roman"/>
          <w:sz w:val="24"/>
          <w:szCs w:val="24"/>
        </w:rPr>
        <w:t>.</w:t>
      </w:r>
      <w:r w:rsidR="00D84411" w:rsidRPr="00E94148">
        <w:rPr>
          <w:rFonts w:ascii="Cambria" w:hAnsi="Cambria" w:cs="Times New Roman"/>
          <w:sz w:val="24"/>
          <w:szCs w:val="24"/>
        </w:rPr>
        <w:t xml:space="preserve"> Therefore</w:t>
      </w:r>
      <w:r w:rsidR="00714471" w:rsidRPr="00E94148">
        <w:rPr>
          <w:rFonts w:ascii="Cambria" w:hAnsi="Cambria" w:cs="Times New Roman"/>
          <w:sz w:val="24"/>
          <w:szCs w:val="24"/>
        </w:rPr>
        <w:t>,</w:t>
      </w:r>
      <w:r w:rsidR="00D84411" w:rsidRPr="00E94148">
        <w:rPr>
          <w:rFonts w:ascii="Cambria" w:hAnsi="Cambria" w:cs="Times New Roman"/>
          <w:sz w:val="24"/>
          <w:szCs w:val="24"/>
        </w:rPr>
        <w:t xml:space="preserve"> this European approach of the A.I </w:t>
      </w:r>
      <w:r w:rsidR="00714471" w:rsidRPr="00E94148">
        <w:rPr>
          <w:rFonts w:ascii="Cambria" w:hAnsi="Cambria" w:cs="Times New Roman"/>
          <w:sz w:val="24"/>
          <w:szCs w:val="24"/>
        </w:rPr>
        <w:t xml:space="preserve">leads to assess that </w:t>
      </w:r>
      <w:r w:rsidR="00490157" w:rsidRPr="00E94148">
        <w:rPr>
          <w:rFonts w:ascii="Cambria" w:hAnsi="Cambria" w:cs="Times New Roman"/>
          <w:sz w:val="24"/>
          <w:szCs w:val="24"/>
        </w:rPr>
        <w:t>even though it has a clear positive side on using it for criminal justice, it should not take an over</w:t>
      </w:r>
      <w:r w:rsidR="001D6F1D" w:rsidRPr="00E94148">
        <w:rPr>
          <w:rFonts w:ascii="Cambria" w:hAnsi="Cambria" w:cs="Times New Roman"/>
          <w:sz w:val="24"/>
          <w:szCs w:val="24"/>
        </w:rPr>
        <w:t xml:space="preserve">reached place in the decision making. </w:t>
      </w:r>
      <w:r w:rsidR="001B2E9A" w:rsidRPr="00E94148">
        <w:rPr>
          <w:rFonts w:ascii="Cambria" w:hAnsi="Cambria" w:cs="Times New Roman"/>
          <w:sz w:val="24"/>
          <w:szCs w:val="24"/>
        </w:rPr>
        <w:t>Such approach is also shared in the French system, where expert</w:t>
      </w:r>
      <w:r w:rsidR="008A603A" w:rsidRPr="00E94148">
        <w:rPr>
          <w:rFonts w:ascii="Cambria" w:hAnsi="Cambria" w:cs="Times New Roman"/>
          <w:sz w:val="24"/>
          <w:szCs w:val="24"/>
        </w:rPr>
        <w:t xml:space="preserve"> reports that could </w:t>
      </w:r>
      <w:r w:rsidR="009B7313" w:rsidRPr="00E94148">
        <w:rPr>
          <w:rFonts w:ascii="Cambria" w:hAnsi="Cambria" w:cs="Times New Roman"/>
          <w:sz w:val="24"/>
          <w:szCs w:val="24"/>
        </w:rPr>
        <w:t>influence</w:t>
      </w:r>
      <w:r w:rsidR="008A603A" w:rsidRPr="00E94148">
        <w:rPr>
          <w:rFonts w:ascii="Cambria" w:hAnsi="Cambria" w:cs="Times New Roman"/>
          <w:sz w:val="24"/>
          <w:szCs w:val="24"/>
        </w:rPr>
        <w:t xml:space="preserve"> the sentencing of an individual </w:t>
      </w:r>
      <w:r w:rsidR="0008163A" w:rsidRPr="00E94148">
        <w:rPr>
          <w:rFonts w:ascii="Cambria" w:hAnsi="Cambria" w:cs="Times New Roman"/>
          <w:sz w:val="24"/>
          <w:szCs w:val="24"/>
        </w:rPr>
        <w:t xml:space="preserve">(Psychiatric, Risk…) </w:t>
      </w:r>
      <w:r w:rsidR="00C23C41" w:rsidRPr="00E94148">
        <w:rPr>
          <w:rFonts w:ascii="Cambria" w:hAnsi="Cambria" w:cs="Times New Roman"/>
          <w:sz w:val="24"/>
          <w:szCs w:val="24"/>
        </w:rPr>
        <w:t>cannot be the sole basis on which the decision is made</w:t>
      </w:r>
      <w:r w:rsidR="00BD3459" w:rsidRPr="00E94148">
        <w:rPr>
          <w:rStyle w:val="FootnoteReference"/>
          <w:rFonts w:ascii="Cambria" w:hAnsi="Cambria" w:cs="Times New Roman"/>
          <w:sz w:val="24"/>
          <w:szCs w:val="24"/>
        </w:rPr>
        <w:footnoteReference w:id="72"/>
      </w:r>
      <w:r w:rsidR="00874A5B" w:rsidRPr="00E94148">
        <w:rPr>
          <w:rFonts w:ascii="Cambria" w:hAnsi="Cambria" w:cs="Times New Roman"/>
          <w:sz w:val="24"/>
          <w:szCs w:val="24"/>
        </w:rPr>
        <w:t xml:space="preserve">. </w:t>
      </w:r>
    </w:p>
    <w:p w14:paraId="43CE2644" w14:textId="77777777" w:rsidR="00FC2A31" w:rsidRPr="00E94148" w:rsidRDefault="007E7555" w:rsidP="008553F4">
      <w:pPr>
        <w:spacing w:line="276" w:lineRule="auto"/>
        <w:ind w:firstLine="720"/>
        <w:jc w:val="both"/>
        <w:rPr>
          <w:rFonts w:ascii="Cambria" w:hAnsi="Cambria" w:cs="Times New Roman"/>
          <w:sz w:val="24"/>
          <w:szCs w:val="24"/>
        </w:rPr>
      </w:pPr>
      <w:r w:rsidRPr="00E94148">
        <w:rPr>
          <w:rFonts w:ascii="Cambria" w:hAnsi="Cambria" w:cs="Times New Roman"/>
          <w:sz w:val="24"/>
          <w:szCs w:val="24"/>
        </w:rPr>
        <w:lastRenderedPageBreak/>
        <w:t xml:space="preserve">Hence, one can see that the place of the algorithm could be one among other materials, but not a </w:t>
      </w:r>
      <w:r w:rsidR="0014418D" w:rsidRPr="00E94148">
        <w:rPr>
          <w:rFonts w:ascii="Cambria" w:hAnsi="Cambria" w:cs="Times New Roman"/>
          <w:sz w:val="24"/>
          <w:szCs w:val="24"/>
        </w:rPr>
        <w:t>sole decider. This would prevent any “token” approach of the relationship between the algorithm and the judge and limit the extent of the influence</w:t>
      </w:r>
      <w:r w:rsidR="00C83E96" w:rsidRPr="00E94148">
        <w:rPr>
          <w:rFonts w:ascii="Cambria" w:hAnsi="Cambria" w:cs="Times New Roman"/>
          <w:sz w:val="24"/>
          <w:szCs w:val="24"/>
        </w:rPr>
        <w:t xml:space="preserve"> </w:t>
      </w:r>
      <w:proofErr w:type="gramStart"/>
      <w:r w:rsidR="00C83E96" w:rsidRPr="00E94148">
        <w:rPr>
          <w:rFonts w:ascii="Cambria" w:hAnsi="Cambria" w:cs="Times New Roman"/>
          <w:sz w:val="24"/>
          <w:szCs w:val="24"/>
        </w:rPr>
        <w:t>in order for</w:t>
      </w:r>
      <w:proofErr w:type="gramEnd"/>
      <w:r w:rsidR="00C83E96" w:rsidRPr="00E94148">
        <w:rPr>
          <w:rFonts w:ascii="Cambria" w:hAnsi="Cambria" w:cs="Times New Roman"/>
          <w:sz w:val="24"/>
          <w:szCs w:val="24"/>
        </w:rPr>
        <w:t xml:space="preserve"> the judge</w:t>
      </w:r>
      <w:r w:rsidR="00E246EB" w:rsidRPr="00E94148">
        <w:rPr>
          <w:rFonts w:ascii="Cambria" w:hAnsi="Cambria" w:cs="Times New Roman"/>
          <w:sz w:val="24"/>
          <w:szCs w:val="24"/>
        </w:rPr>
        <w:t xml:space="preserve"> to consider the A.I as a </w:t>
      </w:r>
      <w:r w:rsidR="00752B2A" w:rsidRPr="00E94148">
        <w:rPr>
          <w:rFonts w:ascii="Cambria" w:hAnsi="Cambria" w:cs="Times New Roman"/>
          <w:sz w:val="24"/>
          <w:szCs w:val="24"/>
        </w:rPr>
        <w:t>piece that would provide guidance for the decision, rather than taking over the decision of the judge</w:t>
      </w:r>
      <w:r w:rsidR="0014418D" w:rsidRPr="00E94148">
        <w:rPr>
          <w:rFonts w:ascii="Cambria" w:hAnsi="Cambria" w:cs="Times New Roman"/>
          <w:sz w:val="24"/>
          <w:szCs w:val="24"/>
        </w:rPr>
        <w:t>.</w:t>
      </w:r>
    </w:p>
    <w:p w14:paraId="569ED4A5" w14:textId="77777777" w:rsidR="002316DF" w:rsidRPr="00E94148" w:rsidRDefault="002316DF" w:rsidP="008553F4">
      <w:pPr>
        <w:spacing w:line="276" w:lineRule="auto"/>
        <w:jc w:val="both"/>
        <w:rPr>
          <w:rFonts w:ascii="Cambria" w:hAnsi="Cambria" w:cs="Times New Roman"/>
          <w:sz w:val="24"/>
          <w:szCs w:val="24"/>
        </w:rPr>
      </w:pPr>
    </w:p>
    <w:p w14:paraId="2650A4E5" w14:textId="77777777" w:rsidR="001016FE" w:rsidRPr="00E94148" w:rsidRDefault="001016FE" w:rsidP="008553F4">
      <w:pPr>
        <w:spacing w:line="276" w:lineRule="auto"/>
        <w:jc w:val="both"/>
        <w:rPr>
          <w:rFonts w:ascii="Cambria" w:hAnsi="Cambria" w:cs="Times New Roman"/>
          <w:sz w:val="24"/>
          <w:szCs w:val="24"/>
        </w:rPr>
      </w:pPr>
    </w:p>
    <w:p w14:paraId="7ED2AEB1" w14:textId="77777777" w:rsidR="001016FE" w:rsidRPr="00E94148" w:rsidRDefault="008A549A" w:rsidP="008553F4">
      <w:pPr>
        <w:pStyle w:val="ListParagraph"/>
        <w:numPr>
          <w:ilvl w:val="0"/>
          <w:numId w:val="2"/>
        </w:numPr>
        <w:spacing w:line="276" w:lineRule="auto"/>
        <w:jc w:val="both"/>
        <w:rPr>
          <w:rFonts w:ascii="Cambria" w:hAnsi="Cambria" w:cs="Times New Roman"/>
          <w:b/>
          <w:sz w:val="24"/>
          <w:szCs w:val="24"/>
        </w:rPr>
      </w:pPr>
      <w:r w:rsidRPr="00E94148">
        <w:rPr>
          <w:rFonts w:ascii="Cambria" w:hAnsi="Cambria" w:cs="Times New Roman"/>
          <w:b/>
          <w:bCs/>
          <w:sz w:val="24"/>
          <w:szCs w:val="24"/>
        </w:rPr>
        <w:t xml:space="preserve">Conclusion </w:t>
      </w:r>
    </w:p>
    <w:p w14:paraId="7384C3C5" w14:textId="77777777" w:rsidR="001016FE" w:rsidRPr="00E94148" w:rsidRDefault="001016FE" w:rsidP="008553F4">
      <w:pPr>
        <w:spacing w:line="276" w:lineRule="auto"/>
        <w:jc w:val="both"/>
        <w:rPr>
          <w:rFonts w:ascii="Cambria" w:hAnsi="Cambria" w:cs="Times New Roman"/>
          <w:sz w:val="24"/>
          <w:szCs w:val="24"/>
        </w:rPr>
      </w:pPr>
      <w:r w:rsidRPr="00E94148">
        <w:rPr>
          <w:rFonts w:ascii="Cambria" w:hAnsi="Cambria" w:cs="Times New Roman"/>
          <w:sz w:val="24"/>
          <w:szCs w:val="24"/>
        </w:rPr>
        <w:t xml:space="preserve">One could see that Artificial intelligence could pose a dire challenge to the principle of independence in criminal trials. The developing, the functioning and the influence it could have on the judge can qualify it as undue if no proper safeguards are taken </w:t>
      </w:r>
      <w:proofErr w:type="gramStart"/>
      <w:r w:rsidRPr="00E94148">
        <w:rPr>
          <w:rFonts w:ascii="Cambria" w:hAnsi="Cambria" w:cs="Times New Roman"/>
          <w:sz w:val="24"/>
          <w:szCs w:val="24"/>
        </w:rPr>
        <w:t>in order to</w:t>
      </w:r>
      <w:proofErr w:type="gramEnd"/>
      <w:r w:rsidRPr="00E94148">
        <w:rPr>
          <w:rFonts w:ascii="Cambria" w:hAnsi="Cambria" w:cs="Times New Roman"/>
          <w:sz w:val="24"/>
          <w:szCs w:val="24"/>
        </w:rPr>
        <w:t xml:space="preserve"> </w:t>
      </w:r>
      <w:r w:rsidR="00811D27" w:rsidRPr="00E94148">
        <w:rPr>
          <w:rFonts w:ascii="Cambria" w:hAnsi="Cambria" w:cs="Times New Roman"/>
          <w:sz w:val="24"/>
          <w:szCs w:val="24"/>
        </w:rPr>
        <w:t xml:space="preserve">prevent a “Algorithmic justice”. Such safeguards must however be weighted considering other relevant </w:t>
      </w:r>
      <w:r w:rsidR="002C56B1" w:rsidRPr="00E94148">
        <w:rPr>
          <w:rFonts w:ascii="Cambria" w:hAnsi="Cambria" w:cs="Times New Roman"/>
          <w:sz w:val="24"/>
          <w:szCs w:val="24"/>
        </w:rPr>
        <w:t>features</w:t>
      </w:r>
      <w:r w:rsidR="00B03650" w:rsidRPr="00E94148">
        <w:rPr>
          <w:rFonts w:ascii="Cambria" w:hAnsi="Cambria" w:cs="Times New Roman"/>
          <w:sz w:val="24"/>
          <w:szCs w:val="24"/>
        </w:rPr>
        <w:t xml:space="preserve"> </w:t>
      </w:r>
      <w:r w:rsidR="002C56B1" w:rsidRPr="00E94148">
        <w:rPr>
          <w:rFonts w:ascii="Cambria" w:hAnsi="Cambria" w:cs="Times New Roman"/>
          <w:sz w:val="24"/>
          <w:szCs w:val="24"/>
        </w:rPr>
        <w:t>such as intellectual property</w:t>
      </w:r>
      <w:r w:rsidR="00B03650" w:rsidRPr="00E94148">
        <w:rPr>
          <w:rFonts w:ascii="Cambria" w:hAnsi="Cambria" w:cs="Times New Roman"/>
          <w:sz w:val="24"/>
          <w:szCs w:val="24"/>
        </w:rPr>
        <w:t xml:space="preserve"> and the transparency of the algorithm. In order for justice to remain independent, such algorithms must however comply with the principles that have already been erected </w:t>
      </w:r>
      <w:r w:rsidR="00643564" w:rsidRPr="00E94148">
        <w:rPr>
          <w:rFonts w:ascii="Cambria" w:hAnsi="Cambria" w:cs="Times New Roman"/>
          <w:sz w:val="24"/>
          <w:szCs w:val="24"/>
        </w:rPr>
        <w:t>in the field of independence; but also</w:t>
      </w:r>
      <w:r w:rsidR="00B10073" w:rsidRPr="00E94148">
        <w:rPr>
          <w:rFonts w:ascii="Cambria" w:hAnsi="Cambria" w:cs="Times New Roman"/>
          <w:sz w:val="24"/>
          <w:szCs w:val="24"/>
        </w:rPr>
        <w:t>,</w:t>
      </w:r>
      <w:r w:rsidR="00643564" w:rsidRPr="00E94148">
        <w:rPr>
          <w:rFonts w:ascii="Cambria" w:hAnsi="Cambria" w:cs="Times New Roman"/>
          <w:sz w:val="24"/>
          <w:szCs w:val="24"/>
        </w:rPr>
        <w:t xml:space="preserve"> on the emerging principles for a </w:t>
      </w:r>
      <w:r w:rsidR="00002581" w:rsidRPr="00E94148">
        <w:rPr>
          <w:rFonts w:ascii="Cambria" w:hAnsi="Cambria" w:cs="Times New Roman"/>
          <w:sz w:val="24"/>
          <w:szCs w:val="24"/>
        </w:rPr>
        <w:t>trustworthy</w:t>
      </w:r>
      <w:r w:rsidR="00643564" w:rsidRPr="00E94148">
        <w:rPr>
          <w:rFonts w:ascii="Cambria" w:hAnsi="Cambria" w:cs="Times New Roman"/>
          <w:sz w:val="24"/>
          <w:szCs w:val="24"/>
        </w:rPr>
        <w:t xml:space="preserve"> A.I</w:t>
      </w:r>
      <w:r w:rsidR="00EE2E78" w:rsidRPr="00E94148">
        <w:rPr>
          <w:rFonts w:ascii="Cambria" w:hAnsi="Cambria" w:cs="Times New Roman"/>
          <w:sz w:val="24"/>
          <w:szCs w:val="24"/>
        </w:rPr>
        <w:t xml:space="preserve"> </w:t>
      </w:r>
      <w:proofErr w:type="gramStart"/>
      <w:r w:rsidR="0027020D" w:rsidRPr="00E94148">
        <w:rPr>
          <w:rFonts w:ascii="Cambria" w:hAnsi="Cambria" w:cs="Times New Roman"/>
          <w:sz w:val="24"/>
          <w:szCs w:val="24"/>
        </w:rPr>
        <w:t>focusing</w:t>
      </w:r>
      <w:proofErr w:type="gramEnd"/>
      <w:r w:rsidR="0027020D" w:rsidRPr="00E94148">
        <w:rPr>
          <w:rFonts w:ascii="Cambria" w:hAnsi="Cambria" w:cs="Times New Roman"/>
          <w:sz w:val="24"/>
          <w:szCs w:val="24"/>
        </w:rPr>
        <w:t xml:space="preserve"> on the necessity of</w:t>
      </w:r>
      <w:r w:rsidR="00643564" w:rsidRPr="00E94148">
        <w:rPr>
          <w:rFonts w:ascii="Cambria" w:hAnsi="Cambria" w:cs="Times New Roman"/>
          <w:sz w:val="24"/>
          <w:szCs w:val="24"/>
        </w:rPr>
        <w:t xml:space="preserve"> transparency and </w:t>
      </w:r>
      <w:r w:rsidR="00590F16">
        <w:rPr>
          <w:rFonts w:ascii="Cambria" w:hAnsi="Cambria" w:cs="Times New Roman"/>
          <w:sz w:val="24"/>
          <w:szCs w:val="24"/>
        </w:rPr>
        <w:t>e</w:t>
      </w:r>
      <w:r w:rsidR="00E873CC" w:rsidRPr="00E94148">
        <w:rPr>
          <w:rFonts w:ascii="Cambria" w:hAnsi="Cambria" w:cs="Times New Roman"/>
          <w:sz w:val="24"/>
          <w:szCs w:val="24"/>
        </w:rPr>
        <w:t>xplainability</w:t>
      </w:r>
      <w:r w:rsidR="00643564" w:rsidRPr="00E94148">
        <w:rPr>
          <w:rFonts w:ascii="Cambria" w:hAnsi="Cambria" w:cs="Times New Roman"/>
          <w:sz w:val="24"/>
          <w:szCs w:val="24"/>
        </w:rPr>
        <w:t xml:space="preserve"> in order </w:t>
      </w:r>
      <w:r w:rsidR="00C12507" w:rsidRPr="00E94148">
        <w:rPr>
          <w:rFonts w:ascii="Cambria" w:hAnsi="Cambria" w:cs="Times New Roman"/>
          <w:sz w:val="24"/>
          <w:szCs w:val="24"/>
        </w:rPr>
        <w:t>for A.I to become a legitimate influence in the field of criminal trials.</w:t>
      </w:r>
    </w:p>
    <w:p w14:paraId="475745FE" w14:textId="77777777" w:rsidR="001016FE" w:rsidRPr="00E94148" w:rsidRDefault="001016FE" w:rsidP="008553F4">
      <w:pPr>
        <w:spacing w:line="276" w:lineRule="auto"/>
        <w:jc w:val="both"/>
        <w:rPr>
          <w:rFonts w:ascii="Cambria" w:hAnsi="Cambria"/>
        </w:rPr>
      </w:pPr>
    </w:p>
    <w:p w14:paraId="7A24EAA0" w14:textId="77777777" w:rsidR="007836CA" w:rsidRDefault="007836CA" w:rsidP="008553F4">
      <w:pPr>
        <w:spacing w:line="276" w:lineRule="auto"/>
        <w:jc w:val="both"/>
        <w:rPr>
          <w:rFonts w:ascii="Cambria" w:hAnsi="Cambria"/>
        </w:rPr>
      </w:pPr>
    </w:p>
    <w:p w14:paraId="7549F5A8" w14:textId="77777777" w:rsidR="00B64A4D" w:rsidRDefault="00B64A4D" w:rsidP="008553F4">
      <w:pPr>
        <w:spacing w:line="276" w:lineRule="auto"/>
        <w:jc w:val="both"/>
        <w:rPr>
          <w:rFonts w:ascii="Cambria" w:hAnsi="Cambria"/>
        </w:rPr>
      </w:pPr>
    </w:p>
    <w:p w14:paraId="31621FD9" w14:textId="77777777" w:rsidR="00B64A4D" w:rsidRDefault="00B64A4D" w:rsidP="008553F4">
      <w:pPr>
        <w:spacing w:line="276" w:lineRule="auto"/>
        <w:jc w:val="both"/>
        <w:rPr>
          <w:rFonts w:ascii="Cambria" w:hAnsi="Cambria"/>
        </w:rPr>
      </w:pPr>
    </w:p>
    <w:p w14:paraId="1C6C9E60" w14:textId="77777777" w:rsidR="00B64A4D" w:rsidRDefault="00B64A4D" w:rsidP="008553F4">
      <w:pPr>
        <w:spacing w:line="276" w:lineRule="auto"/>
        <w:jc w:val="both"/>
        <w:rPr>
          <w:rFonts w:ascii="Cambria" w:hAnsi="Cambria"/>
        </w:rPr>
      </w:pPr>
    </w:p>
    <w:p w14:paraId="0E049ADA" w14:textId="77777777" w:rsidR="00B64A4D" w:rsidRDefault="00B64A4D" w:rsidP="008553F4">
      <w:pPr>
        <w:spacing w:line="276" w:lineRule="auto"/>
        <w:jc w:val="both"/>
        <w:rPr>
          <w:rFonts w:ascii="Cambria" w:hAnsi="Cambria"/>
        </w:rPr>
      </w:pPr>
    </w:p>
    <w:p w14:paraId="61B545BB" w14:textId="77777777" w:rsidR="00B64A4D" w:rsidRDefault="00B64A4D" w:rsidP="008553F4">
      <w:pPr>
        <w:spacing w:line="276" w:lineRule="auto"/>
        <w:jc w:val="both"/>
        <w:rPr>
          <w:rFonts w:ascii="Cambria" w:hAnsi="Cambria"/>
        </w:rPr>
      </w:pPr>
    </w:p>
    <w:p w14:paraId="0240FB0B" w14:textId="77777777" w:rsidR="00740EE7" w:rsidRDefault="00740EE7" w:rsidP="008553F4">
      <w:pPr>
        <w:spacing w:line="276" w:lineRule="auto"/>
        <w:jc w:val="both"/>
        <w:rPr>
          <w:rFonts w:ascii="Cambria" w:hAnsi="Cambria"/>
        </w:rPr>
      </w:pPr>
    </w:p>
    <w:p w14:paraId="11EB7BE3" w14:textId="77777777" w:rsidR="00740EE7" w:rsidRDefault="00740EE7" w:rsidP="008553F4">
      <w:pPr>
        <w:spacing w:line="276" w:lineRule="auto"/>
        <w:jc w:val="both"/>
        <w:rPr>
          <w:rFonts w:ascii="Cambria" w:hAnsi="Cambria"/>
        </w:rPr>
      </w:pPr>
    </w:p>
    <w:p w14:paraId="11FC715C" w14:textId="77777777" w:rsidR="00740EE7" w:rsidRDefault="00740EE7" w:rsidP="008553F4">
      <w:pPr>
        <w:spacing w:line="276" w:lineRule="auto"/>
        <w:jc w:val="both"/>
        <w:rPr>
          <w:rFonts w:ascii="Cambria" w:hAnsi="Cambria"/>
        </w:rPr>
      </w:pPr>
    </w:p>
    <w:p w14:paraId="1C95A240" w14:textId="77777777" w:rsidR="00740EE7" w:rsidRDefault="00740EE7" w:rsidP="008553F4">
      <w:pPr>
        <w:spacing w:line="276" w:lineRule="auto"/>
        <w:jc w:val="both"/>
        <w:rPr>
          <w:rFonts w:ascii="Cambria" w:hAnsi="Cambria"/>
        </w:rPr>
      </w:pPr>
    </w:p>
    <w:p w14:paraId="337E4432" w14:textId="77777777" w:rsidR="00B64A4D" w:rsidRDefault="00B64A4D" w:rsidP="008553F4">
      <w:pPr>
        <w:spacing w:line="276" w:lineRule="auto"/>
        <w:jc w:val="both"/>
        <w:rPr>
          <w:rFonts w:ascii="Cambria" w:hAnsi="Cambria"/>
        </w:rPr>
      </w:pPr>
    </w:p>
    <w:p w14:paraId="0E0B0EEE" w14:textId="77777777" w:rsidR="00B64A4D" w:rsidRPr="00E94148" w:rsidRDefault="00B64A4D" w:rsidP="008553F4">
      <w:pPr>
        <w:spacing w:line="276" w:lineRule="auto"/>
        <w:jc w:val="both"/>
        <w:rPr>
          <w:rFonts w:ascii="Cambria" w:hAnsi="Cambria"/>
        </w:rPr>
      </w:pPr>
    </w:p>
    <w:p w14:paraId="59486EFD" w14:textId="77777777" w:rsidR="007836CA" w:rsidRPr="00E94148" w:rsidRDefault="007836CA" w:rsidP="008553F4">
      <w:pPr>
        <w:spacing w:line="276" w:lineRule="auto"/>
        <w:jc w:val="both"/>
        <w:rPr>
          <w:rFonts w:ascii="Cambria" w:hAnsi="Cambria"/>
        </w:rPr>
      </w:pPr>
    </w:p>
    <w:p w14:paraId="4AD6D865" w14:textId="77777777" w:rsidR="007836CA" w:rsidRPr="002316DF" w:rsidRDefault="007836CA" w:rsidP="008553F4">
      <w:pPr>
        <w:spacing w:line="276" w:lineRule="auto"/>
        <w:jc w:val="center"/>
        <w:rPr>
          <w:rFonts w:ascii="Cambria" w:hAnsi="Cambria"/>
          <w:sz w:val="24"/>
          <w:szCs w:val="24"/>
        </w:rPr>
      </w:pPr>
      <w:r w:rsidRPr="002316DF">
        <w:rPr>
          <w:rFonts w:ascii="Cambria" w:hAnsi="Cambria"/>
          <w:sz w:val="24"/>
          <w:szCs w:val="24"/>
        </w:rPr>
        <w:lastRenderedPageBreak/>
        <w:t>List of literature and resources</w:t>
      </w:r>
    </w:p>
    <w:p w14:paraId="2F387787" w14:textId="77777777" w:rsidR="007836CA" w:rsidRPr="002316DF" w:rsidRDefault="009F6D5D" w:rsidP="008553F4">
      <w:pPr>
        <w:spacing w:line="276" w:lineRule="auto"/>
        <w:jc w:val="both"/>
        <w:rPr>
          <w:rFonts w:ascii="Cambria" w:hAnsi="Cambria"/>
          <w:sz w:val="24"/>
          <w:szCs w:val="24"/>
        </w:rPr>
      </w:pPr>
      <w:r w:rsidRPr="002316DF">
        <w:rPr>
          <w:rFonts w:ascii="Cambria" w:hAnsi="Cambria"/>
          <w:sz w:val="24"/>
          <w:szCs w:val="24"/>
        </w:rPr>
        <w:t>ACADEMIC ARTICLES</w:t>
      </w:r>
    </w:p>
    <w:p w14:paraId="244E51E8" w14:textId="77777777" w:rsidR="00FA3F05" w:rsidRPr="002316DF" w:rsidRDefault="00FA3F05" w:rsidP="008553F4">
      <w:pPr>
        <w:pStyle w:val="FootnoteText"/>
        <w:spacing w:line="276" w:lineRule="auto"/>
        <w:jc w:val="both"/>
        <w:rPr>
          <w:rFonts w:ascii="Cambria" w:hAnsi="Cambria" w:cs="Times New Roman"/>
          <w:sz w:val="24"/>
          <w:szCs w:val="24"/>
        </w:rPr>
      </w:pPr>
      <w:proofErr w:type="spellStart"/>
      <w:r w:rsidRPr="002316DF">
        <w:rPr>
          <w:rFonts w:ascii="Cambria" w:hAnsi="Cambria" w:cs="Times New Roman"/>
          <w:sz w:val="24"/>
          <w:szCs w:val="24"/>
        </w:rPr>
        <w:t>Akandji-Kombe</w:t>
      </w:r>
      <w:proofErr w:type="spellEnd"/>
      <w:r w:rsidRPr="002316DF">
        <w:rPr>
          <w:rFonts w:ascii="Cambria" w:hAnsi="Cambria" w:cs="Times New Roman"/>
          <w:sz w:val="24"/>
          <w:szCs w:val="24"/>
        </w:rPr>
        <w:t xml:space="preserve">, Jean François, ‘Positive Obligations under the European Convention on Human Rights: A Guide to the Implementation of the European Convention on Human Rights’ (2007) Human Rights Handbook, Volume 7, p5. </w:t>
      </w:r>
    </w:p>
    <w:p w14:paraId="6BA8FF47" w14:textId="77777777" w:rsidR="00B27248" w:rsidRDefault="00B27248" w:rsidP="008553F4">
      <w:pPr>
        <w:pStyle w:val="FootnoteText"/>
        <w:spacing w:line="276" w:lineRule="auto"/>
        <w:jc w:val="both"/>
        <w:rPr>
          <w:rFonts w:ascii="Cambria" w:hAnsi="Cambria" w:cs="Times New Roman"/>
          <w:sz w:val="24"/>
          <w:szCs w:val="24"/>
        </w:rPr>
      </w:pPr>
    </w:p>
    <w:p w14:paraId="4D564A5E" w14:textId="77777777" w:rsidR="00B27248" w:rsidRPr="002316DF" w:rsidRDefault="00B27248" w:rsidP="008553F4">
      <w:pPr>
        <w:pStyle w:val="FootnoteText"/>
        <w:spacing w:line="276" w:lineRule="auto"/>
        <w:jc w:val="both"/>
        <w:rPr>
          <w:rFonts w:ascii="Cambria" w:hAnsi="Cambria" w:cs="Times New Roman"/>
          <w:sz w:val="24"/>
          <w:szCs w:val="24"/>
        </w:rPr>
      </w:pPr>
      <w:proofErr w:type="spellStart"/>
      <w:r w:rsidRPr="002316DF">
        <w:rPr>
          <w:rFonts w:ascii="Cambria" w:hAnsi="Cambria" w:cs="Times New Roman"/>
          <w:sz w:val="24"/>
          <w:szCs w:val="24"/>
        </w:rPr>
        <w:t>Barabas</w:t>
      </w:r>
      <w:proofErr w:type="spellEnd"/>
      <w:r w:rsidRPr="002316DF">
        <w:rPr>
          <w:rFonts w:ascii="Cambria" w:hAnsi="Cambria" w:cs="Times New Roman"/>
          <w:sz w:val="24"/>
          <w:szCs w:val="24"/>
        </w:rPr>
        <w:t xml:space="preserve"> Chelsea, ‘Beyond bias: “Ethical AI” in Criminal Law, </w:t>
      </w:r>
      <w:r w:rsidRPr="002316DF">
        <w:rPr>
          <w:rFonts w:ascii="Cambria" w:hAnsi="Cambria" w:cs="Times New Roman"/>
          <w:i/>
          <w:iCs/>
          <w:sz w:val="24"/>
          <w:szCs w:val="24"/>
        </w:rPr>
        <w:t xml:space="preserve">The Oxford Handbook of Ethics and AI, </w:t>
      </w:r>
      <w:r w:rsidRPr="002316DF">
        <w:rPr>
          <w:rFonts w:ascii="Cambria" w:hAnsi="Cambria" w:cs="Times New Roman"/>
          <w:sz w:val="24"/>
          <w:szCs w:val="24"/>
        </w:rPr>
        <w:t>(2020), pp 737-758.</w:t>
      </w:r>
    </w:p>
    <w:p w14:paraId="026FD07E" w14:textId="77777777" w:rsidR="00B27248" w:rsidRDefault="00B27248" w:rsidP="008553F4">
      <w:pPr>
        <w:pStyle w:val="FootnoteText"/>
        <w:spacing w:line="276" w:lineRule="auto"/>
        <w:jc w:val="both"/>
        <w:rPr>
          <w:rFonts w:ascii="Cambria" w:hAnsi="Cambria" w:cs="Times New Roman"/>
          <w:sz w:val="24"/>
          <w:szCs w:val="24"/>
        </w:rPr>
      </w:pPr>
    </w:p>
    <w:p w14:paraId="169E2B2C" w14:textId="77777777" w:rsidR="00B27248" w:rsidRPr="00B27248" w:rsidRDefault="00B27248" w:rsidP="008553F4">
      <w:pPr>
        <w:pStyle w:val="FootnoteText"/>
        <w:spacing w:line="276" w:lineRule="auto"/>
        <w:jc w:val="both"/>
        <w:rPr>
          <w:rFonts w:ascii="Cambria" w:hAnsi="Cambria" w:cs="Times New Roman"/>
          <w:sz w:val="24"/>
          <w:szCs w:val="24"/>
          <w:lang w:val="fr-FR"/>
        </w:rPr>
      </w:pPr>
      <w:r w:rsidRPr="00B27248">
        <w:rPr>
          <w:rFonts w:ascii="Cambria" w:hAnsi="Cambria" w:cs="Times New Roman"/>
          <w:sz w:val="24"/>
          <w:szCs w:val="24"/>
          <w:lang w:val="fr-FR"/>
        </w:rPr>
        <w:t xml:space="preserve">Bensoussan Alain et Bensoussan Jérémy, I.A justice robot et droit, </w:t>
      </w:r>
      <w:proofErr w:type="spellStart"/>
      <w:r w:rsidRPr="00B27248">
        <w:rPr>
          <w:rFonts w:ascii="Cambria" w:hAnsi="Cambria" w:cs="Times New Roman"/>
          <w:sz w:val="24"/>
          <w:szCs w:val="24"/>
          <w:lang w:val="fr-FR"/>
        </w:rPr>
        <w:t>Lexing</w:t>
      </w:r>
      <w:proofErr w:type="spellEnd"/>
      <w:r w:rsidRPr="00B27248">
        <w:rPr>
          <w:rFonts w:ascii="Cambria" w:hAnsi="Cambria" w:cs="Times New Roman"/>
          <w:sz w:val="24"/>
          <w:szCs w:val="24"/>
          <w:lang w:val="fr-FR"/>
        </w:rPr>
        <w:t xml:space="preserve"> technologies avancées et droit, édition </w:t>
      </w:r>
      <w:proofErr w:type="spellStart"/>
      <w:r w:rsidRPr="00B27248">
        <w:rPr>
          <w:rFonts w:ascii="Cambria" w:hAnsi="Cambria" w:cs="Times New Roman"/>
          <w:sz w:val="24"/>
          <w:szCs w:val="24"/>
          <w:lang w:val="fr-FR"/>
        </w:rPr>
        <w:t>Brulyant</w:t>
      </w:r>
      <w:proofErr w:type="spellEnd"/>
      <w:r w:rsidRPr="00B27248">
        <w:rPr>
          <w:rFonts w:ascii="Cambria" w:hAnsi="Cambria" w:cs="Times New Roman"/>
          <w:sz w:val="24"/>
          <w:szCs w:val="24"/>
          <w:lang w:val="fr-FR"/>
        </w:rPr>
        <w:t>, p102.</w:t>
      </w:r>
    </w:p>
    <w:p w14:paraId="4CEAEFB5" w14:textId="77777777" w:rsidR="00B27248" w:rsidRPr="00B27248" w:rsidRDefault="00B27248" w:rsidP="008553F4">
      <w:pPr>
        <w:pStyle w:val="FootnoteText"/>
        <w:spacing w:line="276" w:lineRule="auto"/>
        <w:jc w:val="both"/>
        <w:rPr>
          <w:rStyle w:val="FootnoteReference"/>
          <w:rFonts w:ascii="Cambria" w:hAnsi="Cambria" w:cs="Times New Roman"/>
          <w:sz w:val="24"/>
          <w:szCs w:val="24"/>
          <w:lang w:val="fr-FR"/>
        </w:rPr>
      </w:pPr>
    </w:p>
    <w:p w14:paraId="6BFAD07D" w14:textId="77777777" w:rsidR="009F6D5D" w:rsidRDefault="00B27248"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Berk Richard, ‘An impact assessment of machine learning risk forecasts on parole board decision and recidivism’ (2016), Department of Criminology and Statistics, University of Pennsylvania</w:t>
      </w:r>
      <w:r>
        <w:rPr>
          <w:rFonts w:ascii="Cambria" w:hAnsi="Cambria" w:cs="Times New Roman"/>
          <w:sz w:val="24"/>
          <w:szCs w:val="24"/>
        </w:rPr>
        <w:t>.</w:t>
      </w:r>
      <w:r w:rsidRPr="002316DF">
        <w:rPr>
          <w:rFonts w:ascii="Cambria" w:hAnsi="Cambria" w:cs="Times New Roman"/>
          <w:sz w:val="24"/>
          <w:szCs w:val="24"/>
        </w:rPr>
        <w:t xml:space="preserve"> </w:t>
      </w:r>
    </w:p>
    <w:p w14:paraId="101D2E2B" w14:textId="77777777" w:rsidR="00B27248" w:rsidRDefault="00B27248" w:rsidP="008553F4">
      <w:pPr>
        <w:pStyle w:val="FootnoteText"/>
        <w:spacing w:line="276" w:lineRule="auto"/>
        <w:jc w:val="both"/>
        <w:rPr>
          <w:rFonts w:ascii="Cambria" w:hAnsi="Cambria" w:cs="Times New Roman"/>
          <w:sz w:val="24"/>
          <w:szCs w:val="24"/>
        </w:rPr>
      </w:pPr>
    </w:p>
    <w:p w14:paraId="4A80EAAE" w14:textId="77777777" w:rsidR="00B27248" w:rsidRPr="002316DF" w:rsidRDefault="00B27248" w:rsidP="008553F4">
      <w:pPr>
        <w:pStyle w:val="FootnoteText"/>
        <w:spacing w:line="276" w:lineRule="auto"/>
        <w:jc w:val="both"/>
        <w:rPr>
          <w:rFonts w:ascii="Cambria" w:hAnsi="Cambria" w:cs="Times New Roman"/>
          <w:i/>
          <w:iCs/>
          <w:sz w:val="24"/>
          <w:szCs w:val="24"/>
        </w:rPr>
      </w:pPr>
      <w:r w:rsidRPr="002316DF">
        <w:rPr>
          <w:rFonts w:ascii="Cambria" w:hAnsi="Cambria" w:cs="Times New Roman"/>
          <w:sz w:val="24"/>
          <w:szCs w:val="24"/>
        </w:rPr>
        <w:t xml:space="preserve">Boddington Paula, Normative modes: Codes and Standards, </w:t>
      </w:r>
      <w:r w:rsidRPr="002316DF">
        <w:rPr>
          <w:rFonts w:ascii="Cambria" w:hAnsi="Cambria" w:cs="Times New Roman"/>
          <w:i/>
          <w:iCs/>
          <w:sz w:val="24"/>
          <w:szCs w:val="24"/>
        </w:rPr>
        <w:t>The Oxford Handbook of Ethics of AI, (2020), pp 125-142, p135.</w:t>
      </w:r>
    </w:p>
    <w:p w14:paraId="4EB804DB" w14:textId="77777777" w:rsidR="00B27248" w:rsidRPr="00B27248" w:rsidRDefault="00B27248" w:rsidP="008553F4">
      <w:pPr>
        <w:pStyle w:val="FootnoteText"/>
        <w:spacing w:line="276" w:lineRule="auto"/>
        <w:jc w:val="both"/>
        <w:rPr>
          <w:rFonts w:ascii="Cambria" w:hAnsi="Cambria" w:cs="Times New Roman"/>
          <w:sz w:val="24"/>
          <w:szCs w:val="24"/>
        </w:rPr>
      </w:pPr>
    </w:p>
    <w:p w14:paraId="049F11C4" w14:textId="77777777" w:rsidR="0023179E" w:rsidRPr="002316DF" w:rsidRDefault="0023179E" w:rsidP="008553F4">
      <w:pPr>
        <w:pStyle w:val="FootnoteText"/>
        <w:spacing w:line="276" w:lineRule="auto"/>
        <w:jc w:val="both"/>
        <w:rPr>
          <w:rFonts w:ascii="Cambria" w:hAnsi="Cambria"/>
          <w:sz w:val="24"/>
          <w:szCs w:val="24"/>
        </w:rPr>
      </w:pPr>
      <w:r w:rsidRPr="002316DF">
        <w:rPr>
          <w:rFonts w:ascii="Cambria" w:hAnsi="Cambria"/>
          <w:sz w:val="24"/>
          <w:szCs w:val="24"/>
        </w:rPr>
        <w:t>Cox</w:t>
      </w:r>
      <w:r w:rsidR="003C01A7" w:rsidRPr="002316DF">
        <w:rPr>
          <w:rFonts w:ascii="Cambria" w:hAnsi="Cambria"/>
          <w:sz w:val="24"/>
          <w:szCs w:val="24"/>
        </w:rPr>
        <w:t xml:space="preserve"> Archibald</w:t>
      </w:r>
      <w:r w:rsidRPr="002316DF">
        <w:rPr>
          <w:rFonts w:ascii="Cambria" w:hAnsi="Cambria"/>
          <w:sz w:val="24"/>
          <w:szCs w:val="24"/>
        </w:rPr>
        <w:t>, 'The Independence of the Judiciary: History and Purposes' (1996) 21 U Dayton L Rev 565, pp565-583,</w:t>
      </w:r>
    </w:p>
    <w:p w14:paraId="65793543" w14:textId="77777777" w:rsidR="00B27248" w:rsidRPr="002316DF" w:rsidRDefault="00B27248" w:rsidP="008553F4">
      <w:pPr>
        <w:pStyle w:val="FootnoteText"/>
        <w:spacing w:line="276" w:lineRule="auto"/>
        <w:jc w:val="both"/>
        <w:rPr>
          <w:rFonts w:ascii="Cambria" w:hAnsi="Cambria" w:cs="Times New Roman"/>
          <w:sz w:val="24"/>
          <w:szCs w:val="24"/>
        </w:rPr>
      </w:pPr>
    </w:p>
    <w:p w14:paraId="75FD39DB" w14:textId="77777777" w:rsidR="00B27248" w:rsidRPr="002316DF" w:rsidRDefault="00B27248"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Crawford James, ‘Organs and entities exercising governmental authority (2013), State Responsibility: General part, Cambridge University Press, pp113-140</w:t>
      </w:r>
      <w:r>
        <w:rPr>
          <w:rFonts w:ascii="Cambria" w:hAnsi="Cambria" w:cs="Times New Roman"/>
          <w:sz w:val="24"/>
          <w:szCs w:val="24"/>
        </w:rPr>
        <w:t>.</w:t>
      </w:r>
    </w:p>
    <w:p w14:paraId="0EA183B1" w14:textId="77777777" w:rsidR="00C33029" w:rsidRPr="002316DF" w:rsidRDefault="00C33029" w:rsidP="008553F4">
      <w:pPr>
        <w:pStyle w:val="FootnoteText"/>
        <w:spacing w:line="276" w:lineRule="auto"/>
        <w:jc w:val="both"/>
        <w:rPr>
          <w:rFonts w:ascii="Cambria" w:hAnsi="Cambria"/>
          <w:sz w:val="24"/>
          <w:szCs w:val="24"/>
        </w:rPr>
      </w:pPr>
    </w:p>
    <w:p w14:paraId="6545DDF6" w14:textId="77777777" w:rsidR="00C33029" w:rsidRDefault="00C33029" w:rsidP="008553F4">
      <w:pPr>
        <w:pStyle w:val="FootnoteText"/>
        <w:spacing w:line="276" w:lineRule="auto"/>
        <w:jc w:val="both"/>
        <w:rPr>
          <w:rFonts w:ascii="Cambria" w:hAnsi="Cambria" w:cs="Times New Roman"/>
          <w:sz w:val="24"/>
          <w:szCs w:val="24"/>
        </w:rPr>
      </w:pPr>
      <w:proofErr w:type="spellStart"/>
      <w:r w:rsidRPr="002316DF">
        <w:rPr>
          <w:rFonts w:ascii="Cambria" w:hAnsi="Cambria" w:cs="Times New Roman"/>
          <w:sz w:val="24"/>
          <w:szCs w:val="24"/>
        </w:rPr>
        <w:t>Cuéllar</w:t>
      </w:r>
      <w:proofErr w:type="spellEnd"/>
      <w:r w:rsidRPr="002316DF">
        <w:rPr>
          <w:rFonts w:ascii="Cambria" w:hAnsi="Cambria" w:cs="Times New Roman"/>
          <w:sz w:val="24"/>
          <w:szCs w:val="24"/>
        </w:rPr>
        <w:t>, “</w:t>
      </w:r>
      <w:proofErr w:type="spellStart"/>
      <w:r w:rsidRPr="002316DF">
        <w:rPr>
          <w:rFonts w:ascii="Cambria" w:hAnsi="Cambria" w:cs="Times New Roman"/>
          <w:sz w:val="24"/>
          <w:szCs w:val="24"/>
        </w:rPr>
        <w:t>Cyberdelegation</w:t>
      </w:r>
      <w:proofErr w:type="spellEnd"/>
      <w:r w:rsidRPr="002316DF">
        <w:rPr>
          <w:rFonts w:ascii="Cambria" w:hAnsi="Cambria" w:cs="Times New Roman"/>
          <w:sz w:val="24"/>
          <w:szCs w:val="24"/>
        </w:rPr>
        <w:t>,” 144–150; Seth Katsuya Endo, “Technological Opacity &amp; Procedural Injustice,” Boston College Law Review 59 (2018): 851–857</w:t>
      </w:r>
    </w:p>
    <w:p w14:paraId="44611D34" w14:textId="77777777" w:rsidR="00B27248" w:rsidRPr="002316DF" w:rsidRDefault="00B27248" w:rsidP="008553F4">
      <w:pPr>
        <w:pStyle w:val="FootnoteText"/>
        <w:spacing w:line="276" w:lineRule="auto"/>
        <w:jc w:val="both"/>
        <w:rPr>
          <w:rFonts w:ascii="Cambria" w:hAnsi="Cambria" w:cs="Times New Roman"/>
          <w:sz w:val="24"/>
          <w:szCs w:val="24"/>
        </w:rPr>
      </w:pPr>
    </w:p>
    <w:p w14:paraId="5CAA30E0" w14:textId="77777777" w:rsidR="00B27248" w:rsidRPr="002316DF" w:rsidRDefault="00B27248"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 xml:space="preserve">Dignum Virginia, Responsibility and Artificial intelligence, </w:t>
      </w:r>
      <w:r w:rsidRPr="002316DF">
        <w:rPr>
          <w:rFonts w:ascii="Cambria" w:hAnsi="Cambria" w:cs="Times New Roman"/>
          <w:i/>
          <w:iCs/>
          <w:sz w:val="24"/>
          <w:szCs w:val="24"/>
        </w:rPr>
        <w:t xml:space="preserve">The Oxford Handbook of Ethics of AI, (2020), </w:t>
      </w:r>
      <w:r w:rsidRPr="002316DF">
        <w:rPr>
          <w:rFonts w:ascii="Cambria" w:hAnsi="Cambria" w:cs="Times New Roman"/>
          <w:sz w:val="24"/>
          <w:szCs w:val="24"/>
        </w:rPr>
        <w:t xml:space="preserve">pp216-232, </w:t>
      </w:r>
      <w:proofErr w:type="gramStart"/>
      <w:r w:rsidRPr="002316DF">
        <w:rPr>
          <w:rFonts w:ascii="Cambria" w:hAnsi="Cambria" w:cs="Times New Roman"/>
          <w:sz w:val="24"/>
          <w:szCs w:val="24"/>
        </w:rPr>
        <w:t>p225;</w:t>
      </w:r>
      <w:proofErr w:type="gramEnd"/>
      <w:r w:rsidRPr="002316DF">
        <w:rPr>
          <w:rFonts w:ascii="Cambria" w:hAnsi="Cambria" w:cs="Times New Roman"/>
          <w:sz w:val="24"/>
          <w:szCs w:val="24"/>
        </w:rPr>
        <w:t xml:space="preserve"> </w:t>
      </w:r>
    </w:p>
    <w:p w14:paraId="0821EB2D" w14:textId="77777777" w:rsidR="00C33029" w:rsidRPr="002316DF" w:rsidRDefault="00C33029" w:rsidP="008553F4">
      <w:pPr>
        <w:pStyle w:val="FootnoteText"/>
        <w:spacing w:line="276" w:lineRule="auto"/>
        <w:jc w:val="both"/>
        <w:rPr>
          <w:rFonts w:ascii="Cambria" w:hAnsi="Cambria"/>
          <w:sz w:val="24"/>
          <w:szCs w:val="24"/>
        </w:rPr>
      </w:pPr>
    </w:p>
    <w:p w14:paraId="1847E31C" w14:textId="77777777" w:rsidR="00C33029" w:rsidRPr="002316DF" w:rsidRDefault="00C33029" w:rsidP="008553F4">
      <w:pPr>
        <w:pStyle w:val="FootnoteText"/>
        <w:spacing w:line="276" w:lineRule="auto"/>
        <w:jc w:val="both"/>
        <w:rPr>
          <w:rFonts w:ascii="Cambria" w:hAnsi="Cambria" w:cs="Times New Roman"/>
          <w:sz w:val="24"/>
          <w:szCs w:val="24"/>
          <w:lang w:val="fr-LU"/>
        </w:rPr>
      </w:pPr>
      <w:proofErr w:type="spellStart"/>
      <w:r w:rsidRPr="002316DF">
        <w:rPr>
          <w:rFonts w:ascii="Cambria" w:hAnsi="Cambria" w:cs="Times New Roman"/>
          <w:sz w:val="24"/>
          <w:szCs w:val="24"/>
          <w:lang w:val="fr-FR"/>
        </w:rPr>
        <w:t>Goldszlagier</w:t>
      </w:r>
      <w:proofErr w:type="spellEnd"/>
      <w:r w:rsidRPr="002316DF">
        <w:rPr>
          <w:rFonts w:ascii="Cambria" w:hAnsi="Cambria" w:cs="Times New Roman"/>
          <w:sz w:val="24"/>
          <w:szCs w:val="24"/>
          <w:lang w:val="fr-FR"/>
        </w:rPr>
        <w:t xml:space="preserve"> Jérôme., ‘L’effet d’ancrage ou l’apport de la psychologie cognitive à l’étude de la décision judiciaire’, Les cahiers de la Justice, (2015), p19.</w:t>
      </w:r>
    </w:p>
    <w:p w14:paraId="18E060C5" w14:textId="77777777" w:rsidR="00C33029" w:rsidRPr="002316DF" w:rsidRDefault="00C33029" w:rsidP="008553F4">
      <w:pPr>
        <w:pStyle w:val="FootnoteText"/>
        <w:spacing w:line="276" w:lineRule="auto"/>
        <w:jc w:val="both"/>
        <w:rPr>
          <w:rStyle w:val="FootnoteReference"/>
          <w:rFonts w:ascii="Cambria" w:hAnsi="Cambria" w:cs="Times New Roman"/>
          <w:sz w:val="24"/>
          <w:szCs w:val="24"/>
          <w:lang w:val="fr-FR"/>
        </w:rPr>
      </w:pPr>
    </w:p>
    <w:p w14:paraId="72ED36DC" w14:textId="77777777" w:rsidR="002316DF" w:rsidRDefault="002316DF" w:rsidP="008553F4">
      <w:pPr>
        <w:pStyle w:val="FootnoteText"/>
        <w:spacing w:line="276" w:lineRule="auto"/>
        <w:jc w:val="both"/>
        <w:rPr>
          <w:rFonts w:ascii="Cambria" w:hAnsi="Cambria" w:cs="Times New Roman"/>
          <w:sz w:val="24"/>
          <w:szCs w:val="24"/>
        </w:rPr>
      </w:pPr>
      <w:proofErr w:type="spellStart"/>
      <w:r w:rsidRPr="002316DF">
        <w:rPr>
          <w:rFonts w:ascii="Cambria" w:hAnsi="Cambria" w:cs="Times New Roman"/>
          <w:sz w:val="24"/>
          <w:szCs w:val="24"/>
        </w:rPr>
        <w:t>Kitchin</w:t>
      </w:r>
      <w:proofErr w:type="spellEnd"/>
      <w:r w:rsidRPr="002316DF">
        <w:rPr>
          <w:rFonts w:ascii="Cambria" w:hAnsi="Cambria" w:cs="Times New Roman"/>
          <w:sz w:val="24"/>
          <w:szCs w:val="24"/>
        </w:rPr>
        <w:t xml:space="preserve"> Rob., ‘thinking critically about researching algorithms’, Information, Communication and Society</w:t>
      </w:r>
      <w:r w:rsidRPr="002316DF">
        <w:rPr>
          <w:rFonts w:ascii="Cambria" w:hAnsi="Cambria" w:cs="Times New Roman"/>
          <w:i/>
          <w:iCs/>
          <w:sz w:val="24"/>
          <w:szCs w:val="24"/>
        </w:rPr>
        <w:t xml:space="preserve">, </w:t>
      </w:r>
      <w:r w:rsidRPr="002316DF">
        <w:rPr>
          <w:rFonts w:ascii="Cambria" w:hAnsi="Cambria" w:cs="Times New Roman"/>
          <w:sz w:val="24"/>
          <w:szCs w:val="24"/>
        </w:rPr>
        <w:t>(2017)</w:t>
      </w:r>
      <w:r w:rsidR="00B27248">
        <w:rPr>
          <w:rFonts w:ascii="Cambria" w:hAnsi="Cambria" w:cs="Times New Roman"/>
          <w:sz w:val="24"/>
          <w:szCs w:val="24"/>
        </w:rPr>
        <w:t>.</w:t>
      </w:r>
    </w:p>
    <w:p w14:paraId="115E9933" w14:textId="77777777" w:rsidR="00B27248" w:rsidRDefault="00B27248" w:rsidP="008553F4">
      <w:pPr>
        <w:pStyle w:val="FootnoteText"/>
        <w:spacing w:line="276" w:lineRule="auto"/>
        <w:jc w:val="both"/>
        <w:rPr>
          <w:rFonts w:ascii="Cambria" w:hAnsi="Cambria" w:cs="Times New Roman"/>
          <w:sz w:val="24"/>
          <w:szCs w:val="24"/>
        </w:rPr>
      </w:pPr>
    </w:p>
    <w:p w14:paraId="7527F5FE" w14:textId="77777777" w:rsidR="00B27248" w:rsidRPr="002316DF" w:rsidRDefault="00B27248" w:rsidP="008553F4">
      <w:pPr>
        <w:pStyle w:val="FootnoteText"/>
        <w:spacing w:line="276" w:lineRule="auto"/>
        <w:jc w:val="both"/>
        <w:rPr>
          <w:rFonts w:ascii="Cambria" w:hAnsi="Cambria" w:cs="Times New Roman"/>
          <w:sz w:val="24"/>
          <w:szCs w:val="24"/>
        </w:rPr>
      </w:pPr>
      <w:proofErr w:type="spellStart"/>
      <w:r w:rsidRPr="002316DF">
        <w:rPr>
          <w:rFonts w:ascii="Cambria" w:hAnsi="Cambria" w:cs="Times New Roman"/>
          <w:sz w:val="24"/>
          <w:szCs w:val="24"/>
        </w:rPr>
        <w:t>Krent</w:t>
      </w:r>
      <w:proofErr w:type="spellEnd"/>
      <w:r w:rsidRPr="002316DF">
        <w:rPr>
          <w:rFonts w:ascii="Cambria" w:hAnsi="Cambria" w:cs="Times New Roman"/>
          <w:sz w:val="24"/>
          <w:szCs w:val="24"/>
        </w:rPr>
        <w:t xml:space="preserve"> </w:t>
      </w:r>
      <w:r w:rsidRPr="002316DF">
        <w:rPr>
          <w:rFonts w:ascii="Cambria" w:hAnsi="Cambria" w:cs="Times New Roman"/>
          <w:sz w:val="24"/>
          <w:szCs w:val="24"/>
          <w:lang w:val="en-GB"/>
        </w:rPr>
        <w:t>Harold</w:t>
      </w:r>
      <w:r w:rsidRPr="002316DF">
        <w:rPr>
          <w:rFonts w:ascii="Cambria" w:hAnsi="Cambria" w:cs="Times New Roman"/>
          <w:sz w:val="24"/>
          <w:szCs w:val="24"/>
        </w:rPr>
        <w:t xml:space="preserve"> J, ‘The private performing the Public: Delimiting delegations to private parties’ (2011), University of Miami Law review, Volume 65, pp507-565, P </w:t>
      </w:r>
      <w:proofErr w:type="gramStart"/>
      <w:r w:rsidRPr="002316DF">
        <w:rPr>
          <w:rFonts w:ascii="Cambria" w:hAnsi="Cambria" w:cs="Times New Roman"/>
          <w:sz w:val="24"/>
          <w:szCs w:val="24"/>
        </w:rPr>
        <w:t>523;</w:t>
      </w:r>
      <w:proofErr w:type="gramEnd"/>
      <w:r w:rsidRPr="002316DF">
        <w:rPr>
          <w:rFonts w:ascii="Cambria" w:hAnsi="Cambria" w:cs="Times New Roman"/>
          <w:sz w:val="24"/>
          <w:szCs w:val="24"/>
        </w:rPr>
        <w:t xml:space="preserve"> </w:t>
      </w:r>
    </w:p>
    <w:p w14:paraId="19150185" w14:textId="77777777" w:rsidR="00B27248" w:rsidRDefault="00B27248" w:rsidP="008553F4">
      <w:pPr>
        <w:pStyle w:val="FootnoteText"/>
        <w:spacing w:line="276" w:lineRule="auto"/>
        <w:jc w:val="both"/>
        <w:rPr>
          <w:rFonts w:ascii="Cambria" w:hAnsi="Cambria" w:cs="Times New Roman"/>
          <w:sz w:val="24"/>
          <w:szCs w:val="24"/>
        </w:rPr>
      </w:pPr>
    </w:p>
    <w:p w14:paraId="55E802B0" w14:textId="77777777" w:rsidR="00B27248" w:rsidRPr="00B27248" w:rsidRDefault="00B27248" w:rsidP="008553F4">
      <w:pPr>
        <w:pStyle w:val="FootnoteText"/>
        <w:spacing w:line="276" w:lineRule="auto"/>
        <w:jc w:val="both"/>
        <w:rPr>
          <w:rFonts w:ascii="Cambria" w:hAnsi="Cambria" w:cs="Times New Roman"/>
          <w:sz w:val="24"/>
          <w:szCs w:val="24"/>
          <w:lang w:val="fr-LU"/>
        </w:rPr>
      </w:pPr>
      <w:r w:rsidRPr="002316DF">
        <w:rPr>
          <w:rFonts w:ascii="Cambria" w:hAnsi="Cambria" w:cs="Times New Roman"/>
          <w:sz w:val="24"/>
          <w:szCs w:val="24"/>
          <w:lang w:val="fr-LU"/>
        </w:rPr>
        <w:t xml:space="preserve">Leroux Olivier, Justice pénale et algorithme, </w:t>
      </w:r>
      <w:r w:rsidRPr="002316DF">
        <w:rPr>
          <w:rFonts w:ascii="Cambria" w:hAnsi="Cambria" w:cs="Times New Roman"/>
          <w:i/>
          <w:iCs/>
          <w:sz w:val="24"/>
          <w:szCs w:val="24"/>
          <w:lang w:val="fr-LU"/>
        </w:rPr>
        <w:t>Le Juge et l’</w:t>
      </w:r>
      <w:proofErr w:type="spellStart"/>
      <w:r w:rsidRPr="002316DF">
        <w:rPr>
          <w:rFonts w:ascii="Cambria" w:hAnsi="Cambria" w:cs="Times New Roman"/>
          <w:i/>
          <w:iCs/>
          <w:sz w:val="24"/>
          <w:szCs w:val="24"/>
          <w:lang w:val="fr-LU"/>
        </w:rPr>
        <w:t>algortithme</w:t>
      </w:r>
      <w:proofErr w:type="spellEnd"/>
      <w:r w:rsidRPr="002316DF">
        <w:rPr>
          <w:rFonts w:ascii="Cambria" w:hAnsi="Cambria" w:cs="Times New Roman"/>
          <w:i/>
          <w:iCs/>
          <w:sz w:val="24"/>
          <w:szCs w:val="24"/>
          <w:lang w:val="fr-LU"/>
        </w:rPr>
        <w:t xml:space="preserve"> : Juges augmentés ou justice diminuée, </w:t>
      </w:r>
      <w:r w:rsidRPr="002316DF">
        <w:rPr>
          <w:rFonts w:ascii="Cambria" w:hAnsi="Cambria" w:cs="Times New Roman"/>
          <w:sz w:val="24"/>
          <w:szCs w:val="24"/>
          <w:lang w:val="fr-LU"/>
        </w:rPr>
        <w:t>(2019), pp55-74, p 58 and p 68.</w:t>
      </w:r>
    </w:p>
    <w:p w14:paraId="40BBFCB1" w14:textId="77777777" w:rsidR="0023179E" w:rsidRPr="00B27248" w:rsidRDefault="0023179E" w:rsidP="008553F4">
      <w:pPr>
        <w:pStyle w:val="FootnoteText"/>
        <w:spacing w:line="276" w:lineRule="auto"/>
        <w:jc w:val="both"/>
        <w:rPr>
          <w:rStyle w:val="FootnoteReference"/>
          <w:rFonts w:ascii="Cambria" w:hAnsi="Cambria" w:cs="Times New Roman"/>
          <w:sz w:val="24"/>
          <w:szCs w:val="24"/>
          <w:lang w:val="fr-FR"/>
        </w:rPr>
      </w:pPr>
    </w:p>
    <w:p w14:paraId="06D9FB94" w14:textId="77777777" w:rsidR="0023179E" w:rsidRPr="002316DF" w:rsidRDefault="0023179E"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Oswald</w:t>
      </w:r>
      <w:r w:rsidR="003C01A7" w:rsidRPr="002316DF">
        <w:rPr>
          <w:rFonts w:ascii="Cambria" w:hAnsi="Cambria" w:cs="Times New Roman"/>
          <w:sz w:val="24"/>
          <w:szCs w:val="24"/>
        </w:rPr>
        <w:t xml:space="preserve"> Marion</w:t>
      </w:r>
      <w:r w:rsidRPr="002316DF">
        <w:rPr>
          <w:rFonts w:ascii="Cambria" w:hAnsi="Cambria" w:cs="Times New Roman"/>
          <w:sz w:val="24"/>
          <w:szCs w:val="24"/>
        </w:rPr>
        <w:t>, Grace</w:t>
      </w:r>
      <w:r w:rsidR="00B45ED8" w:rsidRPr="002316DF">
        <w:rPr>
          <w:rFonts w:ascii="Cambria" w:hAnsi="Cambria" w:cs="Times New Roman"/>
          <w:sz w:val="24"/>
          <w:szCs w:val="24"/>
        </w:rPr>
        <w:t xml:space="preserve"> Jamie</w:t>
      </w:r>
      <w:r w:rsidRPr="002316DF">
        <w:rPr>
          <w:rFonts w:ascii="Cambria" w:hAnsi="Cambria" w:cs="Times New Roman"/>
          <w:sz w:val="24"/>
          <w:szCs w:val="24"/>
        </w:rPr>
        <w:t xml:space="preserve">, </w:t>
      </w:r>
      <w:proofErr w:type="spellStart"/>
      <w:r w:rsidRPr="002316DF">
        <w:rPr>
          <w:rFonts w:ascii="Cambria" w:hAnsi="Cambria" w:cs="Times New Roman"/>
          <w:sz w:val="24"/>
          <w:szCs w:val="24"/>
        </w:rPr>
        <w:t>Urwin</w:t>
      </w:r>
      <w:proofErr w:type="spellEnd"/>
      <w:r w:rsidR="00B45ED8" w:rsidRPr="002316DF">
        <w:rPr>
          <w:rFonts w:ascii="Cambria" w:hAnsi="Cambria" w:cs="Times New Roman"/>
          <w:sz w:val="24"/>
          <w:szCs w:val="24"/>
        </w:rPr>
        <w:t xml:space="preserve"> Sheena</w:t>
      </w:r>
      <w:r w:rsidRPr="002316DF">
        <w:rPr>
          <w:rFonts w:ascii="Cambria" w:hAnsi="Cambria" w:cs="Times New Roman"/>
          <w:sz w:val="24"/>
          <w:szCs w:val="24"/>
        </w:rPr>
        <w:t xml:space="preserve"> &amp; Barnes</w:t>
      </w:r>
      <w:r w:rsidR="00B45ED8" w:rsidRPr="002316DF">
        <w:rPr>
          <w:rFonts w:ascii="Cambria" w:hAnsi="Cambria" w:cs="Times New Roman"/>
          <w:sz w:val="24"/>
          <w:szCs w:val="24"/>
        </w:rPr>
        <w:t xml:space="preserve"> Geoffrey C</w:t>
      </w:r>
      <w:r w:rsidRPr="002316DF">
        <w:rPr>
          <w:rFonts w:ascii="Cambria" w:hAnsi="Cambria" w:cs="Times New Roman"/>
          <w:sz w:val="24"/>
          <w:szCs w:val="24"/>
        </w:rPr>
        <w:t>, Algorithmic risk assessment policing models: lessons from the Durham HART model and ‘Experimental’ proportionality, (2018)</w:t>
      </w:r>
      <w:proofErr w:type="gramStart"/>
      <w:r w:rsidRPr="002316DF">
        <w:rPr>
          <w:rFonts w:ascii="Cambria" w:hAnsi="Cambria" w:cs="Times New Roman"/>
          <w:sz w:val="24"/>
          <w:szCs w:val="24"/>
        </w:rPr>
        <w:t>, ,</w:t>
      </w:r>
      <w:proofErr w:type="gramEnd"/>
      <w:r w:rsidRPr="002316DF">
        <w:rPr>
          <w:rFonts w:ascii="Cambria" w:hAnsi="Cambria" w:cs="Times New Roman"/>
          <w:sz w:val="24"/>
          <w:szCs w:val="24"/>
        </w:rPr>
        <w:t xml:space="preserve"> Information &amp; Communications Technology Law, 27:2, 223-250; </w:t>
      </w:r>
    </w:p>
    <w:p w14:paraId="7395181B" w14:textId="77777777" w:rsidR="00B27248" w:rsidRDefault="00B27248" w:rsidP="008553F4">
      <w:pPr>
        <w:pStyle w:val="FootnoteText"/>
        <w:spacing w:line="276" w:lineRule="auto"/>
        <w:jc w:val="both"/>
        <w:rPr>
          <w:rFonts w:ascii="Cambria" w:hAnsi="Cambria" w:cs="Times New Roman"/>
          <w:sz w:val="24"/>
          <w:szCs w:val="24"/>
        </w:rPr>
      </w:pPr>
    </w:p>
    <w:p w14:paraId="39CABE9E" w14:textId="77777777" w:rsidR="00B27248" w:rsidRPr="002316DF" w:rsidRDefault="00B27248" w:rsidP="008553F4">
      <w:pPr>
        <w:pStyle w:val="FootnoteText"/>
        <w:spacing w:line="276" w:lineRule="auto"/>
        <w:jc w:val="both"/>
        <w:rPr>
          <w:rFonts w:ascii="Cambria" w:hAnsi="Cambria" w:cs="Times New Roman"/>
          <w:sz w:val="24"/>
          <w:szCs w:val="24"/>
        </w:rPr>
      </w:pPr>
      <w:proofErr w:type="spellStart"/>
      <w:r w:rsidRPr="002316DF">
        <w:rPr>
          <w:rFonts w:ascii="Cambria" w:hAnsi="Cambria" w:cs="Times New Roman"/>
          <w:sz w:val="24"/>
          <w:szCs w:val="24"/>
        </w:rPr>
        <w:t>Rhue</w:t>
      </w:r>
      <w:proofErr w:type="spellEnd"/>
      <w:r w:rsidRPr="002316DF">
        <w:rPr>
          <w:rFonts w:ascii="Cambria" w:hAnsi="Cambria" w:cs="Times New Roman"/>
          <w:sz w:val="24"/>
          <w:szCs w:val="24"/>
        </w:rPr>
        <w:t xml:space="preserve"> Lauren, ‘Anchored to Bias: How AI-Human scoring can induce and reduce bias due to the anchoring effect’ (2019) University of Maryland</w:t>
      </w:r>
    </w:p>
    <w:p w14:paraId="31FF8226" w14:textId="77777777" w:rsidR="00C33029" w:rsidRPr="002316DF" w:rsidRDefault="00C33029" w:rsidP="008553F4">
      <w:pPr>
        <w:pStyle w:val="FootnoteText"/>
        <w:spacing w:line="276" w:lineRule="auto"/>
        <w:jc w:val="both"/>
        <w:rPr>
          <w:rFonts w:ascii="Cambria" w:hAnsi="Cambria" w:cs="Times New Roman"/>
          <w:sz w:val="24"/>
          <w:szCs w:val="24"/>
        </w:rPr>
      </w:pPr>
    </w:p>
    <w:p w14:paraId="3230C1F9" w14:textId="77777777" w:rsidR="002316DF" w:rsidRPr="002316DF" w:rsidRDefault="002316DF" w:rsidP="008553F4">
      <w:pPr>
        <w:spacing w:after="0" w:line="276" w:lineRule="auto"/>
        <w:jc w:val="both"/>
        <w:rPr>
          <w:rFonts w:ascii="Cambria" w:hAnsi="Cambria" w:cs="Times New Roman"/>
          <w:sz w:val="24"/>
          <w:szCs w:val="24"/>
        </w:rPr>
      </w:pPr>
      <w:r w:rsidRPr="002316DF">
        <w:rPr>
          <w:rFonts w:ascii="Cambria" w:hAnsi="Cambria" w:cs="Times New Roman"/>
          <w:sz w:val="24"/>
          <w:szCs w:val="24"/>
        </w:rPr>
        <w:t>Spaulding Norman W., ‘Is Human judgement necessary</w:t>
      </w:r>
      <w:proofErr w:type="gramStart"/>
      <w:r w:rsidRPr="002316DF">
        <w:rPr>
          <w:rFonts w:ascii="Cambria" w:hAnsi="Cambria" w:cs="Times New Roman"/>
          <w:sz w:val="24"/>
          <w:szCs w:val="24"/>
        </w:rPr>
        <w:t>? :</w:t>
      </w:r>
      <w:proofErr w:type="gramEnd"/>
      <w:r w:rsidRPr="002316DF">
        <w:rPr>
          <w:rFonts w:ascii="Cambria" w:hAnsi="Cambria" w:cs="Times New Roman"/>
          <w:sz w:val="24"/>
          <w:szCs w:val="24"/>
        </w:rPr>
        <w:t xml:space="preserve"> Artificial Intelligence, Algorithmic governance, and the Law’ (2020), </w:t>
      </w:r>
      <w:r w:rsidRPr="002316DF">
        <w:rPr>
          <w:rFonts w:ascii="Cambria" w:hAnsi="Cambria" w:cs="Times New Roman"/>
          <w:i/>
          <w:sz w:val="24"/>
          <w:szCs w:val="24"/>
        </w:rPr>
        <w:t>The Oxford Handbook of Ethics of AI</w:t>
      </w:r>
      <w:r w:rsidRPr="002316DF">
        <w:rPr>
          <w:rFonts w:ascii="Cambria" w:hAnsi="Cambria" w:cs="Times New Roman"/>
          <w:sz w:val="24"/>
          <w:szCs w:val="24"/>
        </w:rPr>
        <w:t>, pp 375-407, p377.</w:t>
      </w:r>
    </w:p>
    <w:p w14:paraId="138E42F4" w14:textId="77777777" w:rsidR="00715F98" w:rsidRPr="002316DF" w:rsidRDefault="00715F98" w:rsidP="008553F4">
      <w:pPr>
        <w:pStyle w:val="FootnoteText"/>
        <w:spacing w:line="276" w:lineRule="auto"/>
        <w:jc w:val="both"/>
        <w:rPr>
          <w:rFonts w:ascii="Cambria" w:hAnsi="Cambria" w:cs="Times New Roman"/>
          <w:sz w:val="24"/>
          <w:szCs w:val="24"/>
        </w:rPr>
      </w:pPr>
    </w:p>
    <w:p w14:paraId="53AB47C8" w14:textId="77777777" w:rsidR="00C33029" w:rsidRPr="002316DF" w:rsidRDefault="00C33029" w:rsidP="008553F4">
      <w:pPr>
        <w:pStyle w:val="FootnoteText"/>
        <w:spacing w:line="276" w:lineRule="auto"/>
        <w:jc w:val="both"/>
        <w:rPr>
          <w:rFonts w:ascii="Cambria" w:hAnsi="Cambria" w:cs="Times New Roman"/>
          <w:sz w:val="24"/>
          <w:szCs w:val="24"/>
        </w:rPr>
      </w:pPr>
      <w:proofErr w:type="spellStart"/>
      <w:r w:rsidRPr="002316DF">
        <w:rPr>
          <w:rFonts w:ascii="Cambria" w:hAnsi="Cambria" w:cs="Times New Roman"/>
          <w:sz w:val="24"/>
          <w:szCs w:val="24"/>
        </w:rPr>
        <w:t>Stoyanov</w:t>
      </w:r>
      <w:proofErr w:type="spellEnd"/>
      <w:r w:rsidRPr="002316DF">
        <w:rPr>
          <w:rFonts w:ascii="Cambria" w:hAnsi="Cambria" w:cs="Times New Roman"/>
          <w:sz w:val="24"/>
          <w:szCs w:val="24"/>
        </w:rPr>
        <w:t xml:space="preserve"> </w:t>
      </w:r>
      <w:proofErr w:type="spellStart"/>
      <w:r w:rsidRPr="002316DF">
        <w:rPr>
          <w:rFonts w:ascii="Cambria" w:hAnsi="Cambria" w:cs="Times New Roman"/>
          <w:sz w:val="24"/>
          <w:szCs w:val="24"/>
        </w:rPr>
        <w:t>Vladislava</w:t>
      </w:r>
      <w:proofErr w:type="spellEnd"/>
      <w:r w:rsidRPr="002316DF">
        <w:rPr>
          <w:rFonts w:ascii="Cambria" w:hAnsi="Cambria" w:cs="Times New Roman"/>
          <w:sz w:val="24"/>
          <w:szCs w:val="24"/>
        </w:rPr>
        <w:t xml:space="preserve"> ‘Fault, </w:t>
      </w:r>
      <w:proofErr w:type="gramStart"/>
      <w:r w:rsidRPr="002316DF">
        <w:rPr>
          <w:rFonts w:ascii="Cambria" w:hAnsi="Cambria" w:cs="Times New Roman"/>
          <w:sz w:val="24"/>
          <w:szCs w:val="24"/>
        </w:rPr>
        <w:t>Knowledge</w:t>
      </w:r>
      <w:proofErr w:type="gramEnd"/>
      <w:r w:rsidRPr="002316DF">
        <w:rPr>
          <w:rFonts w:ascii="Cambria" w:hAnsi="Cambria" w:cs="Times New Roman"/>
          <w:sz w:val="24"/>
          <w:szCs w:val="24"/>
        </w:rPr>
        <w:t xml:space="preserve"> and Risk within the framework of positive obligations under the European Convention on Human Rights’ (2020), Leiden Journal of International Law, Volume 33 pp601-620, p606</w:t>
      </w:r>
    </w:p>
    <w:p w14:paraId="6CEDA5E3" w14:textId="77777777" w:rsidR="00C33029" w:rsidRPr="002316DF" w:rsidRDefault="00C33029" w:rsidP="008553F4">
      <w:pPr>
        <w:pStyle w:val="FootnoteText"/>
        <w:spacing w:line="276" w:lineRule="auto"/>
        <w:jc w:val="both"/>
        <w:rPr>
          <w:rStyle w:val="FootnoteReference"/>
          <w:rFonts w:ascii="Cambria" w:hAnsi="Cambria" w:cs="Times New Roman"/>
          <w:sz w:val="24"/>
          <w:szCs w:val="24"/>
        </w:rPr>
      </w:pPr>
    </w:p>
    <w:p w14:paraId="7401D452" w14:textId="77777777" w:rsidR="00C33029" w:rsidRPr="002316DF" w:rsidRDefault="00C33029"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 xml:space="preserve">Tversky </w:t>
      </w:r>
      <w:proofErr w:type="gramStart"/>
      <w:r w:rsidRPr="002316DF">
        <w:rPr>
          <w:rFonts w:ascii="Cambria" w:hAnsi="Cambria" w:cs="Times New Roman"/>
          <w:sz w:val="24"/>
          <w:szCs w:val="24"/>
        </w:rPr>
        <w:t>Amos,.</w:t>
      </w:r>
      <w:proofErr w:type="gramEnd"/>
      <w:r w:rsidRPr="002316DF">
        <w:rPr>
          <w:rFonts w:ascii="Cambria" w:hAnsi="Cambria" w:cs="Times New Roman"/>
          <w:sz w:val="24"/>
          <w:szCs w:val="24"/>
        </w:rPr>
        <w:t xml:space="preserve"> Kahneman Daniel, Judgment under Uncertainty: Heuristics and </w:t>
      </w:r>
      <w:proofErr w:type="gramStart"/>
      <w:r w:rsidRPr="002316DF">
        <w:rPr>
          <w:rFonts w:ascii="Cambria" w:hAnsi="Cambria" w:cs="Times New Roman"/>
          <w:sz w:val="24"/>
          <w:szCs w:val="24"/>
        </w:rPr>
        <w:t>Biases ,</w:t>
      </w:r>
      <w:proofErr w:type="gramEnd"/>
      <w:r w:rsidRPr="002316DF">
        <w:rPr>
          <w:rFonts w:ascii="Cambria" w:hAnsi="Cambria" w:cs="Times New Roman"/>
          <w:sz w:val="24"/>
          <w:szCs w:val="24"/>
        </w:rPr>
        <w:t xml:space="preserve"> Science, 1974, 185, pp. 1124-1131 ; </w:t>
      </w:r>
    </w:p>
    <w:p w14:paraId="053B4C7F" w14:textId="77777777" w:rsidR="00C33029" w:rsidRPr="002316DF" w:rsidRDefault="00C33029" w:rsidP="008553F4">
      <w:pPr>
        <w:pStyle w:val="FootnoteText"/>
        <w:spacing w:line="276" w:lineRule="auto"/>
        <w:jc w:val="both"/>
        <w:rPr>
          <w:rFonts w:ascii="Cambria" w:hAnsi="Cambria" w:cs="Times New Roman"/>
          <w:sz w:val="24"/>
          <w:szCs w:val="24"/>
        </w:rPr>
      </w:pPr>
    </w:p>
    <w:p w14:paraId="4EF25D9B" w14:textId="77777777" w:rsidR="00C33029" w:rsidRPr="002316DF" w:rsidRDefault="00C33029"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 xml:space="preserve">Tversky Amos, Kahneman </w:t>
      </w:r>
      <w:proofErr w:type="gramStart"/>
      <w:r w:rsidRPr="002316DF">
        <w:rPr>
          <w:rFonts w:ascii="Cambria" w:hAnsi="Cambria" w:cs="Times New Roman"/>
          <w:sz w:val="24"/>
          <w:szCs w:val="24"/>
        </w:rPr>
        <w:t>Daniel,.,</w:t>
      </w:r>
      <w:proofErr w:type="gramEnd"/>
      <w:r w:rsidRPr="002316DF">
        <w:rPr>
          <w:rFonts w:ascii="Cambria" w:hAnsi="Cambria" w:cs="Times New Roman"/>
          <w:sz w:val="24"/>
          <w:szCs w:val="24"/>
        </w:rPr>
        <w:t xml:space="preserve"> « Subjective probability: A judgment of representativeness », Cognitive Psychology, 1972, 3, pp. 430- 454 ; « On the psychology of prediction », Psychological Review, 1973, 80, pp. 237-251.</w:t>
      </w:r>
    </w:p>
    <w:p w14:paraId="42FDE95C" w14:textId="77777777" w:rsidR="002316DF" w:rsidRDefault="002316DF" w:rsidP="008553F4">
      <w:pPr>
        <w:pStyle w:val="FootnoteText"/>
        <w:spacing w:line="276" w:lineRule="auto"/>
        <w:jc w:val="both"/>
        <w:rPr>
          <w:rFonts w:ascii="Cambria" w:hAnsi="Cambria" w:cs="Times New Roman"/>
          <w:sz w:val="24"/>
          <w:szCs w:val="24"/>
        </w:rPr>
      </w:pPr>
    </w:p>
    <w:p w14:paraId="21EE5766" w14:textId="77777777" w:rsidR="002316DF" w:rsidRPr="002316DF" w:rsidRDefault="002316DF" w:rsidP="008553F4">
      <w:pPr>
        <w:pStyle w:val="FootnoteText"/>
        <w:spacing w:line="276" w:lineRule="auto"/>
        <w:jc w:val="both"/>
        <w:rPr>
          <w:rFonts w:ascii="Cambria" w:hAnsi="Cambria" w:cs="Times New Roman"/>
          <w:sz w:val="24"/>
          <w:szCs w:val="24"/>
        </w:rPr>
      </w:pPr>
      <w:proofErr w:type="spellStart"/>
      <w:r w:rsidRPr="002316DF">
        <w:rPr>
          <w:rFonts w:ascii="Cambria" w:hAnsi="Cambria" w:cs="Times New Roman"/>
          <w:sz w:val="24"/>
          <w:szCs w:val="24"/>
        </w:rPr>
        <w:t>Wesslen</w:t>
      </w:r>
      <w:proofErr w:type="spellEnd"/>
      <w:r w:rsidRPr="002316DF">
        <w:rPr>
          <w:rFonts w:ascii="Cambria" w:hAnsi="Cambria" w:cs="Times New Roman"/>
          <w:sz w:val="24"/>
          <w:szCs w:val="24"/>
        </w:rPr>
        <w:t xml:space="preserve"> Ryan, Santhanam </w:t>
      </w:r>
      <w:proofErr w:type="spellStart"/>
      <w:proofErr w:type="gramStart"/>
      <w:r w:rsidRPr="002316DF">
        <w:rPr>
          <w:rFonts w:ascii="Cambria" w:hAnsi="Cambria" w:cs="Times New Roman"/>
          <w:sz w:val="24"/>
          <w:szCs w:val="24"/>
        </w:rPr>
        <w:t>Sashhank</w:t>
      </w:r>
      <w:proofErr w:type="spellEnd"/>
      <w:r w:rsidRPr="002316DF">
        <w:rPr>
          <w:rFonts w:ascii="Cambria" w:hAnsi="Cambria" w:cs="Times New Roman"/>
          <w:sz w:val="24"/>
          <w:szCs w:val="24"/>
        </w:rPr>
        <w:t xml:space="preserve"> ,</w:t>
      </w:r>
      <w:proofErr w:type="gramEnd"/>
      <w:r w:rsidRPr="002316DF">
        <w:rPr>
          <w:rFonts w:ascii="Cambria" w:hAnsi="Cambria" w:cs="Times New Roman"/>
          <w:sz w:val="24"/>
          <w:szCs w:val="24"/>
        </w:rPr>
        <w:t xml:space="preserve"> </w:t>
      </w:r>
      <w:proofErr w:type="spellStart"/>
      <w:r w:rsidRPr="002316DF">
        <w:rPr>
          <w:rFonts w:ascii="Cambria" w:hAnsi="Cambria" w:cs="Times New Roman"/>
          <w:sz w:val="24"/>
          <w:szCs w:val="24"/>
        </w:rPr>
        <w:t>Karduni</w:t>
      </w:r>
      <w:proofErr w:type="spellEnd"/>
      <w:r w:rsidRPr="002316DF">
        <w:rPr>
          <w:rFonts w:ascii="Cambria" w:hAnsi="Cambria" w:cs="Times New Roman"/>
          <w:sz w:val="24"/>
          <w:szCs w:val="24"/>
        </w:rPr>
        <w:t xml:space="preserve"> </w:t>
      </w:r>
      <w:proofErr w:type="spellStart"/>
      <w:r w:rsidRPr="002316DF">
        <w:rPr>
          <w:rFonts w:ascii="Cambria" w:hAnsi="Cambria" w:cs="Times New Roman"/>
          <w:sz w:val="24"/>
          <w:szCs w:val="24"/>
        </w:rPr>
        <w:t>Alizera</w:t>
      </w:r>
      <w:proofErr w:type="spellEnd"/>
      <w:r w:rsidRPr="002316DF">
        <w:rPr>
          <w:rFonts w:ascii="Cambria" w:hAnsi="Cambria" w:cs="Times New Roman"/>
          <w:sz w:val="24"/>
          <w:szCs w:val="24"/>
        </w:rPr>
        <w:t xml:space="preserve">, Cho Isaac, Shaikh </w:t>
      </w:r>
      <w:proofErr w:type="spellStart"/>
      <w:r w:rsidRPr="002316DF">
        <w:rPr>
          <w:rFonts w:ascii="Cambria" w:hAnsi="Cambria" w:cs="Times New Roman"/>
          <w:sz w:val="24"/>
          <w:szCs w:val="24"/>
        </w:rPr>
        <w:t>Shaikh</w:t>
      </w:r>
      <w:proofErr w:type="spellEnd"/>
      <w:r w:rsidRPr="002316DF">
        <w:rPr>
          <w:rFonts w:ascii="Cambria" w:hAnsi="Cambria" w:cs="Times New Roman"/>
          <w:sz w:val="24"/>
          <w:szCs w:val="24"/>
        </w:rPr>
        <w:t xml:space="preserve">, Dou </w:t>
      </w:r>
      <w:proofErr w:type="spellStart"/>
      <w:r w:rsidRPr="002316DF">
        <w:rPr>
          <w:rFonts w:ascii="Cambria" w:hAnsi="Cambria" w:cs="Times New Roman"/>
          <w:sz w:val="24"/>
          <w:szCs w:val="24"/>
        </w:rPr>
        <w:t>Wenwen</w:t>
      </w:r>
      <w:proofErr w:type="spellEnd"/>
      <w:r w:rsidRPr="002316DF">
        <w:rPr>
          <w:rFonts w:ascii="Cambria" w:hAnsi="Cambria" w:cs="Times New Roman"/>
          <w:sz w:val="24"/>
          <w:szCs w:val="24"/>
        </w:rPr>
        <w:t>, ‘Anchored in a Data Storm; How Anchoring Bias can affect user strategy, confidence, and decisions in visual analytics’ (2018), University of North Carolina, p2.</w:t>
      </w:r>
    </w:p>
    <w:p w14:paraId="4F9BA9E3" w14:textId="77777777" w:rsidR="00C33029" w:rsidRPr="002316DF" w:rsidRDefault="00C33029" w:rsidP="008553F4">
      <w:pPr>
        <w:pStyle w:val="FootnoteText"/>
        <w:spacing w:line="276" w:lineRule="auto"/>
        <w:jc w:val="both"/>
        <w:rPr>
          <w:rStyle w:val="FootnoteReference"/>
          <w:rFonts w:ascii="Cambria" w:hAnsi="Cambria" w:cs="Times New Roman"/>
          <w:sz w:val="24"/>
          <w:szCs w:val="24"/>
        </w:rPr>
      </w:pPr>
    </w:p>
    <w:p w14:paraId="21D14E65" w14:textId="77777777" w:rsidR="00715F98" w:rsidRPr="002316DF" w:rsidRDefault="00715F98" w:rsidP="008553F4">
      <w:pPr>
        <w:pStyle w:val="FootnoteText"/>
        <w:spacing w:line="276" w:lineRule="auto"/>
        <w:jc w:val="both"/>
        <w:rPr>
          <w:rFonts w:ascii="Cambria" w:hAnsi="Cambria" w:cs="Times New Roman"/>
          <w:sz w:val="24"/>
          <w:szCs w:val="24"/>
        </w:rPr>
      </w:pPr>
      <w:proofErr w:type="spellStart"/>
      <w:r w:rsidRPr="002316DF">
        <w:rPr>
          <w:rFonts w:ascii="Cambria" w:hAnsi="Cambria" w:cs="Times New Roman"/>
          <w:sz w:val="24"/>
          <w:szCs w:val="24"/>
        </w:rPr>
        <w:t>Wildhaber</w:t>
      </w:r>
      <w:proofErr w:type="spellEnd"/>
      <w:r w:rsidRPr="002316DF">
        <w:rPr>
          <w:rFonts w:ascii="Cambria" w:hAnsi="Cambria" w:cs="Times New Roman"/>
          <w:sz w:val="24"/>
          <w:szCs w:val="24"/>
        </w:rPr>
        <w:t xml:space="preserve"> </w:t>
      </w:r>
      <w:proofErr w:type="spellStart"/>
      <w:r w:rsidRPr="002316DF">
        <w:rPr>
          <w:rFonts w:ascii="Cambria" w:hAnsi="Cambria" w:cs="Times New Roman"/>
          <w:sz w:val="24"/>
          <w:szCs w:val="24"/>
        </w:rPr>
        <w:t>Luzius</w:t>
      </w:r>
      <w:proofErr w:type="spellEnd"/>
      <w:r w:rsidRPr="002316DF">
        <w:rPr>
          <w:rFonts w:ascii="Cambria" w:hAnsi="Cambria" w:cs="Times New Roman"/>
          <w:sz w:val="24"/>
          <w:szCs w:val="24"/>
        </w:rPr>
        <w:t xml:space="preserve">, ‘The European Court of Human Rights in Action’ (2004) </w:t>
      </w:r>
      <w:proofErr w:type="spellStart"/>
      <w:r w:rsidRPr="002316DF">
        <w:rPr>
          <w:rFonts w:ascii="Cambria" w:hAnsi="Cambria" w:cs="Times New Roman"/>
          <w:sz w:val="24"/>
          <w:szCs w:val="24"/>
        </w:rPr>
        <w:t>Ritsumeikan</w:t>
      </w:r>
      <w:proofErr w:type="spellEnd"/>
      <w:r w:rsidRPr="002316DF">
        <w:rPr>
          <w:rFonts w:ascii="Cambria" w:hAnsi="Cambria" w:cs="Times New Roman"/>
          <w:sz w:val="24"/>
          <w:szCs w:val="24"/>
        </w:rPr>
        <w:t xml:space="preserve"> Law Review pp83- 92, p84</w:t>
      </w:r>
    </w:p>
    <w:p w14:paraId="75B945DD" w14:textId="77777777" w:rsidR="00E94148" w:rsidRPr="002316DF" w:rsidRDefault="00E94148" w:rsidP="008553F4">
      <w:pPr>
        <w:pStyle w:val="FootnoteText"/>
        <w:spacing w:line="276" w:lineRule="auto"/>
        <w:jc w:val="both"/>
        <w:rPr>
          <w:rStyle w:val="FootnoteReference"/>
          <w:rFonts w:ascii="Cambria" w:hAnsi="Cambria" w:cs="Times New Roman"/>
          <w:sz w:val="24"/>
          <w:szCs w:val="24"/>
        </w:rPr>
      </w:pPr>
    </w:p>
    <w:p w14:paraId="5FBA32EF" w14:textId="77777777" w:rsidR="00E94148" w:rsidRPr="002316DF" w:rsidRDefault="00E94148"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 xml:space="preserve">Yeung Karen, ‘Algorithmic regulation: a critical interrogation’ (2018), Centre for technology, ethics, Law &amp; society (TELOS), The </w:t>
      </w:r>
      <w:proofErr w:type="spellStart"/>
      <w:r w:rsidRPr="002316DF">
        <w:rPr>
          <w:rFonts w:ascii="Cambria" w:hAnsi="Cambria" w:cs="Times New Roman"/>
          <w:sz w:val="24"/>
          <w:szCs w:val="24"/>
        </w:rPr>
        <w:t>dickson</w:t>
      </w:r>
      <w:proofErr w:type="spellEnd"/>
      <w:r w:rsidRPr="002316DF">
        <w:rPr>
          <w:rFonts w:ascii="Cambria" w:hAnsi="Cambria" w:cs="Times New Roman"/>
          <w:sz w:val="24"/>
          <w:szCs w:val="24"/>
        </w:rPr>
        <w:t xml:space="preserve"> Poon School of Law, King’s college London, pp502-523, p516.</w:t>
      </w:r>
    </w:p>
    <w:p w14:paraId="0540DA36" w14:textId="77777777" w:rsidR="00DE4880" w:rsidRPr="002316DF" w:rsidRDefault="00DE4880" w:rsidP="008553F4">
      <w:pPr>
        <w:pStyle w:val="FootnoteText"/>
        <w:spacing w:line="276" w:lineRule="auto"/>
        <w:jc w:val="both"/>
        <w:rPr>
          <w:rFonts w:ascii="Cambria" w:hAnsi="Cambria" w:cs="Times New Roman"/>
          <w:sz w:val="24"/>
          <w:szCs w:val="24"/>
        </w:rPr>
      </w:pPr>
    </w:p>
    <w:p w14:paraId="240005DD" w14:textId="77777777" w:rsidR="00DE4880" w:rsidRPr="002316DF" w:rsidRDefault="00DE4880"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 xml:space="preserve">Yeung </w:t>
      </w:r>
      <w:proofErr w:type="gramStart"/>
      <w:r w:rsidRPr="002316DF">
        <w:rPr>
          <w:rFonts w:ascii="Cambria" w:hAnsi="Cambria" w:cs="Times New Roman"/>
          <w:sz w:val="24"/>
          <w:szCs w:val="24"/>
        </w:rPr>
        <w:t>Karen ,</w:t>
      </w:r>
      <w:proofErr w:type="gramEnd"/>
      <w:r w:rsidRPr="002316DF">
        <w:rPr>
          <w:rFonts w:ascii="Cambria" w:hAnsi="Cambria" w:cs="Times New Roman"/>
          <w:sz w:val="24"/>
          <w:szCs w:val="24"/>
        </w:rPr>
        <w:t xml:space="preserve"> Andrew Howes, and </w:t>
      </w:r>
      <w:proofErr w:type="spellStart"/>
      <w:r w:rsidRPr="002316DF">
        <w:rPr>
          <w:rFonts w:ascii="Cambria" w:hAnsi="Cambria" w:cs="Times New Roman"/>
          <w:sz w:val="24"/>
          <w:szCs w:val="24"/>
        </w:rPr>
        <w:t>Ganna</w:t>
      </w:r>
      <w:proofErr w:type="spellEnd"/>
      <w:r w:rsidRPr="002316DF">
        <w:rPr>
          <w:rFonts w:ascii="Cambria" w:hAnsi="Cambria" w:cs="Times New Roman"/>
          <w:sz w:val="24"/>
          <w:szCs w:val="24"/>
        </w:rPr>
        <w:t xml:space="preserve"> </w:t>
      </w:r>
      <w:proofErr w:type="spellStart"/>
      <w:r w:rsidRPr="002316DF">
        <w:rPr>
          <w:rFonts w:ascii="Cambria" w:hAnsi="Cambria" w:cs="Times New Roman"/>
          <w:sz w:val="24"/>
          <w:szCs w:val="24"/>
        </w:rPr>
        <w:t>Pogrebna</w:t>
      </w:r>
      <w:proofErr w:type="spellEnd"/>
      <w:r w:rsidRPr="002316DF">
        <w:rPr>
          <w:rFonts w:ascii="Cambria" w:hAnsi="Cambria" w:cs="Times New Roman"/>
          <w:sz w:val="24"/>
          <w:szCs w:val="24"/>
        </w:rPr>
        <w:t>, AI governance by Human rights centered design, deliberation and oversight: An end to Ethics washing, pp77-108</w:t>
      </w:r>
    </w:p>
    <w:p w14:paraId="2FEDA443" w14:textId="77777777" w:rsidR="00DE4880" w:rsidRPr="002316DF" w:rsidRDefault="00DE4880" w:rsidP="008553F4">
      <w:pPr>
        <w:pStyle w:val="FootnoteText"/>
        <w:spacing w:line="276" w:lineRule="auto"/>
        <w:jc w:val="both"/>
        <w:rPr>
          <w:rStyle w:val="FootnoteReference"/>
          <w:rFonts w:ascii="Cambria" w:hAnsi="Cambria" w:cs="Times New Roman"/>
          <w:sz w:val="24"/>
          <w:szCs w:val="24"/>
        </w:rPr>
      </w:pPr>
    </w:p>
    <w:p w14:paraId="4AC361ED" w14:textId="77777777" w:rsidR="00DE4880" w:rsidRPr="002316DF" w:rsidRDefault="00DE4880" w:rsidP="008553F4">
      <w:pPr>
        <w:pStyle w:val="FootnoteText"/>
        <w:spacing w:line="276" w:lineRule="auto"/>
        <w:jc w:val="both"/>
        <w:rPr>
          <w:rFonts w:ascii="Cambria" w:hAnsi="Cambria" w:cs="Times New Roman"/>
          <w:sz w:val="24"/>
          <w:szCs w:val="24"/>
        </w:rPr>
      </w:pPr>
      <w:proofErr w:type="spellStart"/>
      <w:r w:rsidRPr="002316DF">
        <w:rPr>
          <w:rFonts w:ascii="Cambria" w:hAnsi="Cambria" w:cs="Times New Roman"/>
          <w:sz w:val="24"/>
          <w:szCs w:val="24"/>
        </w:rPr>
        <w:lastRenderedPageBreak/>
        <w:t>Završnik</w:t>
      </w:r>
      <w:proofErr w:type="spellEnd"/>
      <w:r w:rsidRPr="002316DF">
        <w:rPr>
          <w:rFonts w:ascii="Cambria" w:hAnsi="Cambria" w:cs="Times New Roman"/>
          <w:sz w:val="24"/>
          <w:szCs w:val="24"/>
        </w:rPr>
        <w:t xml:space="preserve"> </w:t>
      </w:r>
      <w:proofErr w:type="spellStart"/>
      <w:r w:rsidRPr="002316DF">
        <w:rPr>
          <w:rFonts w:ascii="Cambria" w:hAnsi="Cambria" w:cs="Times New Roman"/>
          <w:sz w:val="24"/>
          <w:szCs w:val="24"/>
        </w:rPr>
        <w:t>Aleš</w:t>
      </w:r>
      <w:proofErr w:type="spellEnd"/>
      <w:r w:rsidRPr="002316DF">
        <w:rPr>
          <w:rFonts w:ascii="Cambria" w:hAnsi="Cambria" w:cs="Times New Roman"/>
          <w:sz w:val="24"/>
          <w:szCs w:val="24"/>
        </w:rPr>
        <w:t>, Criminal Justice, Artificial intelligence systems, and human rights, Academy of European Law, (2020), pp567-583.</w:t>
      </w:r>
    </w:p>
    <w:p w14:paraId="449094CB" w14:textId="77777777" w:rsidR="00DE4880" w:rsidRPr="002316DF" w:rsidRDefault="00DE4880" w:rsidP="008553F4">
      <w:pPr>
        <w:pStyle w:val="FootnoteText"/>
        <w:spacing w:line="276" w:lineRule="auto"/>
        <w:jc w:val="both"/>
        <w:rPr>
          <w:rStyle w:val="FootnoteReference"/>
          <w:rFonts w:ascii="Cambria" w:hAnsi="Cambria" w:cs="Times New Roman"/>
          <w:sz w:val="24"/>
          <w:szCs w:val="24"/>
        </w:rPr>
      </w:pPr>
    </w:p>
    <w:p w14:paraId="79A90576" w14:textId="77777777" w:rsidR="0023179E" w:rsidRDefault="0023179E" w:rsidP="008553F4">
      <w:pPr>
        <w:pStyle w:val="FootnoteText"/>
        <w:spacing w:line="276" w:lineRule="auto"/>
        <w:jc w:val="both"/>
        <w:rPr>
          <w:rFonts w:ascii="Cambria" w:hAnsi="Cambria" w:cs="Times New Roman"/>
          <w:sz w:val="24"/>
          <w:szCs w:val="24"/>
        </w:rPr>
      </w:pPr>
    </w:p>
    <w:p w14:paraId="64437846" w14:textId="77777777" w:rsidR="00B27248" w:rsidRPr="002316DF" w:rsidRDefault="00B27248" w:rsidP="008553F4">
      <w:pPr>
        <w:pStyle w:val="FootnoteText"/>
        <w:spacing w:line="276" w:lineRule="auto"/>
        <w:jc w:val="both"/>
        <w:rPr>
          <w:rFonts w:ascii="Cambria" w:hAnsi="Cambria" w:cs="Times New Roman"/>
          <w:sz w:val="24"/>
          <w:szCs w:val="24"/>
        </w:rPr>
      </w:pPr>
    </w:p>
    <w:p w14:paraId="0B6A11BD" w14:textId="77777777" w:rsidR="00F67040" w:rsidRPr="002316DF" w:rsidRDefault="00F67040" w:rsidP="008553F4">
      <w:pPr>
        <w:pStyle w:val="FootnoteText"/>
        <w:spacing w:line="276" w:lineRule="auto"/>
        <w:jc w:val="both"/>
        <w:rPr>
          <w:rFonts w:ascii="Cambria" w:hAnsi="Cambria" w:cs="Times New Roman"/>
          <w:sz w:val="24"/>
          <w:szCs w:val="24"/>
        </w:rPr>
      </w:pPr>
    </w:p>
    <w:p w14:paraId="7F37403F" w14:textId="77777777" w:rsidR="003C01A7" w:rsidRPr="002316DF" w:rsidRDefault="003C01A7" w:rsidP="008553F4">
      <w:pPr>
        <w:pStyle w:val="FootnoteText"/>
        <w:spacing w:line="276" w:lineRule="auto"/>
        <w:jc w:val="both"/>
        <w:rPr>
          <w:rFonts w:ascii="Cambria" w:hAnsi="Cambria" w:cs="Times New Roman"/>
          <w:sz w:val="24"/>
          <w:szCs w:val="24"/>
        </w:rPr>
      </w:pPr>
    </w:p>
    <w:p w14:paraId="05A8A0C2" w14:textId="77777777" w:rsidR="003C01A7" w:rsidRPr="002316DF" w:rsidRDefault="003C01A7"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BOOKS</w:t>
      </w:r>
    </w:p>
    <w:p w14:paraId="312BED4C" w14:textId="77777777" w:rsidR="00E94148" w:rsidRPr="002316DF" w:rsidRDefault="00E94148" w:rsidP="008553F4">
      <w:pPr>
        <w:pStyle w:val="FootnoteText"/>
        <w:spacing w:line="276" w:lineRule="auto"/>
        <w:jc w:val="both"/>
        <w:rPr>
          <w:rFonts w:ascii="Cambria" w:hAnsi="Cambria" w:cs="Times New Roman"/>
          <w:sz w:val="24"/>
          <w:szCs w:val="24"/>
        </w:rPr>
      </w:pPr>
    </w:p>
    <w:p w14:paraId="7D3B46A3" w14:textId="77777777" w:rsidR="00E94148" w:rsidRPr="002316DF" w:rsidRDefault="00E94148"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 xml:space="preserve">Ashworth Emmerson </w:t>
      </w:r>
      <w:proofErr w:type="spellStart"/>
      <w:proofErr w:type="gramStart"/>
      <w:r w:rsidRPr="002316DF">
        <w:rPr>
          <w:rFonts w:ascii="Cambria" w:hAnsi="Cambria" w:cs="Times New Roman"/>
          <w:sz w:val="24"/>
          <w:szCs w:val="24"/>
        </w:rPr>
        <w:t>B,Macdonald</w:t>
      </w:r>
      <w:proofErr w:type="spellEnd"/>
      <w:proofErr w:type="gramEnd"/>
      <w:r w:rsidRPr="002316DF">
        <w:rPr>
          <w:rFonts w:ascii="Cambria" w:hAnsi="Cambria" w:cs="Times New Roman"/>
          <w:sz w:val="24"/>
          <w:szCs w:val="24"/>
        </w:rPr>
        <w:t>,  Emmerson Ben, ‘Human Rights and Criminal Justice’ (2012), 3</w:t>
      </w:r>
      <w:r w:rsidRPr="002316DF">
        <w:rPr>
          <w:rFonts w:ascii="Cambria" w:hAnsi="Cambria" w:cs="Times New Roman"/>
          <w:sz w:val="24"/>
          <w:szCs w:val="24"/>
          <w:vertAlign w:val="superscript"/>
        </w:rPr>
        <w:t>rd</w:t>
      </w:r>
      <w:r w:rsidRPr="002316DF">
        <w:rPr>
          <w:rFonts w:ascii="Cambria" w:hAnsi="Cambria" w:cs="Times New Roman"/>
          <w:sz w:val="24"/>
          <w:szCs w:val="24"/>
        </w:rPr>
        <w:t xml:space="preserve"> Edition, London Sweet and Maxwell.</w:t>
      </w:r>
    </w:p>
    <w:p w14:paraId="6611C6BC" w14:textId="77777777" w:rsidR="00E94148" w:rsidRPr="002316DF" w:rsidRDefault="00E94148" w:rsidP="008553F4">
      <w:pPr>
        <w:pStyle w:val="FootnoteText"/>
        <w:spacing w:line="276" w:lineRule="auto"/>
        <w:jc w:val="both"/>
        <w:rPr>
          <w:rFonts w:ascii="Cambria" w:hAnsi="Cambria" w:cs="Times New Roman"/>
          <w:sz w:val="24"/>
          <w:szCs w:val="24"/>
        </w:rPr>
      </w:pPr>
    </w:p>
    <w:p w14:paraId="53020D50" w14:textId="77777777" w:rsidR="003C01A7" w:rsidRPr="002316DF" w:rsidRDefault="003C01A7" w:rsidP="008553F4">
      <w:pPr>
        <w:pStyle w:val="FootnoteText"/>
        <w:spacing w:line="276" w:lineRule="auto"/>
        <w:jc w:val="both"/>
        <w:rPr>
          <w:rFonts w:ascii="Cambria" w:hAnsi="Cambria" w:cs="Times New Roman"/>
          <w:sz w:val="24"/>
          <w:szCs w:val="24"/>
        </w:rPr>
      </w:pPr>
      <w:proofErr w:type="spellStart"/>
      <w:r w:rsidRPr="002316DF">
        <w:rPr>
          <w:rFonts w:ascii="Cambria" w:hAnsi="Cambria" w:cs="Times New Roman"/>
          <w:sz w:val="24"/>
          <w:szCs w:val="24"/>
        </w:rPr>
        <w:t>Trechse</w:t>
      </w:r>
      <w:r w:rsidR="00FB7AF1" w:rsidRPr="002316DF">
        <w:rPr>
          <w:rFonts w:ascii="Cambria" w:hAnsi="Cambria" w:cs="Times New Roman"/>
          <w:sz w:val="24"/>
          <w:szCs w:val="24"/>
        </w:rPr>
        <w:t>l</w:t>
      </w:r>
      <w:proofErr w:type="spellEnd"/>
      <w:r w:rsidR="00834E8C" w:rsidRPr="002316DF">
        <w:rPr>
          <w:rFonts w:ascii="Cambria" w:hAnsi="Cambria" w:cs="Times New Roman"/>
          <w:sz w:val="24"/>
          <w:szCs w:val="24"/>
        </w:rPr>
        <w:t xml:space="preserve"> Stefan</w:t>
      </w:r>
      <w:r w:rsidRPr="002316DF">
        <w:rPr>
          <w:rFonts w:ascii="Cambria" w:hAnsi="Cambria" w:cs="Times New Roman"/>
          <w:sz w:val="24"/>
          <w:szCs w:val="24"/>
        </w:rPr>
        <w:t>, “Human Rights in Criminal Proceedings”, (2005), Academy of European Law, European University Institute, Oxford University Press.</w:t>
      </w:r>
    </w:p>
    <w:p w14:paraId="10C588F0" w14:textId="77777777" w:rsidR="00F67040" w:rsidRPr="002316DF" w:rsidRDefault="00F67040" w:rsidP="008553F4">
      <w:pPr>
        <w:pStyle w:val="FootnoteText"/>
        <w:spacing w:line="276" w:lineRule="auto"/>
        <w:jc w:val="both"/>
        <w:rPr>
          <w:rFonts w:ascii="Cambria" w:hAnsi="Cambria" w:cs="Times New Roman"/>
          <w:sz w:val="24"/>
          <w:szCs w:val="24"/>
        </w:rPr>
      </w:pPr>
    </w:p>
    <w:p w14:paraId="05230E9F" w14:textId="77777777" w:rsidR="00F67040" w:rsidRPr="002316DF" w:rsidRDefault="00F67040" w:rsidP="008553F4">
      <w:pPr>
        <w:pStyle w:val="FootnoteText"/>
        <w:spacing w:line="276" w:lineRule="auto"/>
        <w:jc w:val="both"/>
        <w:rPr>
          <w:rFonts w:ascii="Cambria" w:hAnsi="Cambria" w:cs="Times New Roman"/>
          <w:sz w:val="24"/>
          <w:szCs w:val="24"/>
        </w:rPr>
      </w:pPr>
    </w:p>
    <w:p w14:paraId="2CF49C6A" w14:textId="77777777" w:rsidR="00FB7AF1" w:rsidRPr="002316DF" w:rsidRDefault="00FB7AF1"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CASE-LAW</w:t>
      </w:r>
    </w:p>
    <w:p w14:paraId="3F216041" w14:textId="77777777" w:rsidR="00FB7AF1" w:rsidRPr="002316DF" w:rsidRDefault="00FB7AF1"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ab/>
        <w:t>ECtHR</w:t>
      </w:r>
    </w:p>
    <w:p w14:paraId="7E767DF8" w14:textId="77777777" w:rsidR="00DE4880" w:rsidRPr="002316DF" w:rsidRDefault="00DE4880" w:rsidP="008553F4">
      <w:pPr>
        <w:pStyle w:val="FootnoteText"/>
        <w:spacing w:line="276" w:lineRule="auto"/>
        <w:jc w:val="both"/>
        <w:rPr>
          <w:rFonts w:ascii="Cambria" w:hAnsi="Cambria" w:cs="Times New Roman"/>
          <w:sz w:val="24"/>
          <w:szCs w:val="24"/>
        </w:rPr>
      </w:pPr>
      <w:r w:rsidRPr="002316DF">
        <w:rPr>
          <w:rFonts w:ascii="Cambria" w:hAnsi="Cambria" w:cs="Times New Roman"/>
          <w:i/>
          <w:sz w:val="24"/>
          <w:szCs w:val="24"/>
        </w:rPr>
        <w:t>Ireland v United Kingdom</w:t>
      </w:r>
      <w:r w:rsidRPr="002316DF">
        <w:rPr>
          <w:rFonts w:ascii="Cambria" w:hAnsi="Cambria" w:cs="Times New Roman"/>
          <w:sz w:val="24"/>
          <w:szCs w:val="24"/>
        </w:rPr>
        <w:t>, [1978], ECtHR, No 530/71, para 239.</w:t>
      </w:r>
    </w:p>
    <w:p w14:paraId="22CB8390" w14:textId="77777777" w:rsidR="00DE4880" w:rsidRPr="002316DF" w:rsidRDefault="00DE4880" w:rsidP="008553F4">
      <w:pPr>
        <w:pStyle w:val="FootnoteText"/>
        <w:spacing w:line="276" w:lineRule="auto"/>
        <w:jc w:val="both"/>
        <w:rPr>
          <w:rFonts w:ascii="Cambria" w:hAnsi="Cambria" w:cs="Times New Roman"/>
          <w:sz w:val="24"/>
          <w:szCs w:val="24"/>
        </w:rPr>
      </w:pPr>
    </w:p>
    <w:p w14:paraId="7482F783" w14:textId="77777777" w:rsidR="00FB7AF1" w:rsidRPr="002316DF" w:rsidRDefault="00FB7AF1" w:rsidP="008553F4">
      <w:pPr>
        <w:pStyle w:val="FootnoteText"/>
        <w:spacing w:line="276" w:lineRule="auto"/>
        <w:jc w:val="both"/>
        <w:rPr>
          <w:rFonts w:ascii="Cambria" w:hAnsi="Cambria" w:cs="Times New Roman"/>
          <w:sz w:val="24"/>
          <w:szCs w:val="24"/>
        </w:rPr>
      </w:pPr>
      <w:r w:rsidRPr="002316DF">
        <w:rPr>
          <w:rFonts w:ascii="Cambria" w:hAnsi="Cambria" w:cs="Times New Roman"/>
          <w:i/>
          <w:iCs/>
          <w:sz w:val="24"/>
          <w:szCs w:val="24"/>
        </w:rPr>
        <w:t>Soering v United Kingdom</w:t>
      </w:r>
      <w:r w:rsidRPr="002316DF">
        <w:rPr>
          <w:rFonts w:ascii="Cambria" w:hAnsi="Cambria" w:cs="Times New Roman"/>
          <w:sz w:val="24"/>
          <w:szCs w:val="24"/>
        </w:rPr>
        <w:t>, [1989], ECtHR, No 14038/88</w:t>
      </w:r>
    </w:p>
    <w:p w14:paraId="5F5E5260" w14:textId="77777777" w:rsidR="00F67040" w:rsidRPr="002316DF" w:rsidRDefault="00F67040" w:rsidP="008553F4">
      <w:pPr>
        <w:pStyle w:val="FootnoteText"/>
        <w:spacing w:line="276" w:lineRule="auto"/>
        <w:jc w:val="both"/>
        <w:rPr>
          <w:rFonts w:ascii="Cambria" w:hAnsi="Cambria" w:cs="Times New Roman"/>
          <w:sz w:val="24"/>
          <w:szCs w:val="24"/>
        </w:rPr>
      </w:pPr>
    </w:p>
    <w:p w14:paraId="408B1B65" w14:textId="77777777" w:rsidR="00FA3F05" w:rsidRPr="002316DF" w:rsidRDefault="00FA3F05" w:rsidP="008553F4">
      <w:pPr>
        <w:pStyle w:val="FootnoteText"/>
        <w:spacing w:line="276" w:lineRule="auto"/>
        <w:jc w:val="both"/>
        <w:rPr>
          <w:rFonts w:ascii="Cambria" w:hAnsi="Cambria" w:cs="Times New Roman"/>
          <w:sz w:val="24"/>
          <w:szCs w:val="24"/>
          <w:lang w:val="en-GB"/>
        </w:rPr>
      </w:pPr>
      <w:proofErr w:type="spellStart"/>
      <w:r w:rsidRPr="002316DF">
        <w:rPr>
          <w:rFonts w:ascii="Cambria" w:hAnsi="Cambria" w:cs="Times New Roman"/>
          <w:i/>
          <w:iCs/>
          <w:sz w:val="24"/>
          <w:szCs w:val="24"/>
          <w:lang w:val="en-GB"/>
        </w:rPr>
        <w:t>Craxi</w:t>
      </w:r>
      <w:proofErr w:type="spellEnd"/>
      <w:r w:rsidRPr="002316DF">
        <w:rPr>
          <w:rFonts w:ascii="Cambria" w:hAnsi="Cambria" w:cs="Times New Roman"/>
          <w:i/>
          <w:iCs/>
          <w:sz w:val="24"/>
          <w:szCs w:val="24"/>
          <w:lang w:val="en-GB"/>
        </w:rPr>
        <w:t xml:space="preserve"> v Italy, </w:t>
      </w:r>
      <w:r w:rsidRPr="002316DF">
        <w:rPr>
          <w:rFonts w:ascii="Cambria" w:hAnsi="Cambria" w:cs="Times New Roman"/>
          <w:sz w:val="24"/>
          <w:szCs w:val="24"/>
          <w:lang w:val="en-GB"/>
        </w:rPr>
        <w:t>[2002], ECtHR, 34896/97</w:t>
      </w:r>
      <w:r w:rsidR="00F67040" w:rsidRPr="002316DF">
        <w:rPr>
          <w:rFonts w:ascii="Cambria" w:hAnsi="Cambria" w:cs="Times New Roman"/>
          <w:sz w:val="24"/>
          <w:szCs w:val="24"/>
          <w:lang w:val="en-GB"/>
        </w:rPr>
        <w:t>.</w:t>
      </w:r>
      <w:r w:rsidRPr="002316DF">
        <w:rPr>
          <w:rFonts w:ascii="Cambria" w:hAnsi="Cambria" w:cs="Times New Roman"/>
          <w:sz w:val="24"/>
          <w:szCs w:val="24"/>
          <w:lang w:val="en-GB"/>
        </w:rPr>
        <w:t> </w:t>
      </w:r>
    </w:p>
    <w:p w14:paraId="33A6C876" w14:textId="77777777" w:rsidR="00F67040" w:rsidRPr="002316DF" w:rsidRDefault="00F67040" w:rsidP="008553F4">
      <w:pPr>
        <w:pStyle w:val="FootnoteText"/>
        <w:spacing w:line="276" w:lineRule="auto"/>
        <w:jc w:val="both"/>
        <w:rPr>
          <w:rFonts w:ascii="Cambria" w:hAnsi="Cambria" w:cs="Times New Roman"/>
          <w:i/>
          <w:iCs/>
          <w:sz w:val="24"/>
          <w:szCs w:val="24"/>
          <w:lang w:val="en-GB"/>
        </w:rPr>
      </w:pPr>
    </w:p>
    <w:p w14:paraId="20651762" w14:textId="77777777" w:rsidR="00DE4880" w:rsidRPr="002316DF" w:rsidRDefault="00DE4880" w:rsidP="008553F4">
      <w:pPr>
        <w:pStyle w:val="FootnoteText"/>
        <w:spacing w:line="276" w:lineRule="auto"/>
        <w:jc w:val="both"/>
        <w:rPr>
          <w:rFonts w:ascii="Cambria" w:hAnsi="Cambria" w:cs="Times New Roman"/>
          <w:sz w:val="24"/>
          <w:szCs w:val="24"/>
        </w:rPr>
      </w:pPr>
      <w:proofErr w:type="spellStart"/>
      <w:r w:rsidRPr="002316DF">
        <w:rPr>
          <w:rFonts w:ascii="Cambria" w:hAnsi="Cambria" w:cs="Times New Roman"/>
          <w:i/>
          <w:sz w:val="24"/>
          <w:szCs w:val="24"/>
        </w:rPr>
        <w:t>Assanidze</w:t>
      </w:r>
      <w:proofErr w:type="spellEnd"/>
      <w:r w:rsidRPr="002316DF">
        <w:rPr>
          <w:rFonts w:ascii="Cambria" w:hAnsi="Cambria" w:cs="Times New Roman"/>
          <w:i/>
          <w:sz w:val="24"/>
          <w:szCs w:val="24"/>
        </w:rPr>
        <w:t xml:space="preserve"> v Georgia</w:t>
      </w:r>
      <w:r w:rsidRPr="002316DF">
        <w:rPr>
          <w:rFonts w:ascii="Cambria" w:hAnsi="Cambria" w:cs="Times New Roman"/>
          <w:sz w:val="24"/>
          <w:szCs w:val="24"/>
        </w:rPr>
        <w:t>, [2004], ECtHR, No 71503/01</w:t>
      </w:r>
      <w:r w:rsidR="00F67040" w:rsidRPr="002316DF">
        <w:rPr>
          <w:rFonts w:ascii="Cambria" w:hAnsi="Cambria" w:cs="Times New Roman"/>
          <w:sz w:val="24"/>
          <w:szCs w:val="24"/>
        </w:rPr>
        <w:t>.</w:t>
      </w:r>
    </w:p>
    <w:p w14:paraId="613ECD23" w14:textId="77777777" w:rsidR="00F67040" w:rsidRPr="002316DF" w:rsidRDefault="00F67040" w:rsidP="008553F4">
      <w:pPr>
        <w:pStyle w:val="FootnoteText"/>
        <w:spacing w:line="276" w:lineRule="auto"/>
        <w:jc w:val="both"/>
        <w:rPr>
          <w:rFonts w:ascii="Cambria" w:hAnsi="Cambria" w:cs="Times New Roman"/>
          <w:sz w:val="24"/>
          <w:szCs w:val="24"/>
        </w:rPr>
      </w:pPr>
    </w:p>
    <w:p w14:paraId="41509CF1" w14:textId="77777777" w:rsidR="00516E74" w:rsidRPr="002316DF" w:rsidRDefault="00516E74" w:rsidP="008553F4">
      <w:pPr>
        <w:pStyle w:val="FootnoteText"/>
        <w:spacing w:line="276" w:lineRule="auto"/>
        <w:jc w:val="both"/>
        <w:rPr>
          <w:rFonts w:ascii="Cambria" w:hAnsi="Cambria" w:cs="Times New Roman"/>
          <w:sz w:val="24"/>
          <w:szCs w:val="24"/>
          <w:lang w:val="en-GB"/>
        </w:rPr>
      </w:pPr>
      <w:proofErr w:type="spellStart"/>
      <w:r w:rsidRPr="002316DF">
        <w:rPr>
          <w:rFonts w:ascii="Cambria" w:hAnsi="Cambria" w:cs="Times New Roman"/>
          <w:i/>
          <w:iCs/>
          <w:sz w:val="24"/>
          <w:szCs w:val="24"/>
          <w:lang w:val="en-GB"/>
        </w:rPr>
        <w:t>Agrokomplex</w:t>
      </w:r>
      <w:proofErr w:type="spellEnd"/>
      <w:r w:rsidRPr="002316DF">
        <w:rPr>
          <w:rFonts w:ascii="Cambria" w:hAnsi="Cambria" w:cs="Times New Roman"/>
          <w:i/>
          <w:iCs/>
          <w:sz w:val="24"/>
          <w:szCs w:val="24"/>
          <w:lang w:val="en-GB"/>
        </w:rPr>
        <w:t xml:space="preserve"> v Ukraine, </w:t>
      </w:r>
      <w:r w:rsidRPr="002316DF">
        <w:rPr>
          <w:rFonts w:ascii="Cambria" w:hAnsi="Cambria" w:cs="Times New Roman"/>
          <w:sz w:val="24"/>
          <w:szCs w:val="24"/>
          <w:lang w:val="en-GB"/>
        </w:rPr>
        <w:t>[2011], ECtHR, 23465/03</w:t>
      </w:r>
      <w:r w:rsidR="00F67040" w:rsidRPr="002316DF">
        <w:rPr>
          <w:rFonts w:ascii="Cambria" w:hAnsi="Cambria" w:cs="Times New Roman"/>
          <w:sz w:val="24"/>
          <w:szCs w:val="24"/>
          <w:lang w:val="en-GB"/>
        </w:rPr>
        <w:t>.</w:t>
      </w:r>
    </w:p>
    <w:p w14:paraId="4CA1B29A" w14:textId="77777777" w:rsidR="00F67040" w:rsidRPr="002316DF" w:rsidRDefault="00F67040" w:rsidP="008553F4">
      <w:pPr>
        <w:pStyle w:val="FootnoteText"/>
        <w:spacing w:line="276" w:lineRule="auto"/>
        <w:jc w:val="both"/>
        <w:rPr>
          <w:rFonts w:ascii="Cambria" w:hAnsi="Cambria" w:cs="Times New Roman"/>
          <w:sz w:val="24"/>
          <w:szCs w:val="24"/>
          <w:lang w:val="en-GB"/>
        </w:rPr>
      </w:pPr>
    </w:p>
    <w:p w14:paraId="724D8ABE" w14:textId="77777777" w:rsidR="00516E74" w:rsidRPr="002316DF" w:rsidRDefault="00516E74" w:rsidP="008553F4">
      <w:pPr>
        <w:pStyle w:val="FootnoteText"/>
        <w:spacing w:line="276" w:lineRule="auto"/>
        <w:jc w:val="both"/>
        <w:rPr>
          <w:rFonts w:ascii="Cambria" w:hAnsi="Cambria" w:cs="Times New Roman"/>
          <w:sz w:val="24"/>
          <w:szCs w:val="24"/>
        </w:rPr>
      </w:pPr>
      <w:r w:rsidRPr="002316DF">
        <w:rPr>
          <w:rFonts w:ascii="Cambria" w:hAnsi="Cambria" w:cs="Times New Roman"/>
          <w:i/>
          <w:iCs/>
          <w:sz w:val="24"/>
          <w:szCs w:val="24"/>
        </w:rPr>
        <w:t>Al-</w:t>
      </w:r>
      <w:proofErr w:type="spellStart"/>
      <w:r w:rsidRPr="002316DF">
        <w:rPr>
          <w:rFonts w:ascii="Cambria" w:hAnsi="Cambria" w:cs="Times New Roman"/>
          <w:i/>
          <w:iCs/>
          <w:sz w:val="24"/>
          <w:szCs w:val="24"/>
        </w:rPr>
        <w:t>Skeini</w:t>
      </w:r>
      <w:proofErr w:type="spellEnd"/>
      <w:r w:rsidRPr="002316DF">
        <w:rPr>
          <w:rFonts w:ascii="Cambria" w:hAnsi="Cambria" w:cs="Times New Roman"/>
          <w:i/>
          <w:iCs/>
          <w:sz w:val="24"/>
          <w:szCs w:val="24"/>
        </w:rPr>
        <w:t xml:space="preserve"> and Others v United Kingdom</w:t>
      </w:r>
      <w:r w:rsidRPr="002316DF">
        <w:rPr>
          <w:rFonts w:ascii="Cambria" w:hAnsi="Cambria" w:cs="Times New Roman"/>
          <w:sz w:val="24"/>
          <w:szCs w:val="24"/>
        </w:rPr>
        <w:t>, [2011], ECtHR, No 55721/07</w:t>
      </w:r>
      <w:r w:rsidR="00F67040" w:rsidRPr="002316DF">
        <w:rPr>
          <w:rFonts w:ascii="Cambria" w:hAnsi="Cambria" w:cs="Times New Roman"/>
          <w:sz w:val="24"/>
          <w:szCs w:val="24"/>
        </w:rPr>
        <w:t>.</w:t>
      </w:r>
    </w:p>
    <w:p w14:paraId="23D0A232" w14:textId="77777777" w:rsidR="00F67040" w:rsidRPr="002316DF" w:rsidRDefault="00F67040" w:rsidP="008553F4">
      <w:pPr>
        <w:pStyle w:val="FootnoteText"/>
        <w:spacing w:line="276" w:lineRule="auto"/>
        <w:jc w:val="both"/>
        <w:rPr>
          <w:rFonts w:ascii="Cambria" w:hAnsi="Cambria" w:cs="Times New Roman"/>
          <w:sz w:val="24"/>
          <w:szCs w:val="24"/>
        </w:rPr>
      </w:pPr>
    </w:p>
    <w:p w14:paraId="15EB25B8" w14:textId="77777777" w:rsidR="00FA3F05" w:rsidRPr="00590F16" w:rsidRDefault="00516E74" w:rsidP="008553F4">
      <w:pPr>
        <w:pStyle w:val="FootnoteText"/>
        <w:spacing w:line="276" w:lineRule="auto"/>
        <w:jc w:val="both"/>
        <w:rPr>
          <w:rFonts w:ascii="Cambria" w:hAnsi="Cambria" w:cs="Times New Roman"/>
          <w:sz w:val="24"/>
          <w:szCs w:val="24"/>
        </w:rPr>
      </w:pPr>
      <w:r w:rsidRPr="00590F16">
        <w:rPr>
          <w:rFonts w:ascii="Cambria" w:hAnsi="Cambria" w:cs="Times New Roman"/>
          <w:i/>
          <w:iCs/>
          <w:sz w:val="24"/>
          <w:szCs w:val="24"/>
        </w:rPr>
        <w:t>G.C.P v Romania</w:t>
      </w:r>
      <w:r w:rsidRPr="00590F16">
        <w:rPr>
          <w:rFonts w:ascii="Cambria" w:hAnsi="Cambria" w:cs="Times New Roman"/>
          <w:sz w:val="24"/>
          <w:szCs w:val="24"/>
        </w:rPr>
        <w:t>, [2011], ECtHR</w:t>
      </w:r>
      <w:proofErr w:type="gramStart"/>
      <w:r w:rsidRPr="00590F16">
        <w:rPr>
          <w:rFonts w:ascii="Cambria" w:hAnsi="Cambria" w:cs="Times New Roman"/>
          <w:sz w:val="24"/>
          <w:szCs w:val="24"/>
        </w:rPr>
        <w:t>, ;</w:t>
      </w:r>
      <w:proofErr w:type="gramEnd"/>
      <w:r w:rsidRPr="00590F16">
        <w:rPr>
          <w:rFonts w:ascii="Cambria" w:hAnsi="Cambria" w:cs="Times New Roman"/>
          <w:sz w:val="24"/>
          <w:szCs w:val="24"/>
        </w:rPr>
        <w:t xml:space="preserve"> 20899/03</w:t>
      </w:r>
    </w:p>
    <w:p w14:paraId="7912B73E" w14:textId="77777777" w:rsidR="00F67040" w:rsidRPr="002316DF" w:rsidRDefault="00F67040" w:rsidP="008553F4">
      <w:pPr>
        <w:pStyle w:val="FootnoteText"/>
        <w:spacing w:line="276" w:lineRule="auto"/>
        <w:jc w:val="both"/>
        <w:rPr>
          <w:rFonts w:ascii="Cambria" w:hAnsi="Cambria" w:cs="Times New Roman"/>
          <w:sz w:val="24"/>
          <w:szCs w:val="24"/>
        </w:rPr>
      </w:pPr>
    </w:p>
    <w:p w14:paraId="5E0CB697" w14:textId="77777777" w:rsidR="00F67040" w:rsidRPr="002316DF" w:rsidRDefault="00FA3F05" w:rsidP="008553F4">
      <w:pPr>
        <w:pStyle w:val="FootnoteText"/>
        <w:spacing w:line="276" w:lineRule="auto"/>
        <w:jc w:val="both"/>
        <w:rPr>
          <w:rStyle w:val="FootnoteReference"/>
          <w:rFonts w:ascii="Cambria" w:hAnsi="Cambria" w:cs="Times New Roman"/>
          <w:i/>
          <w:iCs/>
          <w:sz w:val="24"/>
          <w:szCs w:val="24"/>
          <w:vertAlign w:val="baseline"/>
        </w:rPr>
      </w:pPr>
      <w:proofErr w:type="spellStart"/>
      <w:r w:rsidRPr="002316DF">
        <w:rPr>
          <w:rFonts w:ascii="Cambria" w:hAnsi="Cambria" w:cs="Times New Roman"/>
          <w:i/>
          <w:iCs/>
          <w:sz w:val="24"/>
          <w:szCs w:val="24"/>
        </w:rPr>
        <w:t>Khrykin</w:t>
      </w:r>
      <w:proofErr w:type="spellEnd"/>
      <w:r w:rsidRPr="002316DF">
        <w:rPr>
          <w:rFonts w:ascii="Cambria" w:hAnsi="Cambria" w:cs="Times New Roman"/>
          <w:i/>
          <w:iCs/>
          <w:sz w:val="24"/>
          <w:szCs w:val="24"/>
        </w:rPr>
        <w:t xml:space="preserve"> v Russia, [2011], ECtHR, 33186/08</w:t>
      </w:r>
      <w:r w:rsidR="00F67040" w:rsidRPr="002316DF">
        <w:rPr>
          <w:rFonts w:ascii="Cambria" w:hAnsi="Cambria" w:cs="Times New Roman"/>
          <w:i/>
          <w:iCs/>
          <w:sz w:val="24"/>
          <w:szCs w:val="24"/>
        </w:rPr>
        <w:t>.</w:t>
      </w:r>
    </w:p>
    <w:p w14:paraId="28C59C71" w14:textId="77777777" w:rsidR="00DE4880" w:rsidRPr="002316DF" w:rsidRDefault="00DE4880" w:rsidP="008553F4">
      <w:pPr>
        <w:pStyle w:val="FootnoteText"/>
        <w:spacing w:line="276" w:lineRule="auto"/>
        <w:jc w:val="both"/>
        <w:rPr>
          <w:rFonts w:ascii="Cambria" w:hAnsi="Cambria" w:cs="Times New Roman"/>
          <w:sz w:val="24"/>
          <w:szCs w:val="24"/>
        </w:rPr>
      </w:pPr>
    </w:p>
    <w:p w14:paraId="400F6FDF" w14:textId="77777777" w:rsidR="00DE4880" w:rsidRPr="002316DF" w:rsidRDefault="00DE4880" w:rsidP="008553F4">
      <w:pPr>
        <w:pStyle w:val="FootnoteText"/>
        <w:spacing w:line="276" w:lineRule="auto"/>
        <w:jc w:val="both"/>
        <w:rPr>
          <w:rFonts w:ascii="Cambria" w:hAnsi="Cambria" w:cs="Times New Roman"/>
          <w:sz w:val="24"/>
          <w:szCs w:val="24"/>
        </w:rPr>
      </w:pPr>
      <w:proofErr w:type="spellStart"/>
      <w:r w:rsidRPr="002316DF">
        <w:rPr>
          <w:rFonts w:ascii="Cambria" w:hAnsi="Cambria" w:cs="Times New Roman"/>
          <w:i/>
          <w:iCs/>
          <w:sz w:val="24"/>
          <w:szCs w:val="24"/>
        </w:rPr>
        <w:t>Marper</w:t>
      </w:r>
      <w:proofErr w:type="spellEnd"/>
      <w:r w:rsidRPr="002316DF">
        <w:rPr>
          <w:rFonts w:ascii="Cambria" w:hAnsi="Cambria" w:cs="Times New Roman"/>
          <w:i/>
          <w:iCs/>
          <w:sz w:val="24"/>
          <w:szCs w:val="24"/>
        </w:rPr>
        <w:t xml:space="preserve"> v The United Kingdom</w:t>
      </w:r>
      <w:r w:rsidRPr="002316DF">
        <w:rPr>
          <w:rFonts w:ascii="Cambria" w:hAnsi="Cambria" w:cs="Times New Roman"/>
          <w:sz w:val="24"/>
          <w:szCs w:val="24"/>
        </w:rPr>
        <w:t>, [2008] ECtHR, 30562/04 and 30566/04</w:t>
      </w:r>
      <w:r w:rsidR="00F67040" w:rsidRPr="002316DF">
        <w:rPr>
          <w:rFonts w:ascii="Cambria" w:hAnsi="Cambria" w:cs="Times New Roman"/>
          <w:sz w:val="24"/>
          <w:szCs w:val="24"/>
        </w:rPr>
        <w:t>.</w:t>
      </w:r>
    </w:p>
    <w:p w14:paraId="2B43892B" w14:textId="77777777" w:rsidR="00F67040" w:rsidRPr="002316DF" w:rsidRDefault="00F67040" w:rsidP="008553F4">
      <w:pPr>
        <w:pStyle w:val="FootnoteText"/>
        <w:spacing w:line="276" w:lineRule="auto"/>
        <w:jc w:val="both"/>
        <w:rPr>
          <w:rFonts w:ascii="Cambria" w:hAnsi="Cambria" w:cs="Times New Roman"/>
          <w:sz w:val="24"/>
          <w:szCs w:val="24"/>
        </w:rPr>
      </w:pPr>
    </w:p>
    <w:p w14:paraId="58F1F137" w14:textId="77777777" w:rsidR="00DE4880" w:rsidRPr="002316DF" w:rsidRDefault="00DE4880" w:rsidP="008553F4">
      <w:pPr>
        <w:pStyle w:val="FootnoteText"/>
        <w:spacing w:line="276" w:lineRule="auto"/>
        <w:jc w:val="both"/>
        <w:rPr>
          <w:rFonts w:ascii="Cambria" w:hAnsi="Cambria" w:cs="Times New Roman"/>
          <w:sz w:val="24"/>
          <w:szCs w:val="24"/>
          <w:lang w:val="en-GB"/>
        </w:rPr>
      </w:pPr>
      <w:r w:rsidRPr="002316DF">
        <w:rPr>
          <w:rFonts w:ascii="Cambria" w:hAnsi="Cambria" w:cs="Times New Roman"/>
          <w:i/>
          <w:iCs/>
          <w:sz w:val="24"/>
          <w:szCs w:val="24"/>
          <w:lang w:val="en-GB"/>
        </w:rPr>
        <w:t>Muller v Germany,</w:t>
      </w:r>
      <w:r w:rsidRPr="002316DF">
        <w:rPr>
          <w:rFonts w:ascii="Cambria" w:hAnsi="Cambria" w:cs="Times New Roman"/>
          <w:sz w:val="24"/>
          <w:szCs w:val="24"/>
          <w:lang w:val="en-GB"/>
        </w:rPr>
        <w:t xml:space="preserve"> [2014], ECtHR, 54963/08</w:t>
      </w:r>
      <w:r w:rsidR="00F67040" w:rsidRPr="002316DF">
        <w:rPr>
          <w:rFonts w:ascii="Cambria" w:hAnsi="Cambria" w:cs="Times New Roman"/>
          <w:sz w:val="24"/>
          <w:szCs w:val="24"/>
          <w:lang w:val="en-GB"/>
        </w:rPr>
        <w:t>.</w:t>
      </w:r>
    </w:p>
    <w:p w14:paraId="54BFA678" w14:textId="77777777" w:rsidR="00DE4880" w:rsidRPr="002316DF" w:rsidRDefault="00DE4880" w:rsidP="008553F4">
      <w:pPr>
        <w:pStyle w:val="FootnoteText"/>
        <w:spacing w:line="276" w:lineRule="auto"/>
        <w:jc w:val="both"/>
        <w:rPr>
          <w:rFonts w:ascii="Cambria" w:hAnsi="Cambria" w:cs="Times New Roman"/>
          <w:sz w:val="24"/>
          <w:szCs w:val="24"/>
        </w:rPr>
      </w:pPr>
    </w:p>
    <w:p w14:paraId="57621B1D" w14:textId="77777777" w:rsidR="00DE4880" w:rsidRPr="002316DF" w:rsidRDefault="00DE4880" w:rsidP="008553F4">
      <w:pPr>
        <w:pStyle w:val="FootnoteText"/>
        <w:spacing w:line="276" w:lineRule="auto"/>
        <w:jc w:val="both"/>
        <w:rPr>
          <w:rFonts w:ascii="Cambria" w:hAnsi="Cambria" w:cs="Times New Roman"/>
          <w:sz w:val="24"/>
          <w:szCs w:val="24"/>
          <w:lang w:val="en-GB"/>
        </w:rPr>
      </w:pPr>
      <w:proofErr w:type="spellStart"/>
      <w:r w:rsidRPr="002316DF">
        <w:rPr>
          <w:rFonts w:ascii="Cambria" w:hAnsi="Cambria" w:cs="Times New Roman"/>
          <w:i/>
          <w:sz w:val="24"/>
          <w:szCs w:val="24"/>
          <w:lang w:val="en-GB"/>
        </w:rPr>
        <w:t>Cevrioğlu</w:t>
      </w:r>
      <w:proofErr w:type="spellEnd"/>
      <w:r w:rsidRPr="002316DF">
        <w:rPr>
          <w:rFonts w:ascii="Cambria" w:hAnsi="Cambria" w:cs="Times New Roman"/>
          <w:i/>
          <w:sz w:val="24"/>
          <w:szCs w:val="24"/>
          <w:lang w:val="en-GB"/>
        </w:rPr>
        <w:t xml:space="preserve"> v. Turkey</w:t>
      </w:r>
      <w:r w:rsidRPr="002316DF">
        <w:rPr>
          <w:rFonts w:ascii="Cambria" w:hAnsi="Cambria" w:cs="Times New Roman"/>
          <w:sz w:val="24"/>
          <w:szCs w:val="24"/>
          <w:lang w:val="en-GB"/>
        </w:rPr>
        <w:t>, [2016] ECtHR, 69546, para 50</w:t>
      </w:r>
      <w:r w:rsidR="00F67040" w:rsidRPr="002316DF">
        <w:rPr>
          <w:rFonts w:ascii="Cambria" w:hAnsi="Cambria" w:cs="Times New Roman"/>
          <w:sz w:val="24"/>
          <w:szCs w:val="24"/>
          <w:lang w:val="en-GB"/>
        </w:rPr>
        <w:t>.</w:t>
      </w:r>
    </w:p>
    <w:p w14:paraId="69B71959" w14:textId="77777777" w:rsidR="00DE4880" w:rsidRPr="002316DF" w:rsidRDefault="00DE4880" w:rsidP="008553F4">
      <w:pPr>
        <w:pStyle w:val="FootnoteText"/>
        <w:spacing w:line="276" w:lineRule="auto"/>
        <w:jc w:val="both"/>
        <w:rPr>
          <w:rFonts w:ascii="Cambria" w:hAnsi="Cambria" w:cs="Times New Roman"/>
          <w:sz w:val="24"/>
          <w:szCs w:val="24"/>
          <w:lang w:val="en-GB"/>
        </w:rPr>
      </w:pPr>
    </w:p>
    <w:p w14:paraId="3054682A" w14:textId="77777777" w:rsidR="00DE4880" w:rsidRPr="00590F16" w:rsidRDefault="00DE4880" w:rsidP="008553F4">
      <w:pPr>
        <w:pStyle w:val="FootnoteText"/>
        <w:spacing w:line="276" w:lineRule="auto"/>
        <w:jc w:val="both"/>
        <w:rPr>
          <w:rFonts w:ascii="Cambria" w:hAnsi="Cambria" w:cs="Times New Roman"/>
          <w:sz w:val="24"/>
          <w:szCs w:val="24"/>
          <w:lang w:val="en-GB"/>
        </w:rPr>
      </w:pPr>
      <w:proofErr w:type="spellStart"/>
      <w:r w:rsidRPr="00590F16">
        <w:rPr>
          <w:rFonts w:ascii="Cambria" w:hAnsi="Cambria" w:cs="Times New Roman"/>
          <w:i/>
          <w:iCs/>
          <w:sz w:val="24"/>
          <w:szCs w:val="24"/>
          <w:lang w:val="en-GB"/>
        </w:rPr>
        <w:lastRenderedPageBreak/>
        <w:t>Constantinides</w:t>
      </w:r>
      <w:proofErr w:type="spellEnd"/>
      <w:r w:rsidRPr="00590F16">
        <w:rPr>
          <w:rFonts w:ascii="Cambria" w:hAnsi="Cambria" w:cs="Times New Roman"/>
          <w:i/>
          <w:iCs/>
          <w:sz w:val="24"/>
          <w:szCs w:val="24"/>
          <w:lang w:val="en-GB"/>
        </w:rPr>
        <w:t xml:space="preserve"> v Greece</w:t>
      </w:r>
      <w:r w:rsidRPr="00590F16">
        <w:rPr>
          <w:rFonts w:ascii="Cambria" w:hAnsi="Cambria" w:cs="Times New Roman"/>
          <w:sz w:val="24"/>
          <w:szCs w:val="24"/>
          <w:lang w:val="en-GB"/>
        </w:rPr>
        <w:t>, [2016], ECtHR, 76438/12, para 41</w:t>
      </w:r>
      <w:r w:rsidR="00F67040" w:rsidRPr="00590F16">
        <w:rPr>
          <w:rFonts w:ascii="Cambria" w:hAnsi="Cambria" w:cs="Times New Roman"/>
          <w:sz w:val="24"/>
          <w:szCs w:val="24"/>
          <w:lang w:val="en-GB"/>
        </w:rPr>
        <w:t>.</w:t>
      </w:r>
    </w:p>
    <w:p w14:paraId="312CDE43" w14:textId="77777777" w:rsidR="00D5079E" w:rsidRPr="00590F16" w:rsidRDefault="00D5079E" w:rsidP="008553F4">
      <w:pPr>
        <w:pStyle w:val="FootnoteText"/>
        <w:spacing w:line="276" w:lineRule="auto"/>
        <w:jc w:val="both"/>
        <w:rPr>
          <w:rFonts w:ascii="Cambria" w:hAnsi="Cambria" w:cs="Times New Roman"/>
          <w:sz w:val="24"/>
          <w:szCs w:val="24"/>
          <w:lang w:val="en-GB"/>
        </w:rPr>
      </w:pPr>
    </w:p>
    <w:p w14:paraId="2157835D" w14:textId="77777777" w:rsidR="00FA3F05" w:rsidRPr="00590F16" w:rsidRDefault="00FA3F05" w:rsidP="008553F4">
      <w:pPr>
        <w:pStyle w:val="FootnoteText"/>
        <w:spacing w:line="276" w:lineRule="auto"/>
        <w:jc w:val="both"/>
        <w:rPr>
          <w:rFonts w:ascii="Cambria" w:hAnsi="Cambria" w:cs="Times New Roman"/>
          <w:sz w:val="24"/>
          <w:szCs w:val="24"/>
          <w:lang w:val="en-GB"/>
        </w:rPr>
      </w:pPr>
      <w:proofErr w:type="spellStart"/>
      <w:r w:rsidRPr="00590F16">
        <w:rPr>
          <w:rFonts w:ascii="Cambria" w:hAnsi="Cambria" w:cs="Times New Roman"/>
          <w:i/>
          <w:iCs/>
          <w:sz w:val="24"/>
          <w:szCs w:val="24"/>
          <w:lang w:val="en-GB"/>
        </w:rPr>
        <w:t>Paulikas</w:t>
      </w:r>
      <w:proofErr w:type="spellEnd"/>
      <w:r w:rsidRPr="00590F16">
        <w:rPr>
          <w:rFonts w:ascii="Cambria" w:hAnsi="Cambria" w:cs="Times New Roman"/>
          <w:i/>
          <w:iCs/>
          <w:sz w:val="24"/>
          <w:szCs w:val="24"/>
          <w:lang w:val="en-GB"/>
        </w:rPr>
        <w:t xml:space="preserve"> v Lithuania, </w:t>
      </w:r>
      <w:r w:rsidRPr="00590F16">
        <w:rPr>
          <w:rFonts w:ascii="Cambria" w:hAnsi="Cambria" w:cs="Times New Roman"/>
          <w:sz w:val="24"/>
          <w:szCs w:val="24"/>
          <w:lang w:val="en-GB"/>
        </w:rPr>
        <w:t xml:space="preserve">[2017], ECtHR, 57435/09, para </w:t>
      </w:r>
      <w:proofErr w:type="gramStart"/>
      <w:r w:rsidRPr="00590F16">
        <w:rPr>
          <w:rFonts w:ascii="Cambria" w:hAnsi="Cambria" w:cs="Times New Roman"/>
          <w:sz w:val="24"/>
          <w:szCs w:val="24"/>
          <w:lang w:val="en-GB"/>
        </w:rPr>
        <w:t>62 ;</w:t>
      </w:r>
      <w:proofErr w:type="gramEnd"/>
      <w:r w:rsidRPr="00590F16">
        <w:rPr>
          <w:rFonts w:ascii="Cambria" w:hAnsi="Cambria" w:cs="Times New Roman"/>
          <w:sz w:val="24"/>
          <w:szCs w:val="24"/>
          <w:lang w:val="en-GB"/>
        </w:rPr>
        <w:t xml:space="preserve"> </w:t>
      </w:r>
    </w:p>
    <w:p w14:paraId="35574427" w14:textId="77777777" w:rsidR="00FA3F05" w:rsidRPr="00590F16" w:rsidRDefault="00FA3F05" w:rsidP="008553F4">
      <w:pPr>
        <w:pStyle w:val="FootnoteText"/>
        <w:spacing w:line="276" w:lineRule="auto"/>
        <w:jc w:val="both"/>
        <w:rPr>
          <w:rFonts w:ascii="Cambria" w:hAnsi="Cambria" w:cs="Times New Roman"/>
          <w:sz w:val="24"/>
          <w:szCs w:val="24"/>
          <w:lang w:val="en-GB"/>
        </w:rPr>
      </w:pPr>
    </w:p>
    <w:p w14:paraId="6FDE5CF0" w14:textId="77777777" w:rsidR="00F67040" w:rsidRPr="002316DF" w:rsidRDefault="00FA3F05" w:rsidP="008553F4">
      <w:pPr>
        <w:pStyle w:val="FootnoteText"/>
        <w:spacing w:line="276" w:lineRule="auto"/>
        <w:jc w:val="both"/>
        <w:rPr>
          <w:rFonts w:ascii="Cambria" w:hAnsi="Cambria" w:cs="Times New Roman"/>
          <w:sz w:val="24"/>
          <w:szCs w:val="24"/>
          <w:lang w:val="en-GB"/>
        </w:rPr>
      </w:pPr>
      <w:r w:rsidRPr="002316DF">
        <w:rPr>
          <w:rFonts w:ascii="Cambria" w:hAnsi="Cambria" w:cs="Times New Roman"/>
          <w:i/>
          <w:iCs/>
          <w:sz w:val="24"/>
          <w:szCs w:val="24"/>
          <w:lang w:val="en-GB"/>
        </w:rPr>
        <w:t xml:space="preserve">Industrial Financial consortium investment </w:t>
      </w:r>
      <w:proofErr w:type="spellStart"/>
      <w:r w:rsidRPr="002316DF">
        <w:rPr>
          <w:rFonts w:ascii="Cambria" w:hAnsi="Cambria" w:cs="Times New Roman"/>
          <w:i/>
          <w:iCs/>
          <w:sz w:val="24"/>
          <w:szCs w:val="24"/>
          <w:lang w:val="en-GB"/>
        </w:rPr>
        <w:t>Metallurigcal</w:t>
      </w:r>
      <w:proofErr w:type="spellEnd"/>
      <w:r w:rsidRPr="002316DF">
        <w:rPr>
          <w:rFonts w:ascii="Cambria" w:hAnsi="Cambria" w:cs="Times New Roman"/>
          <w:i/>
          <w:iCs/>
          <w:sz w:val="24"/>
          <w:szCs w:val="24"/>
          <w:lang w:val="en-GB"/>
        </w:rPr>
        <w:t xml:space="preserve"> union v Ukraine, </w:t>
      </w:r>
      <w:r w:rsidRPr="002316DF">
        <w:rPr>
          <w:rFonts w:ascii="Cambria" w:hAnsi="Cambria" w:cs="Times New Roman"/>
          <w:sz w:val="24"/>
          <w:szCs w:val="24"/>
          <w:lang w:val="en-GB"/>
        </w:rPr>
        <w:t>[2018], ECtHR, 10640/05</w:t>
      </w:r>
    </w:p>
    <w:p w14:paraId="40A05C0C" w14:textId="77777777" w:rsidR="00F67040" w:rsidRPr="002316DF" w:rsidRDefault="00F67040" w:rsidP="008553F4">
      <w:pPr>
        <w:pStyle w:val="FootnoteText"/>
        <w:spacing w:line="276" w:lineRule="auto"/>
        <w:jc w:val="both"/>
        <w:rPr>
          <w:rFonts w:ascii="Cambria" w:hAnsi="Cambria" w:cs="Times New Roman"/>
          <w:sz w:val="24"/>
          <w:szCs w:val="24"/>
          <w:lang w:val="en-GB"/>
        </w:rPr>
      </w:pPr>
    </w:p>
    <w:p w14:paraId="62F811BF" w14:textId="77777777" w:rsidR="00DE4880" w:rsidRPr="002316DF" w:rsidRDefault="00DE4880" w:rsidP="008553F4">
      <w:pPr>
        <w:pStyle w:val="FootnoteText"/>
        <w:spacing w:line="276" w:lineRule="auto"/>
        <w:jc w:val="both"/>
        <w:rPr>
          <w:rFonts w:ascii="Cambria" w:hAnsi="Cambria" w:cs="Times New Roman"/>
          <w:sz w:val="24"/>
          <w:szCs w:val="24"/>
          <w:lang w:val="en-GB"/>
        </w:rPr>
      </w:pPr>
      <w:proofErr w:type="spellStart"/>
      <w:r w:rsidRPr="002316DF">
        <w:rPr>
          <w:rFonts w:ascii="Cambria" w:hAnsi="Cambria" w:cs="Times New Roman"/>
          <w:i/>
          <w:iCs/>
          <w:sz w:val="24"/>
          <w:szCs w:val="24"/>
          <w:lang w:val="en-GB"/>
        </w:rPr>
        <w:t>Gatt</w:t>
      </w:r>
      <w:proofErr w:type="spellEnd"/>
      <w:r w:rsidRPr="002316DF">
        <w:rPr>
          <w:rFonts w:ascii="Cambria" w:hAnsi="Cambria" w:cs="Times New Roman"/>
          <w:i/>
          <w:iCs/>
          <w:sz w:val="24"/>
          <w:szCs w:val="24"/>
          <w:lang w:val="en-GB"/>
        </w:rPr>
        <w:t xml:space="preserve"> v Malta, </w:t>
      </w:r>
      <w:r w:rsidRPr="002316DF">
        <w:rPr>
          <w:rFonts w:ascii="Cambria" w:hAnsi="Cambria" w:cs="Times New Roman"/>
          <w:sz w:val="24"/>
          <w:szCs w:val="24"/>
          <w:lang w:val="en-GB"/>
        </w:rPr>
        <w:t>[2019], ECtHR, 46466/16</w:t>
      </w:r>
      <w:r w:rsidR="00F67040" w:rsidRPr="002316DF">
        <w:rPr>
          <w:rFonts w:ascii="Cambria" w:hAnsi="Cambria" w:cs="Times New Roman"/>
          <w:sz w:val="24"/>
          <w:szCs w:val="24"/>
          <w:lang w:val="en-GB"/>
        </w:rPr>
        <w:t>.</w:t>
      </w:r>
    </w:p>
    <w:p w14:paraId="61CDC0F9" w14:textId="77777777" w:rsidR="00FA3F05" w:rsidRPr="002316DF" w:rsidRDefault="00FA3F05" w:rsidP="008553F4">
      <w:pPr>
        <w:pStyle w:val="FootnoteText"/>
        <w:spacing w:line="276" w:lineRule="auto"/>
        <w:jc w:val="both"/>
        <w:rPr>
          <w:rFonts w:ascii="Cambria" w:hAnsi="Cambria" w:cs="Times New Roman"/>
          <w:sz w:val="24"/>
          <w:szCs w:val="24"/>
          <w:lang w:val="en-GB"/>
        </w:rPr>
      </w:pPr>
    </w:p>
    <w:p w14:paraId="2D710293" w14:textId="77777777" w:rsidR="00FA3F05" w:rsidRPr="00590F16" w:rsidRDefault="00FA3F05" w:rsidP="008553F4">
      <w:pPr>
        <w:pStyle w:val="FootnoteText"/>
        <w:spacing w:line="276" w:lineRule="auto"/>
        <w:jc w:val="both"/>
        <w:rPr>
          <w:rFonts w:ascii="Cambria" w:hAnsi="Cambria" w:cs="Times New Roman"/>
          <w:sz w:val="24"/>
          <w:szCs w:val="24"/>
          <w:lang w:val="en-GB"/>
        </w:rPr>
      </w:pPr>
      <w:proofErr w:type="spellStart"/>
      <w:r w:rsidRPr="00590F16">
        <w:rPr>
          <w:rFonts w:ascii="Cambria" w:hAnsi="Cambria" w:cs="Times New Roman"/>
          <w:i/>
          <w:iCs/>
          <w:sz w:val="24"/>
          <w:szCs w:val="24"/>
          <w:lang w:val="en-GB"/>
        </w:rPr>
        <w:t>Guðmundur</w:t>
      </w:r>
      <w:proofErr w:type="spellEnd"/>
      <w:r w:rsidRPr="00590F16">
        <w:rPr>
          <w:rFonts w:ascii="Cambria" w:hAnsi="Cambria" w:cs="Times New Roman"/>
          <w:i/>
          <w:iCs/>
          <w:sz w:val="24"/>
          <w:szCs w:val="24"/>
          <w:lang w:val="en-GB"/>
        </w:rPr>
        <w:t xml:space="preserve"> Andri </w:t>
      </w:r>
      <w:proofErr w:type="spellStart"/>
      <w:r w:rsidRPr="00590F16">
        <w:rPr>
          <w:rFonts w:ascii="Cambria" w:hAnsi="Cambria" w:cs="Times New Roman"/>
          <w:i/>
          <w:iCs/>
          <w:sz w:val="24"/>
          <w:szCs w:val="24"/>
          <w:lang w:val="en-GB"/>
        </w:rPr>
        <w:t>Ástráðsson</w:t>
      </w:r>
      <w:proofErr w:type="spellEnd"/>
      <w:r w:rsidRPr="00590F16">
        <w:rPr>
          <w:rFonts w:ascii="Cambria" w:hAnsi="Cambria" w:cs="Times New Roman"/>
          <w:i/>
          <w:iCs/>
          <w:sz w:val="24"/>
          <w:szCs w:val="24"/>
          <w:lang w:val="en-GB"/>
        </w:rPr>
        <w:t xml:space="preserve"> v Iceland</w:t>
      </w:r>
      <w:r w:rsidRPr="00590F16">
        <w:rPr>
          <w:rFonts w:ascii="Cambria" w:hAnsi="Cambria" w:cs="Times New Roman"/>
          <w:sz w:val="24"/>
          <w:szCs w:val="24"/>
          <w:lang w:val="en-GB"/>
        </w:rPr>
        <w:t xml:space="preserve">, [2020], ECtHR, 26374/18, </w:t>
      </w:r>
    </w:p>
    <w:p w14:paraId="637C8D61" w14:textId="77777777" w:rsidR="00FA3F05" w:rsidRPr="00590F16" w:rsidRDefault="00FA3F05" w:rsidP="008553F4">
      <w:pPr>
        <w:pStyle w:val="FootnoteText"/>
        <w:spacing w:line="276" w:lineRule="auto"/>
        <w:jc w:val="both"/>
        <w:rPr>
          <w:rFonts w:ascii="Cambria" w:hAnsi="Cambria" w:cs="Times New Roman"/>
          <w:sz w:val="24"/>
          <w:szCs w:val="24"/>
          <w:lang w:val="en-GB"/>
        </w:rPr>
      </w:pPr>
    </w:p>
    <w:p w14:paraId="3C48A31F" w14:textId="77777777" w:rsidR="00FA3F05" w:rsidRPr="00590F16" w:rsidRDefault="00FA3F05" w:rsidP="008553F4">
      <w:pPr>
        <w:pStyle w:val="FootnoteText"/>
        <w:spacing w:line="276" w:lineRule="auto"/>
        <w:jc w:val="both"/>
        <w:rPr>
          <w:rFonts w:ascii="Cambria" w:hAnsi="Cambria" w:cs="Times New Roman"/>
          <w:sz w:val="24"/>
          <w:szCs w:val="24"/>
          <w:lang w:val="en-GB"/>
        </w:rPr>
      </w:pPr>
      <w:proofErr w:type="spellStart"/>
      <w:r w:rsidRPr="00590F16">
        <w:rPr>
          <w:rFonts w:ascii="Cambria" w:hAnsi="Cambria" w:cs="Times New Roman"/>
          <w:i/>
          <w:iCs/>
          <w:sz w:val="24"/>
          <w:szCs w:val="24"/>
          <w:lang w:val="en-GB"/>
        </w:rPr>
        <w:t>Anzelika</w:t>
      </w:r>
      <w:proofErr w:type="spellEnd"/>
      <w:r w:rsidRPr="00590F16">
        <w:rPr>
          <w:rFonts w:ascii="Cambria" w:hAnsi="Cambria" w:cs="Times New Roman"/>
          <w:i/>
          <w:iCs/>
          <w:sz w:val="24"/>
          <w:szCs w:val="24"/>
          <w:lang w:val="en-GB"/>
        </w:rPr>
        <w:t xml:space="preserve"> v Lithuania, </w:t>
      </w:r>
      <w:r w:rsidRPr="00590F16">
        <w:rPr>
          <w:rFonts w:ascii="Cambria" w:hAnsi="Cambria" w:cs="Times New Roman"/>
          <w:sz w:val="24"/>
          <w:szCs w:val="24"/>
          <w:lang w:val="en-GB"/>
        </w:rPr>
        <w:t>[2020], ECtHR, 36093/13</w:t>
      </w:r>
      <w:r w:rsidR="00F67040" w:rsidRPr="00590F16">
        <w:rPr>
          <w:rFonts w:ascii="Cambria" w:hAnsi="Cambria" w:cs="Times New Roman"/>
          <w:sz w:val="24"/>
          <w:szCs w:val="24"/>
          <w:lang w:val="en-GB"/>
        </w:rPr>
        <w:t>.</w:t>
      </w:r>
    </w:p>
    <w:p w14:paraId="49A6B0C8" w14:textId="77777777" w:rsidR="00FA3F05" w:rsidRPr="00590F16" w:rsidRDefault="00FA3F05" w:rsidP="008553F4">
      <w:pPr>
        <w:pStyle w:val="FootnoteText"/>
        <w:spacing w:line="276" w:lineRule="auto"/>
        <w:jc w:val="both"/>
        <w:rPr>
          <w:rStyle w:val="FootnoteReference"/>
          <w:rFonts w:ascii="Cambria" w:hAnsi="Cambria" w:cs="Times New Roman"/>
          <w:sz w:val="24"/>
          <w:szCs w:val="24"/>
          <w:lang w:val="en-GB"/>
        </w:rPr>
      </w:pPr>
    </w:p>
    <w:p w14:paraId="1AD8BE4D" w14:textId="77777777" w:rsidR="00FA3F05" w:rsidRPr="002316DF" w:rsidRDefault="00FA3F05" w:rsidP="008553F4">
      <w:pPr>
        <w:pStyle w:val="FootnoteText"/>
        <w:spacing w:line="276" w:lineRule="auto"/>
        <w:jc w:val="both"/>
        <w:rPr>
          <w:rFonts w:ascii="Cambria" w:hAnsi="Cambria" w:cs="Times New Roman"/>
          <w:sz w:val="24"/>
          <w:szCs w:val="24"/>
        </w:rPr>
      </w:pPr>
      <w:r w:rsidRPr="002316DF">
        <w:rPr>
          <w:rFonts w:ascii="Cambria" w:hAnsi="Cambria" w:cs="Times New Roman"/>
          <w:i/>
          <w:iCs/>
          <w:sz w:val="24"/>
          <w:szCs w:val="24"/>
        </w:rPr>
        <w:t>Beg S.P.A v Italy</w:t>
      </w:r>
      <w:r w:rsidRPr="002316DF">
        <w:rPr>
          <w:rFonts w:ascii="Cambria" w:hAnsi="Cambria" w:cs="Times New Roman"/>
          <w:sz w:val="24"/>
          <w:szCs w:val="24"/>
        </w:rPr>
        <w:t>, [2021], ECtHR, 5312/11</w:t>
      </w:r>
      <w:r w:rsidR="00F67040" w:rsidRPr="002316DF">
        <w:rPr>
          <w:rFonts w:ascii="Cambria" w:hAnsi="Cambria" w:cs="Times New Roman"/>
          <w:sz w:val="24"/>
          <w:szCs w:val="24"/>
        </w:rPr>
        <w:t>.</w:t>
      </w:r>
    </w:p>
    <w:p w14:paraId="08095B0E" w14:textId="77777777" w:rsidR="00FA3F05" w:rsidRPr="002316DF" w:rsidRDefault="00FA3F05" w:rsidP="008553F4">
      <w:pPr>
        <w:pStyle w:val="FootnoteText"/>
        <w:spacing w:line="276" w:lineRule="auto"/>
        <w:jc w:val="both"/>
        <w:rPr>
          <w:rStyle w:val="FootnoteReference"/>
          <w:rFonts w:ascii="Cambria" w:hAnsi="Cambria" w:cs="Times New Roman"/>
          <w:sz w:val="24"/>
          <w:szCs w:val="24"/>
        </w:rPr>
      </w:pPr>
    </w:p>
    <w:p w14:paraId="69F6DBB6" w14:textId="77777777" w:rsidR="00FA3F05" w:rsidRPr="002316DF" w:rsidRDefault="00FA3F05" w:rsidP="008553F4">
      <w:pPr>
        <w:pStyle w:val="FootnoteText"/>
        <w:spacing w:line="276" w:lineRule="auto"/>
        <w:jc w:val="both"/>
        <w:rPr>
          <w:rFonts w:ascii="Cambria" w:hAnsi="Cambria" w:cs="Times New Roman"/>
          <w:sz w:val="24"/>
          <w:szCs w:val="24"/>
        </w:rPr>
      </w:pPr>
    </w:p>
    <w:p w14:paraId="3E57B4BA" w14:textId="77777777" w:rsidR="00FB7AF1" w:rsidRPr="002316DF" w:rsidRDefault="00FB7AF1"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ab/>
        <w:t>CJEU</w:t>
      </w:r>
    </w:p>
    <w:p w14:paraId="45BD14B8" w14:textId="77777777" w:rsidR="00D5079E" w:rsidRPr="002316DF" w:rsidRDefault="00D5079E" w:rsidP="008553F4">
      <w:pPr>
        <w:pStyle w:val="FootnoteText"/>
        <w:spacing w:line="276" w:lineRule="auto"/>
        <w:jc w:val="both"/>
        <w:rPr>
          <w:rFonts w:ascii="Cambria" w:hAnsi="Cambria" w:cs="Times New Roman"/>
          <w:iCs/>
          <w:sz w:val="24"/>
          <w:szCs w:val="24"/>
        </w:rPr>
      </w:pPr>
      <w:r w:rsidRPr="002316DF">
        <w:rPr>
          <w:rFonts w:ascii="Cambria" w:hAnsi="Cambria" w:cs="Times New Roman"/>
          <w:i/>
          <w:sz w:val="24"/>
          <w:szCs w:val="24"/>
        </w:rPr>
        <w:t xml:space="preserve">Johnston v Chief constable of the </w:t>
      </w:r>
      <w:proofErr w:type="spellStart"/>
      <w:r w:rsidRPr="002316DF">
        <w:rPr>
          <w:rFonts w:ascii="Cambria" w:hAnsi="Cambria" w:cs="Times New Roman"/>
          <w:i/>
          <w:sz w:val="24"/>
          <w:szCs w:val="24"/>
        </w:rPr>
        <w:t>Royla</w:t>
      </w:r>
      <w:proofErr w:type="spellEnd"/>
      <w:r w:rsidRPr="002316DF">
        <w:rPr>
          <w:rFonts w:ascii="Cambria" w:hAnsi="Cambria" w:cs="Times New Roman"/>
          <w:i/>
          <w:sz w:val="24"/>
          <w:szCs w:val="24"/>
        </w:rPr>
        <w:t xml:space="preserve"> Ulster Constabulary, [1986], </w:t>
      </w:r>
      <w:r w:rsidRPr="002316DF">
        <w:rPr>
          <w:rFonts w:ascii="Cambria" w:hAnsi="Cambria" w:cs="Times New Roman"/>
          <w:iCs/>
          <w:sz w:val="24"/>
          <w:szCs w:val="24"/>
        </w:rPr>
        <w:t>ECJ, 222/84</w:t>
      </w:r>
    </w:p>
    <w:p w14:paraId="01D0A5D3" w14:textId="77777777" w:rsidR="00F67040" w:rsidRPr="002316DF" w:rsidRDefault="00F67040" w:rsidP="008553F4">
      <w:pPr>
        <w:pStyle w:val="FootnoteText"/>
        <w:spacing w:line="276" w:lineRule="auto"/>
        <w:jc w:val="both"/>
        <w:rPr>
          <w:rFonts w:ascii="Cambria" w:hAnsi="Cambria" w:cs="Times New Roman"/>
          <w:iCs/>
          <w:sz w:val="24"/>
          <w:szCs w:val="24"/>
        </w:rPr>
      </w:pPr>
    </w:p>
    <w:p w14:paraId="3C762E00" w14:textId="77777777" w:rsidR="00D5079E" w:rsidRPr="002316DF" w:rsidRDefault="00D5079E" w:rsidP="008553F4">
      <w:pPr>
        <w:pStyle w:val="FootnoteText"/>
        <w:spacing w:line="276" w:lineRule="auto"/>
        <w:jc w:val="both"/>
        <w:rPr>
          <w:rFonts w:ascii="Cambria" w:hAnsi="Cambria" w:cs="Times New Roman"/>
          <w:sz w:val="24"/>
          <w:szCs w:val="24"/>
          <w:lang w:val="fr-LU"/>
        </w:rPr>
      </w:pPr>
      <w:proofErr w:type="spellStart"/>
      <w:r w:rsidRPr="002316DF">
        <w:rPr>
          <w:rFonts w:ascii="Cambria" w:hAnsi="Cambria" w:cs="Times New Roman"/>
          <w:i/>
          <w:iCs/>
          <w:sz w:val="24"/>
          <w:szCs w:val="24"/>
          <w:lang w:val="fr-LU"/>
        </w:rPr>
        <w:t>Associação</w:t>
      </w:r>
      <w:proofErr w:type="spellEnd"/>
      <w:r w:rsidRPr="002316DF">
        <w:rPr>
          <w:rFonts w:ascii="Cambria" w:hAnsi="Cambria" w:cs="Times New Roman"/>
          <w:i/>
          <w:iCs/>
          <w:sz w:val="24"/>
          <w:szCs w:val="24"/>
          <w:lang w:val="fr-LU"/>
        </w:rPr>
        <w:t xml:space="preserve"> </w:t>
      </w:r>
      <w:proofErr w:type="spellStart"/>
      <w:r w:rsidRPr="002316DF">
        <w:rPr>
          <w:rFonts w:ascii="Cambria" w:hAnsi="Cambria" w:cs="Times New Roman"/>
          <w:i/>
          <w:iCs/>
          <w:sz w:val="24"/>
          <w:szCs w:val="24"/>
          <w:lang w:val="fr-LU"/>
        </w:rPr>
        <w:t>Sindical</w:t>
      </w:r>
      <w:proofErr w:type="spellEnd"/>
      <w:r w:rsidRPr="002316DF">
        <w:rPr>
          <w:rFonts w:ascii="Cambria" w:hAnsi="Cambria" w:cs="Times New Roman"/>
          <w:i/>
          <w:iCs/>
          <w:sz w:val="24"/>
          <w:szCs w:val="24"/>
          <w:lang w:val="fr-LU"/>
        </w:rPr>
        <w:t xml:space="preserve"> dos </w:t>
      </w:r>
      <w:proofErr w:type="spellStart"/>
      <w:r w:rsidRPr="002316DF">
        <w:rPr>
          <w:rFonts w:ascii="Cambria" w:hAnsi="Cambria" w:cs="Times New Roman"/>
          <w:i/>
          <w:iCs/>
          <w:sz w:val="24"/>
          <w:szCs w:val="24"/>
          <w:lang w:val="fr-LU"/>
        </w:rPr>
        <w:t>Juízes</w:t>
      </w:r>
      <w:proofErr w:type="spellEnd"/>
      <w:r w:rsidRPr="002316DF">
        <w:rPr>
          <w:rFonts w:ascii="Cambria" w:hAnsi="Cambria" w:cs="Times New Roman"/>
          <w:i/>
          <w:iCs/>
          <w:sz w:val="24"/>
          <w:szCs w:val="24"/>
          <w:lang w:val="fr-LU"/>
        </w:rPr>
        <w:t xml:space="preserve"> </w:t>
      </w:r>
      <w:proofErr w:type="spellStart"/>
      <w:r w:rsidRPr="002316DF">
        <w:rPr>
          <w:rFonts w:ascii="Cambria" w:hAnsi="Cambria" w:cs="Times New Roman"/>
          <w:i/>
          <w:iCs/>
          <w:sz w:val="24"/>
          <w:szCs w:val="24"/>
          <w:lang w:val="fr-LU"/>
        </w:rPr>
        <w:t>Portugueses</w:t>
      </w:r>
      <w:proofErr w:type="spellEnd"/>
      <w:r w:rsidRPr="002316DF">
        <w:rPr>
          <w:rFonts w:ascii="Cambria" w:hAnsi="Cambria" w:cs="Times New Roman"/>
          <w:i/>
          <w:iCs/>
          <w:sz w:val="24"/>
          <w:szCs w:val="24"/>
          <w:lang w:val="fr-LU"/>
        </w:rPr>
        <w:t xml:space="preserve"> v Tribunal of Contas, </w:t>
      </w:r>
      <w:r w:rsidRPr="002316DF">
        <w:rPr>
          <w:rFonts w:ascii="Cambria" w:hAnsi="Cambria" w:cs="Times New Roman"/>
          <w:sz w:val="24"/>
          <w:szCs w:val="24"/>
          <w:lang w:val="fr-LU"/>
        </w:rPr>
        <w:t>[2018], CJEU, C-64/16</w:t>
      </w:r>
    </w:p>
    <w:p w14:paraId="1CCF7F23" w14:textId="77777777" w:rsidR="00F67040" w:rsidRPr="002316DF" w:rsidRDefault="00F67040" w:rsidP="008553F4">
      <w:pPr>
        <w:pStyle w:val="FootnoteText"/>
        <w:spacing w:line="276" w:lineRule="auto"/>
        <w:jc w:val="both"/>
        <w:rPr>
          <w:rStyle w:val="FootnoteReference"/>
          <w:rFonts w:ascii="Cambria" w:hAnsi="Cambria" w:cs="Times New Roman"/>
          <w:sz w:val="24"/>
          <w:szCs w:val="24"/>
          <w:vertAlign w:val="baseline"/>
          <w:lang w:val="fr-LU"/>
        </w:rPr>
      </w:pPr>
    </w:p>
    <w:p w14:paraId="5F4D109E" w14:textId="77777777" w:rsidR="00D5079E" w:rsidRPr="002316DF" w:rsidRDefault="00D5079E" w:rsidP="008553F4">
      <w:pPr>
        <w:spacing w:after="0" w:line="276" w:lineRule="auto"/>
        <w:jc w:val="both"/>
        <w:rPr>
          <w:rFonts w:ascii="Cambria" w:hAnsi="Cambria" w:cs="Times New Roman"/>
          <w:i/>
          <w:iCs/>
          <w:sz w:val="24"/>
          <w:szCs w:val="24"/>
        </w:rPr>
      </w:pPr>
      <w:r w:rsidRPr="002316DF">
        <w:rPr>
          <w:rFonts w:ascii="Cambria" w:hAnsi="Cambria" w:cs="Times New Roman"/>
          <w:i/>
          <w:iCs/>
          <w:sz w:val="24"/>
          <w:szCs w:val="24"/>
        </w:rPr>
        <w:t>A.K v</w:t>
      </w:r>
      <w:r w:rsidRPr="002316DF">
        <w:rPr>
          <w:rFonts w:ascii="Cambria" w:hAnsi="Cambria" w:cs="Times New Roman"/>
          <w:sz w:val="24"/>
          <w:szCs w:val="24"/>
        </w:rPr>
        <w:t xml:space="preserve"> </w:t>
      </w:r>
      <w:r w:rsidRPr="002316DF">
        <w:rPr>
          <w:rFonts w:ascii="Cambria" w:hAnsi="Cambria" w:cs="Times New Roman"/>
          <w:i/>
          <w:iCs/>
          <w:sz w:val="24"/>
          <w:szCs w:val="24"/>
        </w:rPr>
        <w:t xml:space="preserve">Krajowa Rada </w:t>
      </w:r>
      <w:proofErr w:type="spellStart"/>
      <w:r w:rsidRPr="002316DF">
        <w:rPr>
          <w:rFonts w:ascii="Cambria" w:hAnsi="Cambria" w:cs="Times New Roman"/>
          <w:i/>
          <w:iCs/>
          <w:sz w:val="24"/>
          <w:szCs w:val="24"/>
        </w:rPr>
        <w:t>Sądownictwa</w:t>
      </w:r>
      <w:proofErr w:type="spellEnd"/>
      <w:r w:rsidRPr="002316DF">
        <w:rPr>
          <w:rFonts w:ascii="Cambria" w:hAnsi="Cambria" w:cs="Times New Roman"/>
          <w:i/>
          <w:iCs/>
          <w:sz w:val="24"/>
          <w:szCs w:val="24"/>
        </w:rPr>
        <w:t xml:space="preserve">, and CP and DO v </w:t>
      </w:r>
      <w:proofErr w:type="spellStart"/>
      <w:r w:rsidRPr="002316DF">
        <w:rPr>
          <w:rFonts w:ascii="Cambria" w:hAnsi="Cambria" w:cs="Times New Roman"/>
          <w:i/>
          <w:iCs/>
          <w:sz w:val="24"/>
          <w:szCs w:val="24"/>
        </w:rPr>
        <w:t>Sąd</w:t>
      </w:r>
      <w:proofErr w:type="spellEnd"/>
      <w:r w:rsidRPr="002316DF">
        <w:rPr>
          <w:rFonts w:ascii="Cambria" w:hAnsi="Cambria" w:cs="Times New Roman"/>
          <w:i/>
          <w:iCs/>
          <w:sz w:val="24"/>
          <w:szCs w:val="24"/>
        </w:rPr>
        <w:t xml:space="preserve"> </w:t>
      </w:r>
      <w:proofErr w:type="spellStart"/>
      <w:r w:rsidRPr="002316DF">
        <w:rPr>
          <w:rFonts w:ascii="Cambria" w:hAnsi="Cambria" w:cs="Times New Roman"/>
          <w:i/>
          <w:iCs/>
          <w:sz w:val="24"/>
          <w:szCs w:val="24"/>
        </w:rPr>
        <w:t>Najwyższy</w:t>
      </w:r>
      <w:proofErr w:type="spellEnd"/>
      <w:r w:rsidRPr="002316DF">
        <w:rPr>
          <w:rFonts w:ascii="Cambria" w:hAnsi="Cambria" w:cs="Times New Roman"/>
          <w:i/>
          <w:iCs/>
          <w:sz w:val="24"/>
          <w:szCs w:val="24"/>
        </w:rPr>
        <w:t xml:space="preserve">, </w:t>
      </w:r>
      <w:r w:rsidRPr="002316DF">
        <w:rPr>
          <w:rFonts w:ascii="Cambria" w:hAnsi="Cambria" w:cs="Times New Roman"/>
          <w:sz w:val="24"/>
          <w:szCs w:val="24"/>
        </w:rPr>
        <w:t>[2019], CJEU, C-585/18 C-624/18 C-625/18</w:t>
      </w:r>
      <w:r w:rsidRPr="002316DF">
        <w:rPr>
          <w:rFonts w:ascii="Cambria" w:hAnsi="Cambria" w:cs="Times New Roman"/>
          <w:i/>
          <w:iCs/>
          <w:sz w:val="24"/>
          <w:szCs w:val="24"/>
        </w:rPr>
        <w:t>.</w:t>
      </w:r>
    </w:p>
    <w:p w14:paraId="2A83725D" w14:textId="77777777" w:rsidR="00F67040" w:rsidRPr="00590F16" w:rsidRDefault="00F67040" w:rsidP="008553F4">
      <w:pPr>
        <w:pStyle w:val="FootnoteText"/>
        <w:spacing w:line="276" w:lineRule="auto"/>
        <w:jc w:val="both"/>
        <w:rPr>
          <w:rFonts w:ascii="Cambria" w:hAnsi="Cambria" w:cs="Times New Roman"/>
          <w:i/>
          <w:iCs/>
          <w:sz w:val="24"/>
          <w:szCs w:val="24"/>
        </w:rPr>
      </w:pPr>
    </w:p>
    <w:p w14:paraId="0FC72205" w14:textId="77777777" w:rsidR="00F67040" w:rsidRPr="002316DF" w:rsidRDefault="00D5079E" w:rsidP="008553F4">
      <w:pPr>
        <w:pStyle w:val="FootnoteText"/>
        <w:spacing w:line="276" w:lineRule="auto"/>
        <w:jc w:val="both"/>
        <w:rPr>
          <w:rFonts w:ascii="Cambria" w:hAnsi="Cambria" w:cs="Times New Roman"/>
          <w:sz w:val="24"/>
          <w:szCs w:val="24"/>
          <w:lang w:val="en-GB"/>
        </w:rPr>
      </w:pPr>
      <w:r w:rsidRPr="002316DF">
        <w:rPr>
          <w:rFonts w:ascii="Cambria" w:hAnsi="Cambria" w:cs="Times New Roman"/>
          <w:i/>
          <w:iCs/>
          <w:sz w:val="24"/>
          <w:szCs w:val="24"/>
          <w:lang w:val="en-GB"/>
        </w:rPr>
        <w:t xml:space="preserve">European Commission v Republic of Poland, </w:t>
      </w:r>
      <w:r w:rsidRPr="002316DF">
        <w:rPr>
          <w:rFonts w:ascii="Cambria" w:hAnsi="Cambria" w:cs="Times New Roman"/>
          <w:sz w:val="24"/>
          <w:szCs w:val="24"/>
          <w:lang w:val="en-GB"/>
        </w:rPr>
        <w:t>[2019], CJEU, C-619/18,</w:t>
      </w:r>
    </w:p>
    <w:p w14:paraId="6570D130" w14:textId="77777777" w:rsidR="00F67040" w:rsidRPr="002316DF" w:rsidRDefault="00F67040" w:rsidP="008553F4">
      <w:pPr>
        <w:pStyle w:val="FootnoteText"/>
        <w:spacing w:line="276" w:lineRule="auto"/>
        <w:jc w:val="both"/>
        <w:rPr>
          <w:rStyle w:val="FootnoteReference"/>
          <w:rFonts w:ascii="Cambria" w:hAnsi="Cambria" w:cs="Times New Roman"/>
          <w:sz w:val="24"/>
          <w:szCs w:val="24"/>
        </w:rPr>
      </w:pPr>
    </w:p>
    <w:p w14:paraId="34160132" w14:textId="77777777" w:rsidR="00D5079E" w:rsidRPr="002316DF" w:rsidRDefault="00D5079E" w:rsidP="008553F4">
      <w:pPr>
        <w:pStyle w:val="FootnoteText"/>
        <w:spacing w:line="276" w:lineRule="auto"/>
        <w:jc w:val="both"/>
        <w:rPr>
          <w:rFonts w:ascii="Cambria" w:hAnsi="Cambria" w:cs="Times New Roman"/>
          <w:sz w:val="24"/>
          <w:szCs w:val="24"/>
          <w:lang w:val="fr-LU"/>
        </w:rPr>
      </w:pPr>
      <w:r w:rsidRPr="002316DF">
        <w:rPr>
          <w:rFonts w:ascii="Cambria" w:hAnsi="Cambria" w:cs="Times New Roman"/>
          <w:i/>
          <w:iCs/>
          <w:sz w:val="24"/>
          <w:szCs w:val="24"/>
          <w:lang w:val="fr-LU"/>
        </w:rPr>
        <w:t xml:space="preserve">Banco de Santander SA, </w:t>
      </w:r>
      <w:r w:rsidRPr="002316DF">
        <w:rPr>
          <w:rFonts w:ascii="Cambria" w:hAnsi="Cambria" w:cs="Times New Roman"/>
          <w:sz w:val="24"/>
          <w:szCs w:val="24"/>
          <w:lang w:val="fr-LU"/>
        </w:rPr>
        <w:t xml:space="preserve">[2020], CJEU C-274/15 para 57 ; </w:t>
      </w:r>
    </w:p>
    <w:p w14:paraId="4B389E13" w14:textId="77777777" w:rsidR="00D5079E" w:rsidRPr="002316DF" w:rsidRDefault="00D5079E" w:rsidP="008553F4">
      <w:pPr>
        <w:pStyle w:val="FootnoteText"/>
        <w:spacing w:line="276" w:lineRule="auto"/>
        <w:jc w:val="both"/>
        <w:rPr>
          <w:rStyle w:val="FootnoteReference"/>
          <w:rFonts w:ascii="Cambria" w:hAnsi="Cambria" w:cs="Times New Roman"/>
          <w:sz w:val="24"/>
          <w:szCs w:val="24"/>
          <w:lang w:val="fr-FR"/>
        </w:rPr>
      </w:pPr>
    </w:p>
    <w:p w14:paraId="5615209C" w14:textId="77777777" w:rsidR="00FB7AF1" w:rsidRPr="002316DF" w:rsidRDefault="00DE4880"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lang w:val="fr-FR"/>
        </w:rPr>
        <w:tab/>
      </w:r>
      <w:r w:rsidRPr="002316DF">
        <w:rPr>
          <w:rFonts w:ascii="Cambria" w:hAnsi="Cambria" w:cs="Times New Roman"/>
          <w:sz w:val="24"/>
          <w:szCs w:val="24"/>
        </w:rPr>
        <w:t xml:space="preserve">NATIONAL CASES </w:t>
      </w:r>
    </w:p>
    <w:p w14:paraId="0390D51F" w14:textId="77777777" w:rsidR="00DE4880" w:rsidRPr="002316DF" w:rsidRDefault="00DE4880" w:rsidP="008553F4">
      <w:pPr>
        <w:pStyle w:val="FootnoteText"/>
        <w:spacing w:line="276" w:lineRule="auto"/>
        <w:jc w:val="both"/>
        <w:rPr>
          <w:rFonts w:ascii="Cambria" w:hAnsi="Cambria" w:cs="Times New Roman"/>
          <w:sz w:val="24"/>
          <w:szCs w:val="24"/>
        </w:rPr>
      </w:pPr>
    </w:p>
    <w:p w14:paraId="664CAE92" w14:textId="77777777" w:rsidR="00DE4880" w:rsidRPr="002316DF" w:rsidRDefault="00DE4880"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ab/>
        <w:t>U.S</w:t>
      </w:r>
    </w:p>
    <w:p w14:paraId="26D20C9A" w14:textId="77777777" w:rsidR="00DE4880" w:rsidRPr="002316DF" w:rsidRDefault="00DE4880" w:rsidP="008553F4">
      <w:pPr>
        <w:pStyle w:val="FootnoteText"/>
        <w:spacing w:line="276" w:lineRule="auto"/>
        <w:jc w:val="both"/>
        <w:rPr>
          <w:rFonts w:ascii="Cambria" w:hAnsi="Cambria" w:cs="Times New Roman"/>
          <w:sz w:val="24"/>
          <w:szCs w:val="24"/>
        </w:rPr>
      </w:pPr>
    </w:p>
    <w:p w14:paraId="633A498F" w14:textId="77777777" w:rsidR="00DE4880" w:rsidRPr="002316DF" w:rsidRDefault="00DE4880" w:rsidP="008553F4">
      <w:pPr>
        <w:pStyle w:val="FootnoteText"/>
        <w:spacing w:line="276" w:lineRule="auto"/>
        <w:jc w:val="both"/>
        <w:rPr>
          <w:rFonts w:ascii="Cambria" w:hAnsi="Cambria" w:cs="Times New Roman"/>
          <w:sz w:val="24"/>
          <w:szCs w:val="24"/>
        </w:rPr>
      </w:pPr>
      <w:r w:rsidRPr="002316DF">
        <w:rPr>
          <w:rFonts w:ascii="Cambria" w:hAnsi="Cambria" w:cs="Times New Roman"/>
          <w:i/>
          <w:sz w:val="24"/>
          <w:szCs w:val="24"/>
        </w:rPr>
        <w:t>Loomis v Wisconsin,</w:t>
      </w:r>
      <w:r w:rsidRPr="002316DF">
        <w:rPr>
          <w:rFonts w:ascii="Cambria" w:hAnsi="Cambria" w:cs="Times New Roman"/>
          <w:sz w:val="24"/>
          <w:szCs w:val="24"/>
        </w:rPr>
        <w:t xml:space="preserve"> [2016],</w:t>
      </w:r>
      <w:r w:rsidRPr="002316DF">
        <w:rPr>
          <w:rFonts w:ascii="Cambria" w:hAnsi="Cambria" w:cs="Times New Roman"/>
          <w:i/>
          <w:sz w:val="24"/>
          <w:szCs w:val="24"/>
        </w:rPr>
        <w:t xml:space="preserve"> </w:t>
      </w:r>
      <w:r w:rsidRPr="002316DF">
        <w:rPr>
          <w:rFonts w:ascii="Cambria" w:hAnsi="Cambria" w:cs="Times New Roman"/>
          <w:sz w:val="24"/>
          <w:szCs w:val="24"/>
        </w:rPr>
        <w:t xml:space="preserve">Wisconsin Supreme Court, N° </w:t>
      </w:r>
      <w:proofErr w:type="gramStart"/>
      <w:r w:rsidRPr="002316DF">
        <w:rPr>
          <w:rFonts w:ascii="Cambria" w:hAnsi="Cambria" w:cs="Times New Roman"/>
          <w:sz w:val="24"/>
          <w:szCs w:val="24"/>
        </w:rPr>
        <w:t>16-6387;</w:t>
      </w:r>
      <w:proofErr w:type="gramEnd"/>
    </w:p>
    <w:p w14:paraId="4E24D614" w14:textId="77777777" w:rsidR="00DE4880" w:rsidRPr="002316DF" w:rsidRDefault="00DE4880" w:rsidP="008553F4">
      <w:pPr>
        <w:pStyle w:val="FootnoteText"/>
        <w:spacing w:line="276" w:lineRule="auto"/>
        <w:jc w:val="both"/>
        <w:rPr>
          <w:rFonts w:ascii="Cambria" w:hAnsi="Cambria" w:cs="Times New Roman"/>
          <w:sz w:val="24"/>
          <w:szCs w:val="24"/>
        </w:rPr>
      </w:pPr>
    </w:p>
    <w:p w14:paraId="7635A304" w14:textId="77777777" w:rsidR="00DE4880" w:rsidRPr="002316DF" w:rsidRDefault="00DE4880" w:rsidP="008553F4">
      <w:pPr>
        <w:pStyle w:val="FootnoteText"/>
        <w:spacing w:line="276" w:lineRule="auto"/>
        <w:jc w:val="both"/>
        <w:rPr>
          <w:rFonts w:ascii="Cambria" w:hAnsi="Cambria" w:cs="Times New Roman"/>
          <w:sz w:val="24"/>
          <w:szCs w:val="24"/>
        </w:rPr>
      </w:pPr>
      <w:r w:rsidRPr="002316DF">
        <w:rPr>
          <w:rFonts w:ascii="Cambria" w:hAnsi="Cambria" w:cs="Times New Roman"/>
          <w:i/>
          <w:sz w:val="24"/>
          <w:szCs w:val="24"/>
        </w:rPr>
        <w:t xml:space="preserve">Kansas v Walls </w:t>
      </w:r>
      <w:r w:rsidRPr="002316DF">
        <w:rPr>
          <w:rFonts w:ascii="Cambria" w:hAnsi="Cambria" w:cs="Times New Roman"/>
          <w:sz w:val="24"/>
          <w:szCs w:val="24"/>
        </w:rPr>
        <w:t>[2017], Court of Appeal of the State of Kansas, N°116,027</w:t>
      </w:r>
    </w:p>
    <w:p w14:paraId="02BBC3EC" w14:textId="77777777" w:rsidR="00F67040" w:rsidRPr="002316DF" w:rsidRDefault="00F67040" w:rsidP="008553F4">
      <w:pPr>
        <w:pStyle w:val="FootnoteText"/>
        <w:spacing w:line="276" w:lineRule="auto"/>
        <w:jc w:val="both"/>
        <w:rPr>
          <w:rFonts w:ascii="Cambria" w:hAnsi="Cambria" w:cs="Times New Roman"/>
          <w:sz w:val="24"/>
          <w:szCs w:val="24"/>
        </w:rPr>
      </w:pPr>
    </w:p>
    <w:p w14:paraId="7857E4C3" w14:textId="77777777" w:rsidR="00DE4880" w:rsidRPr="002316DF" w:rsidRDefault="00DE4880" w:rsidP="008553F4">
      <w:pPr>
        <w:pStyle w:val="FootnoteText"/>
        <w:spacing w:line="276" w:lineRule="auto"/>
        <w:jc w:val="both"/>
        <w:rPr>
          <w:rFonts w:ascii="Cambria" w:hAnsi="Cambria" w:cs="Times New Roman"/>
          <w:sz w:val="24"/>
          <w:szCs w:val="24"/>
        </w:rPr>
      </w:pPr>
    </w:p>
    <w:p w14:paraId="5EEFF73D" w14:textId="77777777" w:rsidR="00DE4880" w:rsidRPr="00590F16" w:rsidRDefault="00DE4880" w:rsidP="008553F4">
      <w:pPr>
        <w:pStyle w:val="FootnoteText"/>
        <w:spacing w:line="276" w:lineRule="auto"/>
        <w:jc w:val="both"/>
        <w:rPr>
          <w:rFonts w:ascii="Cambria" w:hAnsi="Cambria" w:cs="Times New Roman"/>
          <w:sz w:val="24"/>
          <w:szCs w:val="24"/>
          <w:lang w:val="fr-LU"/>
        </w:rPr>
      </w:pPr>
      <w:r w:rsidRPr="002316DF">
        <w:rPr>
          <w:rFonts w:ascii="Cambria" w:hAnsi="Cambria" w:cs="Times New Roman"/>
          <w:sz w:val="24"/>
          <w:szCs w:val="24"/>
        </w:rPr>
        <w:tab/>
      </w:r>
      <w:r w:rsidRPr="00590F16">
        <w:rPr>
          <w:rFonts w:ascii="Cambria" w:hAnsi="Cambria" w:cs="Times New Roman"/>
          <w:sz w:val="24"/>
          <w:szCs w:val="24"/>
          <w:lang w:val="fr-LU"/>
        </w:rPr>
        <w:t>France</w:t>
      </w:r>
    </w:p>
    <w:p w14:paraId="36ECCD61" w14:textId="77777777" w:rsidR="00DE4880" w:rsidRPr="002316DF" w:rsidRDefault="00DE4880" w:rsidP="008553F4">
      <w:pPr>
        <w:pStyle w:val="FootnoteText"/>
        <w:spacing w:line="276" w:lineRule="auto"/>
        <w:jc w:val="both"/>
        <w:rPr>
          <w:rFonts w:ascii="Cambria" w:hAnsi="Cambria" w:cs="Times New Roman"/>
          <w:sz w:val="24"/>
          <w:szCs w:val="24"/>
          <w:lang w:val="fr-FR"/>
        </w:rPr>
      </w:pPr>
      <w:r w:rsidRPr="002316DF">
        <w:rPr>
          <w:rFonts w:ascii="Cambria" w:hAnsi="Cambria" w:cs="Times New Roman"/>
          <w:sz w:val="24"/>
          <w:szCs w:val="24"/>
          <w:lang w:val="fr-FR"/>
        </w:rPr>
        <w:t>Cour de cassation chambre criminelle, 23 janvier 1919 </w:t>
      </w:r>
    </w:p>
    <w:p w14:paraId="358FE37F" w14:textId="77777777" w:rsidR="00DE4880" w:rsidRPr="002316DF" w:rsidRDefault="00DE4880" w:rsidP="008553F4">
      <w:pPr>
        <w:pStyle w:val="FootnoteText"/>
        <w:spacing w:line="276" w:lineRule="auto"/>
        <w:jc w:val="both"/>
        <w:rPr>
          <w:rFonts w:ascii="Cambria" w:hAnsi="Cambria" w:cs="Times New Roman"/>
          <w:sz w:val="24"/>
          <w:szCs w:val="24"/>
          <w:lang w:val="fr-FR"/>
        </w:rPr>
      </w:pPr>
    </w:p>
    <w:p w14:paraId="6C175022" w14:textId="77777777" w:rsidR="00DE4880" w:rsidRPr="002316DF" w:rsidRDefault="00DE4880" w:rsidP="008553F4">
      <w:pPr>
        <w:pStyle w:val="FootnoteText"/>
        <w:spacing w:line="276" w:lineRule="auto"/>
        <w:jc w:val="both"/>
        <w:rPr>
          <w:rFonts w:ascii="Cambria" w:hAnsi="Cambria" w:cs="Times New Roman"/>
          <w:sz w:val="24"/>
          <w:szCs w:val="24"/>
          <w:lang w:val="fr-FR"/>
        </w:rPr>
      </w:pPr>
      <w:r w:rsidRPr="002316DF">
        <w:rPr>
          <w:rFonts w:ascii="Cambria" w:hAnsi="Cambria" w:cs="Times New Roman"/>
          <w:sz w:val="24"/>
          <w:szCs w:val="24"/>
          <w:lang w:val="fr-FR"/>
        </w:rPr>
        <w:lastRenderedPageBreak/>
        <w:t xml:space="preserve">Cour de cassation, chambre criminelle, 14 mars 1972, 71-91.077 ; </w:t>
      </w:r>
    </w:p>
    <w:p w14:paraId="556A0FC0" w14:textId="77777777" w:rsidR="00DE4880" w:rsidRPr="002316DF" w:rsidRDefault="00DE4880" w:rsidP="008553F4">
      <w:pPr>
        <w:pStyle w:val="FootnoteText"/>
        <w:spacing w:line="276" w:lineRule="auto"/>
        <w:jc w:val="both"/>
        <w:rPr>
          <w:rFonts w:ascii="Cambria" w:hAnsi="Cambria" w:cs="Times New Roman"/>
          <w:sz w:val="24"/>
          <w:szCs w:val="24"/>
          <w:lang w:val="fr-FR"/>
        </w:rPr>
      </w:pPr>
    </w:p>
    <w:p w14:paraId="60EB2C10" w14:textId="77777777" w:rsidR="00DE4880" w:rsidRPr="002316DF" w:rsidRDefault="00DE4880" w:rsidP="008553F4">
      <w:pPr>
        <w:pStyle w:val="FootnoteText"/>
        <w:spacing w:line="276" w:lineRule="auto"/>
        <w:jc w:val="both"/>
        <w:rPr>
          <w:rFonts w:ascii="Cambria" w:hAnsi="Cambria" w:cs="Times New Roman"/>
          <w:sz w:val="24"/>
          <w:szCs w:val="24"/>
          <w:lang w:val="fr-FR"/>
        </w:rPr>
      </w:pPr>
      <w:r w:rsidRPr="002316DF">
        <w:rPr>
          <w:rFonts w:ascii="Cambria" w:hAnsi="Cambria" w:cs="Times New Roman"/>
          <w:sz w:val="24"/>
          <w:szCs w:val="24"/>
          <w:lang w:val="fr-FR"/>
        </w:rPr>
        <w:t xml:space="preserve">Cour de cassation, Chambre criminelle, 30 juin 2004, 03-85019 ; </w:t>
      </w:r>
    </w:p>
    <w:p w14:paraId="3906508F" w14:textId="77777777" w:rsidR="00DE4880" w:rsidRPr="002316DF" w:rsidRDefault="00DE4880" w:rsidP="008553F4">
      <w:pPr>
        <w:pStyle w:val="FootnoteText"/>
        <w:spacing w:line="276" w:lineRule="auto"/>
        <w:rPr>
          <w:rFonts w:ascii="Cambria" w:hAnsi="Cambria" w:cs="Times New Roman"/>
          <w:sz w:val="24"/>
          <w:szCs w:val="24"/>
          <w:lang w:val="fr-FR"/>
        </w:rPr>
      </w:pPr>
    </w:p>
    <w:p w14:paraId="424D4342" w14:textId="77777777" w:rsidR="00DE4880" w:rsidRPr="002316DF" w:rsidRDefault="00DE4880" w:rsidP="008553F4">
      <w:pPr>
        <w:pStyle w:val="FootnoteText"/>
        <w:spacing w:line="276" w:lineRule="auto"/>
        <w:jc w:val="both"/>
        <w:rPr>
          <w:rFonts w:ascii="Cambria" w:hAnsi="Cambria" w:cs="Times New Roman"/>
          <w:sz w:val="24"/>
          <w:szCs w:val="24"/>
          <w:lang w:val="fr-FR"/>
        </w:rPr>
      </w:pPr>
      <w:r w:rsidRPr="002316DF">
        <w:rPr>
          <w:rFonts w:ascii="Cambria" w:hAnsi="Cambria" w:cs="Times New Roman"/>
          <w:sz w:val="24"/>
          <w:szCs w:val="24"/>
          <w:lang w:val="fr-FR"/>
        </w:rPr>
        <w:t>Cour de cassation, 2</w:t>
      </w:r>
      <w:r w:rsidRPr="002316DF">
        <w:rPr>
          <w:rFonts w:ascii="Cambria" w:hAnsi="Cambria" w:cs="Times New Roman"/>
          <w:sz w:val="24"/>
          <w:szCs w:val="24"/>
          <w:vertAlign w:val="superscript"/>
          <w:lang w:val="fr-FR"/>
        </w:rPr>
        <w:t>ème</w:t>
      </w:r>
      <w:r w:rsidRPr="002316DF">
        <w:rPr>
          <w:rFonts w:ascii="Cambria" w:hAnsi="Cambria" w:cs="Times New Roman"/>
          <w:sz w:val="24"/>
          <w:szCs w:val="24"/>
          <w:lang w:val="fr-FR"/>
        </w:rPr>
        <w:t xml:space="preserve"> chambre civile, arrêt du 13 avril 2008, n° 07-16824 ; </w:t>
      </w:r>
    </w:p>
    <w:p w14:paraId="291A157E" w14:textId="77777777" w:rsidR="00DE4880" w:rsidRPr="002316DF" w:rsidRDefault="00DE4880" w:rsidP="008553F4">
      <w:pPr>
        <w:pStyle w:val="FootnoteText"/>
        <w:spacing w:line="276" w:lineRule="auto"/>
        <w:jc w:val="both"/>
        <w:rPr>
          <w:rFonts w:ascii="Cambria" w:hAnsi="Cambria" w:cs="Times New Roman"/>
          <w:sz w:val="24"/>
          <w:szCs w:val="24"/>
          <w:lang w:val="fr-FR"/>
        </w:rPr>
      </w:pPr>
    </w:p>
    <w:p w14:paraId="68B7466E" w14:textId="77777777" w:rsidR="00DE4880" w:rsidRPr="002316DF" w:rsidRDefault="00DE4880" w:rsidP="008553F4">
      <w:pPr>
        <w:pStyle w:val="FootnoteText"/>
        <w:spacing w:line="276" w:lineRule="auto"/>
        <w:jc w:val="both"/>
        <w:rPr>
          <w:rFonts w:ascii="Cambria" w:hAnsi="Cambria" w:cs="Times New Roman"/>
          <w:sz w:val="24"/>
          <w:szCs w:val="24"/>
          <w:lang w:val="fr-FR"/>
        </w:rPr>
      </w:pPr>
      <w:r w:rsidRPr="002316DF">
        <w:rPr>
          <w:rFonts w:ascii="Cambria" w:hAnsi="Cambria" w:cs="Times New Roman"/>
          <w:sz w:val="24"/>
          <w:szCs w:val="24"/>
          <w:lang w:val="fr-FR"/>
        </w:rPr>
        <w:t>Cour de cassation, 2</w:t>
      </w:r>
      <w:r w:rsidRPr="002316DF">
        <w:rPr>
          <w:rFonts w:ascii="Cambria" w:hAnsi="Cambria" w:cs="Times New Roman"/>
          <w:sz w:val="24"/>
          <w:szCs w:val="24"/>
          <w:vertAlign w:val="superscript"/>
          <w:lang w:val="fr-FR"/>
        </w:rPr>
        <w:t>ème</w:t>
      </w:r>
      <w:r w:rsidRPr="002316DF">
        <w:rPr>
          <w:rFonts w:ascii="Cambria" w:hAnsi="Cambria" w:cs="Times New Roman"/>
          <w:sz w:val="24"/>
          <w:szCs w:val="24"/>
          <w:lang w:val="fr-FR"/>
        </w:rPr>
        <w:t xml:space="preserve"> chambre civile, arrêt du 8 septembre 2011, n° 19919 ; </w:t>
      </w:r>
    </w:p>
    <w:p w14:paraId="5A15EAFC" w14:textId="77777777" w:rsidR="00DE4880" w:rsidRPr="002316DF" w:rsidRDefault="00DE4880" w:rsidP="008553F4">
      <w:pPr>
        <w:pStyle w:val="FootnoteText"/>
        <w:spacing w:line="276" w:lineRule="auto"/>
        <w:jc w:val="both"/>
        <w:rPr>
          <w:rFonts w:ascii="Cambria" w:hAnsi="Cambria" w:cs="Times New Roman"/>
          <w:sz w:val="24"/>
          <w:szCs w:val="24"/>
          <w:lang w:val="fr-FR"/>
        </w:rPr>
      </w:pPr>
    </w:p>
    <w:p w14:paraId="15E4BD83" w14:textId="77777777" w:rsidR="00DE4880" w:rsidRPr="002316DF" w:rsidRDefault="00DE4880" w:rsidP="008553F4">
      <w:pPr>
        <w:pStyle w:val="FootnoteText"/>
        <w:spacing w:line="276" w:lineRule="auto"/>
        <w:jc w:val="both"/>
        <w:rPr>
          <w:rFonts w:ascii="Cambria" w:hAnsi="Cambria" w:cs="Times New Roman"/>
          <w:sz w:val="24"/>
          <w:szCs w:val="24"/>
          <w:lang w:val="fr-LU"/>
        </w:rPr>
      </w:pPr>
      <w:r w:rsidRPr="002316DF">
        <w:rPr>
          <w:rFonts w:ascii="Cambria" w:hAnsi="Cambria" w:cs="Times New Roman"/>
          <w:sz w:val="24"/>
          <w:szCs w:val="24"/>
          <w:lang w:val="fr-FR"/>
        </w:rPr>
        <w:t>Cour de cassation, 2</w:t>
      </w:r>
      <w:r w:rsidRPr="002316DF">
        <w:rPr>
          <w:rFonts w:ascii="Cambria" w:hAnsi="Cambria" w:cs="Times New Roman"/>
          <w:sz w:val="24"/>
          <w:szCs w:val="24"/>
          <w:vertAlign w:val="superscript"/>
          <w:lang w:val="fr-FR"/>
        </w:rPr>
        <w:t>ème</w:t>
      </w:r>
      <w:r w:rsidRPr="002316DF">
        <w:rPr>
          <w:rFonts w:ascii="Cambria" w:hAnsi="Cambria" w:cs="Times New Roman"/>
          <w:sz w:val="24"/>
          <w:szCs w:val="24"/>
          <w:lang w:val="fr-FR"/>
        </w:rPr>
        <w:t xml:space="preserve"> chambre civile arrêt du 7 septembre 2017, n°16-15531.</w:t>
      </w:r>
    </w:p>
    <w:p w14:paraId="0346F6A7" w14:textId="77777777" w:rsidR="00DE4880" w:rsidRPr="002316DF" w:rsidRDefault="00DE4880" w:rsidP="008553F4">
      <w:pPr>
        <w:pStyle w:val="FootnoteText"/>
        <w:spacing w:line="276" w:lineRule="auto"/>
        <w:jc w:val="both"/>
        <w:rPr>
          <w:rFonts w:ascii="Cambria" w:hAnsi="Cambria" w:cs="Times New Roman"/>
          <w:sz w:val="24"/>
          <w:szCs w:val="24"/>
          <w:lang w:val="fr-LU"/>
        </w:rPr>
      </w:pPr>
    </w:p>
    <w:p w14:paraId="547110A6" w14:textId="77777777" w:rsidR="00FB7AF1" w:rsidRPr="002316DF" w:rsidRDefault="00FB7AF1" w:rsidP="008553F4">
      <w:pPr>
        <w:pStyle w:val="FootnoteText"/>
        <w:spacing w:line="276" w:lineRule="auto"/>
        <w:jc w:val="both"/>
        <w:rPr>
          <w:rFonts w:ascii="Cambria" w:hAnsi="Cambria" w:cs="Times New Roman"/>
          <w:sz w:val="24"/>
          <w:szCs w:val="24"/>
          <w:lang w:val="fr-FR"/>
        </w:rPr>
      </w:pPr>
    </w:p>
    <w:p w14:paraId="1098A20D" w14:textId="77777777" w:rsidR="00FB7AF1" w:rsidRPr="002316DF" w:rsidRDefault="00FB7AF1" w:rsidP="008553F4">
      <w:pPr>
        <w:pStyle w:val="FootnoteText"/>
        <w:spacing w:line="276" w:lineRule="auto"/>
        <w:ind w:firstLine="720"/>
        <w:jc w:val="both"/>
        <w:rPr>
          <w:rFonts w:ascii="Cambria" w:hAnsi="Cambria" w:cs="Times New Roman"/>
          <w:sz w:val="24"/>
          <w:szCs w:val="24"/>
        </w:rPr>
      </w:pPr>
      <w:r w:rsidRPr="002316DF">
        <w:rPr>
          <w:rFonts w:ascii="Cambria" w:hAnsi="Cambria" w:cs="Times New Roman"/>
          <w:sz w:val="24"/>
          <w:szCs w:val="24"/>
        </w:rPr>
        <w:t>EUROPEAN TEXT</w:t>
      </w:r>
    </w:p>
    <w:p w14:paraId="4A8D8CDC" w14:textId="77777777" w:rsidR="00FB7AF1" w:rsidRPr="002316DF" w:rsidRDefault="00FB7AF1" w:rsidP="008553F4">
      <w:pPr>
        <w:pStyle w:val="FootnoteText"/>
        <w:spacing w:line="276" w:lineRule="auto"/>
        <w:jc w:val="both"/>
        <w:rPr>
          <w:rFonts w:ascii="Cambria" w:hAnsi="Cambria" w:cs="Times New Roman"/>
          <w:sz w:val="24"/>
          <w:szCs w:val="24"/>
        </w:rPr>
      </w:pPr>
    </w:p>
    <w:p w14:paraId="3361C058" w14:textId="77777777" w:rsidR="00FB7AF1" w:rsidRPr="002316DF" w:rsidRDefault="00FB7AF1"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ab/>
        <w:t>European Union</w:t>
      </w:r>
    </w:p>
    <w:p w14:paraId="481CC370" w14:textId="77777777" w:rsidR="00166DCC" w:rsidRPr="002316DF" w:rsidRDefault="00166DCC"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European Union, Charter of Fundamental Rights of the European Union, 2000/C 364/01, adopted on 18 December 2000.</w:t>
      </w:r>
    </w:p>
    <w:p w14:paraId="128286DE" w14:textId="77777777" w:rsidR="00F67040" w:rsidRPr="002316DF" w:rsidRDefault="00F67040" w:rsidP="008553F4">
      <w:pPr>
        <w:pStyle w:val="FootnoteText"/>
        <w:spacing w:line="276" w:lineRule="auto"/>
        <w:jc w:val="both"/>
        <w:rPr>
          <w:rFonts w:ascii="Cambria" w:hAnsi="Cambria" w:cs="Times New Roman"/>
          <w:sz w:val="24"/>
          <w:szCs w:val="24"/>
        </w:rPr>
      </w:pPr>
    </w:p>
    <w:p w14:paraId="347CAAB2" w14:textId="77777777" w:rsidR="00166DCC" w:rsidRPr="002316DF" w:rsidRDefault="00166DCC"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 xml:space="preserve">European Union, Consolidated Version of the Treaty on European </w:t>
      </w:r>
      <w:proofErr w:type="gramStart"/>
      <w:r w:rsidRPr="002316DF">
        <w:rPr>
          <w:rFonts w:ascii="Cambria" w:hAnsi="Cambria" w:cs="Times New Roman"/>
          <w:sz w:val="24"/>
          <w:szCs w:val="24"/>
        </w:rPr>
        <w:t>Union</w:t>
      </w:r>
      <w:proofErr w:type="gramEnd"/>
      <w:r w:rsidRPr="002316DF">
        <w:rPr>
          <w:rFonts w:ascii="Cambria" w:hAnsi="Cambria" w:cs="Times New Roman"/>
          <w:sz w:val="24"/>
          <w:szCs w:val="24"/>
        </w:rPr>
        <w:t xml:space="preserve"> and the Treaty on the functioning of the European Union, signed on 13 December 2007, 2008/C115/01</w:t>
      </w:r>
    </w:p>
    <w:p w14:paraId="2DAD4369" w14:textId="77777777" w:rsidR="00F67040" w:rsidRPr="002316DF" w:rsidRDefault="00F67040" w:rsidP="008553F4">
      <w:pPr>
        <w:pStyle w:val="FootnoteText"/>
        <w:spacing w:line="276" w:lineRule="auto"/>
        <w:jc w:val="both"/>
        <w:rPr>
          <w:rFonts w:ascii="Cambria" w:hAnsi="Cambria" w:cs="Times New Roman"/>
          <w:sz w:val="24"/>
          <w:szCs w:val="24"/>
        </w:rPr>
      </w:pPr>
    </w:p>
    <w:p w14:paraId="6AFFD754" w14:textId="77777777" w:rsidR="00166DCC" w:rsidRPr="002316DF" w:rsidRDefault="00166DCC"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 xml:space="preserve">European Parliament and Council, </w:t>
      </w:r>
      <w:r w:rsidRPr="002316DF">
        <w:rPr>
          <w:rFonts w:ascii="Cambria" w:hAnsi="Cambria" w:cs="Times New Roman"/>
          <w:i/>
          <w:sz w:val="24"/>
          <w:szCs w:val="24"/>
        </w:rPr>
        <w:t xml:space="preserve">General Data Protection Regulation, </w:t>
      </w:r>
      <w:r w:rsidRPr="002316DF">
        <w:rPr>
          <w:rFonts w:ascii="Cambria" w:hAnsi="Cambria" w:cs="Times New Roman"/>
          <w:sz w:val="24"/>
          <w:szCs w:val="24"/>
        </w:rPr>
        <w:t>Regulation (EU) 2016/679 adopted on 27 April 2016.</w:t>
      </w:r>
    </w:p>
    <w:p w14:paraId="73F49697" w14:textId="77777777" w:rsidR="00F67040" w:rsidRPr="002316DF" w:rsidRDefault="00F67040" w:rsidP="008553F4">
      <w:pPr>
        <w:pStyle w:val="FootnoteText"/>
        <w:spacing w:line="276" w:lineRule="auto"/>
        <w:jc w:val="both"/>
        <w:rPr>
          <w:rFonts w:ascii="Cambria" w:hAnsi="Cambria" w:cs="Times New Roman"/>
          <w:sz w:val="24"/>
          <w:szCs w:val="24"/>
        </w:rPr>
      </w:pPr>
    </w:p>
    <w:p w14:paraId="09422069" w14:textId="77777777" w:rsidR="00166DCC" w:rsidRPr="002316DF" w:rsidRDefault="00166DCC"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 xml:space="preserve">European Parliament and Council of the European Union, </w:t>
      </w:r>
      <w:r w:rsidRPr="002316DF">
        <w:rPr>
          <w:rFonts w:ascii="Cambria" w:hAnsi="Cambria" w:cs="Times New Roman"/>
          <w:i/>
          <w:sz w:val="24"/>
          <w:szCs w:val="24"/>
        </w:rPr>
        <w:t xml:space="preserve">Draft Regulation on a European approach for Artificial Intelligence, </w:t>
      </w:r>
      <w:r w:rsidRPr="002316DF">
        <w:rPr>
          <w:rFonts w:ascii="Cambria" w:hAnsi="Cambria" w:cs="Times New Roman"/>
          <w:sz w:val="24"/>
          <w:szCs w:val="24"/>
        </w:rPr>
        <w:t>published on 21</w:t>
      </w:r>
      <w:r w:rsidRPr="002316DF">
        <w:rPr>
          <w:rFonts w:ascii="Cambria" w:hAnsi="Cambria" w:cs="Times New Roman"/>
          <w:sz w:val="24"/>
          <w:szCs w:val="24"/>
          <w:vertAlign w:val="superscript"/>
        </w:rPr>
        <w:t>st</w:t>
      </w:r>
      <w:r w:rsidRPr="002316DF">
        <w:rPr>
          <w:rFonts w:ascii="Cambria" w:hAnsi="Cambria" w:cs="Times New Roman"/>
          <w:sz w:val="24"/>
          <w:szCs w:val="24"/>
        </w:rPr>
        <w:t xml:space="preserve"> April 2021.</w:t>
      </w:r>
    </w:p>
    <w:p w14:paraId="48E211DE" w14:textId="77777777" w:rsidR="00FB7AF1" w:rsidRPr="002316DF" w:rsidRDefault="00FB7AF1" w:rsidP="008553F4">
      <w:pPr>
        <w:pStyle w:val="FootnoteText"/>
        <w:spacing w:line="276" w:lineRule="auto"/>
        <w:jc w:val="both"/>
        <w:rPr>
          <w:rFonts w:ascii="Cambria" w:hAnsi="Cambria" w:cs="Times New Roman"/>
          <w:sz w:val="24"/>
          <w:szCs w:val="24"/>
        </w:rPr>
      </w:pPr>
    </w:p>
    <w:p w14:paraId="23D4548E" w14:textId="77777777" w:rsidR="00FB7AF1" w:rsidRPr="002316DF" w:rsidRDefault="00FB7AF1" w:rsidP="008553F4">
      <w:pPr>
        <w:pStyle w:val="FootnoteText"/>
        <w:spacing w:line="276" w:lineRule="auto"/>
        <w:jc w:val="both"/>
        <w:rPr>
          <w:rFonts w:ascii="Cambria" w:hAnsi="Cambria" w:cs="Times New Roman"/>
          <w:sz w:val="24"/>
          <w:szCs w:val="24"/>
        </w:rPr>
      </w:pPr>
    </w:p>
    <w:p w14:paraId="23BC9C70" w14:textId="77777777" w:rsidR="00FB7AF1" w:rsidRPr="002316DF" w:rsidRDefault="00FB7AF1"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ab/>
        <w:t>Council of Europe</w:t>
      </w:r>
    </w:p>
    <w:p w14:paraId="15CA27CB" w14:textId="77777777" w:rsidR="00FB7AF1" w:rsidRPr="002316DF" w:rsidRDefault="00FB7AF1"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ab/>
      </w:r>
    </w:p>
    <w:p w14:paraId="07654594" w14:textId="77777777" w:rsidR="0023179E" w:rsidRPr="002316DF" w:rsidRDefault="0023179E" w:rsidP="008553F4">
      <w:pPr>
        <w:pStyle w:val="FootnoteText"/>
        <w:spacing w:line="276" w:lineRule="auto"/>
        <w:jc w:val="both"/>
        <w:rPr>
          <w:rStyle w:val="FootnoteReference"/>
          <w:rFonts w:ascii="Cambria" w:hAnsi="Cambria" w:cs="Times New Roman"/>
          <w:sz w:val="24"/>
          <w:szCs w:val="24"/>
        </w:rPr>
      </w:pPr>
    </w:p>
    <w:p w14:paraId="532B0665" w14:textId="77777777" w:rsidR="0023179E" w:rsidRPr="002316DF" w:rsidRDefault="0023179E"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Council of Europe, European Convention for the Protection of Human Rights and Fundamental Freedoms, as amended by protocols Nos. 11 and 14, adopted on 4 November 1950, ETS 5</w:t>
      </w:r>
      <w:r w:rsidR="00166DCC" w:rsidRPr="002316DF">
        <w:rPr>
          <w:rFonts w:ascii="Cambria" w:hAnsi="Cambria" w:cs="Times New Roman"/>
          <w:sz w:val="24"/>
          <w:szCs w:val="24"/>
        </w:rPr>
        <w:t>.</w:t>
      </w:r>
    </w:p>
    <w:p w14:paraId="34A14368" w14:textId="77777777" w:rsidR="00FA3F05" w:rsidRPr="002316DF" w:rsidRDefault="00FA3F05" w:rsidP="008553F4">
      <w:pPr>
        <w:pStyle w:val="FootnoteText"/>
        <w:spacing w:line="276" w:lineRule="auto"/>
        <w:jc w:val="both"/>
        <w:rPr>
          <w:rFonts w:ascii="Cambria" w:hAnsi="Cambria" w:cs="Times New Roman"/>
          <w:sz w:val="24"/>
          <w:szCs w:val="24"/>
          <w:shd w:val="clear" w:color="auto" w:fill="FFFFFF"/>
        </w:rPr>
      </w:pPr>
      <w:r w:rsidRPr="002316DF">
        <w:rPr>
          <w:rFonts w:ascii="Cambria" w:hAnsi="Cambria" w:cs="Times New Roman"/>
          <w:sz w:val="24"/>
          <w:szCs w:val="24"/>
          <w:shd w:val="clear" w:color="auto" w:fill="FFFFFF"/>
        </w:rPr>
        <w:t>European Charter on the Statutes for Judges (1998</w:t>
      </w:r>
      <w:proofErr w:type="gramStart"/>
      <w:r w:rsidRPr="002316DF">
        <w:rPr>
          <w:rFonts w:ascii="Cambria" w:hAnsi="Cambria" w:cs="Times New Roman"/>
          <w:sz w:val="24"/>
          <w:szCs w:val="24"/>
          <w:shd w:val="clear" w:color="auto" w:fill="FFFFFF"/>
        </w:rPr>
        <w:t>);</w:t>
      </w:r>
      <w:proofErr w:type="gramEnd"/>
    </w:p>
    <w:p w14:paraId="29A3CA25" w14:textId="77777777" w:rsidR="00FA3F05" w:rsidRPr="002316DF" w:rsidRDefault="00FA3F05" w:rsidP="008553F4">
      <w:pPr>
        <w:pStyle w:val="FootnoteText"/>
        <w:spacing w:line="276" w:lineRule="auto"/>
        <w:jc w:val="both"/>
        <w:rPr>
          <w:rFonts w:ascii="Cambria" w:hAnsi="Cambria" w:cs="Times New Roman"/>
          <w:sz w:val="24"/>
          <w:szCs w:val="24"/>
        </w:rPr>
      </w:pPr>
    </w:p>
    <w:p w14:paraId="0B8EAD5C" w14:textId="77777777" w:rsidR="00166DCC" w:rsidRPr="002316DF" w:rsidRDefault="00166DCC" w:rsidP="008553F4">
      <w:pPr>
        <w:pStyle w:val="FootnoteText"/>
        <w:spacing w:line="276" w:lineRule="auto"/>
        <w:jc w:val="both"/>
        <w:rPr>
          <w:rFonts w:ascii="Cambria" w:hAnsi="Cambria" w:cs="Times New Roman"/>
          <w:sz w:val="24"/>
          <w:szCs w:val="24"/>
          <w:shd w:val="clear" w:color="auto" w:fill="FFFFFF"/>
        </w:rPr>
      </w:pPr>
      <w:r w:rsidRPr="002316DF">
        <w:rPr>
          <w:rFonts w:ascii="Cambria" w:hAnsi="Cambria" w:cs="Times New Roman"/>
          <w:sz w:val="24"/>
          <w:szCs w:val="24"/>
          <w:shd w:val="clear" w:color="auto" w:fill="FFFFFF"/>
        </w:rPr>
        <w:t>European Commission for Democracy Through Law: European standards on the independence of the judiciary; Rule of Law Checklist, 2016</w:t>
      </w:r>
    </w:p>
    <w:p w14:paraId="7B9D5392" w14:textId="77777777" w:rsidR="00F67040" w:rsidRPr="002316DF" w:rsidRDefault="00F67040" w:rsidP="008553F4">
      <w:pPr>
        <w:pStyle w:val="FootnoteText"/>
        <w:spacing w:line="276" w:lineRule="auto"/>
        <w:jc w:val="both"/>
        <w:rPr>
          <w:rFonts w:ascii="Cambria" w:hAnsi="Cambria" w:cs="Times New Roman"/>
          <w:sz w:val="24"/>
          <w:szCs w:val="24"/>
          <w:shd w:val="clear" w:color="auto" w:fill="FFFFFF"/>
        </w:rPr>
      </w:pPr>
    </w:p>
    <w:p w14:paraId="5D9C0E3C" w14:textId="77777777" w:rsidR="00166DCC" w:rsidRPr="002316DF" w:rsidRDefault="00166DCC" w:rsidP="008553F4">
      <w:pPr>
        <w:pStyle w:val="FootnoteText"/>
        <w:spacing w:line="276" w:lineRule="auto"/>
        <w:jc w:val="both"/>
        <w:rPr>
          <w:rFonts w:ascii="Cambria" w:hAnsi="Cambria" w:cs="Times New Roman"/>
          <w:sz w:val="24"/>
          <w:szCs w:val="24"/>
          <w:shd w:val="clear" w:color="auto" w:fill="FFFFFF"/>
        </w:rPr>
      </w:pPr>
      <w:r w:rsidRPr="002316DF">
        <w:rPr>
          <w:rFonts w:ascii="Cambria" w:hAnsi="Cambria" w:cs="Times New Roman"/>
          <w:sz w:val="24"/>
          <w:szCs w:val="24"/>
          <w:shd w:val="clear" w:color="auto" w:fill="FFFFFF"/>
        </w:rPr>
        <w:t>Consultative Council of European Judges, Magna Carta of Judges (2010).</w:t>
      </w:r>
    </w:p>
    <w:p w14:paraId="46DAF9ED" w14:textId="77777777" w:rsidR="00F67040" w:rsidRPr="002316DF" w:rsidRDefault="00F67040" w:rsidP="008553F4">
      <w:pPr>
        <w:pStyle w:val="FootnoteText"/>
        <w:spacing w:line="276" w:lineRule="auto"/>
        <w:jc w:val="both"/>
        <w:rPr>
          <w:rFonts w:ascii="Cambria" w:hAnsi="Cambria" w:cs="Times New Roman"/>
          <w:sz w:val="24"/>
          <w:szCs w:val="24"/>
          <w:shd w:val="clear" w:color="auto" w:fill="FFFFFF"/>
        </w:rPr>
      </w:pPr>
    </w:p>
    <w:p w14:paraId="59B2C2AD" w14:textId="77777777" w:rsidR="00FA3F05" w:rsidRPr="002316DF" w:rsidRDefault="00FA3F05"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shd w:val="clear" w:color="auto" w:fill="FFFFFF"/>
        </w:rPr>
        <w:lastRenderedPageBreak/>
        <w:t xml:space="preserve">Committee of Ministers, Judges, Independence, </w:t>
      </w:r>
      <w:proofErr w:type="gramStart"/>
      <w:r w:rsidRPr="002316DF">
        <w:rPr>
          <w:rFonts w:ascii="Cambria" w:hAnsi="Cambria" w:cs="Times New Roman"/>
          <w:sz w:val="24"/>
          <w:szCs w:val="24"/>
          <w:shd w:val="clear" w:color="auto" w:fill="FFFFFF"/>
        </w:rPr>
        <w:t>Efficiency</w:t>
      </w:r>
      <w:proofErr w:type="gramEnd"/>
      <w:r w:rsidRPr="002316DF">
        <w:rPr>
          <w:rFonts w:ascii="Cambria" w:hAnsi="Cambria" w:cs="Times New Roman"/>
          <w:sz w:val="24"/>
          <w:szCs w:val="24"/>
          <w:shd w:val="clear" w:color="auto" w:fill="FFFFFF"/>
        </w:rPr>
        <w:t xml:space="preserve"> and responsibility (2010).</w:t>
      </w:r>
    </w:p>
    <w:p w14:paraId="39E34EEC" w14:textId="77777777" w:rsidR="00FA3F05" w:rsidRPr="002316DF" w:rsidRDefault="00FA3F05" w:rsidP="008553F4">
      <w:pPr>
        <w:pStyle w:val="FootnoteText"/>
        <w:spacing w:line="276" w:lineRule="auto"/>
        <w:jc w:val="both"/>
        <w:rPr>
          <w:rFonts w:ascii="Cambria" w:hAnsi="Cambria" w:cs="Times New Roman"/>
          <w:sz w:val="24"/>
          <w:szCs w:val="24"/>
          <w:shd w:val="clear" w:color="auto" w:fill="FFFFFF"/>
        </w:rPr>
      </w:pPr>
    </w:p>
    <w:p w14:paraId="60579909" w14:textId="77777777" w:rsidR="00166DCC" w:rsidRPr="002316DF" w:rsidRDefault="000C06EE" w:rsidP="008553F4">
      <w:pPr>
        <w:pStyle w:val="FootnoteText"/>
        <w:spacing w:line="276" w:lineRule="auto"/>
        <w:jc w:val="both"/>
        <w:rPr>
          <w:rFonts w:ascii="Cambria" w:hAnsi="Cambria" w:cs="Times New Roman"/>
          <w:sz w:val="24"/>
          <w:szCs w:val="24"/>
          <w:shd w:val="clear" w:color="auto" w:fill="FFFFFF"/>
        </w:rPr>
      </w:pPr>
      <w:r w:rsidRPr="002316DF">
        <w:rPr>
          <w:rFonts w:ascii="Cambria" w:hAnsi="Cambria" w:cs="Times New Roman"/>
          <w:sz w:val="24"/>
          <w:szCs w:val="24"/>
          <w:shd w:val="clear" w:color="auto" w:fill="FFFFFF"/>
        </w:rPr>
        <w:t>Consultative council of the European Judges, Opinion N°1, adopted on 23 November 2001</w:t>
      </w:r>
    </w:p>
    <w:p w14:paraId="1B96DE4A" w14:textId="77777777" w:rsidR="0023179E" w:rsidRPr="002316DF" w:rsidRDefault="0023179E" w:rsidP="008553F4">
      <w:pPr>
        <w:pStyle w:val="FootnoteText"/>
        <w:spacing w:line="276" w:lineRule="auto"/>
        <w:jc w:val="both"/>
        <w:rPr>
          <w:rStyle w:val="FootnoteReference"/>
          <w:rFonts w:ascii="Cambria" w:hAnsi="Cambria" w:cs="Times New Roman"/>
          <w:sz w:val="24"/>
          <w:szCs w:val="24"/>
        </w:rPr>
      </w:pPr>
    </w:p>
    <w:p w14:paraId="05DA8591" w14:textId="77777777" w:rsidR="00562A1F" w:rsidRPr="002316DF" w:rsidRDefault="00562A1F"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Committee on legal affairs and Human rights, ‘Justice by algorithm – The role of artificial intelligence in policing and criminal justice systems’ (2020), (Provisional version).</w:t>
      </w:r>
    </w:p>
    <w:p w14:paraId="2B42C67F" w14:textId="77777777" w:rsidR="00E94148" w:rsidRPr="002316DF" w:rsidRDefault="00E94148" w:rsidP="008553F4">
      <w:pPr>
        <w:pStyle w:val="FootnoteText"/>
        <w:spacing w:line="276" w:lineRule="auto"/>
        <w:jc w:val="both"/>
        <w:rPr>
          <w:rFonts w:ascii="Cambria" w:hAnsi="Cambria" w:cs="Times New Roman"/>
          <w:sz w:val="24"/>
          <w:szCs w:val="24"/>
        </w:rPr>
      </w:pPr>
    </w:p>
    <w:p w14:paraId="3BC5C02B" w14:textId="77777777" w:rsidR="00DE4880" w:rsidRPr="002316DF" w:rsidRDefault="00DE4880"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 xml:space="preserve">Council of Europe’s Ad Hoc committee on Artificial intelligence, Artificial intelligence, Human rights </w:t>
      </w:r>
      <w:proofErr w:type="gramStart"/>
      <w:r w:rsidRPr="002316DF">
        <w:rPr>
          <w:rFonts w:ascii="Cambria" w:hAnsi="Cambria" w:cs="Times New Roman"/>
          <w:sz w:val="24"/>
          <w:szCs w:val="24"/>
        </w:rPr>
        <w:t>democracy</w:t>
      </w:r>
      <w:proofErr w:type="gramEnd"/>
      <w:r w:rsidRPr="002316DF">
        <w:rPr>
          <w:rFonts w:ascii="Cambria" w:hAnsi="Cambria" w:cs="Times New Roman"/>
          <w:sz w:val="24"/>
          <w:szCs w:val="24"/>
        </w:rPr>
        <w:t xml:space="preserve"> and the Rule of Law a primer, (2019) </w:t>
      </w:r>
      <w:r w:rsidRPr="002316DF">
        <w:rPr>
          <w:rFonts w:ascii="Cambria" w:hAnsi="Cambria" w:cs="Times New Roman"/>
          <w:i/>
          <w:iCs/>
          <w:sz w:val="24"/>
          <w:szCs w:val="24"/>
        </w:rPr>
        <w:t>The Alan Turing Institute</w:t>
      </w:r>
    </w:p>
    <w:p w14:paraId="2C69F6C8" w14:textId="77777777" w:rsidR="00DE4880" w:rsidRPr="002316DF" w:rsidRDefault="00DE4880" w:rsidP="008553F4">
      <w:pPr>
        <w:pStyle w:val="FootnoteText"/>
        <w:spacing w:line="276" w:lineRule="auto"/>
        <w:jc w:val="both"/>
        <w:rPr>
          <w:rFonts w:ascii="Cambria" w:hAnsi="Cambria" w:cs="Times New Roman"/>
          <w:sz w:val="24"/>
          <w:szCs w:val="24"/>
        </w:rPr>
      </w:pPr>
    </w:p>
    <w:p w14:paraId="782D233B" w14:textId="77777777" w:rsidR="0023179E" w:rsidRPr="002316DF" w:rsidRDefault="00166DCC"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ab/>
        <w:t>Reports and opinions</w:t>
      </w:r>
    </w:p>
    <w:p w14:paraId="76AD80B2" w14:textId="77777777" w:rsidR="00DE4880" w:rsidRPr="002316DF" w:rsidRDefault="00DE4880" w:rsidP="008553F4">
      <w:pPr>
        <w:pStyle w:val="FootnoteText"/>
        <w:spacing w:line="276" w:lineRule="auto"/>
        <w:jc w:val="both"/>
        <w:rPr>
          <w:rStyle w:val="FootnoteReference"/>
          <w:rFonts w:ascii="Cambria" w:hAnsi="Cambria" w:cs="Times New Roman"/>
          <w:sz w:val="24"/>
          <w:szCs w:val="24"/>
          <w:vertAlign w:val="baseline"/>
        </w:rPr>
      </w:pPr>
    </w:p>
    <w:p w14:paraId="792F2D03" w14:textId="77777777" w:rsidR="00166DCC" w:rsidRPr="002316DF" w:rsidRDefault="00166DCC"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shd w:val="clear" w:color="auto" w:fill="FFFFFF"/>
        </w:rPr>
        <w:t>Consultative Council of European Judges, opinion N°18/2015</w:t>
      </w:r>
    </w:p>
    <w:p w14:paraId="21DED224" w14:textId="77777777" w:rsidR="00166DCC" w:rsidRPr="002316DF" w:rsidRDefault="00166DCC" w:rsidP="008553F4">
      <w:pPr>
        <w:pStyle w:val="FootnoteText"/>
        <w:spacing w:line="276" w:lineRule="auto"/>
        <w:jc w:val="both"/>
        <w:rPr>
          <w:rFonts w:ascii="Cambria" w:hAnsi="Cambria" w:cs="Times New Roman"/>
          <w:sz w:val="24"/>
          <w:szCs w:val="24"/>
        </w:rPr>
      </w:pPr>
    </w:p>
    <w:p w14:paraId="7C3060E7" w14:textId="77777777" w:rsidR="0023179E" w:rsidRPr="002316DF" w:rsidRDefault="0023179E"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Article 29 Data protection working party, ‘Guidelines on Automated individual decision-making and profiling for the purposes of Regulation 2016/679, adopted on 3 October 2017, p8.</w:t>
      </w:r>
    </w:p>
    <w:p w14:paraId="6702761A" w14:textId="77777777" w:rsidR="0023179E" w:rsidRPr="002316DF" w:rsidRDefault="0023179E" w:rsidP="008553F4">
      <w:pPr>
        <w:pStyle w:val="FootnoteText"/>
        <w:spacing w:line="276" w:lineRule="auto"/>
        <w:jc w:val="both"/>
        <w:rPr>
          <w:rFonts w:ascii="Cambria" w:hAnsi="Cambria" w:cs="Times New Roman"/>
          <w:sz w:val="24"/>
          <w:szCs w:val="24"/>
          <w:shd w:val="clear" w:color="auto" w:fill="FFFFFF"/>
        </w:rPr>
      </w:pPr>
    </w:p>
    <w:p w14:paraId="6479AAC5" w14:textId="77777777" w:rsidR="00DE4880" w:rsidRPr="002316DF" w:rsidRDefault="00DE4880"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European Commission for the efficiency of Justice, European ethical charter on the use of Artificial intelligence in judicial systems and their environment, adopted on 3-4 December 2018</w:t>
      </w:r>
    </w:p>
    <w:p w14:paraId="2A9933EA" w14:textId="77777777" w:rsidR="00DE4880" w:rsidRPr="002316DF" w:rsidRDefault="00DE4880" w:rsidP="008553F4">
      <w:pPr>
        <w:pStyle w:val="FootnoteText"/>
        <w:spacing w:line="276" w:lineRule="auto"/>
        <w:jc w:val="both"/>
        <w:rPr>
          <w:rFonts w:ascii="Cambria" w:hAnsi="Cambria" w:cs="Times New Roman"/>
          <w:sz w:val="24"/>
          <w:szCs w:val="24"/>
        </w:rPr>
      </w:pPr>
    </w:p>
    <w:p w14:paraId="52696482" w14:textId="77777777" w:rsidR="00DE4880" w:rsidRPr="002316DF" w:rsidRDefault="00DE4880"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High-level expert group on Artificial intelligence set up by the European Commission</w:t>
      </w:r>
      <w:proofErr w:type="gramStart"/>
      <w:r w:rsidRPr="002316DF">
        <w:rPr>
          <w:rFonts w:ascii="Cambria" w:hAnsi="Cambria" w:cs="Times New Roman"/>
          <w:sz w:val="24"/>
          <w:szCs w:val="24"/>
        </w:rPr>
        <w:t>, ,</w:t>
      </w:r>
      <w:proofErr w:type="gramEnd"/>
      <w:r w:rsidRPr="002316DF">
        <w:rPr>
          <w:rFonts w:ascii="Cambria" w:hAnsi="Cambria" w:cs="Times New Roman"/>
          <w:sz w:val="24"/>
          <w:szCs w:val="24"/>
        </w:rPr>
        <w:t xml:space="preserve"> Ethic Guidelines for Trustworthy AI, European commission, published on 8 April 2019; </w:t>
      </w:r>
    </w:p>
    <w:p w14:paraId="3041BA86" w14:textId="77777777" w:rsidR="00DE4880" w:rsidRPr="002316DF" w:rsidRDefault="00DE4880" w:rsidP="008553F4">
      <w:pPr>
        <w:pStyle w:val="FootnoteText"/>
        <w:spacing w:line="276" w:lineRule="auto"/>
        <w:jc w:val="both"/>
        <w:rPr>
          <w:rStyle w:val="FootnoteReference"/>
          <w:rFonts w:ascii="Cambria" w:hAnsi="Cambria" w:cs="Times New Roman"/>
          <w:sz w:val="24"/>
          <w:szCs w:val="24"/>
        </w:rPr>
      </w:pPr>
    </w:p>
    <w:p w14:paraId="649D84B6" w14:textId="77777777" w:rsidR="00C33029" w:rsidRPr="00590F16" w:rsidRDefault="00C33029" w:rsidP="008553F4">
      <w:pPr>
        <w:pStyle w:val="FootnoteText"/>
        <w:spacing w:line="276" w:lineRule="auto"/>
        <w:jc w:val="both"/>
        <w:rPr>
          <w:rFonts w:ascii="Cambria" w:hAnsi="Cambria" w:cs="Times New Roman"/>
          <w:sz w:val="24"/>
          <w:szCs w:val="24"/>
        </w:rPr>
      </w:pPr>
      <w:r w:rsidRPr="00590F16">
        <w:rPr>
          <w:rFonts w:ascii="Cambria" w:hAnsi="Cambria" w:cs="Times New Roman"/>
          <w:sz w:val="24"/>
          <w:szCs w:val="24"/>
        </w:rPr>
        <w:t xml:space="preserve">ONLINE RESOURCES </w:t>
      </w:r>
    </w:p>
    <w:p w14:paraId="09F938C0" w14:textId="77777777" w:rsidR="00F67040" w:rsidRPr="002316DF" w:rsidRDefault="00F67040" w:rsidP="008553F4">
      <w:pPr>
        <w:pStyle w:val="FootnoteText"/>
        <w:spacing w:line="276" w:lineRule="auto"/>
        <w:jc w:val="both"/>
        <w:rPr>
          <w:rStyle w:val="FootnoteReference"/>
          <w:rFonts w:ascii="Cambria" w:hAnsi="Cambria" w:cs="Times New Roman"/>
          <w:sz w:val="24"/>
          <w:szCs w:val="24"/>
        </w:rPr>
      </w:pPr>
    </w:p>
    <w:p w14:paraId="3902D02D" w14:textId="77777777" w:rsidR="00F67040" w:rsidRPr="002316DF" w:rsidRDefault="00F67040" w:rsidP="008553F4">
      <w:pPr>
        <w:pStyle w:val="FootnoteText"/>
        <w:spacing w:line="276" w:lineRule="auto"/>
        <w:jc w:val="both"/>
        <w:rPr>
          <w:rFonts w:ascii="Cambria" w:hAnsi="Cambria" w:cs="Times New Roman"/>
          <w:sz w:val="24"/>
          <w:szCs w:val="24"/>
        </w:rPr>
      </w:pPr>
      <w:r w:rsidRPr="002316DF">
        <w:rPr>
          <w:rFonts w:ascii="Cambria" w:hAnsi="Cambria" w:cs="Times New Roman"/>
          <w:sz w:val="24"/>
          <w:szCs w:val="24"/>
        </w:rPr>
        <w:t xml:space="preserve">Angwin Julian, Larson Jeff, </w:t>
      </w:r>
      <w:proofErr w:type="spellStart"/>
      <w:r w:rsidRPr="002316DF">
        <w:rPr>
          <w:rFonts w:ascii="Cambria" w:hAnsi="Cambria" w:cs="Times New Roman"/>
          <w:sz w:val="24"/>
          <w:szCs w:val="24"/>
        </w:rPr>
        <w:t>Mattu</w:t>
      </w:r>
      <w:proofErr w:type="spellEnd"/>
      <w:r w:rsidRPr="002316DF">
        <w:rPr>
          <w:rFonts w:ascii="Cambria" w:hAnsi="Cambria" w:cs="Times New Roman"/>
          <w:sz w:val="24"/>
          <w:szCs w:val="24"/>
        </w:rPr>
        <w:t xml:space="preserve"> Surya and Kirchner Lauren, Machine bias: there’s software used across the country to predict future criminals. And it’s biased against blacks, </w:t>
      </w:r>
      <w:proofErr w:type="spellStart"/>
      <w:r w:rsidRPr="002316DF">
        <w:rPr>
          <w:rFonts w:ascii="Cambria" w:hAnsi="Cambria" w:cs="Times New Roman"/>
          <w:i/>
          <w:iCs/>
          <w:sz w:val="24"/>
          <w:szCs w:val="24"/>
        </w:rPr>
        <w:t>Propublica</w:t>
      </w:r>
      <w:proofErr w:type="spellEnd"/>
      <w:r w:rsidRPr="002316DF">
        <w:rPr>
          <w:rFonts w:ascii="Cambria" w:hAnsi="Cambria" w:cs="Times New Roman"/>
          <w:i/>
          <w:iCs/>
          <w:sz w:val="24"/>
          <w:szCs w:val="24"/>
        </w:rPr>
        <w:t xml:space="preserve">, </w:t>
      </w:r>
      <w:r w:rsidRPr="002316DF">
        <w:rPr>
          <w:rFonts w:ascii="Cambria" w:hAnsi="Cambria" w:cs="Times New Roman"/>
          <w:sz w:val="24"/>
          <w:szCs w:val="24"/>
        </w:rPr>
        <w:t>published on 23 May 2016, accessed on 8</w:t>
      </w:r>
      <w:r w:rsidRPr="002316DF">
        <w:rPr>
          <w:rFonts w:ascii="Cambria" w:hAnsi="Cambria" w:cs="Times New Roman"/>
          <w:sz w:val="24"/>
          <w:szCs w:val="24"/>
          <w:vertAlign w:val="superscript"/>
        </w:rPr>
        <w:t>th</w:t>
      </w:r>
      <w:r w:rsidRPr="002316DF">
        <w:rPr>
          <w:rFonts w:ascii="Cambria" w:hAnsi="Cambria" w:cs="Times New Roman"/>
          <w:sz w:val="24"/>
          <w:szCs w:val="24"/>
        </w:rPr>
        <w:t xml:space="preserve"> November 2021, available at: &lt; </w:t>
      </w:r>
      <w:hyperlink r:id="rId8" w:history="1">
        <w:r w:rsidRPr="002316DF">
          <w:rPr>
            <w:rStyle w:val="Hyperlink"/>
            <w:rFonts w:ascii="Cambria" w:hAnsi="Cambria" w:cs="Times New Roman"/>
            <w:sz w:val="24"/>
            <w:szCs w:val="24"/>
          </w:rPr>
          <w:t>https://www.propublica.org/article/machine-bias-risk-assessments-in-criminal-sentencing</w:t>
        </w:r>
      </w:hyperlink>
      <w:r w:rsidRPr="002316DF">
        <w:rPr>
          <w:rFonts w:ascii="Cambria" w:hAnsi="Cambria" w:cs="Times New Roman"/>
          <w:sz w:val="24"/>
          <w:szCs w:val="24"/>
        </w:rPr>
        <w:t xml:space="preserve">&gt;. </w:t>
      </w:r>
    </w:p>
    <w:p w14:paraId="3BF9318E" w14:textId="77777777" w:rsidR="00F67040" w:rsidRPr="002316DF" w:rsidRDefault="00F67040" w:rsidP="008553F4">
      <w:pPr>
        <w:pStyle w:val="FootnoteText"/>
        <w:spacing w:line="276" w:lineRule="auto"/>
        <w:jc w:val="both"/>
        <w:rPr>
          <w:rFonts w:ascii="Cambria" w:hAnsi="Cambria" w:cs="Times New Roman"/>
          <w:sz w:val="24"/>
          <w:szCs w:val="24"/>
        </w:rPr>
      </w:pPr>
    </w:p>
    <w:p w14:paraId="61EEDAF1" w14:textId="77777777" w:rsidR="00C33029" w:rsidRPr="002316DF" w:rsidRDefault="00C33029" w:rsidP="008553F4">
      <w:pPr>
        <w:pStyle w:val="FootnoteText"/>
        <w:spacing w:line="276" w:lineRule="auto"/>
        <w:jc w:val="both"/>
        <w:rPr>
          <w:rFonts w:ascii="Cambria" w:hAnsi="Cambria" w:cs="Times New Roman"/>
          <w:sz w:val="24"/>
          <w:szCs w:val="24"/>
          <w:lang w:val="fr-LU"/>
        </w:rPr>
      </w:pPr>
      <w:proofErr w:type="spellStart"/>
      <w:r w:rsidRPr="002316DF">
        <w:rPr>
          <w:rFonts w:ascii="Cambria" w:hAnsi="Cambria" w:cs="Times New Roman"/>
          <w:sz w:val="24"/>
          <w:szCs w:val="24"/>
          <w:lang w:val="fr-FR"/>
        </w:rPr>
        <w:t>Contini</w:t>
      </w:r>
      <w:proofErr w:type="spellEnd"/>
      <w:r w:rsidRPr="002316DF">
        <w:rPr>
          <w:rFonts w:ascii="Cambria" w:hAnsi="Cambria" w:cs="Times New Roman"/>
          <w:sz w:val="24"/>
          <w:szCs w:val="24"/>
          <w:lang w:val="fr-FR"/>
        </w:rPr>
        <w:t>, ‘L’intelligence artificielle : Un nouveau cheval de Troie pour influencer de manière abusive le système judiciaire ?’ (2016) ONUDC, accessible à &lt; https://www.unodc.org/dohadeclaration/fr/news/2019/06/artificial-intelligence_-a-new-trojan-horse-for-undueinfluence-on-judiciaries.html&gt; [</w:t>
      </w:r>
      <w:proofErr w:type="spellStart"/>
      <w:r w:rsidRPr="002316DF">
        <w:rPr>
          <w:rFonts w:ascii="Cambria" w:hAnsi="Cambria" w:cs="Times New Roman"/>
          <w:sz w:val="24"/>
          <w:szCs w:val="24"/>
          <w:lang w:val="fr-FR"/>
        </w:rPr>
        <w:t>accessed</w:t>
      </w:r>
      <w:proofErr w:type="spellEnd"/>
      <w:r w:rsidRPr="002316DF">
        <w:rPr>
          <w:rFonts w:ascii="Cambria" w:hAnsi="Cambria" w:cs="Times New Roman"/>
          <w:sz w:val="24"/>
          <w:szCs w:val="24"/>
          <w:lang w:val="fr-FR"/>
        </w:rPr>
        <w:t xml:space="preserve"> on 6 septembre 2021]</w:t>
      </w:r>
    </w:p>
    <w:p w14:paraId="23523EE5" w14:textId="77777777" w:rsidR="00C33029" w:rsidRPr="002316DF" w:rsidRDefault="00C33029" w:rsidP="008553F4">
      <w:pPr>
        <w:pStyle w:val="FootnoteText"/>
        <w:spacing w:line="276" w:lineRule="auto"/>
        <w:jc w:val="both"/>
        <w:rPr>
          <w:rFonts w:ascii="Cambria" w:hAnsi="Cambria" w:cs="Times New Roman"/>
          <w:sz w:val="24"/>
          <w:szCs w:val="24"/>
          <w:lang w:val="fr-LU"/>
        </w:rPr>
      </w:pPr>
    </w:p>
    <w:p w14:paraId="2543ADE3" w14:textId="77777777" w:rsidR="0076602E" w:rsidRPr="002316DF" w:rsidRDefault="00C33029" w:rsidP="008553F4">
      <w:pPr>
        <w:pStyle w:val="FootnoteText"/>
        <w:spacing w:line="276" w:lineRule="auto"/>
        <w:jc w:val="both"/>
        <w:rPr>
          <w:rFonts w:ascii="Cambria" w:hAnsi="Cambria" w:cs="Times New Roman"/>
          <w:sz w:val="24"/>
          <w:szCs w:val="24"/>
          <w:lang w:val="fr-LU"/>
        </w:rPr>
      </w:pPr>
      <w:proofErr w:type="spellStart"/>
      <w:r w:rsidRPr="002316DF">
        <w:rPr>
          <w:rFonts w:ascii="Cambria" w:hAnsi="Cambria" w:cs="Times New Roman"/>
          <w:sz w:val="24"/>
          <w:szCs w:val="24"/>
          <w:lang w:val="fr-LU"/>
        </w:rPr>
        <w:t>Garapon</w:t>
      </w:r>
      <w:proofErr w:type="spellEnd"/>
      <w:r w:rsidRPr="002316DF">
        <w:rPr>
          <w:rFonts w:ascii="Cambria" w:hAnsi="Cambria" w:cs="Times New Roman"/>
          <w:sz w:val="24"/>
          <w:szCs w:val="24"/>
          <w:lang w:val="fr-LU"/>
        </w:rPr>
        <w:t xml:space="preserve"> Antoine, Le numérique est un remède à la lenteur de la Justice, </w:t>
      </w:r>
      <w:proofErr w:type="spellStart"/>
      <w:r w:rsidRPr="002316DF">
        <w:rPr>
          <w:rFonts w:ascii="Cambria" w:hAnsi="Cambria" w:cs="Times New Roman"/>
          <w:sz w:val="24"/>
          <w:szCs w:val="24"/>
          <w:lang w:val="fr-LU"/>
        </w:rPr>
        <w:t>published</w:t>
      </w:r>
      <w:proofErr w:type="spellEnd"/>
      <w:r w:rsidRPr="002316DF">
        <w:rPr>
          <w:rFonts w:ascii="Cambria" w:hAnsi="Cambria" w:cs="Times New Roman"/>
          <w:sz w:val="24"/>
          <w:szCs w:val="24"/>
          <w:lang w:val="fr-LU"/>
        </w:rPr>
        <w:t xml:space="preserve"> on 4 mai 2018, </w:t>
      </w:r>
      <w:proofErr w:type="spellStart"/>
      <w:r w:rsidRPr="002316DF">
        <w:rPr>
          <w:rFonts w:ascii="Cambria" w:hAnsi="Cambria" w:cs="Times New Roman"/>
          <w:sz w:val="24"/>
          <w:szCs w:val="24"/>
          <w:lang w:val="fr-LU"/>
        </w:rPr>
        <w:t>accessed</w:t>
      </w:r>
      <w:proofErr w:type="spellEnd"/>
      <w:r w:rsidRPr="002316DF">
        <w:rPr>
          <w:rFonts w:ascii="Cambria" w:hAnsi="Cambria" w:cs="Times New Roman"/>
          <w:sz w:val="24"/>
          <w:szCs w:val="24"/>
          <w:lang w:val="fr-LU"/>
        </w:rPr>
        <w:t xml:space="preserve"> on 8th </w:t>
      </w:r>
      <w:proofErr w:type="spellStart"/>
      <w:r w:rsidRPr="002316DF">
        <w:rPr>
          <w:rFonts w:ascii="Cambria" w:hAnsi="Cambria" w:cs="Times New Roman"/>
          <w:sz w:val="24"/>
          <w:szCs w:val="24"/>
          <w:lang w:val="fr-LU"/>
        </w:rPr>
        <w:t>November</w:t>
      </w:r>
      <w:proofErr w:type="spellEnd"/>
      <w:r w:rsidRPr="002316DF">
        <w:rPr>
          <w:rFonts w:ascii="Cambria" w:hAnsi="Cambria" w:cs="Times New Roman"/>
          <w:sz w:val="24"/>
          <w:szCs w:val="24"/>
          <w:lang w:val="fr-LU"/>
        </w:rPr>
        <w:t xml:space="preserve"> 2021, </w:t>
      </w:r>
      <w:proofErr w:type="spellStart"/>
      <w:r w:rsidRPr="002316DF">
        <w:rPr>
          <w:rFonts w:ascii="Cambria" w:hAnsi="Cambria" w:cs="Times New Roman"/>
          <w:sz w:val="24"/>
          <w:szCs w:val="24"/>
          <w:lang w:val="fr-LU"/>
        </w:rPr>
        <w:t>available</w:t>
      </w:r>
      <w:proofErr w:type="spellEnd"/>
      <w:r w:rsidRPr="002316DF">
        <w:rPr>
          <w:rFonts w:ascii="Cambria" w:hAnsi="Cambria" w:cs="Times New Roman"/>
          <w:sz w:val="24"/>
          <w:szCs w:val="24"/>
          <w:lang w:val="fr-LU"/>
        </w:rPr>
        <w:t xml:space="preserve"> at :  &lt;</w:t>
      </w:r>
      <w:hyperlink r:id="rId9" w:anchor=".YYjmCWDMJPY" w:history="1">
        <w:r w:rsidRPr="002316DF">
          <w:rPr>
            <w:rStyle w:val="Hyperlink"/>
            <w:rFonts w:ascii="Cambria" w:hAnsi="Cambria" w:cs="Times New Roman"/>
            <w:sz w:val="24"/>
            <w:szCs w:val="24"/>
            <w:lang w:val="fr-LU"/>
          </w:rPr>
          <w:t>https://www.dalloz-</w:t>
        </w:r>
        <w:r w:rsidRPr="002316DF">
          <w:rPr>
            <w:rStyle w:val="Hyperlink"/>
            <w:rFonts w:ascii="Cambria" w:hAnsi="Cambria" w:cs="Times New Roman"/>
            <w:sz w:val="24"/>
            <w:szCs w:val="24"/>
            <w:lang w:val="fr-LU"/>
          </w:rPr>
          <w:lastRenderedPageBreak/>
          <w:t>actualite.fr/interview/antoine-garapon-numerique-est-un-remede-lenteur-de-justice#.YYjmCWDMJPY</w:t>
        </w:r>
      </w:hyperlink>
      <w:proofErr w:type="gramStart"/>
      <w:r w:rsidR="0076602E" w:rsidRPr="002316DF">
        <w:rPr>
          <w:rStyle w:val="Hyperlink"/>
          <w:rFonts w:ascii="Cambria" w:hAnsi="Cambria" w:cs="Times New Roman"/>
          <w:sz w:val="24"/>
          <w:szCs w:val="24"/>
          <w:lang w:val="fr-LU"/>
        </w:rPr>
        <w:t xml:space="preserve">  </w:t>
      </w:r>
      <w:r w:rsidR="0076602E" w:rsidRPr="002316DF">
        <w:rPr>
          <w:rFonts w:ascii="Cambria" w:hAnsi="Cambria" w:cs="Times New Roman"/>
          <w:sz w:val="24"/>
          <w:szCs w:val="24"/>
          <w:lang w:val="fr-FR"/>
        </w:rPr>
        <w:t xml:space="preserve"> [</w:t>
      </w:r>
      <w:proofErr w:type="spellStart"/>
      <w:proofErr w:type="gramEnd"/>
      <w:r w:rsidR="0076602E" w:rsidRPr="002316DF">
        <w:rPr>
          <w:rFonts w:ascii="Cambria" w:hAnsi="Cambria" w:cs="Times New Roman"/>
          <w:sz w:val="24"/>
          <w:szCs w:val="24"/>
          <w:lang w:val="fr-FR"/>
        </w:rPr>
        <w:t>Accessed</w:t>
      </w:r>
      <w:proofErr w:type="spellEnd"/>
      <w:r w:rsidR="0076602E" w:rsidRPr="002316DF">
        <w:rPr>
          <w:rFonts w:ascii="Cambria" w:hAnsi="Cambria" w:cs="Times New Roman"/>
          <w:sz w:val="24"/>
          <w:szCs w:val="24"/>
          <w:lang w:val="fr-FR"/>
        </w:rPr>
        <w:t xml:space="preserve"> on 8 Novembre 2021]</w:t>
      </w:r>
    </w:p>
    <w:p w14:paraId="30729703" w14:textId="77777777" w:rsidR="00C33029" w:rsidRPr="002316DF" w:rsidRDefault="00C33029" w:rsidP="008553F4">
      <w:pPr>
        <w:pStyle w:val="FootnoteText"/>
        <w:spacing w:line="276" w:lineRule="auto"/>
        <w:jc w:val="both"/>
        <w:rPr>
          <w:rStyle w:val="Hyperlink"/>
          <w:rFonts w:ascii="Cambria" w:hAnsi="Cambria" w:cs="Times New Roman"/>
          <w:sz w:val="24"/>
          <w:szCs w:val="24"/>
          <w:lang w:val="fr-LU"/>
        </w:rPr>
      </w:pPr>
    </w:p>
    <w:p w14:paraId="371814C0" w14:textId="77777777" w:rsidR="00C33029" w:rsidRPr="002316DF" w:rsidRDefault="00C33029" w:rsidP="008553F4">
      <w:pPr>
        <w:pStyle w:val="FootnoteText"/>
        <w:spacing w:line="276" w:lineRule="auto"/>
        <w:jc w:val="both"/>
        <w:rPr>
          <w:rStyle w:val="Hyperlink"/>
          <w:rFonts w:ascii="Cambria" w:hAnsi="Cambria" w:cs="Times New Roman"/>
          <w:sz w:val="24"/>
          <w:szCs w:val="24"/>
          <w:lang w:val="fr-LU"/>
        </w:rPr>
      </w:pPr>
    </w:p>
    <w:p w14:paraId="31E0C83E" w14:textId="77777777" w:rsidR="0076602E" w:rsidRPr="002316DF" w:rsidRDefault="0023179E" w:rsidP="008553F4">
      <w:pPr>
        <w:pStyle w:val="FootnoteText"/>
        <w:spacing w:line="276" w:lineRule="auto"/>
        <w:jc w:val="both"/>
        <w:rPr>
          <w:rFonts w:ascii="Cambria" w:hAnsi="Cambria" w:cs="Times New Roman"/>
          <w:sz w:val="24"/>
          <w:szCs w:val="24"/>
          <w:lang w:val="fr-LU"/>
        </w:rPr>
      </w:pPr>
      <w:r w:rsidRPr="002316DF">
        <w:rPr>
          <w:rFonts w:ascii="Cambria" w:hAnsi="Cambria" w:cs="Times New Roman"/>
          <w:sz w:val="24"/>
          <w:szCs w:val="24"/>
          <w:lang w:val="en-GB"/>
        </w:rPr>
        <w:t xml:space="preserve">Oxford Dictionary, </w:t>
      </w:r>
      <w:r w:rsidRPr="002316DF">
        <w:rPr>
          <w:rFonts w:ascii="Cambria" w:hAnsi="Cambria" w:cs="Times New Roman"/>
          <w:i/>
          <w:iCs/>
          <w:sz w:val="24"/>
          <w:szCs w:val="24"/>
          <w:lang w:val="en-GB"/>
        </w:rPr>
        <w:t>Appropriate</w:t>
      </w:r>
      <w:r w:rsidRPr="002316DF">
        <w:rPr>
          <w:rFonts w:ascii="Cambria" w:hAnsi="Cambria" w:cs="Times New Roman"/>
          <w:sz w:val="24"/>
          <w:szCs w:val="24"/>
          <w:lang w:val="en-GB"/>
        </w:rPr>
        <w:t xml:space="preserve">, accessed on 8th November 2021, available at: </w:t>
      </w:r>
      <w:hyperlink r:id="rId10" w:history="1">
        <w:r w:rsidRPr="002316DF">
          <w:rPr>
            <w:rStyle w:val="Hyperlink"/>
            <w:rFonts w:ascii="Cambria" w:hAnsi="Cambria" w:cs="Times New Roman"/>
            <w:sz w:val="24"/>
            <w:szCs w:val="24"/>
            <w:lang w:val="en-GB"/>
          </w:rPr>
          <w:t>https://www.oxfordlearnersdictionaries.com/definition/english/appropriate_1</w:t>
        </w:r>
      </w:hyperlink>
      <w:r w:rsidRPr="002316DF">
        <w:rPr>
          <w:rFonts w:ascii="Cambria" w:hAnsi="Cambria" w:cs="Times New Roman"/>
          <w:sz w:val="24"/>
          <w:szCs w:val="24"/>
          <w:lang w:val="en-GB"/>
        </w:rPr>
        <w:t xml:space="preserve"> .</w:t>
      </w:r>
      <w:r w:rsidR="0076602E" w:rsidRPr="002316DF">
        <w:rPr>
          <w:rFonts w:ascii="Cambria" w:hAnsi="Cambria" w:cs="Times New Roman"/>
          <w:sz w:val="24"/>
          <w:szCs w:val="24"/>
          <w:lang w:val="en-GB"/>
        </w:rPr>
        <w:t xml:space="preserve">  </w:t>
      </w:r>
      <w:r w:rsidR="0076602E" w:rsidRPr="002316DF">
        <w:rPr>
          <w:rFonts w:ascii="Cambria" w:hAnsi="Cambria" w:cs="Times New Roman"/>
          <w:sz w:val="24"/>
          <w:szCs w:val="24"/>
          <w:lang w:val="fr-FR"/>
        </w:rPr>
        <w:t>[</w:t>
      </w:r>
      <w:proofErr w:type="spellStart"/>
      <w:r w:rsidR="0076602E" w:rsidRPr="002316DF">
        <w:rPr>
          <w:rFonts w:ascii="Cambria" w:hAnsi="Cambria" w:cs="Times New Roman"/>
          <w:sz w:val="24"/>
          <w:szCs w:val="24"/>
          <w:lang w:val="fr-FR"/>
        </w:rPr>
        <w:t>Accessed</w:t>
      </w:r>
      <w:proofErr w:type="spellEnd"/>
      <w:r w:rsidR="0076602E" w:rsidRPr="002316DF">
        <w:rPr>
          <w:rFonts w:ascii="Cambria" w:hAnsi="Cambria" w:cs="Times New Roman"/>
          <w:sz w:val="24"/>
          <w:szCs w:val="24"/>
          <w:lang w:val="fr-FR"/>
        </w:rPr>
        <w:t xml:space="preserve"> on 8 </w:t>
      </w:r>
      <w:proofErr w:type="gramStart"/>
      <w:r w:rsidR="0076602E" w:rsidRPr="002316DF">
        <w:rPr>
          <w:rFonts w:ascii="Cambria" w:hAnsi="Cambria" w:cs="Times New Roman"/>
          <w:sz w:val="24"/>
          <w:szCs w:val="24"/>
          <w:lang w:val="fr-FR"/>
        </w:rPr>
        <w:t>Novembre</w:t>
      </w:r>
      <w:proofErr w:type="gramEnd"/>
      <w:r w:rsidR="0076602E" w:rsidRPr="002316DF">
        <w:rPr>
          <w:rFonts w:ascii="Cambria" w:hAnsi="Cambria" w:cs="Times New Roman"/>
          <w:sz w:val="24"/>
          <w:szCs w:val="24"/>
          <w:lang w:val="fr-FR"/>
        </w:rPr>
        <w:t xml:space="preserve"> 2021]</w:t>
      </w:r>
    </w:p>
    <w:p w14:paraId="176EB8BC" w14:textId="77777777" w:rsidR="0023179E" w:rsidRPr="00590F16" w:rsidRDefault="0023179E" w:rsidP="008553F4">
      <w:pPr>
        <w:pStyle w:val="FootnoteText"/>
        <w:spacing w:line="276" w:lineRule="auto"/>
        <w:jc w:val="both"/>
        <w:rPr>
          <w:rFonts w:ascii="Cambria" w:hAnsi="Cambria" w:cs="Times New Roman"/>
          <w:sz w:val="24"/>
          <w:szCs w:val="24"/>
          <w:lang w:val="fr-LU"/>
        </w:rPr>
      </w:pPr>
    </w:p>
    <w:p w14:paraId="0DB1BF58" w14:textId="77777777" w:rsidR="002D24AC" w:rsidRPr="00590F16" w:rsidRDefault="002D24AC" w:rsidP="008553F4">
      <w:pPr>
        <w:pStyle w:val="FootnoteText"/>
        <w:spacing w:line="276" w:lineRule="auto"/>
        <w:jc w:val="both"/>
        <w:rPr>
          <w:rFonts w:ascii="Cambria" w:hAnsi="Cambria" w:cs="Times New Roman"/>
          <w:sz w:val="24"/>
          <w:szCs w:val="24"/>
          <w:lang w:val="fr-LU"/>
        </w:rPr>
      </w:pPr>
    </w:p>
    <w:p w14:paraId="77064B89" w14:textId="77777777" w:rsidR="0023179E" w:rsidRPr="00590F16" w:rsidRDefault="0023179E" w:rsidP="008553F4">
      <w:pPr>
        <w:pStyle w:val="FootnoteText"/>
        <w:spacing w:line="276" w:lineRule="auto"/>
        <w:jc w:val="both"/>
        <w:rPr>
          <w:rFonts w:ascii="Cambria" w:hAnsi="Cambria" w:cs="Times New Roman"/>
          <w:sz w:val="24"/>
          <w:szCs w:val="24"/>
          <w:lang w:val="fr-LU"/>
        </w:rPr>
      </w:pPr>
    </w:p>
    <w:p w14:paraId="478CCC4B" w14:textId="77777777" w:rsidR="002D3919" w:rsidRPr="002316DF" w:rsidRDefault="00DE4880" w:rsidP="008553F4">
      <w:pPr>
        <w:pStyle w:val="FootnoteText"/>
        <w:spacing w:line="276" w:lineRule="auto"/>
        <w:jc w:val="both"/>
        <w:rPr>
          <w:rFonts w:ascii="Cambria" w:hAnsi="Cambria" w:cs="Times New Roman"/>
          <w:sz w:val="24"/>
          <w:szCs w:val="24"/>
          <w:lang w:val="fr-FR"/>
        </w:rPr>
      </w:pPr>
      <w:r w:rsidRPr="002316DF">
        <w:rPr>
          <w:rFonts w:ascii="Cambria" w:hAnsi="Cambria" w:cs="Times New Roman"/>
          <w:sz w:val="24"/>
          <w:szCs w:val="24"/>
          <w:lang w:val="fr-FR"/>
        </w:rPr>
        <w:t>NATIONAL LAWS</w:t>
      </w:r>
    </w:p>
    <w:p w14:paraId="7F862718" w14:textId="77777777" w:rsidR="00DE4880" w:rsidRPr="002316DF" w:rsidRDefault="00DE4880" w:rsidP="008553F4">
      <w:pPr>
        <w:pStyle w:val="FootnoteText"/>
        <w:spacing w:line="276" w:lineRule="auto"/>
        <w:jc w:val="both"/>
        <w:rPr>
          <w:rFonts w:ascii="Cambria" w:hAnsi="Cambria" w:cs="Times New Roman"/>
          <w:sz w:val="24"/>
          <w:szCs w:val="24"/>
          <w:lang w:val="fr-FR"/>
        </w:rPr>
      </w:pPr>
    </w:p>
    <w:p w14:paraId="5896B95B" w14:textId="77777777" w:rsidR="002D24AC" w:rsidRPr="002316DF" w:rsidRDefault="0023179E" w:rsidP="008553F4">
      <w:pPr>
        <w:pStyle w:val="FootnoteText"/>
        <w:spacing w:line="276" w:lineRule="auto"/>
        <w:jc w:val="both"/>
        <w:rPr>
          <w:rFonts w:ascii="Cambria" w:hAnsi="Cambria" w:cs="Times New Roman"/>
          <w:sz w:val="24"/>
          <w:szCs w:val="24"/>
          <w:lang w:val="fr-FR"/>
        </w:rPr>
      </w:pPr>
      <w:r w:rsidRPr="002316DF">
        <w:rPr>
          <w:rFonts w:ascii="Cambria" w:hAnsi="Cambria" w:cs="Times New Roman"/>
          <w:sz w:val="24"/>
          <w:szCs w:val="24"/>
          <w:lang w:val="fr-FR"/>
        </w:rPr>
        <w:t xml:space="preserve">Article 434-9 Code pénal Français ; </w:t>
      </w:r>
    </w:p>
    <w:p w14:paraId="2951B8CB" w14:textId="77777777" w:rsidR="002D3919" w:rsidRPr="002316DF" w:rsidRDefault="002D3919" w:rsidP="008553F4">
      <w:pPr>
        <w:pStyle w:val="FootnoteText"/>
        <w:spacing w:line="276" w:lineRule="auto"/>
        <w:jc w:val="both"/>
        <w:rPr>
          <w:rFonts w:ascii="Cambria" w:hAnsi="Cambria" w:cs="Times New Roman"/>
          <w:sz w:val="24"/>
          <w:szCs w:val="24"/>
          <w:lang w:val="fr-FR"/>
        </w:rPr>
      </w:pPr>
    </w:p>
    <w:p w14:paraId="3F2B0A54" w14:textId="77777777" w:rsidR="002D24AC" w:rsidRPr="002316DF" w:rsidRDefault="0023179E" w:rsidP="008553F4">
      <w:pPr>
        <w:pStyle w:val="FootnoteText"/>
        <w:spacing w:line="276" w:lineRule="auto"/>
        <w:jc w:val="both"/>
        <w:rPr>
          <w:rFonts w:ascii="Cambria" w:hAnsi="Cambria" w:cs="Times New Roman"/>
          <w:sz w:val="24"/>
          <w:szCs w:val="24"/>
          <w:lang w:val="fr-FR"/>
        </w:rPr>
      </w:pPr>
      <w:r w:rsidRPr="002316DF">
        <w:rPr>
          <w:rFonts w:ascii="Cambria" w:hAnsi="Cambria" w:cs="Times New Roman"/>
          <w:sz w:val="24"/>
          <w:szCs w:val="24"/>
          <w:lang w:val="fr-FR"/>
        </w:rPr>
        <w:t xml:space="preserve">Article 434-9-1 Code Pénal Français ; </w:t>
      </w:r>
    </w:p>
    <w:p w14:paraId="71381666" w14:textId="77777777" w:rsidR="002D3919" w:rsidRPr="002316DF" w:rsidRDefault="002D3919" w:rsidP="008553F4">
      <w:pPr>
        <w:pStyle w:val="FootnoteText"/>
        <w:spacing w:line="276" w:lineRule="auto"/>
        <w:jc w:val="both"/>
        <w:rPr>
          <w:rFonts w:ascii="Cambria" w:hAnsi="Cambria" w:cs="Times New Roman"/>
          <w:sz w:val="24"/>
          <w:szCs w:val="24"/>
          <w:lang w:val="fr-FR"/>
        </w:rPr>
      </w:pPr>
    </w:p>
    <w:p w14:paraId="0FC037C0" w14:textId="77777777" w:rsidR="007836CA" w:rsidRDefault="007836CA" w:rsidP="008553F4">
      <w:pPr>
        <w:spacing w:line="276" w:lineRule="auto"/>
        <w:jc w:val="both"/>
        <w:rPr>
          <w:rFonts w:ascii="Cambria" w:hAnsi="Cambria"/>
          <w:sz w:val="24"/>
          <w:szCs w:val="24"/>
          <w:lang w:val="fr-LU"/>
        </w:rPr>
      </w:pPr>
    </w:p>
    <w:p w14:paraId="5C277B6B" w14:textId="3F8E0407" w:rsidR="00815F1A" w:rsidRDefault="00815F1A" w:rsidP="008553F4">
      <w:pPr>
        <w:spacing w:line="276" w:lineRule="auto"/>
        <w:jc w:val="both"/>
        <w:rPr>
          <w:rFonts w:ascii="Cambria" w:hAnsi="Cambria"/>
          <w:sz w:val="24"/>
          <w:szCs w:val="24"/>
        </w:rPr>
      </w:pPr>
      <w:r w:rsidRPr="00590F16">
        <w:rPr>
          <w:rFonts w:ascii="Cambria" w:hAnsi="Cambria"/>
          <w:sz w:val="24"/>
          <w:szCs w:val="24"/>
        </w:rPr>
        <w:t xml:space="preserve">Théo ANTUNES, </w:t>
      </w:r>
    </w:p>
    <w:p w14:paraId="463D56EF" w14:textId="4C26B03D" w:rsidR="00EC087D" w:rsidRPr="00590F16" w:rsidRDefault="00EC087D" w:rsidP="008553F4">
      <w:pPr>
        <w:spacing w:line="276" w:lineRule="auto"/>
        <w:jc w:val="both"/>
        <w:rPr>
          <w:rFonts w:ascii="Cambria" w:hAnsi="Cambria"/>
          <w:sz w:val="24"/>
          <w:szCs w:val="24"/>
        </w:rPr>
      </w:pPr>
      <w:r>
        <w:rPr>
          <w:rFonts w:ascii="Cambria" w:hAnsi="Cambria"/>
          <w:sz w:val="24"/>
          <w:szCs w:val="24"/>
        </w:rPr>
        <w:t>PhD Student in Criminal Law and artificial intelligence.</w:t>
      </w:r>
    </w:p>
    <w:p w14:paraId="71B69A53" w14:textId="77777777" w:rsidR="00815F1A" w:rsidRDefault="00815F1A" w:rsidP="008553F4">
      <w:pPr>
        <w:spacing w:line="276" w:lineRule="auto"/>
        <w:jc w:val="both"/>
        <w:rPr>
          <w:rFonts w:ascii="Cambria" w:hAnsi="Cambria"/>
          <w:sz w:val="24"/>
          <w:szCs w:val="24"/>
          <w:lang w:val="en-GB"/>
        </w:rPr>
      </w:pPr>
      <w:r w:rsidRPr="00815F1A">
        <w:rPr>
          <w:rFonts w:ascii="Cambria" w:hAnsi="Cambria"/>
          <w:sz w:val="24"/>
          <w:szCs w:val="24"/>
          <w:lang w:val="en-GB"/>
        </w:rPr>
        <w:t>University of Luxembourg and University o</w:t>
      </w:r>
      <w:r>
        <w:rPr>
          <w:rFonts w:ascii="Cambria" w:hAnsi="Cambria"/>
          <w:sz w:val="24"/>
          <w:szCs w:val="24"/>
          <w:lang w:val="en-GB"/>
        </w:rPr>
        <w:t>f Strasbourg</w:t>
      </w:r>
    </w:p>
    <w:p w14:paraId="054B55EC" w14:textId="77777777" w:rsidR="00815F1A" w:rsidRDefault="00815F1A" w:rsidP="008553F4">
      <w:pPr>
        <w:spacing w:line="276" w:lineRule="auto"/>
        <w:jc w:val="both"/>
        <w:rPr>
          <w:rFonts w:ascii="Cambria" w:hAnsi="Cambria"/>
          <w:sz w:val="24"/>
          <w:szCs w:val="24"/>
          <w:lang w:val="en-GB"/>
        </w:rPr>
      </w:pPr>
      <w:r>
        <w:rPr>
          <w:rFonts w:ascii="Cambria" w:hAnsi="Cambria"/>
          <w:sz w:val="24"/>
          <w:szCs w:val="24"/>
          <w:lang w:val="en-GB"/>
        </w:rPr>
        <w:t>Faculty of Law</w:t>
      </w:r>
    </w:p>
    <w:p w14:paraId="362BE446" w14:textId="77777777" w:rsidR="00253BF4" w:rsidRPr="00815F1A" w:rsidRDefault="00400C6F" w:rsidP="008553F4">
      <w:pPr>
        <w:spacing w:line="276" w:lineRule="auto"/>
        <w:jc w:val="both"/>
        <w:rPr>
          <w:rFonts w:ascii="Cambria" w:hAnsi="Cambria"/>
          <w:sz w:val="24"/>
          <w:szCs w:val="24"/>
          <w:lang w:val="en-GB"/>
        </w:rPr>
      </w:pPr>
      <w:hyperlink r:id="rId11" w:history="1">
        <w:r w:rsidR="0089320C" w:rsidRPr="00087EA2">
          <w:rPr>
            <w:rStyle w:val="Hyperlink"/>
            <w:rFonts w:ascii="Cambria" w:hAnsi="Cambria"/>
            <w:sz w:val="24"/>
            <w:szCs w:val="24"/>
            <w:lang w:val="en-GB"/>
          </w:rPr>
          <w:t>theoantunes97@gmail.com</w:t>
        </w:r>
      </w:hyperlink>
      <w:r w:rsidR="00253BF4">
        <w:rPr>
          <w:rFonts w:ascii="Cambria" w:hAnsi="Cambria"/>
          <w:sz w:val="24"/>
          <w:szCs w:val="24"/>
          <w:lang w:val="en-GB"/>
        </w:rPr>
        <w:t xml:space="preserve"> </w:t>
      </w:r>
    </w:p>
    <w:sectPr w:rsidR="00253BF4" w:rsidRPr="00815F1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C35A" w14:textId="77777777" w:rsidR="00A344E7" w:rsidRDefault="00A344E7" w:rsidP="001E78C3">
      <w:pPr>
        <w:spacing w:after="0" w:line="240" w:lineRule="auto"/>
      </w:pPr>
      <w:r>
        <w:separator/>
      </w:r>
    </w:p>
  </w:endnote>
  <w:endnote w:type="continuationSeparator" w:id="0">
    <w:p w14:paraId="2EBB6184" w14:textId="77777777" w:rsidR="00A344E7" w:rsidRDefault="00A344E7" w:rsidP="001E78C3">
      <w:pPr>
        <w:spacing w:after="0" w:line="240" w:lineRule="auto"/>
      </w:pPr>
      <w:r>
        <w:continuationSeparator/>
      </w:r>
    </w:p>
  </w:endnote>
  <w:endnote w:type="continuationNotice" w:id="1">
    <w:p w14:paraId="352C1D78" w14:textId="77777777" w:rsidR="00A344E7" w:rsidRDefault="00A344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1A9D7" w14:textId="77777777" w:rsidR="00A344E7" w:rsidRDefault="00A344E7" w:rsidP="001E78C3">
      <w:pPr>
        <w:spacing w:after="0" w:line="240" w:lineRule="auto"/>
      </w:pPr>
      <w:r>
        <w:separator/>
      </w:r>
    </w:p>
  </w:footnote>
  <w:footnote w:type="continuationSeparator" w:id="0">
    <w:p w14:paraId="4C2BBEA7" w14:textId="77777777" w:rsidR="00A344E7" w:rsidRDefault="00A344E7" w:rsidP="001E78C3">
      <w:pPr>
        <w:spacing w:after="0" w:line="240" w:lineRule="auto"/>
      </w:pPr>
      <w:r>
        <w:continuationSeparator/>
      </w:r>
    </w:p>
  </w:footnote>
  <w:footnote w:type="continuationNotice" w:id="1">
    <w:p w14:paraId="715F4ACE" w14:textId="77777777" w:rsidR="00A344E7" w:rsidRDefault="00A344E7">
      <w:pPr>
        <w:spacing w:after="0" w:line="240" w:lineRule="auto"/>
      </w:pPr>
    </w:p>
  </w:footnote>
  <w:footnote w:id="2">
    <w:p w14:paraId="72C82692" w14:textId="77777777" w:rsidR="005A398D" w:rsidRPr="00992A03" w:rsidRDefault="005A398D" w:rsidP="008553F4">
      <w:pPr>
        <w:pStyle w:val="FootnoteText"/>
        <w:spacing w:line="276" w:lineRule="auto"/>
        <w:jc w:val="both"/>
        <w:rPr>
          <w:rFonts w:ascii="Cambria" w:hAnsi="Cambria"/>
        </w:rPr>
      </w:pPr>
      <w:r w:rsidRPr="00992A03">
        <w:rPr>
          <w:rStyle w:val="FootnoteReference"/>
          <w:rFonts w:ascii="Cambria" w:hAnsi="Cambria"/>
        </w:rPr>
        <w:footnoteRef/>
      </w:r>
      <w:r w:rsidRPr="00992A03">
        <w:rPr>
          <w:rFonts w:ascii="Cambria" w:hAnsi="Cambria"/>
        </w:rPr>
        <w:t xml:space="preserve"> Cox</w:t>
      </w:r>
      <w:r w:rsidR="00430895" w:rsidRPr="00992A03">
        <w:rPr>
          <w:rFonts w:ascii="Cambria" w:hAnsi="Cambria"/>
        </w:rPr>
        <w:t xml:space="preserve"> A.</w:t>
      </w:r>
      <w:r w:rsidRPr="00992A03">
        <w:rPr>
          <w:rFonts w:ascii="Cambria" w:hAnsi="Cambria"/>
        </w:rPr>
        <w:t xml:space="preserve"> </w:t>
      </w:r>
      <w:r w:rsidRPr="00992A03">
        <w:rPr>
          <w:rFonts w:ascii="Cambria" w:hAnsi="Cambria"/>
          <w:i/>
          <w:iCs/>
        </w:rPr>
        <w:t>The Independence of the Judiciary: History and Purposes</w:t>
      </w:r>
      <w:r w:rsidR="00992A03" w:rsidRPr="00992A03">
        <w:rPr>
          <w:rFonts w:ascii="Cambria" w:hAnsi="Cambria"/>
        </w:rPr>
        <w:t xml:space="preserve"> </w:t>
      </w:r>
      <w:r w:rsidRPr="00992A03">
        <w:rPr>
          <w:rFonts w:ascii="Cambria" w:hAnsi="Cambria"/>
        </w:rPr>
        <w:t>(1996) 21 U Dayton L Rev 565, pp565-583, p566.</w:t>
      </w:r>
    </w:p>
  </w:footnote>
  <w:footnote w:id="3">
    <w:p w14:paraId="037CA3C8" w14:textId="77777777" w:rsidR="001E78C3" w:rsidRPr="00992A03" w:rsidRDefault="001E78C3"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D40949" w:rsidRPr="00992A03">
        <w:rPr>
          <w:rFonts w:ascii="Cambria" w:hAnsi="Cambria" w:cs="Times New Roman"/>
        </w:rPr>
        <w:t>OSWALD</w:t>
      </w:r>
      <w:r w:rsidR="00430895" w:rsidRPr="00992A03">
        <w:rPr>
          <w:rFonts w:ascii="Cambria" w:hAnsi="Cambria" w:cs="Times New Roman"/>
        </w:rPr>
        <w:t xml:space="preserve"> M.</w:t>
      </w:r>
      <w:r w:rsidR="006265B1" w:rsidRPr="00992A03">
        <w:rPr>
          <w:rFonts w:ascii="Cambria" w:hAnsi="Cambria" w:cs="Times New Roman"/>
        </w:rPr>
        <w:t xml:space="preserve">, </w:t>
      </w:r>
      <w:r w:rsidR="00D40949" w:rsidRPr="00992A03">
        <w:rPr>
          <w:rFonts w:ascii="Cambria" w:hAnsi="Cambria" w:cs="Times New Roman"/>
        </w:rPr>
        <w:t>GRACE</w:t>
      </w:r>
      <w:r w:rsidR="00430895" w:rsidRPr="00992A03">
        <w:rPr>
          <w:rFonts w:ascii="Cambria" w:hAnsi="Cambria" w:cs="Times New Roman"/>
        </w:rPr>
        <w:t xml:space="preserve"> J</w:t>
      </w:r>
      <w:r w:rsidR="006265B1" w:rsidRPr="00992A03">
        <w:rPr>
          <w:rFonts w:ascii="Cambria" w:hAnsi="Cambria" w:cs="Times New Roman"/>
        </w:rPr>
        <w:t xml:space="preserve">, </w:t>
      </w:r>
      <w:r w:rsidR="00D40949" w:rsidRPr="00992A03">
        <w:rPr>
          <w:rFonts w:ascii="Cambria" w:hAnsi="Cambria" w:cs="Times New Roman"/>
        </w:rPr>
        <w:t>URWIN</w:t>
      </w:r>
      <w:r w:rsidR="00430895" w:rsidRPr="00992A03">
        <w:rPr>
          <w:rFonts w:ascii="Cambria" w:hAnsi="Cambria" w:cs="Times New Roman"/>
        </w:rPr>
        <w:t xml:space="preserve"> S</w:t>
      </w:r>
      <w:r w:rsidR="006265B1" w:rsidRPr="00992A03">
        <w:rPr>
          <w:rFonts w:ascii="Cambria" w:hAnsi="Cambria" w:cs="Times New Roman"/>
        </w:rPr>
        <w:t xml:space="preserve"> &amp; </w:t>
      </w:r>
      <w:r w:rsidR="00D40949" w:rsidRPr="00992A03">
        <w:rPr>
          <w:rFonts w:ascii="Cambria" w:hAnsi="Cambria" w:cs="Times New Roman"/>
        </w:rPr>
        <w:t>BARNES</w:t>
      </w:r>
      <w:r w:rsidR="00430895" w:rsidRPr="00992A03">
        <w:rPr>
          <w:rFonts w:ascii="Cambria" w:hAnsi="Cambria" w:cs="Times New Roman"/>
        </w:rPr>
        <w:t xml:space="preserve"> Geoffrey C</w:t>
      </w:r>
      <w:r w:rsidR="006265B1" w:rsidRPr="00992A03">
        <w:rPr>
          <w:rFonts w:ascii="Cambria" w:hAnsi="Cambria" w:cs="Times New Roman"/>
        </w:rPr>
        <w:t>, Alg</w:t>
      </w:r>
      <w:r w:rsidR="006265B1" w:rsidRPr="005D41A6">
        <w:rPr>
          <w:rFonts w:ascii="Cambria" w:hAnsi="Cambria" w:cs="Times New Roman"/>
          <w:i/>
          <w:iCs/>
        </w:rPr>
        <w:t>orithmic risk assessment policing models: lessons from the Durham HART model and ‘Experimental’ proportionality,</w:t>
      </w:r>
      <w:r w:rsidR="006265B1" w:rsidRPr="00992A03">
        <w:rPr>
          <w:rFonts w:ascii="Cambria" w:hAnsi="Cambria" w:cs="Times New Roman"/>
        </w:rPr>
        <w:t xml:space="preserve"> (2018)</w:t>
      </w:r>
      <w:proofErr w:type="gramStart"/>
      <w:r w:rsidR="006265B1" w:rsidRPr="00992A03">
        <w:rPr>
          <w:rFonts w:ascii="Cambria" w:hAnsi="Cambria" w:cs="Times New Roman"/>
        </w:rPr>
        <w:t>, ,</w:t>
      </w:r>
      <w:proofErr w:type="gramEnd"/>
      <w:r w:rsidR="006265B1" w:rsidRPr="00992A03">
        <w:rPr>
          <w:rFonts w:ascii="Cambria" w:hAnsi="Cambria" w:cs="Times New Roman"/>
        </w:rPr>
        <w:t xml:space="preserve"> Information &amp; Communications Technology Law, 27:2, 223-250; </w:t>
      </w:r>
      <w:r w:rsidR="00DB5D41" w:rsidRPr="00992A03">
        <w:rPr>
          <w:rFonts w:ascii="Cambria" w:hAnsi="Cambria" w:cs="Times New Roman"/>
        </w:rPr>
        <w:t>Committee on legal affairs and Human rights, ‘Justice by algorithm – The role of artificial intelligence in policing and criminal justice systems’ (2020), (Provisional version), p8 and p10.</w:t>
      </w:r>
    </w:p>
  </w:footnote>
  <w:footnote w:id="4">
    <w:p w14:paraId="5FA3EE85" w14:textId="77777777" w:rsidR="003F16CA" w:rsidRPr="00992A03" w:rsidRDefault="003F16CA"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460624" w:rsidRPr="00992A03">
        <w:rPr>
          <w:rFonts w:ascii="Cambria" w:hAnsi="Cambria" w:cs="Times New Roman"/>
        </w:rPr>
        <w:t>Council of Europe, European Convention for the Protection of Human Rights and Fundamental Freedoms, as amended by protocols Nos. 11 and 14, adopted on 4 November 1950, ETS 5, Article 6(1).</w:t>
      </w:r>
    </w:p>
  </w:footnote>
  <w:footnote w:id="5">
    <w:p w14:paraId="2F024D5E" w14:textId="77777777" w:rsidR="00E372A3" w:rsidRPr="00992A03" w:rsidRDefault="00E372A3"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460624" w:rsidRPr="00992A03">
        <w:rPr>
          <w:rFonts w:ascii="Cambria" w:hAnsi="Cambria" w:cs="Times New Roman"/>
        </w:rPr>
        <w:t>Council of Europe, European Convention for the Protection of Human Rights and Fundamental Freedoms, as amended by protocols Nos. 11 and 14, adopted on 4 November 1950, ETS 5, Article 1.</w:t>
      </w:r>
    </w:p>
  </w:footnote>
  <w:footnote w:id="6">
    <w:p w14:paraId="065EDBF4" w14:textId="77777777" w:rsidR="00B746E3" w:rsidRPr="00992A03" w:rsidRDefault="00B746E3"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086968" w:rsidRPr="00992A03">
        <w:rPr>
          <w:rFonts w:ascii="Cambria" w:hAnsi="Cambria" w:cs="Times New Roman"/>
          <w:i/>
          <w:iCs/>
        </w:rPr>
        <w:t>Al-</w:t>
      </w:r>
      <w:proofErr w:type="spellStart"/>
      <w:r w:rsidR="00086968" w:rsidRPr="00992A03">
        <w:rPr>
          <w:rFonts w:ascii="Cambria" w:hAnsi="Cambria" w:cs="Times New Roman"/>
          <w:i/>
          <w:iCs/>
        </w:rPr>
        <w:t>Skeini</w:t>
      </w:r>
      <w:proofErr w:type="spellEnd"/>
      <w:r w:rsidR="00086968" w:rsidRPr="00992A03">
        <w:rPr>
          <w:rFonts w:ascii="Cambria" w:hAnsi="Cambria" w:cs="Times New Roman"/>
          <w:i/>
          <w:iCs/>
        </w:rPr>
        <w:t xml:space="preserve"> and Others v United Kingdom</w:t>
      </w:r>
      <w:r w:rsidR="00086968" w:rsidRPr="00992A03">
        <w:rPr>
          <w:rFonts w:ascii="Cambria" w:hAnsi="Cambria" w:cs="Times New Roman"/>
        </w:rPr>
        <w:t xml:space="preserve">, [2011], ECtHR, No 55721/07, para 131, </w:t>
      </w:r>
      <w:r w:rsidR="00086968" w:rsidRPr="00992A03">
        <w:rPr>
          <w:rFonts w:ascii="Cambria" w:hAnsi="Cambria" w:cs="Times New Roman"/>
          <w:i/>
          <w:iCs/>
        </w:rPr>
        <w:t>Soering v United Kingdom</w:t>
      </w:r>
      <w:r w:rsidR="00086968" w:rsidRPr="00992A03">
        <w:rPr>
          <w:rFonts w:ascii="Cambria" w:hAnsi="Cambria" w:cs="Times New Roman"/>
        </w:rPr>
        <w:t>, [1989], ECtHR, No 14038/88, para 86</w:t>
      </w:r>
    </w:p>
  </w:footnote>
  <w:footnote w:id="7">
    <w:p w14:paraId="0028DA17" w14:textId="77777777" w:rsidR="006C43F4" w:rsidRPr="00992A03" w:rsidRDefault="006C43F4"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B17908" w:rsidRPr="00992A03">
        <w:rPr>
          <w:rFonts w:ascii="Cambria" w:hAnsi="Cambria" w:cs="Times New Roman"/>
        </w:rPr>
        <w:t>European Union, Charter of Fundamental Rights of the European Union, 2000/C 364/01, adopted on 18 December 2000, Article 47.</w:t>
      </w:r>
      <w:r w:rsidR="00B74B2C" w:rsidRPr="00992A03">
        <w:rPr>
          <w:rFonts w:ascii="Cambria" w:hAnsi="Cambria" w:cs="Times New Roman"/>
          <w:i/>
          <w:iCs/>
        </w:rPr>
        <w:t xml:space="preserve"> </w:t>
      </w:r>
    </w:p>
  </w:footnote>
  <w:footnote w:id="8">
    <w:p w14:paraId="3A434B8B" w14:textId="77777777" w:rsidR="00E34EFF" w:rsidRPr="00992A03" w:rsidRDefault="00E34EFF"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666C87" w:rsidRPr="00992A03">
        <w:rPr>
          <w:rFonts w:ascii="Cambria" w:hAnsi="Cambria" w:cs="Times New Roman"/>
        </w:rPr>
        <w:t>European Union, Charter of Fundamental Rights of the European Union, 2000/C 364/01, adopted on 18 December 2000</w:t>
      </w:r>
      <w:r w:rsidR="00C711AA" w:rsidRPr="00992A03">
        <w:rPr>
          <w:rFonts w:ascii="Cambria" w:hAnsi="Cambria" w:cs="Times New Roman"/>
        </w:rPr>
        <w:t>, Article 51.</w:t>
      </w:r>
    </w:p>
  </w:footnote>
  <w:footnote w:id="9">
    <w:p w14:paraId="42B5ED43" w14:textId="77777777" w:rsidR="00AC78BB" w:rsidRPr="00992A03" w:rsidRDefault="00AC78BB"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491C7B" w:rsidRPr="00992A03">
        <w:rPr>
          <w:rFonts w:ascii="Cambria" w:hAnsi="Cambria" w:cs="Times New Roman"/>
        </w:rPr>
        <w:t xml:space="preserve">European Parliament and Council, </w:t>
      </w:r>
      <w:r w:rsidR="00491C7B" w:rsidRPr="00992A03">
        <w:rPr>
          <w:rFonts w:ascii="Cambria" w:hAnsi="Cambria" w:cs="Times New Roman"/>
          <w:i/>
        </w:rPr>
        <w:t xml:space="preserve">General Data Protection Regulation, </w:t>
      </w:r>
      <w:r w:rsidR="00491C7B" w:rsidRPr="00992A03">
        <w:rPr>
          <w:rFonts w:ascii="Cambria" w:hAnsi="Cambria" w:cs="Times New Roman"/>
        </w:rPr>
        <w:t>Regulation (EU) 2016/679 of 27 April 2016, Article 22.</w:t>
      </w:r>
    </w:p>
  </w:footnote>
  <w:footnote w:id="10">
    <w:p w14:paraId="585BFC6E" w14:textId="77777777" w:rsidR="00AC78BB" w:rsidRPr="00992A03" w:rsidRDefault="00AC78BB"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00D40949" w:rsidRPr="00992A03">
        <w:rPr>
          <w:rFonts w:ascii="Cambria" w:hAnsi="Cambria" w:cs="Times New Roman"/>
        </w:rPr>
        <w:t xml:space="preserve"> </w:t>
      </w:r>
      <w:r w:rsidR="005B34E2" w:rsidRPr="00992A03">
        <w:rPr>
          <w:rFonts w:ascii="Cambria" w:hAnsi="Cambria" w:cs="Times New Roman"/>
        </w:rPr>
        <w:t>Article 29 Data protection working party, ‘Guidelines on Automated individual decision-making and profiling for the purposes of Regulation 2016/679</w:t>
      </w:r>
      <w:r w:rsidR="002300FE" w:rsidRPr="00992A03">
        <w:rPr>
          <w:rFonts w:ascii="Cambria" w:hAnsi="Cambria" w:cs="Times New Roman"/>
        </w:rPr>
        <w:t>, adopted on 3 October 2017, p8.</w:t>
      </w:r>
    </w:p>
  </w:footnote>
  <w:footnote w:id="11">
    <w:p w14:paraId="5BEFE0AD" w14:textId="77777777" w:rsidR="004457EC" w:rsidRPr="00992A03" w:rsidRDefault="004457EC"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DE7CE8" w:rsidRPr="00992A03">
        <w:rPr>
          <w:rFonts w:ascii="Cambria" w:hAnsi="Cambria" w:cs="Times New Roman"/>
        </w:rPr>
        <w:t xml:space="preserve">The European Parliament and the Council of the European Union, </w:t>
      </w:r>
      <w:r w:rsidR="00DE7CE8" w:rsidRPr="00992A03">
        <w:rPr>
          <w:rFonts w:ascii="Cambria" w:hAnsi="Cambria" w:cs="Times New Roman"/>
          <w:i/>
        </w:rPr>
        <w:t xml:space="preserve">Draft Regulation on a European approach for Artificial Intelligence, </w:t>
      </w:r>
      <w:r w:rsidR="00DE7CE8" w:rsidRPr="00992A03">
        <w:rPr>
          <w:rFonts w:ascii="Cambria" w:hAnsi="Cambria" w:cs="Times New Roman"/>
        </w:rPr>
        <w:t>published on 21</w:t>
      </w:r>
      <w:r w:rsidR="00DE7CE8" w:rsidRPr="00992A03">
        <w:rPr>
          <w:rFonts w:ascii="Cambria" w:hAnsi="Cambria" w:cs="Times New Roman"/>
          <w:vertAlign w:val="superscript"/>
        </w:rPr>
        <w:t>st</w:t>
      </w:r>
      <w:r w:rsidR="00DE7CE8" w:rsidRPr="00992A03">
        <w:rPr>
          <w:rFonts w:ascii="Cambria" w:hAnsi="Cambria" w:cs="Times New Roman"/>
        </w:rPr>
        <w:t xml:space="preserve"> April 2021, Recital 6</w:t>
      </w:r>
    </w:p>
  </w:footnote>
  <w:footnote w:id="12">
    <w:p w14:paraId="1C8B2916" w14:textId="77777777" w:rsidR="009E7986" w:rsidRPr="00992A03" w:rsidRDefault="009E7986"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BB12F0" w:rsidRPr="00992A03">
        <w:rPr>
          <w:rFonts w:ascii="Cambria" w:hAnsi="Cambria" w:cs="Times New Roman"/>
        </w:rPr>
        <w:t xml:space="preserve">European Union, Consolidated Version of the Treaty on European </w:t>
      </w:r>
      <w:proofErr w:type="gramStart"/>
      <w:r w:rsidR="00BB12F0" w:rsidRPr="00992A03">
        <w:rPr>
          <w:rFonts w:ascii="Cambria" w:hAnsi="Cambria" w:cs="Times New Roman"/>
        </w:rPr>
        <w:t>Union</w:t>
      </w:r>
      <w:proofErr w:type="gramEnd"/>
      <w:r w:rsidR="00BB12F0" w:rsidRPr="00992A03">
        <w:rPr>
          <w:rFonts w:ascii="Cambria" w:hAnsi="Cambria" w:cs="Times New Roman"/>
        </w:rPr>
        <w:t xml:space="preserve"> and the Treaty on the functioning of the European Union, signed on 13 December 2007, 2008/C115/01, Article 288.</w:t>
      </w:r>
    </w:p>
  </w:footnote>
  <w:footnote w:id="13">
    <w:p w14:paraId="21B3FB79" w14:textId="77777777" w:rsidR="00522CD8" w:rsidRPr="00992A03" w:rsidRDefault="00522CD8"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7666CC" w:rsidRPr="00992A03">
        <w:rPr>
          <w:rFonts w:ascii="Cambria" w:hAnsi="Cambria" w:cs="Times New Roman"/>
          <w:shd w:val="clear" w:color="auto" w:fill="FFFFFF"/>
        </w:rPr>
        <w:t>European Commission for Democracy Through Law: European standards on the independence of the judiciary; Rule of Law Checklist, 2016 (Vienna). Consultative council of the European Judges, Opinion N°1. Consultative Council of European Judges, Magna Carta of Judges (2010</w:t>
      </w:r>
      <w:r w:rsidR="00FA5CCF" w:rsidRPr="00992A03">
        <w:rPr>
          <w:rFonts w:ascii="Cambria" w:hAnsi="Cambria" w:cs="Times New Roman"/>
          <w:shd w:val="clear" w:color="auto" w:fill="FFFFFF"/>
        </w:rPr>
        <w:t>). Consultative</w:t>
      </w:r>
      <w:r w:rsidR="007666CC" w:rsidRPr="00992A03">
        <w:rPr>
          <w:rFonts w:ascii="Cambria" w:hAnsi="Cambria" w:cs="Times New Roman"/>
          <w:shd w:val="clear" w:color="auto" w:fill="FFFFFF"/>
        </w:rPr>
        <w:t xml:space="preserve"> Council of European Judges, opinion N°18/2015: Special text regarding other branches but still extensive and </w:t>
      </w:r>
      <w:proofErr w:type="gramStart"/>
      <w:r w:rsidR="007666CC" w:rsidRPr="00992A03">
        <w:rPr>
          <w:rFonts w:ascii="Cambria" w:hAnsi="Cambria" w:cs="Times New Roman"/>
          <w:shd w:val="clear" w:color="auto" w:fill="FFFFFF"/>
        </w:rPr>
        <w:t>similar to</w:t>
      </w:r>
      <w:proofErr w:type="gramEnd"/>
      <w:r w:rsidR="007666CC" w:rsidRPr="00992A03">
        <w:rPr>
          <w:rFonts w:ascii="Cambria" w:hAnsi="Cambria" w:cs="Times New Roman"/>
          <w:shd w:val="clear" w:color="auto" w:fill="FFFFFF"/>
        </w:rPr>
        <w:t xml:space="preserve"> previous texts.; European Charter on the Statutes for Judges (1998)</w:t>
      </w:r>
      <w:r w:rsidR="0094558E" w:rsidRPr="00992A03">
        <w:rPr>
          <w:rFonts w:ascii="Cambria" w:hAnsi="Cambria" w:cs="Times New Roman"/>
          <w:shd w:val="clear" w:color="auto" w:fill="FFFFFF"/>
        </w:rPr>
        <w:t>; Committee of Ministers, Judges, Independence, Efficiency and responsibility (2010).</w:t>
      </w:r>
    </w:p>
  </w:footnote>
  <w:footnote w:id="14">
    <w:p w14:paraId="10C31991" w14:textId="77777777" w:rsidR="00CB53CE" w:rsidRPr="00992A03" w:rsidRDefault="00CB53CE"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D40949" w:rsidRPr="00992A03">
        <w:rPr>
          <w:rFonts w:ascii="Cambria" w:hAnsi="Cambria" w:cs="Times New Roman"/>
        </w:rPr>
        <w:t>TRE</w:t>
      </w:r>
      <w:r w:rsidR="00E22A17">
        <w:rPr>
          <w:rFonts w:ascii="Cambria" w:hAnsi="Cambria" w:cs="Times New Roman"/>
        </w:rPr>
        <w:t>C</w:t>
      </w:r>
      <w:r w:rsidR="00D40949" w:rsidRPr="00992A03">
        <w:rPr>
          <w:rFonts w:ascii="Cambria" w:hAnsi="Cambria" w:cs="Times New Roman"/>
        </w:rPr>
        <w:t>H</w:t>
      </w:r>
      <w:r w:rsidR="00E22A17">
        <w:rPr>
          <w:rFonts w:ascii="Cambria" w:hAnsi="Cambria" w:cs="Times New Roman"/>
        </w:rPr>
        <w:t>S</w:t>
      </w:r>
      <w:r w:rsidR="00D40949" w:rsidRPr="00992A03">
        <w:rPr>
          <w:rFonts w:ascii="Cambria" w:hAnsi="Cambria" w:cs="Times New Roman"/>
        </w:rPr>
        <w:t>EL S</w:t>
      </w:r>
      <w:r w:rsidR="0088138D" w:rsidRPr="00992A03">
        <w:rPr>
          <w:rFonts w:ascii="Cambria" w:hAnsi="Cambria" w:cs="Times New Roman"/>
        </w:rPr>
        <w:t xml:space="preserve">, </w:t>
      </w:r>
      <w:r w:rsidR="0088138D" w:rsidRPr="008553F4">
        <w:rPr>
          <w:rFonts w:ascii="Cambria" w:hAnsi="Cambria" w:cs="Times New Roman"/>
          <w:i/>
          <w:iCs/>
        </w:rPr>
        <w:t>Human Rights in Criminal Proceedings</w:t>
      </w:r>
      <w:r w:rsidR="008254C1">
        <w:rPr>
          <w:rFonts w:ascii="Cambria" w:hAnsi="Cambria" w:cs="Times New Roman"/>
        </w:rPr>
        <w:t>,</w:t>
      </w:r>
      <w:r w:rsidR="008553F4">
        <w:rPr>
          <w:rFonts w:ascii="Cambria" w:hAnsi="Cambria" w:cs="Times New Roman"/>
        </w:rPr>
        <w:t xml:space="preserve"> </w:t>
      </w:r>
      <w:r w:rsidR="0088138D" w:rsidRPr="00992A03">
        <w:rPr>
          <w:rFonts w:ascii="Cambria" w:hAnsi="Cambria" w:cs="Times New Roman"/>
        </w:rPr>
        <w:t>(2005), Academy of European Law, European University Institute, Oxford University Press, p 54.</w:t>
      </w:r>
    </w:p>
  </w:footnote>
  <w:footnote w:id="15">
    <w:p w14:paraId="27B88387" w14:textId="77777777" w:rsidR="00C26385" w:rsidRPr="00992A03" w:rsidRDefault="00C26385"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AB01B4" w:rsidRPr="00992A03">
        <w:rPr>
          <w:rFonts w:ascii="Cambria" w:hAnsi="Cambria" w:cs="Times New Roman"/>
          <w:i/>
          <w:iCs/>
        </w:rPr>
        <w:t>Beg S.P.A v Italy</w:t>
      </w:r>
      <w:r w:rsidR="00AB01B4" w:rsidRPr="00992A03">
        <w:rPr>
          <w:rFonts w:ascii="Cambria" w:hAnsi="Cambria" w:cs="Times New Roman"/>
        </w:rPr>
        <w:t xml:space="preserve">, </w:t>
      </w:r>
      <w:r w:rsidR="003A09F1" w:rsidRPr="00992A03">
        <w:rPr>
          <w:rFonts w:ascii="Cambria" w:hAnsi="Cambria" w:cs="Times New Roman"/>
        </w:rPr>
        <w:t xml:space="preserve">[2021], ECtHR, 5312/11, para 128; </w:t>
      </w:r>
      <w:proofErr w:type="spellStart"/>
      <w:r w:rsidR="005B45F5" w:rsidRPr="00992A03">
        <w:rPr>
          <w:rFonts w:ascii="Cambria" w:hAnsi="Cambria" w:cs="Times New Roman"/>
          <w:i/>
          <w:iCs/>
        </w:rPr>
        <w:t>Guðmundur</w:t>
      </w:r>
      <w:proofErr w:type="spellEnd"/>
      <w:r w:rsidR="005B45F5" w:rsidRPr="00992A03">
        <w:rPr>
          <w:rFonts w:ascii="Cambria" w:hAnsi="Cambria" w:cs="Times New Roman"/>
          <w:i/>
          <w:iCs/>
        </w:rPr>
        <w:t xml:space="preserve"> Andri </w:t>
      </w:r>
      <w:proofErr w:type="spellStart"/>
      <w:r w:rsidR="005B45F5" w:rsidRPr="00992A03">
        <w:rPr>
          <w:rFonts w:ascii="Cambria" w:hAnsi="Cambria" w:cs="Times New Roman"/>
          <w:i/>
          <w:iCs/>
        </w:rPr>
        <w:t>Ástráðsson</w:t>
      </w:r>
      <w:proofErr w:type="spellEnd"/>
      <w:r w:rsidR="005B45F5" w:rsidRPr="00992A03">
        <w:rPr>
          <w:rFonts w:ascii="Cambria" w:hAnsi="Cambria" w:cs="Times New Roman"/>
          <w:i/>
          <w:iCs/>
        </w:rPr>
        <w:t xml:space="preserve"> v Iceland</w:t>
      </w:r>
      <w:r w:rsidR="005B45F5" w:rsidRPr="00992A03">
        <w:rPr>
          <w:rFonts w:ascii="Cambria" w:hAnsi="Cambria" w:cs="Times New Roman"/>
        </w:rPr>
        <w:t>, [2020], ECtHR, 26374/18, para 219.</w:t>
      </w:r>
    </w:p>
  </w:footnote>
  <w:footnote w:id="16">
    <w:p w14:paraId="6C9AA031" w14:textId="77777777" w:rsidR="00C26385" w:rsidRPr="00992A03" w:rsidRDefault="00C26385"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proofErr w:type="spellStart"/>
      <w:r w:rsidR="009A22E0" w:rsidRPr="00992A03">
        <w:rPr>
          <w:rFonts w:ascii="Cambria" w:hAnsi="Cambria" w:cs="Times New Roman"/>
          <w:i/>
          <w:iCs/>
        </w:rPr>
        <w:t>Anzelika</w:t>
      </w:r>
      <w:proofErr w:type="spellEnd"/>
      <w:r w:rsidR="009A22E0" w:rsidRPr="00992A03">
        <w:rPr>
          <w:rFonts w:ascii="Cambria" w:hAnsi="Cambria" w:cs="Times New Roman"/>
          <w:i/>
          <w:iCs/>
        </w:rPr>
        <w:t xml:space="preserve"> v Lithuania, </w:t>
      </w:r>
      <w:r w:rsidR="009A22E0" w:rsidRPr="00992A03">
        <w:rPr>
          <w:rFonts w:ascii="Cambria" w:hAnsi="Cambria" w:cs="Times New Roman"/>
        </w:rPr>
        <w:t>[2020], ECtHR, 36093/13, para 78.</w:t>
      </w:r>
    </w:p>
  </w:footnote>
  <w:footnote w:id="17">
    <w:p w14:paraId="030062F4" w14:textId="77777777" w:rsidR="00C26385" w:rsidRPr="00992A03" w:rsidRDefault="00C26385"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proofErr w:type="spellStart"/>
      <w:r w:rsidR="0084730A" w:rsidRPr="00992A03">
        <w:rPr>
          <w:rFonts w:ascii="Cambria" w:hAnsi="Cambria" w:cs="Times New Roman"/>
          <w:i/>
          <w:iCs/>
        </w:rPr>
        <w:t>Khrykin</w:t>
      </w:r>
      <w:proofErr w:type="spellEnd"/>
      <w:r w:rsidR="0084730A" w:rsidRPr="00992A03">
        <w:rPr>
          <w:rFonts w:ascii="Cambria" w:hAnsi="Cambria" w:cs="Times New Roman"/>
          <w:i/>
          <w:iCs/>
        </w:rPr>
        <w:t xml:space="preserve"> v </w:t>
      </w:r>
      <w:r w:rsidR="00514CCE" w:rsidRPr="00992A03">
        <w:rPr>
          <w:rFonts w:ascii="Cambria" w:hAnsi="Cambria" w:cs="Times New Roman"/>
          <w:i/>
          <w:iCs/>
        </w:rPr>
        <w:t>Russia, [20</w:t>
      </w:r>
      <w:r w:rsidR="00802255" w:rsidRPr="00992A03">
        <w:rPr>
          <w:rFonts w:ascii="Cambria" w:hAnsi="Cambria" w:cs="Times New Roman"/>
          <w:i/>
          <w:iCs/>
        </w:rPr>
        <w:t>11], ECtHR, 33186/08, para 28.</w:t>
      </w:r>
    </w:p>
  </w:footnote>
  <w:footnote w:id="18">
    <w:p w14:paraId="40E0D487" w14:textId="77777777" w:rsidR="00C26385" w:rsidRPr="00992A03" w:rsidRDefault="00C26385"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697A1D" w:rsidRPr="00992A03">
        <w:rPr>
          <w:rFonts w:ascii="Cambria" w:hAnsi="Cambria" w:cs="Times New Roman"/>
          <w:i/>
          <w:iCs/>
        </w:rPr>
        <w:t xml:space="preserve">Industrial Financial consortium investment </w:t>
      </w:r>
      <w:proofErr w:type="spellStart"/>
      <w:r w:rsidR="00697A1D" w:rsidRPr="00992A03">
        <w:rPr>
          <w:rFonts w:ascii="Cambria" w:hAnsi="Cambria" w:cs="Times New Roman"/>
          <w:i/>
          <w:iCs/>
        </w:rPr>
        <w:t>Metallurigcal</w:t>
      </w:r>
      <w:proofErr w:type="spellEnd"/>
      <w:r w:rsidR="00697A1D" w:rsidRPr="00992A03">
        <w:rPr>
          <w:rFonts w:ascii="Cambria" w:hAnsi="Cambria" w:cs="Times New Roman"/>
          <w:i/>
          <w:iCs/>
        </w:rPr>
        <w:t xml:space="preserve"> union v Ukraine, </w:t>
      </w:r>
      <w:r w:rsidR="00697A1D" w:rsidRPr="00992A03">
        <w:rPr>
          <w:rFonts w:ascii="Cambria" w:hAnsi="Cambria" w:cs="Times New Roman"/>
        </w:rPr>
        <w:t xml:space="preserve">[2018], ECtHR, </w:t>
      </w:r>
      <w:r w:rsidR="00A11CBB" w:rsidRPr="00992A03">
        <w:rPr>
          <w:rFonts w:ascii="Cambria" w:hAnsi="Cambria" w:cs="Times New Roman"/>
        </w:rPr>
        <w:t>10640/05, para 148.</w:t>
      </w:r>
    </w:p>
  </w:footnote>
  <w:footnote w:id="19">
    <w:p w14:paraId="0C460721" w14:textId="77777777" w:rsidR="00C26385" w:rsidRPr="00992A03" w:rsidRDefault="00C26385"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D40949" w:rsidRPr="00992A03">
        <w:rPr>
          <w:rFonts w:ascii="Cambria" w:hAnsi="Cambria" w:cs="Times New Roman"/>
        </w:rPr>
        <w:t>AKANDKI-KOMBE</w:t>
      </w:r>
      <w:r w:rsidR="00FA5CCF" w:rsidRPr="00992A03">
        <w:rPr>
          <w:rFonts w:ascii="Cambria" w:hAnsi="Cambria" w:cs="Times New Roman"/>
        </w:rPr>
        <w:t xml:space="preserve"> JF</w:t>
      </w:r>
      <w:r w:rsidR="00666406" w:rsidRPr="00992A03">
        <w:rPr>
          <w:rFonts w:ascii="Cambria" w:hAnsi="Cambria" w:cs="Times New Roman"/>
        </w:rPr>
        <w:t>, ‘</w:t>
      </w:r>
      <w:r w:rsidR="00666406" w:rsidRPr="00DD176A">
        <w:rPr>
          <w:rFonts w:ascii="Cambria" w:hAnsi="Cambria" w:cs="Times New Roman"/>
          <w:i/>
          <w:iCs/>
        </w:rPr>
        <w:t>Positive Obligations under the European Convention on Human Rights: A Guide to the Implementation of the European Convention on Human Rights’</w:t>
      </w:r>
      <w:r w:rsidR="00666406" w:rsidRPr="00992A03">
        <w:rPr>
          <w:rFonts w:ascii="Cambria" w:hAnsi="Cambria" w:cs="Times New Roman"/>
        </w:rPr>
        <w:t xml:space="preserve"> (2007) Human Rights Handbook, Volume 7, p5. </w:t>
      </w:r>
      <w:r w:rsidR="00D40949" w:rsidRPr="00992A03">
        <w:rPr>
          <w:rFonts w:ascii="Cambria" w:hAnsi="Cambria" w:cs="Times New Roman"/>
        </w:rPr>
        <w:t>WILDHABER</w:t>
      </w:r>
      <w:r w:rsidR="00FA5CCF" w:rsidRPr="00992A03">
        <w:rPr>
          <w:rFonts w:ascii="Cambria" w:hAnsi="Cambria" w:cs="Times New Roman"/>
        </w:rPr>
        <w:t xml:space="preserve"> L</w:t>
      </w:r>
      <w:r w:rsidR="00666406" w:rsidRPr="00992A03">
        <w:rPr>
          <w:rFonts w:ascii="Cambria" w:hAnsi="Cambria" w:cs="Times New Roman"/>
        </w:rPr>
        <w:t>, ‘</w:t>
      </w:r>
      <w:r w:rsidR="00666406" w:rsidRPr="00DD176A">
        <w:rPr>
          <w:rFonts w:ascii="Cambria" w:hAnsi="Cambria" w:cs="Times New Roman"/>
          <w:i/>
          <w:iCs/>
        </w:rPr>
        <w:t>The European Court of Human Rights in Action</w:t>
      </w:r>
      <w:r w:rsidR="00666406" w:rsidRPr="00992A03">
        <w:rPr>
          <w:rFonts w:ascii="Cambria" w:hAnsi="Cambria" w:cs="Times New Roman"/>
        </w:rPr>
        <w:t xml:space="preserve">’ (2004) </w:t>
      </w:r>
      <w:proofErr w:type="spellStart"/>
      <w:r w:rsidR="00666406" w:rsidRPr="00992A03">
        <w:rPr>
          <w:rFonts w:ascii="Cambria" w:hAnsi="Cambria" w:cs="Times New Roman"/>
        </w:rPr>
        <w:t>Ritsumeikan</w:t>
      </w:r>
      <w:proofErr w:type="spellEnd"/>
      <w:r w:rsidR="00666406" w:rsidRPr="00992A03">
        <w:rPr>
          <w:rFonts w:ascii="Cambria" w:hAnsi="Cambria" w:cs="Times New Roman"/>
        </w:rPr>
        <w:t xml:space="preserve"> Law Review pp83- 92, p84</w:t>
      </w:r>
    </w:p>
  </w:footnote>
  <w:footnote w:id="20">
    <w:p w14:paraId="758C3D6C" w14:textId="77777777" w:rsidR="00C26385" w:rsidRPr="00992A03" w:rsidRDefault="00C26385"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00830685" w:rsidRPr="00992A03">
        <w:rPr>
          <w:rFonts w:ascii="Cambria" w:hAnsi="Cambria" w:cs="Times New Roman"/>
        </w:rPr>
        <w:t xml:space="preserve"> </w:t>
      </w:r>
      <w:r w:rsidR="00D40949" w:rsidRPr="00992A03">
        <w:rPr>
          <w:rFonts w:ascii="Cambria" w:hAnsi="Cambria" w:cs="Times New Roman"/>
        </w:rPr>
        <w:t>STOYANOV</w:t>
      </w:r>
      <w:r w:rsidR="00FA5CCF" w:rsidRPr="00992A03">
        <w:rPr>
          <w:rFonts w:ascii="Cambria" w:hAnsi="Cambria" w:cs="Times New Roman"/>
        </w:rPr>
        <w:t xml:space="preserve"> V</w:t>
      </w:r>
      <w:r w:rsidR="0052723B">
        <w:rPr>
          <w:rFonts w:ascii="Cambria" w:hAnsi="Cambria" w:cs="Times New Roman"/>
        </w:rPr>
        <w:t xml:space="preserve">, </w:t>
      </w:r>
      <w:r w:rsidR="00363609" w:rsidRPr="0052723B">
        <w:rPr>
          <w:rFonts w:ascii="Cambria" w:hAnsi="Cambria" w:cs="Times New Roman"/>
          <w:i/>
          <w:iCs/>
        </w:rPr>
        <w:t xml:space="preserve">Fault, </w:t>
      </w:r>
      <w:proofErr w:type="gramStart"/>
      <w:r w:rsidR="00363609" w:rsidRPr="0052723B">
        <w:rPr>
          <w:rFonts w:ascii="Cambria" w:hAnsi="Cambria" w:cs="Times New Roman"/>
          <w:i/>
          <w:iCs/>
        </w:rPr>
        <w:t>Knowledge</w:t>
      </w:r>
      <w:proofErr w:type="gramEnd"/>
      <w:r w:rsidR="00363609" w:rsidRPr="0052723B">
        <w:rPr>
          <w:rFonts w:ascii="Cambria" w:hAnsi="Cambria" w:cs="Times New Roman"/>
          <w:i/>
          <w:iCs/>
        </w:rPr>
        <w:t xml:space="preserve"> and Risk within the framework of positive obligations under the European Convention on Human Rights’</w:t>
      </w:r>
      <w:r w:rsidR="00363609" w:rsidRPr="00992A03">
        <w:rPr>
          <w:rFonts w:ascii="Cambria" w:hAnsi="Cambria" w:cs="Times New Roman"/>
        </w:rPr>
        <w:t xml:space="preserve"> (2020), Leiden Journal of International Law, Volume 33 pp601-620, p606</w:t>
      </w:r>
    </w:p>
  </w:footnote>
  <w:footnote w:id="21">
    <w:p w14:paraId="201D6088" w14:textId="77777777" w:rsidR="00FD1A17" w:rsidRPr="00992A03" w:rsidRDefault="00FD1A17" w:rsidP="008553F4">
      <w:pPr>
        <w:pStyle w:val="FootnoteText"/>
        <w:spacing w:line="276" w:lineRule="auto"/>
        <w:jc w:val="both"/>
        <w:rPr>
          <w:rFonts w:ascii="Cambria" w:hAnsi="Cambria" w:cs="Times New Roman"/>
          <w:lang w:val="fr-LU"/>
        </w:rPr>
      </w:pPr>
      <w:r w:rsidRPr="00992A03">
        <w:rPr>
          <w:rStyle w:val="FootnoteReference"/>
          <w:rFonts w:ascii="Cambria" w:hAnsi="Cambria" w:cs="Times New Roman"/>
        </w:rPr>
        <w:footnoteRef/>
      </w:r>
      <w:r w:rsidRPr="00992A03">
        <w:rPr>
          <w:rFonts w:ascii="Cambria" w:hAnsi="Cambria" w:cs="Times New Roman"/>
          <w:lang w:val="fr-LU"/>
        </w:rPr>
        <w:t xml:space="preserve"> </w:t>
      </w:r>
      <w:proofErr w:type="spellStart"/>
      <w:r w:rsidR="00F95573" w:rsidRPr="00992A03">
        <w:rPr>
          <w:rFonts w:ascii="Cambria" w:hAnsi="Cambria" w:cs="Times New Roman"/>
          <w:i/>
          <w:iCs/>
          <w:lang w:val="fr-LU"/>
        </w:rPr>
        <w:t>Paulikas</w:t>
      </w:r>
      <w:proofErr w:type="spellEnd"/>
      <w:r w:rsidR="00F95573" w:rsidRPr="00992A03">
        <w:rPr>
          <w:rFonts w:ascii="Cambria" w:hAnsi="Cambria" w:cs="Times New Roman"/>
          <w:i/>
          <w:iCs/>
          <w:lang w:val="fr-LU"/>
        </w:rPr>
        <w:t xml:space="preserve"> v </w:t>
      </w:r>
      <w:proofErr w:type="spellStart"/>
      <w:r w:rsidR="00F95573" w:rsidRPr="00992A03">
        <w:rPr>
          <w:rFonts w:ascii="Cambria" w:hAnsi="Cambria" w:cs="Times New Roman"/>
          <w:i/>
          <w:iCs/>
          <w:lang w:val="fr-LU"/>
        </w:rPr>
        <w:t>Lithuania</w:t>
      </w:r>
      <w:proofErr w:type="spellEnd"/>
      <w:r w:rsidR="00F95573" w:rsidRPr="00992A03">
        <w:rPr>
          <w:rFonts w:ascii="Cambria" w:hAnsi="Cambria" w:cs="Times New Roman"/>
          <w:i/>
          <w:iCs/>
          <w:lang w:val="fr-LU"/>
        </w:rPr>
        <w:t xml:space="preserve">, </w:t>
      </w:r>
      <w:r w:rsidR="00F95573" w:rsidRPr="00992A03">
        <w:rPr>
          <w:rFonts w:ascii="Cambria" w:hAnsi="Cambria" w:cs="Times New Roman"/>
          <w:lang w:val="fr-LU"/>
        </w:rPr>
        <w:t xml:space="preserve">[2017], </w:t>
      </w:r>
      <w:proofErr w:type="spellStart"/>
      <w:r w:rsidR="00D95C9C" w:rsidRPr="00992A03">
        <w:rPr>
          <w:rFonts w:ascii="Cambria" w:hAnsi="Cambria" w:cs="Times New Roman"/>
          <w:lang w:val="fr-LU"/>
        </w:rPr>
        <w:t>ECtHR</w:t>
      </w:r>
      <w:proofErr w:type="spellEnd"/>
      <w:r w:rsidR="00D95C9C" w:rsidRPr="00992A03">
        <w:rPr>
          <w:rFonts w:ascii="Cambria" w:hAnsi="Cambria" w:cs="Times New Roman"/>
          <w:lang w:val="fr-LU"/>
        </w:rPr>
        <w:t xml:space="preserve">, </w:t>
      </w:r>
      <w:r w:rsidR="00B351D7" w:rsidRPr="00992A03">
        <w:rPr>
          <w:rFonts w:ascii="Cambria" w:hAnsi="Cambria" w:cs="Times New Roman"/>
          <w:lang w:val="fr-LU"/>
        </w:rPr>
        <w:t xml:space="preserve">57435/09, para 62 ; </w:t>
      </w:r>
      <w:r w:rsidR="00304D79" w:rsidRPr="00992A03">
        <w:rPr>
          <w:rFonts w:ascii="Cambria" w:hAnsi="Cambria" w:cs="Times New Roman"/>
          <w:i/>
          <w:iCs/>
          <w:lang w:val="fr-LU"/>
        </w:rPr>
        <w:t xml:space="preserve">Craxi v </w:t>
      </w:r>
      <w:proofErr w:type="spellStart"/>
      <w:r w:rsidR="00304D79" w:rsidRPr="00992A03">
        <w:rPr>
          <w:rFonts w:ascii="Cambria" w:hAnsi="Cambria" w:cs="Times New Roman"/>
          <w:i/>
          <w:iCs/>
          <w:lang w:val="fr-LU"/>
        </w:rPr>
        <w:t>Italy</w:t>
      </w:r>
      <w:proofErr w:type="spellEnd"/>
      <w:r w:rsidR="00304D79" w:rsidRPr="00992A03">
        <w:rPr>
          <w:rFonts w:ascii="Cambria" w:hAnsi="Cambria" w:cs="Times New Roman"/>
          <w:i/>
          <w:iCs/>
          <w:lang w:val="fr-LU"/>
        </w:rPr>
        <w:t xml:space="preserve">, </w:t>
      </w:r>
      <w:r w:rsidR="00304D79" w:rsidRPr="00992A03">
        <w:rPr>
          <w:rFonts w:ascii="Cambria" w:hAnsi="Cambria" w:cs="Times New Roman"/>
          <w:lang w:val="fr-LU"/>
        </w:rPr>
        <w:t xml:space="preserve">[2002], </w:t>
      </w:r>
      <w:proofErr w:type="spellStart"/>
      <w:r w:rsidR="00304D79" w:rsidRPr="00992A03">
        <w:rPr>
          <w:rFonts w:ascii="Cambria" w:hAnsi="Cambria" w:cs="Times New Roman"/>
          <w:lang w:val="fr-LU"/>
        </w:rPr>
        <w:t>ECtHR</w:t>
      </w:r>
      <w:proofErr w:type="spellEnd"/>
      <w:r w:rsidR="00304D79" w:rsidRPr="00992A03">
        <w:rPr>
          <w:rFonts w:ascii="Cambria" w:hAnsi="Cambria" w:cs="Times New Roman"/>
          <w:lang w:val="fr-LU"/>
        </w:rPr>
        <w:t xml:space="preserve">, 34896/97, para 104 ; </w:t>
      </w:r>
      <w:r w:rsidR="00A24BC0" w:rsidRPr="00992A03">
        <w:rPr>
          <w:rFonts w:ascii="Cambria" w:hAnsi="Cambria" w:cs="Times New Roman"/>
          <w:lang w:val="fr-LU"/>
        </w:rPr>
        <w:t>G.C.P v Romania, 20899/03, para 48.</w:t>
      </w:r>
    </w:p>
  </w:footnote>
  <w:footnote w:id="22">
    <w:p w14:paraId="220D0478" w14:textId="77777777" w:rsidR="002D3E51" w:rsidRPr="00992A03" w:rsidRDefault="002D3E51" w:rsidP="008553F4">
      <w:pPr>
        <w:pStyle w:val="FootnoteText"/>
        <w:spacing w:line="276" w:lineRule="auto"/>
        <w:jc w:val="both"/>
        <w:rPr>
          <w:rFonts w:ascii="Cambria" w:hAnsi="Cambria" w:cs="Times New Roman"/>
          <w:iCs/>
        </w:rPr>
      </w:pPr>
      <w:r w:rsidRPr="00992A03">
        <w:rPr>
          <w:rStyle w:val="FootnoteReference"/>
          <w:rFonts w:ascii="Cambria" w:hAnsi="Cambria" w:cs="Times New Roman"/>
        </w:rPr>
        <w:footnoteRef/>
      </w:r>
      <w:r w:rsidRPr="00992A03">
        <w:rPr>
          <w:rFonts w:ascii="Cambria" w:hAnsi="Cambria" w:cs="Times New Roman"/>
        </w:rPr>
        <w:t xml:space="preserve"> </w:t>
      </w:r>
      <w:r w:rsidR="00DF524B" w:rsidRPr="00992A03">
        <w:rPr>
          <w:rFonts w:ascii="Cambria" w:hAnsi="Cambria" w:cs="Times New Roman"/>
          <w:i/>
        </w:rPr>
        <w:t xml:space="preserve">Johnston v Chief constable of the </w:t>
      </w:r>
      <w:proofErr w:type="spellStart"/>
      <w:r w:rsidR="00DF524B" w:rsidRPr="00992A03">
        <w:rPr>
          <w:rFonts w:ascii="Cambria" w:hAnsi="Cambria" w:cs="Times New Roman"/>
          <w:i/>
        </w:rPr>
        <w:t>Royla</w:t>
      </w:r>
      <w:proofErr w:type="spellEnd"/>
      <w:r w:rsidR="00DF524B" w:rsidRPr="00992A03">
        <w:rPr>
          <w:rFonts w:ascii="Cambria" w:hAnsi="Cambria" w:cs="Times New Roman"/>
          <w:i/>
        </w:rPr>
        <w:t xml:space="preserve"> Ulster Constabulary, </w:t>
      </w:r>
      <w:r w:rsidR="00B52762" w:rsidRPr="00992A03">
        <w:rPr>
          <w:rFonts w:ascii="Cambria" w:hAnsi="Cambria" w:cs="Times New Roman"/>
          <w:i/>
        </w:rPr>
        <w:t xml:space="preserve">[1986], </w:t>
      </w:r>
      <w:r w:rsidR="00B52762" w:rsidRPr="00992A03">
        <w:rPr>
          <w:rFonts w:ascii="Cambria" w:hAnsi="Cambria" w:cs="Times New Roman"/>
          <w:iCs/>
        </w:rPr>
        <w:t>ECJ, 222/84, para 18.</w:t>
      </w:r>
    </w:p>
  </w:footnote>
  <w:footnote w:id="23">
    <w:p w14:paraId="687138DF" w14:textId="77777777" w:rsidR="002D3E51" w:rsidRPr="00992A03" w:rsidRDefault="002D3E51" w:rsidP="008553F4">
      <w:pPr>
        <w:spacing w:after="0" w:line="276" w:lineRule="auto"/>
        <w:jc w:val="both"/>
        <w:rPr>
          <w:rFonts w:ascii="Cambria" w:hAnsi="Cambria" w:cs="Times New Roman"/>
          <w:sz w:val="20"/>
          <w:szCs w:val="20"/>
        </w:rPr>
      </w:pPr>
      <w:r w:rsidRPr="00992A03">
        <w:rPr>
          <w:rStyle w:val="FootnoteReference"/>
          <w:rFonts w:ascii="Cambria" w:hAnsi="Cambria" w:cs="Times New Roman"/>
          <w:sz w:val="20"/>
          <w:szCs w:val="20"/>
        </w:rPr>
        <w:footnoteRef/>
      </w:r>
      <w:r w:rsidRPr="00992A03">
        <w:rPr>
          <w:rFonts w:ascii="Cambria" w:hAnsi="Cambria" w:cs="Times New Roman"/>
          <w:sz w:val="20"/>
          <w:szCs w:val="20"/>
        </w:rPr>
        <w:t xml:space="preserve"> </w:t>
      </w:r>
      <w:r w:rsidR="000B200D" w:rsidRPr="00992A03">
        <w:rPr>
          <w:rFonts w:ascii="Cambria" w:hAnsi="Cambria" w:cs="Times New Roman"/>
          <w:i/>
          <w:iCs/>
          <w:sz w:val="20"/>
          <w:szCs w:val="20"/>
        </w:rPr>
        <w:t>A.K v</w:t>
      </w:r>
      <w:r w:rsidR="000B200D" w:rsidRPr="00992A03">
        <w:rPr>
          <w:rFonts w:ascii="Cambria" w:hAnsi="Cambria" w:cs="Times New Roman"/>
          <w:sz w:val="20"/>
          <w:szCs w:val="20"/>
        </w:rPr>
        <w:t xml:space="preserve"> </w:t>
      </w:r>
      <w:r w:rsidR="000B200D" w:rsidRPr="00992A03">
        <w:rPr>
          <w:rFonts w:ascii="Cambria" w:hAnsi="Cambria" w:cs="Times New Roman"/>
          <w:i/>
          <w:iCs/>
          <w:sz w:val="20"/>
          <w:szCs w:val="20"/>
        </w:rPr>
        <w:t xml:space="preserve">Krajowa Rada </w:t>
      </w:r>
      <w:proofErr w:type="spellStart"/>
      <w:r w:rsidR="000B200D" w:rsidRPr="00992A03">
        <w:rPr>
          <w:rFonts w:ascii="Cambria" w:hAnsi="Cambria" w:cs="Times New Roman"/>
          <w:i/>
          <w:iCs/>
          <w:sz w:val="20"/>
          <w:szCs w:val="20"/>
        </w:rPr>
        <w:t>Sądownictwa</w:t>
      </w:r>
      <w:proofErr w:type="spellEnd"/>
      <w:r w:rsidR="000B200D" w:rsidRPr="00992A03">
        <w:rPr>
          <w:rFonts w:ascii="Cambria" w:hAnsi="Cambria" w:cs="Times New Roman"/>
          <w:i/>
          <w:iCs/>
          <w:sz w:val="20"/>
          <w:szCs w:val="20"/>
        </w:rPr>
        <w:t xml:space="preserve">, </w:t>
      </w:r>
      <w:r w:rsidR="004B4314" w:rsidRPr="00992A03">
        <w:rPr>
          <w:rFonts w:ascii="Cambria" w:hAnsi="Cambria" w:cs="Times New Roman"/>
          <w:i/>
          <w:iCs/>
          <w:sz w:val="20"/>
          <w:szCs w:val="20"/>
        </w:rPr>
        <w:t xml:space="preserve">and CP and DO v </w:t>
      </w:r>
      <w:proofErr w:type="spellStart"/>
      <w:r w:rsidR="00072BB2" w:rsidRPr="00992A03">
        <w:rPr>
          <w:rFonts w:ascii="Cambria" w:hAnsi="Cambria" w:cs="Times New Roman"/>
          <w:i/>
          <w:iCs/>
          <w:sz w:val="20"/>
          <w:szCs w:val="20"/>
        </w:rPr>
        <w:t>Sąd</w:t>
      </w:r>
      <w:proofErr w:type="spellEnd"/>
      <w:r w:rsidR="00072BB2" w:rsidRPr="00992A03">
        <w:rPr>
          <w:rFonts w:ascii="Cambria" w:hAnsi="Cambria" w:cs="Times New Roman"/>
          <w:i/>
          <w:iCs/>
          <w:sz w:val="20"/>
          <w:szCs w:val="20"/>
        </w:rPr>
        <w:t xml:space="preserve"> </w:t>
      </w:r>
      <w:proofErr w:type="spellStart"/>
      <w:r w:rsidR="00072BB2" w:rsidRPr="00992A03">
        <w:rPr>
          <w:rFonts w:ascii="Cambria" w:hAnsi="Cambria" w:cs="Times New Roman"/>
          <w:i/>
          <w:iCs/>
          <w:sz w:val="20"/>
          <w:szCs w:val="20"/>
        </w:rPr>
        <w:t>Najwyższy</w:t>
      </w:r>
      <w:proofErr w:type="spellEnd"/>
      <w:r w:rsidR="00072BB2" w:rsidRPr="00992A03">
        <w:rPr>
          <w:rFonts w:ascii="Cambria" w:hAnsi="Cambria" w:cs="Times New Roman"/>
          <w:i/>
          <w:iCs/>
          <w:sz w:val="20"/>
          <w:szCs w:val="20"/>
        </w:rPr>
        <w:t xml:space="preserve">, </w:t>
      </w:r>
      <w:r w:rsidR="00072BB2" w:rsidRPr="00992A03">
        <w:rPr>
          <w:rFonts w:ascii="Cambria" w:hAnsi="Cambria" w:cs="Times New Roman"/>
          <w:sz w:val="20"/>
          <w:szCs w:val="20"/>
        </w:rPr>
        <w:t>[2019],</w:t>
      </w:r>
      <w:r w:rsidR="00132B7E" w:rsidRPr="00992A03">
        <w:rPr>
          <w:rFonts w:ascii="Cambria" w:hAnsi="Cambria" w:cs="Times New Roman"/>
          <w:sz w:val="20"/>
          <w:szCs w:val="20"/>
        </w:rPr>
        <w:t xml:space="preserve"> </w:t>
      </w:r>
      <w:r w:rsidR="00776336" w:rsidRPr="00992A03">
        <w:rPr>
          <w:rFonts w:ascii="Cambria" w:hAnsi="Cambria" w:cs="Times New Roman"/>
          <w:sz w:val="20"/>
          <w:szCs w:val="20"/>
        </w:rPr>
        <w:t xml:space="preserve">CJEU, </w:t>
      </w:r>
      <w:r w:rsidR="008C47EE" w:rsidRPr="00992A03">
        <w:rPr>
          <w:rFonts w:ascii="Cambria" w:hAnsi="Cambria" w:cs="Times New Roman"/>
          <w:sz w:val="20"/>
          <w:szCs w:val="20"/>
        </w:rPr>
        <w:t>C-585/18 C-624/18 C-625/18</w:t>
      </w:r>
      <w:r w:rsidR="008C47EE" w:rsidRPr="00992A03">
        <w:rPr>
          <w:rFonts w:ascii="Cambria" w:hAnsi="Cambria" w:cs="Times New Roman"/>
          <w:i/>
          <w:iCs/>
          <w:sz w:val="20"/>
          <w:szCs w:val="20"/>
        </w:rPr>
        <w:t xml:space="preserve">, </w:t>
      </w:r>
      <w:r w:rsidR="008C47EE" w:rsidRPr="00992A03">
        <w:rPr>
          <w:rFonts w:ascii="Cambria" w:hAnsi="Cambria" w:cs="Times New Roman"/>
          <w:sz w:val="20"/>
          <w:szCs w:val="20"/>
        </w:rPr>
        <w:t>para</w:t>
      </w:r>
    </w:p>
  </w:footnote>
  <w:footnote w:id="24">
    <w:p w14:paraId="5A9FB593" w14:textId="77777777" w:rsidR="002D3E51" w:rsidRPr="00992A03" w:rsidRDefault="002D3E51" w:rsidP="008553F4">
      <w:pPr>
        <w:pStyle w:val="FootnoteText"/>
        <w:spacing w:line="276" w:lineRule="auto"/>
        <w:jc w:val="both"/>
        <w:rPr>
          <w:rFonts w:ascii="Cambria" w:hAnsi="Cambria" w:cs="Times New Roman"/>
          <w:lang w:val="fr-LU"/>
        </w:rPr>
      </w:pPr>
      <w:r w:rsidRPr="00992A03">
        <w:rPr>
          <w:rStyle w:val="FootnoteReference"/>
          <w:rFonts w:ascii="Cambria" w:hAnsi="Cambria" w:cs="Times New Roman"/>
        </w:rPr>
        <w:footnoteRef/>
      </w:r>
      <w:r w:rsidR="00915B66" w:rsidRPr="00992A03">
        <w:rPr>
          <w:rFonts w:ascii="Cambria" w:hAnsi="Cambria" w:cs="Times New Roman"/>
          <w:lang w:val="fr-LU"/>
        </w:rPr>
        <w:t xml:space="preserve"> </w:t>
      </w:r>
      <w:r w:rsidR="00E7197F" w:rsidRPr="00992A03">
        <w:rPr>
          <w:rFonts w:ascii="Cambria" w:hAnsi="Cambria" w:cs="Times New Roman"/>
          <w:i/>
          <w:iCs/>
          <w:lang w:val="fr-LU"/>
        </w:rPr>
        <w:t xml:space="preserve">Banco de Santander SA, </w:t>
      </w:r>
      <w:r w:rsidR="00E7197F" w:rsidRPr="00992A03">
        <w:rPr>
          <w:rFonts w:ascii="Cambria" w:hAnsi="Cambria" w:cs="Times New Roman"/>
          <w:lang w:val="fr-LU"/>
        </w:rPr>
        <w:t xml:space="preserve">[2020], CJEU C-274/15 para 57 ; </w:t>
      </w:r>
      <w:proofErr w:type="spellStart"/>
      <w:r w:rsidR="00B40D2E" w:rsidRPr="00992A03">
        <w:rPr>
          <w:rFonts w:ascii="Cambria" w:hAnsi="Cambria" w:cs="Times New Roman"/>
          <w:i/>
          <w:iCs/>
          <w:lang w:val="fr-LU"/>
        </w:rPr>
        <w:t>Associação</w:t>
      </w:r>
      <w:proofErr w:type="spellEnd"/>
      <w:r w:rsidR="00B40D2E" w:rsidRPr="00992A03">
        <w:rPr>
          <w:rFonts w:ascii="Cambria" w:hAnsi="Cambria" w:cs="Times New Roman"/>
          <w:i/>
          <w:iCs/>
          <w:lang w:val="fr-LU"/>
        </w:rPr>
        <w:t xml:space="preserve"> </w:t>
      </w:r>
      <w:proofErr w:type="spellStart"/>
      <w:r w:rsidR="00B40D2E" w:rsidRPr="00992A03">
        <w:rPr>
          <w:rFonts w:ascii="Cambria" w:hAnsi="Cambria" w:cs="Times New Roman"/>
          <w:i/>
          <w:iCs/>
          <w:lang w:val="fr-LU"/>
        </w:rPr>
        <w:t>Sindical</w:t>
      </w:r>
      <w:proofErr w:type="spellEnd"/>
      <w:r w:rsidR="00B40D2E" w:rsidRPr="00992A03">
        <w:rPr>
          <w:rFonts w:ascii="Cambria" w:hAnsi="Cambria" w:cs="Times New Roman"/>
          <w:i/>
          <w:iCs/>
          <w:lang w:val="fr-LU"/>
        </w:rPr>
        <w:t xml:space="preserve"> dos </w:t>
      </w:r>
      <w:proofErr w:type="spellStart"/>
      <w:r w:rsidR="00B40D2E" w:rsidRPr="00992A03">
        <w:rPr>
          <w:rFonts w:ascii="Cambria" w:hAnsi="Cambria" w:cs="Times New Roman"/>
          <w:i/>
          <w:iCs/>
          <w:lang w:val="fr-LU"/>
        </w:rPr>
        <w:t>Juízes</w:t>
      </w:r>
      <w:proofErr w:type="spellEnd"/>
      <w:r w:rsidR="00B40D2E" w:rsidRPr="00992A03">
        <w:rPr>
          <w:rFonts w:ascii="Cambria" w:hAnsi="Cambria" w:cs="Times New Roman"/>
          <w:i/>
          <w:iCs/>
          <w:lang w:val="fr-LU"/>
        </w:rPr>
        <w:t xml:space="preserve"> </w:t>
      </w:r>
      <w:proofErr w:type="spellStart"/>
      <w:r w:rsidR="00B40D2E" w:rsidRPr="00992A03">
        <w:rPr>
          <w:rFonts w:ascii="Cambria" w:hAnsi="Cambria" w:cs="Times New Roman"/>
          <w:i/>
          <w:iCs/>
          <w:lang w:val="fr-LU"/>
        </w:rPr>
        <w:t>Portugueses</w:t>
      </w:r>
      <w:proofErr w:type="spellEnd"/>
      <w:r w:rsidR="00B40D2E" w:rsidRPr="00992A03">
        <w:rPr>
          <w:rFonts w:ascii="Cambria" w:hAnsi="Cambria" w:cs="Times New Roman"/>
          <w:i/>
          <w:iCs/>
          <w:lang w:val="fr-LU"/>
        </w:rPr>
        <w:t xml:space="preserve"> v Tribunal of Contas, </w:t>
      </w:r>
      <w:r w:rsidR="00B40D2E" w:rsidRPr="00992A03">
        <w:rPr>
          <w:rFonts w:ascii="Cambria" w:hAnsi="Cambria" w:cs="Times New Roman"/>
          <w:lang w:val="fr-LU"/>
        </w:rPr>
        <w:t xml:space="preserve">[2018], CJEU, C-64/16, para </w:t>
      </w:r>
      <w:r w:rsidR="004E0C17" w:rsidRPr="00992A03">
        <w:rPr>
          <w:rFonts w:ascii="Cambria" w:hAnsi="Cambria" w:cs="Times New Roman"/>
          <w:lang w:val="fr-LU"/>
        </w:rPr>
        <w:t>41.</w:t>
      </w:r>
    </w:p>
  </w:footnote>
  <w:footnote w:id="25">
    <w:p w14:paraId="3C05BE31" w14:textId="77777777" w:rsidR="002D3E51" w:rsidRPr="00992A03" w:rsidRDefault="002D3E51" w:rsidP="008553F4">
      <w:pPr>
        <w:pStyle w:val="FootnoteText"/>
        <w:spacing w:line="276" w:lineRule="auto"/>
        <w:jc w:val="both"/>
        <w:rPr>
          <w:rFonts w:ascii="Cambria" w:hAnsi="Cambria" w:cs="Times New Roman"/>
          <w:lang w:val="fr-LU"/>
        </w:rPr>
      </w:pPr>
      <w:r w:rsidRPr="00992A03">
        <w:rPr>
          <w:rStyle w:val="FootnoteReference"/>
          <w:rFonts w:ascii="Cambria" w:hAnsi="Cambria" w:cs="Times New Roman"/>
        </w:rPr>
        <w:footnoteRef/>
      </w:r>
      <w:r w:rsidRPr="00992A03">
        <w:rPr>
          <w:rFonts w:ascii="Cambria" w:hAnsi="Cambria" w:cs="Times New Roman"/>
          <w:lang w:val="fr-LU"/>
        </w:rPr>
        <w:t xml:space="preserve"> </w:t>
      </w:r>
      <w:r w:rsidR="00915B66" w:rsidRPr="00992A03">
        <w:rPr>
          <w:rFonts w:ascii="Cambria" w:hAnsi="Cambria" w:cs="Times New Roman"/>
          <w:i/>
          <w:iCs/>
          <w:lang w:val="fr-LU"/>
        </w:rPr>
        <w:t xml:space="preserve">European Commission v </w:t>
      </w:r>
      <w:proofErr w:type="spellStart"/>
      <w:r w:rsidR="00915B66" w:rsidRPr="00992A03">
        <w:rPr>
          <w:rFonts w:ascii="Cambria" w:hAnsi="Cambria" w:cs="Times New Roman"/>
          <w:i/>
          <w:iCs/>
          <w:lang w:val="fr-LU"/>
        </w:rPr>
        <w:t>Republic</w:t>
      </w:r>
      <w:proofErr w:type="spellEnd"/>
      <w:r w:rsidR="00915B66" w:rsidRPr="00992A03">
        <w:rPr>
          <w:rFonts w:ascii="Cambria" w:hAnsi="Cambria" w:cs="Times New Roman"/>
          <w:i/>
          <w:iCs/>
          <w:lang w:val="fr-LU"/>
        </w:rPr>
        <w:t xml:space="preserve"> of </w:t>
      </w:r>
      <w:proofErr w:type="spellStart"/>
      <w:r w:rsidR="00915B66" w:rsidRPr="00992A03">
        <w:rPr>
          <w:rFonts w:ascii="Cambria" w:hAnsi="Cambria" w:cs="Times New Roman"/>
          <w:i/>
          <w:iCs/>
          <w:lang w:val="fr-LU"/>
        </w:rPr>
        <w:t>Poland</w:t>
      </w:r>
      <w:proofErr w:type="spellEnd"/>
      <w:r w:rsidR="00915B66" w:rsidRPr="00992A03">
        <w:rPr>
          <w:rFonts w:ascii="Cambria" w:hAnsi="Cambria" w:cs="Times New Roman"/>
          <w:i/>
          <w:iCs/>
          <w:lang w:val="fr-LU"/>
        </w:rPr>
        <w:t xml:space="preserve">, </w:t>
      </w:r>
      <w:r w:rsidR="00915B66" w:rsidRPr="00992A03">
        <w:rPr>
          <w:rFonts w:ascii="Cambria" w:hAnsi="Cambria" w:cs="Times New Roman"/>
          <w:lang w:val="fr-LU"/>
        </w:rPr>
        <w:t>[2019], CJEU, C-619/18, para 112</w:t>
      </w:r>
      <w:r w:rsidR="002724ED" w:rsidRPr="00992A03">
        <w:rPr>
          <w:rFonts w:ascii="Cambria" w:hAnsi="Cambria" w:cs="Times New Roman"/>
          <w:lang w:val="fr-LU"/>
        </w:rPr>
        <w:t>.</w:t>
      </w:r>
    </w:p>
  </w:footnote>
  <w:footnote w:id="26">
    <w:p w14:paraId="435E25F5" w14:textId="77777777" w:rsidR="003A73F8" w:rsidRPr="00992A03" w:rsidRDefault="003A73F8" w:rsidP="008553F4">
      <w:pPr>
        <w:pStyle w:val="FootnoteText"/>
        <w:spacing w:line="276" w:lineRule="auto"/>
        <w:jc w:val="both"/>
        <w:rPr>
          <w:rFonts w:ascii="Cambria" w:hAnsi="Cambria" w:cs="Times New Roman"/>
          <w:lang w:val="fr-LU"/>
        </w:rPr>
      </w:pPr>
      <w:r w:rsidRPr="00992A03">
        <w:rPr>
          <w:rStyle w:val="FootnoteReference"/>
          <w:rFonts w:ascii="Cambria" w:hAnsi="Cambria" w:cs="Times New Roman"/>
        </w:rPr>
        <w:footnoteRef/>
      </w:r>
      <w:r w:rsidRPr="00992A03">
        <w:rPr>
          <w:rFonts w:ascii="Cambria" w:hAnsi="Cambria" w:cs="Times New Roman"/>
          <w:lang w:val="fr-LU"/>
        </w:rPr>
        <w:t xml:space="preserve"> </w:t>
      </w:r>
      <w:proofErr w:type="spellStart"/>
      <w:r w:rsidR="00C31682" w:rsidRPr="00992A03">
        <w:rPr>
          <w:rFonts w:ascii="Cambria" w:hAnsi="Cambria" w:cs="Times New Roman"/>
          <w:i/>
          <w:iCs/>
          <w:lang w:val="fr-LU"/>
        </w:rPr>
        <w:t>Constantinides</w:t>
      </w:r>
      <w:proofErr w:type="spellEnd"/>
      <w:r w:rsidR="00C31682" w:rsidRPr="00992A03">
        <w:rPr>
          <w:rFonts w:ascii="Cambria" w:hAnsi="Cambria" w:cs="Times New Roman"/>
          <w:i/>
          <w:iCs/>
          <w:lang w:val="fr-LU"/>
        </w:rPr>
        <w:t xml:space="preserve"> v </w:t>
      </w:r>
      <w:proofErr w:type="spellStart"/>
      <w:r w:rsidR="00C31682" w:rsidRPr="00992A03">
        <w:rPr>
          <w:rFonts w:ascii="Cambria" w:hAnsi="Cambria" w:cs="Times New Roman"/>
          <w:i/>
          <w:iCs/>
          <w:lang w:val="fr-LU"/>
        </w:rPr>
        <w:t>Greece</w:t>
      </w:r>
      <w:proofErr w:type="spellEnd"/>
      <w:r w:rsidR="00C31682" w:rsidRPr="00992A03">
        <w:rPr>
          <w:rFonts w:ascii="Cambria" w:hAnsi="Cambria" w:cs="Times New Roman"/>
          <w:lang w:val="fr-LU"/>
        </w:rPr>
        <w:t>, [</w:t>
      </w:r>
      <w:r w:rsidR="002956F5" w:rsidRPr="00992A03">
        <w:rPr>
          <w:rFonts w:ascii="Cambria" w:hAnsi="Cambria" w:cs="Times New Roman"/>
          <w:lang w:val="fr-LU"/>
        </w:rPr>
        <w:t>2016</w:t>
      </w:r>
      <w:r w:rsidR="00C31682" w:rsidRPr="00992A03">
        <w:rPr>
          <w:rFonts w:ascii="Cambria" w:hAnsi="Cambria" w:cs="Times New Roman"/>
          <w:lang w:val="fr-LU"/>
        </w:rPr>
        <w:t>]</w:t>
      </w:r>
      <w:r w:rsidR="002956F5" w:rsidRPr="00992A03">
        <w:rPr>
          <w:rFonts w:ascii="Cambria" w:hAnsi="Cambria" w:cs="Times New Roman"/>
          <w:lang w:val="fr-LU"/>
        </w:rPr>
        <w:t xml:space="preserve">, </w:t>
      </w:r>
      <w:proofErr w:type="spellStart"/>
      <w:r w:rsidR="002956F5" w:rsidRPr="00992A03">
        <w:rPr>
          <w:rFonts w:ascii="Cambria" w:hAnsi="Cambria" w:cs="Times New Roman"/>
          <w:lang w:val="fr-LU"/>
        </w:rPr>
        <w:t>ECtHR</w:t>
      </w:r>
      <w:proofErr w:type="spellEnd"/>
      <w:r w:rsidR="002956F5" w:rsidRPr="00992A03">
        <w:rPr>
          <w:rFonts w:ascii="Cambria" w:hAnsi="Cambria" w:cs="Times New Roman"/>
          <w:lang w:val="fr-LU"/>
        </w:rPr>
        <w:t xml:space="preserve">, 76438/12, para </w:t>
      </w:r>
      <w:proofErr w:type="gramStart"/>
      <w:r w:rsidR="00A027DA" w:rsidRPr="00992A03">
        <w:rPr>
          <w:rFonts w:ascii="Cambria" w:hAnsi="Cambria" w:cs="Times New Roman"/>
          <w:lang w:val="fr-LU"/>
        </w:rPr>
        <w:t>41</w:t>
      </w:r>
      <w:r w:rsidR="00023CD3" w:rsidRPr="00992A03">
        <w:rPr>
          <w:rFonts w:ascii="Cambria" w:hAnsi="Cambria" w:cs="Times New Roman"/>
          <w:lang w:val="fr-LU"/>
        </w:rPr>
        <w:t>;</w:t>
      </w:r>
      <w:proofErr w:type="gramEnd"/>
      <w:r w:rsidR="00023CD3" w:rsidRPr="00992A03">
        <w:rPr>
          <w:rFonts w:ascii="Cambria" w:hAnsi="Cambria" w:cs="Times New Roman"/>
          <w:lang w:val="fr-LU"/>
        </w:rPr>
        <w:t xml:space="preserve"> </w:t>
      </w:r>
      <w:r w:rsidR="00023CD3" w:rsidRPr="00992A03">
        <w:rPr>
          <w:rFonts w:ascii="Cambria" w:hAnsi="Cambria" w:cs="Times New Roman"/>
          <w:i/>
          <w:iCs/>
          <w:lang w:val="fr-LU"/>
        </w:rPr>
        <w:t>Muller v Germany,</w:t>
      </w:r>
      <w:r w:rsidR="00023CD3" w:rsidRPr="00992A03">
        <w:rPr>
          <w:rFonts w:ascii="Cambria" w:hAnsi="Cambria" w:cs="Times New Roman"/>
          <w:lang w:val="fr-LU"/>
        </w:rPr>
        <w:t xml:space="preserve"> [2014], </w:t>
      </w:r>
      <w:proofErr w:type="spellStart"/>
      <w:r w:rsidR="00023CD3" w:rsidRPr="00992A03">
        <w:rPr>
          <w:rFonts w:ascii="Cambria" w:hAnsi="Cambria" w:cs="Times New Roman"/>
          <w:lang w:val="fr-LU"/>
        </w:rPr>
        <w:t>ECtHR</w:t>
      </w:r>
      <w:proofErr w:type="spellEnd"/>
      <w:r w:rsidR="00023CD3" w:rsidRPr="00992A03">
        <w:rPr>
          <w:rFonts w:ascii="Cambria" w:hAnsi="Cambria" w:cs="Times New Roman"/>
          <w:lang w:val="fr-LU"/>
        </w:rPr>
        <w:t>, 54963/08, paras 51-52</w:t>
      </w:r>
    </w:p>
  </w:footnote>
  <w:footnote w:id="27">
    <w:p w14:paraId="0DE2FEC6" w14:textId="77777777" w:rsidR="003A73F8" w:rsidRPr="00992A03" w:rsidRDefault="003A73F8" w:rsidP="008553F4">
      <w:pPr>
        <w:pStyle w:val="FootnoteText"/>
        <w:spacing w:line="276" w:lineRule="auto"/>
        <w:jc w:val="both"/>
        <w:rPr>
          <w:rFonts w:ascii="Cambria" w:hAnsi="Cambria" w:cs="Times New Roman"/>
          <w:lang w:val="fr-LU"/>
        </w:rPr>
      </w:pPr>
      <w:r w:rsidRPr="00992A03">
        <w:rPr>
          <w:rStyle w:val="FootnoteReference"/>
          <w:rFonts w:ascii="Cambria" w:hAnsi="Cambria" w:cs="Times New Roman"/>
        </w:rPr>
        <w:footnoteRef/>
      </w:r>
      <w:r w:rsidRPr="00992A03">
        <w:rPr>
          <w:rFonts w:ascii="Cambria" w:hAnsi="Cambria" w:cs="Times New Roman"/>
          <w:lang w:val="fr-LU"/>
        </w:rPr>
        <w:t xml:space="preserve"> </w:t>
      </w:r>
      <w:r w:rsidR="000947F7" w:rsidRPr="00992A03">
        <w:rPr>
          <w:rFonts w:ascii="Cambria" w:hAnsi="Cambria" w:cs="Times New Roman"/>
          <w:i/>
          <w:iCs/>
          <w:lang w:val="fr-LU"/>
        </w:rPr>
        <w:t xml:space="preserve">European Commission v </w:t>
      </w:r>
      <w:proofErr w:type="spellStart"/>
      <w:r w:rsidR="000947F7" w:rsidRPr="00992A03">
        <w:rPr>
          <w:rFonts w:ascii="Cambria" w:hAnsi="Cambria" w:cs="Times New Roman"/>
          <w:i/>
          <w:iCs/>
          <w:lang w:val="fr-LU"/>
        </w:rPr>
        <w:t>Republic</w:t>
      </w:r>
      <w:proofErr w:type="spellEnd"/>
      <w:r w:rsidR="000947F7" w:rsidRPr="00992A03">
        <w:rPr>
          <w:rFonts w:ascii="Cambria" w:hAnsi="Cambria" w:cs="Times New Roman"/>
          <w:i/>
          <w:iCs/>
          <w:lang w:val="fr-LU"/>
        </w:rPr>
        <w:t xml:space="preserve"> of </w:t>
      </w:r>
      <w:proofErr w:type="spellStart"/>
      <w:r w:rsidR="000947F7" w:rsidRPr="00992A03">
        <w:rPr>
          <w:rFonts w:ascii="Cambria" w:hAnsi="Cambria" w:cs="Times New Roman"/>
          <w:i/>
          <w:iCs/>
          <w:lang w:val="fr-LU"/>
        </w:rPr>
        <w:t>Poland</w:t>
      </w:r>
      <w:proofErr w:type="spellEnd"/>
      <w:r w:rsidR="000947F7" w:rsidRPr="00992A03">
        <w:rPr>
          <w:rFonts w:ascii="Cambria" w:hAnsi="Cambria" w:cs="Times New Roman"/>
          <w:i/>
          <w:iCs/>
          <w:lang w:val="fr-LU"/>
        </w:rPr>
        <w:t xml:space="preserve">, </w:t>
      </w:r>
      <w:r w:rsidR="000947F7" w:rsidRPr="00992A03">
        <w:rPr>
          <w:rFonts w:ascii="Cambria" w:hAnsi="Cambria" w:cs="Times New Roman"/>
          <w:lang w:val="fr-LU"/>
        </w:rPr>
        <w:t>[2019], CJEU, C-619/18, para 112.</w:t>
      </w:r>
    </w:p>
  </w:footnote>
  <w:footnote w:id="28">
    <w:p w14:paraId="5854B271" w14:textId="77777777" w:rsidR="003A73F8" w:rsidRPr="00992A03" w:rsidRDefault="003A73F8"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843043" w:rsidRPr="00992A03">
        <w:rPr>
          <w:rFonts w:ascii="Cambria" w:hAnsi="Cambria" w:cs="Times New Roman"/>
          <w:i/>
          <w:iCs/>
        </w:rPr>
        <w:t xml:space="preserve">Ibid </w:t>
      </w:r>
      <w:r w:rsidR="00607372" w:rsidRPr="00992A03">
        <w:rPr>
          <w:rFonts w:ascii="Cambria" w:hAnsi="Cambria" w:cs="Times New Roman"/>
        </w:rPr>
        <w:t>footnote 11.</w:t>
      </w:r>
    </w:p>
  </w:footnote>
  <w:footnote w:id="29">
    <w:p w14:paraId="444E81F3" w14:textId="77777777" w:rsidR="003A73F8" w:rsidRPr="00992A03" w:rsidRDefault="003A73F8"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1C50CE" w:rsidRPr="00992A03">
        <w:rPr>
          <w:rFonts w:ascii="Cambria" w:hAnsi="Cambria" w:cs="Times New Roman"/>
        </w:rPr>
        <w:t xml:space="preserve">Oxford Dictionary, </w:t>
      </w:r>
      <w:r w:rsidR="00984945" w:rsidRPr="00992A03">
        <w:rPr>
          <w:rFonts w:ascii="Cambria" w:hAnsi="Cambria" w:cs="Times New Roman"/>
          <w:i/>
          <w:iCs/>
        </w:rPr>
        <w:t>Appropriate</w:t>
      </w:r>
      <w:r w:rsidR="001C50CE" w:rsidRPr="00992A03">
        <w:rPr>
          <w:rFonts w:ascii="Cambria" w:hAnsi="Cambria" w:cs="Times New Roman"/>
        </w:rPr>
        <w:t xml:space="preserve">, accessed on 8th November 2021, available at: </w:t>
      </w:r>
      <w:hyperlink r:id="rId1" w:history="1">
        <w:r w:rsidR="00984945" w:rsidRPr="00992A03">
          <w:rPr>
            <w:rStyle w:val="Hyperlink"/>
            <w:rFonts w:ascii="Cambria" w:hAnsi="Cambria" w:cs="Times New Roman"/>
          </w:rPr>
          <w:t>https://www.oxfordlearnersdictionaries.com/definition/english/appropriate_1</w:t>
        </w:r>
      </w:hyperlink>
      <w:r w:rsidR="00984945" w:rsidRPr="00992A03">
        <w:rPr>
          <w:rFonts w:ascii="Cambria" w:hAnsi="Cambria" w:cs="Times New Roman"/>
        </w:rPr>
        <w:t xml:space="preserve"> .</w:t>
      </w:r>
    </w:p>
  </w:footnote>
  <w:footnote w:id="30">
    <w:p w14:paraId="12DC2C82" w14:textId="77777777" w:rsidR="001605B7" w:rsidRPr="00992A03" w:rsidRDefault="001605B7" w:rsidP="008553F4">
      <w:pPr>
        <w:pStyle w:val="FootnoteText"/>
        <w:spacing w:line="276" w:lineRule="auto"/>
        <w:jc w:val="both"/>
        <w:rPr>
          <w:rFonts w:ascii="Cambria" w:hAnsi="Cambria" w:cs="Times New Roman"/>
          <w:lang w:val="fr-LU"/>
        </w:rPr>
      </w:pPr>
      <w:r w:rsidRPr="00992A03">
        <w:rPr>
          <w:rStyle w:val="FootnoteReference"/>
          <w:rFonts w:ascii="Cambria" w:hAnsi="Cambria" w:cs="Times New Roman"/>
        </w:rPr>
        <w:footnoteRef/>
      </w:r>
      <w:r w:rsidRPr="00992A03">
        <w:rPr>
          <w:rFonts w:ascii="Cambria" w:hAnsi="Cambria" w:cs="Times New Roman"/>
          <w:lang w:val="fr-LU"/>
        </w:rPr>
        <w:t xml:space="preserve"> </w:t>
      </w:r>
      <w:proofErr w:type="spellStart"/>
      <w:r w:rsidR="00A067E5" w:rsidRPr="00992A03">
        <w:rPr>
          <w:rFonts w:ascii="Cambria" w:hAnsi="Cambria" w:cs="Times New Roman"/>
          <w:lang w:val="fr-LU"/>
        </w:rPr>
        <w:t>See</w:t>
      </w:r>
      <w:proofErr w:type="spellEnd"/>
      <w:r w:rsidR="00A067E5" w:rsidRPr="00992A03">
        <w:rPr>
          <w:rFonts w:ascii="Cambria" w:hAnsi="Cambria" w:cs="Times New Roman"/>
          <w:lang w:val="fr-LU"/>
        </w:rPr>
        <w:t xml:space="preserve"> </w:t>
      </w:r>
      <w:proofErr w:type="spellStart"/>
      <w:r w:rsidR="00A067E5" w:rsidRPr="00992A03">
        <w:rPr>
          <w:rFonts w:ascii="Cambria" w:hAnsi="Cambria" w:cs="Times New Roman"/>
          <w:lang w:val="fr-LU"/>
        </w:rPr>
        <w:t>footnote</w:t>
      </w:r>
      <w:proofErr w:type="spellEnd"/>
      <w:r w:rsidR="00A067E5" w:rsidRPr="00992A03">
        <w:rPr>
          <w:rFonts w:ascii="Cambria" w:hAnsi="Cambria" w:cs="Times New Roman"/>
          <w:lang w:val="fr-LU"/>
        </w:rPr>
        <w:t xml:space="preserve"> 19</w:t>
      </w:r>
    </w:p>
  </w:footnote>
  <w:footnote w:id="31">
    <w:p w14:paraId="23A439EA" w14:textId="77777777" w:rsidR="00DA055C" w:rsidRPr="00992A03" w:rsidRDefault="00DA055C" w:rsidP="008553F4">
      <w:pPr>
        <w:pStyle w:val="FootnoteText"/>
        <w:spacing w:line="276" w:lineRule="auto"/>
        <w:jc w:val="both"/>
        <w:rPr>
          <w:rFonts w:ascii="Cambria" w:hAnsi="Cambria" w:cs="Times New Roman"/>
          <w:lang w:val="fr-LU"/>
        </w:rPr>
      </w:pPr>
      <w:r w:rsidRPr="00992A03">
        <w:rPr>
          <w:rStyle w:val="FootnoteReference"/>
          <w:rFonts w:ascii="Cambria" w:hAnsi="Cambria" w:cs="Times New Roman"/>
        </w:rPr>
        <w:footnoteRef/>
      </w:r>
      <w:r w:rsidRPr="00992A03">
        <w:rPr>
          <w:rFonts w:ascii="Cambria" w:hAnsi="Cambria" w:cs="Times New Roman"/>
          <w:lang w:val="fr-LU"/>
        </w:rPr>
        <w:t xml:space="preserve"> </w:t>
      </w:r>
      <w:r w:rsidR="00A067E5" w:rsidRPr="00992A03">
        <w:rPr>
          <w:rFonts w:ascii="Cambria" w:hAnsi="Cambria" w:cs="Times New Roman"/>
          <w:i/>
          <w:iCs/>
          <w:lang w:val="fr-LU"/>
        </w:rPr>
        <w:t>Ibidem</w:t>
      </w:r>
      <w:r w:rsidR="00A067E5" w:rsidRPr="00992A03">
        <w:rPr>
          <w:rFonts w:ascii="Cambria" w:hAnsi="Cambria" w:cs="Times New Roman"/>
          <w:lang w:val="fr-LU"/>
        </w:rPr>
        <w:t>.</w:t>
      </w:r>
    </w:p>
  </w:footnote>
  <w:footnote w:id="32">
    <w:p w14:paraId="6E4E92CF" w14:textId="77777777" w:rsidR="00DA055C" w:rsidRPr="00992A03" w:rsidRDefault="00DA055C" w:rsidP="008553F4">
      <w:pPr>
        <w:pStyle w:val="FootnoteText"/>
        <w:spacing w:line="276" w:lineRule="auto"/>
        <w:jc w:val="both"/>
        <w:rPr>
          <w:rFonts w:ascii="Cambria" w:hAnsi="Cambria" w:cs="Times New Roman"/>
          <w:lang w:val="fr-LU"/>
        </w:rPr>
      </w:pPr>
      <w:r w:rsidRPr="00992A03">
        <w:rPr>
          <w:rStyle w:val="FootnoteReference"/>
          <w:rFonts w:ascii="Cambria" w:hAnsi="Cambria" w:cs="Times New Roman"/>
        </w:rPr>
        <w:footnoteRef/>
      </w:r>
      <w:r w:rsidRPr="00992A03">
        <w:rPr>
          <w:rFonts w:ascii="Cambria" w:hAnsi="Cambria" w:cs="Times New Roman"/>
          <w:lang w:val="fr-LU"/>
        </w:rPr>
        <w:t xml:space="preserve"> </w:t>
      </w:r>
      <w:r w:rsidR="00CF4613" w:rsidRPr="00992A03">
        <w:rPr>
          <w:rFonts w:ascii="Cambria" w:hAnsi="Cambria" w:cs="Times New Roman"/>
          <w:lang w:val="fr-FR"/>
        </w:rPr>
        <w:t>GLODSZLAGIER</w:t>
      </w:r>
      <w:r w:rsidR="00050381" w:rsidRPr="00992A03">
        <w:rPr>
          <w:rFonts w:ascii="Cambria" w:hAnsi="Cambria" w:cs="Times New Roman"/>
          <w:lang w:val="fr-FR"/>
        </w:rPr>
        <w:t xml:space="preserve"> J</w:t>
      </w:r>
      <w:r w:rsidR="00390162">
        <w:rPr>
          <w:rFonts w:ascii="Cambria" w:hAnsi="Cambria" w:cs="Times New Roman"/>
          <w:lang w:val="fr-FR"/>
        </w:rPr>
        <w:t xml:space="preserve">, </w:t>
      </w:r>
      <w:r w:rsidR="004E2B9E" w:rsidRPr="00390162">
        <w:rPr>
          <w:rFonts w:ascii="Cambria" w:hAnsi="Cambria" w:cs="Times New Roman"/>
          <w:i/>
          <w:iCs/>
          <w:lang w:val="fr-FR"/>
        </w:rPr>
        <w:t>L’effet d’ancrage ou l’apport de la psychologie cognitive à l’étude de la décision judiciaire</w:t>
      </w:r>
      <w:r w:rsidR="004E2B9E" w:rsidRPr="00992A03">
        <w:rPr>
          <w:rFonts w:ascii="Cambria" w:hAnsi="Cambria" w:cs="Times New Roman"/>
          <w:lang w:val="fr-FR"/>
        </w:rPr>
        <w:t>,</w:t>
      </w:r>
      <w:r w:rsidR="00387833" w:rsidRPr="00992A03">
        <w:rPr>
          <w:rFonts w:ascii="Cambria" w:hAnsi="Cambria" w:cs="Times New Roman"/>
          <w:lang w:val="fr-FR"/>
        </w:rPr>
        <w:t xml:space="preserve"> Les cahiers de la Justice,</w:t>
      </w:r>
      <w:r w:rsidR="004E2B9E" w:rsidRPr="00992A03">
        <w:rPr>
          <w:rFonts w:ascii="Cambria" w:hAnsi="Cambria" w:cs="Times New Roman"/>
          <w:lang w:val="fr-FR"/>
        </w:rPr>
        <w:t xml:space="preserve"> (2015), p19.</w:t>
      </w:r>
    </w:p>
  </w:footnote>
  <w:footnote w:id="33">
    <w:p w14:paraId="5762F001" w14:textId="77777777" w:rsidR="00DA055C" w:rsidRPr="00992A03" w:rsidRDefault="00DA055C"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CF4613" w:rsidRPr="00992A03">
        <w:rPr>
          <w:rFonts w:ascii="Cambria" w:hAnsi="Cambria" w:cs="Times New Roman"/>
        </w:rPr>
        <w:t>TVERSKY</w:t>
      </w:r>
      <w:r w:rsidR="00EE4E1A" w:rsidRPr="00992A03">
        <w:rPr>
          <w:rFonts w:ascii="Cambria" w:hAnsi="Cambria" w:cs="Times New Roman"/>
        </w:rPr>
        <w:t xml:space="preserve"> A</w:t>
      </w:r>
      <w:r w:rsidR="00C82A3F" w:rsidRPr="00992A03">
        <w:rPr>
          <w:rFonts w:ascii="Cambria" w:hAnsi="Cambria" w:cs="Times New Roman"/>
        </w:rPr>
        <w:t xml:space="preserve">, </w:t>
      </w:r>
      <w:r w:rsidR="00CF4613" w:rsidRPr="00992A03">
        <w:rPr>
          <w:rFonts w:ascii="Cambria" w:hAnsi="Cambria" w:cs="Times New Roman"/>
        </w:rPr>
        <w:t>KAHNEMAN</w:t>
      </w:r>
      <w:r w:rsidR="00EE4E1A" w:rsidRPr="00992A03">
        <w:rPr>
          <w:rFonts w:ascii="Cambria" w:hAnsi="Cambria" w:cs="Times New Roman"/>
        </w:rPr>
        <w:t xml:space="preserve"> D</w:t>
      </w:r>
      <w:r w:rsidR="00C82A3F" w:rsidRPr="00992A03">
        <w:rPr>
          <w:rFonts w:ascii="Cambria" w:hAnsi="Cambria" w:cs="Times New Roman"/>
        </w:rPr>
        <w:t xml:space="preserve">, </w:t>
      </w:r>
      <w:r w:rsidR="00C82A3F" w:rsidRPr="00992A03">
        <w:rPr>
          <w:rFonts w:ascii="Cambria" w:hAnsi="Cambria" w:cs="Times New Roman"/>
          <w:i/>
          <w:iCs/>
        </w:rPr>
        <w:t>Judgment under Uncertainty</w:t>
      </w:r>
      <w:r w:rsidR="00C82A3F" w:rsidRPr="00992A03">
        <w:rPr>
          <w:rFonts w:ascii="Cambria" w:hAnsi="Cambria" w:cs="Times New Roman"/>
        </w:rPr>
        <w:t xml:space="preserve">: Heuristics and </w:t>
      </w:r>
      <w:proofErr w:type="gramStart"/>
      <w:r w:rsidR="00C82A3F" w:rsidRPr="00992A03">
        <w:rPr>
          <w:rFonts w:ascii="Cambria" w:hAnsi="Cambria" w:cs="Times New Roman"/>
        </w:rPr>
        <w:t>Biases ,</w:t>
      </w:r>
      <w:proofErr w:type="gramEnd"/>
      <w:r w:rsidR="00C82A3F" w:rsidRPr="00992A03">
        <w:rPr>
          <w:rFonts w:ascii="Cambria" w:hAnsi="Cambria" w:cs="Times New Roman"/>
        </w:rPr>
        <w:t xml:space="preserve"> Science, 1974, 185, pp. 1124-1131 ; </w:t>
      </w:r>
      <w:r w:rsidR="00CF4613" w:rsidRPr="00992A03">
        <w:rPr>
          <w:rFonts w:ascii="Cambria" w:hAnsi="Cambria" w:cs="Times New Roman"/>
        </w:rPr>
        <w:t xml:space="preserve">KAHNEMAN </w:t>
      </w:r>
      <w:r w:rsidR="00EE4E1A" w:rsidRPr="00992A03">
        <w:rPr>
          <w:rFonts w:ascii="Cambria" w:hAnsi="Cambria" w:cs="Times New Roman"/>
        </w:rPr>
        <w:t>D</w:t>
      </w:r>
      <w:r w:rsidR="00C82A3F" w:rsidRPr="00992A03">
        <w:rPr>
          <w:rFonts w:ascii="Cambria" w:hAnsi="Cambria" w:cs="Times New Roman"/>
        </w:rPr>
        <w:t xml:space="preserve">, </w:t>
      </w:r>
      <w:r w:rsidR="00CF4613" w:rsidRPr="00992A03">
        <w:rPr>
          <w:rFonts w:ascii="Cambria" w:hAnsi="Cambria" w:cs="Times New Roman"/>
        </w:rPr>
        <w:t xml:space="preserve">TVERSKY </w:t>
      </w:r>
      <w:r w:rsidR="00EE4E1A" w:rsidRPr="00992A03">
        <w:rPr>
          <w:rFonts w:ascii="Cambria" w:hAnsi="Cambria" w:cs="Times New Roman"/>
        </w:rPr>
        <w:t>A</w:t>
      </w:r>
      <w:r w:rsidR="00C82A3F" w:rsidRPr="00992A03">
        <w:rPr>
          <w:rFonts w:ascii="Cambria" w:hAnsi="Cambria" w:cs="Times New Roman"/>
        </w:rPr>
        <w:t>,</w:t>
      </w:r>
      <w:r w:rsidR="00C82A3F" w:rsidRPr="00390162">
        <w:rPr>
          <w:rFonts w:ascii="Cambria" w:hAnsi="Cambria" w:cs="Times New Roman"/>
          <w:i/>
          <w:iCs/>
        </w:rPr>
        <w:t xml:space="preserve"> Subjective probability: A judgment of representativeness</w:t>
      </w:r>
      <w:r w:rsidR="00390162">
        <w:rPr>
          <w:rFonts w:ascii="Cambria" w:hAnsi="Cambria" w:cs="Times New Roman"/>
        </w:rPr>
        <w:t xml:space="preserve">, </w:t>
      </w:r>
      <w:r w:rsidR="00C82A3F" w:rsidRPr="00992A03">
        <w:rPr>
          <w:rFonts w:ascii="Cambria" w:hAnsi="Cambria" w:cs="Times New Roman"/>
        </w:rPr>
        <w:t xml:space="preserve"> Cognitive Psychology, 1972, 3, pp. 430- 454 ; </w:t>
      </w:r>
      <w:r w:rsidR="00C82A3F" w:rsidRPr="00487BEA">
        <w:rPr>
          <w:rFonts w:ascii="Cambria" w:hAnsi="Cambria" w:cs="Times New Roman"/>
          <w:i/>
          <w:iCs/>
        </w:rPr>
        <w:t>On the psychology of prediction</w:t>
      </w:r>
      <w:r w:rsidR="00487BEA">
        <w:rPr>
          <w:rFonts w:ascii="Cambria" w:hAnsi="Cambria" w:cs="Times New Roman"/>
        </w:rPr>
        <w:t xml:space="preserve">, </w:t>
      </w:r>
      <w:r w:rsidR="00C82A3F" w:rsidRPr="00992A03">
        <w:rPr>
          <w:rFonts w:ascii="Cambria" w:hAnsi="Cambria" w:cs="Times New Roman"/>
        </w:rPr>
        <w:t xml:space="preserve"> Psychological Review, 1973, 80, pp. 237-251.</w:t>
      </w:r>
    </w:p>
  </w:footnote>
  <w:footnote w:id="34">
    <w:p w14:paraId="099E4A48" w14:textId="77777777" w:rsidR="00DA055C" w:rsidRPr="00992A03" w:rsidRDefault="00DA055C"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CF4613" w:rsidRPr="00992A03">
        <w:rPr>
          <w:rFonts w:ascii="Cambria" w:hAnsi="Cambria" w:cs="Times New Roman"/>
        </w:rPr>
        <w:t>KITCHIN</w:t>
      </w:r>
      <w:r w:rsidR="003E51A4" w:rsidRPr="00992A03">
        <w:rPr>
          <w:rFonts w:ascii="Cambria" w:hAnsi="Cambria" w:cs="Times New Roman"/>
        </w:rPr>
        <w:t xml:space="preserve"> R</w:t>
      </w:r>
      <w:r w:rsidR="00387833" w:rsidRPr="00992A03">
        <w:rPr>
          <w:rFonts w:ascii="Cambria" w:hAnsi="Cambria" w:cs="Times New Roman"/>
        </w:rPr>
        <w:t xml:space="preserve">, </w:t>
      </w:r>
      <w:r w:rsidR="00800EDF" w:rsidRPr="00992A03">
        <w:rPr>
          <w:rFonts w:ascii="Cambria" w:hAnsi="Cambria" w:cs="Times New Roman"/>
        </w:rPr>
        <w:t>‘</w:t>
      </w:r>
      <w:r w:rsidR="00800EDF" w:rsidRPr="00992A03">
        <w:rPr>
          <w:rFonts w:ascii="Cambria" w:hAnsi="Cambria" w:cs="Times New Roman"/>
          <w:i/>
          <w:iCs/>
        </w:rPr>
        <w:t>thinking</w:t>
      </w:r>
      <w:r w:rsidR="00387833" w:rsidRPr="00992A03">
        <w:rPr>
          <w:rFonts w:ascii="Cambria" w:hAnsi="Cambria" w:cs="Times New Roman"/>
          <w:i/>
          <w:iCs/>
        </w:rPr>
        <w:t xml:space="preserve"> critically about researching algorithms</w:t>
      </w:r>
      <w:r w:rsidR="00800EDF" w:rsidRPr="00992A03">
        <w:rPr>
          <w:rFonts w:ascii="Cambria" w:hAnsi="Cambria" w:cs="Times New Roman"/>
          <w:i/>
          <w:iCs/>
        </w:rPr>
        <w:t>’</w:t>
      </w:r>
      <w:r w:rsidR="00387833" w:rsidRPr="00992A03">
        <w:rPr>
          <w:rFonts w:ascii="Cambria" w:hAnsi="Cambria" w:cs="Times New Roman"/>
        </w:rPr>
        <w:t>, Information, Communication and Society</w:t>
      </w:r>
      <w:r w:rsidR="00387833" w:rsidRPr="00992A03">
        <w:rPr>
          <w:rFonts w:ascii="Cambria" w:hAnsi="Cambria" w:cs="Times New Roman"/>
          <w:i/>
          <w:iCs/>
        </w:rPr>
        <w:t xml:space="preserve">, </w:t>
      </w:r>
      <w:r w:rsidR="00387833" w:rsidRPr="00992A03">
        <w:rPr>
          <w:rFonts w:ascii="Cambria" w:hAnsi="Cambria" w:cs="Times New Roman"/>
        </w:rPr>
        <w:t>(2017)</w:t>
      </w:r>
      <w:r w:rsidR="00800EDF" w:rsidRPr="00992A03">
        <w:rPr>
          <w:rFonts w:ascii="Cambria" w:hAnsi="Cambria" w:cs="Times New Roman"/>
        </w:rPr>
        <w:t>, p14</w:t>
      </w:r>
      <w:r w:rsidR="0043170C" w:rsidRPr="00992A03">
        <w:rPr>
          <w:rFonts w:ascii="Cambria" w:hAnsi="Cambria" w:cs="Times New Roman"/>
        </w:rPr>
        <w:t xml:space="preserve">; </w:t>
      </w:r>
      <w:r w:rsidR="00CF4613" w:rsidRPr="00992A03">
        <w:rPr>
          <w:rFonts w:ascii="Cambria" w:hAnsi="Cambria" w:cs="Times New Roman"/>
        </w:rPr>
        <w:t>WESSLEN</w:t>
      </w:r>
      <w:r w:rsidR="00762F24" w:rsidRPr="00992A03">
        <w:rPr>
          <w:rFonts w:ascii="Cambria" w:hAnsi="Cambria" w:cs="Times New Roman"/>
        </w:rPr>
        <w:t xml:space="preserve"> R, </w:t>
      </w:r>
      <w:r w:rsidR="00CF4613" w:rsidRPr="00992A03">
        <w:rPr>
          <w:rFonts w:ascii="Cambria" w:hAnsi="Cambria" w:cs="Times New Roman"/>
        </w:rPr>
        <w:t>SANTHAMAN</w:t>
      </w:r>
      <w:r w:rsidR="00762F24" w:rsidRPr="00992A03">
        <w:rPr>
          <w:rFonts w:ascii="Cambria" w:hAnsi="Cambria" w:cs="Times New Roman"/>
        </w:rPr>
        <w:t xml:space="preserve"> S, </w:t>
      </w:r>
      <w:r w:rsidR="00CF4613" w:rsidRPr="00992A03">
        <w:rPr>
          <w:rFonts w:ascii="Cambria" w:hAnsi="Cambria" w:cs="Times New Roman"/>
        </w:rPr>
        <w:t>KARDUNI</w:t>
      </w:r>
      <w:r w:rsidR="00762F24" w:rsidRPr="00992A03">
        <w:rPr>
          <w:rFonts w:ascii="Cambria" w:hAnsi="Cambria" w:cs="Times New Roman"/>
        </w:rPr>
        <w:t xml:space="preserve"> A, </w:t>
      </w:r>
      <w:r w:rsidR="00CF4613" w:rsidRPr="00992A03">
        <w:rPr>
          <w:rFonts w:ascii="Cambria" w:hAnsi="Cambria" w:cs="Times New Roman"/>
        </w:rPr>
        <w:t>CHO</w:t>
      </w:r>
      <w:r w:rsidR="00762F24" w:rsidRPr="00992A03">
        <w:rPr>
          <w:rFonts w:ascii="Cambria" w:hAnsi="Cambria" w:cs="Times New Roman"/>
        </w:rPr>
        <w:t xml:space="preserve"> I, </w:t>
      </w:r>
      <w:r w:rsidR="00CF4613" w:rsidRPr="00992A03">
        <w:rPr>
          <w:rFonts w:ascii="Cambria" w:hAnsi="Cambria" w:cs="Times New Roman"/>
        </w:rPr>
        <w:t>SHAIKH</w:t>
      </w:r>
      <w:r w:rsidR="00762F24" w:rsidRPr="00992A03">
        <w:rPr>
          <w:rFonts w:ascii="Cambria" w:hAnsi="Cambria" w:cs="Times New Roman"/>
        </w:rPr>
        <w:t xml:space="preserve"> S, </w:t>
      </w:r>
      <w:r w:rsidR="00CF4613" w:rsidRPr="00992A03">
        <w:rPr>
          <w:rFonts w:ascii="Cambria" w:hAnsi="Cambria" w:cs="Times New Roman"/>
        </w:rPr>
        <w:t>DOU</w:t>
      </w:r>
      <w:r w:rsidR="00762F24" w:rsidRPr="00992A03">
        <w:rPr>
          <w:rFonts w:ascii="Cambria" w:hAnsi="Cambria" w:cs="Times New Roman"/>
        </w:rPr>
        <w:t xml:space="preserve"> W, ‘</w:t>
      </w:r>
      <w:r w:rsidR="00762F24" w:rsidRPr="00992A03">
        <w:rPr>
          <w:rFonts w:ascii="Cambria" w:hAnsi="Cambria" w:cs="Times New Roman"/>
          <w:i/>
          <w:iCs/>
        </w:rPr>
        <w:t>Anchored in a Data Storm; How Anchoring Bias can affect user strategy, confidence, and decisions in visual analytics’</w:t>
      </w:r>
      <w:r w:rsidR="00762F24" w:rsidRPr="00992A03">
        <w:rPr>
          <w:rFonts w:ascii="Cambria" w:hAnsi="Cambria" w:cs="Times New Roman"/>
        </w:rPr>
        <w:t xml:space="preserve"> (2018), University of North Carolina, p2.</w:t>
      </w:r>
    </w:p>
  </w:footnote>
  <w:footnote w:id="35">
    <w:p w14:paraId="18945F8F" w14:textId="77777777" w:rsidR="00DD4F2D" w:rsidRPr="00992A03" w:rsidRDefault="00DD4F2D" w:rsidP="008553F4">
      <w:pPr>
        <w:spacing w:after="0" w:line="276" w:lineRule="auto"/>
        <w:jc w:val="both"/>
        <w:rPr>
          <w:rFonts w:ascii="Cambria" w:hAnsi="Cambria" w:cs="Times New Roman"/>
          <w:sz w:val="20"/>
          <w:szCs w:val="20"/>
        </w:rPr>
      </w:pPr>
      <w:r w:rsidRPr="00992A03">
        <w:rPr>
          <w:rStyle w:val="FootnoteReference"/>
          <w:rFonts w:ascii="Cambria" w:hAnsi="Cambria" w:cs="Times New Roman"/>
          <w:sz w:val="20"/>
          <w:szCs w:val="20"/>
        </w:rPr>
        <w:footnoteRef/>
      </w:r>
      <w:r w:rsidR="00A10754" w:rsidRPr="00992A03">
        <w:rPr>
          <w:rFonts w:ascii="Cambria" w:hAnsi="Cambria" w:cs="Times New Roman"/>
          <w:sz w:val="20"/>
          <w:szCs w:val="20"/>
        </w:rPr>
        <w:t>. Spaulding</w:t>
      </w:r>
      <w:r w:rsidR="0044570F" w:rsidRPr="00992A03">
        <w:rPr>
          <w:rFonts w:ascii="Cambria" w:hAnsi="Cambria" w:cs="Times New Roman"/>
          <w:sz w:val="20"/>
          <w:szCs w:val="20"/>
        </w:rPr>
        <w:t xml:space="preserve"> </w:t>
      </w:r>
      <w:proofErr w:type="gramStart"/>
      <w:r w:rsidR="0044570F" w:rsidRPr="00992A03">
        <w:rPr>
          <w:rFonts w:ascii="Cambria" w:hAnsi="Cambria" w:cs="Times New Roman"/>
          <w:sz w:val="20"/>
          <w:szCs w:val="20"/>
        </w:rPr>
        <w:t xml:space="preserve">N.W </w:t>
      </w:r>
      <w:r w:rsidR="00A10754" w:rsidRPr="00992A03">
        <w:rPr>
          <w:rFonts w:ascii="Cambria" w:hAnsi="Cambria" w:cs="Times New Roman"/>
          <w:i/>
          <w:iCs/>
          <w:sz w:val="20"/>
          <w:szCs w:val="20"/>
        </w:rPr>
        <w:t>,</w:t>
      </w:r>
      <w:proofErr w:type="gramEnd"/>
      <w:r w:rsidR="00A10754" w:rsidRPr="00992A03">
        <w:rPr>
          <w:rFonts w:ascii="Cambria" w:hAnsi="Cambria" w:cs="Times New Roman"/>
          <w:i/>
          <w:iCs/>
          <w:sz w:val="20"/>
          <w:szCs w:val="20"/>
        </w:rPr>
        <w:t xml:space="preserve"> ‘Is Human judgement necessary? : Artificial Intelligence, Algorithmic governance, and the Law’</w:t>
      </w:r>
      <w:r w:rsidR="00A10754" w:rsidRPr="00992A03">
        <w:rPr>
          <w:rFonts w:ascii="Cambria" w:hAnsi="Cambria" w:cs="Times New Roman"/>
          <w:sz w:val="20"/>
          <w:szCs w:val="20"/>
        </w:rPr>
        <w:t xml:space="preserve"> (2020), </w:t>
      </w:r>
      <w:r w:rsidR="00A10754" w:rsidRPr="00992A03">
        <w:rPr>
          <w:rFonts w:ascii="Cambria" w:hAnsi="Cambria" w:cs="Times New Roman"/>
          <w:iCs/>
          <w:sz w:val="20"/>
          <w:szCs w:val="20"/>
        </w:rPr>
        <w:t xml:space="preserve">The Oxford Handbook of Ethics of AI, </w:t>
      </w:r>
      <w:r w:rsidR="00A10754" w:rsidRPr="00992A03">
        <w:rPr>
          <w:rFonts w:ascii="Cambria" w:hAnsi="Cambria" w:cs="Times New Roman"/>
          <w:sz w:val="20"/>
          <w:szCs w:val="20"/>
        </w:rPr>
        <w:t>pp 375-407, p377.</w:t>
      </w:r>
    </w:p>
  </w:footnote>
  <w:footnote w:id="36">
    <w:p w14:paraId="0F22BBA8" w14:textId="77777777" w:rsidR="00DA055C" w:rsidRPr="00992A03" w:rsidRDefault="00DA055C" w:rsidP="008553F4">
      <w:pPr>
        <w:pStyle w:val="FootnoteText"/>
        <w:spacing w:line="276" w:lineRule="auto"/>
        <w:jc w:val="both"/>
        <w:rPr>
          <w:rFonts w:ascii="Cambria" w:hAnsi="Cambria" w:cs="Times New Roman"/>
          <w:lang w:val="fr-LU"/>
        </w:rPr>
      </w:pPr>
      <w:r w:rsidRPr="00992A03">
        <w:rPr>
          <w:rStyle w:val="FootnoteReference"/>
          <w:rFonts w:ascii="Cambria" w:hAnsi="Cambria" w:cs="Times New Roman"/>
        </w:rPr>
        <w:footnoteRef/>
      </w:r>
      <w:r w:rsidRPr="00992A03">
        <w:rPr>
          <w:rFonts w:ascii="Cambria" w:hAnsi="Cambria" w:cs="Times New Roman"/>
          <w:lang w:val="fr-LU"/>
        </w:rPr>
        <w:t xml:space="preserve"> </w:t>
      </w:r>
      <w:r w:rsidR="00CF4613" w:rsidRPr="00992A03">
        <w:rPr>
          <w:rFonts w:ascii="Cambria" w:hAnsi="Cambria" w:cs="Times New Roman"/>
          <w:lang w:val="fr-LU"/>
        </w:rPr>
        <w:t>GARAPON</w:t>
      </w:r>
      <w:r w:rsidR="00AC52C5" w:rsidRPr="00992A03">
        <w:rPr>
          <w:rFonts w:ascii="Cambria" w:hAnsi="Cambria" w:cs="Times New Roman"/>
          <w:lang w:val="fr-LU"/>
        </w:rPr>
        <w:t xml:space="preserve"> A.</w:t>
      </w:r>
      <w:r w:rsidR="00A10754" w:rsidRPr="00992A03">
        <w:rPr>
          <w:rFonts w:ascii="Cambria" w:hAnsi="Cambria" w:cs="Times New Roman"/>
          <w:lang w:val="fr-LU"/>
        </w:rPr>
        <w:t xml:space="preserve">, </w:t>
      </w:r>
      <w:r w:rsidR="00A10754" w:rsidRPr="00487BEA">
        <w:rPr>
          <w:rFonts w:ascii="Cambria" w:hAnsi="Cambria" w:cs="Times New Roman"/>
          <w:i/>
          <w:iCs/>
          <w:lang w:val="fr-LU"/>
        </w:rPr>
        <w:t>Le numérique est un remède à la lenteur de la Justice</w:t>
      </w:r>
      <w:r w:rsidR="00A10754" w:rsidRPr="00992A03">
        <w:rPr>
          <w:rFonts w:ascii="Cambria" w:hAnsi="Cambria" w:cs="Times New Roman"/>
          <w:lang w:val="fr-LU"/>
        </w:rPr>
        <w:t xml:space="preserve">, </w:t>
      </w:r>
      <w:proofErr w:type="spellStart"/>
      <w:r w:rsidR="00A10754" w:rsidRPr="00992A03">
        <w:rPr>
          <w:rFonts w:ascii="Cambria" w:hAnsi="Cambria" w:cs="Times New Roman"/>
          <w:lang w:val="fr-LU"/>
        </w:rPr>
        <w:t>published</w:t>
      </w:r>
      <w:proofErr w:type="spellEnd"/>
      <w:r w:rsidR="00A10754" w:rsidRPr="00992A03">
        <w:rPr>
          <w:rFonts w:ascii="Cambria" w:hAnsi="Cambria" w:cs="Times New Roman"/>
          <w:lang w:val="fr-LU"/>
        </w:rPr>
        <w:t xml:space="preserve"> on 4 mai 2018, </w:t>
      </w:r>
      <w:proofErr w:type="spellStart"/>
      <w:r w:rsidR="00A10754" w:rsidRPr="00992A03">
        <w:rPr>
          <w:rFonts w:ascii="Cambria" w:hAnsi="Cambria" w:cs="Times New Roman"/>
          <w:lang w:val="fr-LU"/>
        </w:rPr>
        <w:t>accessed</w:t>
      </w:r>
      <w:proofErr w:type="spellEnd"/>
      <w:r w:rsidR="00A10754" w:rsidRPr="00992A03">
        <w:rPr>
          <w:rFonts w:ascii="Cambria" w:hAnsi="Cambria" w:cs="Times New Roman"/>
          <w:lang w:val="fr-LU"/>
        </w:rPr>
        <w:t xml:space="preserve"> on 8th </w:t>
      </w:r>
      <w:proofErr w:type="spellStart"/>
      <w:r w:rsidR="00A10754" w:rsidRPr="00992A03">
        <w:rPr>
          <w:rFonts w:ascii="Cambria" w:hAnsi="Cambria" w:cs="Times New Roman"/>
          <w:lang w:val="fr-LU"/>
        </w:rPr>
        <w:t>November</w:t>
      </w:r>
      <w:proofErr w:type="spellEnd"/>
      <w:r w:rsidR="00A10754" w:rsidRPr="00992A03">
        <w:rPr>
          <w:rFonts w:ascii="Cambria" w:hAnsi="Cambria" w:cs="Times New Roman"/>
          <w:lang w:val="fr-LU"/>
        </w:rPr>
        <w:t xml:space="preserve"> 2021, </w:t>
      </w:r>
      <w:proofErr w:type="spellStart"/>
      <w:r w:rsidR="00A10754" w:rsidRPr="00992A03">
        <w:rPr>
          <w:rFonts w:ascii="Cambria" w:hAnsi="Cambria" w:cs="Times New Roman"/>
          <w:lang w:val="fr-LU"/>
        </w:rPr>
        <w:t>available</w:t>
      </w:r>
      <w:proofErr w:type="spellEnd"/>
      <w:r w:rsidR="00A10754" w:rsidRPr="00992A03">
        <w:rPr>
          <w:rFonts w:ascii="Cambria" w:hAnsi="Cambria" w:cs="Times New Roman"/>
          <w:lang w:val="fr-LU"/>
        </w:rPr>
        <w:t xml:space="preserve"> at :  &lt;</w:t>
      </w:r>
      <w:hyperlink r:id="rId2" w:anchor=".YYjmCWDMJPY" w:history="1">
        <w:r w:rsidR="00A10754" w:rsidRPr="00992A03">
          <w:rPr>
            <w:rStyle w:val="Hyperlink"/>
            <w:rFonts w:ascii="Cambria" w:hAnsi="Cambria" w:cs="Times New Roman"/>
            <w:lang w:val="fr-LU"/>
          </w:rPr>
          <w:t>https://www.dalloz-actualite.fr/interview/antoine-garapon-numerique-est-un-remede-lenteur-de-justice#.YYjmCWDMJPY</w:t>
        </w:r>
      </w:hyperlink>
      <w:r w:rsidR="00A10754" w:rsidRPr="00992A03">
        <w:rPr>
          <w:rFonts w:ascii="Cambria" w:hAnsi="Cambria" w:cs="Times New Roman"/>
          <w:lang w:val="fr-LU"/>
        </w:rPr>
        <w:t>&gt;</w:t>
      </w:r>
    </w:p>
  </w:footnote>
  <w:footnote w:id="37">
    <w:p w14:paraId="4285D32E" w14:textId="77777777" w:rsidR="00DA055C" w:rsidRPr="00992A03" w:rsidRDefault="00DA055C"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0A79BE" w:rsidRPr="00992A03">
        <w:rPr>
          <w:rFonts w:ascii="Cambria" w:hAnsi="Cambria" w:cs="Times New Roman"/>
        </w:rPr>
        <w:t xml:space="preserve">Article 29 Data protection working party, ‘Guidelines on Automated individual decision-making and profiling for the purposes of Regulation 2016/679, adopted on 3 October 2017, </w:t>
      </w:r>
      <w:r w:rsidR="006A1611" w:rsidRPr="00992A03">
        <w:rPr>
          <w:rFonts w:ascii="Cambria" w:hAnsi="Cambria" w:cs="Times New Roman"/>
        </w:rPr>
        <w:t>p21.</w:t>
      </w:r>
    </w:p>
  </w:footnote>
  <w:footnote w:id="38">
    <w:p w14:paraId="23035990" w14:textId="77777777" w:rsidR="00DD4F2D" w:rsidRPr="00992A03" w:rsidRDefault="00DD4F2D" w:rsidP="008553F4">
      <w:pPr>
        <w:pStyle w:val="FootnoteText"/>
        <w:spacing w:line="276" w:lineRule="auto"/>
        <w:jc w:val="both"/>
        <w:rPr>
          <w:rFonts w:ascii="Cambria" w:hAnsi="Cambria" w:cs="Times New Roman"/>
          <w:lang w:val="fr-LU"/>
        </w:rPr>
      </w:pPr>
      <w:r w:rsidRPr="00992A03">
        <w:rPr>
          <w:rStyle w:val="FootnoteReference"/>
          <w:rFonts w:ascii="Cambria" w:hAnsi="Cambria" w:cs="Times New Roman"/>
        </w:rPr>
        <w:footnoteRef/>
      </w:r>
      <w:r w:rsidRPr="00992A03">
        <w:rPr>
          <w:rFonts w:ascii="Cambria" w:hAnsi="Cambria" w:cs="Times New Roman"/>
          <w:lang w:val="fr-LU"/>
        </w:rPr>
        <w:t xml:space="preserve"> </w:t>
      </w:r>
      <w:r w:rsidR="00CF4613" w:rsidRPr="00992A03">
        <w:rPr>
          <w:rFonts w:ascii="Cambria" w:hAnsi="Cambria" w:cs="Times New Roman"/>
          <w:lang w:val="fr-FR"/>
        </w:rPr>
        <w:t>CONTINI</w:t>
      </w:r>
      <w:r w:rsidR="008819F6" w:rsidRPr="00992A03">
        <w:rPr>
          <w:rFonts w:ascii="Cambria" w:hAnsi="Cambria" w:cs="Times New Roman"/>
          <w:lang w:val="fr-FR"/>
        </w:rPr>
        <w:t xml:space="preserve"> F</w:t>
      </w:r>
      <w:r w:rsidR="001A2114" w:rsidRPr="00992A03">
        <w:rPr>
          <w:rFonts w:ascii="Cambria" w:hAnsi="Cambria" w:cs="Times New Roman"/>
          <w:lang w:val="fr-FR"/>
        </w:rPr>
        <w:t>, ‘</w:t>
      </w:r>
      <w:r w:rsidR="001A2114" w:rsidRPr="00992A03">
        <w:rPr>
          <w:rFonts w:ascii="Cambria" w:hAnsi="Cambria" w:cs="Times New Roman"/>
          <w:i/>
          <w:iCs/>
          <w:lang w:val="fr-FR"/>
        </w:rPr>
        <w:t>L’intelligence artificielle : Un nouveau cheval de Troie pour influencer de manière abusive le système judiciaire</w:t>
      </w:r>
      <w:r w:rsidR="001A2114" w:rsidRPr="00992A03">
        <w:rPr>
          <w:rFonts w:ascii="Cambria" w:hAnsi="Cambria" w:cs="Times New Roman"/>
          <w:lang w:val="fr-FR"/>
        </w:rPr>
        <w:t xml:space="preserve"> ?’ (2016) ONUDC, accessible à &lt; https://www.unodc.org/dohadeclaration/fr/news/2019/06/artificial-intelligence_-a-new-trojan-horse-for-undueinfluence-on-judiciaries.html&gt; [accédé le 6 septembre 2021]</w:t>
      </w:r>
    </w:p>
  </w:footnote>
  <w:footnote w:id="39">
    <w:p w14:paraId="528FB896" w14:textId="77777777" w:rsidR="00DD4F2D" w:rsidRPr="00992A03" w:rsidRDefault="00DD4F2D"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CF4613" w:rsidRPr="00992A03">
        <w:rPr>
          <w:rFonts w:ascii="Cambria" w:hAnsi="Cambria" w:cs="Times New Roman"/>
        </w:rPr>
        <w:t>KATSUYA</w:t>
      </w:r>
      <w:r w:rsidR="008B1049" w:rsidRPr="00992A03">
        <w:rPr>
          <w:rFonts w:ascii="Cambria" w:hAnsi="Cambria" w:cs="Times New Roman"/>
        </w:rPr>
        <w:t xml:space="preserve"> </w:t>
      </w:r>
      <w:r w:rsidR="00CF4613" w:rsidRPr="00992A03">
        <w:rPr>
          <w:rFonts w:ascii="Cambria" w:hAnsi="Cambria" w:cs="Times New Roman"/>
        </w:rPr>
        <w:t>ES</w:t>
      </w:r>
      <w:r w:rsidR="008B1049" w:rsidRPr="00992A03">
        <w:rPr>
          <w:rFonts w:ascii="Cambria" w:hAnsi="Cambria" w:cs="Times New Roman"/>
        </w:rPr>
        <w:t>, “</w:t>
      </w:r>
      <w:r w:rsidR="008B1049" w:rsidRPr="00992A03">
        <w:rPr>
          <w:rFonts w:ascii="Cambria" w:hAnsi="Cambria" w:cs="Times New Roman"/>
          <w:i/>
          <w:iCs/>
        </w:rPr>
        <w:t>Technological Opacity &amp; Procedural Injustice,”</w:t>
      </w:r>
      <w:r w:rsidR="008B1049" w:rsidRPr="00992A03">
        <w:rPr>
          <w:rFonts w:ascii="Cambria" w:hAnsi="Cambria" w:cs="Times New Roman"/>
        </w:rPr>
        <w:t xml:space="preserve"> Boston College Law Review 59 (2018): 851–857</w:t>
      </w:r>
    </w:p>
  </w:footnote>
  <w:footnote w:id="40">
    <w:p w14:paraId="6EA93312" w14:textId="77777777" w:rsidR="00DD4F2D" w:rsidRPr="00992A03" w:rsidRDefault="00DD4F2D" w:rsidP="008553F4">
      <w:pPr>
        <w:pStyle w:val="FootnoteText"/>
        <w:spacing w:line="276" w:lineRule="auto"/>
        <w:jc w:val="both"/>
        <w:rPr>
          <w:rFonts w:ascii="Cambria" w:hAnsi="Cambria" w:cs="Times New Roman"/>
          <w:lang w:val="fr-LU"/>
        </w:rPr>
      </w:pPr>
      <w:r w:rsidRPr="00992A03">
        <w:rPr>
          <w:rStyle w:val="FootnoteReference"/>
          <w:rFonts w:ascii="Cambria" w:hAnsi="Cambria" w:cs="Times New Roman"/>
        </w:rPr>
        <w:footnoteRef/>
      </w:r>
      <w:r w:rsidRPr="00992A03">
        <w:rPr>
          <w:rFonts w:ascii="Cambria" w:hAnsi="Cambria" w:cs="Times New Roman"/>
          <w:lang w:val="fr-LU"/>
        </w:rPr>
        <w:t xml:space="preserve"> </w:t>
      </w:r>
      <w:proofErr w:type="spellStart"/>
      <w:r w:rsidR="00391EC0" w:rsidRPr="00992A03">
        <w:rPr>
          <w:rFonts w:ascii="Cambria" w:hAnsi="Cambria" w:cs="Times New Roman"/>
          <w:i/>
          <w:iCs/>
          <w:lang w:val="fr-LU"/>
        </w:rPr>
        <w:t>Agrokomplex</w:t>
      </w:r>
      <w:proofErr w:type="spellEnd"/>
      <w:r w:rsidR="00391EC0" w:rsidRPr="00992A03">
        <w:rPr>
          <w:rFonts w:ascii="Cambria" w:hAnsi="Cambria" w:cs="Times New Roman"/>
          <w:i/>
          <w:iCs/>
          <w:lang w:val="fr-LU"/>
        </w:rPr>
        <w:t xml:space="preserve"> v Ukraine, </w:t>
      </w:r>
      <w:r w:rsidR="00527FF1" w:rsidRPr="00992A03">
        <w:rPr>
          <w:rFonts w:ascii="Cambria" w:hAnsi="Cambria" w:cs="Times New Roman"/>
          <w:lang w:val="fr-LU"/>
        </w:rPr>
        <w:t xml:space="preserve">[2011], </w:t>
      </w:r>
      <w:proofErr w:type="spellStart"/>
      <w:r w:rsidR="00527FF1" w:rsidRPr="00992A03">
        <w:rPr>
          <w:rFonts w:ascii="Cambria" w:hAnsi="Cambria" w:cs="Times New Roman"/>
          <w:lang w:val="fr-LU"/>
        </w:rPr>
        <w:t>ECtHR</w:t>
      </w:r>
      <w:proofErr w:type="spellEnd"/>
      <w:r w:rsidR="00527FF1" w:rsidRPr="00992A03">
        <w:rPr>
          <w:rFonts w:ascii="Cambria" w:hAnsi="Cambria" w:cs="Times New Roman"/>
          <w:lang w:val="fr-LU"/>
        </w:rPr>
        <w:t xml:space="preserve">, 23465/03, paras 135-141 ; </w:t>
      </w:r>
      <w:r w:rsidR="008357F2" w:rsidRPr="00992A03">
        <w:rPr>
          <w:rFonts w:ascii="Cambria" w:hAnsi="Cambria" w:cs="Times New Roman"/>
          <w:i/>
          <w:iCs/>
          <w:lang w:val="fr-LU"/>
        </w:rPr>
        <w:t xml:space="preserve">European Commission v </w:t>
      </w:r>
      <w:proofErr w:type="spellStart"/>
      <w:r w:rsidR="008357F2" w:rsidRPr="00992A03">
        <w:rPr>
          <w:rFonts w:ascii="Cambria" w:hAnsi="Cambria" w:cs="Times New Roman"/>
          <w:i/>
          <w:iCs/>
          <w:lang w:val="fr-LU"/>
        </w:rPr>
        <w:t>Republic</w:t>
      </w:r>
      <w:proofErr w:type="spellEnd"/>
      <w:r w:rsidR="008357F2" w:rsidRPr="00992A03">
        <w:rPr>
          <w:rFonts w:ascii="Cambria" w:hAnsi="Cambria" w:cs="Times New Roman"/>
          <w:i/>
          <w:iCs/>
          <w:lang w:val="fr-LU"/>
        </w:rPr>
        <w:t xml:space="preserve"> of </w:t>
      </w:r>
      <w:proofErr w:type="spellStart"/>
      <w:r w:rsidR="008357F2" w:rsidRPr="00992A03">
        <w:rPr>
          <w:rFonts w:ascii="Cambria" w:hAnsi="Cambria" w:cs="Times New Roman"/>
          <w:i/>
          <w:iCs/>
          <w:lang w:val="fr-LU"/>
        </w:rPr>
        <w:t>Poland</w:t>
      </w:r>
      <w:proofErr w:type="spellEnd"/>
      <w:r w:rsidR="008357F2" w:rsidRPr="00992A03">
        <w:rPr>
          <w:rFonts w:ascii="Cambria" w:hAnsi="Cambria" w:cs="Times New Roman"/>
          <w:i/>
          <w:iCs/>
          <w:lang w:val="fr-LU"/>
        </w:rPr>
        <w:t xml:space="preserve">, </w:t>
      </w:r>
      <w:r w:rsidR="008357F2" w:rsidRPr="00992A03">
        <w:rPr>
          <w:rFonts w:ascii="Cambria" w:hAnsi="Cambria" w:cs="Times New Roman"/>
          <w:lang w:val="fr-LU"/>
        </w:rPr>
        <w:t>[2019], CJEU, C-619/18, para 112.</w:t>
      </w:r>
    </w:p>
  </w:footnote>
  <w:footnote w:id="41">
    <w:p w14:paraId="6C193EE9" w14:textId="77777777" w:rsidR="00DD4F2D" w:rsidRPr="00992A03" w:rsidRDefault="00DD4F2D" w:rsidP="008553F4">
      <w:pPr>
        <w:pStyle w:val="FootnoteText"/>
        <w:spacing w:line="276" w:lineRule="auto"/>
        <w:jc w:val="both"/>
        <w:rPr>
          <w:rFonts w:ascii="Cambria" w:hAnsi="Cambria" w:cs="Times New Roman"/>
          <w:lang w:val="fr-LU"/>
        </w:rPr>
      </w:pPr>
      <w:r w:rsidRPr="00992A03">
        <w:rPr>
          <w:rStyle w:val="FootnoteReference"/>
          <w:rFonts w:ascii="Cambria" w:hAnsi="Cambria" w:cs="Times New Roman"/>
        </w:rPr>
        <w:footnoteRef/>
      </w:r>
      <w:r w:rsidR="009C217F" w:rsidRPr="00992A03">
        <w:rPr>
          <w:rFonts w:ascii="Cambria" w:hAnsi="Cambria" w:cs="Times New Roman"/>
          <w:lang w:val="fr-LU"/>
        </w:rPr>
        <w:t xml:space="preserve"> </w:t>
      </w:r>
      <w:r w:rsidR="00CF4613" w:rsidRPr="00992A03">
        <w:rPr>
          <w:rFonts w:ascii="Cambria" w:hAnsi="Cambria" w:cs="Times New Roman"/>
          <w:lang w:val="fr-LU"/>
        </w:rPr>
        <w:t>LEROUX</w:t>
      </w:r>
      <w:r w:rsidR="00750DD8" w:rsidRPr="00992A03">
        <w:rPr>
          <w:rFonts w:ascii="Cambria" w:hAnsi="Cambria" w:cs="Times New Roman"/>
          <w:lang w:val="fr-LU"/>
        </w:rPr>
        <w:t xml:space="preserve"> O</w:t>
      </w:r>
      <w:r w:rsidR="009C217F" w:rsidRPr="00992A03">
        <w:rPr>
          <w:rFonts w:ascii="Cambria" w:hAnsi="Cambria" w:cs="Times New Roman"/>
          <w:lang w:val="fr-LU"/>
        </w:rPr>
        <w:t xml:space="preserve">, </w:t>
      </w:r>
      <w:r w:rsidR="009C217F" w:rsidRPr="00992A03">
        <w:rPr>
          <w:rFonts w:ascii="Cambria" w:hAnsi="Cambria" w:cs="Times New Roman"/>
          <w:i/>
          <w:iCs/>
          <w:lang w:val="fr-LU"/>
        </w:rPr>
        <w:t xml:space="preserve">Justice pénale et algorithme, </w:t>
      </w:r>
      <w:r w:rsidR="00A121B2" w:rsidRPr="00992A03">
        <w:rPr>
          <w:rFonts w:ascii="Cambria" w:hAnsi="Cambria" w:cs="Times New Roman"/>
          <w:i/>
          <w:iCs/>
          <w:lang w:val="fr-LU"/>
        </w:rPr>
        <w:t>Le Juge et l’</w:t>
      </w:r>
      <w:r w:rsidR="00CF4613" w:rsidRPr="00992A03">
        <w:rPr>
          <w:rFonts w:ascii="Cambria" w:hAnsi="Cambria" w:cs="Times New Roman"/>
          <w:i/>
          <w:iCs/>
          <w:lang w:val="fr-LU"/>
        </w:rPr>
        <w:t>algorithme</w:t>
      </w:r>
      <w:r w:rsidR="00FD304E" w:rsidRPr="00992A03">
        <w:rPr>
          <w:rFonts w:ascii="Cambria" w:hAnsi="Cambria" w:cs="Times New Roman"/>
          <w:lang w:val="fr-LU"/>
        </w:rPr>
        <w:t xml:space="preserve"> : </w:t>
      </w:r>
      <w:r w:rsidR="008907B7" w:rsidRPr="00992A03">
        <w:rPr>
          <w:rFonts w:ascii="Cambria" w:hAnsi="Cambria" w:cs="Times New Roman"/>
          <w:lang w:val="fr-LU"/>
        </w:rPr>
        <w:t>Juges augmentés</w:t>
      </w:r>
      <w:r w:rsidR="00FD304E" w:rsidRPr="00992A03">
        <w:rPr>
          <w:rFonts w:ascii="Cambria" w:hAnsi="Cambria" w:cs="Times New Roman"/>
          <w:lang w:val="fr-LU"/>
        </w:rPr>
        <w:t xml:space="preserve"> ou justice diminuée,</w:t>
      </w:r>
      <w:r w:rsidR="00FD304E" w:rsidRPr="00992A03">
        <w:rPr>
          <w:rFonts w:ascii="Cambria" w:hAnsi="Cambria" w:cs="Times New Roman"/>
          <w:i/>
          <w:iCs/>
          <w:lang w:val="fr-LU"/>
        </w:rPr>
        <w:t xml:space="preserve"> </w:t>
      </w:r>
      <w:r w:rsidR="00F22A14" w:rsidRPr="00992A03">
        <w:rPr>
          <w:rFonts w:ascii="Cambria" w:hAnsi="Cambria" w:cs="Times New Roman"/>
          <w:lang w:val="fr-LU"/>
        </w:rPr>
        <w:t>(2019), pp55-74, p</w:t>
      </w:r>
      <w:r w:rsidR="00A1734A" w:rsidRPr="00992A03">
        <w:rPr>
          <w:rFonts w:ascii="Cambria" w:hAnsi="Cambria" w:cs="Times New Roman"/>
          <w:lang w:val="fr-LU"/>
        </w:rPr>
        <w:t xml:space="preserve"> 58 and p 68.</w:t>
      </w:r>
    </w:p>
  </w:footnote>
  <w:footnote w:id="42">
    <w:p w14:paraId="1F8F56C6" w14:textId="77777777" w:rsidR="00DD4F2D" w:rsidRPr="00992A03" w:rsidRDefault="00DD4F2D"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CF4613" w:rsidRPr="00992A03">
        <w:rPr>
          <w:rFonts w:ascii="Cambria" w:hAnsi="Cambria" w:cs="Times New Roman"/>
        </w:rPr>
        <w:t>KRENT</w:t>
      </w:r>
      <w:r w:rsidR="00750DD8" w:rsidRPr="00992A03">
        <w:rPr>
          <w:rFonts w:ascii="Cambria" w:hAnsi="Cambria" w:cs="Times New Roman"/>
        </w:rPr>
        <w:t xml:space="preserve"> H.J</w:t>
      </w:r>
      <w:r w:rsidR="00F46C9F" w:rsidRPr="00992A03">
        <w:rPr>
          <w:rFonts w:ascii="Cambria" w:hAnsi="Cambria" w:cs="Times New Roman"/>
        </w:rPr>
        <w:t>, ‘</w:t>
      </w:r>
      <w:r w:rsidR="00F46C9F" w:rsidRPr="00992A03">
        <w:rPr>
          <w:rFonts w:ascii="Cambria" w:hAnsi="Cambria" w:cs="Times New Roman"/>
          <w:i/>
          <w:iCs/>
        </w:rPr>
        <w:t>The private performing the Public: Delimiting delegations to private parties’ (</w:t>
      </w:r>
      <w:r w:rsidR="00F46C9F" w:rsidRPr="00992A03">
        <w:rPr>
          <w:rFonts w:ascii="Cambria" w:hAnsi="Cambria" w:cs="Times New Roman"/>
        </w:rPr>
        <w:t>2011), University of Miami Law review, Volume 65, pp507-565</w:t>
      </w:r>
      <w:r w:rsidR="00BC20E6" w:rsidRPr="00992A03">
        <w:rPr>
          <w:rFonts w:ascii="Cambria" w:hAnsi="Cambria" w:cs="Times New Roman"/>
        </w:rPr>
        <w:t xml:space="preserve">, P 523; </w:t>
      </w:r>
      <w:r w:rsidR="00CF4613" w:rsidRPr="00992A03">
        <w:rPr>
          <w:rFonts w:ascii="Cambria" w:hAnsi="Cambria" w:cs="Times New Roman"/>
        </w:rPr>
        <w:t>CRAWFORD</w:t>
      </w:r>
      <w:r w:rsidR="00211C72" w:rsidRPr="00992A03">
        <w:rPr>
          <w:rFonts w:ascii="Cambria" w:hAnsi="Cambria" w:cs="Times New Roman"/>
        </w:rPr>
        <w:t xml:space="preserve"> J</w:t>
      </w:r>
      <w:r w:rsidR="00104B8D" w:rsidRPr="00992A03">
        <w:rPr>
          <w:rFonts w:ascii="Cambria" w:hAnsi="Cambria" w:cs="Times New Roman"/>
        </w:rPr>
        <w:t>, ‘</w:t>
      </w:r>
      <w:r w:rsidR="00104B8D" w:rsidRPr="00992A03">
        <w:rPr>
          <w:rFonts w:ascii="Cambria" w:hAnsi="Cambria" w:cs="Times New Roman"/>
          <w:i/>
          <w:iCs/>
        </w:rPr>
        <w:t>Organs and entities exercising governmental authority</w:t>
      </w:r>
      <w:r w:rsidR="00104B8D" w:rsidRPr="00992A03">
        <w:rPr>
          <w:rFonts w:ascii="Cambria" w:hAnsi="Cambria" w:cs="Times New Roman"/>
        </w:rPr>
        <w:t xml:space="preserve"> (2013), State Responsibility: General part, Cambridge University Press, pp113-140, p129</w:t>
      </w:r>
    </w:p>
  </w:footnote>
  <w:footnote w:id="43">
    <w:p w14:paraId="5900B395" w14:textId="77777777" w:rsidR="00DD4F2D" w:rsidRPr="00992A03" w:rsidRDefault="00DD4F2D"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CF4613" w:rsidRPr="00992A03">
        <w:rPr>
          <w:rFonts w:ascii="Cambria" w:hAnsi="Cambria" w:cs="Times New Roman"/>
        </w:rPr>
        <w:t>EMMERSON</w:t>
      </w:r>
      <w:r w:rsidR="00E87C25" w:rsidRPr="00992A03">
        <w:rPr>
          <w:rFonts w:ascii="Cambria" w:hAnsi="Cambria" w:cs="Times New Roman"/>
        </w:rPr>
        <w:t xml:space="preserve"> B, </w:t>
      </w:r>
      <w:r w:rsidR="00CF4613" w:rsidRPr="00992A03">
        <w:rPr>
          <w:rFonts w:ascii="Cambria" w:hAnsi="Cambria" w:cs="Times New Roman"/>
        </w:rPr>
        <w:t>ASHWORTH</w:t>
      </w:r>
      <w:r w:rsidR="00E87C25" w:rsidRPr="00992A03">
        <w:rPr>
          <w:rFonts w:ascii="Cambria" w:hAnsi="Cambria" w:cs="Times New Roman"/>
        </w:rPr>
        <w:t xml:space="preserve"> A, </w:t>
      </w:r>
      <w:r w:rsidR="00CF4613" w:rsidRPr="00992A03">
        <w:rPr>
          <w:rFonts w:ascii="Cambria" w:hAnsi="Cambria" w:cs="Times New Roman"/>
        </w:rPr>
        <w:t>MACDONALD</w:t>
      </w:r>
      <w:r w:rsidR="00E87C25" w:rsidRPr="00992A03">
        <w:rPr>
          <w:rFonts w:ascii="Cambria" w:hAnsi="Cambria" w:cs="Times New Roman"/>
        </w:rPr>
        <w:t xml:space="preserve"> A, </w:t>
      </w:r>
      <w:r w:rsidR="00CF4613" w:rsidRPr="00992A03">
        <w:rPr>
          <w:rFonts w:ascii="Cambria" w:hAnsi="Cambria" w:cs="Times New Roman"/>
        </w:rPr>
        <w:t>CHOO</w:t>
      </w:r>
      <w:r w:rsidR="00E87C25" w:rsidRPr="00992A03">
        <w:rPr>
          <w:rFonts w:ascii="Cambria" w:hAnsi="Cambria" w:cs="Times New Roman"/>
        </w:rPr>
        <w:t xml:space="preserve"> A, </w:t>
      </w:r>
      <w:r w:rsidR="00CF4613" w:rsidRPr="00992A03">
        <w:rPr>
          <w:rFonts w:ascii="Cambria" w:hAnsi="Cambria" w:cs="Times New Roman"/>
        </w:rPr>
        <w:t>SUMMERS</w:t>
      </w:r>
      <w:r w:rsidR="00E87C25" w:rsidRPr="00992A03">
        <w:rPr>
          <w:rFonts w:ascii="Cambria" w:hAnsi="Cambria" w:cs="Times New Roman"/>
        </w:rPr>
        <w:t xml:space="preserve"> M, ‘Human Rights and Criminal Justice’ (2012), 3</w:t>
      </w:r>
      <w:r w:rsidR="00E87C25" w:rsidRPr="00992A03">
        <w:rPr>
          <w:rFonts w:ascii="Cambria" w:hAnsi="Cambria" w:cs="Times New Roman"/>
          <w:vertAlign w:val="superscript"/>
        </w:rPr>
        <w:t>rd</w:t>
      </w:r>
      <w:r w:rsidR="00E87C25" w:rsidRPr="00992A03">
        <w:rPr>
          <w:rFonts w:ascii="Cambria" w:hAnsi="Cambria" w:cs="Times New Roman"/>
        </w:rPr>
        <w:t xml:space="preserve"> Edition, London Sweet and Maxwell.</w:t>
      </w:r>
    </w:p>
  </w:footnote>
  <w:footnote w:id="44">
    <w:p w14:paraId="0AF64A2D" w14:textId="77777777" w:rsidR="00810E27" w:rsidRPr="00992A03" w:rsidRDefault="00810E27"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27501C" w:rsidRPr="00992A03">
        <w:rPr>
          <w:rFonts w:ascii="Cambria" w:hAnsi="Cambria" w:cs="Times New Roman"/>
        </w:rPr>
        <w:t>BERK</w:t>
      </w:r>
      <w:r w:rsidR="00B660BF" w:rsidRPr="00992A03">
        <w:rPr>
          <w:rFonts w:ascii="Cambria" w:hAnsi="Cambria" w:cs="Times New Roman"/>
        </w:rPr>
        <w:t xml:space="preserve"> R</w:t>
      </w:r>
      <w:r w:rsidR="008D2518" w:rsidRPr="00992A03">
        <w:rPr>
          <w:rFonts w:ascii="Cambria" w:hAnsi="Cambria" w:cs="Times New Roman"/>
        </w:rPr>
        <w:t>, ‘</w:t>
      </w:r>
      <w:r w:rsidR="008D2518" w:rsidRPr="00992A03">
        <w:rPr>
          <w:rFonts w:ascii="Cambria" w:hAnsi="Cambria" w:cs="Times New Roman"/>
          <w:i/>
          <w:iCs/>
        </w:rPr>
        <w:t>An impact assessment of machine learning risk forecasts on parole board decision and recidivism’</w:t>
      </w:r>
      <w:r w:rsidR="008D2518" w:rsidRPr="00992A03">
        <w:rPr>
          <w:rFonts w:ascii="Cambria" w:hAnsi="Cambria" w:cs="Times New Roman"/>
        </w:rPr>
        <w:t xml:space="preserve"> (2016), Department of Criminology and Statistics, University of Pennsylvania, p 4-5</w:t>
      </w:r>
      <w:r w:rsidR="00B073FA" w:rsidRPr="00992A03">
        <w:rPr>
          <w:rFonts w:ascii="Cambria" w:hAnsi="Cambria" w:cs="Times New Roman"/>
        </w:rPr>
        <w:t xml:space="preserve">; </w:t>
      </w:r>
      <w:r w:rsidR="0027501C" w:rsidRPr="00992A03">
        <w:rPr>
          <w:rFonts w:ascii="Cambria" w:hAnsi="Cambria" w:cs="Times New Roman"/>
        </w:rPr>
        <w:t>BENSOUSSAN</w:t>
      </w:r>
      <w:r w:rsidR="00B660BF" w:rsidRPr="00992A03">
        <w:rPr>
          <w:rFonts w:ascii="Cambria" w:hAnsi="Cambria" w:cs="Times New Roman"/>
        </w:rPr>
        <w:t xml:space="preserve"> A</w:t>
      </w:r>
      <w:r w:rsidR="00B073FA" w:rsidRPr="00992A03">
        <w:rPr>
          <w:rFonts w:ascii="Cambria" w:hAnsi="Cambria" w:cs="Times New Roman"/>
        </w:rPr>
        <w:t xml:space="preserve"> et </w:t>
      </w:r>
      <w:r w:rsidR="0027501C" w:rsidRPr="00992A03">
        <w:rPr>
          <w:rFonts w:ascii="Cambria" w:hAnsi="Cambria" w:cs="Times New Roman"/>
        </w:rPr>
        <w:t xml:space="preserve">BENSOUSSAN </w:t>
      </w:r>
      <w:r w:rsidR="00B660BF" w:rsidRPr="00992A03">
        <w:rPr>
          <w:rFonts w:ascii="Cambria" w:hAnsi="Cambria" w:cs="Times New Roman"/>
        </w:rPr>
        <w:t>J</w:t>
      </w:r>
      <w:r w:rsidR="00B073FA" w:rsidRPr="00992A03">
        <w:rPr>
          <w:rFonts w:ascii="Cambria" w:hAnsi="Cambria" w:cs="Times New Roman"/>
        </w:rPr>
        <w:t xml:space="preserve">, I.A justice robot et droit, </w:t>
      </w:r>
      <w:proofErr w:type="spellStart"/>
      <w:r w:rsidR="00B073FA" w:rsidRPr="00992A03">
        <w:rPr>
          <w:rFonts w:ascii="Cambria" w:hAnsi="Cambria" w:cs="Times New Roman"/>
        </w:rPr>
        <w:t>Lexing</w:t>
      </w:r>
      <w:proofErr w:type="spellEnd"/>
      <w:r w:rsidR="00B073FA" w:rsidRPr="00992A03">
        <w:rPr>
          <w:rFonts w:ascii="Cambria" w:hAnsi="Cambria" w:cs="Times New Roman"/>
        </w:rPr>
        <w:t xml:space="preserve"> technologies </w:t>
      </w:r>
      <w:proofErr w:type="spellStart"/>
      <w:r w:rsidR="00B073FA" w:rsidRPr="00992A03">
        <w:rPr>
          <w:rFonts w:ascii="Cambria" w:hAnsi="Cambria" w:cs="Times New Roman"/>
        </w:rPr>
        <w:t>avancées</w:t>
      </w:r>
      <w:proofErr w:type="spellEnd"/>
      <w:r w:rsidR="00B073FA" w:rsidRPr="00992A03">
        <w:rPr>
          <w:rFonts w:ascii="Cambria" w:hAnsi="Cambria" w:cs="Times New Roman"/>
        </w:rPr>
        <w:t xml:space="preserve"> et droit,</w:t>
      </w:r>
      <w:r w:rsidR="008A046E" w:rsidRPr="00992A03">
        <w:rPr>
          <w:rFonts w:ascii="Cambria" w:hAnsi="Cambria" w:cs="Times New Roman"/>
        </w:rPr>
        <w:t xml:space="preserve"> (2019)</w:t>
      </w:r>
      <w:r w:rsidR="00B073FA" w:rsidRPr="00992A03">
        <w:rPr>
          <w:rFonts w:ascii="Cambria" w:hAnsi="Cambria" w:cs="Times New Roman"/>
        </w:rPr>
        <w:t xml:space="preserve"> </w:t>
      </w:r>
      <w:proofErr w:type="spellStart"/>
      <w:r w:rsidR="00B073FA" w:rsidRPr="00992A03">
        <w:rPr>
          <w:rFonts w:ascii="Cambria" w:hAnsi="Cambria" w:cs="Times New Roman"/>
        </w:rPr>
        <w:t>édition</w:t>
      </w:r>
      <w:proofErr w:type="spellEnd"/>
      <w:r w:rsidR="00B073FA" w:rsidRPr="00992A03">
        <w:rPr>
          <w:rFonts w:ascii="Cambria" w:hAnsi="Cambria" w:cs="Times New Roman"/>
        </w:rPr>
        <w:t xml:space="preserve"> </w:t>
      </w:r>
      <w:proofErr w:type="spellStart"/>
      <w:r w:rsidR="00B073FA" w:rsidRPr="00992A03">
        <w:rPr>
          <w:rFonts w:ascii="Cambria" w:hAnsi="Cambria" w:cs="Times New Roman"/>
        </w:rPr>
        <w:t>Brulyant</w:t>
      </w:r>
      <w:proofErr w:type="spellEnd"/>
      <w:r w:rsidR="00B073FA" w:rsidRPr="00992A03">
        <w:rPr>
          <w:rFonts w:ascii="Cambria" w:hAnsi="Cambria" w:cs="Times New Roman"/>
        </w:rPr>
        <w:t>, p102</w:t>
      </w:r>
      <w:r w:rsidR="00454F33" w:rsidRPr="00992A03">
        <w:rPr>
          <w:rFonts w:ascii="Cambria" w:hAnsi="Cambria" w:cs="Times New Roman"/>
        </w:rPr>
        <w:t>.</w:t>
      </w:r>
    </w:p>
  </w:footnote>
  <w:footnote w:id="45">
    <w:p w14:paraId="25885B2B" w14:textId="77777777" w:rsidR="00810E27" w:rsidRPr="00992A03" w:rsidRDefault="00810E27"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27501C" w:rsidRPr="00992A03">
        <w:rPr>
          <w:rFonts w:ascii="Cambria" w:hAnsi="Cambria" w:cs="Times New Roman"/>
        </w:rPr>
        <w:t>RHUE</w:t>
      </w:r>
      <w:r w:rsidR="004E1ADF" w:rsidRPr="00992A03">
        <w:rPr>
          <w:rFonts w:ascii="Cambria" w:hAnsi="Cambria" w:cs="Times New Roman"/>
        </w:rPr>
        <w:t xml:space="preserve"> L, ‘</w:t>
      </w:r>
      <w:r w:rsidR="004E1ADF" w:rsidRPr="00992A03">
        <w:rPr>
          <w:rFonts w:ascii="Cambria" w:hAnsi="Cambria" w:cs="Times New Roman"/>
          <w:i/>
          <w:iCs/>
        </w:rPr>
        <w:t>Anchored to Bias: How AI-Human scoring can induce and reduce bias du</w:t>
      </w:r>
      <w:r w:rsidR="003858F8" w:rsidRPr="00992A03">
        <w:rPr>
          <w:rFonts w:ascii="Cambria" w:hAnsi="Cambria" w:cs="Times New Roman"/>
          <w:i/>
          <w:iCs/>
        </w:rPr>
        <w:t>e</w:t>
      </w:r>
      <w:r w:rsidR="004E1ADF" w:rsidRPr="00992A03">
        <w:rPr>
          <w:rFonts w:ascii="Cambria" w:hAnsi="Cambria" w:cs="Times New Roman"/>
          <w:i/>
          <w:iCs/>
        </w:rPr>
        <w:t xml:space="preserve"> to the anchoring effect’</w:t>
      </w:r>
      <w:r w:rsidR="004E1ADF" w:rsidRPr="00992A03">
        <w:rPr>
          <w:rFonts w:ascii="Cambria" w:hAnsi="Cambria" w:cs="Times New Roman"/>
        </w:rPr>
        <w:t xml:space="preserve"> (2019) University of Maryland</w:t>
      </w:r>
    </w:p>
  </w:footnote>
  <w:footnote w:id="46">
    <w:p w14:paraId="7B1E4AA6" w14:textId="77777777" w:rsidR="00810E27" w:rsidRPr="00992A03" w:rsidRDefault="00810E27"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27501C" w:rsidRPr="00992A03">
        <w:rPr>
          <w:rFonts w:ascii="Cambria" w:hAnsi="Cambria" w:cs="Times New Roman"/>
        </w:rPr>
        <w:t xml:space="preserve">BARABAAS </w:t>
      </w:r>
      <w:r w:rsidR="00487BEA" w:rsidRPr="00992A03">
        <w:rPr>
          <w:rFonts w:ascii="Cambria" w:hAnsi="Cambria" w:cs="Times New Roman"/>
        </w:rPr>
        <w:t>C,</w:t>
      </w:r>
      <w:r w:rsidR="007D0DCF" w:rsidRPr="00992A03">
        <w:rPr>
          <w:rFonts w:ascii="Cambria" w:hAnsi="Cambria" w:cs="Times New Roman"/>
        </w:rPr>
        <w:t xml:space="preserve"> ‘</w:t>
      </w:r>
      <w:r w:rsidR="007D0DCF" w:rsidRPr="00992A03">
        <w:rPr>
          <w:rFonts w:ascii="Cambria" w:hAnsi="Cambria" w:cs="Times New Roman"/>
          <w:i/>
          <w:iCs/>
        </w:rPr>
        <w:t xml:space="preserve">Beyond bias: “Ethical AI” in Criminal Law, </w:t>
      </w:r>
      <w:r w:rsidR="007D0DCF" w:rsidRPr="00992A03">
        <w:rPr>
          <w:rFonts w:ascii="Cambria" w:hAnsi="Cambria" w:cs="Times New Roman"/>
        </w:rPr>
        <w:t>The Oxford Handbook of Ethics and AI</w:t>
      </w:r>
      <w:r w:rsidR="007D0DCF" w:rsidRPr="00992A03">
        <w:rPr>
          <w:rFonts w:ascii="Cambria" w:hAnsi="Cambria" w:cs="Times New Roman"/>
          <w:i/>
          <w:iCs/>
        </w:rPr>
        <w:t xml:space="preserve">, </w:t>
      </w:r>
      <w:r w:rsidR="007D0DCF" w:rsidRPr="00992A03">
        <w:rPr>
          <w:rFonts w:ascii="Cambria" w:hAnsi="Cambria" w:cs="Times New Roman"/>
        </w:rPr>
        <w:t>(2020), pp</w:t>
      </w:r>
      <w:r w:rsidR="0019141F" w:rsidRPr="00992A03">
        <w:rPr>
          <w:rFonts w:ascii="Cambria" w:hAnsi="Cambria" w:cs="Times New Roman"/>
        </w:rPr>
        <w:t xml:space="preserve"> 737-758, pp-745-758.</w:t>
      </w:r>
    </w:p>
  </w:footnote>
  <w:footnote w:id="47">
    <w:p w14:paraId="5422ADD3" w14:textId="77777777" w:rsidR="00810E27" w:rsidRPr="00992A03" w:rsidRDefault="00810E27"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487BEA" w:rsidRPr="00992A03">
        <w:rPr>
          <w:rFonts w:ascii="Cambria" w:hAnsi="Cambria" w:cs="Times New Roman"/>
        </w:rPr>
        <w:t>ANGWIN J.</w:t>
      </w:r>
      <w:r w:rsidR="00A63449" w:rsidRPr="00992A03">
        <w:rPr>
          <w:rFonts w:ascii="Cambria" w:hAnsi="Cambria" w:cs="Times New Roman"/>
        </w:rPr>
        <w:t xml:space="preserve"> </w:t>
      </w:r>
      <w:r w:rsidR="0027501C" w:rsidRPr="00992A03">
        <w:rPr>
          <w:rFonts w:ascii="Cambria" w:hAnsi="Cambria" w:cs="Times New Roman"/>
        </w:rPr>
        <w:t xml:space="preserve"> LARSON</w:t>
      </w:r>
      <w:r w:rsidR="00D86CBC" w:rsidRPr="00992A03">
        <w:rPr>
          <w:rFonts w:ascii="Cambria" w:hAnsi="Cambria" w:cs="Times New Roman"/>
        </w:rPr>
        <w:t xml:space="preserve"> J</w:t>
      </w:r>
      <w:r w:rsidR="00A63449" w:rsidRPr="00992A03">
        <w:rPr>
          <w:rFonts w:ascii="Cambria" w:hAnsi="Cambria" w:cs="Times New Roman"/>
        </w:rPr>
        <w:t xml:space="preserve">, </w:t>
      </w:r>
      <w:r w:rsidR="0027501C" w:rsidRPr="00992A03">
        <w:rPr>
          <w:rFonts w:ascii="Cambria" w:hAnsi="Cambria" w:cs="Times New Roman"/>
        </w:rPr>
        <w:t>MATTU</w:t>
      </w:r>
      <w:r w:rsidR="00A63449" w:rsidRPr="00992A03">
        <w:rPr>
          <w:rFonts w:ascii="Cambria" w:hAnsi="Cambria" w:cs="Times New Roman"/>
        </w:rPr>
        <w:t xml:space="preserve"> </w:t>
      </w:r>
      <w:r w:rsidR="00D86CBC" w:rsidRPr="00992A03">
        <w:rPr>
          <w:rFonts w:ascii="Cambria" w:hAnsi="Cambria" w:cs="Times New Roman"/>
        </w:rPr>
        <w:t xml:space="preserve">S </w:t>
      </w:r>
      <w:r w:rsidR="00A63449" w:rsidRPr="00992A03">
        <w:rPr>
          <w:rFonts w:ascii="Cambria" w:hAnsi="Cambria" w:cs="Times New Roman"/>
        </w:rPr>
        <w:t xml:space="preserve">and </w:t>
      </w:r>
      <w:r w:rsidR="0027501C" w:rsidRPr="00992A03">
        <w:rPr>
          <w:rFonts w:ascii="Cambria" w:hAnsi="Cambria" w:cs="Times New Roman"/>
        </w:rPr>
        <w:t>KIRCHNER</w:t>
      </w:r>
      <w:r w:rsidR="00D86CBC" w:rsidRPr="00992A03">
        <w:rPr>
          <w:rFonts w:ascii="Cambria" w:hAnsi="Cambria" w:cs="Times New Roman"/>
        </w:rPr>
        <w:t xml:space="preserve"> L</w:t>
      </w:r>
      <w:r w:rsidR="00A63449" w:rsidRPr="00992A03">
        <w:rPr>
          <w:rFonts w:ascii="Cambria" w:hAnsi="Cambria" w:cs="Times New Roman"/>
        </w:rPr>
        <w:t xml:space="preserve">, </w:t>
      </w:r>
      <w:r w:rsidR="00627347" w:rsidRPr="00992A03">
        <w:rPr>
          <w:rFonts w:ascii="Cambria" w:hAnsi="Cambria" w:cs="Times New Roman"/>
          <w:i/>
          <w:iCs/>
        </w:rPr>
        <w:t xml:space="preserve">Machine bias: there’s software used across the country to predict future criminals. And it’s biased against blacks, </w:t>
      </w:r>
      <w:proofErr w:type="spellStart"/>
      <w:r w:rsidR="001F5ECF" w:rsidRPr="00992A03">
        <w:rPr>
          <w:rFonts w:ascii="Cambria" w:hAnsi="Cambria" w:cs="Times New Roman"/>
        </w:rPr>
        <w:t>Propublica</w:t>
      </w:r>
      <w:proofErr w:type="spellEnd"/>
      <w:r w:rsidR="001F5ECF" w:rsidRPr="00992A03">
        <w:rPr>
          <w:rFonts w:ascii="Cambria" w:hAnsi="Cambria" w:cs="Times New Roman"/>
          <w:i/>
          <w:iCs/>
        </w:rPr>
        <w:t xml:space="preserve">, </w:t>
      </w:r>
      <w:r w:rsidR="001F5ECF" w:rsidRPr="00992A03">
        <w:rPr>
          <w:rFonts w:ascii="Cambria" w:hAnsi="Cambria" w:cs="Times New Roman"/>
        </w:rPr>
        <w:t>published on 23 May 2016, accessed on 8</w:t>
      </w:r>
      <w:r w:rsidR="001F5ECF" w:rsidRPr="00992A03">
        <w:rPr>
          <w:rFonts w:ascii="Cambria" w:hAnsi="Cambria" w:cs="Times New Roman"/>
          <w:vertAlign w:val="superscript"/>
        </w:rPr>
        <w:t>th</w:t>
      </w:r>
      <w:r w:rsidR="001F5ECF" w:rsidRPr="00992A03">
        <w:rPr>
          <w:rFonts w:ascii="Cambria" w:hAnsi="Cambria" w:cs="Times New Roman"/>
        </w:rPr>
        <w:t xml:space="preserve"> November 2021, available at: &lt; </w:t>
      </w:r>
      <w:hyperlink r:id="rId3" w:history="1">
        <w:r w:rsidR="001F5ECF" w:rsidRPr="00992A03">
          <w:rPr>
            <w:rStyle w:val="Hyperlink"/>
            <w:rFonts w:ascii="Cambria" w:hAnsi="Cambria" w:cs="Times New Roman"/>
          </w:rPr>
          <w:t>https://www.propublica.org/article/machine-bias-risk-assessments-in-criminal-sentencing</w:t>
        </w:r>
      </w:hyperlink>
      <w:r w:rsidR="001F5ECF" w:rsidRPr="00992A03">
        <w:rPr>
          <w:rFonts w:ascii="Cambria" w:hAnsi="Cambria" w:cs="Times New Roman"/>
        </w:rPr>
        <w:t xml:space="preserve">&gt;. </w:t>
      </w:r>
    </w:p>
  </w:footnote>
  <w:footnote w:id="48">
    <w:p w14:paraId="51736AAB" w14:textId="77777777" w:rsidR="00BB19C6" w:rsidRPr="00992A03" w:rsidRDefault="00BB19C6"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27501C" w:rsidRPr="00992A03">
        <w:rPr>
          <w:rFonts w:ascii="Cambria" w:hAnsi="Cambria" w:cs="Times New Roman"/>
        </w:rPr>
        <w:t>OSWALD</w:t>
      </w:r>
      <w:r w:rsidR="00FA6F83" w:rsidRPr="00992A03">
        <w:rPr>
          <w:rFonts w:ascii="Cambria" w:hAnsi="Cambria" w:cs="Times New Roman"/>
        </w:rPr>
        <w:t xml:space="preserve"> M</w:t>
      </w:r>
      <w:r w:rsidR="00D66B31" w:rsidRPr="00992A03">
        <w:rPr>
          <w:rFonts w:ascii="Cambria" w:hAnsi="Cambria" w:cs="Times New Roman"/>
        </w:rPr>
        <w:t>, Grace</w:t>
      </w:r>
      <w:r w:rsidR="00FA6F83" w:rsidRPr="00992A03">
        <w:rPr>
          <w:rFonts w:ascii="Cambria" w:hAnsi="Cambria" w:cs="Times New Roman"/>
        </w:rPr>
        <w:t xml:space="preserve"> J</w:t>
      </w:r>
      <w:r w:rsidR="00D66B31" w:rsidRPr="00992A03">
        <w:rPr>
          <w:rFonts w:ascii="Cambria" w:hAnsi="Cambria" w:cs="Times New Roman"/>
        </w:rPr>
        <w:t xml:space="preserve">, </w:t>
      </w:r>
      <w:proofErr w:type="spellStart"/>
      <w:r w:rsidR="00D66B31" w:rsidRPr="00992A03">
        <w:rPr>
          <w:rFonts w:ascii="Cambria" w:hAnsi="Cambria" w:cs="Times New Roman"/>
        </w:rPr>
        <w:t>Urwin</w:t>
      </w:r>
      <w:proofErr w:type="spellEnd"/>
      <w:r w:rsidR="00FA6F83" w:rsidRPr="00992A03">
        <w:rPr>
          <w:rFonts w:ascii="Cambria" w:hAnsi="Cambria" w:cs="Times New Roman"/>
        </w:rPr>
        <w:t xml:space="preserve"> S</w:t>
      </w:r>
      <w:r w:rsidR="00D66B31" w:rsidRPr="00992A03">
        <w:rPr>
          <w:rFonts w:ascii="Cambria" w:hAnsi="Cambria" w:cs="Times New Roman"/>
        </w:rPr>
        <w:t xml:space="preserve"> </w:t>
      </w:r>
      <w:r w:rsidR="00FA6F83" w:rsidRPr="00992A03">
        <w:rPr>
          <w:rFonts w:ascii="Cambria" w:hAnsi="Cambria" w:cs="Times New Roman"/>
        </w:rPr>
        <w:t xml:space="preserve">and </w:t>
      </w:r>
      <w:r w:rsidR="00D66B31" w:rsidRPr="00992A03">
        <w:rPr>
          <w:rFonts w:ascii="Cambria" w:hAnsi="Cambria" w:cs="Times New Roman"/>
        </w:rPr>
        <w:t>Barnes</w:t>
      </w:r>
      <w:r w:rsidR="00FA6F83" w:rsidRPr="00992A03">
        <w:rPr>
          <w:rFonts w:ascii="Cambria" w:hAnsi="Cambria" w:cs="Times New Roman"/>
        </w:rPr>
        <w:t xml:space="preserve"> </w:t>
      </w:r>
      <w:proofErr w:type="gramStart"/>
      <w:r w:rsidR="00FA6F83" w:rsidRPr="00992A03">
        <w:rPr>
          <w:rFonts w:ascii="Cambria" w:hAnsi="Cambria" w:cs="Times New Roman"/>
        </w:rPr>
        <w:t xml:space="preserve">G.C </w:t>
      </w:r>
      <w:r w:rsidR="00D66B31" w:rsidRPr="00992A03">
        <w:rPr>
          <w:rFonts w:ascii="Cambria" w:hAnsi="Cambria" w:cs="Times New Roman"/>
        </w:rPr>
        <w:t>,</w:t>
      </w:r>
      <w:proofErr w:type="gramEnd"/>
      <w:r w:rsidR="00D66B31" w:rsidRPr="00992A03">
        <w:rPr>
          <w:rFonts w:ascii="Cambria" w:hAnsi="Cambria" w:cs="Times New Roman"/>
        </w:rPr>
        <w:t xml:space="preserve"> </w:t>
      </w:r>
      <w:r w:rsidR="00D66B31" w:rsidRPr="00992A03">
        <w:rPr>
          <w:rFonts w:ascii="Cambria" w:hAnsi="Cambria" w:cs="Times New Roman"/>
          <w:i/>
          <w:iCs/>
        </w:rPr>
        <w:t>Algorithmic risk assessment policing models: lessons from the Durham HART model and ‘Experimental’ proportionality</w:t>
      </w:r>
      <w:r w:rsidR="00D66B31" w:rsidRPr="00992A03">
        <w:rPr>
          <w:rFonts w:ascii="Cambria" w:hAnsi="Cambria" w:cs="Times New Roman"/>
        </w:rPr>
        <w:t xml:space="preserve">, (2018), , Information &amp; Communications Technology Law, 27:2, 223-250, </w:t>
      </w:r>
      <w:r w:rsidR="00FE1784" w:rsidRPr="00992A03">
        <w:rPr>
          <w:rFonts w:ascii="Cambria" w:hAnsi="Cambria" w:cs="Times New Roman"/>
        </w:rPr>
        <w:t>p 228.</w:t>
      </w:r>
    </w:p>
  </w:footnote>
  <w:footnote w:id="49">
    <w:p w14:paraId="53CFF4FE" w14:textId="77777777" w:rsidR="00BB19C6" w:rsidRPr="00992A03" w:rsidRDefault="00BB19C6"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6D4D60" w:rsidRPr="00992A03">
        <w:rPr>
          <w:rFonts w:ascii="Cambria" w:hAnsi="Cambria" w:cs="Times New Roman"/>
          <w:i/>
          <w:iCs/>
        </w:rPr>
        <w:t xml:space="preserve">Ibidem </w:t>
      </w:r>
      <w:r w:rsidR="00504C12" w:rsidRPr="00992A03">
        <w:rPr>
          <w:rFonts w:ascii="Cambria" w:hAnsi="Cambria" w:cs="Times New Roman"/>
        </w:rPr>
        <w:t>p</w:t>
      </w:r>
      <w:r w:rsidR="006D4D60" w:rsidRPr="00992A03">
        <w:rPr>
          <w:rFonts w:ascii="Cambria" w:hAnsi="Cambria" w:cs="Times New Roman"/>
        </w:rPr>
        <w:t>227.</w:t>
      </w:r>
    </w:p>
  </w:footnote>
  <w:footnote w:id="50">
    <w:p w14:paraId="6BF68A10" w14:textId="77777777" w:rsidR="00BB19C6" w:rsidRPr="00992A03" w:rsidRDefault="00BB19C6"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240813" w:rsidRPr="00992A03">
        <w:rPr>
          <w:rFonts w:ascii="Cambria" w:hAnsi="Cambria" w:cs="Times New Roman"/>
          <w:i/>
          <w:iCs/>
        </w:rPr>
        <w:t xml:space="preserve">Ibidem </w:t>
      </w:r>
      <w:r w:rsidR="00240813" w:rsidRPr="00992A03">
        <w:rPr>
          <w:rFonts w:ascii="Cambria" w:hAnsi="Cambria" w:cs="Times New Roman"/>
        </w:rPr>
        <w:t>p 236.</w:t>
      </w:r>
    </w:p>
  </w:footnote>
  <w:footnote w:id="51">
    <w:p w14:paraId="6C1B8730" w14:textId="77777777" w:rsidR="00BB19C6" w:rsidRPr="00992A03" w:rsidRDefault="00BB19C6"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27501C" w:rsidRPr="00992A03">
        <w:rPr>
          <w:rFonts w:ascii="Cambria" w:hAnsi="Cambria" w:cs="Times New Roman"/>
        </w:rPr>
        <w:t>YEUNG</w:t>
      </w:r>
      <w:r w:rsidR="0016733E" w:rsidRPr="00992A03">
        <w:rPr>
          <w:rFonts w:ascii="Cambria" w:hAnsi="Cambria" w:cs="Times New Roman"/>
        </w:rPr>
        <w:t xml:space="preserve"> K</w:t>
      </w:r>
      <w:r w:rsidR="00EB707B" w:rsidRPr="00992A03">
        <w:rPr>
          <w:rFonts w:ascii="Cambria" w:hAnsi="Cambria" w:cs="Times New Roman"/>
        </w:rPr>
        <w:t>, ‘</w:t>
      </w:r>
      <w:r w:rsidR="00EB707B" w:rsidRPr="00992A03">
        <w:rPr>
          <w:rFonts w:ascii="Cambria" w:hAnsi="Cambria" w:cs="Times New Roman"/>
          <w:i/>
          <w:iCs/>
        </w:rPr>
        <w:t>Algorithmic regulation: a critical interrogation’ (2018), Centre for technology, ethics, Law &amp; society (TELOS</w:t>
      </w:r>
      <w:r w:rsidR="00EB707B" w:rsidRPr="00992A03">
        <w:rPr>
          <w:rFonts w:ascii="Cambria" w:hAnsi="Cambria" w:cs="Times New Roman"/>
        </w:rPr>
        <w:t xml:space="preserve">), The </w:t>
      </w:r>
      <w:r w:rsidR="0027501C" w:rsidRPr="00992A03">
        <w:rPr>
          <w:rFonts w:ascii="Cambria" w:hAnsi="Cambria" w:cs="Times New Roman"/>
        </w:rPr>
        <w:t>D</w:t>
      </w:r>
      <w:r w:rsidR="00EB707B" w:rsidRPr="00992A03">
        <w:rPr>
          <w:rFonts w:ascii="Cambria" w:hAnsi="Cambria" w:cs="Times New Roman"/>
        </w:rPr>
        <w:t>ickson Poon School of Law, King’s college London, pp502-523, p516.</w:t>
      </w:r>
    </w:p>
  </w:footnote>
  <w:footnote w:id="52">
    <w:p w14:paraId="771E348B" w14:textId="77777777" w:rsidR="00BB19C6" w:rsidRPr="00992A03" w:rsidRDefault="00BB19C6"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0B7A7F" w:rsidRPr="00992A03">
        <w:rPr>
          <w:rFonts w:ascii="Cambria" w:hAnsi="Cambria" w:cs="Times New Roman"/>
        </w:rPr>
        <w:t xml:space="preserve">European Commission for the efficiency of Justice, European ethical charter on the use of Artificial intelligence in judicial systems and their environment, adopted on 3-4 December 2018, </w:t>
      </w:r>
      <w:r w:rsidR="00CB29D0" w:rsidRPr="00992A03">
        <w:rPr>
          <w:rFonts w:ascii="Cambria" w:hAnsi="Cambria" w:cs="Times New Roman"/>
        </w:rPr>
        <w:t>para</w:t>
      </w:r>
      <w:r w:rsidR="005C4991" w:rsidRPr="00992A03">
        <w:rPr>
          <w:rFonts w:ascii="Cambria" w:hAnsi="Cambria" w:cs="Times New Roman"/>
        </w:rPr>
        <w:t xml:space="preserve">s 137, </w:t>
      </w:r>
      <w:r w:rsidR="0007699A" w:rsidRPr="00992A03">
        <w:rPr>
          <w:rFonts w:ascii="Cambria" w:hAnsi="Cambria" w:cs="Times New Roman"/>
        </w:rPr>
        <w:t>159</w:t>
      </w:r>
      <w:r w:rsidR="009551BC" w:rsidRPr="00992A03">
        <w:rPr>
          <w:rFonts w:ascii="Cambria" w:hAnsi="Cambria" w:cs="Times New Roman"/>
        </w:rPr>
        <w:t xml:space="preserve"> and 160.</w:t>
      </w:r>
    </w:p>
  </w:footnote>
  <w:footnote w:id="53">
    <w:p w14:paraId="5CD2BF4A" w14:textId="77777777" w:rsidR="002C6DAE" w:rsidRPr="00992A03" w:rsidRDefault="002C6DAE"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2C4B3B" w:rsidRPr="00992A03">
        <w:rPr>
          <w:rFonts w:ascii="Cambria" w:hAnsi="Cambria" w:cs="Times New Roman"/>
        </w:rPr>
        <w:t>European Commission for the efficiency of Justice, European ethical charter on the use of Artificial intelligence in judicial systems and their environment, adopted on 3-4 December 2018, principle</w:t>
      </w:r>
      <w:r w:rsidR="004A0E34" w:rsidRPr="00992A03">
        <w:rPr>
          <w:rFonts w:ascii="Cambria" w:hAnsi="Cambria" w:cs="Times New Roman"/>
        </w:rPr>
        <w:t xml:space="preserve"> 4; Council of Europe’s Ad Hoc committee on Artificial intelligence, Artificial intelligence, Human rights </w:t>
      </w:r>
      <w:proofErr w:type="gramStart"/>
      <w:r w:rsidR="004A0E34" w:rsidRPr="00992A03">
        <w:rPr>
          <w:rFonts w:ascii="Cambria" w:hAnsi="Cambria" w:cs="Times New Roman"/>
        </w:rPr>
        <w:t>democracy</w:t>
      </w:r>
      <w:proofErr w:type="gramEnd"/>
      <w:r w:rsidR="004A0E34" w:rsidRPr="00992A03">
        <w:rPr>
          <w:rFonts w:ascii="Cambria" w:hAnsi="Cambria" w:cs="Times New Roman"/>
        </w:rPr>
        <w:t xml:space="preserve"> and the Rule of Law a primer, </w:t>
      </w:r>
      <w:r w:rsidR="004A0E34" w:rsidRPr="00992A03">
        <w:rPr>
          <w:rFonts w:ascii="Cambria" w:hAnsi="Cambria" w:cs="Times New Roman"/>
          <w:i/>
          <w:iCs/>
        </w:rPr>
        <w:t xml:space="preserve">The Alan Turing Institute, </w:t>
      </w:r>
      <w:r w:rsidR="003E6227" w:rsidRPr="00992A03">
        <w:rPr>
          <w:rFonts w:ascii="Cambria" w:hAnsi="Cambria" w:cs="Times New Roman"/>
        </w:rPr>
        <w:t>p21.</w:t>
      </w:r>
    </w:p>
  </w:footnote>
  <w:footnote w:id="54">
    <w:p w14:paraId="1C017165" w14:textId="77777777" w:rsidR="00445643" w:rsidRPr="00992A03" w:rsidRDefault="00445643"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27501C" w:rsidRPr="00992A03">
        <w:rPr>
          <w:rFonts w:ascii="Cambria" w:hAnsi="Cambria" w:cs="Times New Roman"/>
        </w:rPr>
        <w:t>YEUNG</w:t>
      </w:r>
      <w:r w:rsidR="00F07A55" w:rsidRPr="00992A03">
        <w:rPr>
          <w:rFonts w:ascii="Cambria" w:hAnsi="Cambria" w:cs="Times New Roman"/>
        </w:rPr>
        <w:t xml:space="preserve"> K</w:t>
      </w:r>
      <w:r w:rsidR="00982CEE" w:rsidRPr="00992A03">
        <w:rPr>
          <w:rFonts w:ascii="Cambria" w:hAnsi="Cambria" w:cs="Times New Roman"/>
        </w:rPr>
        <w:t xml:space="preserve">, </w:t>
      </w:r>
      <w:r w:rsidR="0027501C" w:rsidRPr="00992A03">
        <w:rPr>
          <w:rFonts w:ascii="Cambria" w:hAnsi="Cambria" w:cs="Times New Roman"/>
        </w:rPr>
        <w:t>HOWES</w:t>
      </w:r>
      <w:r w:rsidR="00F07A55" w:rsidRPr="00992A03">
        <w:rPr>
          <w:rFonts w:ascii="Cambria" w:hAnsi="Cambria" w:cs="Times New Roman"/>
        </w:rPr>
        <w:t xml:space="preserve"> A</w:t>
      </w:r>
      <w:r w:rsidR="00982CEE" w:rsidRPr="00992A03">
        <w:rPr>
          <w:rFonts w:ascii="Cambria" w:hAnsi="Cambria" w:cs="Times New Roman"/>
        </w:rPr>
        <w:t xml:space="preserve">, and </w:t>
      </w:r>
      <w:r w:rsidR="0027501C" w:rsidRPr="00992A03">
        <w:rPr>
          <w:rFonts w:ascii="Cambria" w:hAnsi="Cambria" w:cs="Times New Roman"/>
        </w:rPr>
        <w:t>POGREBNA</w:t>
      </w:r>
      <w:r w:rsidR="00F07A55" w:rsidRPr="00992A03">
        <w:rPr>
          <w:rFonts w:ascii="Cambria" w:hAnsi="Cambria" w:cs="Times New Roman"/>
        </w:rPr>
        <w:t xml:space="preserve"> </w:t>
      </w:r>
      <w:proofErr w:type="spellStart"/>
      <w:r w:rsidR="00F07A55" w:rsidRPr="00992A03">
        <w:rPr>
          <w:rFonts w:ascii="Cambria" w:hAnsi="Cambria" w:cs="Times New Roman"/>
        </w:rPr>
        <w:t>Ganna</w:t>
      </w:r>
      <w:proofErr w:type="spellEnd"/>
      <w:r w:rsidR="00982CEE" w:rsidRPr="00992A03">
        <w:rPr>
          <w:rFonts w:ascii="Cambria" w:hAnsi="Cambria" w:cs="Times New Roman"/>
        </w:rPr>
        <w:t xml:space="preserve">, </w:t>
      </w:r>
      <w:r w:rsidR="00982CEE" w:rsidRPr="00992A03">
        <w:rPr>
          <w:rFonts w:ascii="Cambria" w:hAnsi="Cambria" w:cs="Times New Roman"/>
          <w:i/>
          <w:iCs/>
        </w:rPr>
        <w:t xml:space="preserve">AI governance by Human rights centered design, deliberation and oversight: An end to </w:t>
      </w:r>
      <w:proofErr w:type="gramStart"/>
      <w:r w:rsidR="00982CEE" w:rsidRPr="00992A03">
        <w:rPr>
          <w:rFonts w:ascii="Cambria" w:hAnsi="Cambria" w:cs="Times New Roman"/>
          <w:i/>
          <w:iCs/>
        </w:rPr>
        <w:t>Ethics</w:t>
      </w:r>
      <w:proofErr w:type="gramEnd"/>
      <w:r w:rsidR="00982CEE" w:rsidRPr="00992A03">
        <w:rPr>
          <w:rFonts w:ascii="Cambria" w:hAnsi="Cambria" w:cs="Times New Roman"/>
          <w:i/>
          <w:iCs/>
        </w:rPr>
        <w:t xml:space="preserve"> washing</w:t>
      </w:r>
      <w:r w:rsidR="00982CEE" w:rsidRPr="00992A03">
        <w:rPr>
          <w:rFonts w:ascii="Cambria" w:hAnsi="Cambria" w:cs="Times New Roman"/>
        </w:rPr>
        <w:t>,</w:t>
      </w:r>
      <w:r w:rsidR="00444472" w:rsidRPr="00992A03">
        <w:rPr>
          <w:rFonts w:ascii="Cambria" w:hAnsi="Cambria" w:cs="Times New Roman"/>
        </w:rPr>
        <w:t xml:space="preserve"> pp77-</w:t>
      </w:r>
      <w:r w:rsidR="0017538D" w:rsidRPr="00992A03">
        <w:rPr>
          <w:rFonts w:ascii="Cambria" w:hAnsi="Cambria" w:cs="Times New Roman"/>
        </w:rPr>
        <w:t>108</w:t>
      </w:r>
      <w:r w:rsidR="00E30569" w:rsidRPr="00992A03">
        <w:rPr>
          <w:rFonts w:ascii="Cambria" w:hAnsi="Cambria" w:cs="Times New Roman"/>
        </w:rPr>
        <w:t>;</w:t>
      </w:r>
      <w:r w:rsidR="00982CEE" w:rsidRPr="00992A03">
        <w:rPr>
          <w:rFonts w:ascii="Cambria" w:hAnsi="Cambria" w:cs="Times New Roman"/>
        </w:rPr>
        <w:t xml:space="preserve"> </w:t>
      </w:r>
      <w:r w:rsidR="00444472" w:rsidRPr="00992A03">
        <w:rPr>
          <w:rFonts w:ascii="Cambria" w:hAnsi="Cambria" w:cs="Times New Roman"/>
        </w:rPr>
        <w:t>p100</w:t>
      </w:r>
    </w:p>
  </w:footnote>
  <w:footnote w:id="55">
    <w:p w14:paraId="7E67FEAA" w14:textId="77777777" w:rsidR="000433FB" w:rsidRPr="00992A03" w:rsidRDefault="000433FB"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941327" w:rsidRPr="00992A03">
        <w:rPr>
          <w:rFonts w:ascii="Cambria" w:hAnsi="Cambria" w:cs="Times New Roman"/>
          <w:i/>
        </w:rPr>
        <w:t>Loomis v Wisconsin,</w:t>
      </w:r>
      <w:r w:rsidR="00941327" w:rsidRPr="00992A03">
        <w:rPr>
          <w:rFonts w:ascii="Cambria" w:hAnsi="Cambria" w:cs="Times New Roman"/>
        </w:rPr>
        <w:t xml:space="preserve"> [2016],</w:t>
      </w:r>
      <w:r w:rsidR="00941327" w:rsidRPr="00992A03">
        <w:rPr>
          <w:rFonts w:ascii="Cambria" w:hAnsi="Cambria" w:cs="Times New Roman"/>
          <w:i/>
        </w:rPr>
        <w:t xml:space="preserve"> </w:t>
      </w:r>
      <w:r w:rsidR="00941327" w:rsidRPr="00992A03">
        <w:rPr>
          <w:rFonts w:ascii="Cambria" w:hAnsi="Cambria" w:cs="Times New Roman"/>
        </w:rPr>
        <w:t xml:space="preserve">Wisconsin Supreme Court, N° 16-6387; </w:t>
      </w:r>
      <w:r w:rsidR="00941327" w:rsidRPr="00992A03">
        <w:rPr>
          <w:rFonts w:ascii="Cambria" w:hAnsi="Cambria" w:cs="Times New Roman"/>
          <w:i/>
        </w:rPr>
        <w:t xml:space="preserve">Kansas v Walls </w:t>
      </w:r>
      <w:r w:rsidR="00941327" w:rsidRPr="00992A03">
        <w:rPr>
          <w:rFonts w:ascii="Cambria" w:hAnsi="Cambria" w:cs="Times New Roman"/>
        </w:rPr>
        <w:t>[2017], Court of Appeal of the State of Kansas, N°116,027</w:t>
      </w:r>
    </w:p>
  </w:footnote>
  <w:footnote w:id="56">
    <w:p w14:paraId="76A1AAD4" w14:textId="77777777" w:rsidR="000433FB" w:rsidRPr="00992A03" w:rsidRDefault="000433FB"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941327" w:rsidRPr="00992A03">
        <w:rPr>
          <w:rFonts w:ascii="Cambria" w:hAnsi="Cambria" w:cs="Times New Roman"/>
        </w:rPr>
        <w:t xml:space="preserve">European Parliament and Council, </w:t>
      </w:r>
      <w:r w:rsidR="00941327" w:rsidRPr="00992A03">
        <w:rPr>
          <w:rFonts w:ascii="Cambria" w:hAnsi="Cambria" w:cs="Times New Roman"/>
          <w:i/>
        </w:rPr>
        <w:t xml:space="preserve">General Data Protection Regulation, </w:t>
      </w:r>
      <w:r w:rsidR="00941327" w:rsidRPr="00992A03">
        <w:rPr>
          <w:rFonts w:ascii="Cambria" w:hAnsi="Cambria" w:cs="Times New Roman"/>
        </w:rPr>
        <w:t>Regulation (EU) 2016/679 of 27 April 2016, Recital 61.</w:t>
      </w:r>
    </w:p>
  </w:footnote>
  <w:footnote w:id="57">
    <w:p w14:paraId="33237696" w14:textId="77777777" w:rsidR="000433FB" w:rsidRPr="00992A03" w:rsidRDefault="000433FB"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1135EC" w:rsidRPr="00992A03">
        <w:rPr>
          <w:rFonts w:ascii="Cambria" w:hAnsi="Cambria" w:cs="Times New Roman"/>
          <w:i/>
        </w:rPr>
        <w:t xml:space="preserve">Kansas v Walls </w:t>
      </w:r>
      <w:r w:rsidR="001135EC" w:rsidRPr="00992A03">
        <w:rPr>
          <w:rFonts w:ascii="Cambria" w:hAnsi="Cambria" w:cs="Times New Roman"/>
        </w:rPr>
        <w:t>[2017], Court of Appeal of the State of Kansas, N°116,027</w:t>
      </w:r>
      <w:r w:rsidR="00302EBB" w:rsidRPr="00992A03">
        <w:rPr>
          <w:rFonts w:ascii="Cambria" w:hAnsi="Cambria" w:cs="Times New Roman"/>
        </w:rPr>
        <w:t xml:space="preserve">; </w:t>
      </w:r>
      <w:proofErr w:type="spellStart"/>
      <w:r w:rsidR="00302EBB" w:rsidRPr="00992A03">
        <w:rPr>
          <w:rFonts w:ascii="Cambria" w:hAnsi="Cambria" w:cs="Times New Roman"/>
        </w:rPr>
        <w:t>Aleš</w:t>
      </w:r>
      <w:proofErr w:type="spellEnd"/>
      <w:r w:rsidR="00302EBB" w:rsidRPr="00992A03">
        <w:rPr>
          <w:rFonts w:ascii="Cambria" w:hAnsi="Cambria" w:cs="Times New Roman"/>
        </w:rPr>
        <w:t xml:space="preserve"> </w:t>
      </w:r>
      <w:proofErr w:type="spellStart"/>
      <w:r w:rsidR="00302EBB" w:rsidRPr="00992A03">
        <w:rPr>
          <w:rFonts w:ascii="Cambria" w:hAnsi="Cambria" w:cs="Times New Roman"/>
        </w:rPr>
        <w:t>Završnik</w:t>
      </w:r>
      <w:proofErr w:type="spellEnd"/>
      <w:r w:rsidR="00302EBB" w:rsidRPr="00992A03">
        <w:rPr>
          <w:rFonts w:ascii="Cambria" w:hAnsi="Cambria" w:cs="Times New Roman"/>
        </w:rPr>
        <w:t xml:space="preserve">, </w:t>
      </w:r>
      <w:r w:rsidR="00302EBB" w:rsidRPr="00487BEA">
        <w:rPr>
          <w:rFonts w:ascii="Cambria" w:hAnsi="Cambria" w:cs="Times New Roman"/>
          <w:i/>
          <w:iCs/>
        </w:rPr>
        <w:t>Criminal Justice, Artificial intelligence systems, and human rights,</w:t>
      </w:r>
      <w:r w:rsidR="00302EBB" w:rsidRPr="00992A03">
        <w:rPr>
          <w:rFonts w:ascii="Cambria" w:hAnsi="Cambria" w:cs="Times New Roman"/>
        </w:rPr>
        <w:t xml:space="preserve"> </w:t>
      </w:r>
      <w:r w:rsidR="00525BB7" w:rsidRPr="00992A03">
        <w:rPr>
          <w:rFonts w:ascii="Cambria" w:hAnsi="Cambria" w:cs="Times New Roman"/>
        </w:rPr>
        <w:t>Academy of European Law, (2020), pp567-583, p</w:t>
      </w:r>
      <w:r w:rsidR="005C47D0" w:rsidRPr="00992A03">
        <w:rPr>
          <w:rFonts w:ascii="Cambria" w:hAnsi="Cambria" w:cs="Times New Roman"/>
        </w:rPr>
        <w:t>574.</w:t>
      </w:r>
    </w:p>
  </w:footnote>
  <w:footnote w:id="58">
    <w:p w14:paraId="72891DCC" w14:textId="77777777" w:rsidR="005742E1" w:rsidRPr="00992A03" w:rsidRDefault="005742E1" w:rsidP="008553F4">
      <w:pPr>
        <w:pStyle w:val="FootnoteText"/>
        <w:spacing w:line="276" w:lineRule="auto"/>
        <w:jc w:val="both"/>
        <w:rPr>
          <w:rFonts w:ascii="Cambria" w:hAnsi="Cambria" w:cs="Times New Roman"/>
          <w:i/>
          <w:iCs/>
        </w:rPr>
      </w:pPr>
      <w:r w:rsidRPr="00992A03">
        <w:rPr>
          <w:rStyle w:val="FootnoteReference"/>
          <w:rFonts w:ascii="Cambria" w:hAnsi="Cambria" w:cs="Times New Roman"/>
        </w:rPr>
        <w:footnoteRef/>
      </w:r>
      <w:r w:rsidRPr="00992A03">
        <w:rPr>
          <w:rFonts w:ascii="Cambria" w:hAnsi="Cambria" w:cs="Times New Roman"/>
        </w:rPr>
        <w:t xml:space="preserve"> </w:t>
      </w:r>
      <w:r w:rsidR="0027501C" w:rsidRPr="00992A03">
        <w:rPr>
          <w:rFonts w:ascii="Cambria" w:hAnsi="Cambria" w:cs="Times New Roman"/>
        </w:rPr>
        <w:t>BODDINGTON</w:t>
      </w:r>
      <w:r w:rsidR="001F05B4" w:rsidRPr="00992A03">
        <w:rPr>
          <w:rFonts w:ascii="Cambria" w:hAnsi="Cambria" w:cs="Times New Roman"/>
        </w:rPr>
        <w:t xml:space="preserve"> P</w:t>
      </w:r>
      <w:r w:rsidR="00D54FA3" w:rsidRPr="00992A03">
        <w:rPr>
          <w:rFonts w:ascii="Cambria" w:hAnsi="Cambria" w:cs="Times New Roman"/>
        </w:rPr>
        <w:t xml:space="preserve">, </w:t>
      </w:r>
      <w:r w:rsidR="00D54FA3" w:rsidRPr="00992A03">
        <w:rPr>
          <w:rFonts w:ascii="Cambria" w:hAnsi="Cambria" w:cs="Times New Roman"/>
          <w:i/>
          <w:iCs/>
        </w:rPr>
        <w:t>Normative modes: Codes and Standards</w:t>
      </w:r>
      <w:r w:rsidR="00D54FA3" w:rsidRPr="00992A03">
        <w:rPr>
          <w:rFonts w:ascii="Cambria" w:hAnsi="Cambria" w:cs="Times New Roman"/>
        </w:rPr>
        <w:t xml:space="preserve">, </w:t>
      </w:r>
      <w:r w:rsidR="008C1BC6" w:rsidRPr="00992A03">
        <w:rPr>
          <w:rFonts w:ascii="Cambria" w:hAnsi="Cambria" w:cs="Times New Roman"/>
        </w:rPr>
        <w:t>The Oxford Handbook of Ethics of AI</w:t>
      </w:r>
      <w:r w:rsidR="00A536CC" w:rsidRPr="00992A03">
        <w:rPr>
          <w:rFonts w:ascii="Cambria" w:hAnsi="Cambria" w:cs="Times New Roman"/>
        </w:rPr>
        <w:t>, (2020), pp 125-</w:t>
      </w:r>
      <w:r w:rsidR="00B71779" w:rsidRPr="00992A03">
        <w:rPr>
          <w:rFonts w:ascii="Cambria" w:hAnsi="Cambria" w:cs="Times New Roman"/>
        </w:rPr>
        <w:t>142, p135.</w:t>
      </w:r>
    </w:p>
  </w:footnote>
  <w:footnote w:id="59">
    <w:p w14:paraId="11491BFD" w14:textId="77777777" w:rsidR="00F2036C" w:rsidRPr="00992A03" w:rsidRDefault="00F2036C"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C915DF" w:rsidRPr="00992A03">
        <w:rPr>
          <w:rFonts w:ascii="Cambria" w:hAnsi="Cambria" w:cs="Times New Roman"/>
        </w:rPr>
        <w:t xml:space="preserve"> </w:t>
      </w:r>
      <w:r w:rsidR="00DF42F3" w:rsidRPr="00992A03">
        <w:rPr>
          <w:rFonts w:ascii="Cambria" w:hAnsi="Cambria" w:cs="Times New Roman"/>
        </w:rPr>
        <w:t>Dignum</w:t>
      </w:r>
      <w:r w:rsidR="001F05B4" w:rsidRPr="00992A03">
        <w:rPr>
          <w:rFonts w:ascii="Cambria" w:hAnsi="Cambria" w:cs="Times New Roman"/>
        </w:rPr>
        <w:t xml:space="preserve"> V</w:t>
      </w:r>
      <w:r w:rsidR="00DF42F3" w:rsidRPr="00992A03">
        <w:rPr>
          <w:rFonts w:ascii="Cambria" w:hAnsi="Cambria" w:cs="Times New Roman"/>
        </w:rPr>
        <w:t xml:space="preserve">, </w:t>
      </w:r>
      <w:r w:rsidR="00DF42F3" w:rsidRPr="00992A03">
        <w:rPr>
          <w:rFonts w:ascii="Cambria" w:hAnsi="Cambria" w:cs="Times New Roman"/>
          <w:i/>
          <w:iCs/>
        </w:rPr>
        <w:t>Responsibility and Artificial intelligence</w:t>
      </w:r>
      <w:r w:rsidR="00DF42F3" w:rsidRPr="00992A03">
        <w:rPr>
          <w:rFonts w:ascii="Cambria" w:hAnsi="Cambria" w:cs="Times New Roman"/>
        </w:rPr>
        <w:t>, The Oxford Handbook of Ethics of AI, (</w:t>
      </w:r>
      <w:r w:rsidR="00DF42F3" w:rsidRPr="00992A03">
        <w:rPr>
          <w:rFonts w:ascii="Cambria" w:hAnsi="Cambria" w:cs="Times New Roman"/>
          <w:i/>
          <w:iCs/>
        </w:rPr>
        <w:t xml:space="preserve">2020), </w:t>
      </w:r>
      <w:r w:rsidR="00C65389" w:rsidRPr="00992A03">
        <w:rPr>
          <w:rFonts w:ascii="Cambria" w:hAnsi="Cambria" w:cs="Times New Roman"/>
        </w:rPr>
        <w:t>pp216-232,</w:t>
      </w:r>
      <w:r w:rsidR="00C915DF" w:rsidRPr="00992A03">
        <w:rPr>
          <w:rFonts w:ascii="Cambria" w:hAnsi="Cambria" w:cs="Times New Roman"/>
        </w:rPr>
        <w:t xml:space="preserve"> p225</w:t>
      </w:r>
      <w:r w:rsidR="00AE12E5" w:rsidRPr="00992A03">
        <w:rPr>
          <w:rFonts w:ascii="Cambria" w:hAnsi="Cambria" w:cs="Times New Roman"/>
        </w:rPr>
        <w:t xml:space="preserve">; Council of Europe’s Ad Hoc committee on Artificial intelligence, Artificial intelligence, Human rights </w:t>
      </w:r>
      <w:proofErr w:type="gramStart"/>
      <w:r w:rsidR="00AE12E5" w:rsidRPr="00992A03">
        <w:rPr>
          <w:rFonts w:ascii="Cambria" w:hAnsi="Cambria" w:cs="Times New Roman"/>
        </w:rPr>
        <w:t>democracy</w:t>
      </w:r>
      <w:proofErr w:type="gramEnd"/>
      <w:r w:rsidR="00AE12E5" w:rsidRPr="00992A03">
        <w:rPr>
          <w:rFonts w:ascii="Cambria" w:hAnsi="Cambria" w:cs="Times New Roman"/>
        </w:rPr>
        <w:t xml:space="preserve"> and the Rule of Law a primer, </w:t>
      </w:r>
      <w:r w:rsidR="00AE12E5" w:rsidRPr="00992A03">
        <w:rPr>
          <w:rFonts w:ascii="Cambria" w:hAnsi="Cambria" w:cs="Times New Roman"/>
          <w:i/>
          <w:iCs/>
        </w:rPr>
        <w:t xml:space="preserve">The Alan Turing Institute, </w:t>
      </w:r>
      <w:r w:rsidR="00AE12E5" w:rsidRPr="00992A03">
        <w:rPr>
          <w:rFonts w:ascii="Cambria" w:hAnsi="Cambria" w:cs="Times New Roman"/>
        </w:rPr>
        <w:t>p37.</w:t>
      </w:r>
    </w:p>
  </w:footnote>
  <w:footnote w:id="60">
    <w:p w14:paraId="3CC37C92" w14:textId="77777777" w:rsidR="00F2036C" w:rsidRPr="00992A03" w:rsidRDefault="00F2036C"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C407BB" w:rsidRPr="00992A03">
        <w:rPr>
          <w:rFonts w:ascii="Cambria" w:hAnsi="Cambria" w:cs="Times New Roman"/>
        </w:rPr>
        <w:t>High-level expert group on Artificial intelligence set up by the European Commission</w:t>
      </w:r>
      <w:proofErr w:type="gramStart"/>
      <w:r w:rsidR="00C407BB" w:rsidRPr="00992A03">
        <w:rPr>
          <w:rFonts w:ascii="Cambria" w:hAnsi="Cambria" w:cs="Times New Roman"/>
        </w:rPr>
        <w:t>, ,</w:t>
      </w:r>
      <w:proofErr w:type="gramEnd"/>
      <w:r w:rsidR="00C407BB" w:rsidRPr="00992A03">
        <w:rPr>
          <w:rFonts w:ascii="Cambria" w:hAnsi="Cambria" w:cs="Times New Roman"/>
        </w:rPr>
        <w:t xml:space="preserve"> Ethic Guidelines for Trustworthy AI, European commission, published on 8 April 2019</w:t>
      </w:r>
      <w:r w:rsidR="00652A58" w:rsidRPr="00992A03">
        <w:rPr>
          <w:rFonts w:ascii="Cambria" w:hAnsi="Cambria" w:cs="Times New Roman"/>
        </w:rPr>
        <w:t xml:space="preserve">; The European Parliament and the Council of the European Union, </w:t>
      </w:r>
      <w:r w:rsidR="00652A58" w:rsidRPr="00992A03">
        <w:rPr>
          <w:rFonts w:ascii="Cambria" w:hAnsi="Cambria" w:cs="Times New Roman"/>
          <w:i/>
        </w:rPr>
        <w:t xml:space="preserve">Draft Regulation on a European approach for Artificial Intelligence, </w:t>
      </w:r>
      <w:r w:rsidR="00652A58" w:rsidRPr="00992A03">
        <w:rPr>
          <w:rFonts w:ascii="Cambria" w:hAnsi="Cambria" w:cs="Times New Roman"/>
        </w:rPr>
        <w:t>published on 21</w:t>
      </w:r>
      <w:r w:rsidR="00652A58" w:rsidRPr="00992A03">
        <w:rPr>
          <w:rFonts w:ascii="Cambria" w:hAnsi="Cambria" w:cs="Times New Roman"/>
          <w:vertAlign w:val="superscript"/>
        </w:rPr>
        <w:t>st</w:t>
      </w:r>
      <w:r w:rsidR="00652A58" w:rsidRPr="00992A03">
        <w:rPr>
          <w:rFonts w:ascii="Cambria" w:hAnsi="Cambria" w:cs="Times New Roman"/>
        </w:rPr>
        <w:t xml:space="preserve"> April 2021, p1.</w:t>
      </w:r>
    </w:p>
  </w:footnote>
  <w:footnote w:id="61">
    <w:p w14:paraId="328EC7B4" w14:textId="77777777" w:rsidR="00F2036C" w:rsidRPr="00992A03" w:rsidRDefault="00F2036C"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proofErr w:type="spellStart"/>
      <w:r w:rsidR="00AE347C" w:rsidRPr="00992A03">
        <w:rPr>
          <w:rFonts w:ascii="Cambria" w:hAnsi="Cambria" w:cs="Times New Roman"/>
          <w:i/>
        </w:rPr>
        <w:t>Cevrioğlu</w:t>
      </w:r>
      <w:proofErr w:type="spellEnd"/>
      <w:r w:rsidR="00AE347C" w:rsidRPr="00992A03">
        <w:rPr>
          <w:rFonts w:ascii="Cambria" w:hAnsi="Cambria" w:cs="Times New Roman"/>
          <w:i/>
        </w:rPr>
        <w:t xml:space="preserve"> v. Turkey</w:t>
      </w:r>
      <w:r w:rsidR="00AE347C" w:rsidRPr="00992A03">
        <w:rPr>
          <w:rFonts w:ascii="Cambria" w:hAnsi="Cambria" w:cs="Times New Roman"/>
        </w:rPr>
        <w:t xml:space="preserve">, [2016] ECtHR, 69546, para </w:t>
      </w:r>
      <w:proofErr w:type="gramStart"/>
      <w:r w:rsidR="00AE347C" w:rsidRPr="00992A03">
        <w:rPr>
          <w:rFonts w:ascii="Cambria" w:hAnsi="Cambria" w:cs="Times New Roman"/>
        </w:rPr>
        <w:t>50</w:t>
      </w:r>
      <w:r w:rsidR="00E52819" w:rsidRPr="00992A03">
        <w:rPr>
          <w:rFonts w:ascii="Cambria" w:hAnsi="Cambria" w:cs="Times New Roman"/>
        </w:rPr>
        <w:t> ;</w:t>
      </w:r>
      <w:proofErr w:type="gramEnd"/>
      <w:r w:rsidR="00E52819" w:rsidRPr="00992A03">
        <w:rPr>
          <w:rFonts w:ascii="Cambria" w:hAnsi="Cambria" w:cs="Times New Roman"/>
        </w:rPr>
        <w:t xml:space="preserve"> </w:t>
      </w:r>
      <w:proofErr w:type="spellStart"/>
      <w:r w:rsidR="00E52819" w:rsidRPr="00992A03">
        <w:rPr>
          <w:rFonts w:ascii="Cambria" w:hAnsi="Cambria" w:cs="Times New Roman"/>
          <w:i/>
        </w:rPr>
        <w:t>Assanidze</w:t>
      </w:r>
      <w:proofErr w:type="spellEnd"/>
      <w:r w:rsidR="00E52819" w:rsidRPr="00992A03">
        <w:rPr>
          <w:rFonts w:ascii="Cambria" w:hAnsi="Cambria" w:cs="Times New Roman"/>
          <w:i/>
        </w:rPr>
        <w:t xml:space="preserve"> v Georgia</w:t>
      </w:r>
      <w:r w:rsidR="00E52819" w:rsidRPr="00992A03">
        <w:rPr>
          <w:rFonts w:ascii="Cambria" w:hAnsi="Cambria" w:cs="Times New Roman"/>
        </w:rPr>
        <w:t>, [2004], ECtHR, No 71503/01 para 144</w:t>
      </w:r>
      <w:r w:rsidR="00A432F3" w:rsidRPr="00992A03">
        <w:rPr>
          <w:rFonts w:ascii="Cambria" w:hAnsi="Cambria" w:cs="Times New Roman"/>
        </w:rPr>
        <w:t xml:space="preserve">; </w:t>
      </w:r>
      <w:r w:rsidR="0027501C" w:rsidRPr="00992A03">
        <w:rPr>
          <w:rFonts w:ascii="Cambria" w:hAnsi="Cambria" w:cs="Times New Roman"/>
        </w:rPr>
        <w:t>AKKANDI-KOMBR</w:t>
      </w:r>
      <w:r w:rsidR="001F05B4" w:rsidRPr="00992A03">
        <w:rPr>
          <w:rFonts w:ascii="Cambria" w:hAnsi="Cambria" w:cs="Times New Roman"/>
        </w:rPr>
        <w:t xml:space="preserve"> JF</w:t>
      </w:r>
      <w:r w:rsidR="00A432F3" w:rsidRPr="00992A03">
        <w:rPr>
          <w:rFonts w:ascii="Cambria" w:hAnsi="Cambria" w:cs="Times New Roman"/>
        </w:rPr>
        <w:t>, ‘</w:t>
      </w:r>
      <w:r w:rsidR="00A432F3" w:rsidRPr="00992A03">
        <w:rPr>
          <w:rFonts w:ascii="Cambria" w:hAnsi="Cambria" w:cs="Times New Roman"/>
          <w:i/>
          <w:iCs/>
        </w:rPr>
        <w:t>Positive Obligations under the European Convention on Human Rights: A Guide to the Implementation of the European Convention on Human Rights’</w:t>
      </w:r>
      <w:r w:rsidR="00A432F3" w:rsidRPr="00992A03">
        <w:rPr>
          <w:rFonts w:ascii="Cambria" w:hAnsi="Cambria" w:cs="Times New Roman"/>
        </w:rPr>
        <w:t xml:space="preserve"> (2007) Human Rights Handbook, Volume 7, p5.</w:t>
      </w:r>
    </w:p>
  </w:footnote>
  <w:footnote w:id="62">
    <w:p w14:paraId="2A9015FD" w14:textId="77777777" w:rsidR="00716D20" w:rsidRPr="00992A03" w:rsidRDefault="00716D20"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proofErr w:type="spellStart"/>
      <w:r w:rsidRPr="00992A03">
        <w:rPr>
          <w:rFonts w:ascii="Cambria" w:hAnsi="Cambria" w:cs="Times New Roman"/>
          <w:i/>
          <w:iCs/>
        </w:rPr>
        <w:t>Marper</w:t>
      </w:r>
      <w:proofErr w:type="spellEnd"/>
      <w:r w:rsidR="001B087D" w:rsidRPr="00992A03">
        <w:rPr>
          <w:rFonts w:ascii="Cambria" w:hAnsi="Cambria" w:cs="Times New Roman"/>
          <w:i/>
          <w:iCs/>
        </w:rPr>
        <w:t xml:space="preserve"> v The United Kingdom</w:t>
      </w:r>
      <w:r w:rsidR="001B087D" w:rsidRPr="00992A03">
        <w:rPr>
          <w:rFonts w:ascii="Cambria" w:hAnsi="Cambria" w:cs="Times New Roman"/>
        </w:rPr>
        <w:t>, [2008] ECtHR, 30562/04 and 30566/04</w:t>
      </w:r>
      <w:r w:rsidRPr="00992A03">
        <w:rPr>
          <w:rFonts w:ascii="Cambria" w:hAnsi="Cambria" w:cs="Times New Roman"/>
        </w:rPr>
        <w:t xml:space="preserve"> </w:t>
      </w:r>
      <w:r w:rsidR="001B087D" w:rsidRPr="00992A03">
        <w:rPr>
          <w:rFonts w:ascii="Cambria" w:hAnsi="Cambria" w:cs="Times New Roman"/>
        </w:rPr>
        <w:t>para 1</w:t>
      </w:r>
      <w:r w:rsidRPr="00992A03">
        <w:rPr>
          <w:rFonts w:ascii="Cambria" w:hAnsi="Cambria" w:cs="Times New Roman"/>
        </w:rPr>
        <w:t>12.</w:t>
      </w:r>
    </w:p>
  </w:footnote>
  <w:footnote w:id="63">
    <w:p w14:paraId="74A85D54" w14:textId="77777777" w:rsidR="00F2036C" w:rsidRPr="00992A03" w:rsidRDefault="00F2036C"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625C99" w:rsidRPr="00992A03">
        <w:rPr>
          <w:rFonts w:ascii="Cambria" w:hAnsi="Cambria" w:cs="Times New Roman"/>
          <w:i/>
        </w:rPr>
        <w:t>Ireland v United Kingdom</w:t>
      </w:r>
      <w:r w:rsidR="00625C99" w:rsidRPr="00992A03">
        <w:rPr>
          <w:rFonts w:ascii="Cambria" w:hAnsi="Cambria" w:cs="Times New Roman"/>
        </w:rPr>
        <w:t>, [1978], ECtHR, No 530/71, para 239.</w:t>
      </w:r>
    </w:p>
  </w:footnote>
  <w:footnote w:id="64">
    <w:p w14:paraId="7A115839" w14:textId="77777777" w:rsidR="00F2036C" w:rsidRPr="00992A03" w:rsidRDefault="00F2036C" w:rsidP="008553F4">
      <w:pPr>
        <w:pStyle w:val="FootnoteText"/>
        <w:spacing w:line="276" w:lineRule="auto"/>
        <w:jc w:val="both"/>
        <w:rPr>
          <w:rFonts w:ascii="Cambria" w:hAnsi="Cambria" w:cs="Times New Roman"/>
          <w:lang w:val="fr-LU"/>
        </w:rPr>
      </w:pPr>
      <w:r w:rsidRPr="00992A03">
        <w:rPr>
          <w:rStyle w:val="FootnoteReference"/>
          <w:rFonts w:ascii="Cambria" w:hAnsi="Cambria" w:cs="Times New Roman"/>
        </w:rPr>
        <w:footnoteRef/>
      </w:r>
      <w:r w:rsidRPr="00992A03">
        <w:rPr>
          <w:rFonts w:ascii="Cambria" w:hAnsi="Cambria" w:cs="Times New Roman"/>
          <w:lang w:val="fr-LU"/>
        </w:rPr>
        <w:t xml:space="preserve"> </w:t>
      </w:r>
      <w:proofErr w:type="spellStart"/>
      <w:r w:rsidR="00786954" w:rsidRPr="00992A03">
        <w:rPr>
          <w:rFonts w:ascii="Cambria" w:hAnsi="Cambria" w:cs="Times New Roman"/>
          <w:lang w:val="fr-LU"/>
        </w:rPr>
        <w:t>See</w:t>
      </w:r>
      <w:proofErr w:type="spellEnd"/>
      <w:r w:rsidR="00786954" w:rsidRPr="00992A03">
        <w:rPr>
          <w:rFonts w:ascii="Cambria" w:hAnsi="Cambria" w:cs="Times New Roman"/>
          <w:lang w:val="fr-LU"/>
        </w:rPr>
        <w:t xml:space="preserve"> </w:t>
      </w:r>
      <w:proofErr w:type="spellStart"/>
      <w:r w:rsidR="00786954" w:rsidRPr="00992A03">
        <w:rPr>
          <w:rFonts w:ascii="Cambria" w:hAnsi="Cambria" w:cs="Times New Roman"/>
          <w:lang w:val="fr-LU"/>
        </w:rPr>
        <w:t>footnote</w:t>
      </w:r>
      <w:proofErr w:type="spellEnd"/>
      <w:r w:rsidR="00786954" w:rsidRPr="00992A03">
        <w:rPr>
          <w:rFonts w:ascii="Cambria" w:hAnsi="Cambria" w:cs="Times New Roman"/>
          <w:lang w:val="fr-LU"/>
        </w:rPr>
        <w:t xml:space="preserve"> 19</w:t>
      </w:r>
    </w:p>
  </w:footnote>
  <w:footnote w:id="65">
    <w:p w14:paraId="06727487" w14:textId="77777777" w:rsidR="00F2036C" w:rsidRPr="00992A03" w:rsidRDefault="00F2036C" w:rsidP="008553F4">
      <w:pPr>
        <w:pStyle w:val="FootnoteText"/>
        <w:spacing w:line="276" w:lineRule="auto"/>
        <w:jc w:val="both"/>
        <w:rPr>
          <w:rFonts w:ascii="Cambria" w:hAnsi="Cambria" w:cs="Times New Roman"/>
          <w:lang w:val="fr-FR"/>
        </w:rPr>
      </w:pPr>
      <w:r w:rsidRPr="00992A03">
        <w:rPr>
          <w:rStyle w:val="FootnoteReference"/>
          <w:rFonts w:ascii="Cambria" w:hAnsi="Cambria" w:cs="Times New Roman"/>
        </w:rPr>
        <w:footnoteRef/>
      </w:r>
      <w:r w:rsidRPr="00992A03">
        <w:rPr>
          <w:rFonts w:ascii="Cambria" w:hAnsi="Cambria" w:cs="Times New Roman"/>
          <w:lang w:val="fr-LU"/>
        </w:rPr>
        <w:t xml:space="preserve"> </w:t>
      </w:r>
      <w:r w:rsidR="00E40CFC" w:rsidRPr="00992A03">
        <w:rPr>
          <w:rFonts w:ascii="Cambria" w:hAnsi="Cambria" w:cs="Times New Roman"/>
          <w:lang w:val="fr-FR"/>
        </w:rPr>
        <w:t xml:space="preserve">Article 434-9 Code pénal Français ; Article 434-9-1 Code Pénal Français ; </w:t>
      </w:r>
      <w:r w:rsidR="004103EF" w:rsidRPr="00992A03">
        <w:rPr>
          <w:rFonts w:ascii="Cambria" w:hAnsi="Cambria" w:cs="Times New Roman"/>
          <w:lang w:val="fr-FR"/>
        </w:rPr>
        <w:t>Cour de cassation, chambre criminelle, 14 mars 1972, 71-91.077</w:t>
      </w:r>
      <w:r w:rsidR="00673A06" w:rsidRPr="00992A03">
        <w:rPr>
          <w:rFonts w:ascii="Cambria" w:hAnsi="Cambria" w:cs="Times New Roman"/>
          <w:lang w:val="fr-FR"/>
        </w:rPr>
        <w:t> ; Cour de cassation, Chambre criminelle, 30 juin 2004, 03-85019 ; Cour de cassation chambre criminelle, 23 janvier 1919 </w:t>
      </w:r>
    </w:p>
  </w:footnote>
  <w:footnote w:id="66">
    <w:p w14:paraId="6FED0F38" w14:textId="77777777" w:rsidR="00147349" w:rsidRPr="00992A03" w:rsidRDefault="00147349"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proofErr w:type="spellStart"/>
      <w:r w:rsidR="002413D3" w:rsidRPr="00992A03">
        <w:rPr>
          <w:rFonts w:ascii="Cambria" w:hAnsi="Cambria" w:cs="Times New Roman"/>
          <w:i/>
          <w:iCs/>
        </w:rPr>
        <w:t>Gatt</w:t>
      </w:r>
      <w:proofErr w:type="spellEnd"/>
      <w:r w:rsidR="002413D3" w:rsidRPr="00992A03">
        <w:rPr>
          <w:rFonts w:ascii="Cambria" w:hAnsi="Cambria" w:cs="Times New Roman"/>
          <w:i/>
          <w:iCs/>
        </w:rPr>
        <w:t xml:space="preserve"> v Malta, </w:t>
      </w:r>
      <w:r w:rsidR="002413D3" w:rsidRPr="00992A03">
        <w:rPr>
          <w:rFonts w:ascii="Cambria" w:hAnsi="Cambria" w:cs="Times New Roman"/>
        </w:rPr>
        <w:t xml:space="preserve">[2019], </w:t>
      </w:r>
      <w:r w:rsidR="003174A9" w:rsidRPr="00992A03">
        <w:rPr>
          <w:rFonts w:ascii="Cambria" w:hAnsi="Cambria" w:cs="Times New Roman"/>
        </w:rPr>
        <w:t>ECtHR, 46466/16, para 88</w:t>
      </w:r>
      <w:r w:rsidR="00085CD8" w:rsidRPr="00992A03">
        <w:rPr>
          <w:rFonts w:ascii="Cambria" w:hAnsi="Cambria" w:cs="Times New Roman"/>
        </w:rPr>
        <w:t>.</w:t>
      </w:r>
    </w:p>
  </w:footnote>
  <w:footnote w:id="67">
    <w:p w14:paraId="746DCFAD" w14:textId="77777777" w:rsidR="00AE0100" w:rsidRPr="00992A03" w:rsidRDefault="00AE0100"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B53876" w:rsidRPr="00992A03">
        <w:rPr>
          <w:rFonts w:ascii="Cambria" w:hAnsi="Cambria" w:cs="Times New Roman"/>
        </w:rPr>
        <w:t xml:space="preserve">European Parliament and Council, </w:t>
      </w:r>
      <w:r w:rsidR="00B53876" w:rsidRPr="00992A03">
        <w:rPr>
          <w:rFonts w:ascii="Cambria" w:hAnsi="Cambria" w:cs="Times New Roman"/>
          <w:i/>
        </w:rPr>
        <w:t xml:space="preserve">General Data Protection Regulation, </w:t>
      </w:r>
      <w:r w:rsidR="00B53876" w:rsidRPr="00992A03">
        <w:rPr>
          <w:rFonts w:ascii="Cambria" w:hAnsi="Cambria" w:cs="Times New Roman"/>
        </w:rPr>
        <w:t>Regulation (EU) 2016/679 of 27 April 2016, Article 22(</w:t>
      </w:r>
      <w:r w:rsidR="005E488F" w:rsidRPr="00992A03">
        <w:rPr>
          <w:rFonts w:ascii="Cambria" w:hAnsi="Cambria" w:cs="Times New Roman"/>
        </w:rPr>
        <w:t>3</w:t>
      </w:r>
      <w:r w:rsidR="00B53876" w:rsidRPr="00992A03">
        <w:rPr>
          <w:rFonts w:ascii="Cambria" w:hAnsi="Cambria" w:cs="Times New Roman"/>
        </w:rPr>
        <w:t>).</w:t>
      </w:r>
    </w:p>
  </w:footnote>
  <w:footnote w:id="68">
    <w:p w14:paraId="33C51543" w14:textId="77777777" w:rsidR="007001E7" w:rsidRPr="00992A03" w:rsidRDefault="007001E7"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2A3BED" w:rsidRPr="00992A03">
        <w:rPr>
          <w:rFonts w:ascii="Cambria" w:hAnsi="Cambria" w:cs="Times New Roman"/>
          <w:i/>
        </w:rPr>
        <w:t>Loomis v Wisconsin,</w:t>
      </w:r>
      <w:r w:rsidR="002A3BED" w:rsidRPr="00992A03">
        <w:rPr>
          <w:rFonts w:ascii="Cambria" w:hAnsi="Cambria" w:cs="Times New Roman"/>
        </w:rPr>
        <w:t xml:space="preserve"> [2016],</w:t>
      </w:r>
      <w:r w:rsidR="002A3BED" w:rsidRPr="00992A03">
        <w:rPr>
          <w:rFonts w:ascii="Cambria" w:hAnsi="Cambria" w:cs="Times New Roman"/>
          <w:i/>
        </w:rPr>
        <w:t xml:space="preserve"> </w:t>
      </w:r>
      <w:r w:rsidR="002A3BED" w:rsidRPr="00992A03">
        <w:rPr>
          <w:rFonts w:ascii="Cambria" w:hAnsi="Cambria" w:cs="Times New Roman"/>
        </w:rPr>
        <w:t>Wisconsin Supreme Court, N° 16-6387</w:t>
      </w:r>
      <w:r w:rsidR="000C5801" w:rsidRPr="00992A03">
        <w:rPr>
          <w:rFonts w:ascii="Cambria" w:hAnsi="Cambria" w:cs="Times New Roman"/>
        </w:rPr>
        <w:t>.</w:t>
      </w:r>
    </w:p>
  </w:footnote>
  <w:footnote w:id="69">
    <w:p w14:paraId="2ACD7718" w14:textId="77777777" w:rsidR="007001E7" w:rsidRPr="00992A03" w:rsidRDefault="007001E7"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F2428C" w:rsidRPr="00992A03">
        <w:rPr>
          <w:rFonts w:ascii="Cambria" w:hAnsi="Cambria" w:cs="Times New Roman"/>
          <w:i/>
        </w:rPr>
        <w:t xml:space="preserve">Kansas v Walls </w:t>
      </w:r>
      <w:r w:rsidR="00F2428C" w:rsidRPr="00992A03">
        <w:rPr>
          <w:rFonts w:ascii="Cambria" w:hAnsi="Cambria" w:cs="Times New Roman"/>
        </w:rPr>
        <w:t>[2017], Court of Appeal of the State of Kansas, N°116,027.</w:t>
      </w:r>
    </w:p>
  </w:footnote>
  <w:footnote w:id="70">
    <w:p w14:paraId="275E9FB3" w14:textId="77777777" w:rsidR="00414407" w:rsidRPr="00992A03" w:rsidRDefault="00414407"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European Parliament and Council, </w:t>
      </w:r>
      <w:r w:rsidRPr="00992A03">
        <w:rPr>
          <w:rFonts w:ascii="Cambria" w:hAnsi="Cambria" w:cs="Times New Roman"/>
          <w:i/>
        </w:rPr>
        <w:t xml:space="preserve">General Data Protection Regulation, </w:t>
      </w:r>
      <w:r w:rsidRPr="00992A03">
        <w:rPr>
          <w:rFonts w:ascii="Cambria" w:hAnsi="Cambria" w:cs="Times New Roman"/>
        </w:rPr>
        <w:t>Regulation (EU) 2016/679 of 27 April 2016, Article 22.</w:t>
      </w:r>
    </w:p>
  </w:footnote>
  <w:footnote w:id="71">
    <w:p w14:paraId="7421508B" w14:textId="77777777" w:rsidR="00BD3459" w:rsidRPr="00992A03" w:rsidRDefault="00BD3459" w:rsidP="008553F4">
      <w:pPr>
        <w:pStyle w:val="FootnoteText"/>
        <w:spacing w:line="276" w:lineRule="auto"/>
        <w:jc w:val="both"/>
        <w:rPr>
          <w:rFonts w:ascii="Cambria" w:hAnsi="Cambria" w:cs="Times New Roman"/>
        </w:rPr>
      </w:pPr>
      <w:r w:rsidRPr="00992A03">
        <w:rPr>
          <w:rStyle w:val="FootnoteReference"/>
          <w:rFonts w:ascii="Cambria" w:hAnsi="Cambria" w:cs="Times New Roman"/>
        </w:rPr>
        <w:footnoteRef/>
      </w:r>
      <w:r w:rsidRPr="00992A03">
        <w:rPr>
          <w:rFonts w:ascii="Cambria" w:hAnsi="Cambria" w:cs="Times New Roman"/>
        </w:rPr>
        <w:t xml:space="preserve"> </w:t>
      </w:r>
      <w:r w:rsidR="00A4296A" w:rsidRPr="00992A03">
        <w:rPr>
          <w:rFonts w:ascii="Cambria" w:hAnsi="Cambria" w:cs="Times New Roman"/>
        </w:rPr>
        <w:t xml:space="preserve">The European Parliament and the Council of the European Union, </w:t>
      </w:r>
      <w:r w:rsidR="00A4296A" w:rsidRPr="00992A03">
        <w:rPr>
          <w:rFonts w:ascii="Cambria" w:hAnsi="Cambria" w:cs="Times New Roman"/>
          <w:i/>
        </w:rPr>
        <w:t xml:space="preserve">Draft Regulation on a European approach for Artificial Intelligence, </w:t>
      </w:r>
      <w:r w:rsidR="00A4296A" w:rsidRPr="00992A03">
        <w:rPr>
          <w:rFonts w:ascii="Cambria" w:hAnsi="Cambria" w:cs="Times New Roman"/>
        </w:rPr>
        <w:t>published on 21</w:t>
      </w:r>
      <w:r w:rsidR="00A4296A" w:rsidRPr="00992A03">
        <w:rPr>
          <w:rFonts w:ascii="Cambria" w:hAnsi="Cambria" w:cs="Times New Roman"/>
          <w:vertAlign w:val="superscript"/>
        </w:rPr>
        <w:t>st</w:t>
      </w:r>
      <w:r w:rsidR="00A4296A" w:rsidRPr="00992A03">
        <w:rPr>
          <w:rFonts w:ascii="Cambria" w:hAnsi="Cambria" w:cs="Times New Roman"/>
        </w:rPr>
        <w:t xml:space="preserve"> April 2021, Recital 40.</w:t>
      </w:r>
    </w:p>
  </w:footnote>
  <w:footnote w:id="72">
    <w:p w14:paraId="3D1BDF61" w14:textId="77777777" w:rsidR="00BD3459" w:rsidRPr="00992A03" w:rsidRDefault="00BD3459" w:rsidP="008553F4">
      <w:pPr>
        <w:pStyle w:val="FootnoteText"/>
        <w:spacing w:line="276" w:lineRule="auto"/>
        <w:jc w:val="both"/>
        <w:rPr>
          <w:rFonts w:ascii="Cambria" w:hAnsi="Cambria" w:cs="Times New Roman"/>
          <w:lang w:val="fr-LU"/>
        </w:rPr>
      </w:pPr>
      <w:r w:rsidRPr="00992A03">
        <w:rPr>
          <w:rStyle w:val="FootnoteReference"/>
          <w:rFonts w:ascii="Cambria" w:hAnsi="Cambria" w:cs="Times New Roman"/>
        </w:rPr>
        <w:footnoteRef/>
      </w:r>
      <w:r w:rsidRPr="00992A03">
        <w:rPr>
          <w:rFonts w:ascii="Cambria" w:hAnsi="Cambria" w:cs="Times New Roman"/>
          <w:lang w:val="fr-LU"/>
        </w:rPr>
        <w:t xml:space="preserve"> </w:t>
      </w:r>
      <w:r w:rsidR="0025665A" w:rsidRPr="00992A03">
        <w:rPr>
          <w:rFonts w:ascii="Cambria" w:hAnsi="Cambria" w:cs="Times New Roman"/>
          <w:lang w:val="fr-FR"/>
        </w:rPr>
        <w:t>Cour de cassation, 2</w:t>
      </w:r>
      <w:r w:rsidR="0025665A" w:rsidRPr="00992A03">
        <w:rPr>
          <w:rFonts w:ascii="Cambria" w:hAnsi="Cambria" w:cs="Times New Roman"/>
          <w:vertAlign w:val="superscript"/>
          <w:lang w:val="fr-FR"/>
        </w:rPr>
        <w:t>ème</w:t>
      </w:r>
      <w:r w:rsidR="0025665A" w:rsidRPr="00992A03">
        <w:rPr>
          <w:rFonts w:ascii="Cambria" w:hAnsi="Cambria" w:cs="Times New Roman"/>
          <w:lang w:val="fr-FR"/>
        </w:rPr>
        <w:t xml:space="preserve"> chambre civile, arrêt du 13 avril 2008, n° 07-16824 ; Cour de cassation, 2</w:t>
      </w:r>
      <w:r w:rsidR="0025665A" w:rsidRPr="00992A03">
        <w:rPr>
          <w:rFonts w:ascii="Cambria" w:hAnsi="Cambria" w:cs="Times New Roman"/>
          <w:vertAlign w:val="superscript"/>
          <w:lang w:val="fr-FR"/>
        </w:rPr>
        <w:t>ème</w:t>
      </w:r>
      <w:r w:rsidR="0025665A" w:rsidRPr="00992A03">
        <w:rPr>
          <w:rFonts w:ascii="Cambria" w:hAnsi="Cambria" w:cs="Times New Roman"/>
          <w:lang w:val="fr-FR"/>
        </w:rPr>
        <w:t xml:space="preserve"> chambre civile, arrêt du 8 septembre 2011, n° 19919 ; Cour de cassation, 2</w:t>
      </w:r>
      <w:r w:rsidR="0025665A" w:rsidRPr="00992A03">
        <w:rPr>
          <w:rFonts w:ascii="Cambria" w:hAnsi="Cambria" w:cs="Times New Roman"/>
          <w:vertAlign w:val="superscript"/>
          <w:lang w:val="fr-FR"/>
        </w:rPr>
        <w:t>ème</w:t>
      </w:r>
      <w:r w:rsidR="0025665A" w:rsidRPr="00992A03">
        <w:rPr>
          <w:rFonts w:ascii="Cambria" w:hAnsi="Cambria" w:cs="Times New Roman"/>
          <w:lang w:val="fr-FR"/>
        </w:rPr>
        <w:t xml:space="preserve"> chambre civile arrêt du 7 septembre 2017, n°16-15531.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BD1"/>
    <w:multiLevelType w:val="hybridMultilevel"/>
    <w:tmpl w:val="BE0ED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03520"/>
    <w:multiLevelType w:val="hybridMultilevel"/>
    <w:tmpl w:val="80EEB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17C29"/>
    <w:multiLevelType w:val="hybridMultilevel"/>
    <w:tmpl w:val="7D2A5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B7CF4"/>
    <w:multiLevelType w:val="hybridMultilevel"/>
    <w:tmpl w:val="F9E8BEBE"/>
    <w:lvl w:ilvl="0" w:tplc="52A052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625EB"/>
    <w:multiLevelType w:val="hybridMultilevel"/>
    <w:tmpl w:val="43988856"/>
    <w:lvl w:ilvl="0" w:tplc="CA12C5A8">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365E4"/>
    <w:multiLevelType w:val="hybridMultilevel"/>
    <w:tmpl w:val="6032BE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113302"/>
    <w:multiLevelType w:val="hybridMultilevel"/>
    <w:tmpl w:val="5E4873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007D48"/>
    <w:multiLevelType w:val="hybridMultilevel"/>
    <w:tmpl w:val="7EC613A0"/>
    <w:lvl w:ilvl="0" w:tplc="22161F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F0FA0"/>
    <w:multiLevelType w:val="hybridMultilevel"/>
    <w:tmpl w:val="D994900C"/>
    <w:lvl w:ilvl="0" w:tplc="6D76B7E2">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B10DA"/>
    <w:multiLevelType w:val="hybridMultilevel"/>
    <w:tmpl w:val="E0C81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1E5C44"/>
    <w:multiLevelType w:val="hybridMultilevel"/>
    <w:tmpl w:val="C088C3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6A42B42"/>
    <w:multiLevelType w:val="hybridMultilevel"/>
    <w:tmpl w:val="820EBB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0171395"/>
    <w:multiLevelType w:val="hybridMultilevel"/>
    <w:tmpl w:val="2B223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4508A2"/>
    <w:multiLevelType w:val="hybridMultilevel"/>
    <w:tmpl w:val="D9E02062"/>
    <w:lvl w:ilvl="0" w:tplc="A8E49CB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BBE06BD"/>
    <w:multiLevelType w:val="hybridMultilevel"/>
    <w:tmpl w:val="3EB4E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0"/>
  </w:num>
  <w:num w:numId="4">
    <w:abstractNumId w:val="1"/>
  </w:num>
  <w:num w:numId="5">
    <w:abstractNumId w:val="12"/>
  </w:num>
  <w:num w:numId="6">
    <w:abstractNumId w:val="2"/>
  </w:num>
  <w:num w:numId="7">
    <w:abstractNumId w:val="8"/>
  </w:num>
  <w:num w:numId="8">
    <w:abstractNumId w:val="3"/>
  </w:num>
  <w:num w:numId="9">
    <w:abstractNumId w:val="13"/>
  </w:num>
  <w:num w:numId="10">
    <w:abstractNumId w:val="11"/>
  </w:num>
  <w:num w:numId="11">
    <w:abstractNumId w:val="14"/>
  </w:num>
  <w:num w:numId="12">
    <w:abstractNumId w:val="10"/>
  </w:num>
  <w:num w:numId="13">
    <w:abstractNumId w:val="5"/>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B8"/>
    <w:rsid w:val="00001ACD"/>
    <w:rsid w:val="00002581"/>
    <w:rsid w:val="00005559"/>
    <w:rsid w:val="00007D3D"/>
    <w:rsid w:val="000109A4"/>
    <w:rsid w:val="000110D8"/>
    <w:rsid w:val="00014D3D"/>
    <w:rsid w:val="00015FBB"/>
    <w:rsid w:val="0001623E"/>
    <w:rsid w:val="00020F2F"/>
    <w:rsid w:val="00021FFB"/>
    <w:rsid w:val="00022DA2"/>
    <w:rsid w:val="00023CD3"/>
    <w:rsid w:val="0003106F"/>
    <w:rsid w:val="00031BC4"/>
    <w:rsid w:val="00031E66"/>
    <w:rsid w:val="000351EE"/>
    <w:rsid w:val="00040940"/>
    <w:rsid w:val="00041CF3"/>
    <w:rsid w:val="000433FB"/>
    <w:rsid w:val="000434AB"/>
    <w:rsid w:val="00043B5C"/>
    <w:rsid w:val="0004639D"/>
    <w:rsid w:val="00050381"/>
    <w:rsid w:val="0005214E"/>
    <w:rsid w:val="00053182"/>
    <w:rsid w:val="000543D6"/>
    <w:rsid w:val="00054AE9"/>
    <w:rsid w:val="0005633E"/>
    <w:rsid w:val="000569E5"/>
    <w:rsid w:val="00067BF7"/>
    <w:rsid w:val="000704E8"/>
    <w:rsid w:val="00072BB2"/>
    <w:rsid w:val="00072C79"/>
    <w:rsid w:val="000733B4"/>
    <w:rsid w:val="0007699A"/>
    <w:rsid w:val="000812E8"/>
    <w:rsid w:val="0008137D"/>
    <w:rsid w:val="0008163A"/>
    <w:rsid w:val="00081D34"/>
    <w:rsid w:val="0008278C"/>
    <w:rsid w:val="0008292B"/>
    <w:rsid w:val="00085CD8"/>
    <w:rsid w:val="0008687F"/>
    <w:rsid w:val="00086968"/>
    <w:rsid w:val="00094143"/>
    <w:rsid w:val="000947F7"/>
    <w:rsid w:val="0009727D"/>
    <w:rsid w:val="000A2047"/>
    <w:rsid w:val="000A30BA"/>
    <w:rsid w:val="000A70A4"/>
    <w:rsid w:val="000A76D2"/>
    <w:rsid w:val="000A79BE"/>
    <w:rsid w:val="000B200D"/>
    <w:rsid w:val="000B260C"/>
    <w:rsid w:val="000B4171"/>
    <w:rsid w:val="000B4827"/>
    <w:rsid w:val="000B5D85"/>
    <w:rsid w:val="000B7A7F"/>
    <w:rsid w:val="000C06EE"/>
    <w:rsid w:val="000C1103"/>
    <w:rsid w:val="000C29FA"/>
    <w:rsid w:val="000C3E43"/>
    <w:rsid w:val="000C4959"/>
    <w:rsid w:val="000C4C60"/>
    <w:rsid w:val="000C5801"/>
    <w:rsid w:val="000C5E81"/>
    <w:rsid w:val="000C6016"/>
    <w:rsid w:val="000C6446"/>
    <w:rsid w:val="000D2203"/>
    <w:rsid w:val="000D4B21"/>
    <w:rsid w:val="000D4EAF"/>
    <w:rsid w:val="000D557F"/>
    <w:rsid w:val="000E0FB5"/>
    <w:rsid w:val="000E1462"/>
    <w:rsid w:val="000E4FBC"/>
    <w:rsid w:val="000F0B32"/>
    <w:rsid w:val="000F4CEA"/>
    <w:rsid w:val="000F73D5"/>
    <w:rsid w:val="000F7EF7"/>
    <w:rsid w:val="001016FE"/>
    <w:rsid w:val="0010172C"/>
    <w:rsid w:val="001030AD"/>
    <w:rsid w:val="00104B8D"/>
    <w:rsid w:val="00110369"/>
    <w:rsid w:val="001111DC"/>
    <w:rsid w:val="00112E14"/>
    <w:rsid w:val="001135EC"/>
    <w:rsid w:val="00113E60"/>
    <w:rsid w:val="001175DA"/>
    <w:rsid w:val="001254B9"/>
    <w:rsid w:val="00125A81"/>
    <w:rsid w:val="00126162"/>
    <w:rsid w:val="001328BA"/>
    <w:rsid w:val="00132B7E"/>
    <w:rsid w:val="00134848"/>
    <w:rsid w:val="0013560C"/>
    <w:rsid w:val="00140CF8"/>
    <w:rsid w:val="0014133F"/>
    <w:rsid w:val="00143080"/>
    <w:rsid w:val="0014418D"/>
    <w:rsid w:val="001463C1"/>
    <w:rsid w:val="00147349"/>
    <w:rsid w:val="001505F9"/>
    <w:rsid w:val="00157940"/>
    <w:rsid w:val="001605B7"/>
    <w:rsid w:val="00160E8B"/>
    <w:rsid w:val="00161294"/>
    <w:rsid w:val="0016307F"/>
    <w:rsid w:val="00163B1A"/>
    <w:rsid w:val="001648C5"/>
    <w:rsid w:val="00164F3E"/>
    <w:rsid w:val="0016618E"/>
    <w:rsid w:val="00166DCC"/>
    <w:rsid w:val="0016733E"/>
    <w:rsid w:val="001736C5"/>
    <w:rsid w:val="00173899"/>
    <w:rsid w:val="00173C95"/>
    <w:rsid w:val="00174CED"/>
    <w:rsid w:val="001750F8"/>
    <w:rsid w:val="0017538D"/>
    <w:rsid w:val="00177574"/>
    <w:rsid w:val="00180031"/>
    <w:rsid w:val="00181BAC"/>
    <w:rsid w:val="00181D9B"/>
    <w:rsid w:val="00185286"/>
    <w:rsid w:val="00185808"/>
    <w:rsid w:val="001869CF"/>
    <w:rsid w:val="00186F54"/>
    <w:rsid w:val="00190C71"/>
    <w:rsid w:val="0019141F"/>
    <w:rsid w:val="001918A4"/>
    <w:rsid w:val="00191C42"/>
    <w:rsid w:val="00194A67"/>
    <w:rsid w:val="00194D99"/>
    <w:rsid w:val="001A15E3"/>
    <w:rsid w:val="001A2114"/>
    <w:rsid w:val="001A3CBE"/>
    <w:rsid w:val="001A3D19"/>
    <w:rsid w:val="001A4354"/>
    <w:rsid w:val="001A6FBC"/>
    <w:rsid w:val="001A785C"/>
    <w:rsid w:val="001A7DA6"/>
    <w:rsid w:val="001B087D"/>
    <w:rsid w:val="001B2E9A"/>
    <w:rsid w:val="001B2FF6"/>
    <w:rsid w:val="001B5389"/>
    <w:rsid w:val="001C1BD9"/>
    <w:rsid w:val="001C203C"/>
    <w:rsid w:val="001C50CE"/>
    <w:rsid w:val="001C6DAA"/>
    <w:rsid w:val="001C796B"/>
    <w:rsid w:val="001C7F1E"/>
    <w:rsid w:val="001D14FB"/>
    <w:rsid w:val="001D311C"/>
    <w:rsid w:val="001D6F1D"/>
    <w:rsid w:val="001E023B"/>
    <w:rsid w:val="001E306B"/>
    <w:rsid w:val="001E4000"/>
    <w:rsid w:val="001E64BE"/>
    <w:rsid w:val="001E75D1"/>
    <w:rsid w:val="001E78C3"/>
    <w:rsid w:val="001F00A3"/>
    <w:rsid w:val="001F05B4"/>
    <w:rsid w:val="001F5ECF"/>
    <w:rsid w:val="0020445C"/>
    <w:rsid w:val="00206C1B"/>
    <w:rsid w:val="002107E6"/>
    <w:rsid w:val="00210C8D"/>
    <w:rsid w:val="0021197D"/>
    <w:rsid w:val="00211C72"/>
    <w:rsid w:val="00211E25"/>
    <w:rsid w:val="00212023"/>
    <w:rsid w:val="00217E5D"/>
    <w:rsid w:val="00222C59"/>
    <w:rsid w:val="00223040"/>
    <w:rsid w:val="00224C77"/>
    <w:rsid w:val="00224DA7"/>
    <w:rsid w:val="00225CB0"/>
    <w:rsid w:val="00226234"/>
    <w:rsid w:val="00226CB1"/>
    <w:rsid w:val="002300FE"/>
    <w:rsid w:val="002316DF"/>
    <w:rsid w:val="0023179E"/>
    <w:rsid w:val="002324BC"/>
    <w:rsid w:val="0024075E"/>
    <w:rsid w:val="00240813"/>
    <w:rsid w:val="002413D3"/>
    <w:rsid w:val="00241549"/>
    <w:rsid w:val="00241959"/>
    <w:rsid w:val="00241D79"/>
    <w:rsid w:val="00242855"/>
    <w:rsid w:val="00245E03"/>
    <w:rsid w:val="00247333"/>
    <w:rsid w:val="0025298E"/>
    <w:rsid w:val="00253BF4"/>
    <w:rsid w:val="00255A44"/>
    <w:rsid w:val="0025665A"/>
    <w:rsid w:val="002621E4"/>
    <w:rsid w:val="00262209"/>
    <w:rsid w:val="0026793C"/>
    <w:rsid w:val="0027020D"/>
    <w:rsid w:val="002713BE"/>
    <w:rsid w:val="002724ED"/>
    <w:rsid w:val="002732FA"/>
    <w:rsid w:val="00273AFC"/>
    <w:rsid w:val="002741DE"/>
    <w:rsid w:val="00274693"/>
    <w:rsid w:val="0027501C"/>
    <w:rsid w:val="002776C2"/>
    <w:rsid w:val="00282AB4"/>
    <w:rsid w:val="0028777A"/>
    <w:rsid w:val="0029263F"/>
    <w:rsid w:val="00293256"/>
    <w:rsid w:val="00295022"/>
    <w:rsid w:val="002956F5"/>
    <w:rsid w:val="002A0748"/>
    <w:rsid w:val="002A0EE7"/>
    <w:rsid w:val="002A3BED"/>
    <w:rsid w:val="002A65FA"/>
    <w:rsid w:val="002A680C"/>
    <w:rsid w:val="002A7574"/>
    <w:rsid w:val="002B00E1"/>
    <w:rsid w:val="002B778B"/>
    <w:rsid w:val="002C0B81"/>
    <w:rsid w:val="002C1CEE"/>
    <w:rsid w:val="002C302D"/>
    <w:rsid w:val="002C3E8F"/>
    <w:rsid w:val="002C4B3B"/>
    <w:rsid w:val="002C56B1"/>
    <w:rsid w:val="002C6DAE"/>
    <w:rsid w:val="002C6E25"/>
    <w:rsid w:val="002D12B5"/>
    <w:rsid w:val="002D24AC"/>
    <w:rsid w:val="002D2ECB"/>
    <w:rsid w:val="002D3919"/>
    <w:rsid w:val="002D3E51"/>
    <w:rsid w:val="002D433D"/>
    <w:rsid w:val="002D4C4F"/>
    <w:rsid w:val="002D582C"/>
    <w:rsid w:val="002E146E"/>
    <w:rsid w:val="002E1EC9"/>
    <w:rsid w:val="002E46A8"/>
    <w:rsid w:val="002E4B1E"/>
    <w:rsid w:val="002E6AA7"/>
    <w:rsid w:val="002F042D"/>
    <w:rsid w:val="002F1B45"/>
    <w:rsid w:val="002F2295"/>
    <w:rsid w:val="002F346B"/>
    <w:rsid w:val="002F6719"/>
    <w:rsid w:val="002F7D21"/>
    <w:rsid w:val="00300DC3"/>
    <w:rsid w:val="00302EBB"/>
    <w:rsid w:val="0030319C"/>
    <w:rsid w:val="003046CA"/>
    <w:rsid w:val="00304D79"/>
    <w:rsid w:val="00304DDE"/>
    <w:rsid w:val="00306393"/>
    <w:rsid w:val="00307C84"/>
    <w:rsid w:val="00312D75"/>
    <w:rsid w:val="003174A9"/>
    <w:rsid w:val="0031764C"/>
    <w:rsid w:val="003268D4"/>
    <w:rsid w:val="00332EF8"/>
    <w:rsid w:val="00334CB0"/>
    <w:rsid w:val="0033747C"/>
    <w:rsid w:val="00337686"/>
    <w:rsid w:val="00341575"/>
    <w:rsid w:val="00341ABD"/>
    <w:rsid w:val="00342C71"/>
    <w:rsid w:val="003438D8"/>
    <w:rsid w:val="0034531A"/>
    <w:rsid w:val="00345B2A"/>
    <w:rsid w:val="00353049"/>
    <w:rsid w:val="003540E7"/>
    <w:rsid w:val="00354813"/>
    <w:rsid w:val="003564A7"/>
    <w:rsid w:val="00360576"/>
    <w:rsid w:val="00363609"/>
    <w:rsid w:val="0036625B"/>
    <w:rsid w:val="00367A7C"/>
    <w:rsid w:val="0038027F"/>
    <w:rsid w:val="00380AD7"/>
    <w:rsid w:val="003837C1"/>
    <w:rsid w:val="00384678"/>
    <w:rsid w:val="003858F8"/>
    <w:rsid w:val="00387833"/>
    <w:rsid w:val="00390162"/>
    <w:rsid w:val="00390D4A"/>
    <w:rsid w:val="0039161E"/>
    <w:rsid w:val="003917E9"/>
    <w:rsid w:val="00391EC0"/>
    <w:rsid w:val="00392CCC"/>
    <w:rsid w:val="003A0483"/>
    <w:rsid w:val="003A09F1"/>
    <w:rsid w:val="003A4A24"/>
    <w:rsid w:val="003A73F8"/>
    <w:rsid w:val="003A7E28"/>
    <w:rsid w:val="003A7E86"/>
    <w:rsid w:val="003B0553"/>
    <w:rsid w:val="003B5E3C"/>
    <w:rsid w:val="003B6451"/>
    <w:rsid w:val="003B77CE"/>
    <w:rsid w:val="003C01A7"/>
    <w:rsid w:val="003C0715"/>
    <w:rsid w:val="003C2010"/>
    <w:rsid w:val="003D2336"/>
    <w:rsid w:val="003D2781"/>
    <w:rsid w:val="003D5338"/>
    <w:rsid w:val="003E3013"/>
    <w:rsid w:val="003E51A4"/>
    <w:rsid w:val="003E5EAB"/>
    <w:rsid w:val="003E6227"/>
    <w:rsid w:val="003E7A22"/>
    <w:rsid w:val="003F16CA"/>
    <w:rsid w:val="003F17C2"/>
    <w:rsid w:val="003F20C8"/>
    <w:rsid w:val="003F558E"/>
    <w:rsid w:val="004007EC"/>
    <w:rsid w:val="00400C6F"/>
    <w:rsid w:val="00400CED"/>
    <w:rsid w:val="004027FA"/>
    <w:rsid w:val="004055ED"/>
    <w:rsid w:val="0040642A"/>
    <w:rsid w:val="00406F23"/>
    <w:rsid w:val="00407892"/>
    <w:rsid w:val="004103EF"/>
    <w:rsid w:val="00412DDC"/>
    <w:rsid w:val="00414407"/>
    <w:rsid w:val="0042206A"/>
    <w:rsid w:val="00430895"/>
    <w:rsid w:val="0043170C"/>
    <w:rsid w:val="00431770"/>
    <w:rsid w:val="00432556"/>
    <w:rsid w:val="00433733"/>
    <w:rsid w:val="00435E92"/>
    <w:rsid w:val="0044391C"/>
    <w:rsid w:val="00444472"/>
    <w:rsid w:val="00445643"/>
    <w:rsid w:val="0044570F"/>
    <w:rsid w:val="004457EC"/>
    <w:rsid w:val="00445A92"/>
    <w:rsid w:val="00450614"/>
    <w:rsid w:val="004512C9"/>
    <w:rsid w:val="004514FE"/>
    <w:rsid w:val="0045371F"/>
    <w:rsid w:val="004538D8"/>
    <w:rsid w:val="00454435"/>
    <w:rsid w:val="00454EF5"/>
    <w:rsid w:val="00454F33"/>
    <w:rsid w:val="00456C09"/>
    <w:rsid w:val="00460624"/>
    <w:rsid w:val="0046497E"/>
    <w:rsid w:val="0046769D"/>
    <w:rsid w:val="00470C1E"/>
    <w:rsid w:val="00472D3E"/>
    <w:rsid w:val="004768BB"/>
    <w:rsid w:val="00482098"/>
    <w:rsid w:val="00486F46"/>
    <w:rsid w:val="004878BD"/>
    <w:rsid w:val="00487BEA"/>
    <w:rsid w:val="00490157"/>
    <w:rsid w:val="00491C7B"/>
    <w:rsid w:val="00493892"/>
    <w:rsid w:val="004945DE"/>
    <w:rsid w:val="004A00A4"/>
    <w:rsid w:val="004A0E34"/>
    <w:rsid w:val="004A557B"/>
    <w:rsid w:val="004B2514"/>
    <w:rsid w:val="004B2C88"/>
    <w:rsid w:val="004B2DE5"/>
    <w:rsid w:val="004B4314"/>
    <w:rsid w:val="004B4D83"/>
    <w:rsid w:val="004C497F"/>
    <w:rsid w:val="004C510B"/>
    <w:rsid w:val="004C59A7"/>
    <w:rsid w:val="004C5FF4"/>
    <w:rsid w:val="004C629A"/>
    <w:rsid w:val="004C72B0"/>
    <w:rsid w:val="004D096E"/>
    <w:rsid w:val="004D1B68"/>
    <w:rsid w:val="004D1D62"/>
    <w:rsid w:val="004D78A5"/>
    <w:rsid w:val="004E04AC"/>
    <w:rsid w:val="004E0C17"/>
    <w:rsid w:val="004E1312"/>
    <w:rsid w:val="004E1ADF"/>
    <w:rsid w:val="004E2B9E"/>
    <w:rsid w:val="004E48DE"/>
    <w:rsid w:val="004E4E48"/>
    <w:rsid w:val="004E59C1"/>
    <w:rsid w:val="004E7279"/>
    <w:rsid w:val="004F2850"/>
    <w:rsid w:val="004F4E8D"/>
    <w:rsid w:val="004F4F43"/>
    <w:rsid w:val="004F78A4"/>
    <w:rsid w:val="00504841"/>
    <w:rsid w:val="00504C12"/>
    <w:rsid w:val="00514CCE"/>
    <w:rsid w:val="00515A08"/>
    <w:rsid w:val="00515C89"/>
    <w:rsid w:val="00515F2B"/>
    <w:rsid w:val="00516E74"/>
    <w:rsid w:val="00522CD8"/>
    <w:rsid w:val="00522FC6"/>
    <w:rsid w:val="00525BB7"/>
    <w:rsid w:val="0052723B"/>
    <w:rsid w:val="00527FF1"/>
    <w:rsid w:val="00531C89"/>
    <w:rsid w:val="00532348"/>
    <w:rsid w:val="00542DD0"/>
    <w:rsid w:val="00562A1F"/>
    <w:rsid w:val="005639E4"/>
    <w:rsid w:val="005646B4"/>
    <w:rsid w:val="00564F64"/>
    <w:rsid w:val="005652B1"/>
    <w:rsid w:val="00570236"/>
    <w:rsid w:val="00572E31"/>
    <w:rsid w:val="005742E1"/>
    <w:rsid w:val="00575392"/>
    <w:rsid w:val="0058031E"/>
    <w:rsid w:val="0058099E"/>
    <w:rsid w:val="00580E81"/>
    <w:rsid w:val="0058213D"/>
    <w:rsid w:val="005858E3"/>
    <w:rsid w:val="005858EC"/>
    <w:rsid w:val="0058636D"/>
    <w:rsid w:val="00586CA5"/>
    <w:rsid w:val="005906A8"/>
    <w:rsid w:val="00590F16"/>
    <w:rsid w:val="0059177F"/>
    <w:rsid w:val="00591F6B"/>
    <w:rsid w:val="00593A19"/>
    <w:rsid w:val="00595595"/>
    <w:rsid w:val="00597897"/>
    <w:rsid w:val="005A3201"/>
    <w:rsid w:val="005A33AB"/>
    <w:rsid w:val="005A398D"/>
    <w:rsid w:val="005A60A2"/>
    <w:rsid w:val="005A6C1E"/>
    <w:rsid w:val="005B161A"/>
    <w:rsid w:val="005B2364"/>
    <w:rsid w:val="005B34E2"/>
    <w:rsid w:val="005B3D6B"/>
    <w:rsid w:val="005B4087"/>
    <w:rsid w:val="005B4491"/>
    <w:rsid w:val="005B4496"/>
    <w:rsid w:val="005B45F5"/>
    <w:rsid w:val="005B4745"/>
    <w:rsid w:val="005C1F37"/>
    <w:rsid w:val="005C2EE5"/>
    <w:rsid w:val="005C47D0"/>
    <w:rsid w:val="005C4991"/>
    <w:rsid w:val="005C50F1"/>
    <w:rsid w:val="005C7440"/>
    <w:rsid w:val="005C76FA"/>
    <w:rsid w:val="005C79E5"/>
    <w:rsid w:val="005C7E2B"/>
    <w:rsid w:val="005D0837"/>
    <w:rsid w:val="005D1E3B"/>
    <w:rsid w:val="005D3810"/>
    <w:rsid w:val="005D41A6"/>
    <w:rsid w:val="005D4388"/>
    <w:rsid w:val="005D4390"/>
    <w:rsid w:val="005D7B1D"/>
    <w:rsid w:val="005E0A28"/>
    <w:rsid w:val="005E488F"/>
    <w:rsid w:val="005F376F"/>
    <w:rsid w:val="005F59FB"/>
    <w:rsid w:val="006031F8"/>
    <w:rsid w:val="00603A72"/>
    <w:rsid w:val="006045AD"/>
    <w:rsid w:val="00604A0C"/>
    <w:rsid w:val="00605E35"/>
    <w:rsid w:val="00607372"/>
    <w:rsid w:val="00607EE6"/>
    <w:rsid w:val="00612267"/>
    <w:rsid w:val="00614A12"/>
    <w:rsid w:val="00616E65"/>
    <w:rsid w:val="0062111D"/>
    <w:rsid w:val="0062200B"/>
    <w:rsid w:val="00622B6D"/>
    <w:rsid w:val="00623ABE"/>
    <w:rsid w:val="00625C99"/>
    <w:rsid w:val="006265B1"/>
    <w:rsid w:val="00627347"/>
    <w:rsid w:val="0063275A"/>
    <w:rsid w:val="0063410A"/>
    <w:rsid w:val="0063493F"/>
    <w:rsid w:val="00635060"/>
    <w:rsid w:val="006359A7"/>
    <w:rsid w:val="006362A0"/>
    <w:rsid w:val="006427C3"/>
    <w:rsid w:val="00643564"/>
    <w:rsid w:val="00644EA2"/>
    <w:rsid w:val="0064784B"/>
    <w:rsid w:val="00652A58"/>
    <w:rsid w:val="0065662E"/>
    <w:rsid w:val="00657CA1"/>
    <w:rsid w:val="006605DA"/>
    <w:rsid w:val="00660644"/>
    <w:rsid w:val="006606A8"/>
    <w:rsid w:val="00661711"/>
    <w:rsid w:val="00661BE3"/>
    <w:rsid w:val="00661C19"/>
    <w:rsid w:val="0066303C"/>
    <w:rsid w:val="00666406"/>
    <w:rsid w:val="00666590"/>
    <w:rsid w:val="00666C87"/>
    <w:rsid w:val="0066744E"/>
    <w:rsid w:val="00670726"/>
    <w:rsid w:val="00670F97"/>
    <w:rsid w:val="0067229B"/>
    <w:rsid w:val="00672B25"/>
    <w:rsid w:val="0067336E"/>
    <w:rsid w:val="00673A06"/>
    <w:rsid w:val="0067436A"/>
    <w:rsid w:val="00676A2E"/>
    <w:rsid w:val="00680773"/>
    <w:rsid w:val="00682746"/>
    <w:rsid w:val="006828B9"/>
    <w:rsid w:val="00683AEC"/>
    <w:rsid w:val="006841A4"/>
    <w:rsid w:val="00684481"/>
    <w:rsid w:val="00686FBF"/>
    <w:rsid w:val="00687F17"/>
    <w:rsid w:val="00695FD5"/>
    <w:rsid w:val="00696E1E"/>
    <w:rsid w:val="00697551"/>
    <w:rsid w:val="00697772"/>
    <w:rsid w:val="00697A1D"/>
    <w:rsid w:val="006A06D7"/>
    <w:rsid w:val="006A155A"/>
    <w:rsid w:val="006A1611"/>
    <w:rsid w:val="006A3749"/>
    <w:rsid w:val="006A7457"/>
    <w:rsid w:val="006B316C"/>
    <w:rsid w:val="006B35CA"/>
    <w:rsid w:val="006B4F1F"/>
    <w:rsid w:val="006B6B28"/>
    <w:rsid w:val="006C0F4C"/>
    <w:rsid w:val="006C19E3"/>
    <w:rsid w:val="006C22E3"/>
    <w:rsid w:val="006C43F4"/>
    <w:rsid w:val="006C55F5"/>
    <w:rsid w:val="006C659D"/>
    <w:rsid w:val="006D0044"/>
    <w:rsid w:val="006D0A30"/>
    <w:rsid w:val="006D0E4B"/>
    <w:rsid w:val="006D4D60"/>
    <w:rsid w:val="006D6DC5"/>
    <w:rsid w:val="006D7D35"/>
    <w:rsid w:val="006E0E9A"/>
    <w:rsid w:val="006F13CD"/>
    <w:rsid w:val="006F6575"/>
    <w:rsid w:val="006F6D81"/>
    <w:rsid w:val="007001E7"/>
    <w:rsid w:val="007009D8"/>
    <w:rsid w:val="007037E2"/>
    <w:rsid w:val="007077CD"/>
    <w:rsid w:val="00711B21"/>
    <w:rsid w:val="00714471"/>
    <w:rsid w:val="00715F98"/>
    <w:rsid w:val="00716D20"/>
    <w:rsid w:val="00716F05"/>
    <w:rsid w:val="00720F70"/>
    <w:rsid w:val="00725566"/>
    <w:rsid w:val="00727550"/>
    <w:rsid w:val="007316D0"/>
    <w:rsid w:val="0073297D"/>
    <w:rsid w:val="007347A1"/>
    <w:rsid w:val="00735098"/>
    <w:rsid w:val="00735BD0"/>
    <w:rsid w:val="00735C48"/>
    <w:rsid w:val="00735EE6"/>
    <w:rsid w:val="00736DBC"/>
    <w:rsid w:val="00740EE7"/>
    <w:rsid w:val="00741972"/>
    <w:rsid w:val="00746157"/>
    <w:rsid w:val="00750936"/>
    <w:rsid w:val="00750DD8"/>
    <w:rsid w:val="007513D3"/>
    <w:rsid w:val="00751497"/>
    <w:rsid w:val="00751C40"/>
    <w:rsid w:val="00751E1E"/>
    <w:rsid w:val="00752389"/>
    <w:rsid w:val="00752B2A"/>
    <w:rsid w:val="007542D8"/>
    <w:rsid w:val="00754AFE"/>
    <w:rsid w:val="0075656E"/>
    <w:rsid w:val="007569BB"/>
    <w:rsid w:val="00757649"/>
    <w:rsid w:val="00762207"/>
    <w:rsid w:val="00762F24"/>
    <w:rsid w:val="0076336A"/>
    <w:rsid w:val="0076602E"/>
    <w:rsid w:val="007666CC"/>
    <w:rsid w:val="00766E40"/>
    <w:rsid w:val="0077582E"/>
    <w:rsid w:val="00776336"/>
    <w:rsid w:val="00777ADF"/>
    <w:rsid w:val="007828CE"/>
    <w:rsid w:val="007836CA"/>
    <w:rsid w:val="00786954"/>
    <w:rsid w:val="0079113F"/>
    <w:rsid w:val="00792C52"/>
    <w:rsid w:val="007A168D"/>
    <w:rsid w:val="007A24D4"/>
    <w:rsid w:val="007A4D49"/>
    <w:rsid w:val="007A7E43"/>
    <w:rsid w:val="007B01DD"/>
    <w:rsid w:val="007B0875"/>
    <w:rsid w:val="007B1E8A"/>
    <w:rsid w:val="007C02AC"/>
    <w:rsid w:val="007C0676"/>
    <w:rsid w:val="007C572D"/>
    <w:rsid w:val="007C6060"/>
    <w:rsid w:val="007D0DCF"/>
    <w:rsid w:val="007D16D3"/>
    <w:rsid w:val="007D7938"/>
    <w:rsid w:val="007E1B9A"/>
    <w:rsid w:val="007E2649"/>
    <w:rsid w:val="007E3F2E"/>
    <w:rsid w:val="007E7555"/>
    <w:rsid w:val="007F3481"/>
    <w:rsid w:val="007F4619"/>
    <w:rsid w:val="007F4728"/>
    <w:rsid w:val="007F546F"/>
    <w:rsid w:val="007F6C29"/>
    <w:rsid w:val="007F7E07"/>
    <w:rsid w:val="00800EDF"/>
    <w:rsid w:val="00801D0E"/>
    <w:rsid w:val="00801FC2"/>
    <w:rsid w:val="00802255"/>
    <w:rsid w:val="00806D1A"/>
    <w:rsid w:val="00807C13"/>
    <w:rsid w:val="00810E27"/>
    <w:rsid w:val="00811594"/>
    <w:rsid w:val="00811D27"/>
    <w:rsid w:val="00812D4A"/>
    <w:rsid w:val="00813A63"/>
    <w:rsid w:val="00815961"/>
    <w:rsid w:val="00815F1A"/>
    <w:rsid w:val="008213CF"/>
    <w:rsid w:val="008254C1"/>
    <w:rsid w:val="00825AAF"/>
    <w:rsid w:val="00830685"/>
    <w:rsid w:val="008314CF"/>
    <w:rsid w:val="00834E8C"/>
    <w:rsid w:val="00835586"/>
    <w:rsid w:val="008357F2"/>
    <w:rsid w:val="008421B8"/>
    <w:rsid w:val="00843043"/>
    <w:rsid w:val="00844F2B"/>
    <w:rsid w:val="00844F35"/>
    <w:rsid w:val="00846E1D"/>
    <w:rsid w:val="0084730A"/>
    <w:rsid w:val="008504F7"/>
    <w:rsid w:val="008553F4"/>
    <w:rsid w:val="00860DDD"/>
    <w:rsid w:val="00861BBB"/>
    <w:rsid w:val="00862BF4"/>
    <w:rsid w:val="00865AB3"/>
    <w:rsid w:val="008717AC"/>
    <w:rsid w:val="00873D04"/>
    <w:rsid w:val="00874A5B"/>
    <w:rsid w:val="00876AE1"/>
    <w:rsid w:val="00876B85"/>
    <w:rsid w:val="00877228"/>
    <w:rsid w:val="00880F6D"/>
    <w:rsid w:val="0088138D"/>
    <w:rsid w:val="008819F6"/>
    <w:rsid w:val="00881C2A"/>
    <w:rsid w:val="0088365D"/>
    <w:rsid w:val="008838B4"/>
    <w:rsid w:val="008904EB"/>
    <w:rsid w:val="008907B7"/>
    <w:rsid w:val="00891807"/>
    <w:rsid w:val="0089227C"/>
    <w:rsid w:val="008922DE"/>
    <w:rsid w:val="0089320C"/>
    <w:rsid w:val="00896066"/>
    <w:rsid w:val="008A046E"/>
    <w:rsid w:val="008A1C08"/>
    <w:rsid w:val="008A3246"/>
    <w:rsid w:val="008A52AF"/>
    <w:rsid w:val="008A549A"/>
    <w:rsid w:val="008A603A"/>
    <w:rsid w:val="008B06BF"/>
    <w:rsid w:val="008B0CAD"/>
    <w:rsid w:val="008B1049"/>
    <w:rsid w:val="008B49F7"/>
    <w:rsid w:val="008B5CAD"/>
    <w:rsid w:val="008B6BB0"/>
    <w:rsid w:val="008B72B5"/>
    <w:rsid w:val="008B762B"/>
    <w:rsid w:val="008C01EB"/>
    <w:rsid w:val="008C021E"/>
    <w:rsid w:val="008C1BC6"/>
    <w:rsid w:val="008C2255"/>
    <w:rsid w:val="008C47EE"/>
    <w:rsid w:val="008C5537"/>
    <w:rsid w:val="008D01F2"/>
    <w:rsid w:val="008D152E"/>
    <w:rsid w:val="008D2518"/>
    <w:rsid w:val="008D7A7F"/>
    <w:rsid w:val="008E26AE"/>
    <w:rsid w:val="008E4F24"/>
    <w:rsid w:val="008E5700"/>
    <w:rsid w:val="008F1282"/>
    <w:rsid w:val="008F19EA"/>
    <w:rsid w:val="008F5675"/>
    <w:rsid w:val="00900060"/>
    <w:rsid w:val="00904845"/>
    <w:rsid w:val="009052E7"/>
    <w:rsid w:val="00905972"/>
    <w:rsid w:val="0090679F"/>
    <w:rsid w:val="00907608"/>
    <w:rsid w:val="00910D9D"/>
    <w:rsid w:val="00914946"/>
    <w:rsid w:val="00915B66"/>
    <w:rsid w:val="00915C22"/>
    <w:rsid w:val="00917F2A"/>
    <w:rsid w:val="0092077C"/>
    <w:rsid w:val="00923160"/>
    <w:rsid w:val="00924C9F"/>
    <w:rsid w:val="00924DB9"/>
    <w:rsid w:val="009255FD"/>
    <w:rsid w:val="00927513"/>
    <w:rsid w:val="00932171"/>
    <w:rsid w:val="00934793"/>
    <w:rsid w:val="009363E1"/>
    <w:rsid w:val="009365E1"/>
    <w:rsid w:val="00941327"/>
    <w:rsid w:val="00943E90"/>
    <w:rsid w:val="0094558E"/>
    <w:rsid w:val="00954E32"/>
    <w:rsid w:val="009551BC"/>
    <w:rsid w:val="00955E40"/>
    <w:rsid w:val="00960203"/>
    <w:rsid w:val="00961ACE"/>
    <w:rsid w:val="00962BC4"/>
    <w:rsid w:val="00965559"/>
    <w:rsid w:val="009657AC"/>
    <w:rsid w:val="0097243F"/>
    <w:rsid w:val="0097272C"/>
    <w:rsid w:val="00972D60"/>
    <w:rsid w:val="009733D2"/>
    <w:rsid w:val="00974F46"/>
    <w:rsid w:val="0097527C"/>
    <w:rsid w:val="00976B41"/>
    <w:rsid w:val="00982CEE"/>
    <w:rsid w:val="00984945"/>
    <w:rsid w:val="00985F76"/>
    <w:rsid w:val="009860AB"/>
    <w:rsid w:val="009874D4"/>
    <w:rsid w:val="00992477"/>
    <w:rsid w:val="00992A03"/>
    <w:rsid w:val="0099387E"/>
    <w:rsid w:val="009A22E0"/>
    <w:rsid w:val="009A2B76"/>
    <w:rsid w:val="009A4CB0"/>
    <w:rsid w:val="009A5888"/>
    <w:rsid w:val="009A617C"/>
    <w:rsid w:val="009A6A82"/>
    <w:rsid w:val="009A7B22"/>
    <w:rsid w:val="009B0502"/>
    <w:rsid w:val="009B154F"/>
    <w:rsid w:val="009B2030"/>
    <w:rsid w:val="009B3C76"/>
    <w:rsid w:val="009B7313"/>
    <w:rsid w:val="009B77CB"/>
    <w:rsid w:val="009C217F"/>
    <w:rsid w:val="009C708A"/>
    <w:rsid w:val="009D251D"/>
    <w:rsid w:val="009D2788"/>
    <w:rsid w:val="009D5107"/>
    <w:rsid w:val="009D74B3"/>
    <w:rsid w:val="009E0127"/>
    <w:rsid w:val="009E09EE"/>
    <w:rsid w:val="009E0E28"/>
    <w:rsid w:val="009E1FE3"/>
    <w:rsid w:val="009E2824"/>
    <w:rsid w:val="009E39E0"/>
    <w:rsid w:val="009E408E"/>
    <w:rsid w:val="009E4191"/>
    <w:rsid w:val="009E5EC9"/>
    <w:rsid w:val="009E7986"/>
    <w:rsid w:val="009F0A58"/>
    <w:rsid w:val="009F6D5D"/>
    <w:rsid w:val="00A010D8"/>
    <w:rsid w:val="00A01D2C"/>
    <w:rsid w:val="00A027DA"/>
    <w:rsid w:val="00A043C5"/>
    <w:rsid w:val="00A06755"/>
    <w:rsid w:val="00A067E5"/>
    <w:rsid w:val="00A10754"/>
    <w:rsid w:val="00A11CBB"/>
    <w:rsid w:val="00A121B2"/>
    <w:rsid w:val="00A131C9"/>
    <w:rsid w:val="00A1734A"/>
    <w:rsid w:val="00A20AA2"/>
    <w:rsid w:val="00A22E32"/>
    <w:rsid w:val="00A24185"/>
    <w:rsid w:val="00A24BC0"/>
    <w:rsid w:val="00A344E7"/>
    <w:rsid w:val="00A3488B"/>
    <w:rsid w:val="00A36819"/>
    <w:rsid w:val="00A378B7"/>
    <w:rsid w:val="00A4296A"/>
    <w:rsid w:val="00A432F3"/>
    <w:rsid w:val="00A44789"/>
    <w:rsid w:val="00A44FB4"/>
    <w:rsid w:val="00A50E26"/>
    <w:rsid w:val="00A52975"/>
    <w:rsid w:val="00A536CC"/>
    <w:rsid w:val="00A560F4"/>
    <w:rsid w:val="00A5664E"/>
    <w:rsid w:val="00A613C1"/>
    <w:rsid w:val="00A63449"/>
    <w:rsid w:val="00A63C5E"/>
    <w:rsid w:val="00A63FD7"/>
    <w:rsid w:val="00A67ED2"/>
    <w:rsid w:val="00A7057A"/>
    <w:rsid w:val="00A72E29"/>
    <w:rsid w:val="00A7377E"/>
    <w:rsid w:val="00A73C60"/>
    <w:rsid w:val="00A74300"/>
    <w:rsid w:val="00A77731"/>
    <w:rsid w:val="00A77FAD"/>
    <w:rsid w:val="00A8377B"/>
    <w:rsid w:val="00A844CF"/>
    <w:rsid w:val="00A90810"/>
    <w:rsid w:val="00A93B38"/>
    <w:rsid w:val="00A96F4F"/>
    <w:rsid w:val="00A978BF"/>
    <w:rsid w:val="00AA0EBE"/>
    <w:rsid w:val="00AA2BC9"/>
    <w:rsid w:val="00AA37A2"/>
    <w:rsid w:val="00AA4DC8"/>
    <w:rsid w:val="00AA4E28"/>
    <w:rsid w:val="00AA6930"/>
    <w:rsid w:val="00AA7B92"/>
    <w:rsid w:val="00AB00FA"/>
    <w:rsid w:val="00AB01B4"/>
    <w:rsid w:val="00AB18C2"/>
    <w:rsid w:val="00AB5542"/>
    <w:rsid w:val="00AB7F65"/>
    <w:rsid w:val="00AC04AF"/>
    <w:rsid w:val="00AC52C5"/>
    <w:rsid w:val="00AC5AD1"/>
    <w:rsid w:val="00AC78BB"/>
    <w:rsid w:val="00AD1A5D"/>
    <w:rsid w:val="00AD2E4D"/>
    <w:rsid w:val="00AD54C8"/>
    <w:rsid w:val="00AD7583"/>
    <w:rsid w:val="00AD7BE2"/>
    <w:rsid w:val="00AD7CB6"/>
    <w:rsid w:val="00AD7EA3"/>
    <w:rsid w:val="00AE0100"/>
    <w:rsid w:val="00AE12E5"/>
    <w:rsid w:val="00AE347C"/>
    <w:rsid w:val="00AE4297"/>
    <w:rsid w:val="00AE4583"/>
    <w:rsid w:val="00AE7756"/>
    <w:rsid w:val="00AF0509"/>
    <w:rsid w:val="00AF0E03"/>
    <w:rsid w:val="00AF30E9"/>
    <w:rsid w:val="00AF35D2"/>
    <w:rsid w:val="00AF49B8"/>
    <w:rsid w:val="00AF728B"/>
    <w:rsid w:val="00AF7740"/>
    <w:rsid w:val="00B00F7F"/>
    <w:rsid w:val="00B03650"/>
    <w:rsid w:val="00B073FA"/>
    <w:rsid w:val="00B10073"/>
    <w:rsid w:val="00B17908"/>
    <w:rsid w:val="00B17BA6"/>
    <w:rsid w:val="00B232B8"/>
    <w:rsid w:val="00B23646"/>
    <w:rsid w:val="00B26D02"/>
    <w:rsid w:val="00B27248"/>
    <w:rsid w:val="00B3074A"/>
    <w:rsid w:val="00B35082"/>
    <w:rsid w:val="00B351D7"/>
    <w:rsid w:val="00B40D2E"/>
    <w:rsid w:val="00B451D0"/>
    <w:rsid w:val="00B45B04"/>
    <w:rsid w:val="00B45ED8"/>
    <w:rsid w:val="00B46E73"/>
    <w:rsid w:val="00B5081E"/>
    <w:rsid w:val="00B50D92"/>
    <w:rsid w:val="00B520B8"/>
    <w:rsid w:val="00B52762"/>
    <w:rsid w:val="00B53876"/>
    <w:rsid w:val="00B53DB8"/>
    <w:rsid w:val="00B546EF"/>
    <w:rsid w:val="00B63825"/>
    <w:rsid w:val="00B64A4D"/>
    <w:rsid w:val="00B660BF"/>
    <w:rsid w:val="00B71427"/>
    <w:rsid w:val="00B71779"/>
    <w:rsid w:val="00B717A3"/>
    <w:rsid w:val="00B73996"/>
    <w:rsid w:val="00B7432F"/>
    <w:rsid w:val="00B746E3"/>
    <w:rsid w:val="00B74B2C"/>
    <w:rsid w:val="00B7525D"/>
    <w:rsid w:val="00B82E94"/>
    <w:rsid w:val="00B82EDD"/>
    <w:rsid w:val="00B83478"/>
    <w:rsid w:val="00B84E85"/>
    <w:rsid w:val="00B85F20"/>
    <w:rsid w:val="00B86050"/>
    <w:rsid w:val="00B87DD3"/>
    <w:rsid w:val="00B92384"/>
    <w:rsid w:val="00B94FFB"/>
    <w:rsid w:val="00B9573E"/>
    <w:rsid w:val="00BA1556"/>
    <w:rsid w:val="00BA1E19"/>
    <w:rsid w:val="00BA3653"/>
    <w:rsid w:val="00BA564E"/>
    <w:rsid w:val="00BA6045"/>
    <w:rsid w:val="00BA7AD4"/>
    <w:rsid w:val="00BB12F0"/>
    <w:rsid w:val="00BB19C6"/>
    <w:rsid w:val="00BB2141"/>
    <w:rsid w:val="00BB673B"/>
    <w:rsid w:val="00BB6CB9"/>
    <w:rsid w:val="00BC20E6"/>
    <w:rsid w:val="00BC6057"/>
    <w:rsid w:val="00BD3459"/>
    <w:rsid w:val="00BD5569"/>
    <w:rsid w:val="00BD6A56"/>
    <w:rsid w:val="00BE0E0E"/>
    <w:rsid w:val="00BE2A87"/>
    <w:rsid w:val="00BE60AD"/>
    <w:rsid w:val="00BE7826"/>
    <w:rsid w:val="00BF0EC0"/>
    <w:rsid w:val="00BF25ED"/>
    <w:rsid w:val="00BF3BD7"/>
    <w:rsid w:val="00BF48B3"/>
    <w:rsid w:val="00BF4A0E"/>
    <w:rsid w:val="00BF5123"/>
    <w:rsid w:val="00C0084A"/>
    <w:rsid w:val="00C03C45"/>
    <w:rsid w:val="00C114F0"/>
    <w:rsid w:val="00C12507"/>
    <w:rsid w:val="00C1293F"/>
    <w:rsid w:val="00C12CD1"/>
    <w:rsid w:val="00C17A05"/>
    <w:rsid w:val="00C23760"/>
    <w:rsid w:val="00C23C41"/>
    <w:rsid w:val="00C25983"/>
    <w:rsid w:val="00C26385"/>
    <w:rsid w:val="00C275B3"/>
    <w:rsid w:val="00C308E9"/>
    <w:rsid w:val="00C31682"/>
    <w:rsid w:val="00C33029"/>
    <w:rsid w:val="00C356B9"/>
    <w:rsid w:val="00C36796"/>
    <w:rsid w:val="00C37ED0"/>
    <w:rsid w:val="00C407BB"/>
    <w:rsid w:val="00C4744B"/>
    <w:rsid w:val="00C51D0C"/>
    <w:rsid w:val="00C526BD"/>
    <w:rsid w:val="00C578BF"/>
    <w:rsid w:val="00C61F43"/>
    <w:rsid w:val="00C628B2"/>
    <w:rsid w:val="00C64E0B"/>
    <w:rsid w:val="00C65389"/>
    <w:rsid w:val="00C711AA"/>
    <w:rsid w:val="00C721B9"/>
    <w:rsid w:val="00C732CB"/>
    <w:rsid w:val="00C7353C"/>
    <w:rsid w:val="00C808D5"/>
    <w:rsid w:val="00C813A2"/>
    <w:rsid w:val="00C82A3F"/>
    <w:rsid w:val="00C8317C"/>
    <w:rsid w:val="00C83C29"/>
    <w:rsid w:val="00C83E96"/>
    <w:rsid w:val="00C845D8"/>
    <w:rsid w:val="00C84D6F"/>
    <w:rsid w:val="00C9123F"/>
    <w:rsid w:val="00C915DF"/>
    <w:rsid w:val="00C942D2"/>
    <w:rsid w:val="00C95116"/>
    <w:rsid w:val="00C95FC9"/>
    <w:rsid w:val="00C961F5"/>
    <w:rsid w:val="00C97204"/>
    <w:rsid w:val="00C97613"/>
    <w:rsid w:val="00CA11D8"/>
    <w:rsid w:val="00CA2716"/>
    <w:rsid w:val="00CA75DF"/>
    <w:rsid w:val="00CB1C6F"/>
    <w:rsid w:val="00CB29D0"/>
    <w:rsid w:val="00CB32AE"/>
    <w:rsid w:val="00CB53CE"/>
    <w:rsid w:val="00CB6376"/>
    <w:rsid w:val="00CB6C18"/>
    <w:rsid w:val="00CC0B21"/>
    <w:rsid w:val="00CC15F3"/>
    <w:rsid w:val="00CC50E5"/>
    <w:rsid w:val="00CC7509"/>
    <w:rsid w:val="00CD18AE"/>
    <w:rsid w:val="00CD3FB6"/>
    <w:rsid w:val="00CE2180"/>
    <w:rsid w:val="00CF0AD5"/>
    <w:rsid w:val="00CF1376"/>
    <w:rsid w:val="00CF18BF"/>
    <w:rsid w:val="00CF4096"/>
    <w:rsid w:val="00CF42EA"/>
    <w:rsid w:val="00CF4613"/>
    <w:rsid w:val="00CF4B4D"/>
    <w:rsid w:val="00CF58BA"/>
    <w:rsid w:val="00CF6B30"/>
    <w:rsid w:val="00D026E1"/>
    <w:rsid w:val="00D029BD"/>
    <w:rsid w:val="00D04436"/>
    <w:rsid w:val="00D0640B"/>
    <w:rsid w:val="00D07F1B"/>
    <w:rsid w:val="00D1017B"/>
    <w:rsid w:val="00D1304E"/>
    <w:rsid w:val="00D14CC0"/>
    <w:rsid w:val="00D15108"/>
    <w:rsid w:val="00D16974"/>
    <w:rsid w:val="00D16A87"/>
    <w:rsid w:val="00D16D81"/>
    <w:rsid w:val="00D171A6"/>
    <w:rsid w:val="00D17CCA"/>
    <w:rsid w:val="00D2444A"/>
    <w:rsid w:val="00D24C5B"/>
    <w:rsid w:val="00D24FF8"/>
    <w:rsid w:val="00D31CB7"/>
    <w:rsid w:val="00D31F26"/>
    <w:rsid w:val="00D34493"/>
    <w:rsid w:val="00D364E9"/>
    <w:rsid w:val="00D40949"/>
    <w:rsid w:val="00D41A05"/>
    <w:rsid w:val="00D422E2"/>
    <w:rsid w:val="00D444E6"/>
    <w:rsid w:val="00D5079E"/>
    <w:rsid w:val="00D54C8B"/>
    <w:rsid w:val="00D54FA3"/>
    <w:rsid w:val="00D57E22"/>
    <w:rsid w:val="00D60DB2"/>
    <w:rsid w:val="00D614B3"/>
    <w:rsid w:val="00D63A12"/>
    <w:rsid w:val="00D64D39"/>
    <w:rsid w:val="00D667D2"/>
    <w:rsid w:val="00D66B31"/>
    <w:rsid w:val="00D66E2B"/>
    <w:rsid w:val="00D7107B"/>
    <w:rsid w:val="00D77408"/>
    <w:rsid w:val="00D84411"/>
    <w:rsid w:val="00D85318"/>
    <w:rsid w:val="00D86CBC"/>
    <w:rsid w:val="00D873BA"/>
    <w:rsid w:val="00D9077F"/>
    <w:rsid w:val="00D9131C"/>
    <w:rsid w:val="00D92763"/>
    <w:rsid w:val="00D93B73"/>
    <w:rsid w:val="00D94357"/>
    <w:rsid w:val="00D95C9C"/>
    <w:rsid w:val="00D960F5"/>
    <w:rsid w:val="00D961E9"/>
    <w:rsid w:val="00D96D1B"/>
    <w:rsid w:val="00DA04E4"/>
    <w:rsid w:val="00DA055C"/>
    <w:rsid w:val="00DA4D03"/>
    <w:rsid w:val="00DA57D2"/>
    <w:rsid w:val="00DB0DDB"/>
    <w:rsid w:val="00DB3D75"/>
    <w:rsid w:val="00DB4B43"/>
    <w:rsid w:val="00DB5D41"/>
    <w:rsid w:val="00DB7B00"/>
    <w:rsid w:val="00DC4C6A"/>
    <w:rsid w:val="00DD0D10"/>
    <w:rsid w:val="00DD176A"/>
    <w:rsid w:val="00DD2C77"/>
    <w:rsid w:val="00DD4F2D"/>
    <w:rsid w:val="00DD5AE6"/>
    <w:rsid w:val="00DE269F"/>
    <w:rsid w:val="00DE4880"/>
    <w:rsid w:val="00DE5416"/>
    <w:rsid w:val="00DE7520"/>
    <w:rsid w:val="00DE7CE8"/>
    <w:rsid w:val="00DF1B13"/>
    <w:rsid w:val="00DF3826"/>
    <w:rsid w:val="00DF42F3"/>
    <w:rsid w:val="00DF477B"/>
    <w:rsid w:val="00DF524B"/>
    <w:rsid w:val="00DF5DE9"/>
    <w:rsid w:val="00DF6DFE"/>
    <w:rsid w:val="00E061B4"/>
    <w:rsid w:val="00E07566"/>
    <w:rsid w:val="00E13024"/>
    <w:rsid w:val="00E1440A"/>
    <w:rsid w:val="00E15F22"/>
    <w:rsid w:val="00E16998"/>
    <w:rsid w:val="00E20BC5"/>
    <w:rsid w:val="00E214A7"/>
    <w:rsid w:val="00E21AC9"/>
    <w:rsid w:val="00E22A17"/>
    <w:rsid w:val="00E22D10"/>
    <w:rsid w:val="00E24373"/>
    <w:rsid w:val="00E246EB"/>
    <w:rsid w:val="00E3000B"/>
    <w:rsid w:val="00E30569"/>
    <w:rsid w:val="00E30708"/>
    <w:rsid w:val="00E32839"/>
    <w:rsid w:val="00E33406"/>
    <w:rsid w:val="00E33B9E"/>
    <w:rsid w:val="00E34CC5"/>
    <w:rsid w:val="00E34EFF"/>
    <w:rsid w:val="00E372A3"/>
    <w:rsid w:val="00E3750B"/>
    <w:rsid w:val="00E37B3F"/>
    <w:rsid w:val="00E40CFC"/>
    <w:rsid w:val="00E41DC6"/>
    <w:rsid w:val="00E42457"/>
    <w:rsid w:val="00E43BA0"/>
    <w:rsid w:val="00E45988"/>
    <w:rsid w:val="00E52819"/>
    <w:rsid w:val="00E5307B"/>
    <w:rsid w:val="00E56B8C"/>
    <w:rsid w:val="00E57E44"/>
    <w:rsid w:val="00E62DCF"/>
    <w:rsid w:val="00E62EDC"/>
    <w:rsid w:val="00E63F56"/>
    <w:rsid w:val="00E6585F"/>
    <w:rsid w:val="00E65AD2"/>
    <w:rsid w:val="00E65F36"/>
    <w:rsid w:val="00E66337"/>
    <w:rsid w:val="00E703F3"/>
    <w:rsid w:val="00E7197F"/>
    <w:rsid w:val="00E75086"/>
    <w:rsid w:val="00E852FA"/>
    <w:rsid w:val="00E873CC"/>
    <w:rsid w:val="00E87C25"/>
    <w:rsid w:val="00E94148"/>
    <w:rsid w:val="00E955D5"/>
    <w:rsid w:val="00E95F4B"/>
    <w:rsid w:val="00E964DA"/>
    <w:rsid w:val="00E96DEA"/>
    <w:rsid w:val="00EA0DD7"/>
    <w:rsid w:val="00EA69B6"/>
    <w:rsid w:val="00EB2C2A"/>
    <w:rsid w:val="00EB3EC0"/>
    <w:rsid w:val="00EB6442"/>
    <w:rsid w:val="00EB707B"/>
    <w:rsid w:val="00EB7519"/>
    <w:rsid w:val="00EC087D"/>
    <w:rsid w:val="00EC22EA"/>
    <w:rsid w:val="00EC2A56"/>
    <w:rsid w:val="00EC3B39"/>
    <w:rsid w:val="00EC4EFE"/>
    <w:rsid w:val="00EC59CB"/>
    <w:rsid w:val="00EC6782"/>
    <w:rsid w:val="00EC6C4B"/>
    <w:rsid w:val="00EC71BC"/>
    <w:rsid w:val="00ED105E"/>
    <w:rsid w:val="00ED2659"/>
    <w:rsid w:val="00ED6D52"/>
    <w:rsid w:val="00ED6F8F"/>
    <w:rsid w:val="00ED714E"/>
    <w:rsid w:val="00EE2205"/>
    <w:rsid w:val="00EE2E78"/>
    <w:rsid w:val="00EE4E1A"/>
    <w:rsid w:val="00EE4E2E"/>
    <w:rsid w:val="00EE5C8F"/>
    <w:rsid w:val="00EE7141"/>
    <w:rsid w:val="00EE7833"/>
    <w:rsid w:val="00EF1EE2"/>
    <w:rsid w:val="00EF7CA1"/>
    <w:rsid w:val="00F04956"/>
    <w:rsid w:val="00F04DBF"/>
    <w:rsid w:val="00F0669C"/>
    <w:rsid w:val="00F069B9"/>
    <w:rsid w:val="00F07A55"/>
    <w:rsid w:val="00F07EDF"/>
    <w:rsid w:val="00F13672"/>
    <w:rsid w:val="00F14D01"/>
    <w:rsid w:val="00F15DB0"/>
    <w:rsid w:val="00F2036C"/>
    <w:rsid w:val="00F204FF"/>
    <w:rsid w:val="00F219E3"/>
    <w:rsid w:val="00F22A14"/>
    <w:rsid w:val="00F2428C"/>
    <w:rsid w:val="00F255F6"/>
    <w:rsid w:val="00F26BFE"/>
    <w:rsid w:val="00F27D4E"/>
    <w:rsid w:val="00F31AD5"/>
    <w:rsid w:val="00F34CCE"/>
    <w:rsid w:val="00F41924"/>
    <w:rsid w:val="00F46C9F"/>
    <w:rsid w:val="00F47843"/>
    <w:rsid w:val="00F5252B"/>
    <w:rsid w:val="00F6537F"/>
    <w:rsid w:val="00F65D10"/>
    <w:rsid w:val="00F66FEA"/>
    <w:rsid w:val="00F67040"/>
    <w:rsid w:val="00F707CB"/>
    <w:rsid w:val="00F72FD5"/>
    <w:rsid w:val="00F800F8"/>
    <w:rsid w:val="00F80DE5"/>
    <w:rsid w:val="00F82C0D"/>
    <w:rsid w:val="00F86CFC"/>
    <w:rsid w:val="00F9324A"/>
    <w:rsid w:val="00F95573"/>
    <w:rsid w:val="00F95D31"/>
    <w:rsid w:val="00F96EAA"/>
    <w:rsid w:val="00FA2E31"/>
    <w:rsid w:val="00FA3563"/>
    <w:rsid w:val="00FA3F05"/>
    <w:rsid w:val="00FA4140"/>
    <w:rsid w:val="00FA5CCF"/>
    <w:rsid w:val="00FA6F83"/>
    <w:rsid w:val="00FA73DB"/>
    <w:rsid w:val="00FB535A"/>
    <w:rsid w:val="00FB7AF1"/>
    <w:rsid w:val="00FB7CD2"/>
    <w:rsid w:val="00FC270E"/>
    <w:rsid w:val="00FC2A31"/>
    <w:rsid w:val="00FC3669"/>
    <w:rsid w:val="00FC60C4"/>
    <w:rsid w:val="00FC7047"/>
    <w:rsid w:val="00FC7E40"/>
    <w:rsid w:val="00FD005C"/>
    <w:rsid w:val="00FD1736"/>
    <w:rsid w:val="00FD1A17"/>
    <w:rsid w:val="00FD2D66"/>
    <w:rsid w:val="00FD304E"/>
    <w:rsid w:val="00FD34A9"/>
    <w:rsid w:val="00FD5F37"/>
    <w:rsid w:val="00FD60B5"/>
    <w:rsid w:val="00FD7DB1"/>
    <w:rsid w:val="00FE1784"/>
    <w:rsid w:val="00FE1E6E"/>
    <w:rsid w:val="00FE280D"/>
    <w:rsid w:val="00FE3FE3"/>
    <w:rsid w:val="00FE72DE"/>
    <w:rsid w:val="00FF03C6"/>
    <w:rsid w:val="00FF2566"/>
    <w:rsid w:val="00FF2E6F"/>
    <w:rsid w:val="00FF2E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4CD9"/>
  <w15:chartTrackingRefBased/>
  <w15:docId w15:val="{36561534-E370-42C6-91EF-6A68BE65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2EA"/>
    <w:pPr>
      <w:ind w:left="720"/>
      <w:contextualSpacing/>
    </w:pPr>
  </w:style>
  <w:style w:type="paragraph" w:styleId="FootnoteText">
    <w:name w:val="footnote text"/>
    <w:basedOn w:val="Normal"/>
    <w:link w:val="FootnoteTextChar"/>
    <w:uiPriority w:val="99"/>
    <w:unhideWhenUsed/>
    <w:rsid w:val="001E78C3"/>
    <w:pPr>
      <w:spacing w:after="0" w:line="240" w:lineRule="auto"/>
    </w:pPr>
    <w:rPr>
      <w:sz w:val="20"/>
      <w:szCs w:val="20"/>
    </w:rPr>
  </w:style>
  <w:style w:type="character" w:customStyle="1" w:styleId="FootnoteTextChar">
    <w:name w:val="Footnote Text Char"/>
    <w:basedOn w:val="DefaultParagraphFont"/>
    <w:link w:val="FootnoteText"/>
    <w:uiPriority w:val="99"/>
    <w:rsid w:val="001E78C3"/>
    <w:rPr>
      <w:sz w:val="20"/>
      <w:szCs w:val="20"/>
    </w:rPr>
  </w:style>
  <w:style w:type="character" w:styleId="FootnoteReference">
    <w:name w:val="footnote reference"/>
    <w:basedOn w:val="DefaultParagraphFont"/>
    <w:uiPriority w:val="99"/>
    <w:semiHidden/>
    <w:unhideWhenUsed/>
    <w:rsid w:val="001E78C3"/>
    <w:rPr>
      <w:vertAlign w:val="superscript"/>
    </w:rPr>
  </w:style>
  <w:style w:type="paragraph" w:styleId="Header">
    <w:name w:val="header"/>
    <w:basedOn w:val="Normal"/>
    <w:link w:val="HeaderChar"/>
    <w:uiPriority w:val="99"/>
    <w:semiHidden/>
    <w:unhideWhenUsed/>
    <w:rsid w:val="002877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7A"/>
  </w:style>
  <w:style w:type="paragraph" w:styleId="Footer">
    <w:name w:val="footer"/>
    <w:basedOn w:val="Normal"/>
    <w:link w:val="FooterChar"/>
    <w:uiPriority w:val="99"/>
    <w:semiHidden/>
    <w:unhideWhenUsed/>
    <w:rsid w:val="002877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7A"/>
  </w:style>
  <w:style w:type="character" w:styleId="Hyperlink">
    <w:name w:val="Hyperlink"/>
    <w:basedOn w:val="DefaultParagraphFont"/>
    <w:uiPriority w:val="99"/>
    <w:unhideWhenUsed/>
    <w:rsid w:val="003A4A24"/>
    <w:rPr>
      <w:color w:val="0563C1" w:themeColor="hyperlink"/>
      <w:u w:val="single"/>
    </w:rPr>
  </w:style>
  <w:style w:type="character" w:styleId="UnresolvedMention">
    <w:name w:val="Unresolved Mention"/>
    <w:basedOn w:val="DefaultParagraphFont"/>
    <w:uiPriority w:val="99"/>
    <w:semiHidden/>
    <w:unhideWhenUsed/>
    <w:rsid w:val="003A4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publica.org/article/machine-bias-risk-assessments-in-criminal-sentenc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eoantunes97@gmail.com" TargetMode="External"/><Relationship Id="rId5" Type="http://schemas.openxmlformats.org/officeDocument/2006/relationships/webSettings" Target="webSettings.xml"/><Relationship Id="rId10" Type="http://schemas.openxmlformats.org/officeDocument/2006/relationships/hyperlink" Target="https://www.oxfordlearnersdictionaries.com/definition/english/appropriate_1" TargetMode="External"/><Relationship Id="rId4" Type="http://schemas.openxmlformats.org/officeDocument/2006/relationships/settings" Target="settings.xml"/><Relationship Id="rId9" Type="http://schemas.openxmlformats.org/officeDocument/2006/relationships/hyperlink" Target="https://www.dalloz-actualite.fr/interview/antoine-garapon-numerique-est-un-remede-lenteur-de-justi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ropublica.org/article/machine-bias-risk-assessments-in-criminal-sentencing" TargetMode="External"/><Relationship Id="rId2" Type="http://schemas.openxmlformats.org/officeDocument/2006/relationships/hyperlink" Target="https://www.dalloz-actualite.fr/interview/antoine-garapon-numerique-est-un-remede-lenteur-de-justice" TargetMode="External"/><Relationship Id="rId1" Type="http://schemas.openxmlformats.org/officeDocument/2006/relationships/hyperlink" Target="https://www.oxfordlearnersdictionaries.com/definition/english/appropriate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E0C8B-6A26-5843-89A5-DC6EF9487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8271</Words>
  <Characters>47147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Théo ANTUNES</dc:creator>
  <cp:keywords/>
  <dc:description/>
  <cp:lastModifiedBy>Théo ANTUNES</cp:lastModifiedBy>
  <cp:revision>2</cp:revision>
  <cp:lastPrinted>2021-11-10T18:10:00Z</cp:lastPrinted>
  <dcterms:created xsi:type="dcterms:W3CDTF">2022-10-13T08:15:00Z</dcterms:created>
  <dcterms:modified xsi:type="dcterms:W3CDTF">2022-10-13T08:15:00Z</dcterms:modified>
</cp:coreProperties>
</file>