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AA7" w:rsidRDefault="00610E34" w:rsidP="00464AA7">
      <w:pPr>
        <w:pStyle w:val="Title"/>
        <w:jc w:val="both"/>
      </w:pPr>
      <w:r>
        <w:t>Supplementary data for</w:t>
      </w:r>
      <w:r w:rsidR="00CD76E3">
        <w:t xml:space="preserve"> ‘</w:t>
      </w:r>
      <w:r w:rsidR="00464AA7">
        <w:t>Removal of 27</w:t>
      </w:r>
      <w:r w:rsidR="00464AA7" w:rsidRPr="00FA266A">
        <w:t xml:space="preserve"> </w:t>
      </w:r>
      <w:proofErr w:type="spellStart"/>
      <w:r w:rsidR="00464AA7" w:rsidRPr="00FA266A">
        <w:t>micropollutants</w:t>
      </w:r>
      <w:proofErr w:type="spellEnd"/>
      <w:r w:rsidR="00464AA7" w:rsidRPr="00FA266A">
        <w:t xml:space="preserve"> by s</w:t>
      </w:r>
      <w:r w:rsidR="00464AA7">
        <w:t>elected</w:t>
      </w:r>
      <w:r w:rsidR="00464AA7" w:rsidRPr="00FA266A">
        <w:t xml:space="preserve"> </w:t>
      </w:r>
      <w:r w:rsidR="00464AA7">
        <w:t xml:space="preserve">wetland </w:t>
      </w:r>
      <w:proofErr w:type="spellStart"/>
      <w:r w:rsidR="00464AA7">
        <w:t>macrophytes</w:t>
      </w:r>
      <w:proofErr w:type="spellEnd"/>
      <w:r w:rsidR="00464AA7">
        <w:t xml:space="preserve"> in hydroponic conditions</w:t>
      </w:r>
      <w:r w:rsidR="00CD76E3">
        <w:t>’</w:t>
      </w:r>
    </w:p>
    <w:p w:rsidR="00FB0208" w:rsidRDefault="00FB0208" w:rsidP="00FB0208"/>
    <w:p w:rsidR="00FB0208" w:rsidRPr="00FB0208" w:rsidRDefault="00FB0208" w:rsidP="00FB0208">
      <w:r>
        <w:rPr>
          <w:rFonts w:ascii="Times New Roman" w:hAnsi="Times New Roman" w:cs="Times New Roman"/>
        </w:rPr>
        <w:t>In this document are present supplementary data to the publication Removal of 27 </w:t>
      </w:r>
      <w:proofErr w:type="spellStart"/>
      <w:r w:rsidRPr="00464AA7">
        <w:rPr>
          <w:rFonts w:ascii="Times New Roman" w:hAnsi="Times New Roman" w:cs="Times New Roman"/>
        </w:rPr>
        <w:t>micropollutants</w:t>
      </w:r>
      <w:proofErr w:type="spellEnd"/>
      <w:r w:rsidRPr="00464AA7">
        <w:rPr>
          <w:rFonts w:ascii="Times New Roman" w:hAnsi="Times New Roman" w:cs="Times New Roman"/>
        </w:rPr>
        <w:t xml:space="preserve"> by selected wetland </w:t>
      </w:r>
      <w:proofErr w:type="spellStart"/>
      <w:r w:rsidRPr="00464AA7">
        <w:rPr>
          <w:rFonts w:ascii="Times New Roman" w:hAnsi="Times New Roman" w:cs="Times New Roman"/>
        </w:rPr>
        <w:t>macrophytes</w:t>
      </w:r>
      <w:proofErr w:type="spellEnd"/>
      <w:r w:rsidRPr="00464AA7">
        <w:rPr>
          <w:rFonts w:ascii="Times New Roman" w:hAnsi="Times New Roman" w:cs="Times New Roman"/>
        </w:rPr>
        <w:t xml:space="preserve"> in hydroponic conditions</w:t>
      </w:r>
      <w:r>
        <w:rPr>
          <w:rFonts w:ascii="Times New Roman" w:hAnsi="Times New Roman" w:cs="Times New Roman"/>
        </w:rPr>
        <w:t>.</w:t>
      </w:r>
    </w:p>
    <w:p w:rsidR="00CD76E3" w:rsidRDefault="00CD76E3" w:rsidP="00CD76E3">
      <w:pPr>
        <w:pStyle w:val="Heading1"/>
      </w:pPr>
      <w:r>
        <w:t>S.1. Analytical method (Quantification limits)</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4491"/>
        <w:gridCol w:w="1191"/>
        <w:gridCol w:w="1191"/>
      </w:tblGrid>
      <w:tr w:rsidR="00CD76E3" w:rsidRPr="00CD76E3" w:rsidTr="00FB0208">
        <w:trPr>
          <w:trHeight w:val="1200"/>
        </w:trPr>
        <w:tc>
          <w:tcPr>
            <w:tcW w:w="2440" w:type="dxa"/>
            <w:vMerge w:val="restart"/>
            <w:shd w:val="clear" w:color="auto" w:fill="auto"/>
            <w:noWrap/>
            <w:vAlign w:val="center"/>
            <w:hideMark/>
          </w:tcPr>
          <w:p w:rsidR="00CD76E3" w:rsidRPr="00CD76E3" w:rsidRDefault="00CD76E3" w:rsidP="00CD76E3">
            <w:pPr>
              <w:contextualSpacing/>
              <w:rPr>
                <w:rFonts w:ascii="Times New Roman" w:hAnsi="Times New Roman" w:cs="Times New Roman"/>
                <w:b/>
                <w:bCs/>
                <w:color w:val="000000"/>
                <w:sz w:val="24"/>
                <w:szCs w:val="24"/>
                <w:lang w:eastAsia="en-GB"/>
              </w:rPr>
            </w:pPr>
            <w:r w:rsidRPr="00CD76E3">
              <w:rPr>
                <w:rFonts w:ascii="Times New Roman" w:hAnsi="Times New Roman" w:cs="Times New Roman"/>
                <w:b/>
                <w:bCs/>
                <w:color w:val="000000"/>
                <w:sz w:val="24"/>
                <w:szCs w:val="24"/>
                <w:lang w:eastAsia="en-GB"/>
              </w:rPr>
              <w:t>Group</w:t>
            </w:r>
          </w:p>
        </w:tc>
        <w:tc>
          <w:tcPr>
            <w:tcW w:w="3620" w:type="dxa"/>
            <w:vMerge w:val="restart"/>
            <w:shd w:val="clear" w:color="auto" w:fill="auto"/>
            <w:noWrap/>
            <w:vAlign w:val="center"/>
            <w:hideMark/>
          </w:tcPr>
          <w:p w:rsidR="00CD76E3" w:rsidRPr="00CD76E3" w:rsidRDefault="00CD76E3" w:rsidP="00CD76E3">
            <w:pPr>
              <w:contextualSpacing/>
              <w:rPr>
                <w:rFonts w:ascii="Times New Roman" w:hAnsi="Times New Roman" w:cs="Times New Roman"/>
                <w:b/>
                <w:bCs/>
                <w:color w:val="000000"/>
                <w:sz w:val="24"/>
                <w:szCs w:val="24"/>
                <w:lang w:eastAsia="en-GB"/>
              </w:rPr>
            </w:pPr>
            <w:r w:rsidRPr="00CD76E3">
              <w:rPr>
                <w:rFonts w:ascii="Times New Roman" w:hAnsi="Times New Roman" w:cs="Times New Roman"/>
                <w:b/>
                <w:bCs/>
                <w:color w:val="000000"/>
                <w:sz w:val="24"/>
                <w:szCs w:val="24"/>
                <w:lang w:eastAsia="en-GB"/>
              </w:rPr>
              <w:t>Substance</w:t>
            </w:r>
          </w:p>
        </w:tc>
        <w:tc>
          <w:tcPr>
            <w:tcW w:w="960" w:type="dxa"/>
            <w:shd w:val="clear" w:color="auto" w:fill="auto"/>
            <w:vAlign w:val="bottom"/>
            <w:hideMark/>
          </w:tcPr>
          <w:p w:rsidR="00CD76E3" w:rsidRPr="00CD76E3" w:rsidRDefault="00CD76E3" w:rsidP="00CD76E3">
            <w:pPr>
              <w:contextualSpacing/>
              <w:jc w:val="center"/>
              <w:rPr>
                <w:rFonts w:ascii="Times New Roman" w:hAnsi="Times New Roman" w:cs="Times New Roman"/>
                <w:b/>
                <w:bCs/>
                <w:color w:val="000000"/>
                <w:sz w:val="24"/>
                <w:szCs w:val="24"/>
                <w:lang w:eastAsia="en-GB"/>
              </w:rPr>
            </w:pPr>
            <w:r w:rsidRPr="00CD76E3">
              <w:rPr>
                <w:rFonts w:ascii="Times New Roman" w:hAnsi="Times New Roman" w:cs="Times New Roman"/>
                <w:b/>
                <w:bCs/>
                <w:color w:val="000000"/>
                <w:sz w:val="24"/>
                <w:szCs w:val="24"/>
                <w:lang w:eastAsia="en-GB"/>
              </w:rPr>
              <w:t>LOQ clean water</w:t>
            </w:r>
          </w:p>
        </w:tc>
        <w:tc>
          <w:tcPr>
            <w:tcW w:w="960" w:type="dxa"/>
            <w:shd w:val="clear" w:color="auto" w:fill="auto"/>
            <w:vAlign w:val="bottom"/>
            <w:hideMark/>
          </w:tcPr>
          <w:p w:rsidR="00CD76E3" w:rsidRPr="00CD76E3" w:rsidRDefault="00CD76E3" w:rsidP="00CD76E3">
            <w:pPr>
              <w:contextualSpacing/>
              <w:jc w:val="center"/>
              <w:rPr>
                <w:rFonts w:ascii="Times New Roman" w:hAnsi="Times New Roman" w:cs="Times New Roman"/>
                <w:b/>
                <w:bCs/>
                <w:color w:val="000000"/>
                <w:sz w:val="24"/>
                <w:szCs w:val="24"/>
                <w:lang w:eastAsia="en-GB"/>
              </w:rPr>
            </w:pPr>
            <w:r w:rsidRPr="00CD76E3">
              <w:rPr>
                <w:rFonts w:ascii="Times New Roman" w:hAnsi="Times New Roman" w:cs="Times New Roman"/>
                <w:b/>
                <w:bCs/>
                <w:color w:val="000000"/>
                <w:sz w:val="24"/>
                <w:szCs w:val="24"/>
                <w:lang w:eastAsia="en-GB"/>
              </w:rPr>
              <w:t>LOQ waste water</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b/>
                <w:bCs/>
                <w:color w:val="000000"/>
                <w:sz w:val="24"/>
                <w:szCs w:val="24"/>
                <w:lang w:eastAsia="en-GB"/>
              </w:rPr>
            </w:pPr>
          </w:p>
        </w:tc>
        <w:tc>
          <w:tcPr>
            <w:tcW w:w="3620" w:type="dxa"/>
            <w:vMerge/>
            <w:shd w:val="clear" w:color="auto" w:fill="auto"/>
            <w:vAlign w:val="center"/>
            <w:hideMark/>
          </w:tcPr>
          <w:p w:rsidR="00CD76E3" w:rsidRPr="00CD76E3" w:rsidRDefault="00CD76E3" w:rsidP="00CD76E3">
            <w:pPr>
              <w:contextualSpacing/>
              <w:rPr>
                <w:rFonts w:ascii="Times New Roman" w:hAnsi="Times New Roman" w:cs="Times New Roman"/>
                <w:b/>
                <w:bCs/>
                <w:color w:val="000000"/>
                <w:sz w:val="24"/>
                <w:szCs w:val="24"/>
                <w:lang w:eastAsia="en-GB"/>
              </w:rPr>
            </w:pP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b/>
                <w:bCs/>
                <w:color w:val="000000"/>
                <w:sz w:val="24"/>
                <w:szCs w:val="24"/>
                <w:lang w:eastAsia="en-GB"/>
              </w:rPr>
            </w:pPr>
            <w:r w:rsidRPr="00CD76E3">
              <w:rPr>
                <w:rFonts w:ascii="Times New Roman" w:hAnsi="Times New Roman" w:cs="Times New Roman"/>
                <w:b/>
                <w:bCs/>
                <w:color w:val="000000"/>
                <w:sz w:val="24"/>
                <w:szCs w:val="24"/>
                <w:lang w:eastAsia="en-GB"/>
              </w:rPr>
              <w:t>ng/l</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b/>
                <w:bCs/>
                <w:color w:val="000000"/>
                <w:sz w:val="24"/>
                <w:szCs w:val="24"/>
                <w:lang w:eastAsia="en-GB"/>
              </w:rPr>
            </w:pPr>
            <w:r w:rsidRPr="00CD76E3">
              <w:rPr>
                <w:rFonts w:ascii="Times New Roman" w:hAnsi="Times New Roman" w:cs="Times New Roman"/>
                <w:b/>
                <w:bCs/>
                <w:color w:val="000000"/>
                <w:sz w:val="24"/>
                <w:szCs w:val="24"/>
                <w:lang w:eastAsia="en-GB"/>
              </w:rPr>
              <w:t>ng/l</w:t>
            </w:r>
          </w:p>
        </w:tc>
      </w:tr>
      <w:tr w:rsidR="00CD76E3" w:rsidRPr="00CD76E3" w:rsidTr="00FB0208">
        <w:trPr>
          <w:trHeight w:val="300"/>
        </w:trPr>
        <w:tc>
          <w:tcPr>
            <w:tcW w:w="2440" w:type="dxa"/>
            <w:vMerge w:val="restart"/>
            <w:shd w:val="clear" w:color="auto" w:fill="auto"/>
            <w:noWrap/>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Pharmaceuticals</w:t>
            </w: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Atenolol</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100</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250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proofErr w:type="spellStart"/>
            <w:r w:rsidRPr="00CD76E3">
              <w:rPr>
                <w:rFonts w:ascii="Times New Roman" w:hAnsi="Times New Roman" w:cs="Times New Roman"/>
                <w:color w:val="000000"/>
                <w:sz w:val="24"/>
                <w:szCs w:val="24"/>
                <w:lang w:eastAsia="en-GB"/>
              </w:rPr>
              <w:t>Bezafibrate</w:t>
            </w:r>
            <w:proofErr w:type="spellEnd"/>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20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Carbamazepine</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Clarithromycin</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10</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sz w:val="24"/>
                <w:szCs w:val="24"/>
                <w:lang w:eastAsia="en-GB"/>
              </w:rPr>
            </w:pPr>
            <w:r w:rsidRPr="00CD76E3">
              <w:rPr>
                <w:rFonts w:ascii="Times New Roman" w:hAnsi="Times New Roman" w:cs="Times New Roman"/>
                <w:sz w:val="24"/>
                <w:szCs w:val="24"/>
                <w:lang w:eastAsia="en-GB"/>
              </w:rPr>
              <w:t>Ciprofloxacin</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50</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500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sz w:val="24"/>
                <w:szCs w:val="24"/>
                <w:lang w:eastAsia="en-GB"/>
              </w:rPr>
            </w:pPr>
            <w:r w:rsidRPr="00CD76E3">
              <w:rPr>
                <w:rFonts w:ascii="Times New Roman" w:hAnsi="Times New Roman" w:cs="Times New Roman"/>
                <w:sz w:val="24"/>
                <w:szCs w:val="24"/>
                <w:lang w:eastAsia="en-GB"/>
              </w:rPr>
              <w:t>Cyclophosphamide</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Diclofenac</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Erythromycin</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20</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100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proofErr w:type="spellStart"/>
            <w:r w:rsidRPr="00CD76E3">
              <w:rPr>
                <w:rFonts w:ascii="Times New Roman" w:hAnsi="Times New Roman" w:cs="Times New Roman"/>
                <w:color w:val="000000"/>
                <w:sz w:val="24"/>
                <w:szCs w:val="24"/>
                <w:lang w:eastAsia="en-GB"/>
              </w:rPr>
              <w:t>Ketoprofen</w:t>
            </w:r>
            <w:proofErr w:type="spellEnd"/>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Lidocaine</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Metoprolol</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10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Propranolol</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20</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100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 xml:space="preserve">N4-acetylsulfamethoxazole </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10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Sulfamethoxazole</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r>
      <w:tr w:rsidR="00CD76E3" w:rsidRPr="00CD76E3" w:rsidTr="00FB0208">
        <w:trPr>
          <w:trHeight w:val="300"/>
        </w:trPr>
        <w:tc>
          <w:tcPr>
            <w:tcW w:w="2440" w:type="dxa"/>
            <w:vMerge w:val="restart"/>
            <w:shd w:val="clear" w:color="auto" w:fill="auto"/>
            <w:noWrap/>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Pesticides/Herbicides etc.</w:t>
            </w: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proofErr w:type="spellStart"/>
            <w:r w:rsidRPr="00CD76E3">
              <w:rPr>
                <w:rFonts w:ascii="Times New Roman" w:hAnsi="Times New Roman" w:cs="Times New Roman"/>
                <w:color w:val="000000"/>
                <w:sz w:val="24"/>
                <w:szCs w:val="24"/>
                <w:lang w:eastAsia="en-GB"/>
              </w:rPr>
              <w:t>Carbendazim</w:t>
            </w:r>
            <w:proofErr w:type="spellEnd"/>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proofErr w:type="spellStart"/>
            <w:r w:rsidRPr="00CD76E3">
              <w:rPr>
                <w:rFonts w:ascii="Times New Roman" w:hAnsi="Times New Roman" w:cs="Times New Roman"/>
                <w:color w:val="000000"/>
                <w:sz w:val="24"/>
                <w:szCs w:val="24"/>
                <w:lang w:eastAsia="en-GB"/>
              </w:rPr>
              <w:t>Deet</w:t>
            </w:r>
            <w:proofErr w:type="spellEnd"/>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10</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20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proofErr w:type="spellStart"/>
            <w:r w:rsidRPr="00CD76E3">
              <w:rPr>
                <w:rFonts w:ascii="Times New Roman" w:hAnsi="Times New Roman" w:cs="Times New Roman"/>
                <w:color w:val="000000"/>
                <w:sz w:val="24"/>
                <w:szCs w:val="24"/>
                <w:lang w:eastAsia="en-GB"/>
              </w:rPr>
              <w:t>Diuron</w:t>
            </w:r>
            <w:proofErr w:type="spellEnd"/>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10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proofErr w:type="spellStart"/>
            <w:r w:rsidRPr="00CD76E3">
              <w:rPr>
                <w:rFonts w:ascii="Times New Roman" w:hAnsi="Times New Roman" w:cs="Times New Roman"/>
                <w:color w:val="000000"/>
                <w:sz w:val="24"/>
                <w:szCs w:val="24"/>
                <w:lang w:eastAsia="en-GB"/>
              </w:rPr>
              <w:t>Isoproturon</w:t>
            </w:r>
            <w:proofErr w:type="spellEnd"/>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proofErr w:type="spellStart"/>
            <w:r w:rsidRPr="00CD76E3">
              <w:rPr>
                <w:rFonts w:ascii="Times New Roman" w:hAnsi="Times New Roman" w:cs="Times New Roman"/>
                <w:color w:val="000000"/>
                <w:sz w:val="24"/>
                <w:szCs w:val="24"/>
                <w:lang w:eastAsia="en-GB"/>
              </w:rPr>
              <w:t>Terbutryn</w:t>
            </w:r>
            <w:proofErr w:type="spellEnd"/>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10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proofErr w:type="spellStart"/>
            <w:r w:rsidRPr="00CD76E3">
              <w:rPr>
                <w:rFonts w:ascii="Times New Roman" w:hAnsi="Times New Roman" w:cs="Times New Roman"/>
                <w:color w:val="000000"/>
                <w:sz w:val="24"/>
                <w:szCs w:val="24"/>
                <w:lang w:eastAsia="en-GB"/>
              </w:rPr>
              <w:t>Mecoprop</w:t>
            </w:r>
            <w:proofErr w:type="spellEnd"/>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10</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100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proofErr w:type="spellStart"/>
            <w:r w:rsidRPr="00CD76E3">
              <w:rPr>
                <w:rFonts w:ascii="Times New Roman" w:hAnsi="Times New Roman" w:cs="Times New Roman"/>
                <w:color w:val="000000"/>
                <w:sz w:val="24"/>
                <w:szCs w:val="24"/>
                <w:lang w:eastAsia="en-GB"/>
              </w:rPr>
              <w:t>Tolyltriazole</w:t>
            </w:r>
            <w:proofErr w:type="spellEnd"/>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20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Glyphosate</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20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AMPA (</w:t>
            </w:r>
            <w:proofErr w:type="spellStart"/>
            <w:r w:rsidRPr="00CD76E3">
              <w:rPr>
                <w:rFonts w:ascii="Times New Roman" w:hAnsi="Times New Roman" w:cs="Times New Roman"/>
                <w:color w:val="000000"/>
                <w:sz w:val="24"/>
                <w:szCs w:val="24"/>
                <w:lang w:eastAsia="en-GB"/>
              </w:rPr>
              <w:t>Aminomethylphosphonic</w:t>
            </w:r>
            <w:proofErr w:type="spellEnd"/>
            <w:r w:rsidRPr="00CD76E3">
              <w:rPr>
                <w:rFonts w:ascii="Times New Roman" w:hAnsi="Times New Roman" w:cs="Times New Roman"/>
                <w:color w:val="000000"/>
                <w:sz w:val="24"/>
                <w:szCs w:val="24"/>
                <w:lang w:eastAsia="en-GB"/>
              </w:rPr>
              <w:t xml:space="preserve"> acid)</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20</w:t>
            </w:r>
          </w:p>
        </w:tc>
      </w:tr>
      <w:tr w:rsidR="00CD76E3" w:rsidRPr="00CD76E3" w:rsidTr="00FB0208">
        <w:trPr>
          <w:trHeight w:val="300"/>
        </w:trPr>
        <w:tc>
          <w:tcPr>
            <w:tcW w:w="2440" w:type="dxa"/>
            <w:vMerge w:val="restart"/>
            <w:shd w:val="clear" w:color="auto" w:fill="auto"/>
            <w:noWrap/>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roofErr w:type="spellStart"/>
            <w:r w:rsidRPr="00CD76E3">
              <w:rPr>
                <w:rFonts w:ascii="Times New Roman" w:hAnsi="Times New Roman" w:cs="Times New Roman"/>
                <w:color w:val="000000"/>
                <w:sz w:val="24"/>
                <w:szCs w:val="24"/>
                <w:lang w:eastAsia="en-GB"/>
              </w:rPr>
              <w:t>Fluorosurfactants</w:t>
            </w:r>
            <w:proofErr w:type="spellEnd"/>
          </w:p>
        </w:tc>
        <w:tc>
          <w:tcPr>
            <w:tcW w:w="3620" w:type="dxa"/>
            <w:shd w:val="clear" w:color="auto" w:fill="auto"/>
            <w:noWrap/>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roofErr w:type="spellStart"/>
            <w:r w:rsidRPr="00CD76E3">
              <w:rPr>
                <w:rFonts w:ascii="Times New Roman" w:hAnsi="Times New Roman" w:cs="Times New Roman"/>
                <w:color w:val="000000"/>
                <w:sz w:val="24"/>
                <w:szCs w:val="24"/>
                <w:lang w:eastAsia="en-GB"/>
              </w:rPr>
              <w:t>Perfluorooctanesulfonic</w:t>
            </w:r>
            <w:proofErr w:type="spellEnd"/>
            <w:r w:rsidRPr="00CD76E3">
              <w:rPr>
                <w:rFonts w:ascii="Times New Roman" w:hAnsi="Times New Roman" w:cs="Times New Roman"/>
                <w:color w:val="000000"/>
                <w:sz w:val="24"/>
                <w:szCs w:val="24"/>
                <w:lang w:eastAsia="en-GB"/>
              </w:rPr>
              <w:t xml:space="preserve"> acid (PFOS) </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10</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100</w:t>
            </w:r>
          </w:p>
        </w:tc>
      </w:tr>
      <w:tr w:rsidR="00CD76E3" w:rsidRPr="00CD76E3" w:rsidTr="00FB0208">
        <w:trPr>
          <w:trHeight w:val="300"/>
        </w:trPr>
        <w:tc>
          <w:tcPr>
            <w:tcW w:w="2440" w:type="dxa"/>
            <w:vMerge/>
            <w:shd w:val="clear" w:color="auto" w:fill="auto"/>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
        </w:tc>
        <w:tc>
          <w:tcPr>
            <w:tcW w:w="3620" w:type="dxa"/>
            <w:shd w:val="clear" w:color="auto" w:fill="auto"/>
            <w:noWrap/>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proofErr w:type="spellStart"/>
            <w:r w:rsidRPr="00CD76E3">
              <w:rPr>
                <w:rFonts w:ascii="Times New Roman" w:hAnsi="Times New Roman" w:cs="Times New Roman"/>
                <w:color w:val="000000"/>
                <w:sz w:val="24"/>
                <w:szCs w:val="24"/>
                <w:lang w:eastAsia="en-GB"/>
              </w:rPr>
              <w:t>Perfluorooctanoic</w:t>
            </w:r>
            <w:proofErr w:type="spellEnd"/>
            <w:r w:rsidRPr="00CD76E3">
              <w:rPr>
                <w:rFonts w:ascii="Times New Roman" w:hAnsi="Times New Roman" w:cs="Times New Roman"/>
                <w:color w:val="000000"/>
                <w:sz w:val="24"/>
                <w:szCs w:val="24"/>
                <w:lang w:eastAsia="en-GB"/>
              </w:rPr>
              <w:t xml:space="preserve"> acid (PFOA)</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20</w:t>
            </w:r>
          </w:p>
        </w:tc>
      </w:tr>
      <w:tr w:rsidR="00CD76E3" w:rsidRPr="00CD76E3" w:rsidTr="00FB0208">
        <w:trPr>
          <w:trHeight w:val="300"/>
        </w:trPr>
        <w:tc>
          <w:tcPr>
            <w:tcW w:w="2440" w:type="dxa"/>
            <w:shd w:val="clear" w:color="auto" w:fill="auto"/>
            <w:noWrap/>
            <w:vAlign w:val="center"/>
            <w:hideMark/>
          </w:tcPr>
          <w:p w:rsidR="00CD76E3" w:rsidRPr="00CD76E3" w:rsidRDefault="00CD76E3" w:rsidP="00CD76E3">
            <w:pPr>
              <w:contextualSpacing/>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Corrosion inhibitor</w:t>
            </w:r>
          </w:p>
        </w:tc>
        <w:tc>
          <w:tcPr>
            <w:tcW w:w="3620" w:type="dxa"/>
            <w:shd w:val="clear" w:color="auto" w:fill="auto"/>
            <w:noWrap/>
            <w:vAlign w:val="bottom"/>
            <w:hideMark/>
          </w:tcPr>
          <w:p w:rsidR="00CD76E3" w:rsidRPr="00CD76E3" w:rsidRDefault="00CD76E3" w:rsidP="00CD76E3">
            <w:pPr>
              <w:contextualSpacing/>
              <w:rPr>
                <w:rFonts w:ascii="Times New Roman" w:hAnsi="Times New Roman" w:cs="Times New Roman"/>
                <w:color w:val="000000"/>
                <w:sz w:val="24"/>
                <w:szCs w:val="24"/>
                <w:lang w:eastAsia="en-GB"/>
              </w:rPr>
            </w:pPr>
            <w:proofErr w:type="spellStart"/>
            <w:r w:rsidRPr="00CD76E3">
              <w:rPr>
                <w:rFonts w:ascii="Times New Roman" w:hAnsi="Times New Roman" w:cs="Times New Roman"/>
                <w:color w:val="000000"/>
                <w:sz w:val="24"/>
                <w:szCs w:val="24"/>
                <w:lang w:eastAsia="en-GB"/>
              </w:rPr>
              <w:t>Benzotriazole</w:t>
            </w:r>
            <w:proofErr w:type="spellEnd"/>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5</w:t>
            </w:r>
          </w:p>
        </w:tc>
        <w:tc>
          <w:tcPr>
            <w:tcW w:w="960" w:type="dxa"/>
            <w:shd w:val="clear" w:color="auto" w:fill="auto"/>
            <w:noWrap/>
            <w:vAlign w:val="bottom"/>
            <w:hideMark/>
          </w:tcPr>
          <w:p w:rsidR="00CD76E3" w:rsidRPr="00CD76E3" w:rsidRDefault="00CD76E3" w:rsidP="00CD76E3">
            <w:pPr>
              <w:contextualSpacing/>
              <w:jc w:val="center"/>
              <w:rPr>
                <w:rFonts w:ascii="Times New Roman" w:hAnsi="Times New Roman" w:cs="Times New Roman"/>
                <w:color w:val="000000"/>
                <w:sz w:val="24"/>
                <w:szCs w:val="24"/>
                <w:lang w:eastAsia="en-GB"/>
              </w:rPr>
            </w:pPr>
            <w:r w:rsidRPr="00CD76E3">
              <w:rPr>
                <w:rFonts w:ascii="Times New Roman" w:hAnsi="Times New Roman" w:cs="Times New Roman"/>
                <w:color w:val="000000"/>
                <w:sz w:val="24"/>
                <w:szCs w:val="24"/>
                <w:lang w:eastAsia="en-GB"/>
              </w:rPr>
              <w:t>20</w:t>
            </w:r>
          </w:p>
        </w:tc>
      </w:tr>
    </w:tbl>
    <w:p w:rsidR="00CD76E3" w:rsidRDefault="00CD76E3" w:rsidP="00CD76E3"/>
    <w:p w:rsidR="00CD5A7C" w:rsidRPr="009811A7" w:rsidRDefault="00CD5A7C" w:rsidP="00CD5A7C">
      <w:pPr>
        <w:spacing w:line="480" w:lineRule="auto"/>
        <w:jc w:val="both"/>
        <w:rPr>
          <w:rFonts w:ascii="Times New Roman" w:hAnsi="Times New Roman" w:cs="Times New Roman"/>
          <w:color w:val="FF0000"/>
        </w:rPr>
      </w:pPr>
      <w:r w:rsidRPr="009811A7">
        <w:rPr>
          <w:rFonts w:ascii="Times New Roman" w:hAnsi="Times New Roman" w:cs="Times New Roman"/>
          <w:color w:val="FF0000"/>
        </w:rPr>
        <w:t>Tab. 2: Inorganic salts used for nutrient solution.</w:t>
      </w:r>
    </w:p>
    <w:tbl>
      <w:tblPr>
        <w:tblStyle w:val="TableGrid"/>
        <w:tblW w:w="9810" w:type="dxa"/>
        <w:tblLook w:val="04A0" w:firstRow="1" w:lastRow="0" w:firstColumn="1" w:lastColumn="0" w:noHBand="0" w:noVBand="1"/>
      </w:tblPr>
      <w:tblGrid>
        <w:gridCol w:w="2103"/>
        <w:gridCol w:w="2322"/>
        <w:gridCol w:w="1904"/>
        <w:gridCol w:w="1615"/>
        <w:gridCol w:w="1866"/>
      </w:tblGrid>
      <w:tr w:rsidR="00CD5A7C" w:rsidRPr="001E79CF" w:rsidTr="009811A7">
        <w:tc>
          <w:tcPr>
            <w:tcW w:w="2103" w:type="dxa"/>
            <w:vAlign w:val="center"/>
          </w:tcPr>
          <w:p w:rsidR="00CD5A7C" w:rsidRPr="00B45009" w:rsidRDefault="00CD5A7C" w:rsidP="00006713">
            <w:pPr>
              <w:spacing w:line="480" w:lineRule="auto"/>
              <w:jc w:val="center"/>
              <w:rPr>
                <w:rFonts w:ascii="Times New Roman" w:hAnsi="Times New Roman" w:cs="Times New Roman"/>
                <w:b/>
                <w:bCs/>
                <w:color w:val="000000"/>
              </w:rPr>
            </w:pPr>
            <w:r w:rsidRPr="00B45009">
              <w:rPr>
                <w:rFonts w:ascii="Times New Roman" w:hAnsi="Times New Roman" w:cs="Times New Roman"/>
                <w:b/>
                <w:bCs/>
                <w:color w:val="000000"/>
              </w:rPr>
              <w:t>Chemical</w:t>
            </w:r>
          </w:p>
        </w:tc>
        <w:tc>
          <w:tcPr>
            <w:tcW w:w="2322" w:type="dxa"/>
            <w:vAlign w:val="center"/>
          </w:tcPr>
          <w:p w:rsidR="00CD5A7C" w:rsidRPr="00B45009" w:rsidRDefault="00CD5A7C" w:rsidP="00006713">
            <w:pPr>
              <w:spacing w:line="480" w:lineRule="auto"/>
              <w:jc w:val="center"/>
              <w:rPr>
                <w:rFonts w:ascii="Times New Roman" w:hAnsi="Times New Roman" w:cs="Times New Roman"/>
                <w:b/>
                <w:bCs/>
                <w:color w:val="000000"/>
              </w:rPr>
            </w:pPr>
            <w:r w:rsidRPr="00B45009">
              <w:rPr>
                <w:rFonts w:ascii="Times New Roman" w:hAnsi="Times New Roman" w:cs="Times New Roman"/>
                <w:b/>
                <w:bCs/>
                <w:color w:val="000000"/>
              </w:rPr>
              <w:t>Substance</w:t>
            </w:r>
          </w:p>
        </w:tc>
        <w:tc>
          <w:tcPr>
            <w:tcW w:w="1904" w:type="dxa"/>
            <w:vAlign w:val="center"/>
          </w:tcPr>
          <w:p w:rsidR="00CD5A7C" w:rsidRPr="00B45009" w:rsidRDefault="00CD5A7C" w:rsidP="00006713">
            <w:pPr>
              <w:spacing w:line="480" w:lineRule="auto"/>
              <w:jc w:val="center"/>
              <w:rPr>
                <w:rFonts w:ascii="Times New Roman" w:hAnsi="Times New Roman" w:cs="Times New Roman"/>
                <w:b/>
                <w:bCs/>
                <w:color w:val="000000"/>
              </w:rPr>
            </w:pPr>
            <w:r w:rsidRPr="00B45009">
              <w:rPr>
                <w:rFonts w:ascii="Times New Roman" w:hAnsi="Times New Roman" w:cs="Times New Roman"/>
                <w:b/>
                <w:bCs/>
                <w:color w:val="000000"/>
              </w:rPr>
              <w:t>Molar mass (g/</w:t>
            </w:r>
            <w:proofErr w:type="spellStart"/>
            <w:r w:rsidRPr="00B45009">
              <w:rPr>
                <w:rFonts w:ascii="Times New Roman" w:hAnsi="Times New Roman" w:cs="Times New Roman"/>
                <w:b/>
                <w:bCs/>
                <w:color w:val="000000"/>
              </w:rPr>
              <w:t>mol</w:t>
            </w:r>
            <w:proofErr w:type="spellEnd"/>
            <w:r w:rsidRPr="00B45009">
              <w:rPr>
                <w:rFonts w:ascii="Times New Roman" w:hAnsi="Times New Roman" w:cs="Times New Roman"/>
                <w:b/>
                <w:bCs/>
                <w:color w:val="000000"/>
              </w:rPr>
              <w:t>)</w:t>
            </w:r>
          </w:p>
        </w:tc>
        <w:tc>
          <w:tcPr>
            <w:tcW w:w="1615" w:type="dxa"/>
            <w:vAlign w:val="center"/>
          </w:tcPr>
          <w:p w:rsidR="00CD5A7C" w:rsidRPr="00B45009" w:rsidRDefault="00CD5A7C" w:rsidP="00006713">
            <w:pPr>
              <w:spacing w:line="480" w:lineRule="auto"/>
              <w:jc w:val="center"/>
              <w:rPr>
                <w:rFonts w:ascii="Times New Roman" w:hAnsi="Times New Roman" w:cs="Times New Roman"/>
                <w:b/>
                <w:bCs/>
                <w:color w:val="000000"/>
              </w:rPr>
            </w:pPr>
            <w:proofErr w:type="spellStart"/>
            <w:r w:rsidRPr="00B45009">
              <w:rPr>
                <w:rFonts w:ascii="Times New Roman" w:hAnsi="Times New Roman" w:cs="Times New Roman"/>
                <w:b/>
                <w:bCs/>
                <w:color w:val="000000"/>
              </w:rPr>
              <w:t>C</w:t>
            </w:r>
            <w:r>
              <w:rPr>
                <w:rFonts w:ascii="Times New Roman" w:hAnsi="Times New Roman" w:cs="Times New Roman"/>
                <w:b/>
                <w:bCs/>
                <w:color w:val="000000"/>
                <w:vertAlign w:val="subscript"/>
              </w:rPr>
              <w:t>substance</w:t>
            </w:r>
            <w:proofErr w:type="spellEnd"/>
            <w:r w:rsidRPr="00B45009">
              <w:rPr>
                <w:rFonts w:ascii="Times New Roman" w:hAnsi="Times New Roman" w:cs="Times New Roman"/>
                <w:b/>
                <w:bCs/>
                <w:color w:val="000000"/>
              </w:rPr>
              <w:t xml:space="preserve"> (mg/l)</w:t>
            </w:r>
          </w:p>
        </w:tc>
        <w:tc>
          <w:tcPr>
            <w:tcW w:w="1866" w:type="dxa"/>
            <w:vAlign w:val="center"/>
          </w:tcPr>
          <w:p w:rsidR="00CD5A7C" w:rsidRPr="00B45009" w:rsidRDefault="00CD5A7C" w:rsidP="00006713">
            <w:pPr>
              <w:spacing w:line="480" w:lineRule="auto"/>
              <w:jc w:val="center"/>
              <w:rPr>
                <w:rFonts w:ascii="Times New Roman" w:hAnsi="Times New Roman" w:cs="Times New Roman"/>
                <w:b/>
                <w:bCs/>
                <w:color w:val="000000"/>
              </w:rPr>
            </w:pPr>
            <w:proofErr w:type="spellStart"/>
            <w:r w:rsidRPr="00B45009">
              <w:rPr>
                <w:rFonts w:ascii="Times New Roman" w:hAnsi="Times New Roman" w:cs="Times New Roman"/>
                <w:b/>
                <w:bCs/>
                <w:color w:val="000000"/>
              </w:rPr>
              <w:t>C</w:t>
            </w:r>
            <w:r>
              <w:rPr>
                <w:rFonts w:ascii="Times New Roman" w:hAnsi="Times New Roman" w:cs="Times New Roman"/>
                <w:b/>
                <w:bCs/>
                <w:color w:val="000000"/>
                <w:vertAlign w:val="subscript"/>
              </w:rPr>
              <w:t>ions</w:t>
            </w:r>
            <w:proofErr w:type="spellEnd"/>
            <w:r>
              <w:rPr>
                <w:rFonts w:ascii="Times New Roman" w:hAnsi="Times New Roman" w:cs="Times New Roman"/>
                <w:b/>
                <w:bCs/>
                <w:color w:val="000000"/>
                <w:vertAlign w:val="subscript"/>
              </w:rPr>
              <w:t xml:space="preserve"> </w:t>
            </w:r>
            <w:r w:rsidRPr="00B45009">
              <w:rPr>
                <w:rFonts w:ascii="Times New Roman" w:hAnsi="Times New Roman" w:cs="Times New Roman"/>
                <w:b/>
                <w:bCs/>
                <w:color w:val="000000"/>
              </w:rPr>
              <w:t>(mg/l)</w:t>
            </w:r>
          </w:p>
        </w:tc>
      </w:tr>
      <w:tr w:rsidR="00CD5A7C" w:rsidRPr="00B45009" w:rsidTr="009811A7">
        <w:tc>
          <w:tcPr>
            <w:tcW w:w="2103" w:type="dxa"/>
            <w:vAlign w:val="bottom"/>
          </w:tcPr>
          <w:p w:rsidR="00CD5A7C" w:rsidRPr="00B45009" w:rsidRDefault="00CD5A7C" w:rsidP="00006713">
            <w:pPr>
              <w:spacing w:line="480" w:lineRule="auto"/>
              <w:jc w:val="center"/>
              <w:rPr>
                <w:rFonts w:ascii="Times New Roman" w:hAnsi="Times New Roman" w:cs="Times New Roman"/>
                <w:color w:val="5B9BD5"/>
              </w:rPr>
            </w:pPr>
            <w:r w:rsidRPr="00B45009">
              <w:rPr>
                <w:rFonts w:ascii="Times New Roman" w:hAnsi="Times New Roman" w:cs="Times New Roman"/>
                <w:color w:val="FF0000"/>
              </w:rPr>
              <w:t>K</w:t>
            </w:r>
          </w:p>
        </w:tc>
        <w:tc>
          <w:tcPr>
            <w:tcW w:w="2322"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KH</w:t>
            </w:r>
            <w:r w:rsidRPr="00B45009">
              <w:rPr>
                <w:rFonts w:ascii="Times New Roman" w:hAnsi="Times New Roman" w:cs="Times New Roman"/>
                <w:color w:val="000000"/>
                <w:vertAlign w:val="subscript"/>
              </w:rPr>
              <w:t>2</w:t>
            </w:r>
            <w:r w:rsidRPr="00B45009">
              <w:rPr>
                <w:rFonts w:ascii="Times New Roman" w:hAnsi="Times New Roman" w:cs="Times New Roman"/>
                <w:color w:val="000000"/>
              </w:rPr>
              <w:t>PO</w:t>
            </w:r>
            <w:r w:rsidRPr="00B45009">
              <w:rPr>
                <w:rFonts w:ascii="Times New Roman" w:hAnsi="Times New Roman" w:cs="Times New Roman"/>
                <w:color w:val="000000"/>
                <w:vertAlign w:val="subscript"/>
              </w:rPr>
              <w:t xml:space="preserve">4 </w:t>
            </w:r>
          </w:p>
        </w:tc>
        <w:tc>
          <w:tcPr>
            <w:tcW w:w="1904"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136.09</w:t>
            </w:r>
          </w:p>
        </w:tc>
        <w:tc>
          <w:tcPr>
            <w:tcW w:w="1615"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132</w:t>
            </w:r>
          </w:p>
        </w:tc>
        <w:tc>
          <w:tcPr>
            <w:tcW w:w="1866" w:type="dxa"/>
          </w:tcPr>
          <w:p w:rsidR="00CD5A7C" w:rsidRPr="00B45009" w:rsidRDefault="00CD5A7C" w:rsidP="00006713">
            <w:pPr>
              <w:spacing w:line="480" w:lineRule="auto"/>
              <w:jc w:val="center"/>
              <w:rPr>
                <w:rFonts w:ascii="Times New Roman" w:hAnsi="Times New Roman" w:cs="Times New Roman"/>
                <w:color w:val="000000"/>
              </w:rPr>
            </w:pPr>
            <w:r>
              <w:rPr>
                <w:rFonts w:ascii="Times New Roman" w:hAnsi="Times New Roman" w:cs="Times New Roman"/>
                <w:color w:val="000000"/>
              </w:rPr>
              <w:t>38</w:t>
            </w:r>
          </w:p>
        </w:tc>
      </w:tr>
      <w:tr w:rsidR="00CD5A7C" w:rsidRPr="00B45009" w:rsidTr="009811A7">
        <w:tc>
          <w:tcPr>
            <w:tcW w:w="2103" w:type="dxa"/>
            <w:vAlign w:val="bottom"/>
          </w:tcPr>
          <w:p w:rsidR="00CD5A7C" w:rsidRPr="00B45009" w:rsidRDefault="00CD5A7C" w:rsidP="00006713">
            <w:pPr>
              <w:spacing w:line="480" w:lineRule="auto"/>
              <w:jc w:val="center"/>
              <w:rPr>
                <w:rFonts w:ascii="Times New Roman" w:hAnsi="Times New Roman" w:cs="Times New Roman"/>
                <w:color w:val="FF0000"/>
              </w:rPr>
            </w:pPr>
            <w:r w:rsidRPr="006A4732">
              <w:rPr>
                <w:rFonts w:ascii="Times New Roman" w:hAnsi="Times New Roman" w:cs="Times New Roman"/>
                <w:color w:val="1F4E79" w:themeColor="accent1" w:themeShade="80"/>
              </w:rPr>
              <w:t>PO</w:t>
            </w:r>
            <w:r w:rsidRPr="006A4732">
              <w:rPr>
                <w:rFonts w:ascii="Times New Roman" w:hAnsi="Times New Roman" w:cs="Times New Roman"/>
                <w:color w:val="1F4E79" w:themeColor="accent1" w:themeShade="80"/>
                <w:vertAlign w:val="subscript"/>
              </w:rPr>
              <w:t>4</w:t>
            </w:r>
          </w:p>
        </w:tc>
        <w:tc>
          <w:tcPr>
            <w:tcW w:w="2322"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904"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615"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866" w:type="dxa"/>
          </w:tcPr>
          <w:p w:rsidR="00CD5A7C" w:rsidRPr="00B45009" w:rsidRDefault="00CD5A7C" w:rsidP="00006713">
            <w:pPr>
              <w:spacing w:line="480" w:lineRule="auto"/>
              <w:jc w:val="center"/>
              <w:rPr>
                <w:rFonts w:ascii="Times New Roman" w:hAnsi="Times New Roman" w:cs="Times New Roman"/>
                <w:color w:val="000000"/>
              </w:rPr>
            </w:pPr>
            <w:r>
              <w:rPr>
                <w:rFonts w:ascii="Times New Roman" w:hAnsi="Times New Roman" w:cs="Times New Roman"/>
                <w:color w:val="000000"/>
              </w:rPr>
              <w:t>92</w:t>
            </w:r>
          </w:p>
        </w:tc>
      </w:tr>
      <w:tr w:rsidR="00CD5A7C" w:rsidRPr="00B45009" w:rsidTr="009811A7">
        <w:tc>
          <w:tcPr>
            <w:tcW w:w="2103" w:type="dxa"/>
            <w:vAlign w:val="bottom"/>
          </w:tcPr>
          <w:p w:rsidR="00CD5A7C" w:rsidRPr="00291FBB" w:rsidRDefault="00CD5A7C" w:rsidP="00006713">
            <w:pPr>
              <w:spacing w:line="480" w:lineRule="auto"/>
              <w:jc w:val="center"/>
              <w:rPr>
                <w:rFonts w:ascii="Times New Roman" w:hAnsi="Times New Roman" w:cs="Times New Roman"/>
                <w:color w:val="0070C0"/>
              </w:rPr>
            </w:pPr>
            <w:r w:rsidRPr="00B45009">
              <w:rPr>
                <w:rFonts w:ascii="Times New Roman" w:hAnsi="Times New Roman" w:cs="Times New Roman"/>
                <w:color w:val="FF0000"/>
              </w:rPr>
              <w:t>K</w:t>
            </w:r>
            <w:r w:rsidRPr="00291FBB">
              <w:rPr>
                <w:rFonts w:ascii="Times New Roman" w:hAnsi="Times New Roman" w:cs="Times New Roman"/>
                <w:color w:val="0070C0"/>
              </w:rPr>
              <w:t xml:space="preserve"> </w:t>
            </w:r>
          </w:p>
        </w:tc>
        <w:tc>
          <w:tcPr>
            <w:tcW w:w="2322"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KNO</w:t>
            </w:r>
            <w:r w:rsidRPr="00B45009">
              <w:rPr>
                <w:rFonts w:ascii="Times New Roman" w:hAnsi="Times New Roman" w:cs="Times New Roman"/>
                <w:color w:val="000000"/>
                <w:vertAlign w:val="subscript"/>
              </w:rPr>
              <w:t>3</w:t>
            </w:r>
          </w:p>
        </w:tc>
        <w:tc>
          <w:tcPr>
            <w:tcW w:w="1904"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101.10</w:t>
            </w:r>
          </w:p>
        </w:tc>
        <w:tc>
          <w:tcPr>
            <w:tcW w:w="1615"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650</w:t>
            </w:r>
          </w:p>
        </w:tc>
        <w:tc>
          <w:tcPr>
            <w:tcW w:w="1866" w:type="dxa"/>
          </w:tcPr>
          <w:p w:rsidR="00CD5A7C" w:rsidRPr="00B45009" w:rsidRDefault="00CD5A7C" w:rsidP="00006713">
            <w:pPr>
              <w:spacing w:line="480" w:lineRule="auto"/>
              <w:jc w:val="center"/>
              <w:rPr>
                <w:rFonts w:ascii="Times New Roman" w:hAnsi="Times New Roman" w:cs="Times New Roman"/>
                <w:color w:val="000000"/>
              </w:rPr>
            </w:pPr>
            <w:r>
              <w:rPr>
                <w:rFonts w:ascii="Times New Roman" w:hAnsi="Times New Roman" w:cs="Times New Roman"/>
                <w:color w:val="000000"/>
              </w:rPr>
              <w:t>251</w:t>
            </w:r>
          </w:p>
        </w:tc>
      </w:tr>
      <w:tr w:rsidR="00CD5A7C" w:rsidRPr="00B45009" w:rsidTr="009811A7">
        <w:tc>
          <w:tcPr>
            <w:tcW w:w="2103" w:type="dxa"/>
            <w:vAlign w:val="bottom"/>
          </w:tcPr>
          <w:p w:rsidR="00CD5A7C" w:rsidRPr="00B45009" w:rsidRDefault="00CD5A7C" w:rsidP="00006713">
            <w:pPr>
              <w:spacing w:line="480" w:lineRule="auto"/>
              <w:jc w:val="center"/>
              <w:rPr>
                <w:rFonts w:ascii="Times New Roman" w:hAnsi="Times New Roman" w:cs="Times New Roman"/>
                <w:color w:val="FF0000"/>
              </w:rPr>
            </w:pPr>
            <w:r w:rsidRPr="006A4732">
              <w:rPr>
                <w:rFonts w:ascii="Times New Roman" w:hAnsi="Times New Roman" w:cs="Times New Roman"/>
                <w:color w:val="1F4E79" w:themeColor="accent1" w:themeShade="80"/>
              </w:rPr>
              <w:t>NO</w:t>
            </w:r>
            <w:r w:rsidRPr="006A4732">
              <w:rPr>
                <w:rFonts w:ascii="Times New Roman" w:hAnsi="Times New Roman" w:cs="Times New Roman"/>
                <w:color w:val="1F4E79" w:themeColor="accent1" w:themeShade="80"/>
                <w:vertAlign w:val="subscript"/>
              </w:rPr>
              <w:t>3</w:t>
            </w:r>
          </w:p>
        </w:tc>
        <w:tc>
          <w:tcPr>
            <w:tcW w:w="2322"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904"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615"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866" w:type="dxa"/>
          </w:tcPr>
          <w:p w:rsidR="00CD5A7C" w:rsidRPr="00B45009" w:rsidRDefault="00CD5A7C" w:rsidP="00006713">
            <w:pPr>
              <w:spacing w:line="480" w:lineRule="auto"/>
              <w:jc w:val="center"/>
              <w:rPr>
                <w:rFonts w:ascii="Times New Roman" w:hAnsi="Times New Roman" w:cs="Times New Roman"/>
                <w:color w:val="000000"/>
              </w:rPr>
            </w:pPr>
            <w:r>
              <w:rPr>
                <w:rFonts w:ascii="Times New Roman" w:hAnsi="Times New Roman" w:cs="Times New Roman"/>
                <w:color w:val="000000"/>
              </w:rPr>
              <w:t>399</w:t>
            </w:r>
          </w:p>
        </w:tc>
      </w:tr>
      <w:tr w:rsidR="00CD5A7C" w:rsidRPr="00B45009" w:rsidTr="009811A7">
        <w:tc>
          <w:tcPr>
            <w:tcW w:w="2103" w:type="dxa"/>
            <w:vAlign w:val="bottom"/>
          </w:tcPr>
          <w:p w:rsidR="00CD5A7C" w:rsidRPr="00B45009" w:rsidRDefault="00CD5A7C" w:rsidP="00006713">
            <w:pPr>
              <w:spacing w:line="480" w:lineRule="auto"/>
              <w:jc w:val="center"/>
              <w:rPr>
                <w:rFonts w:ascii="Times New Roman" w:hAnsi="Times New Roman" w:cs="Times New Roman"/>
                <w:color w:val="FF0000"/>
              </w:rPr>
            </w:pPr>
            <w:r w:rsidRPr="00B45009">
              <w:rPr>
                <w:rFonts w:ascii="Times New Roman" w:hAnsi="Times New Roman" w:cs="Times New Roman"/>
                <w:color w:val="FF0000"/>
              </w:rPr>
              <w:t>Ca</w:t>
            </w:r>
          </w:p>
        </w:tc>
        <w:tc>
          <w:tcPr>
            <w:tcW w:w="2322"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CaCl</w:t>
            </w:r>
            <w:r w:rsidRPr="00006713">
              <w:rPr>
                <w:rFonts w:ascii="Times New Roman" w:hAnsi="Times New Roman" w:cs="Times New Roman"/>
                <w:color w:val="000000"/>
                <w:vertAlign w:val="subscript"/>
              </w:rPr>
              <w:t>2</w:t>
            </w:r>
            <w:r w:rsidRPr="00B45009">
              <w:rPr>
                <w:rFonts w:ascii="Times New Roman" w:hAnsi="Times New Roman" w:cs="Times New Roman"/>
                <w:color w:val="000000"/>
              </w:rPr>
              <w:t xml:space="preserve"> * 2H</w:t>
            </w:r>
            <w:r w:rsidRPr="00B45009">
              <w:rPr>
                <w:rFonts w:ascii="Times New Roman" w:hAnsi="Times New Roman" w:cs="Times New Roman"/>
                <w:color w:val="000000"/>
                <w:vertAlign w:val="subscript"/>
              </w:rPr>
              <w:t>2</w:t>
            </w:r>
            <w:r w:rsidRPr="00B45009">
              <w:rPr>
                <w:rFonts w:ascii="Times New Roman" w:hAnsi="Times New Roman" w:cs="Times New Roman"/>
                <w:color w:val="000000"/>
              </w:rPr>
              <w:t>O</w:t>
            </w:r>
          </w:p>
        </w:tc>
        <w:tc>
          <w:tcPr>
            <w:tcW w:w="1904"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147.00</w:t>
            </w:r>
          </w:p>
        </w:tc>
        <w:tc>
          <w:tcPr>
            <w:tcW w:w="1615"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92</w:t>
            </w:r>
          </w:p>
        </w:tc>
        <w:tc>
          <w:tcPr>
            <w:tcW w:w="1866" w:type="dxa"/>
          </w:tcPr>
          <w:p w:rsidR="00CD5A7C" w:rsidRPr="00B45009" w:rsidRDefault="00CD5A7C" w:rsidP="00006713">
            <w:pPr>
              <w:spacing w:line="480" w:lineRule="auto"/>
              <w:jc w:val="center"/>
              <w:rPr>
                <w:rFonts w:ascii="Times New Roman" w:hAnsi="Times New Roman" w:cs="Times New Roman"/>
                <w:color w:val="000000"/>
              </w:rPr>
            </w:pPr>
            <w:r>
              <w:rPr>
                <w:rFonts w:ascii="Times New Roman" w:hAnsi="Times New Roman" w:cs="Times New Roman"/>
                <w:color w:val="000000"/>
              </w:rPr>
              <w:t>25</w:t>
            </w:r>
          </w:p>
        </w:tc>
      </w:tr>
      <w:tr w:rsidR="00CD5A7C" w:rsidRPr="00B45009" w:rsidTr="009811A7">
        <w:tc>
          <w:tcPr>
            <w:tcW w:w="2103" w:type="dxa"/>
            <w:vAlign w:val="bottom"/>
          </w:tcPr>
          <w:p w:rsidR="00CD5A7C" w:rsidRPr="00B45009" w:rsidRDefault="00CD5A7C" w:rsidP="00006713">
            <w:pPr>
              <w:spacing w:line="480" w:lineRule="auto"/>
              <w:jc w:val="center"/>
              <w:rPr>
                <w:rFonts w:ascii="Times New Roman" w:hAnsi="Times New Roman" w:cs="Times New Roman"/>
                <w:color w:val="5B9BD5"/>
              </w:rPr>
            </w:pPr>
            <w:r w:rsidRPr="006A4732">
              <w:rPr>
                <w:rFonts w:ascii="Times New Roman" w:hAnsi="Times New Roman" w:cs="Times New Roman"/>
                <w:color w:val="1F4E79" w:themeColor="accent1" w:themeShade="80"/>
              </w:rPr>
              <w:t>Cl</w:t>
            </w:r>
          </w:p>
        </w:tc>
        <w:tc>
          <w:tcPr>
            <w:tcW w:w="2322"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904"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615"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866" w:type="dxa"/>
          </w:tcPr>
          <w:p w:rsidR="00CD5A7C" w:rsidRPr="00B45009" w:rsidRDefault="00CD5A7C" w:rsidP="00006713">
            <w:pPr>
              <w:spacing w:line="480" w:lineRule="auto"/>
              <w:jc w:val="center"/>
              <w:rPr>
                <w:rFonts w:ascii="Times New Roman" w:hAnsi="Times New Roman" w:cs="Times New Roman"/>
                <w:color w:val="000000"/>
              </w:rPr>
            </w:pPr>
            <w:r>
              <w:rPr>
                <w:rFonts w:ascii="Times New Roman" w:hAnsi="Times New Roman" w:cs="Times New Roman"/>
                <w:color w:val="000000"/>
              </w:rPr>
              <w:t>44</w:t>
            </w:r>
          </w:p>
        </w:tc>
      </w:tr>
      <w:tr w:rsidR="00CD5A7C" w:rsidRPr="00B45009" w:rsidTr="009811A7">
        <w:tc>
          <w:tcPr>
            <w:tcW w:w="2103" w:type="dxa"/>
            <w:vAlign w:val="bottom"/>
          </w:tcPr>
          <w:p w:rsidR="00CD5A7C" w:rsidRPr="00B45009" w:rsidRDefault="00CD5A7C" w:rsidP="00006713">
            <w:pPr>
              <w:spacing w:line="480" w:lineRule="auto"/>
              <w:jc w:val="center"/>
              <w:rPr>
                <w:rFonts w:ascii="Times New Roman" w:hAnsi="Times New Roman" w:cs="Times New Roman"/>
                <w:color w:val="FF0000"/>
              </w:rPr>
            </w:pPr>
            <w:r w:rsidRPr="00B45009">
              <w:rPr>
                <w:rFonts w:ascii="Times New Roman" w:hAnsi="Times New Roman" w:cs="Times New Roman"/>
                <w:color w:val="FF0000"/>
              </w:rPr>
              <w:t>Mg</w:t>
            </w:r>
          </w:p>
        </w:tc>
        <w:tc>
          <w:tcPr>
            <w:tcW w:w="2322"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MgSO</w:t>
            </w:r>
            <w:r w:rsidRPr="00B45009">
              <w:rPr>
                <w:rFonts w:ascii="Times New Roman" w:hAnsi="Times New Roman" w:cs="Times New Roman"/>
                <w:color w:val="000000"/>
                <w:vertAlign w:val="subscript"/>
              </w:rPr>
              <w:t>4</w:t>
            </w:r>
            <w:r w:rsidRPr="00B45009">
              <w:rPr>
                <w:rFonts w:ascii="Times New Roman" w:hAnsi="Times New Roman" w:cs="Times New Roman"/>
                <w:color w:val="000000"/>
              </w:rPr>
              <w:t xml:space="preserve"> *</w:t>
            </w:r>
            <w:r>
              <w:rPr>
                <w:rFonts w:ascii="Times New Roman" w:hAnsi="Times New Roman" w:cs="Times New Roman"/>
                <w:color w:val="000000"/>
              </w:rPr>
              <w:t xml:space="preserve"> </w:t>
            </w:r>
            <w:r w:rsidRPr="00B45009">
              <w:rPr>
                <w:rFonts w:ascii="Times New Roman" w:hAnsi="Times New Roman" w:cs="Times New Roman"/>
                <w:color w:val="000000"/>
              </w:rPr>
              <w:t>7H</w:t>
            </w:r>
            <w:r w:rsidRPr="00B45009">
              <w:rPr>
                <w:rFonts w:ascii="Times New Roman" w:hAnsi="Times New Roman" w:cs="Times New Roman"/>
                <w:color w:val="000000"/>
                <w:vertAlign w:val="subscript"/>
              </w:rPr>
              <w:t>2</w:t>
            </w:r>
            <w:r w:rsidRPr="00B45009">
              <w:rPr>
                <w:rFonts w:ascii="Times New Roman" w:hAnsi="Times New Roman" w:cs="Times New Roman"/>
                <w:color w:val="000000"/>
              </w:rPr>
              <w:t>O</w:t>
            </w:r>
          </w:p>
        </w:tc>
        <w:tc>
          <w:tcPr>
            <w:tcW w:w="1904"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246.30</w:t>
            </w:r>
          </w:p>
        </w:tc>
        <w:tc>
          <w:tcPr>
            <w:tcW w:w="1615"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69</w:t>
            </w:r>
          </w:p>
        </w:tc>
        <w:tc>
          <w:tcPr>
            <w:tcW w:w="1866" w:type="dxa"/>
          </w:tcPr>
          <w:p w:rsidR="00CD5A7C" w:rsidRPr="00B45009" w:rsidRDefault="00CD5A7C" w:rsidP="00006713">
            <w:pPr>
              <w:spacing w:line="480" w:lineRule="auto"/>
              <w:jc w:val="center"/>
              <w:rPr>
                <w:rFonts w:ascii="Times New Roman" w:hAnsi="Times New Roman" w:cs="Times New Roman"/>
                <w:color w:val="000000"/>
              </w:rPr>
            </w:pPr>
            <w:r>
              <w:rPr>
                <w:rFonts w:ascii="Times New Roman" w:hAnsi="Times New Roman" w:cs="Times New Roman"/>
                <w:color w:val="000000"/>
              </w:rPr>
              <w:t>6.8</w:t>
            </w:r>
          </w:p>
        </w:tc>
      </w:tr>
      <w:tr w:rsidR="00CD5A7C" w:rsidRPr="00B45009" w:rsidTr="009811A7">
        <w:tc>
          <w:tcPr>
            <w:tcW w:w="2103" w:type="dxa"/>
            <w:vAlign w:val="bottom"/>
          </w:tcPr>
          <w:p w:rsidR="00CD5A7C" w:rsidRPr="00B45009" w:rsidRDefault="00CD5A7C" w:rsidP="00006713">
            <w:pPr>
              <w:spacing w:line="480" w:lineRule="auto"/>
              <w:jc w:val="center"/>
              <w:rPr>
                <w:rFonts w:ascii="Times New Roman" w:hAnsi="Times New Roman" w:cs="Times New Roman"/>
                <w:color w:val="5B9BD5"/>
              </w:rPr>
            </w:pPr>
            <w:r w:rsidRPr="006A4732">
              <w:rPr>
                <w:rFonts w:ascii="Times New Roman" w:hAnsi="Times New Roman" w:cs="Times New Roman"/>
                <w:color w:val="1F4E79" w:themeColor="accent1" w:themeShade="80"/>
              </w:rPr>
              <w:t>SO</w:t>
            </w:r>
            <w:r w:rsidRPr="006A4732">
              <w:rPr>
                <w:rFonts w:ascii="Times New Roman" w:hAnsi="Times New Roman" w:cs="Times New Roman"/>
                <w:color w:val="1F4E79" w:themeColor="accent1" w:themeShade="80"/>
                <w:vertAlign w:val="subscript"/>
              </w:rPr>
              <w:t>4</w:t>
            </w:r>
          </w:p>
        </w:tc>
        <w:tc>
          <w:tcPr>
            <w:tcW w:w="2322"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904"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615"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866" w:type="dxa"/>
          </w:tcPr>
          <w:p w:rsidR="00CD5A7C" w:rsidRPr="00B45009" w:rsidRDefault="00CD5A7C" w:rsidP="00006713">
            <w:pPr>
              <w:spacing w:line="480" w:lineRule="auto"/>
              <w:jc w:val="center"/>
              <w:rPr>
                <w:rFonts w:ascii="Times New Roman" w:hAnsi="Times New Roman" w:cs="Times New Roman"/>
                <w:color w:val="000000"/>
              </w:rPr>
            </w:pPr>
            <w:r>
              <w:rPr>
                <w:rFonts w:ascii="Times New Roman" w:hAnsi="Times New Roman" w:cs="Times New Roman"/>
                <w:color w:val="000000"/>
              </w:rPr>
              <w:t>26.9</w:t>
            </w:r>
          </w:p>
        </w:tc>
      </w:tr>
      <w:tr w:rsidR="00CD5A7C" w:rsidRPr="00B45009" w:rsidTr="009811A7">
        <w:tc>
          <w:tcPr>
            <w:tcW w:w="2103" w:type="dxa"/>
            <w:vAlign w:val="bottom"/>
          </w:tcPr>
          <w:p w:rsidR="00CD5A7C" w:rsidRPr="00B45009" w:rsidRDefault="00CD5A7C" w:rsidP="00006713">
            <w:pPr>
              <w:spacing w:line="480" w:lineRule="auto"/>
              <w:jc w:val="center"/>
              <w:rPr>
                <w:rFonts w:ascii="Times New Roman" w:hAnsi="Times New Roman" w:cs="Times New Roman"/>
                <w:color w:val="FF0000"/>
              </w:rPr>
            </w:pPr>
            <w:r w:rsidRPr="00B45009">
              <w:rPr>
                <w:rFonts w:ascii="Times New Roman" w:hAnsi="Times New Roman" w:cs="Times New Roman"/>
                <w:color w:val="FF0000"/>
              </w:rPr>
              <w:t>Na</w:t>
            </w:r>
          </w:p>
        </w:tc>
        <w:tc>
          <w:tcPr>
            <w:tcW w:w="2322"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NaHCO</w:t>
            </w:r>
            <w:r w:rsidRPr="00B45009">
              <w:rPr>
                <w:rFonts w:ascii="Times New Roman" w:hAnsi="Times New Roman" w:cs="Times New Roman"/>
                <w:color w:val="000000"/>
                <w:vertAlign w:val="subscript"/>
              </w:rPr>
              <w:t>3</w:t>
            </w:r>
          </w:p>
        </w:tc>
        <w:tc>
          <w:tcPr>
            <w:tcW w:w="1904"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84.00</w:t>
            </w:r>
          </w:p>
        </w:tc>
        <w:tc>
          <w:tcPr>
            <w:tcW w:w="1615" w:type="dxa"/>
            <w:vMerge w:val="restart"/>
            <w:vAlign w:val="center"/>
          </w:tcPr>
          <w:p w:rsidR="00CD5A7C" w:rsidRPr="00B45009" w:rsidRDefault="00CD5A7C" w:rsidP="00006713">
            <w:pPr>
              <w:spacing w:line="480" w:lineRule="auto"/>
              <w:jc w:val="center"/>
              <w:rPr>
                <w:rFonts w:ascii="Times New Roman" w:hAnsi="Times New Roman" w:cs="Times New Roman"/>
                <w:color w:val="000000"/>
              </w:rPr>
            </w:pPr>
            <w:r w:rsidRPr="00B45009">
              <w:rPr>
                <w:rFonts w:ascii="Times New Roman" w:hAnsi="Times New Roman" w:cs="Times New Roman"/>
                <w:color w:val="000000"/>
              </w:rPr>
              <w:t>59</w:t>
            </w:r>
          </w:p>
        </w:tc>
        <w:tc>
          <w:tcPr>
            <w:tcW w:w="1866" w:type="dxa"/>
          </w:tcPr>
          <w:p w:rsidR="00CD5A7C" w:rsidRPr="00B45009" w:rsidRDefault="00CD5A7C" w:rsidP="00006713">
            <w:pPr>
              <w:spacing w:line="480" w:lineRule="auto"/>
              <w:jc w:val="center"/>
              <w:rPr>
                <w:rFonts w:ascii="Times New Roman" w:hAnsi="Times New Roman" w:cs="Times New Roman"/>
                <w:color w:val="000000"/>
              </w:rPr>
            </w:pPr>
            <w:r>
              <w:rPr>
                <w:rFonts w:ascii="Times New Roman" w:hAnsi="Times New Roman" w:cs="Times New Roman"/>
                <w:color w:val="000000"/>
              </w:rPr>
              <w:t>16</w:t>
            </w:r>
          </w:p>
        </w:tc>
      </w:tr>
      <w:tr w:rsidR="00CD5A7C" w:rsidRPr="00B45009" w:rsidTr="009811A7">
        <w:tc>
          <w:tcPr>
            <w:tcW w:w="2103" w:type="dxa"/>
            <w:vAlign w:val="bottom"/>
          </w:tcPr>
          <w:p w:rsidR="00CD5A7C" w:rsidRPr="000433B9" w:rsidRDefault="00CD5A7C" w:rsidP="00006713">
            <w:pPr>
              <w:spacing w:line="480" w:lineRule="auto"/>
              <w:jc w:val="center"/>
              <w:rPr>
                <w:rFonts w:ascii="Times New Roman" w:hAnsi="Times New Roman" w:cs="Times New Roman"/>
                <w:color w:val="0070C0"/>
                <w:vertAlign w:val="subscript"/>
              </w:rPr>
            </w:pPr>
            <w:r w:rsidRPr="006A4732">
              <w:rPr>
                <w:rFonts w:ascii="Times New Roman" w:hAnsi="Times New Roman" w:cs="Times New Roman"/>
                <w:color w:val="1F4E79" w:themeColor="accent1" w:themeShade="80"/>
              </w:rPr>
              <w:t>HCO</w:t>
            </w:r>
            <w:r w:rsidRPr="006A4732">
              <w:rPr>
                <w:rFonts w:ascii="Times New Roman" w:hAnsi="Times New Roman" w:cs="Times New Roman"/>
                <w:color w:val="1F4E79" w:themeColor="accent1" w:themeShade="80"/>
                <w:vertAlign w:val="subscript"/>
              </w:rPr>
              <w:t>3</w:t>
            </w:r>
          </w:p>
        </w:tc>
        <w:tc>
          <w:tcPr>
            <w:tcW w:w="2322"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904"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615" w:type="dxa"/>
            <w:vMerge/>
            <w:vAlign w:val="center"/>
          </w:tcPr>
          <w:p w:rsidR="00CD5A7C" w:rsidRPr="00B45009" w:rsidRDefault="00CD5A7C" w:rsidP="00006713">
            <w:pPr>
              <w:spacing w:line="480" w:lineRule="auto"/>
              <w:rPr>
                <w:rFonts w:ascii="Times New Roman" w:hAnsi="Times New Roman" w:cs="Times New Roman"/>
                <w:color w:val="000000"/>
              </w:rPr>
            </w:pPr>
          </w:p>
        </w:tc>
        <w:tc>
          <w:tcPr>
            <w:tcW w:w="1866" w:type="dxa"/>
          </w:tcPr>
          <w:p w:rsidR="00CD5A7C" w:rsidRPr="00B45009" w:rsidRDefault="00CD5A7C" w:rsidP="00006713">
            <w:pPr>
              <w:spacing w:line="480" w:lineRule="auto"/>
              <w:jc w:val="center"/>
              <w:rPr>
                <w:rFonts w:ascii="Times New Roman" w:hAnsi="Times New Roman" w:cs="Times New Roman"/>
                <w:color w:val="000000"/>
              </w:rPr>
            </w:pPr>
            <w:r>
              <w:rPr>
                <w:rFonts w:ascii="Times New Roman" w:hAnsi="Times New Roman" w:cs="Times New Roman"/>
                <w:color w:val="000000"/>
              </w:rPr>
              <w:t>43</w:t>
            </w:r>
          </w:p>
        </w:tc>
      </w:tr>
    </w:tbl>
    <w:p w:rsidR="00CD5A7C" w:rsidRPr="00CD76E3" w:rsidRDefault="00CD5A7C" w:rsidP="00CD76E3"/>
    <w:p w:rsidR="00CD76E3" w:rsidRDefault="00CD76E3" w:rsidP="00CD76E3">
      <w:pPr>
        <w:pStyle w:val="Heading1"/>
      </w:pPr>
      <w:r>
        <w:t>S.2. Results</w:t>
      </w:r>
    </w:p>
    <w:p w:rsidR="00FB0208" w:rsidRPr="00FB0208" w:rsidRDefault="00FB0208" w:rsidP="00FB0208"/>
    <w:p w:rsidR="00392002" w:rsidRDefault="00464AA7" w:rsidP="00464AA7">
      <w:pPr>
        <w:jc w:val="both"/>
        <w:rPr>
          <w:rFonts w:ascii="Times New Roman" w:hAnsi="Times New Roman" w:cs="Times New Roman"/>
        </w:rPr>
      </w:pPr>
      <w:r>
        <w:rPr>
          <w:rFonts w:ascii="Times New Roman" w:hAnsi="Times New Roman" w:cs="Times New Roman"/>
        </w:rPr>
        <w:t>In Fig. 1 – 3 are present values of pH (Fig. 1), conductivity (Fig. 2) and concentrations of (PO</w:t>
      </w:r>
      <w:r w:rsidRPr="00464AA7">
        <w:rPr>
          <w:rFonts w:ascii="Times New Roman" w:hAnsi="Times New Roman" w:cs="Times New Roman"/>
          <w:vertAlign w:val="subscript"/>
        </w:rPr>
        <w:t>4</w:t>
      </w:r>
      <w:r>
        <w:rPr>
          <w:rFonts w:ascii="Times New Roman" w:hAnsi="Times New Roman" w:cs="Times New Roman"/>
        </w:rPr>
        <w:t>)</w:t>
      </w:r>
      <w:proofErr w:type="gramStart"/>
      <w:r>
        <w:rPr>
          <w:rFonts w:ascii="Times New Roman" w:hAnsi="Times New Roman" w:cs="Times New Roman"/>
          <w:vertAlign w:val="superscript"/>
        </w:rPr>
        <w:t>3</w:t>
      </w:r>
      <w:proofErr w:type="gramEnd"/>
      <w:r>
        <w:rPr>
          <w:rFonts w:ascii="Times New Roman" w:hAnsi="Times New Roman" w:cs="Times New Roman"/>
          <w:vertAlign w:val="superscript"/>
        </w:rPr>
        <w:t xml:space="preserve">- </w:t>
      </w:r>
      <w:r>
        <w:rPr>
          <w:rFonts w:ascii="Times New Roman" w:hAnsi="Times New Roman" w:cs="Times New Roman"/>
        </w:rPr>
        <w:t>ions (Fig. 3).</w:t>
      </w:r>
    </w:p>
    <w:p w:rsidR="00464AA7" w:rsidRDefault="00464AA7" w:rsidP="00464AA7">
      <w:pPr>
        <w:jc w:val="center"/>
        <w:rPr>
          <w:rFonts w:ascii="Times New Roman" w:hAnsi="Times New Roman" w:cs="Times New Roman"/>
        </w:rPr>
      </w:pPr>
      <w:r>
        <w:rPr>
          <w:rFonts w:ascii="Times New Roman" w:hAnsi="Times New Roman" w:cs="Times New Roman"/>
          <w:noProof/>
        </w:rPr>
        <w:lastRenderedPageBreak/>
        <w:drawing>
          <wp:inline distT="0" distB="0" distL="0" distR="0">
            <wp:extent cx="3657600" cy="28065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7600" cy="2806506"/>
                    </a:xfrm>
                    <a:prstGeom prst="rect">
                      <a:avLst/>
                    </a:prstGeom>
                  </pic:spPr>
                </pic:pic>
              </a:graphicData>
            </a:graphic>
          </wp:inline>
        </w:drawing>
      </w:r>
    </w:p>
    <w:p w:rsidR="00464AA7" w:rsidRDefault="00464AA7" w:rsidP="00464AA7">
      <w:pPr>
        <w:jc w:val="center"/>
        <w:rPr>
          <w:rFonts w:ascii="Times New Roman" w:hAnsi="Times New Roman" w:cs="Times New Roman"/>
        </w:rPr>
      </w:pPr>
      <w:r>
        <w:rPr>
          <w:rFonts w:ascii="Times New Roman" w:hAnsi="Times New Roman" w:cs="Times New Roman"/>
        </w:rPr>
        <w:t xml:space="preserve">Fig. 1. </w:t>
      </w:r>
      <w:proofErr w:type="gramStart"/>
      <w:r>
        <w:rPr>
          <w:rFonts w:ascii="Times New Roman" w:hAnsi="Times New Roman" w:cs="Times New Roman"/>
        </w:rPr>
        <w:t>pH</w:t>
      </w:r>
      <w:proofErr w:type="gramEnd"/>
      <w:r>
        <w:rPr>
          <w:rFonts w:ascii="Times New Roman" w:hAnsi="Times New Roman" w:cs="Times New Roman"/>
        </w:rPr>
        <w:t xml:space="preserve"> values of controls A-E during the phytoremediation experiment.</w:t>
      </w:r>
    </w:p>
    <w:p w:rsidR="00464AA7" w:rsidRDefault="00464AA7" w:rsidP="00464AA7">
      <w:pPr>
        <w:jc w:val="center"/>
        <w:rPr>
          <w:rFonts w:ascii="Times New Roman" w:hAnsi="Times New Roman" w:cs="Times New Roman"/>
        </w:rPr>
      </w:pPr>
      <w:r>
        <w:rPr>
          <w:rFonts w:ascii="Times New Roman" w:hAnsi="Times New Roman" w:cs="Times New Roman"/>
          <w:noProof/>
        </w:rPr>
        <w:drawing>
          <wp:inline distT="0" distB="0" distL="0" distR="0">
            <wp:extent cx="3657600" cy="2806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57600" cy="2806504"/>
                    </a:xfrm>
                    <a:prstGeom prst="rect">
                      <a:avLst/>
                    </a:prstGeom>
                  </pic:spPr>
                </pic:pic>
              </a:graphicData>
            </a:graphic>
          </wp:inline>
        </w:drawing>
      </w:r>
    </w:p>
    <w:p w:rsidR="00464AA7" w:rsidRDefault="00464AA7" w:rsidP="00464AA7">
      <w:pPr>
        <w:jc w:val="center"/>
        <w:rPr>
          <w:rFonts w:ascii="Times New Roman" w:hAnsi="Times New Roman" w:cs="Times New Roman"/>
        </w:rPr>
      </w:pPr>
      <w:r>
        <w:rPr>
          <w:rFonts w:ascii="Times New Roman" w:hAnsi="Times New Roman" w:cs="Times New Roman"/>
        </w:rPr>
        <w:t>Fig. 2. Conductivity values of controls A-E during the phytoremediation experiment.</w:t>
      </w:r>
    </w:p>
    <w:p w:rsidR="0084632E" w:rsidRDefault="0084632E" w:rsidP="00D918D0">
      <w:pPr>
        <w:jc w:val="both"/>
        <w:rPr>
          <w:rFonts w:ascii="Times New Roman" w:hAnsi="Times New Roman" w:cs="Times New Roman"/>
        </w:rPr>
      </w:pPr>
    </w:p>
    <w:p w:rsidR="009811A7" w:rsidRPr="009811A7" w:rsidRDefault="009811A7" w:rsidP="009811A7">
      <w:pPr>
        <w:jc w:val="both"/>
        <w:rPr>
          <w:rFonts w:ascii="Times New Roman" w:hAnsi="Times New Roman" w:cs="Times New Roman"/>
          <w:color w:val="FF0000"/>
        </w:rPr>
      </w:pPr>
      <w:r w:rsidRPr="009811A7">
        <w:rPr>
          <w:rFonts w:ascii="Times New Roman" w:hAnsi="Times New Roman" w:cs="Times New Roman"/>
          <w:color w:val="FF0000"/>
        </w:rPr>
        <w:t>The phosphate increase at the end of the experiment</w:t>
      </w:r>
      <w:r w:rsidR="000C5F93">
        <w:rPr>
          <w:rFonts w:ascii="Times New Roman" w:hAnsi="Times New Roman" w:cs="Times New Roman"/>
          <w:color w:val="FF0000"/>
        </w:rPr>
        <w:t xml:space="preserve"> (Fig. 3)</w:t>
      </w:r>
      <w:bookmarkStart w:id="0" w:name="_GoBack"/>
      <w:bookmarkEnd w:id="0"/>
      <w:r w:rsidRPr="009811A7">
        <w:rPr>
          <w:rFonts w:ascii="Times New Roman" w:hAnsi="Times New Roman" w:cs="Times New Roman"/>
          <w:color w:val="FF0000"/>
        </w:rPr>
        <w:t xml:space="preserve"> could be a result of a partial lysis of the plants. </w:t>
      </w:r>
      <w:r w:rsidRPr="009811A7">
        <w:rPr>
          <w:rFonts w:ascii="Times New Roman" w:hAnsi="Times New Roman" w:cs="Times New Roman"/>
          <w:color w:val="FF0000"/>
        </w:rPr>
        <w:fldChar w:fldCharType="begin" w:fldLock="1"/>
      </w:r>
      <w:r w:rsidRPr="009811A7">
        <w:rPr>
          <w:rFonts w:ascii="Times New Roman" w:hAnsi="Times New Roman" w:cs="Times New Roman"/>
          <w:color w:val="FF0000"/>
        </w:rPr>
        <w:instrText>ADDIN CSL_CITATION {"citationItems":[{"id":"ITEM-1","itemData":{"DOI":"10.1007/s10201-018-0538-2","ISSN":"14398621","abstract":"The decomposition rate of Potamogeton crispus and its rates of phosphorus (P) release and sedimentation were quantified during natural senescence in a microcosm experiment. The decay of P. crispus was characterized by an exponential model with a mean mass loss coefficient (k) of 0.05 day−1. During the first 10 days, the rapid decomposition phase, k was 0.068 day−1. The rates of P release and total P sedimentation, as well as the dissolved total P, soluble reactive phosphorus, dissolved organic phosphorus, and particulate phosphorus, were quantified throughout the 30-day study period. The nitrogen (N) and P contents of P. crispus increased whereas the carbon (C) content and the C:N, C:P, and N:P ratios decreased near the end of the decomposition phase. In addition, the pH, dissolved oxygen, and redox potential decreased during the rapid release of P. The results indicated that the rate of mass loss was slower from dried plants than from senescent plants. The rapid decomposition rate, which was associated with a high rate of P release, suggests that much of the accumulated P will eventually be returned to the aquatic ecosystem. These data illuminate the mechanisms of decomposition and suggest a strategy of reducing eutrophication by harvesting P. crispus prior to its senescence.","author":[{"dropping-particle":"","family":"Wang","given":"Lizhi","non-dropping-particle":"","parse-names":false,"suffix":""},{"dropping-particle":"","family":"Liu","given":"Qianjin","non-dropping-particle":"","parse-names":false,"suffix":""},{"dropping-particle":"","family":"Hu","given":"Changwei","non-dropping-particle":"","parse-names":false,"suffix":""},{"dropping-particle":"","family":"Liang","given":"Renjun","non-dropping-particle":"","parse-names":false,"suffix":""},{"dropping-particle":"","family":"Qiu","given":"Jicai","non-dropping-particle":"","parse-names":false,"suffix":""},{"dropping-particle":"","family":"Wang","given":"Yun","non-dropping-particle":"","parse-names":false,"suffix":""}],"container-title":"Limnology","id":"ITEM-1","issue":"3","issued":{"date-parts":[["2018"]]},"title":"Phosphorus release during decomposition of the submerged macrophyte Potamogeton crispus","type":"article-journal","volume":"19"},"uris":["http://www.mendeley.com/documents/?uuid=953025b5-87a8-3dc9-abfb-89dd72c80301"]}],"mendeley":{"formattedCitation":"(Wang et al., 2018)","plainTextFormattedCitation":"(Wang et al., 2018)","previouslyFormattedCitation":"(Wang et al., 2018)"},"properties":{"noteIndex":0},"schema":"https://github.com/citation-style-language/schema/raw/master/csl-citation.json"}</w:instrText>
      </w:r>
      <w:r w:rsidRPr="009811A7">
        <w:rPr>
          <w:rFonts w:ascii="Times New Roman" w:hAnsi="Times New Roman" w:cs="Times New Roman"/>
          <w:color w:val="FF0000"/>
        </w:rPr>
        <w:fldChar w:fldCharType="separate"/>
      </w:r>
      <w:r w:rsidRPr="009811A7">
        <w:rPr>
          <w:rFonts w:ascii="Times New Roman" w:hAnsi="Times New Roman" w:cs="Times New Roman"/>
          <w:noProof/>
          <w:color w:val="FF0000"/>
        </w:rPr>
        <w:t>(Wang et al., 2018)</w:t>
      </w:r>
      <w:r w:rsidRPr="009811A7">
        <w:rPr>
          <w:rFonts w:ascii="Times New Roman" w:hAnsi="Times New Roman" w:cs="Times New Roman"/>
          <w:color w:val="FF0000"/>
        </w:rPr>
        <w:fldChar w:fldCharType="end"/>
      </w:r>
    </w:p>
    <w:p w:rsidR="009811A7" w:rsidRDefault="009811A7" w:rsidP="00D918D0">
      <w:pPr>
        <w:jc w:val="both"/>
        <w:rPr>
          <w:rFonts w:ascii="Times New Roman" w:hAnsi="Times New Roman" w:cs="Times New Roman"/>
        </w:rPr>
      </w:pPr>
    </w:p>
    <w:p w:rsidR="00464AA7" w:rsidRDefault="00464AA7" w:rsidP="00464AA7">
      <w:pPr>
        <w:jc w:val="center"/>
        <w:rPr>
          <w:rFonts w:ascii="Times New Roman" w:hAnsi="Times New Roman" w:cs="Times New Roman"/>
        </w:rPr>
      </w:pPr>
      <w:r>
        <w:rPr>
          <w:rFonts w:ascii="Times New Roman" w:hAnsi="Times New Roman" w:cs="Times New Roman"/>
          <w:noProof/>
        </w:rPr>
        <w:lastRenderedPageBreak/>
        <w:drawing>
          <wp:inline distT="0" distB="0" distL="0" distR="0">
            <wp:extent cx="3657600" cy="2806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4.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7600" cy="2806504"/>
                    </a:xfrm>
                    <a:prstGeom prst="rect">
                      <a:avLst/>
                    </a:prstGeom>
                  </pic:spPr>
                </pic:pic>
              </a:graphicData>
            </a:graphic>
          </wp:inline>
        </w:drawing>
      </w:r>
    </w:p>
    <w:p w:rsidR="00464AA7" w:rsidRDefault="00464AA7" w:rsidP="00464AA7">
      <w:pPr>
        <w:jc w:val="center"/>
        <w:rPr>
          <w:rFonts w:ascii="Times New Roman" w:hAnsi="Times New Roman" w:cs="Times New Roman"/>
        </w:rPr>
      </w:pPr>
      <w:r>
        <w:rPr>
          <w:rFonts w:ascii="Times New Roman" w:hAnsi="Times New Roman" w:cs="Times New Roman"/>
        </w:rPr>
        <w:t>Fig. 3. Concentrations of (PO</w:t>
      </w:r>
      <w:r w:rsidRPr="00464AA7">
        <w:rPr>
          <w:rFonts w:ascii="Times New Roman" w:hAnsi="Times New Roman" w:cs="Times New Roman"/>
          <w:vertAlign w:val="subscript"/>
        </w:rPr>
        <w:t>4</w:t>
      </w:r>
      <w:r>
        <w:rPr>
          <w:rFonts w:ascii="Times New Roman" w:hAnsi="Times New Roman" w:cs="Times New Roman"/>
        </w:rPr>
        <w:t>)</w:t>
      </w:r>
      <w:proofErr w:type="gramStart"/>
      <w:r>
        <w:rPr>
          <w:rFonts w:ascii="Times New Roman" w:hAnsi="Times New Roman" w:cs="Times New Roman"/>
          <w:vertAlign w:val="superscript"/>
        </w:rPr>
        <w:t>3</w:t>
      </w:r>
      <w:proofErr w:type="gramEnd"/>
      <w:r>
        <w:rPr>
          <w:rFonts w:ascii="Times New Roman" w:hAnsi="Times New Roman" w:cs="Times New Roman"/>
          <w:vertAlign w:val="superscript"/>
        </w:rPr>
        <w:t xml:space="preserve">- </w:t>
      </w:r>
      <w:r>
        <w:rPr>
          <w:rFonts w:ascii="Times New Roman" w:hAnsi="Times New Roman" w:cs="Times New Roman"/>
        </w:rPr>
        <w:t>ions of controls A-E during the phytoremediation experiment.</w:t>
      </w:r>
    </w:p>
    <w:p w:rsidR="00464AA7" w:rsidRDefault="00464AA7" w:rsidP="00464AA7">
      <w:pPr>
        <w:jc w:val="center"/>
        <w:rPr>
          <w:rFonts w:ascii="Times New Roman" w:hAnsi="Times New Roman" w:cs="Times New Roman"/>
        </w:rPr>
      </w:pPr>
    </w:p>
    <w:p w:rsidR="00464AA7" w:rsidRDefault="00464AA7" w:rsidP="00464AA7">
      <w:pPr>
        <w:jc w:val="both"/>
        <w:rPr>
          <w:rFonts w:ascii="Times New Roman" w:hAnsi="Times New Roman" w:cs="Times New Roman"/>
        </w:rPr>
      </w:pPr>
      <w:r>
        <w:rPr>
          <w:rFonts w:ascii="Times New Roman" w:hAnsi="Times New Roman" w:cs="Times New Roman"/>
        </w:rPr>
        <w:t>The values of redox potential</w:t>
      </w:r>
      <w:r w:rsidR="00094937">
        <w:rPr>
          <w:rFonts w:ascii="Times New Roman" w:hAnsi="Times New Roman" w:cs="Times New Roman"/>
        </w:rPr>
        <w:t xml:space="preserve"> (Fig. 4) and dissolved oxygen (Fig. 5)</w:t>
      </w:r>
      <w:r>
        <w:rPr>
          <w:rFonts w:ascii="Times New Roman" w:hAnsi="Times New Roman" w:cs="Times New Roman"/>
        </w:rPr>
        <w:t xml:space="preserve"> were decreasing, which was a result of a slow lysis of the plants, caused by mechanical damage from change of the conditions, phytotoxic effect due to exposition to some MP (e.g. antibiotics and herbicides)</w:t>
      </w:r>
    </w:p>
    <w:p w:rsidR="00464AA7" w:rsidRDefault="00464AA7" w:rsidP="00464AA7">
      <w:pPr>
        <w:jc w:val="center"/>
        <w:rPr>
          <w:rFonts w:ascii="Times New Roman" w:hAnsi="Times New Roman" w:cs="Times New Roman"/>
        </w:rPr>
      </w:pPr>
      <w:r>
        <w:rPr>
          <w:rFonts w:ascii="Times New Roman" w:hAnsi="Times New Roman" w:cs="Times New Roman"/>
          <w:noProof/>
        </w:rPr>
        <w:drawing>
          <wp:inline distT="0" distB="0" distL="0" distR="0">
            <wp:extent cx="3657600" cy="28065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dox.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2806504"/>
                    </a:xfrm>
                    <a:prstGeom prst="rect">
                      <a:avLst/>
                    </a:prstGeom>
                  </pic:spPr>
                </pic:pic>
              </a:graphicData>
            </a:graphic>
          </wp:inline>
        </w:drawing>
      </w:r>
    </w:p>
    <w:p w:rsidR="00464AA7" w:rsidRDefault="00464AA7" w:rsidP="00464AA7">
      <w:pPr>
        <w:jc w:val="center"/>
        <w:rPr>
          <w:rFonts w:ascii="Times New Roman" w:hAnsi="Times New Roman" w:cs="Times New Roman"/>
        </w:rPr>
      </w:pPr>
      <w:r>
        <w:rPr>
          <w:rFonts w:ascii="Times New Roman" w:hAnsi="Times New Roman" w:cs="Times New Roman"/>
        </w:rPr>
        <w:t>Fig. 4. Values of redox potential of the liquid solutions of controls A-E during the phytoremediation experiment.</w:t>
      </w:r>
    </w:p>
    <w:p w:rsidR="00464AA7" w:rsidRDefault="00464AA7" w:rsidP="00464AA7">
      <w:pPr>
        <w:jc w:val="center"/>
        <w:rPr>
          <w:rFonts w:ascii="Times New Roman" w:hAnsi="Times New Roman" w:cs="Times New Roman"/>
        </w:rPr>
      </w:pPr>
    </w:p>
    <w:p w:rsidR="00464AA7" w:rsidRDefault="00094937" w:rsidP="00464AA7">
      <w:pPr>
        <w:jc w:val="center"/>
        <w:rPr>
          <w:rFonts w:ascii="Times New Roman" w:hAnsi="Times New Roman" w:cs="Times New Roman"/>
        </w:rPr>
      </w:pPr>
      <w:r>
        <w:rPr>
          <w:rFonts w:ascii="Times New Roman" w:hAnsi="Times New Roman" w:cs="Times New Roman"/>
          <w:noProof/>
        </w:rPr>
        <w:lastRenderedPageBreak/>
        <w:drawing>
          <wp:inline distT="0" distB="0" distL="0" distR="0">
            <wp:extent cx="3657600" cy="2806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 plant uptake new.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0" cy="2806504"/>
                    </a:xfrm>
                    <a:prstGeom prst="rect">
                      <a:avLst/>
                    </a:prstGeom>
                  </pic:spPr>
                </pic:pic>
              </a:graphicData>
            </a:graphic>
          </wp:inline>
        </w:drawing>
      </w:r>
    </w:p>
    <w:p w:rsidR="00094937" w:rsidRDefault="00094937" w:rsidP="00094937">
      <w:pPr>
        <w:jc w:val="center"/>
        <w:rPr>
          <w:rFonts w:ascii="Times New Roman" w:hAnsi="Times New Roman" w:cs="Times New Roman"/>
        </w:rPr>
      </w:pPr>
      <w:r>
        <w:rPr>
          <w:rFonts w:ascii="Times New Roman" w:hAnsi="Times New Roman" w:cs="Times New Roman"/>
        </w:rPr>
        <w:t>Fig. 5. Concentration of dissolved oxygen in the liquid solutions of controls A-E during the phytoremediation experiment.</w:t>
      </w:r>
    </w:p>
    <w:p w:rsidR="00D918D0" w:rsidRPr="000379EF" w:rsidRDefault="00D918D0" w:rsidP="00D918D0">
      <w:pPr>
        <w:jc w:val="both"/>
        <w:rPr>
          <w:rFonts w:ascii="Times New Roman" w:hAnsi="Times New Roman" w:cs="Times New Roman"/>
          <w:color w:val="FF0000"/>
        </w:rPr>
      </w:pPr>
      <w:r w:rsidRPr="000379EF">
        <w:rPr>
          <w:rFonts w:ascii="Times New Roman" w:hAnsi="Times New Roman" w:cs="Times New Roman"/>
          <w:color w:val="FF0000"/>
        </w:rPr>
        <w:t>In Figs 6 – 10 are present initial and final concentrations of all measured compounds in controls A – E.</w:t>
      </w:r>
    </w:p>
    <w:p w:rsidR="00D918D0" w:rsidRDefault="00D918D0" w:rsidP="00D918D0">
      <w:pPr>
        <w:jc w:val="center"/>
        <w:rPr>
          <w:rFonts w:ascii="Times New Roman" w:hAnsi="Times New Roman" w:cs="Times New Roman"/>
        </w:rPr>
      </w:pPr>
      <w:r>
        <w:rPr>
          <w:rFonts w:ascii="Times New Roman" w:hAnsi="Times New Roman" w:cs="Times New Roman"/>
          <w:noProof/>
        </w:rPr>
        <w:drawing>
          <wp:inline distT="0" distB="0" distL="0" distR="0">
            <wp:extent cx="4647623" cy="356616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 c0 cF.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47623" cy="3566160"/>
                    </a:xfrm>
                    <a:prstGeom prst="rect">
                      <a:avLst/>
                    </a:prstGeom>
                  </pic:spPr>
                </pic:pic>
              </a:graphicData>
            </a:graphic>
          </wp:inline>
        </w:drawing>
      </w:r>
    </w:p>
    <w:p w:rsidR="00D918D0" w:rsidRPr="000379EF" w:rsidRDefault="00D918D0" w:rsidP="00D918D0">
      <w:pPr>
        <w:spacing w:after="0"/>
        <w:jc w:val="center"/>
        <w:rPr>
          <w:rFonts w:ascii="Times New Roman" w:hAnsi="Times New Roman" w:cs="Times New Roman"/>
          <w:color w:val="FF0000"/>
        </w:rPr>
      </w:pPr>
      <w:r w:rsidRPr="000379EF">
        <w:rPr>
          <w:rFonts w:ascii="Times New Roman" w:hAnsi="Times New Roman" w:cs="Times New Roman"/>
          <w:color w:val="FF0000"/>
        </w:rPr>
        <w:t>Fig. 6. Initial and final concentrations of the control A.</w:t>
      </w:r>
    </w:p>
    <w:p w:rsidR="00D918D0" w:rsidRDefault="00D918D0" w:rsidP="00D918D0">
      <w:pPr>
        <w:spacing w:after="0"/>
        <w:jc w:val="center"/>
        <w:rPr>
          <w:rFonts w:ascii="Times New Roman" w:hAnsi="Times New Roman" w:cs="Times New Roman"/>
        </w:rPr>
      </w:pPr>
      <w:r>
        <w:rPr>
          <w:rFonts w:ascii="Times New Roman" w:hAnsi="Times New Roman" w:cs="Times New Roman"/>
          <w:noProof/>
        </w:rPr>
        <w:lastRenderedPageBreak/>
        <w:drawing>
          <wp:inline distT="0" distB="0" distL="0" distR="0">
            <wp:extent cx="4647624" cy="356616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 c0 cF.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47624" cy="3566160"/>
                    </a:xfrm>
                    <a:prstGeom prst="rect">
                      <a:avLst/>
                    </a:prstGeom>
                  </pic:spPr>
                </pic:pic>
              </a:graphicData>
            </a:graphic>
          </wp:inline>
        </w:drawing>
      </w:r>
    </w:p>
    <w:p w:rsidR="00D918D0" w:rsidRPr="000379EF" w:rsidRDefault="00D918D0" w:rsidP="00D918D0">
      <w:pPr>
        <w:spacing w:after="0"/>
        <w:jc w:val="center"/>
        <w:rPr>
          <w:rFonts w:ascii="Times New Roman" w:hAnsi="Times New Roman" w:cs="Times New Roman"/>
          <w:color w:val="FF0000"/>
        </w:rPr>
      </w:pPr>
      <w:r w:rsidRPr="000379EF">
        <w:rPr>
          <w:rFonts w:ascii="Times New Roman" w:hAnsi="Times New Roman" w:cs="Times New Roman"/>
          <w:color w:val="FF0000"/>
        </w:rPr>
        <w:t>Fig. 7. Initial and final concentrations of the control B.</w:t>
      </w:r>
    </w:p>
    <w:p w:rsidR="00D918D0" w:rsidRPr="000379EF" w:rsidRDefault="00D918D0" w:rsidP="00D918D0">
      <w:pPr>
        <w:spacing w:after="0"/>
        <w:jc w:val="center"/>
        <w:rPr>
          <w:rFonts w:ascii="Times New Roman" w:hAnsi="Times New Roman" w:cs="Times New Roman"/>
          <w:color w:val="FF0000"/>
        </w:rPr>
      </w:pPr>
    </w:p>
    <w:p w:rsidR="00D918D0" w:rsidRDefault="00D918D0" w:rsidP="00D918D0">
      <w:pPr>
        <w:spacing w:after="0"/>
        <w:jc w:val="center"/>
        <w:rPr>
          <w:rFonts w:ascii="Times New Roman" w:hAnsi="Times New Roman" w:cs="Times New Roman"/>
        </w:rPr>
      </w:pPr>
      <w:r>
        <w:rPr>
          <w:rFonts w:ascii="Times New Roman" w:hAnsi="Times New Roman" w:cs="Times New Roman"/>
          <w:noProof/>
        </w:rPr>
        <w:drawing>
          <wp:inline distT="0" distB="0" distL="0" distR="0">
            <wp:extent cx="4647627" cy="356616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 c0 cF.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7627" cy="3566160"/>
                    </a:xfrm>
                    <a:prstGeom prst="rect">
                      <a:avLst/>
                    </a:prstGeom>
                  </pic:spPr>
                </pic:pic>
              </a:graphicData>
            </a:graphic>
          </wp:inline>
        </w:drawing>
      </w:r>
    </w:p>
    <w:p w:rsidR="00D918D0" w:rsidRPr="000379EF" w:rsidRDefault="00D918D0" w:rsidP="00D918D0">
      <w:pPr>
        <w:spacing w:after="0"/>
        <w:jc w:val="center"/>
        <w:rPr>
          <w:rFonts w:ascii="Times New Roman" w:hAnsi="Times New Roman" w:cs="Times New Roman"/>
          <w:color w:val="FF0000"/>
        </w:rPr>
      </w:pPr>
      <w:r w:rsidRPr="000379EF">
        <w:rPr>
          <w:rFonts w:ascii="Times New Roman" w:hAnsi="Times New Roman" w:cs="Times New Roman"/>
          <w:color w:val="FF0000"/>
        </w:rPr>
        <w:t>Fig. 8. Initial and final concentrations of the control C.</w:t>
      </w:r>
    </w:p>
    <w:p w:rsidR="00D918D0" w:rsidRDefault="00D918D0" w:rsidP="00D918D0">
      <w:pPr>
        <w:spacing w:after="0"/>
        <w:jc w:val="center"/>
        <w:rPr>
          <w:rFonts w:ascii="Times New Roman" w:hAnsi="Times New Roman" w:cs="Times New Roman"/>
        </w:rPr>
      </w:pPr>
      <w:r>
        <w:rPr>
          <w:rFonts w:ascii="Times New Roman" w:hAnsi="Times New Roman" w:cs="Times New Roman"/>
          <w:noProof/>
        </w:rPr>
        <w:lastRenderedPageBreak/>
        <w:drawing>
          <wp:inline distT="0" distB="0" distL="0" distR="0">
            <wp:extent cx="4647627" cy="356616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 c0 cF.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47627" cy="3566160"/>
                    </a:xfrm>
                    <a:prstGeom prst="rect">
                      <a:avLst/>
                    </a:prstGeom>
                  </pic:spPr>
                </pic:pic>
              </a:graphicData>
            </a:graphic>
          </wp:inline>
        </w:drawing>
      </w:r>
    </w:p>
    <w:p w:rsidR="00D918D0" w:rsidRPr="000379EF" w:rsidRDefault="00D918D0" w:rsidP="00D918D0">
      <w:pPr>
        <w:spacing w:after="0"/>
        <w:jc w:val="center"/>
        <w:rPr>
          <w:rFonts w:ascii="Times New Roman" w:hAnsi="Times New Roman" w:cs="Times New Roman"/>
          <w:color w:val="FF0000"/>
        </w:rPr>
      </w:pPr>
      <w:r w:rsidRPr="000379EF">
        <w:rPr>
          <w:rFonts w:ascii="Times New Roman" w:hAnsi="Times New Roman" w:cs="Times New Roman"/>
          <w:color w:val="FF0000"/>
        </w:rPr>
        <w:t>Fig. 9. Initial and final concentrations of the control D.</w:t>
      </w:r>
    </w:p>
    <w:p w:rsidR="00D918D0" w:rsidRPr="000379EF" w:rsidRDefault="00D918D0" w:rsidP="00D918D0">
      <w:pPr>
        <w:spacing w:after="0"/>
        <w:jc w:val="center"/>
        <w:rPr>
          <w:rFonts w:ascii="Times New Roman" w:hAnsi="Times New Roman" w:cs="Times New Roman"/>
          <w:color w:val="FF0000"/>
        </w:rPr>
      </w:pPr>
    </w:p>
    <w:p w:rsidR="006E4E57" w:rsidRDefault="00D918D0" w:rsidP="00D918D0">
      <w:pPr>
        <w:spacing w:after="0"/>
        <w:jc w:val="center"/>
        <w:rPr>
          <w:rFonts w:ascii="Times New Roman" w:hAnsi="Times New Roman" w:cs="Times New Roman"/>
        </w:rPr>
      </w:pPr>
      <w:r>
        <w:rPr>
          <w:rFonts w:ascii="Times New Roman" w:hAnsi="Times New Roman" w:cs="Times New Roman"/>
          <w:noProof/>
        </w:rPr>
        <w:drawing>
          <wp:inline distT="0" distB="0" distL="0" distR="0">
            <wp:extent cx="4647625" cy="356616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 c0 cF.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47625" cy="3566160"/>
                    </a:xfrm>
                    <a:prstGeom prst="rect">
                      <a:avLst/>
                    </a:prstGeom>
                  </pic:spPr>
                </pic:pic>
              </a:graphicData>
            </a:graphic>
          </wp:inline>
        </w:drawing>
      </w:r>
    </w:p>
    <w:p w:rsidR="00D918D0" w:rsidRPr="000379EF" w:rsidRDefault="00D918D0" w:rsidP="00D918D0">
      <w:pPr>
        <w:spacing w:after="0"/>
        <w:jc w:val="center"/>
        <w:rPr>
          <w:rFonts w:ascii="Times New Roman" w:hAnsi="Times New Roman" w:cs="Times New Roman"/>
          <w:color w:val="FF0000"/>
        </w:rPr>
      </w:pPr>
      <w:r w:rsidRPr="000379EF">
        <w:rPr>
          <w:rFonts w:ascii="Times New Roman" w:hAnsi="Times New Roman" w:cs="Times New Roman"/>
          <w:color w:val="FF0000"/>
        </w:rPr>
        <w:t>Fig. 10. Initial and final concentrations of the control E.</w:t>
      </w:r>
    </w:p>
    <w:p w:rsidR="00D918D0" w:rsidRDefault="00D918D0" w:rsidP="00D918D0">
      <w:pPr>
        <w:spacing w:after="0"/>
        <w:jc w:val="center"/>
        <w:rPr>
          <w:rFonts w:ascii="Times New Roman" w:hAnsi="Times New Roman" w:cs="Times New Roman"/>
          <w:color w:val="FF0000"/>
        </w:rPr>
      </w:pPr>
    </w:p>
    <w:p w:rsidR="009811A7" w:rsidRDefault="009811A7" w:rsidP="00D918D0">
      <w:pPr>
        <w:spacing w:after="0"/>
        <w:jc w:val="center"/>
        <w:rPr>
          <w:rFonts w:ascii="Times New Roman" w:hAnsi="Times New Roman" w:cs="Times New Roman"/>
          <w:color w:val="FF0000"/>
        </w:rPr>
      </w:pPr>
    </w:p>
    <w:p w:rsidR="009811A7" w:rsidRDefault="009811A7" w:rsidP="009811A7">
      <w:pPr>
        <w:spacing w:after="0"/>
        <w:jc w:val="both"/>
        <w:rPr>
          <w:rFonts w:ascii="Times New Roman" w:hAnsi="Times New Roman" w:cs="Times New Roman"/>
          <w:color w:val="FF0000"/>
        </w:rPr>
      </w:pPr>
      <w:r>
        <w:rPr>
          <w:rFonts w:ascii="Times New Roman" w:hAnsi="Times New Roman" w:cs="Times New Roman"/>
          <w:color w:val="FF0000"/>
        </w:rPr>
        <w:lastRenderedPageBreak/>
        <w:t>Higher final</w:t>
      </w:r>
      <w:r w:rsidR="004130C1">
        <w:rPr>
          <w:rFonts w:ascii="Times New Roman" w:hAnsi="Times New Roman" w:cs="Times New Roman"/>
          <w:color w:val="FF0000"/>
        </w:rPr>
        <w:t xml:space="preserve"> than initial</w:t>
      </w:r>
      <w:r>
        <w:rPr>
          <w:rFonts w:ascii="Times New Roman" w:hAnsi="Times New Roman" w:cs="Times New Roman"/>
          <w:color w:val="FF0000"/>
        </w:rPr>
        <w:t xml:space="preserve"> concentrations of some compounds (i.e. </w:t>
      </w:r>
      <w:proofErr w:type="spellStart"/>
      <w:r>
        <w:rPr>
          <w:rFonts w:ascii="Times New Roman" w:hAnsi="Times New Roman" w:cs="Times New Roman"/>
          <w:color w:val="FF0000"/>
        </w:rPr>
        <w:t>Bezafibrate</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Ketoprofen</w:t>
      </w:r>
      <w:proofErr w:type="spellEnd"/>
      <w:r>
        <w:rPr>
          <w:rFonts w:ascii="Times New Roman" w:hAnsi="Times New Roman" w:cs="Times New Roman"/>
          <w:color w:val="FF0000"/>
        </w:rPr>
        <w:t xml:space="preserve">, Lidocaine, TCIPP) </w:t>
      </w:r>
      <w:proofErr w:type="gramStart"/>
      <w:r>
        <w:rPr>
          <w:rFonts w:ascii="Times New Roman" w:hAnsi="Times New Roman" w:cs="Times New Roman"/>
          <w:color w:val="FF0000"/>
        </w:rPr>
        <w:t>can be caused</w:t>
      </w:r>
      <w:proofErr w:type="gramEnd"/>
      <w:r>
        <w:rPr>
          <w:rFonts w:ascii="Times New Roman" w:hAnsi="Times New Roman" w:cs="Times New Roman"/>
          <w:color w:val="FF0000"/>
        </w:rPr>
        <w:t xml:space="preserve"> by </w:t>
      </w:r>
      <w:r w:rsidR="004130C1">
        <w:rPr>
          <w:rFonts w:ascii="Times New Roman" w:hAnsi="Times New Roman" w:cs="Times New Roman"/>
          <w:color w:val="FF0000"/>
        </w:rPr>
        <w:t>desorption of the MPs from the plants, caused by the slow lysis.</w:t>
      </w:r>
    </w:p>
    <w:p w:rsidR="009811A7" w:rsidRPr="000379EF" w:rsidRDefault="009811A7" w:rsidP="009811A7">
      <w:pPr>
        <w:spacing w:after="0"/>
        <w:jc w:val="both"/>
        <w:rPr>
          <w:rFonts w:ascii="Times New Roman" w:hAnsi="Times New Roman" w:cs="Times New Roman"/>
          <w:color w:val="FF0000"/>
        </w:rPr>
      </w:pPr>
    </w:p>
    <w:p w:rsidR="0084632E" w:rsidRPr="000379EF" w:rsidRDefault="0084632E" w:rsidP="0084632E">
      <w:pPr>
        <w:widowControl w:val="0"/>
        <w:autoSpaceDE w:val="0"/>
        <w:autoSpaceDN w:val="0"/>
        <w:adjustRightInd w:val="0"/>
        <w:spacing w:line="240" w:lineRule="auto"/>
        <w:ind w:left="480" w:hanging="480"/>
        <w:rPr>
          <w:rFonts w:ascii="Times New Roman" w:hAnsi="Times New Roman" w:cs="Times New Roman"/>
          <w:noProof/>
          <w:color w:val="FF0000"/>
        </w:rPr>
      </w:pPr>
      <w:r w:rsidRPr="000379EF">
        <w:rPr>
          <w:rFonts w:ascii="Times New Roman" w:hAnsi="Times New Roman" w:cs="Times New Roman"/>
          <w:color w:val="FF0000"/>
        </w:rPr>
        <w:fldChar w:fldCharType="begin" w:fldLock="1"/>
      </w:r>
      <w:r w:rsidRPr="000379EF">
        <w:rPr>
          <w:rFonts w:ascii="Times New Roman" w:hAnsi="Times New Roman" w:cs="Times New Roman"/>
          <w:color w:val="FF0000"/>
          <w:lang w:val="de-DE"/>
        </w:rPr>
        <w:instrText xml:space="preserve">ADDIN Mendeley Bibliography CSL_BIBLIOGRAPHY </w:instrText>
      </w:r>
      <w:r w:rsidRPr="000379EF">
        <w:rPr>
          <w:rFonts w:ascii="Times New Roman" w:hAnsi="Times New Roman" w:cs="Times New Roman"/>
          <w:color w:val="FF0000"/>
        </w:rPr>
        <w:fldChar w:fldCharType="separate"/>
      </w:r>
      <w:r w:rsidRPr="000379EF">
        <w:rPr>
          <w:rFonts w:ascii="Times New Roman" w:hAnsi="Times New Roman" w:cs="Times New Roman"/>
          <w:noProof/>
          <w:color w:val="FF0000"/>
          <w:szCs w:val="24"/>
          <w:lang w:val="de-DE"/>
        </w:rPr>
        <w:t xml:space="preserve">Wang, L., Liu, Q., Hu, C., Liang, R., Qiu, J., &amp; Wang, Y. (2018). </w:t>
      </w:r>
      <w:r w:rsidRPr="000379EF">
        <w:rPr>
          <w:rFonts w:ascii="Times New Roman" w:hAnsi="Times New Roman" w:cs="Times New Roman"/>
          <w:noProof/>
          <w:color w:val="FF0000"/>
          <w:szCs w:val="24"/>
        </w:rPr>
        <w:t xml:space="preserve">Phosphorus release during decomposition of the submerged macrophyte Potamogeton crispus. </w:t>
      </w:r>
      <w:r w:rsidRPr="000379EF">
        <w:rPr>
          <w:rFonts w:ascii="Times New Roman" w:hAnsi="Times New Roman" w:cs="Times New Roman"/>
          <w:i/>
          <w:iCs/>
          <w:noProof/>
          <w:color w:val="FF0000"/>
          <w:szCs w:val="24"/>
        </w:rPr>
        <w:t>Limnology</w:t>
      </w:r>
      <w:r w:rsidRPr="000379EF">
        <w:rPr>
          <w:rFonts w:ascii="Times New Roman" w:hAnsi="Times New Roman" w:cs="Times New Roman"/>
          <w:noProof/>
          <w:color w:val="FF0000"/>
          <w:szCs w:val="24"/>
        </w:rPr>
        <w:t xml:space="preserve">, </w:t>
      </w:r>
      <w:r w:rsidRPr="000379EF">
        <w:rPr>
          <w:rFonts w:ascii="Times New Roman" w:hAnsi="Times New Roman" w:cs="Times New Roman"/>
          <w:i/>
          <w:iCs/>
          <w:noProof/>
          <w:color w:val="FF0000"/>
          <w:szCs w:val="24"/>
        </w:rPr>
        <w:t>19</w:t>
      </w:r>
      <w:r w:rsidRPr="000379EF">
        <w:rPr>
          <w:rFonts w:ascii="Times New Roman" w:hAnsi="Times New Roman" w:cs="Times New Roman"/>
          <w:noProof/>
          <w:color w:val="FF0000"/>
          <w:szCs w:val="24"/>
        </w:rPr>
        <w:t>(3). https://doi.org/10.1007/s10201-018-0538-2</w:t>
      </w:r>
    </w:p>
    <w:p w:rsidR="0084632E" w:rsidRPr="00464AA7" w:rsidRDefault="0084632E" w:rsidP="00464AA7">
      <w:pPr>
        <w:jc w:val="center"/>
        <w:rPr>
          <w:rFonts w:ascii="Times New Roman" w:hAnsi="Times New Roman" w:cs="Times New Roman"/>
        </w:rPr>
      </w:pPr>
      <w:r w:rsidRPr="000379EF">
        <w:rPr>
          <w:rFonts w:ascii="Times New Roman" w:hAnsi="Times New Roman" w:cs="Times New Roman"/>
          <w:color w:val="FF0000"/>
        </w:rPr>
        <w:fldChar w:fldCharType="end"/>
      </w:r>
    </w:p>
    <w:sectPr w:rsidR="0084632E" w:rsidRPr="00464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A7"/>
    <w:rsid w:val="000379EF"/>
    <w:rsid w:val="00094937"/>
    <w:rsid w:val="000C5F93"/>
    <w:rsid w:val="000D6685"/>
    <w:rsid w:val="00392002"/>
    <w:rsid w:val="004130C1"/>
    <w:rsid w:val="00464AA7"/>
    <w:rsid w:val="004F710D"/>
    <w:rsid w:val="00583A65"/>
    <w:rsid w:val="00610E34"/>
    <w:rsid w:val="006E4E57"/>
    <w:rsid w:val="0084632E"/>
    <w:rsid w:val="009811A7"/>
    <w:rsid w:val="00CD5A7C"/>
    <w:rsid w:val="00CD76E3"/>
    <w:rsid w:val="00D918D0"/>
    <w:rsid w:val="00FB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6D34"/>
  <w15:chartTrackingRefBased/>
  <w15:docId w15:val="{6B5E04D9-EA42-435D-AA68-D07B8764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4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4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A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4AA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D5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63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3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7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14D4-FD0A-4283-92A0-C2AF9713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BRUNHOFEROVA</dc:creator>
  <cp:keywords/>
  <dc:description/>
  <cp:lastModifiedBy>Hana BRUNHOFEROVA</cp:lastModifiedBy>
  <cp:revision>9</cp:revision>
  <dcterms:created xsi:type="dcterms:W3CDTF">2020-12-11T15:41:00Z</dcterms:created>
  <dcterms:modified xsi:type="dcterms:W3CDTF">2021-03-16T10:07:00Z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https://csl.mendeley.com/styles/528953231/apa</vt:lpwstr>
  </property>
  <property fmtid="{D5CDD505-2E9C-101B-9397-08002B2CF9AE}" pid="7" name="Mendeley Recent Style Name 2_1">
    <vt:lpwstr>American Psychological Association 7th edition - Hana Brunhoferova</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484fcd3a-f579-3625-b127-68388fefca6b</vt:lpwstr>
  </property>
  <property fmtid="{D5CDD505-2E9C-101B-9397-08002B2CF9AE}" pid="24" name="Mendeley Citation Style_1">
    <vt:lpwstr>https://csl.mendeley.com/styles/528953231/apa</vt:lpwstr>
  </property>
</Properties>
</file>