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5CFD3" w14:textId="21E69B59" w:rsidR="0031363A" w:rsidRPr="00F02792" w:rsidRDefault="0031363A" w:rsidP="006C2194">
      <w:pPr>
        <w:spacing w:line="276" w:lineRule="auto"/>
        <w:jc w:val="both"/>
        <w:rPr>
          <w:b/>
          <w:bCs/>
          <w:lang w:val="fr-FR"/>
        </w:rPr>
      </w:pPr>
      <w:r w:rsidRPr="00F02792">
        <w:rPr>
          <w:b/>
          <w:bCs/>
          <w:lang w:val="fr-FR"/>
        </w:rPr>
        <w:t>D</w:t>
      </w:r>
      <w:r w:rsidR="001D3492" w:rsidRPr="00F02792">
        <w:rPr>
          <w:b/>
          <w:bCs/>
          <w:lang w:val="fr-FR"/>
        </w:rPr>
        <w:t>es</w:t>
      </w:r>
      <w:r w:rsidRPr="00F02792">
        <w:rPr>
          <w:b/>
          <w:bCs/>
          <w:lang w:val="fr-FR"/>
        </w:rPr>
        <w:t xml:space="preserve"> « renvois »</w:t>
      </w:r>
      <w:r w:rsidR="00DC644F" w:rsidRPr="00F02792">
        <w:rPr>
          <w:b/>
          <w:bCs/>
          <w:lang w:val="fr-FR"/>
        </w:rPr>
        <w:t xml:space="preserve"> à la juridiction compétente </w:t>
      </w:r>
    </w:p>
    <w:p w14:paraId="122AB082" w14:textId="6FE892FA" w:rsidR="000E0BA4" w:rsidRPr="00F02792" w:rsidRDefault="003C460E" w:rsidP="006C2194">
      <w:pPr>
        <w:spacing w:line="276" w:lineRule="auto"/>
        <w:jc w:val="both"/>
        <w:rPr>
          <w:sz w:val="20"/>
          <w:szCs w:val="20"/>
          <w:lang w:val="fr-FR"/>
        </w:rPr>
      </w:pPr>
      <w:r w:rsidRPr="00F02792">
        <w:rPr>
          <w:sz w:val="20"/>
          <w:szCs w:val="20"/>
          <w:lang w:val="fr-FR"/>
        </w:rPr>
        <w:t>Séverine Menétrey, Professeure à l</w:t>
      </w:r>
      <w:r w:rsidR="00BB76F1">
        <w:rPr>
          <w:sz w:val="20"/>
          <w:szCs w:val="20"/>
          <w:lang w:val="fr-FR"/>
        </w:rPr>
        <w:t>’</w:t>
      </w:r>
      <w:r w:rsidRPr="00F02792">
        <w:rPr>
          <w:sz w:val="20"/>
          <w:szCs w:val="20"/>
          <w:lang w:val="fr-FR"/>
        </w:rPr>
        <w:t xml:space="preserve">Université du </w:t>
      </w:r>
      <w:r w:rsidR="00774C98" w:rsidRPr="00F02792">
        <w:rPr>
          <w:sz w:val="20"/>
          <w:szCs w:val="20"/>
          <w:lang w:val="fr-FR"/>
        </w:rPr>
        <w:t>Luxembourg</w:t>
      </w:r>
    </w:p>
    <w:p w14:paraId="2F979610" w14:textId="77777777" w:rsidR="004D3886" w:rsidRPr="00F02792" w:rsidRDefault="004D3886" w:rsidP="006C2194">
      <w:pPr>
        <w:spacing w:line="276" w:lineRule="auto"/>
        <w:jc w:val="both"/>
        <w:rPr>
          <w:lang w:val="fr-FR"/>
        </w:rPr>
      </w:pPr>
    </w:p>
    <w:p w14:paraId="77829F6F" w14:textId="1ECD3082" w:rsidR="00210D5F" w:rsidRPr="00F02792" w:rsidRDefault="004D3886" w:rsidP="00FC0F48">
      <w:pPr>
        <w:spacing w:line="276" w:lineRule="auto"/>
        <w:jc w:val="both"/>
        <w:rPr>
          <w:lang w:val="fr-FR"/>
        </w:rPr>
      </w:pPr>
      <w:r w:rsidRPr="00F02792">
        <w:t>E</w:t>
      </w:r>
      <w:r w:rsidR="003F2548" w:rsidRPr="00F02792">
        <w:t>n dépit de l</w:t>
      </w:r>
      <w:r w:rsidR="00BB76F1">
        <w:t>’</w:t>
      </w:r>
      <w:r w:rsidR="003F2548" w:rsidRPr="00F02792">
        <w:t>emploi du terme « renvoi » par le NCPC aux articles 259 et suivants, « le tribunal qui accueille favorablement l</w:t>
      </w:r>
      <w:r w:rsidR="00BB76F1">
        <w:t>’</w:t>
      </w:r>
      <w:r w:rsidR="003F2548" w:rsidRPr="00F02792">
        <w:t>exception d</w:t>
      </w:r>
      <w:r w:rsidR="00BB76F1">
        <w:t>’</w:t>
      </w:r>
      <w:r w:rsidR="003F2548" w:rsidRPr="00F02792">
        <w:t>incompétence se borne à constater son incompétence, sans pour autant désigner la juridiction compétente, ni encore surtout sans procéder au renvoi de l</w:t>
      </w:r>
      <w:r w:rsidR="00BB76F1">
        <w:t>’</w:t>
      </w:r>
      <w:r w:rsidR="003F2548" w:rsidRPr="00F02792">
        <w:t>action devant cette dernière »</w:t>
      </w:r>
      <w:r w:rsidR="003F2548" w:rsidRPr="00F02792">
        <w:rPr>
          <w:rStyle w:val="Appelnotedebasdep"/>
        </w:rPr>
        <w:footnoteReference w:id="1"/>
      </w:r>
      <w:r w:rsidR="003F2548" w:rsidRPr="00F02792">
        <w:t xml:space="preserve">. Cette solution </w:t>
      </w:r>
      <w:r w:rsidR="009156FC" w:rsidRPr="00F02792">
        <w:t xml:space="preserve">propre au droit luxembourgeois </w:t>
      </w:r>
      <w:r w:rsidR="003F2548" w:rsidRPr="00F02792">
        <w:t>n</w:t>
      </w:r>
      <w:r w:rsidR="00BB76F1">
        <w:t>’</w:t>
      </w:r>
      <w:r w:rsidR="003F2548" w:rsidRPr="00F02792">
        <w:t>est pas satisfaisante</w:t>
      </w:r>
      <w:r w:rsidR="004F171E" w:rsidRPr="00F02792">
        <w:t xml:space="preserve"> sur le plan pratique,</w:t>
      </w:r>
      <w:r w:rsidR="003F2548" w:rsidRPr="00F02792">
        <w:t xml:space="preserve"> dans la mesure où elle fait perdre inutilement du temps et de l</w:t>
      </w:r>
      <w:r w:rsidR="00BB76F1">
        <w:t>’</w:t>
      </w:r>
      <w:r w:rsidR="003F2548" w:rsidRPr="00F02792">
        <w:t>argent au demandeur en exigeant de lui qu</w:t>
      </w:r>
      <w:r w:rsidR="00BB76F1">
        <w:t>’</w:t>
      </w:r>
      <w:r w:rsidR="003F2548" w:rsidRPr="00F02792">
        <w:t xml:space="preserve">il réitère une nouvelle demande. </w:t>
      </w:r>
      <w:r w:rsidR="00C1390A" w:rsidRPr="00F02792">
        <w:rPr>
          <w:lang w:val="fr-FR"/>
        </w:rPr>
        <w:t>Elle</w:t>
      </w:r>
      <w:r w:rsidR="00937521" w:rsidRPr="00F02792">
        <w:rPr>
          <w:lang w:val="fr-FR"/>
        </w:rPr>
        <w:t xml:space="preserve"> </w:t>
      </w:r>
      <w:r w:rsidR="00071E6B" w:rsidRPr="00F02792">
        <w:rPr>
          <w:lang w:val="fr-FR"/>
        </w:rPr>
        <w:t xml:space="preserve">doit également </w:t>
      </w:r>
      <w:r w:rsidR="006B7AA6" w:rsidRPr="00F02792">
        <w:rPr>
          <w:lang w:val="fr-FR"/>
        </w:rPr>
        <w:t>être critiq</w:t>
      </w:r>
      <w:r w:rsidR="00EB5D66" w:rsidRPr="00F02792">
        <w:rPr>
          <w:lang w:val="fr-FR"/>
        </w:rPr>
        <w:t xml:space="preserve">uée </w:t>
      </w:r>
      <w:r w:rsidR="00576F00" w:rsidRPr="00F02792">
        <w:rPr>
          <w:lang w:val="fr-FR"/>
        </w:rPr>
        <w:t xml:space="preserve">sur </w:t>
      </w:r>
      <w:r w:rsidR="00EB5D66" w:rsidRPr="00F02792">
        <w:rPr>
          <w:lang w:val="fr-FR"/>
        </w:rPr>
        <w:t xml:space="preserve">le plan conceptuel </w:t>
      </w:r>
      <w:r w:rsidR="000F4BF9" w:rsidRPr="00F02792">
        <w:rPr>
          <w:lang w:val="fr-FR"/>
        </w:rPr>
        <w:t xml:space="preserve">dans la mesure </w:t>
      </w:r>
      <w:r w:rsidR="00D14521" w:rsidRPr="00F02792">
        <w:rPr>
          <w:lang w:val="fr-FR"/>
        </w:rPr>
        <w:t>où</w:t>
      </w:r>
      <w:r w:rsidR="00CE59CF" w:rsidRPr="00F02792">
        <w:rPr>
          <w:lang w:val="fr-FR"/>
        </w:rPr>
        <w:t xml:space="preserve"> </w:t>
      </w:r>
      <w:r w:rsidR="00D14521" w:rsidRPr="00F02792">
        <w:rPr>
          <w:lang w:val="fr-FR"/>
        </w:rPr>
        <w:t>elle</w:t>
      </w:r>
      <w:r w:rsidR="00B12C6A" w:rsidRPr="00F02792">
        <w:rPr>
          <w:lang w:val="fr-FR"/>
        </w:rPr>
        <w:t xml:space="preserve"> traduit une</w:t>
      </w:r>
      <w:r w:rsidR="00D14521" w:rsidRPr="00F02792">
        <w:rPr>
          <w:lang w:val="fr-FR"/>
        </w:rPr>
        <w:t xml:space="preserve"> </w:t>
      </w:r>
      <w:r w:rsidR="00DE277E" w:rsidRPr="00F02792">
        <w:rPr>
          <w:lang w:val="fr-FR"/>
        </w:rPr>
        <w:t>conf</w:t>
      </w:r>
      <w:r w:rsidR="00B12C6A" w:rsidRPr="00F02792">
        <w:rPr>
          <w:lang w:val="fr-FR"/>
        </w:rPr>
        <w:t>usion</w:t>
      </w:r>
      <w:r w:rsidR="007D4E0A" w:rsidRPr="00F02792">
        <w:rPr>
          <w:lang w:val="fr-FR"/>
        </w:rPr>
        <w:t xml:space="preserve"> entre</w:t>
      </w:r>
      <w:r w:rsidR="00DE277E" w:rsidRPr="00F02792">
        <w:rPr>
          <w:lang w:val="fr-FR"/>
        </w:rPr>
        <w:t xml:space="preserve"> </w:t>
      </w:r>
      <w:r w:rsidR="00DE69DB" w:rsidRPr="00F02792">
        <w:rPr>
          <w:lang w:val="fr-FR"/>
        </w:rPr>
        <w:t>l</w:t>
      </w:r>
      <w:r w:rsidR="00BB76F1">
        <w:rPr>
          <w:lang w:val="fr-FR"/>
        </w:rPr>
        <w:t>’</w:t>
      </w:r>
      <w:r w:rsidR="00DE69DB" w:rsidRPr="00F02792">
        <w:rPr>
          <w:lang w:val="fr-FR"/>
        </w:rPr>
        <w:t xml:space="preserve">incompétence </w:t>
      </w:r>
      <w:r w:rsidR="001B57AE" w:rsidRPr="00F02792">
        <w:rPr>
          <w:lang w:val="fr-FR"/>
        </w:rPr>
        <w:t xml:space="preserve">et le défaut </w:t>
      </w:r>
      <w:r w:rsidR="00E92A19" w:rsidRPr="00F02792">
        <w:rPr>
          <w:lang w:val="fr-FR"/>
        </w:rPr>
        <w:t xml:space="preserve">de pouvoir </w:t>
      </w:r>
      <w:r w:rsidR="0024631A" w:rsidRPr="00F02792">
        <w:rPr>
          <w:lang w:val="fr-FR"/>
        </w:rPr>
        <w:t>juridi</w:t>
      </w:r>
      <w:r w:rsidR="002E2AAD" w:rsidRPr="00F02792">
        <w:rPr>
          <w:lang w:val="fr-FR"/>
        </w:rPr>
        <w:t>c</w:t>
      </w:r>
      <w:r w:rsidR="0024631A" w:rsidRPr="00F02792">
        <w:rPr>
          <w:lang w:val="fr-FR"/>
        </w:rPr>
        <w:t>tionnel</w:t>
      </w:r>
      <w:r w:rsidR="007B2374" w:rsidRPr="00F02792">
        <w:rPr>
          <w:lang w:val="fr-FR"/>
        </w:rPr>
        <w:t xml:space="preserve">. </w:t>
      </w:r>
      <w:r w:rsidR="005A12C0" w:rsidRPr="00F02792">
        <w:rPr>
          <w:lang w:val="fr-FR"/>
        </w:rPr>
        <w:t>Elle est d</w:t>
      </w:r>
      <w:r w:rsidR="00BB76F1">
        <w:rPr>
          <w:lang w:val="fr-FR"/>
        </w:rPr>
        <w:t>’</w:t>
      </w:r>
      <w:r w:rsidR="005A12C0" w:rsidRPr="00F02792">
        <w:rPr>
          <w:lang w:val="fr-FR"/>
        </w:rPr>
        <w:t xml:space="preserve">autant plus critiquable que cette </w:t>
      </w:r>
      <w:r w:rsidR="000030E1" w:rsidRPr="00F02792">
        <w:rPr>
          <w:lang w:val="fr-FR"/>
        </w:rPr>
        <w:t xml:space="preserve">sanction radicale </w:t>
      </w:r>
      <w:r w:rsidR="00030842" w:rsidRPr="00F02792">
        <w:rPr>
          <w:lang w:val="fr-FR"/>
        </w:rPr>
        <w:t>s</w:t>
      </w:r>
      <w:r w:rsidR="00BB76F1">
        <w:rPr>
          <w:lang w:val="fr-FR"/>
        </w:rPr>
        <w:t>’</w:t>
      </w:r>
      <w:r w:rsidR="00030842" w:rsidRPr="00F02792">
        <w:rPr>
          <w:lang w:val="fr-FR"/>
        </w:rPr>
        <w:t xml:space="preserve">étend </w:t>
      </w:r>
      <w:r w:rsidR="00456E51" w:rsidRPr="00F02792">
        <w:rPr>
          <w:lang w:val="fr-FR"/>
        </w:rPr>
        <w:t xml:space="preserve">à des hypothèses </w:t>
      </w:r>
      <w:r w:rsidR="006F6617" w:rsidRPr="00F02792">
        <w:rPr>
          <w:lang w:val="fr-FR"/>
        </w:rPr>
        <w:t xml:space="preserve">où il ne semble pas </w:t>
      </w:r>
      <w:r w:rsidR="00E13C6B" w:rsidRPr="00F02792">
        <w:rPr>
          <w:lang w:val="fr-FR"/>
        </w:rPr>
        <w:t xml:space="preserve">y avoir de conflit de compétence, mais </w:t>
      </w:r>
      <w:r w:rsidR="0009443B" w:rsidRPr="00F02792">
        <w:rPr>
          <w:lang w:val="fr-FR"/>
        </w:rPr>
        <w:t xml:space="preserve">incident </w:t>
      </w:r>
      <w:r w:rsidR="00AD0BF4" w:rsidRPr="00F02792">
        <w:rPr>
          <w:lang w:val="fr-FR"/>
        </w:rPr>
        <w:t xml:space="preserve">de </w:t>
      </w:r>
      <w:r w:rsidR="00403CF7" w:rsidRPr="00F02792">
        <w:rPr>
          <w:lang w:val="fr-FR"/>
        </w:rPr>
        <w:t>répartition entre</w:t>
      </w:r>
      <w:r w:rsidR="0009443B" w:rsidRPr="00F02792">
        <w:rPr>
          <w:lang w:val="fr-FR"/>
        </w:rPr>
        <w:t xml:space="preserve"> juges d</w:t>
      </w:r>
      <w:r w:rsidR="00BB76F1">
        <w:rPr>
          <w:lang w:val="fr-FR"/>
        </w:rPr>
        <w:t>’</w:t>
      </w:r>
      <w:r w:rsidR="0009443B" w:rsidRPr="00F02792">
        <w:rPr>
          <w:lang w:val="fr-FR"/>
        </w:rPr>
        <w:t>une même juridiction</w:t>
      </w:r>
      <w:r w:rsidR="00403CF7" w:rsidRPr="00F02792">
        <w:rPr>
          <w:lang w:val="fr-FR"/>
        </w:rPr>
        <w:t xml:space="preserve"> </w:t>
      </w:r>
      <w:r w:rsidR="00D76615" w:rsidRPr="00F02792">
        <w:rPr>
          <w:lang w:val="fr-FR"/>
        </w:rPr>
        <w:t>(I)</w:t>
      </w:r>
      <w:r w:rsidR="0024631A" w:rsidRPr="00F02792">
        <w:rPr>
          <w:lang w:val="fr-FR"/>
        </w:rPr>
        <w:t xml:space="preserve">. </w:t>
      </w:r>
      <w:r w:rsidR="00291102" w:rsidRPr="00F02792">
        <w:rPr>
          <w:lang w:val="fr-FR"/>
        </w:rPr>
        <w:t>Le droit</w:t>
      </w:r>
      <w:r w:rsidR="00210D5F" w:rsidRPr="00F02792">
        <w:rPr>
          <w:lang w:val="fr-FR"/>
        </w:rPr>
        <w:t xml:space="preserve"> luxembourgeois </w:t>
      </w:r>
      <w:r w:rsidR="00F21A18" w:rsidRPr="00F02792">
        <w:rPr>
          <w:lang w:val="fr-FR"/>
        </w:rPr>
        <w:t>contraste sensiblement avec</w:t>
      </w:r>
      <w:r w:rsidR="00210D5F" w:rsidRPr="00F02792">
        <w:rPr>
          <w:lang w:val="fr-FR"/>
        </w:rPr>
        <w:t xml:space="preserve"> </w:t>
      </w:r>
      <w:r w:rsidR="00F21A18" w:rsidRPr="00F02792">
        <w:rPr>
          <w:lang w:val="fr-FR"/>
        </w:rPr>
        <w:t>le</w:t>
      </w:r>
      <w:r w:rsidR="00E627A8" w:rsidRPr="00F02792">
        <w:rPr>
          <w:lang w:val="fr-FR"/>
        </w:rPr>
        <w:t>s solutions adoptées</w:t>
      </w:r>
      <w:r w:rsidR="008876EC" w:rsidRPr="00F02792">
        <w:rPr>
          <w:lang w:val="fr-FR"/>
        </w:rPr>
        <w:t xml:space="preserve"> dans d</w:t>
      </w:r>
      <w:r w:rsidR="00BB76F1">
        <w:rPr>
          <w:lang w:val="fr-FR"/>
        </w:rPr>
        <w:t>’</w:t>
      </w:r>
      <w:r w:rsidR="008876EC" w:rsidRPr="00F02792">
        <w:rPr>
          <w:lang w:val="fr-FR"/>
        </w:rPr>
        <w:t>autres Etats</w:t>
      </w:r>
      <w:r w:rsidR="008D3EA1" w:rsidRPr="00F02792">
        <w:rPr>
          <w:lang w:val="fr-FR"/>
        </w:rPr>
        <w:t xml:space="preserve"> en particulier en France et en </w:t>
      </w:r>
      <w:r w:rsidR="002364A8" w:rsidRPr="00F02792">
        <w:rPr>
          <w:lang w:val="fr-FR"/>
        </w:rPr>
        <w:t>Belgique où</w:t>
      </w:r>
      <w:r w:rsidR="00EB2FC1" w:rsidRPr="00F02792">
        <w:t xml:space="preserve"> </w:t>
      </w:r>
      <w:r w:rsidR="001A5997" w:rsidRPr="00F02792">
        <w:t>l</w:t>
      </w:r>
      <w:r w:rsidR="00BB76F1">
        <w:t>’</w:t>
      </w:r>
      <w:r w:rsidR="001A5997" w:rsidRPr="00F02792">
        <w:t>incompétence ne met</w:t>
      </w:r>
      <w:r w:rsidR="00EB2FC1" w:rsidRPr="00F02792">
        <w:t xml:space="preserve"> pas fin à l</w:t>
      </w:r>
      <w:r w:rsidR="00BB76F1">
        <w:t>’</w:t>
      </w:r>
      <w:r w:rsidR="00EB2FC1" w:rsidRPr="00F02792">
        <w:t>instance mais conduit à s</w:t>
      </w:r>
      <w:r w:rsidR="002A4E7D" w:rsidRPr="00F02792">
        <w:t>on renvoi et à sa</w:t>
      </w:r>
      <w:r w:rsidR="002D51C2" w:rsidRPr="00F02792">
        <w:t xml:space="preserve"> </w:t>
      </w:r>
      <w:r w:rsidR="00EB2FC1" w:rsidRPr="00F02792">
        <w:t>poursuite devant la juridiction compétente</w:t>
      </w:r>
      <w:r w:rsidR="00147C89" w:rsidRPr="00F02792">
        <w:rPr>
          <w:lang w:val="fr-FR"/>
        </w:rPr>
        <w:t xml:space="preserve">. </w:t>
      </w:r>
      <w:r w:rsidR="00766D9C" w:rsidRPr="00F02792">
        <w:rPr>
          <w:lang w:val="fr-FR"/>
        </w:rPr>
        <w:t>Le</w:t>
      </w:r>
      <w:r w:rsidR="003D3944" w:rsidRPr="00F02792">
        <w:rPr>
          <w:lang w:val="fr-FR"/>
        </w:rPr>
        <w:t xml:space="preserve"> droit comparé </w:t>
      </w:r>
      <w:r w:rsidR="00E32E08" w:rsidRPr="00F02792">
        <w:rPr>
          <w:lang w:val="fr-FR"/>
        </w:rPr>
        <w:t xml:space="preserve">montre </w:t>
      </w:r>
      <w:r w:rsidR="001E0477" w:rsidRPr="00F02792">
        <w:rPr>
          <w:lang w:val="fr-FR"/>
        </w:rPr>
        <w:t>la nécessité qu</w:t>
      </w:r>
      <w:r w:rsidR="00BB76F1">
        <w:rPr>
          <w:lang w:val="fr-FR"/>
        </w:rPr>
        <w:t>’</w:t>
      </w:r>
      <w:r w:rsidR="001E0477" w:rsidRPr="00F02792">
        <w:rPr>
          <w:lang w:val="fr-FR"/>
        </w:rPr>
        <w:t xml:space="preserve">il y a à distinguer </w:t>
      </w:r>
      <w:r w:rsidR="003D3944" w:rsidRPr="00F02792">
        <w:rPr>
          <w:lang w:val="fr-FR"/>
        </w:rPr>
        <w:t>l</w:t>
      </w:r>
      <w:r w:rsidR="00147C89" w:rsidRPr="00F02792">
        <w:rPr>
          <w:lang w:val="fr-FR"/>
        </w:rPr>
        <w:t>es incidents de compétence</w:t>
      </w:r>
      <w:r w:rsidR="002D51C2" w:rsidRPr="00F02792">
        <w:rPr>
          <w:lang w:val="fr-FR"/>
        </w:rPr>
        <w:t xml:space="preserve">, </w:t>
      </w:r>
      <w:r w:rsidR="00147C89" w:rsidRPr="00F02792">
        <w:rPr>
          <w:lang w:val="fr-FR"/>
        </w:rPr>
        <w:t xml:space="preserve">des incidents de juridiction et </w:t>
      </w:r>
      <w:r w:rsidR="00A54E9B" w:rsidRPr="00F02792">
        <w:rPr>
          <w:lang w:val="fr-FR"/>
        </w:rPr>
        <w:t xml:space="preserve">des incidents </w:t>
      </w:r>
      <w:r w:rsidR="00912691" w:rsidRPr="00F02792">
        <w:rPr>
          <w:lang w:val="fr-FR"/>
        </w:rPr>
        <w:t xml:space="preserve">de répartition </w:t>
      </w:r>
      <w:r w:rsidR="00F12888" w:rsidRPr="00F02792">
        <w:rPr>
          <w:lang w:val="fr-FR"/>
        </w:rPr>
        <w:t>(II)</w:t>
      </w:r>
      <w:r w:rsidR="00292782" w:rsidRPr="00F02792">
        <w:rPr>
          <w:lang w:val="fr-FR"/>
        </w:rPr>
        <w:t>.</w:t>
      </w:r>
      <w:r w:rsidR="005E4983" w:rsidRPr="00F02792">
        <w:rPr>
          <w:lang w:val="fr-FR"/>
        </w:rPr>
        <w:t xml:space="preserve"> </w:t>
      </w:r>
      <w:r w:rsidR="00292782" w:rsidRPr="00F02792">
        <w:rPr>
          <w:lang w:val="fr-FR"/>
        </w:rPr>
        <w:t>La</w:t>
      </w:r>
      <w:r w:rsidR="00D4517D" w:rsidRPr="00F02792">
        <w:rPr>
          <w:lang w:val="fr-FR"/>
        </w:rPr>
        <w:t xml:space="preserve"> position du droit</w:t>
      </w:r>
      <w:r w:rsidR="00292782" w:rsidRPr="00F02792">
        <w:rPr>
          <w:lang w:val="fr-FR"/>
        </w:rPr>
        <w:t xml:space="preserve"> luxembourgeois</w:t>
      </w:r>
      <w:r w:rsidR="002739AC" w:rsidRPr="00F02792">
        <w:rPr>
          <w:lang w:val="fr-FR"/>
        </w:rPr>
        <w:t xml:space="preserve"> </w:t>
      </w:r>
      <w:r w:rsidR="00292782" w:rsidRPr="00F02792">
        <w:rPr>
          <w:lang w:val="fr-FR"/>
        </w:rPr>
        <w:t>p</w:t>
      </w:r>
      <w:r w:rsidR="00F320D4" w:rsidRPr="00F02792">
        <w:rPr>
          <w:lang w:val="fr-FR"/>
        </w:rPr>
        <w:t>ourrait</w:t>
      </w:r>
      <w:r w:rsidR="00292782" w:rsidRPr="00F02792">
        <w:rPr>
          <w:lang w:val="fr-FR"/>
        </w:rPr>
        <w:t xml:space="preserve"> s</w:t>
      </w:r>
      <w:r w:rsidR="00BB76F1">
        <w:rPr>
          <w:lang w:val="fr-FR"/>
        </w:rPr>
        <w:t>’</w:t>
      </w:r>
      <w:r w:rsidR="00292782" w:rsidRPr="00F02792">
        <w:rPr>
          <w:lang w:val="fr-FR"/>
        </w:rPr>
        <w:t xml:space="preserve">expliquer </w:t>
      </w:r>
      <w:r w:rsidR="00670DA7" w:rsidRPr="00F02792">
        <w:rPr>
          <w:lang w:val="fr-FR"/>
        </w:rPr>
        <w:t xml:space="preserve">par une confusion entre le défaut de pouvoir et le défaut de compétence </w:t>
      </w:r>
      <w:r w:rsidR="00026DF9" w:rsidRPr="00F02792">
        <w:rPr>
          <w:lang w:val="fr-FR"/>
        </w:rPr>
        <w:t xml:space="preserve">dû </w:t>
      </w:r>
      <w:r w:rsidR="00292782" w:rsidRPr="00F02792">
        <w:rPr>
          <w:lang w:val="fr-FR"/>
        </w:rPr>
        <w:t>au fait que les incidents de compétence concernent davantage la compétence internationale (qui peut s</w:t>
      </w:r>
      <w:r w:rsidR="00BB76F1">
        <w:rPr>
          <w:lang w:val="fr-FR"/>
        </w:rPr>
        <w:t>’</w:t>
      </w:r>
      <w:r w:rsidR="00292782" w:rsidRPr="00F02792">
        <w:rPr>
          <w:lang w:val="fr-FR"/>
        </w:rPr>
        <w:t>analyser en termes de pouvoir juridictionnel) que les compétences internes</w:t>
      </w:r>
      <w:r w:rsidR="008656BD" w:rsidRPr="00F02792">
        <w:rPr>
          <w:rStyle w:val="Appelnotedebasdep"/>
          <w:lang w:val="fr-FR"/>
        </w:rPr>
        <w:footnoteReference w:id="2"/>
      </w:r>
      <w:r w:rsidR="00292782" w:rsidRPr="00F02792">
        <w:rPr>
          <w:lang w:val="fr-FR"/>
        </w:rPr>
        <w:t>. Mais ce</w:t>
      </w:r>
      <w:r w:rsidR="00EB6054" w:rsidRPr="00F02792">
        <w:rPr>
          <w:lang w:val="fr-FR"/>
        </w:rPr>
        <w:t>tte</w:t>
      </w:r>
      <w:r w:rsidR="00292782" w:rsidRPr="00F02792">
        <w:rPr>
          <w:lang w:val="fr-FR"/>
        </w:rPr>
        <w:t xml:space="preserve"> explication </w:t>
      </w:r>
      <w:r w:rsidR="00EB6054" w:rsidRPr="00F02792">
        <w:rPr>
          <w:lang w:val="fr-FR"/>
        </w:rPr>
        <w:t>est peu</w:t>
      </w:r>
      <w:r w:rsidR="00292782" w:rsidRPr="00F02792">
        <w:rPr>
          <w:lang w:val="fr-FR"/>
        </w:rPr>
        <w:t xml:space="preserve"> convaincante. Elle l</w:t>
      </w:r>
      <w:r w:rsidR="00BB76F1">
        <w:rPr>
          <w:lang w:val="fr-FR"/>
        </w:rPr>
        <w:t>’</w:t>
      </w:r>
      <w:r w:rsidR="009C113C" w:rsidRPr="00F02792">
        <w:rPr>
          <w:lang w:val="fr-FR"/>
        </w:rPr>
        <w:t>est</w:t>
      </w:r>
      <w:r w:rsidR="00292782" w:rsidRPr="00F02792">
        <w:rPr>
          <w:lang w:val="fr-FR"/>
        </w:rPr>
        <w:t xml:space="preserve"> d</w:t>
      </w:r>
      <w:r w:rsidR="00BB76F1">
        <w:rPr>
          <w:lang w:val="fr-FR"/>
        </w:rPr>
        <w:t>’</w:t>
      </w:r>
      <w:r w:rsidR="00292782" w:rsidRPr="00F02792">
        <w:rPr>
          <w:lang w:val="fr-FR"/>
        </w:rPr>
        <w:t>autant moins à l</w:t>
      </w:r>
      <w:r w:rsidR="00BB76F1">
        <w:rPr>
          <w:lang w:val="fr-FR"/>
        </w:rPr>
        <w:t>’</w:t>
      </w:r>
      <w:r w:rsidR="00292782" w:rsidRPr="00F02792">
        <w:rPr>
          <w:lang w:val="fr-FR"/>
        </w:rPr>
        <w:t>heure où le renvoi en matière de compétence internationale commence à se dessiner (III) et dans un pays</w:t>
      </w:r>
      <w:r w:rsidR="0038354C" w:rsidRPr="00F02792">
        <w:rPr>
          <w:lang w:val="fr-FR"/>
        </w:rPr>
        <w:t xml:space="preserve"> </w:t>
      </w:r>
      <w:r w:rsidR="00FC0F48" w:rsidRPr="00F02792">
        <w:rPr>
          <w:lang w:val="fr-FR"/>
        </w:rPr>
        <w:t>où</w:t>
      </w:r>
      <w:r w:rsidR="0038354C" w:rsidRPr="00F02792">
        <w:rPr>
          <w:lang w:val="fr-FR"/>
        </w:rPr>
        <w:t>,</w:t>
      </w:r>
      <w:r w:rsidR="00FC0F48" w:rsidRPr="00F02792">
        <w:rPr>
          <w:lang w:val="fr-FR"/>
        </w:rPr>
        <w:t xml:space="preserve"> </w:t>
      </w:r>
      <w:r w:rsidR="00210D5F" w:rsidRPr="00F02792">
        <w:rPr>
          <w:lang w:val="fr-FR"/>
        </w:rPr>
        <w:t>compte tenu de la taille du</w:t>
      </w:r>
      <w:r w:rsidR="003E6378" w:rsidRPr="00F02792">
        <w:rPr>
          <w:lang w:val="fr-FR"/>
        </w:rPr>
        <w:t xml:space="preserve"> territoire </w:t>
      </w:r>
      <w:r w:rsidR="00210D5F" w:rsidRPr="00F02792">
        <w:rPr>
          <w:lang w:val="fr-FR"/>
        </w:rPr>
        <w:t>et de</w:t>
      </w:r>
      <w:r w:rsidR="003E6378" w:rsidRPr="00F02792">
        <w:rPr>
          <w:lang w:val="fr-FR"/>
        </w:rPr>
        <w:t xml:space="preserve"> l</w:t>
      </w:r>
      <w:r w:rsidR="00BB76F1">
        <w:rPr>
          <w:lang w:val="fr-FR"/>
        </w:rPr>
        <w:t>’</w:t>
      </w:r>
      <w:r w:rsidR="00210D5F" w:rsidRPr="00F02792">
        <w:rPr>
          <w:lang w:val="fr-FR"/>
        </w:rPr>
        <w:t>organisation judiciaire, l</w:t>
      </w:r>
      <w:r w:rsidR="00BB76F1">
        <w:rPr>
          <w:lang w:val="fr-FR"/>
        </w:rPr>
        <w:t>’</w:t>
      </w:r>
      <w:r w:rsidR="00210D5F" w:rsidRPr="00F02792">
        <w:rPr>
          <w:lang w:val="fr-FR"/>
        </w:rPr>
        <w:t>hypothèse d</w:t>
      </w:r>
      <w:r w:rsidR="00BB76F1">
        <w:rPr>
          <w:lang w:val="fr-FR"/>
        </w:rPr>
        <w:t>’</w:t>
      </w:r>
      <w:r w:rsidR="00210D5F" w:rsidRPr="00F02792">
        <w:rPr>
          <w:lang w:val="fr-FR"/>
        </w:rPr>
        <w:t>une juridiction unique trouverait tout son sens</w:t>
      </w:r>
      <w:r w:rsidR="00973A61" w:rsidRPr="00F02792">
        <w:rPr>
          <w:lang w:val="fr-FR"/>
        </w:rPr>
        <w:t xml:space="preserve"> (</w:t>
      </w:r>
      <w:r w:rsidR="00F633F3" w:rsidRPr="00F02792">
        <w:rPr>
          <w:lang w:val="fr-FR"/>
        </w:rPr>
        <w:t>I</w:t>
      </w:r>
      <w:r w:rsidR="00973A61" w:rsidRPr="00F02792">
        <w:rPr>
          <w:lang w:val="fr-FR"/>
        </w:rPr>
        <w:t>V)</w:t>
      </w:r>
      <w:r w:rsidR="00210D5F" w:rsidRPr="00F02792">
        <w:rPr>
          <w:lang w:val="fr-FR"/>
        </w:rPr>
        <w:t>.</w:t>
      </w:r>
    </w:p>
    <w:p w14:paraId="4F3D6D33" w14:textId="3354EB38" w:rsidR="00210D5F" w:rsidRPr="00F02792" w:rsidRDefault="00210D5F" w:rsidP="006C2194">
      <w:pPr>
        <w:spacing w:line="276" w:lineRule="auto"/>
        <w:jc w:val="both"/>
        <w:rPr>
          <w:color w:val="000000" w:themeColor="text1"/>
          <w:lang w:val="fr-FR"/>
        </w:rPr>
      </w:pPr>
    </w:p>
    <w:p w14:paraId="5BD0928B" w14:textId="3BF18620" w:rsidR="00A324D2" w:rsidRPr="00F02792" w:rsidRDefault="00A324D2" w:rsidP="006C2194">
      <w:pPr>
        <w:spacing w:line="276" w:lineRule="auto"/>
        <w:jc w:val="both"/>
        <w:rPr>
          <w:b/>
          <w:bCs/>
          <w:color w:val="000000" w:themeColor="text1"/>
          <w:lang w:val="fr-FR"/>
        </w:rPr>
      </w:pPr>
      <w:r w:rsidRPr="00F02792">
        <w:rPr>
          <w:b/>
          <w:bCs/>
          <w:color w:val="000000" w:themeColor="text1"/>
          <w:lang w:val="fr-FR"/>
        </w:rPr>
        <w:t xml:space="preserve">I. </w:t>
      </w:r>
      <w:r w:rsidR="007208FA" w:rsidRPr="00F02792">
        <w:rPr>
          <w:b/>
          <w:bCs/>
          <w:color w:val="000000" w:themeColor="text1"/>
          <w:lang w:val="fr-FR"/>
        </w:rPr>
        <w:t>L</w:t>
      </w:r>
      <w:r w:rsidR="00BB76F1">
        <w:rPr>
          <w:b/>
          <w:bCs/>
          <w:color w:val="000000" w:themeColor="text1"/>
          <w:lang w:val="fr-FR"/>
        </w:rPr>
        <w:t>’</w:t>
      </w:r>
      <w:r w:rsidR="007208FA" w:rsidRPr="00F02792">
        <w:rPr>
          <w:b/>
          <w:bCs/>
          <w:color w:val="000000" w:themeColor="text1"/>
          <w:lang w:val="fr-FR"/>
        </w:rPr>
        <w:t>incompétence des juridictions luxembourgeoise</w:t>
      </w:r>
      <w:r w:rsidR="00E67B17" w:rsidRPr="00F02792">
        <w:rPr>
          <w:b/>
          <w:bCs/>
          <w:color w:val="000000" w:themeColor="text1"/>
          <w:lang w:val="fr-FR"/>
        </w:rPr>
        <w:t>s</w:t>
      </w:r>
      <w:r w:rsidR="007208FA" w:rsidRPr="00F02792">
        <w:rPr>
          <w:b/>
          <w:bCs/>
          <w:color w:val="000000" w:themeColor="text1"/>
          <w:lang w:val="fr-FR"/>
        </w:rPr>
        <w:t xml:space="preserve"> </w:t>
      </w:r>
    </w:p>
    <w:p w14:paraId="517D7560" w14:textId="21F7662D" w:rsidR="000D6C3A" w:rsidRPr="00F02792" w:rsidRDefault="000D6C3A" w:rsidP="006C2194">
      <w:pPr>
        <w:spacing w:line="276" w:lineRule="auto"/>
        <w:jc w:val="both"/>
        <w:rPr>
          <w:b/>
          <w:bCs/>
          <w:color w:val="000000" w:themeColor="text1"/>
          <w:lang w:val="fr-FR"/>
        </w:rPr>
      </w:pPr>
    </w:p>
    <w:p w14:paraId="63D06D02" w14:textId="017873C4" w:rsidR="003D67B1" w:rsidRPr="00F02792" w:rsidRDefault="00CB01D7" w:rsidP="003D67B1">
      <w:pPr>
        <w:spacing w:line="276" w:lineRule="auto"/>
        <w:jc w:val="both"/>
        <w:rPr>
          <w:color w:val="000000" w:themeColor="text1"/>
          <w:lang w:val="fr-FR"/>
        </w:rPr>
      </w:pPr>
      <w:r w:rsidRPr="00F02792">
        <w:rPr>
          <w:color w:val="000000" w:themeColor="text1"/>
        </w:rPr>
        <w:t>Comme l</w:t>
      </w:r>
      <w:r w:rsidR="00BB76F1">
        <w:rPr>
          <w:color w:val="000000" w:themeColor="text1"/>
        </w:rPr>
        <w:t>’</w:t>
      </w:r>
      <w:r w:rsidRPr="00F02792">
        <w:rPr>
          <w:color w:val="000000" w:themeColor="text1"/>
        </w:rPr>
        <w:t xml:space="preserve">a clairement exposé Thierry Hoscheit, </w:t>
      </w:r>
      <w:r w:rsidR="006E4A73" w:rsidRPr="00F02792">
        <w:rPr>
          <w:color w:val="000000" w:themeColor="text1"/>
        </w:rPr>
        <w:t>« </w:t>
      </w:r>
      <w:r w:rsidRPr="00F02792">
        <w:rPr>
          <w:color w:val="000000" w:themeColor="text1"/>
        </w:rPr>
        <w:t>l</w:t>
      </w:r>
      <w:r w:rsidR="006E4A73" w:rsidRPr="00F02792">
        <w:rPr>
          <w:color w:val="000000" w:themeColor="text1"/>
        </w:rPr>
        <w:t xml:space="preserve">a notion de </w:t>
      </w:r>
      <w:r w:rsidR="00BB76F1">
        <w:rPr>
          <w:color w:val="000000" w:themeColor="text1"/>
        </w:rPr>
        <w:t>‘</w:t>
      </w:r>
      <w:r w:rsidR="006E4A73" w:rsidRPr="00F02792">
        <w:rPr>
          <w:color w:val="000000" w:themeColor="text1"/>
        </w:rPr>
        <w:t>compétence</w:t>
      </w:r>
      <w:r w:rsidR="00BB76F1">
        <w:rPr>
          <w:color w:val="000000" w:themeColor="text1"/>
        </w:rPr>
        <w:t>’</w:t>
      </w:r>
      <w:r w:rsidR="006E4A73" w:rsidRPr="00F02792">
        <w:rPr>
          <w:color w:val="000000" w:themeColor="text1"/>
        </w:rPr>
        <w:t xml:space="preserve"> renvoie traditionnellement à deux considérations, la première tenant à la compétence matérielle, y compris la compétence quant à la valeur, la seconde tenant à la compétence territoriale, qui peut faire appel selon les hypothèses à des questions de compétence territoriale interne (réglées pour l</w:t>
      </w:r>
      <w:r w:rsidR="00BB76F1">
        <w:rPr>
          <w:color w:val="000000" w:themeColor="text1"/>
        </w:rPr>
        <w:t>’</w:t>
      </w:r>
      <w:r w:rsidR="006E4A73" w:rsidRPr="00F02792">
        <w:rPr>
          <w:color w:val="000000" w:themeColor="text1"/>
        </w:rPr>
        <w:t>essentiel par les articles 27 à 47 du Nouveau Code de procédure civile) ou des questions de compétence internationale (réglées par le droit international privé).</w:t>
      </w:r>
      <w:r w:rsidR="006E4A73" w:rsidRPr="00F02792">
        <w:rPr>
          <w:color w:val="000000" w:themeColor="text1"/>
          <w:lang w:val="fr-FR"/>
        </w:rPr>
        <w:t xml:space="preserve"> </w:t>
      </w:r>
      <w:r w:rsidR="006E4A73" w:rsidRPr="00F02792">
        <w:rPr>
          <w:color w:val="000000" w:themeColor="text1"/>
        </w:rPr>
        <w:t>Les deux aspects traitent de la question de savoir à l</w:t>
      </w:r>
      <w:r w:rsidR="00BB76F1">
        <w:rPr>
          <w:color w:val="000000" w:themeColor="text1"/>
        </w:rPr>
        <w:t>’</w:t>
      </w:r>
      <w:r w:rsidR="006E4A73" w:rsidRPr="00F02792">
        <w:rPr>
          <w:color w:val="000000" w:themeColor="text1"/>
        </w:rPr>
        <w:t>égard de quels litiges un juge peut être appelé à trancher, en l</w:t>
      </w:r>
      <w:r w:rsidR="00BB76F1">
        <w:rPr>
          <w:color w:val="000000" w:themeColor="text1"/>
        </w:rPr>
        <w:t>’</w:t>
      </w:r>
      <w:r w:rsidR="006E4A73" w:rsidRPr="00F02792">
        <w:rPr>
          <w:color w:val="000000" w:themeColor="text1"/>
        </w:rPr>
        <w:t>examinant soit sous le regard de la matière formant l</w:t>
      </w:r>
      <w:r w:rsidR="00BB76F1">
        <w:rPr>
          <w:color w:val="000000" w:themeColor="text1"/>
        </w:rPr>
        <w:t>’</w:t>
      </w:r>
      <w:r w:rsidR="006E4A73" w:rsidRPr="00F02792">
        <w:rPr>
          <w:color w:val="000000" w:themeColor="text1"/>
        </w:rPr>
        <w:t xml:space="preserve">objet du litige, soit sous le </w:t>
      </w:r>
      <w:r w:rsidR="006E4A73" w:rsidRPr="00F02792">
        <w:rPr>
          <w:color w:val="000000" w:themeColor="text1"/>
        </w:rPr>
        <w:lastRenderedPageBreak/>
        <w:t>regard du rattachement territorial »</w:t>
      </w:r>
      <w:r w:rsidR="006E4A73" w:rsidRPr="00F02792">
        <w:rPr>
          <w:rStyle w:val="Appelnotedebasdep"/>
          <w:color w:val="000000" w:themeColor="text1"/>
        </w:rPr>
        <w:footnoteReference w:id="3"/>
      </w:r>
      <w:r w:rsidR="006E4A73" w:rsidRPr="00F02792">
        <w:rPr>
          <w:color w:val="000000" w:themeColor="text1"/>
        </w:rPr>
        <w:t>.</w:t>
      </w:r>
      <w:r w:rsidR="006C1501" w:rsidRPr="00F02792">
        <w:rPr>
          <w:color w:val="000000" w:themeColor="text1"/>
        </w:rPr>
        <w:t xml:space="preserve"> </w:t>
      </w:r>
      <w:r w:rsidR="003E138A" w:rsidRPr="00F02792">
        <w:rPr>
          <w:color w:val="000000" w:themeColor="text1"/>
        </w:rPr>
        <w:t>La notion est pourtant plus complexe qu</w:t>
      </w:r>
      <w:r w:rsidR="00BB76F1">
        <w:rPr>
          <w:color w:val="000000" w:themeColor="text1"/>
        </w:rPr>
        <w:t>’</w:t>
      </w:r>
      <w:r w:rsidR="003E138A" w:rsidRPr="00F02792">
        <w:rPr>
          <w:color w:val="000000" w:themeColor="text1"/>
        </w:rPr>
        <w:t>il n</w:t>
      </w:r>
      <w:r w:rsidR="00BB76F1">
        <w:rPr>
          <w:color w:val="000000" w:themeColor="text1"/>
        </w:rPr>
        <w:t>’</w:t>
      </w:r>
      <w:r w:rsidR="003E138A" w:rsidRPr="00F02792">
        <w:rPr>
          <w:color w:val="000000" w:themeColor="text1"/>
        </w:rPr>
        <w:t>y para</w:t>
      </w:r>
      <w:r w:rsidR="00EF2D53" w:rsidRPr="00F02792">
        <w:rPr>
          <w:color w:val="000000" w:themeColor="text1"/>
        </w:rPr>
        <w:t>î</w:t>
      </w:r>
      <w:r w:rsidR="003E138A" w:rsidRPr="00F02792">
        <w:rPr>
          <w:color w:val="000000" w:themeColor="text1"/>
        </w:rPr>
        <w:t>t</w:t>
      </w:r>
      <w:r w:rsidR="000E15F5" w:rsidRPr="00F02792">
        <w:rPr>
          <w:color w:val="000000" w:themeColor="text1"/>
        </w:rPr>
        <w:t xml:space="preserve"> du point de vue de ses sanctions</w:t>
      </w:r>
      <w:r w:rsidR="003E138A" w:rsidRPr="00F02792">
        <w:rPr>
          <w:color w:val="000000" w:themeColor="text1"/>
        </w:rPr>
        <w:t>.</w:t>
      </w:r>
      <w:r w:rsidR="00AE4B47" w:rsidRPr="00F02792">
        <w:rPr>
          <w:color w:val="000000" w:themeColor="text1"/>
        </w:rPr>
        <w:t xml:space="preserve"> Le</w:t>
      </w:r>
      <w:r w:rsidR="00A22AF5" w:rsidRPr="00F02792">
        <w:rPr>
          <w:color w:val="000000" w:themeColor="text1"/>
        </w:rPr>
        <w:t xml:space="preserve"> droit luxembourgeois</w:t>
      </w:r>
      <w:r w:rsidR="006737EA" w:rsidRPr="00F02792">
        <w:rPr>
          <w:color w:val="000000" w:themeColor="text1"/>
        </w:rPr>
        <w:t xml:space="preserve"> </w:t>
      </w:r>
      <w:r w:rsidR="00981EF3" w:rsidRPr="00F02792">
        <w:rPr>
          <w:color w:val="000000" w:themeColor="text1"/>
        </w:rPr>
        <w:t xml:space="preserve">ne </w:t>
      </w:r>
      <w:r w:rsidR="006737EA" w:rsidRPr="00F02792">
        <w:rPr>
          <w:color w:val="000000" w:themeColor="text1"/>
        </w:rPr>
        <w:t>sanctionne</w:t>
      </w:r>
      <w:r w:rsidR="00A22AF5" w:rsidRPr="00F02792">
        <w:rPr>
          <w:color w:val="000000" w:themeColor="text1"/>
        </w:rPr>
        <w:t xml:space="preserve"> </w:t>
      </w:r>
      <w:r w:rsidR="00981EF3" w:rsidRPr="00F02792">
        <w:rPr>
          <w:color w:val="000000" w:themeColor="text1"/>
        </w:rPr>
        <w:t xml:space="preserve">pas </w:t>
      </w:r>
      <w:r w:rsidR="00A92583" w:rsidRPr="00F02792">
        <w:rPr>
          <w:color w:val="000000" w:themeColor="text1"/>
        </w:rPr>
        <w:t>l</w:t>
      </w:r>
      <w:r w:rsidR="00BB76F1">
        <w:rPr>
          <w:color w:val="000000" w:themeColor="text1"/>
        </w:rPr>
        <w:t>’</w:t>
      </w:r>
      <w:r w:rsidR="00A92583" w:rsidRPr="00F02792">
        <w:rPr>
          <w:color w:val="000000" w:themeColor="text1"/>
        </w:rPr>
        <w:t xml:space="preserve">incompétence </w:t>
      </w:r>
      <w:r w:rsidR="00981EF3" w:rsidRPr="00F02792">
        <w:rPr>
          <w:color w:val="000000" w:themeColor="text1"/>
        </w:rPr>
        <w:t xml:space="preserve">par </w:t>
      </w:r>
      <w:r w:rsidR="00BF75DF" w:rsidRPr="00F02792">
        <w:rPr>
          <w:color w:val="000000" w:themeColor="text1"/>
        </w:rPr>
        <w:t xml:space="preserve">un renvoi mais </w:t>
      </w:r>
      <w:r w:rsidR="005A209B" w:rsidRPr="00F02792">
        <w:rPr>
          <w:color w:val="000000" w:themeColor="text1"/>
        </w:rPr>
        <w:t>par une</w:t>
      </w:r>
      <w:r w:rsidR="00D10B74" w:rsidRPr="00F02792">
        <w:rPr>
          <w:color w:val="000000" w:themeColor="text1"/>
        </w:rPr>
        <w:t xml:space="preserve"> </w:t>
      </w:r>
      <w:r w:rsidR="00A556C5" w:rsidRPr="00F02792">
        <w:rPr>
          <w:color w:val="000000" w:themeColor="text1"/>
        </w:rPr>
        <w:t>irrecevabilité</w:t>
      </w:r>
      <w:r w:rsidR="005A0E54" w:rsidRPr="00F02792">
        <w:rPr>
          <w:color w:val="000000" w:themeColor="text1"/>
        </w:rPr>
        <w:t xml:space="preserve"> (A). </w:t>
      </w:r>
      <w:r w:rsidR="003D67B1" w:rsidRPr="00F02792">
        <w:rPr>
          <w:color w:val="000000" w:themeColor="text1"/>
          <w:lang w:val="fr-FR"/>
        </w:rPr>
        <w:t xml:space="preserve">Il tend </w:t>
      </w:r>
      <w:r w:rsidR="007744C0" w:rsidRPr="00F02792">
        <w:rPr>
          <w:color w:val="000000" w:themeColor="text1"/>
          <w:lang w:val="fr-FR"/>
        </w:rPr>
        <w:t xml:space="preserve">en outre </w:t>
      </w:r>
      <w:r w:rsidR="003D67B1" w:rsidRPr="00F02792">
        <w:rPr>
          <w:color w:val="000000" w:themeColor="text1"/>
          <w:lang w:val="fr-FR"/>
        </w:rPr>
        <w:t xml:space="preserve">à </w:t>
      </w:r>
      <w:r w:rsidR="009F091E" w:rsidRPr="00F02792">
        <w:rPr>
          <w:color w:val="000000" w:themeColor="text1"/>
          <w:lang w:val="fr-FR"/>
        </w:rPr>
        <w:t>qualifier d</w:t>
      </w:r>
      <w:r w:rsidR="00BB76F1">
        <w:rPr>
          <w:color w:val="000000" w:themeColor="text1"/>
          <w:lang w:val="fr-FR"/>
        </w:rPr>
        <w:t>’</w:t>
      </w:r>
      <w:r w:rsidR="003D67B1" w:rsidRPr="00F02792">
        <w:rPr>
          <w:color w:val="000000" w:themeColor="text1"/>
          <w:lang w:val="fr-FR"/>
        </w:rPr>
        <w:t>incident de compétence ce qui pourrait ne constituer que des incidents de répartition</w:t>
      </w:r>
      <w:r w:rsidR="00D158ED" w:rsidRPr="00F02792">
        <w:rPr>
          <w:color w:val="000000" w:themeColor="text1"/>
          <w:lang w:val="fr-FR"/>
        </w:rPr>
        <w:t xml:space="preserve"> (</w:t>
      </w:r>
      <w:r w:rsidR="00956315" w:rsidRPr="00F02792">
        <w:rPr>
          <w:color w:val="000000" w:themeColor="text1"/>
          <w:lang w:val="fr-FR"/>
        </w:rPr>
        <w:t>B</w:t>
      </w:r>
      <w:r w:rsidR="00D158ED" w:rsidRPr="00F02792">
        <w:rPr>
          <w:color w:val="000000" w:themeColor="text1"/>
          <w:lang w:val="fr-FR"/>
        </w:rPr>
        <w:t>).</w:t>
      </w:r>
      <w:r w:rsidR="00956315" w:rsidRPr="00F02792">
        <w:rPr>
          <w:color w:val="000000" w:themeColor="text1"/>
          <w:lang w:val="fr-FR"/>
        </w:rPr>
        <w:t xml:space="preserve"> </w:t>
      </w:r>
      <w:r w:rsidR="00D962F0" w:rsidRPr="00F02792">
        <w:rPr>
          <w:color w:val="000000" w:themeColor="text1"/>
        </w:rPr>
        <w:t>En toute hypothèse, l</w:t>
      </w:r>
      <w:r w:rsidR="00BB76F1">
        <w:rPr>
          <w:color w:val="000000" w:themeColor="text1"/>
        </w:rPr>
        <w:t>’</w:t>
      </w:r>
      <w:r w:rsidR="00956315" w:rsidRPr="00F02792">
        <w:rPr>
          <w:color w:val="000000" w:themeColor="text1"/>
        </w:rPr>
        <w:t>incompétence est sanctionnée aussi sévèrement que le défaut de pouvoir (C).</w:t>
      </w:r>
    </w:p>
    <w:p w14:paraId="0CEAE7D5" w14:textId="77777777" w:rsidR="00E67B17" w:rsidRPr="00F02792" w:rsidRDefault="00E67B17" w:rsidP="006C2194">
      <w:pPr>
        <w:spacing w:line="276" w:lineRule="auto"/>
        <w:jc w:val="both"/>
        <w:rPr>
          <w:b/>
          <w:bCs/>
          <w:color w:val="000000" w:themeColor="text1"/>
          <w:lang w:val="fr-FR"/>
        </w:rPr>
      </w:pPr>
    </w:p>
    <w:p w14:paraId="6BAD3698" w14:textId="19163F94" w:rsidR="0097210F" w:rsidRPr="00F02792" w:rsidRDefault="0097210F" w:rsidP="006C2194">
      <w:pPr>
        <w:spacing w:line="276" w:lineRule="auto"/>
        <w:jc w:val="both"/>
        <w:rPr>
          <w:b/>
          <w:bCs/>
          <w:color w:val="000000" w:themeColor="text1"/>
          <w:lang w:val="fr-FR"/>
        </w:rPr>
      </w:pPr>
      <w:r w:rsidRPr="00F02792">
        <w:rPr>
          <w:b/>
          <w:bCs/>
          <w:color w:val="000000" w:themeColor="text1"/>
          <w:lang w:val="fr-FR"/>
        </w:rPr>
        <w:t xml:space="preserve">A. </w:t>
      </w:r>
      <w:r w:rsidR="007208FA" w:rsidRPr="00F02792">
        <w:rPr>
          <w:b/>
          <w:bCs/>
          <w:color w:val="000000" w:themeColor="text1"/>
          <w:lang w:val="fr-FR"/>
        </w:rPr>
        <w:t>L</w:t>
      </w:r>
      <w:r w:rsidR="00BB76F1">
        <w:rPr>
          <w:b/>
          <w:bCs/>
          <w:color w:val="000000" w:themeColor="text1"/>
          <w:lang w:val="fr-FR"/>
        </w:rPr>
        <w:t>’</w:t>
      </w:r>
      <w:r w:rsidR="007208FA" w:rsidRPr="00F02792">
        <w:rPr>
          <w:b/>
          <w:bCs/>
          <w:color w:val="000000" w:themeColor="text1"/>
          <w:lang w:val="fr-FR"/>
        </w:rPr>
        <w:t>absence de renvoi à la juridiction compétente en droit luxembourgeois</w:t>
      </w:r>
    </w:p>
    <w:p w14:paraId="796495EE" w14:textId="77777777" w:rsidR="0097210F" w:rsidRPr="00F02792" w:rsidRDefault="0097210F" w:rsidP="006C2194">
      <w:pPr>
        <w:spacing w:line="276" w:lineRule="auto"/>
        <w:jc w:val="both"/>
        <w:rPr>
          <w:b/>
          <w:bCs/>
          <w:color w:val="FF0000"/>
          <w:lang w:val="fr-FR"/>
        </w:rPr>
      </w:pPr>
    </w:p>
    <w:p w14:paraId="0051C01C" w14:textId="0E35B0CA" w:rsidR="00C7313B" w:rsidRPr="00F02792" w:rsidRDefault="00C7313B" w:rsidP="00C7313B">
      <w:pPr>
        <w:spacing w:line="276" w:lineRule="auto"/>
        <w:jc w:val="both"/>
        <w:rPr>
          <w:color w:val="000000"/>
        </w:rPr>
      </w:pPr>
      <w:r w:rsidRPr="00F02792">
        <w:rPr>
          <w:lang w:val="fr-FR"/>
        </w:rPr>
        <w:t>En droit luxembourgeois, les « renvois » pour cause d</w:t>
      </w:r>
      <w:r w:rsidR="00BB76F1">
        <w:rPr>
          <w:lang w:val="fr-FR"/>
        </w:rPr>
        <w:t>’</w:t>
      </w:r>
      <w:r w:rsidRPr="00F02792">
        <w:rPr>
          <w:lang w:val="fr-FR"/>
        </w:rPr>
        <w:t xml:space="preserve">incompétence sont régis </w:t>
      </w:r>
      <w:r w:rsidR="00047C30" w:rsidRPr="00F02792">
        <w:rPr>
          <w:lang w:val="fr-FR"/>
        </w:rPr>
        <w:t>par les</w:t>
      </w:r>
      <w:r w:rsidRPr="00F02792">
        <w:rPr>
          <w:lang w:val="fr-FR"/>
        </w:rPr>
        <w:t xml:space="preserve"> articles 259 à 263 du NCPC. L</w:t>
      </w:r>
      <w:r w:rsidR="00BB76F1">
        <w:rPr>
          <w:lang w:val="fr-FR"/>
        </w:rPr>
        <w:t>’</w:t>
      </w:r>
      <w:r w:rsidRPr="00F02792">
        <w:rPr>
          <w:lang w:val="fr-FR"/>
        </w:rPr>
        <w:t>article 259 dispose que « </w:t>
      </w:r>
      <w:r w:rsidRPr="00F02792">
        <w:rPr>
          <w:color w:val="000000"/>
        </w:rPr>
        <w:t>la partie qui aura été appelée devant un tribunal autre que celui qui doit connaître de la contestation, pourra demander son renvoi devant les juges compétents ». Concernant les incompétences d</w:t>
      </w:r>
      <w:r w:rsidR="00BB76F1">
        <w:rPr>
          <w:color w:val="000000"/>
        </w:rPr>
        <w:t>’</w:t>
      </w:r>
      <w:r w:rsidRPr="00F02792">
        <w:rPr>
          <w:color w:val="000000"/>
        </w:rPr>
        <w:t>ordre public l</w:t>
      </w:r>
      <w:r w:rsidR="00BB76F1">
        <w:rPr>
          <w:color w:val="000000"/>
        </w:rPr>
        <w:t>’</w:t>
      </w:r>
      <w:r w:rsidRPr="00F02792">
        <w:rPr>
          <w:color w:val="000000"/>
        </w:rPr>
        <w:t>article 261 va plus loin en indiquant non seulement que le renvoi peut être demandé en tout état de cause, mais que « si le renvoi n</w:t>
      </w:r>
      <w:r w:rsidR="00BB76F1">
        <w:rPr>
          <w:color w:val="000000"/>
        </w:rPr>
        <w:t>’</w:t>
      </w:r>
      <w:r w:rsidRPr="00F02792">
        <w:rPr>
          <w:color w:val="000000"/>
        </w:rPr>
        <w:t>était pas demandé, le tribunal sera tenu de renvoyer d</w:t>
      </w:r>
      <w:r w:rsidR="00BB76F1">
        <w:rPr>
          <w:color w:val="000000"/>
        </w:rPr>
        <w:t>’</w:t>
      </w:r>
      <w:r w:rsidRPr="00F02792">
        <w:rPr>
          <w:color w:val="000000"/>
        </w:rPr>
        <w:t>office devant qui de droit ». Pourtant de renvoi il n</w:t>
      </w:r>
      <w:r w:rsidR="00BB76F1">
        <w:rPr>
          <w:color w:val="000000"/>
        </w:rPr>
        <w:t>’</w:t>
      </w:r>
      <w:r w:rsidRPr="00F02792">
        <w:rPr>
          <w:color w:val="000000"/>
        </w:rPr>
        <w:t>y en a point en matière d</w:t>
      </w:r>
      <w:r w:rsidR="00BB76F1">
        <w:rPr>
          <w:color w:val="000000"/>
        </w:rPr>
        <w:t>’</w:t>
      </w:r>
      <w:r w:rsidRPr="00F02792">
        <w:rPr>
          <w:color w:val="000000"/>
        </w:rPr>
        <w:t>incompétence</w:t>
      </w:r>
      <w:r w:rsidR="00CA38F4" w:rsidRPr="00F02792">
        <w:rPr>
          <w:color w:val="000000"/>
        </w:rPr>
        <w:t xml:space="preserve">, la jurisprudence est clairement </w:t>
      </w:r>
      <w:r w:rsidR="00CA38F4" w:rsidRPr="00F02792">
        <w:rPr>
          <w:i/>
          <w:iCs/>
          <w:color w:val="000000"/>
        </w:rPr>
        <w:t>contra legem</w:t>
      </w:r>
      <w:r w:rsidRPr="00F02792">
        <w:rPr>
          <w:color w:val="000000"/>
        </w:rPr>
        <w:t>. « Ainsi le tribunal qui accueille favorablement l</w:t>
      </w:r>
      <w:r w:rsidR="00BB76F1">
        <w:rPr>
          <w:color w:val="000000"/>
        </w:rPr>
        <w:t>’</w:t>
      </w:r>
      <w:r w:rsidRPr="00F02792">
        <w:rPr>
          <w:color w:val="000000"/>
        </w:rPr>
        <w:t>exception d</w:t>
      </w:r>
      <w:r w:rsidR="00BB76F1">
        <w:rPr>
          <w:color w:val="000000"/>
        </w:rPr>
        <w:t>’</w:t>
      </w:r>
      <w:r w:rsidRPr="00F02792">
        <w:rPr>
          <w:color w:val="000000"/>
        </w:rPr>
        <w:t>incompétence se borne à constater son incompétence, sans pour autant désigner directement la juridiction compétente, ni encore surtout sans procéder au renvoi devant cette dernière. Il appartient au demandeur de reprendre l</w:t>
      </w:r>
      <w:r w:rsidR="00BB76F1">
        <w:rPr>
          <w:color w:val="000000"/>
        </w:rPr>
        <w:t>’</w:t>
      </w:r>
      <w:r w:rsidRPr="00F02792">
        <w:rPr>
          <w:color w:val="000000"/>
        </w:rPr>
        <w:t>initiative et d</w:t>
      </w:r>
      <w:r w:rsidR="00BB76F1">
        <w:rPr>
          <w:color w:val="000000"/>
        </w:rPr>
        <w:t>’</w:t>
      </w:r>
      <w:r w:rsidRPr="00F02792">
        <w:rPr>
          <w:color w:val="000000"/>
        </w:rPr>
        <w:t>adresser au défendeur un nouvel acte introductif d</w:t>
      </w:r>
      <w:r w:rsidR="00BB76F1">
        <w:rPr>
          <w:color w:val="000000"/>
        </w:rPr>
        <w:t>’</w:t>
      </w:r>
      <w:r w:rsidRPr="00F02792">
        <w:rPr>
          <w:color w:val="000000"/>
        </w:rPr>
        <w:t>instance de nature à saisir la juridiction compétente »</w:t>
      </w:r>
      <w:r w:rsidRPr="00F02792">
        <w:rPr>
          <w:rStyle w:val="Appelnotedebasdep"/>
          <w:color w:val="000000"/>
        </w:rPr>
        <w:footnoteReference w:id="4"/>
      </w:r>
      <w:r w:rsidRPr="00F02792">
        <w:rPr>
          <w:color w:val="000000"/>
        </w:rPr>
        <w:t xml:space="preserve">. </w:t>
      </w:r>
    </w:p>
    <w:p w14:paraId="6E0173F6" w14:textId="77777777" w:rsidR="003818C3" w:rsidRPr="00F02792" w:rsidRDefault="003818C3" w:rsidP="00C7313B">
      <w:pPr>
        <w:spacing w:line="276" w:lineRule="auto"/>
        <w:jc w:val="both"/>
        <w:rPr>
          <w:color w:val="000000"/>
        </w:rPr>
      </w:pPr>
    </w:p>
    <w:p w14:paraId="76739320" w14:textId="6D2C3C6D" w:rsidR="00D26C5A" w:rsidRPr="00F02792" w:rsidRDefault="00FF4441" w:rsidP="00C7313B">
      <w:pPr>
        <w:spacing w:line="276" w:lineRule="auto"/>
        <w:jc w:val="both"/>
        <w:rPr>
          <w:color w:val="000000"/>
        </w:rPr>
      </w:pPr>
      <w:r w:rsidRPr="00F02792">
        <w:rPr>
          <w:color w:val="000000" w:themeColor="text1"/>
        </w:rPr>
        <w:t>Pourtant</w:t>
      </w:r>
      <w:r w:rsidR="00D26C5A" w:rsidRPr="00F02792">
        <w:rPr>
          <w:color w:val="000000" w:themeColor="text1"/>
        </w:rPr>
        <w:t xml:space="preserve"> lors de la première proposition de réforme de la procédure civile luxembourgeoise en 1963 sous la plume du Professeur Solus</w:t>
      </w:r>
      <w:r w:rsidR="009D514A" w:rsidRPr="00F02792">
        <w:rPr>
          <w:color w:val="000000" w:themeColor="text1"/>
        </w:rPr>
        <w:t xml:space="preserve">, </w:t>
      </w:r>
      <w:r w:rsidR="00D26C5A" w:rsidRPr="00F02792">
        <w:rPr>
          <w:color w:val="000000" w:themeColor="text1"/>
        </w:rPr>
        <w:t xml:space="preserve">il avait été </w:t>
      </w:r>
      <w:r w:rsidR="00D139AE" w:rsidRPr="00F02792">
        <w:rPr>
          <w:color w:val="000000" w:themeColor="text1"/>
        </w:rPr>
        <w:t>proposé</w:t>
      </w:r>
      <w:r w:rsidR="00D26C5A" w:rsidRPr="00F02792">
        <w:rPr>
          <w:color w:val="000000" w:themeColor="text1"/>
        </w:rPr>
        <w:t xml:space="preserve"> que « lorsque, soulevant l</w:t>
      </w:r>
      <w:r w:rsidR="00BB76F1">
        <w:rPr>
          <w:color w:val="000000" w:themeColor="text1"/>
        </w:rPr>
        <w:t>’</w:t>
      </w:r>
      <w:r w:rsidR="00D26C5A" w:rsidRPr="00F02792">
        <w:rPr>
          <w:color w:val="000000" w:themeColor="text1"/>
        </w:rPr>
        <w:t>exception d</w:t>
      </w:r>
      <w:r w:rsidR="00BB76F1">
        <w:rPr>
          <w:color w:val="000000" w:themeColor="text1"/>
        </w:rPr>
        <w:t>’</w:t>
      </w:r>
      <w:r w:rsidR="00D26C5A" w:rsidRPr="00F02792">
        <w:rPr>
          <w:color w:val="000000" w:themeColor="text1"/>
        </w:rPr>
        <w:t>incompétence, le défendeur fait valoir que la juridiction saisie n</w:t>
      </w:r>
      <w:r w:rsidR="00BB76F1">
        <w:rPr>
          <w:color w:val="000000" w:themeColor="text1"/>
        </w:rPr>
        <w:t>’</w:t>
      </w:r>
      <w:r w:rsidR="00D26C5A" w:rsidRPr="00F02792">
        <w:rPr>
          <w:color w:val="000000" w:themeColor="text1"/>
        </w:rPr>
        <w:t>a point de compétence, il devra, à peine d</w:t>
      </w:r>
      <w:r w:rsidR="00BB76F1">
        <w:rPr>
          <w:color w:val="000000" w:themeColor="text1"/>
        </w:rPr>
        <w:t>’</w:t>
      </w:r>
      <w:r w:rsidR="00D26C5A" w:rsidRPr="00F02792">
        <w:rPr>
          <w:color w:val="000000" w:themeColor="text1"/>
        </w:rPr>
        <w:t>irrecevabilité de l</w:t>
      </w:r>
      <w:r w:rsidR="00BB76F1">
        <w:rPr>
          <w:color w:val="000000" w:themeColor="text1"/>
        </w:rPr>
        <w:t>’</w:t>
      </w:r>
      <w:r w:rsidR="00D26C5A" w:rsidRPr="00F02792">
        <w:rPr>
          <w:color w:val="000000" w:themeColor="text1"/>
        </w:rPr>
        <w:t>exception, indiquer en même temps, en des conclusions motivées, devant quelle juridiction il prétend que l</w:t>
      </w:r>
      <w:r w:rsidR="00BB76F1">
        <w:rPr>
          <w:color w:val="000000" w:themeColor="text1"/>
        </w:rPr>
        <w:t>’</w:t>
      </w:r>
      <w:r w:rsidR="00D26C5A" w:rsidRPr="00F02792">
        <w:rPr>
          <w:color w:val="000000" w:themeColor="text1"/>
        </w:rPr>
        <w:t>affaire doit ou s</w:t>
      </w:r>
      <w:r w:rsidR="00BB76F1">
        <w:rPr>
          <w:color w:val="000000" w:themeColor="text1"/>
        </w:rPr>
        <w:t>’</w:t>
      </w:r>
      <w:r w:rsidR="00D26C5A" w:rsidRPr="00F02792">
        <w:rPr>
          <w:color w:val="000000" w:themeColor="text1"/>
        </w:rPr>
        <w:t>il y a une option possible de compétence, peut être portée. Si le demandeur est d</w:t>
      </w:r>
      <w:r w:rsidR="00BB76F1">
        <w:rPr>
          <w:color w:val="000000" w:themeColor="text1"/>
        </w:rPr>
        <w:t>’</w:t>
      </w:r>
      <w:r w:rsidR="00D26C5A" w:rsidRPr="00F02792">
        <w:rPr>
          <w:color w:val="000000" w:themeColor="text1"/>
        </w:rPr>
        <w:t>accord avec cette désignation, la question de compétence se trouve épuisée et la juridiction indiquée par le défendeur a désormais compétence, sauf le droit pour le tribunal de prononcer une incompétence d</w:t>
      </w:r>
      <w:r w:rsidR="00BB76F1">
        <w:rPr>
          <w:color w:val="000000" w:themeColor="text1"/>
        </w:rPr>
        <w:t>’</w:t>
      </w:r>
      <w:r w:rsidR="00D26C5A" w:rsidRPr="00F02792">
        <w:rPr>
          <w:color w:val="000000" w:themeColor="text1"/>
        </w:rPr>
        <w:t>office. Si par contre le demandeur conteste l</w:t>
      </w:r>
      <w:r w:rsidR="00BB76F1">
        <w:rPr>
          <w:color w:val="000000" w:themeColor="text1"/>
        </w:rPr>
        <w:t>’</w:t>
      </w:r>
      <w:r w:rsidR="00D26C5A" w:rsidRPr="00F02792">
        <w:rPr>
          <w:color w:val="000000" w:themeColor="text1"/>
        </w:rPr>
        <w:t>exception soulevée, il doit saisir la juridiction d</w:t>
      </w:r>
      <w:r w:rsidR="00BB76F1">
        <w:rPr>
          <w:color w:val="000000" w:themeColor="text1"/>
        </w:rPr>
        <w:t>’</w:t>
      </w:r>
      <w:r w:rsidR="00D26C5A" w:rsidRPr="00F02792">
        <w:rPr>
          <w:color w:val="000000" w:themeColor="text1"/>
        </w:rPr>
        <w:t>appel laquelle, dans le plus bref délai, désignera le tribunal compétent »</w:t>
      </w:r>
      <w:r w:rsidR="00CB06D6" w:rsidRPr="00F02792">
        <w:rPr>
          <w:rStyle w:val="Appelnotedebasdep"/>
          <w:color w:val="000000" w:themeColor="text1"/>
        </w:rPr>
        <w:footnoteReference w:id="5"/>
      </w:r>
      <w:r w:rsidR="00CB06D6" w:rsidRPr="00F02792">
        <w:rPr>
          <w:color w:val="000000" w:themeColor="text1"/>
        </w:rPr>
        <w:t>.</w:t>
      </w:r>
    </w:p>
    <w:p w14:paraId="5B439C6E" w14:textId="77777777" w:rsidR="00C7313B" w:rsidRPr="00F02792" w:rsidRDefault="00C7313B" w:rsidP="00C7313B">
      <w:pPr>
        <w:spacing w:line="276" w:lineRule="auto"/>
        <w:jc w:val="both"/>
        <w:rPr>
          <w:color w:val="000000"/>
        </w:rPr>
      </w:pPr>
    </w:p>
    <w:p w14:paraId="4BD512E2" w14:textId="2EED88D6" w:rsidR="00C7313B" w:rsidRPr="00F02792" w:rsidRDefault="00044B58" w:rsidP="00C7313B">
      <w:pPr>
        <w:spacing w:line="276" w:lineRule="auto"/>
        <w:jc w:val="both"/>
      </w:pPr>
      <w:r w:rsidRPr="00F02792">
        <w:rPr>
          <w:lang w:val="fr-FR"/>
        </w:rPr>
        <w:t>En l</w:t>
      </w:r>
      <w:r w:rsidR="00BB76F1">
        <w:rPr>
          <w:lang w:val="fr-FR"/>
        </w:rPr>
        <w:t>’</w:t>
      </w:r>
      <w:r w:rsidRPr="00F02792">
        <w:rPr>
          <w:lang w:val="fr-FR"/>
        </w:rPr>
        <w:t>état actuel du droit, l</w:t>
      </w:r>
      <w:r w:rsidR="00C7313B" w:rsidRPr="00F02792">
        <w:rPr>
          <w:lang w:val="fr-FR"/>
        </w:rPr>
        <w:t xml:space="preserve">a formule est toujours la même : le tribunal </w:t>
      </w:r>
      <w:r w:rsidR="009C5154" w:rsidRPr="00F02792">
        <w:rPr>
          <w:lang w:val="fr-FR"/>
        </w:rPr>
        <w:t>« </w:t>
      </w:r>
      <w:r w:rsidR="00C7313B" w:rsidRPr="00F02792">
        <w:rPr>
          <w:lang w:val="fr-FR"/>
        </w:rPr>
        <w:t>se déclare incompétent</w:t>
      </w:r>
      <w:r w:rsidR="009C5154" w:rsidRPr="00F02792">
        <w:rPr>
          <w:lang w:val="fr-FR"/>
        </w:rPr>
        <w:t> »</w:t>
      </w:r>
      <w:r w:rsidR="00C7313B" w:rsidRPr="00F02792">
        <w:rPr>
          <w:lang w:val="fr-FR"/>
        </w:rPr>
        <w:t> pour connaître de la demande. Le jugement statue également sur les dépens et l</w:t>
      </w:r>
      <w:r w:rsidR="00BB76F1">
        <w:rPr>
          <w:lang w:val="fr-FR"/>
        </w:rPr>
        <w:t>’</w:t>
      </w:r>
      <w:r w:rsidR="00C7313B" w:rsidRPr="00F02792">
        <w:rPr>
          <w:lang w:val="fr-FR"/>
        </w:rPr>
        <w:t>affaire est close</w:t>
      </w:r>
      <w:r w:rsidR="00C7313B" w:rsidRPr="00F02792">
        <w:rPr>
          <w:rStyle w:val="Appelnotedebasdep"/>
          <w:lang w:val="fr-FR"/>
        </w:rPr>
        <w:footnoteReference w:id="6"/>
      </w:r>
      <w:r w:rsidR="00C7313B" w:rsidRPr="00F02792">
        <w:rPr>
          <w:lang w:val="fr-FR"/>
        </w:rPr>
        <w:t xml:space="preserve">. </w:t>
      </w:r>
      <w:r w:rsidR="00C7313B" w:rsidRPr="00F02792">
        <w:rPr>
          <w:color w:val="000000"/>
        </w:rPr>
        <w:t>Jamais une décision du Tribunal du travail n</w:t>
      </w:r>
      <w:r w:rsidR="00BB76F1">
        <w:rPr>
          <w:color w:val="000000"/>
        </w:rPr>
        <w:t>’</w:t>
      </w:r>
      <w:r w:rsidR="00C7313B" w:rsidRPr="00F02792">
        <w:rPr>
          <w:color w:val="000000"/>
        </w:rPr>
        <w:t>a renvoyé au</w:t>
      </w:r>
      <w:r w:rsidR="009C5154" w:rsidRPr="00F02792">
        <w:rPr>
          <w:color w:val="000000"/>
        </w:rPr>
        <w:t xml:space="preserve"> </w:t>
      </w:r>
      <w:r w:rsidR="00C7313B" w:rsidRPr="00F02792">
        <w:rPr>
          <w:color w:val="000000"/>
        </w:rPr>
        <w:t>Tribunal d</w:t>
      </w:r>
      <w:r w:rsidR="00BB76F1">
        <w:rPr>
          <w:color w:val="000000"/>
        </w:rPr>
        <w:t>’</w:t>
      </w:r>
      <w:r w:rsidR="00C7313B" w:rsidRPr="00F02792">
        <w:rPr>
          <w:color w:val="000000"/>
        </w:rPr>
        <w:t>arrondissement une affaire dans laquelle il se serait déclaré incompétent. Les parties ne sont même pas invitées à mieux se pourvoir.</w:t>
      </w:r>
    </w:p>
    <w:p w14:paraId="4842580B" w14:textId="77777777" w:rsidR="00C7313B" w:rsidRPr="00F02792" w:rsidRDefault="00C7313B" w:rsidP="00C7313B">
      <w:pPr>
        <w:spacing w:line="276" w:lineRule="auto"/>
        <w:jc w:val="both"/>
        <w:rPr>
          <w:color w:val="000000"/>
        </w:rPr>
      </w:pPr>
    </w:p>
    <w:p w14:paraId="34388613" w14:textId="47F9B6B3" w:rsidR="00C7313B" w:rsidRPr="00F02792" w:rsidRDefault="00C7313B" w:rsidP="00C7313B">
      <w:pPr>
        <w:spacing w:line="276" w:lineRule="auto"/>
        <w:jc w:val="both"/>
      </w:pPr>
      <w:r w:rsidRPr="00F02792">
        <w:rPr>
          <w:lang w:val="fr-FR"/>
        </w:rPr>
        <w:lastRenderedPageBreak/>
        <w:t>Cette solution correspond à la solution française antérieure à 1958</w:t>
      </w:r>
      <w:r w:rsidRPr="00F02792">
        <w:rPr>
          <w:rStyle w:val="Appelnotedebasdep"/>
          <w:lang w:val="fr-FR"/>
        </w:rPr>
        <w:footnoteReference w:id="7"/>
      </w:r>
      <w:r w:rsidRPr="00F02792">
        <w:rPr>
          <w:lang w:val="fr-FR"/>
        </w:rPr>
        <w:t xml:space="preserve"> qui ne prévoyait qu</w:t>
      </w:r>
      <w:r w:rsidR="00BB76F1">
        <w:rPr>
          <w:lang w:val="fr-FR"/>
        </w:rPr>
        <w:t>’</w:t>
      </w:r>
      <w:r w:rsidRPr="00F02792">
        <w:rPr>
          <w:lang w:val="fr-FR"/>
        </w:rPr>
        <w:t xml:space="preserve">un </w:t>
      </w:r>
      <w:r w:rsidRPr="00F02792">
        <w:t>renvoi des parties « à mieux se pourvoir » et qui a été remplacée par un renvoi à un juge d</w:t>
      </w:r>
      <w:r w:rsidR="00D732B6" w:rsidRPr="00F02792">
        <w:t>é</w:t>
      </w:r>
      <w:r w:rsidRPr="00F02792">
        <w:t>termin</w:t>
      </w:r>
      <w:r w:rsidR="00D732B6" w:rsidRPr="00F02792">
        <w:t>é</w:t>
      </w:r>
      <w:r w:rsidRPr="00F02792">
        <w:t xml:space="preserve"> qui </w:t>
      </w:r>
      <w:r w:rsidR="003818C3" w:rsidRPr="00F02792">
        <w:t xml:space="preserve">est </w:t>
      </w:r>
      <w:r w:rsidRPr="00F02792">
        <w:t>lié par cette d</w:t>
      </w:r>
      <w:r w:rsidR="006A3F3F" w:rsidRPr="00F02792">
        <w:t>é</w:t>
      </w:r>
      <w:r w:rsidRPr="00F02792">
        <w:t>cision</w:t>
      </w:r>
      <w:r w:rsidRPr="00F02792">
        <w:rPr>
          <w:rStyle w:val="Appelnotedebasdep"/>
        </w:rPr>
        <w:footnoteReference w:id="8"/>
      </w:r>
      <w:r w:rsidRPr="00F02792">
        <w:t xml:space="preserve">. </w:t>
      </w:r>
      <w:r w:rsidR="00F11E03" w:rsidRPr="00F02792">
        <w:t>La solution ancienne a été abandonnée</w:t>
      </w:r>
      <w:r w:rsidR="00D02B7A" w:rsidRPr="00F02792">
        <w:t xml:space="preserve"> car</w:t>
      </w:r>
      <w:r w:rsidR="00B75724" w:rsidRPr="00F02792">
        <w:t>, sans renvoi,</w:t>
      </w:r>
      <w:r w:rsidRPr="00F02792">
        <w:t xml:space="preserve"> le débat sur la compétence pouvait recommencer devant le juge saisi en second</w:t>
      </w:r>
      <w:r w:rsidR="002C1F64" w:rsidRPr="00F02792">
        <w:t xml:space="preserve"> avec </w:t>
      </w:r>
      <w:r w:rsidR="00516714" w:rsidRPr="00F02792">
        <w:t>un risque réel de conflit négatif</w:t>
      </w:r>
      <w:r w:rsidRPr="00F02792">
        <w:t xml:space="preserve">. </w:t>
      </w:r>
      <w:r w:rsidR="00034CD0" w:rsidRPr="00F02792">
        <w:t>« </w:t>
      </w:r>
      <w:r w:rsidRPr="00F02792">
        <w:t>Les parties devaient se présenter devant le juge d</w:t>
      </w:r>
      <w:r w:rsidR="00BB76F1">
        <w:t>’</w:t>
      </w:r>
      <w:r w:rsidRPr="00F02792">
        <w:t>un autre ressort et plaider potentiellement à nouveau sur la compétence, en espérant qu</w:t>
      </w:r>
      <w:r w:rsidR="00BB76F1">
        <w:t>’</w:t>
      </w:r>
      <w:r w:rsidRPr="00F02792">
        <w:t>il ne faille pas aller jusqu</w:t>
      </w:r>
      <w:r w:rsidR="00BB76F1">
        <w:t>’</w:t>
      </w:r>
      <w:r w:rsidRPr="00F02792">
        <w:t>à la Cour de cassation pour obtenir un règlement de cette question »</w:t>
      </w:r>
      <w:r w:rsidRPr="00F02792">
        <w:rPr>
          <w:rStyle w:val="Appelnotedebasdep"/>
        </w:rPr>
        <w:footnoteReference w:id="9"/>
      </w:r>
      <w:r w:rsidRPr="00F02792">
        <w:t>.</w:t>
      </w:r>
    </w:p>
    <w:p w14:paraId="777C45D7" w14:textId="77777777" w:rsidR="00C7313B" w:rsidRPr="00F02792" w:rsidRDefault="00C7313B" w:rsidP="00C7313B">
      <w:pPr>
        <w:spacing w:line="276" w:lineRule="auto"/>
        <w:jc w:val="both"/>
      </w:pPr>
    </w:p>
    <w:p w14:paraId="6F1B97F5" w14:textId="3C30A025" w:rsidR="001B1225" w:rsidRPr="00F02792" w:rsidRDefault="00FC4534" w:rsidP="00C7313B">
      <w:pPr>
        <w:spacing w:line="276" w:lineRule="auto"/>
        <w:jc w:val="both"/>
      </w:pPr>
      <w:r w:rsidRPr="00F02792">
        <w:t>C</w:t>
      </w:r>
      <w:r w:rsidR="00BB76F1">
        <w:t>’</w:t>
      </w:r>
      <w:r w:rsidRPr="00F02792">
        <w:t>est l</w:t>
      </w:r>
      <w:r w:rsidR="00BB76F1">
        <w:t>’</w:t>
      </w:r>
      <w:r w:rsidRPr="00F02792">
        <w:t>état du</w:t>
      </w:r>
      <w:r w:rsidR="00C7313B" w:rsidRPr="00F02792">
        <w:t xml:space="preserve"> droit </w:t>
      </w:r>
      <w:r w:rsidR="00120B8F" w:rsidRPr="00F02792">
        <w:t>au L</w:t>
      </w:r>
      <w:r w:rsidR="00C7313B" w:rsidRPr="00F02792">
        <w:t>uxembourg</w:t>
      </w:r>
      <w:r w:rsidRPr="00F02792">
        <w:t xml:space="preserve">. </w:t>
      </w:r>
      <w:r w:rsidR="00C7313B" w:rsidRPr="00F02792">
        <w:t>Les jugements d</w:t>
      </w:r>
      <w:r w:rsidR="00BB76F1">
        <w:t>’</w:t>
      </w:r>
      <w:r w:rsidR="00C7313B" w:rsidRPr="00F02792">
        <w:t xml:space="preserve">incompétence ne désignent aucunement la juridiction compétente </w:t>
      </w:r>
      <w:r w:rsidR="00426A3B" w:rsidRPr="00F02792">
        <w:t xml:space="preserve">et le débat sur la compétence peut recommencer devant le juge </w:t>
      </w:r>
      <w:r w:rsidR="00480866" w:rsidRPr="00F02792">
        <w:t>deuxièmement saisi</w:t>
      </w:r>
      <w:r w:rsidR="00C7313B" w:rsidRPr="00F02792">
        <w:t xml:space="preserve">. </w:t>
      </w:r>
      <w:r w:rsidR="001B1225" w:rsidRPr="00F02792">
        <w:t xml:space="preserve">Dans un arrêt </w:t>
      </w:r>
      <w:r w:rsidR="00C43CE8" w:rsidRPr="00F02792">
        <w:t>du 25 avril 2019</w:t>
      </w:r>
      <w:r w:rsidR="00CD06EC" w:rsidRPr="00F02792">
        <w:t>, la Cour d</w:t>
      </w:r>
      <w:r w:rsidR="00BB76F1">
        <w:t>’</w:t>
      </w:r>
      <w:r w:rsidR="00CD06EC" w:rsidRPr="00F02792">
        <w:t xml:space="preserve">appel </w:t>
      </w:r>
      <w:r w:rsidR="00B51BEB" w:rsidRPr="00F02792">
        <w:t>va jusqu</w:t>
      </w:r>
      <w:r w:rsidR="00BB76F1">
        <w:t>’</w:t>
      </w:r>
      <w:r w:rsidR="00B51BEB" w:rsidRPr="00F02792">
        <w:t xml:space="preserve">à </w:t>
      </w:r>
      <w:r w:rsidR="00FF2879" w:rsidRPr="00F02792">
        <w:t xml:space="preserve">juger </w:t>
      </w:r>
      <w:r w:rsidR="00077E2E" w:rsidRPr="00F02792">
        <w:t xml:space="preserve">que </w:t>
      </w:r>
      <w:r w:rsidR="006B7F81" w:rsidRPr="00F02792">
        <w:t>« c</w:t>
      </w:r>
      <w:r w:rsidR="00BB76F1">
        <w:t>’</w:t>
      </w:r>
      <w:r w:rsidR="006B7F81" w:rsidRPr="00F02792">
        <w:t>est partant à bon droit que la jur</w:t>
      </w:r>
      <w:r w:rsidR="00540169" w:rsidRPr="00F02792">
        <w:t>i</w:t>
      </w:r>
      <w:r w:rsidR="006B7F81" w:rsidRPr="00F02792">
        <w:t xml:space="preserve">diction du premier </w:t>
      </w:r>
      <w:r w:rsidR="00C862C0" w:rsidRPr="00F02792">
        <w:t xml:space="preserve">degré a </w:t>
      </w:r>
      <w:r w:rsidR="0003228E" w:rsidRPr="00F02792">
        <w:t xml:space="preserve">décidé </w:t>
      </w:r>
      <w:r w:rsidR="00D470D7" w:rsidRPr="00F02792">
        <w:t xml:space="preserve">que dans la mesure </w:t>
      </w:r>
      <w:r w:rsidR="006A1E21" w:rsidRPr="00F02792">
        <w:t>où le Tribunal du travail de Luxembourg était incompétent, un renvoi n</w:t>
      </w:r>
      <w:r w:rsidR="00BB76F1">
        <w:t>’</w:t>
      </w:r>
      <w:r w:rsidR="006A1E21" w:rsidRPr="00F02792">
        <w:t>était pas possible »</w:t>
      </w:r>
      <w:r w:rsidR="006A1E21" w:rsidRPr="00F02792">
        <w:rPr>
          <w:rStyle w:val="Appelnotedebasdep"/>
        </w:rPr>
        <w:footnoteReference w:id="10"/>
      </w:r>
      <w:r w:rsidR="006A1E21" w:rsidRPr="00F02792">
        <w:t> !</w:t>
      </w:r>
    </w:p>
    <w:p w14:paraId="1EFD4940" w14:textId="77777777" w:rsidR="001B1225" w:rsidRPr="00F02792" w:rsidRDefault="001B1225" w:rsidP="00C7313B">
      <w:pPr>
        <w:spacing w:line="276" w:lineRule="auto"/>
        <w:jc w:val="both"/>
      </w:pPr>
    </w:p>
    <w:p w14:paraId="7590391F" w14:textId="3481298E" w:rsidR="00C7313B" w:rsidRPr="00F02792" w:rsidRDefault="00BC6465" w:rsidP="00C7313B">
      <w:pPr>
        <w:spacing w:line="276" w:lineRule="auto"/>
        <w:jc w:val="both"/>
      </w:pPr>
      <w:r w:rsidRPr="00F02792">
        <w:t>Même en l</w:t>
      </w:r>
      <w:r w:rsidR="00BB76F1">
        <w:t>’</w:t>
      </w:r>
      <w:r w:rsidRPr="00F02792">
        <w:t>absence de renvoi, on aurait pu penser que</w:t>
      </w:r>
      <w:r w:rsidR="005E4983" w:rsidRPr="00F02792">
        <w:t xml:space="preserve"> </w:t>
      </w:r>
      <w:r w:rsidR="00C7313B" w:rsidRPr="00F02792">
        <w:t>l</w:t>
      </w:r>
      <w:r w:rsidR="00BB76F1">
        <w:t>’</w:t>
      </w:r>
      <w:r w:rsidR="00C7313B" w:rsidRPr="00F02792">
        <w:t>autorité de la chose jugée de la décision d</w:t>
      </w:r>
      <w:r w:rsidR="00BB76F1">
        <w:t>’</w:t>
      </w:r>
      <w:r w:rsidR="00C7313B" w:rsidRPr="00F02792">
        <w:t xml:space="preserve">incompétence </w:t>
      </w:r>
      <w:r w:rsidR="0087498A" w:rsidRPr="00F02792">
        <w:t xml:space="preserve">puisse lier </w:t>
      </w:r>
      <w:r w:rsidR="00A23BD4" w:rsidRPr="00F02792">
        <w:t xml:space="preserve">le second juge, mais la question </w:t>
      </w:r>
      <w:r w:rsidR="009C5154" w:rsidRPr="00F02792">
        <w:t xml:space="preserve">est loin de recevoir une </w:t>
      </w:r>
      <w:r w:rsidR="00CB6DEB" w:rsidRPr="00F02792">
        <w:t>réponse</w:t>
      </w:r>
      <w:r w:rsidR="00C7313B" w:rsidRPr="00F02792">
        <w:t xml:space="preserve"> tranchée</w:t>
      </w:r>
      <w:r w:rsidR="00C7313B" w:rsidRPr="00F02792">
        <w:rPr>
          <w:rStyle w:val="Appelnotedebasdep"/>
        </w:rPr>
        <w:footnoteReference w:id="11"/>
      </w:r>
      <w:r w:rsidR="00C7313B" w:rsidRPr="00F02792">
        <w:t xml:space="preserve">. </w:t>
      </w:r>
      <w:r w:rsidR="00091BD0" w:rsidRPr="00F02792">
        <w:t>Thierry Hos</w:t>
      </w:r>
      <w:r w:rsidR="004B6293" w:rsidRPr="00F02792">
        <w:t>c</w:t>
      </w:r>
      <w:r w:rsidR="00091BD0" w:rsidRPr="00F02792">
        <w:t xml:space="preserve">heit relève à cet égard que </w:t>
      </w:r>
      <w:r w:rsidR="00C7313B" w:rsidRPr="00F02792">
        <w:t>« </w:t>
      </w:r>
      <w:r w:rsidR="00091BD0" w:rsidRPr="00F02792">
        <w:t>d</w:t>
      </w:r>
      <w:r w:rsidR="00C7313B" w:rsidRPr="00F02792">
        <w:t xml:space="preserve">ans chaque situation, </w:t>
      </w:r>
      <w:r w:rsidR="00C7313B" w:rsidRPr="00F02792">
        <w:rPr>
          <w:lang w:val="fr-FR"/>
        </w:rPr>
        <w:t>la juridiction nouvellement saisie semble avoir deux options devant elle. Elle peut d</w:t>
      </w:r>
      <w:r w:rsidR="00BB76F1">
        <w:rPr>
          <w:lang w:val="fr-FR"/>
        </w:rPr>
        <w:t>’</w:t>
      </w:r>
      <w:r w:rsidR="00C7313B" w:rsidRPr="00F02792">
        <w:rPr>
          <w:lang w:val="fr-FR"/>
        </w:rPr>
        <w:t>une part refuser de réexaminer la question de sa compétence en tablant notamment sur l</w:t>
      </w:r>
      <w:r w:rsidR="00BB76F1">
        <w:rPr>
          <w:lang w:val="fr-FR"/>
        </w:rPr>
        <w:t>’</w:t>
      </w:r>
      <w:r w:rsidR="00C7313B" w:rsidRPr="00F02792">
        <w:rPr>
          <w:lang w:val="fr-FR"/>
        </w:rPr>
        <w:t>autorité de la chose jugée antérieurement. […] La deuxième option ouverte à la juridiction nouvellement saisie consiste […] à procéder à un examen de sa propre compétence pour examiner le différend qui lui est soumis. Il est ainsi juridiquement possible que le juge nouvellement saisi reproduise son appréciation, développ</w:t>
      </w:r>
      <w:r w:rsidR="004B6293" w:rsidRPr="00F02792">
        <w:rPr>
          <w:lang w:val="fr-FR"/>
        </w:rPr>
        <w:t>é</w:t>
      </w:r>
      <w:r w:rsidR="00C7313B" w:rsidRPr="00F02792">
        <w:rPr>
          <w:lang w:val="fr-FR"/>
        </w:rPr>
        <w:t>e dans l</w:t>
      </w:r>
      <w:r w:rsidR="00BB76F1">
        <w:rPr>
          <w:lang w:val="fr-FR"/>
        </w:rPr>
        <w:t>’</w:t>
      </w:r>
      <w:r w:rsidR="00C7313B" w:rsidRPr="00F02792">
        <w:rPr>
          <w:lang w:val="fr-FR"/>
        </w:rPr>
        <w:t>autre affaire sur des critères qui fondent sa compétence »</w:t>
      </w:r>
      <w:r w:rsidR="00C7313B" w:rsidRPr="00F02792">
        <w:rPr>
          <w:rStyle w:val="Appelnotedebasdep"/>
          <w:lang w:val="fr-FR"/>
        </w:rPr>
        <w:footnoteReference w:id="12"/>
      </w:r>
      <w:r w:rsidR="00C7313B" w:rsidRPr="00F02792">
        <w:rPr>
          <w:lang w:val="fr-FR"/>
        </w:rPr>
        <w:t xml:space="preserve">. </w:t>
      </w:r>
      <w:r w:rsidR="00C7313B" w:rsidRPr="00F02792">
        <w:t>Les conflits négatifs ne sont dès lors pas exclus et donnent lieu à des solutions ubuesques pour les parties avec un « renvoi » au suranné règlement de juges</w:t>
      </w:r>
      <w:r w:rsidR="00C7313B" w:rsidRPr="00F02792">
        <w:rPr>
          <w:rStyle w:val="Appelnotedebasdep"/>
        </w:rPr>
        <w:footnoteReference w:id="13"/>
      </w:r>
      <w:r w:rsidR="00C7313B" w:rsidRPr="00F02792">
        <w:t xml:space="preserve">. </w:t>
      </w:r>
    </w:p>
    <w:p w14:paraId="38EC4962" w14:textId="77777777" w:rsidR="00C7313B" w:rsidRPr="00F02792" w:rsidRDefault="00C7313B" w:rsidP="00C7313B">
      <w:pPr>
        <w:spacing w:line="276" w:lineRule="auto"/>
        <w:jc w:val="both"/>
      </w:pPr>
    </w:p>
    <w:p w14:paraId="5BC7F676" w14:textId="63CDDAB0" w:rsidR="00C7313B" w:rsidRPr="00F02792" w:rsidRDefault="00C7313B" w:rsidP="00C7313B">
      <w:pPr>
        <w:spacing w:line="276" w:lineRule="auto"/>
        <w:jc w:val="both"/>
      </w:pPr>
      <w:r w:rsidRPr="00F02792">
        <w:t>Prenons l</w:t>
      </w:r>
      <w:r w:rsidR="00BB76F1">
        <w:t>’</w:t>
      </w:r>
      <w:r w:rsidRPr="00F02792">
        <w:t>arrêt de la Cour d</w:t>
      </w:r>
      <w:r w:rsidR="00BB76F1">
        <w:t>’</w:t>
      </w:r>
      <w:r w:rsidRPr="00F02792">
        <w:t>appel du 18 avril 2010</w:t>
      </w:r>
      <w:r w:rsidRPr="00F02792">
        <w:rPr>
          <w:rStyle w:val="Appelnotedebasdep"/>
        </w:rPr>
        <w:footnoteReference w:id="14"/>
      </w:r>
      <w:r w:rsidRPr="00F02792">
        <w:t>. Un contrat conclu entre un joueur de football et son club prévoyait le versement de diverses primes qui n</w:t>
      </w:r>
      <w:r w:rsidR="00BB76F1">
        <w:t>’</w:t>
      </w:r>
      <w:r w:rsidRPr="00F02792">
        <w:t xml:space="preserve">ont pas été versées. Le joueur saisit le Tribunal du travail qui se déclare incompétent </w:t>
      </w:r>
      <w:r w:rsidRPr="00F02792">
        <w:rPr>
          <w:i/>
          <w:iCs/>
        </w:rPr>
        <w:t xml:space="preserve">ratione materiae </w:t>
      </w:r>
      <w:r w:rsidRPr="00F02792">
        <w:t>par un jugement du 4 décembre 2003. Le Tribunal</w:t>
      </w:r>
      <w:r w:rsidR="008C1623" w:rsidRPr="00F02792">
        <w:t xml:space="preserve"> </w:t>
      </w:r>
      <w:r w:rsidRPr="00F02792">
        <w:t>d</w:t>
      </w:r>
      <w:r w:rsidR="00BB76F1">
        <w:t>’</w:t>
      </w:r>
      <w:r w:rsidRPr="00F02792">
        <w:t>arrondissement s</w:t>
      </w:r>
      <w:r w:rsidR="00BB76F1">
        <w:t>’</w:t>
      </w:r>
      <w:r w:rsidRPr="00F02792">
        <w:t xml:space="preserve">est à son tour déclaré incompétent par un jugement du 2 juillet 2008 aux motifs que les parties étaient liées par un contrat de travail. « Le </w:t>
      </w:r>
      <w:r w:rsidRPr="00F02792">
        <w:lastRenderedPageBreak/>
        <w:t>tribunal a précisé que la circonstance que le tribunal du travail s</w:t>
      </w:r>
      <w:r w:rsidR="00BB76F1">
        <w:t>’</w:t>
      </w:r>
      <w:r w:rsidRPr="00F02792">
        <w:t>est déclaré incompétent pour connaître de la demande de A par jugement du 4 décembre 2003 n</w:t>
      </w:r>
      <w:r w:rsidR="00BB76F1">
        <w:rPr>
          <w:i/>
          <w:iCs/>
        </w:rPr>
        <w:t>’</w:t>
      </w:r>
      <w:r w:rsidRPr="00F02792">
        <w:rPr>
          <w:i/>
          <w:iCs/>
        </w:rPr>
        <w:t>a pas comme conséquence de délier le tribunal d</w:t>
      </w:r>
      <w:r w:rsidR="00BB76F1">
        <w:rPr>
          <w:i/>
          <w:iCs/>
        </w:rPr>
        <w:t>’</w:t>
      </w:r>
      <w:r w:rsidRPr="00F02792">
        <w:rPr>
          <w:i/>
          <w:iCs/>
        </w:rPr>
        <w:t>arrondissement de son obligation de rechercher à son tour s</w:t>
      </w:r>
      <w:r w:rsidR="00BB76F1">
        <w:rPr>
          <w:i/>
          <w:iCs/>
        </w:rPr>
        <w:t>’</w:t>
      </w:r>
      <w:r w:rsidRPr="00F02792">
        <w:rPr>
          <w:i/>
          <w:iCs/>
        </w:rPr>
        <w:t>il est ou non compétent à juger l</w:t>
      </w:r>
      <w:r w:rsidR="00BB76F1">
        <w:rPr>
          <w:i/>
          <w:iCs/>
        </w:rPr>
        <w:t>’</w:t>
      </w:r>
      <w:r w:rsidRPr="00F02792">
        <w:rPr>
          <w:i/>
          <w:iCs/>
        </w:rPr>
        <w:t>affaire</w:t>
      </w:r>
      <w:r w:rsidR="00FB6D6F" w:rsidRPr="00F02792">
        <w:rPr>
          <w:i/>
          <w:iCs/>
        </w:rPr>
        <w:t> </w:t>
      </w:r>
      <w:r w:rsidR="00FB6D6F" w:rsidRPr="00F02792">
        <w:t xml:space="preserve">; </w:t>
      </w:r>
      <w:r w:rsidRPr="00F02792">
        <w:t>que ce n</w:t>
      </w:r>
      <w:r w:rsidR="00BB76F1">
        <w:t>’</w:t>
      </w:r>
      <w:r w:rsidRPr="00F02792">
        <w:t>est pas la décision d</w:t>
      </w:r>
      <w:r w:rsidR="00BB76F1">
        <w:t>’</w:t>
      </w:r>
      <w:r w:rsidRPr="00F02792">
        <w:t>incompétence du tribunal du travail qui imposerait au tribunal d</w:t>
      </w:r>
      <w:r w:rsidR="00BB76F1">
        <w:t>’</w:t>
      </w:r>
      <w:r w:rsidRPr="00F02792">
        <w:t>arrondissement de se déclarer compétent; que la question de la compétence doit être tranchée en appliquant les dispositions légales en vigueur, en l</w:t>
      </w:r>
      <w:r w:rsidR="00BB76F1">
        <w:t>’</w:t>
      </w:r>
      <w:r w:rsidRPr="00F02792">
        <w:t>occurrence les articles 20 et suivants du NCPC »</w:t>
      </w:r>
      <w:r w:rsidRPr="00F02792">
        <w:rPr>
          <w:rStyle w:val="Appelnotedebasdep"/>
        </w:rPr>
        <w:footnoteReference w:id="15"/>
      </w:r>
      <w:r w:rsidRPr="00F02792">
        <w:t>. Le joueur a interjeté appel « pour entendre dire […] que le tribunal d</w:t>
      </w:r>
      <w:r w:rsidR="00BB76F1">
        <w:t>’</w:t>
      </w:r>
      <w:r w:rsidRPr="00F02792">
        <w:t>arrondissement est compétent pour statuer sur sa demande en paiement. Principalement, il demande le renvoi de l</w:t>
      </w:r>
      <w:r w:rsidR="00BB76F1">
        <w:t>’</w:t>
      </w:r>
      <w:r w:rsidRPr="00F02792">
        <w:t>affaire devant le tribunal et subsidiairement il demande que la Cour, procédant par évocation, statue au fond et condamne l</w:t>
      </w:r>
      <w:r w:rsidR="00BB76F1">
        <w:t>’</w:t>
      </w:r>
      <w:r w:rsidRPr="00F02792">
        <w:t>intimée au paiement du montant réclamé »</w:t>
      </w:r>
      <w:r w:rsidRPr="00F02792">
        <w:rPr>
          <w:rStyle w:val="Appelnotedebasdep"/>
        </w:rPr>
        <w:footnoteReference w:id="16"/>
      </w:r>
      <w:r w:rsidRPr="00F02792">
        <w:t>. La Cour d</w:t>
      </w:r>
      <w:r w:rsidR="00BB76F1">
        <w:t>’</w:t>
      </w:r>
      <w:r w:rsidRPr="00F02792">
        <w:t>appel rejette les deux demandes en adoptant les motifs du Tribunal d</w:t>
      </w:r>
      <w:r w:rsidR="00BB76F1">
        <w:t>’</w:t>
      </w:r>
      <w:r w:rsidRPr="00F02792">
        <w:t>arrondissement</w:t>
      </w:r>
      <w:r w:rsidR="008C6D7A" w:rsidRPr="00F02792">
        <w:t> :</w:t>
      </w:r>
    </w:p>
    <w:p w14:paraId="2147001C" w14:textId="77777777" w:rsidR="00C7313B" w:rsidRPr="00F02792" w:rsidRDefault="00C7313B" w:rsidP="00C7313B">
      <w:pPr>
        <w:spacing w:line="276" w:lineRule="auto"/>
        <w:jc w:val="both"/>
      </w:pPr>
    </w:p>
    <w:p w14:paraId="620A59DF" w14:textId="17379A26" w:rsidR="00C7313B" w:rsidRPr="00F02792" w:rsidRDefault="00C7313B" w:rsidP="008C6D7A">
      <w:pPr>
        <w:spacing w:line="276" w:lineRule="auto"/>
        <w:ind w:left="708"/>
        <w:jc w:val="both"/>
      </w:pPr>
      <w:r w:rsidRPr="00F02792">
        <w:t>« C</w:t>
      </w:r>
      <w:r w:rsidR="00BB76F1">
        <w:t>’</w:t>
      </w:r>
      <w:r w:rsidRPr="00F02792">
        <w:t>est notamment à tort que l</w:t>
      </w:r>
      <w:r w:rsidR="00BB76F1">
        <w:t>’</w:t>
      </w:r>
      <w:r w:rsidRPr="00F02792">
        <w:t>appelant se prévaut de ce que le jugement rendu le 4 décembre 2003 par le tribunal du travail de Luxembourg serait coulé en force de chose jugée pour soutenir que cette juridiction serait définitivement à éliminer pour toiser le litige, de sorte que le tribunal civil devrait alors nécessairement se reconnaître compétent en l</w:t>
      </w:r>
      <w:r w:rsidR="00BB76F1">
        <w:t>’</w:t>
      </w:r>
      <w:r w:rsidRPr="00F02792">
        <w:t>absence de toute autre juridiction susceptible d</w:t>
      </w:r>
      <w:r w:rsidR="00BB76F1">
        <w:t>’</w:t>
      </w:r>
      <w:r w:rsidRPr="00F02792">
        <w:t>être compétente pour toiser le litige.</w:t>
      </w:r>
      <w:r w:rsidR="008C1623" w:rsidRPr="00F02792">
        <w:t xml:space="preserve"> </w:t>
      </w:r>
      <w:r w:rsidRPr="00F02792">
        <w:t>Il y a d</w:t>
      </w:r>
      <w:r w:rsidR="00BB76F1">
        <w:t>’</w:t>
      </w:r>
      <w:r w:rsidRPr="00F02792">
        <w:t>abord lieu de constater que tant le tribunal du travail que le tribunal d</w:t>
      </w:r>
      <w:r w:rsidR="00BB76F1">
        <w:t>’</w:t>
      </w:r>
      <w:r w:rsidRPr="00F02792">
        <w:t>arrondissement se bornent, dans le dispositif de</w:t>
      </w:r>
      <w:r w:rsidR="005B695A" w:rsidRPr="00F02792">
        <w:t xml:space="preserve"> </w:t>
      </w:r>
      <w:r w:rsidRPr="00F02792">
        <w:t>leurs jugements, à se déclarer incompétents sans attribuer compétence à l</w:t>
      </w:r>
      <w:r w:rsidR="00BB76F1">
        <w:t>’</w:t>
      </w:r>
      <w:r w:rsidRPr="00F02792">
        <w:t>autre juridiction, c</w:t>
      </w:r>
      <w:r w:rsidR="00BB76F1">
        <w:t>’</w:t>
      </w:r>
      <w:r w:rsidRPr="00F02792">
        <w:t>est- à-dire le tribunal du travail au tribunal civil ou, inversement, le tribunal civil au tribunal du travail, de sorte que l</w:t>
      </w:r>
      <w:r w:rsidR="00BB76F1">
        <w:t>’</w:t>
      </w:r>
      <w:r w:rsidRPr="00F02792">
        <w:t>autorité de chose jugée de ces jugements ne s</w:t>
      </w:r>
      <w:r w:rsidR="00BB76F1">
        <w:t>’</w:t>
      </w:r>
      <w:r w:rsidRPr="00F02792">
        <w:t>étend pas au-delà de la déclaration d</w:t>
      </w:r>
      <w:r w:rsidR="00BB76F1">
        <w:t>’</w:t>
      </w:r>
      <w:r w:rsidRPr="00F02792">
        <w:t>incompétence. En outre, et surtout, le conflit négatif de juridiction auquel aboutissent les susdits jugements, n</w:t>
      </w:r>
      <w:r w:rsidR="00BB76F1">
        <w:t>’</w:t>
      </w:r>
      <w:r w:rsidRPr="00F02792">
        <w:t>est pas prévenu ou résolu par l</w:t>
      </w:r>
      <w:r w:rsidR="00BB76F1">
        <w:t>’</w:t>
      </w:r>
      <w:r w:rsidRPr="00F02792">
        <w:t>autorité de chose jugée de la décision par laquelle la première juridiction saisie du litige s</w:t>
      </w:r>
      <w:r w:rsidR="00BB76F1">
        <w:t>’</w:t>
      </w:r>
      <w:r w:rsidRPr="00F02792">
        <w:t>est déclarée incompétente, mais par la procédure du règlement de juges prévue aux articles 506 à 510 du NCPC (cf. Cassation 30 octobre 2008 pr</w:t>
      </w:r>
      <w:r w:rsidR="002A5D49" w:rsidRPr="00F02792">
        <w:t>é-m</w:t>
      </w:r>
      <w:r w:rsidRPr="00F02792">
        <w:t>ention</w:t>
      </w:r>
      <w:r w:rsidR="002A5D49" w:rsidRPr="00F02792">
        <w:t>né</w:t>
      </w:r>
      <w:r w:rsidRPr="00F02792">
        <w:t>) »</w:t>
      </w:r>
      <w:r w:rsidRPr="00F02792">
        <w:rPr>
          <w:rStyle w:val="Appelnotedebasdep"/>
        </w:rPr>
        <w:footnoteReference w:id="17"/>
      </w:r>
      <w:r w:rsidRPr="00F02792">
        <w:t>.</w:t>
      </w:r>
    </w:p>
    <w:p w14:paraId="4226AD8F" w14:textId="1E96D4DF" w:rsidR="00C7313B" w:rsidRPr="00F02792" w:rsidRDefault="00C7313B" w:rsidP="00C7313B">
      <w:pPr>
        <w:spacing w:line="276" w:lineRule="auto"/>
        <w:jc w:val="both"/>
        <w:rPr>
          <w:lang w:val="fr-FR"/>
        </w:rPr>
      </w:pPr>
      <w:bookmarkStart w:id="0" w:name="art_260"/>
      <w:bookmarkEnd w:id="0"/>
    </w:p>
    <w:p w14:paraId="1B712EA1" w14:textId="18F6BA0F" w:rsidR="00E07D24" w:rsidRPr="00F02792" w:rsidRDefault="00E07D24" w:rsidP="00C7313B">
      <w:pPr>
        <w:spacing w:line="276" w:lineRule="auto"/>
        <w:jc w:val="both"/>
        <w:rPr>
          <w:lang w:val="fr-FR"/>
        </w:rPr>
      </w:pPr>
      <w:r w:rsidRPr="00F02792">
        <w:rPr>
          <w:lang w:val="fr-FR"/>
        </w:rPr>
        <w:t xml:space="preserve">Certes </w:t>
      </w:r>
      <w:r w:rsidR="004A64AE" w:rsidRPr="00F02792">
        <w:rPr>
          <w:lang w:val="fr-FR"/>
        </w:rPr>
        <w:t xml:space="preserve">les décisions </w:t>
      </w:r>
      <w:r w:rsidR="00A8772F" w:rsidRPr="00F02792">
        <w:rPr>
          <w:lang w:val="fr-FR"/>
        </w:rPr>
        <w:t>d</w:t>
      </w:r>
      <w:r w:rsidR="00BB76F1">
        <w:rPr>
          <w:lang w:val="fr-FR"/>
        </w:rPr>
        <w:t>’</w:t>
      </w:r>
      <w:r w:rsidR="00A8772F" w:rsidRPr="00F02792">
        <w:rPr>
          <w:lang w:val="fr-FR"/>
        </w:rPr>
        <w:t>incompétence</w:t>
      </w:r>
      <w:r w:rsidR="004811B2" w:rsidRPr="00F02792">
        <w:rPr>
          <w:lang w:val="fr-FR"/>
        </w:rPr>
        <w:t xml:space="preserve"> sur le fondement </w:t>
      </w:r>
      <w:r w:rsidR="00F81812" w:rsidRPr="00F02792">
        <w:rPr>
          <w:lang w:val="fr-FR"/>
        </w:rPr>
        <w:t xml:space="preserve">des règles </w:t>
      </w:r>
      <w:r w:rsidR="008845F5" w:rsidRPr="00F02792">
        <w:rPr>
          <w:lang w:val="fr-FR"/>
        </w:rPr>
        <w:t xml:space="preserve">de compétence </w:t>
      </w:r>
      <w:r w:rsidR="003566B3" w:rsidRPr="00F02792">
        <w:rPr>
          <w:lang w:val="fr-FR"/>
        </w:rPr>
        <w:t>internes</w:t>
      </w:r>
      <w:r w:rsidR="00A8772F" w:rsidRPr="00F02792">
        <w:rPr>
          <w:lang w:val="fr-FR"/>
        </w:rPr>
        <w:t xml:space="preserve"> </w:t>
      </w:r>
      <w:r w:rsidR="008C2DA6" w:rsidRPr="00F02792">
        <w:rPr>
          <w:lang w:val="fr-FR"/>
        </w:rPr>
        <w:t xml:space="preserve">ne sont </w:t>
      </w:r>
      <w:r w:rsidR="000035AC" w:rsidRPr="00F02792">
        <w:rPr>
          <w:lang w:val="fr-FR"/>
        </w:rPr>
        <w:t xml:space="preserve">pas </w:t>
      </w:r>
      <w:r w:rsidR="00A64ACA" w:rsidRPr="00F02792">
        <w:rPr>
          <w:lang w:val="fr-FR"/>
        </w:rPr>
        <w:t>légion</w:t>
      </w:r>
      <w:r w:rsidR="00F56F1B" w:rsidRPr="00F02792">
        <w:rPr>
          <w:lang w:val="fr-FR"/>
        </w:rPr>
        <w:t xml:space="preserve">, elles </w:t>
      </w:r>
      <w:r w:rsidR="00D55F62" w:rsidRPr="00F02792">
        <w:rPr>
          <w:lang w:val="fr-FR"/>
        </w:rPr>
        <w:t>concernent</w:t>
      </w:r>
      <w:r w:rsidR="00F56F1B" w:rsidRPr="00F02792">
        <w:rPr>
          <w:lang w:val="fr-FR"/>
        </w:rPr>
        <w:t xml:space="preserve"> cependant principalement</w:t>
      </w:r>
      <w:r w:rsidR="00D55F62" w:rsidRPr="00F02792">
        <w:rPr>
          <w:lang w:val="fr-FR"/>
        </w:rPr>
        <w:t xml:space="preserve"> </w:t>
      </w:r>
      <w:r w:rsidR="00AA78F8" w:rsidRPr="00F02792">
        <w:rPr>
          <w:lang w:val="fr-FR"/>
        </w:rPr>
        <w:t>les litiges de travail</w:t>
      </w:r>
      <w:r w:rsidR="00CF6E55" w:rsidRPr="00F02792">
        <w:rPr>
          <w:rStyle w:val="Appelnotedebasdep"/>
          <w:lang w:val="fr-FR"/>
        </w:rPr>
        <w:footnoteReference w:id="18"/>
      </w:r>
      <w:r w:rsidR="00AA78F8" w:rsidRPr="00F02792">
        <w:rPr>
          <w:lang w:val="fr-FR"/>
        </w:rPr>
        <w:t xml:space="preserve"> </w:t>
      </w:r>
      <w:r w:rsidR="00E0675F" w:rsidRPr="00F02792">
        <w:rPr>
          <w:lang w:val="fr-FR"/>
        </w:rPr>
        <w:t xml:space="preserve">et </w:t>
      </w:r>
      <w:r w:rsidR="001E4B8B" w:rsidRPr="00F02792">
        <w:rPr>
          <w:lang w:val="fr-FR"/>
        </w:rPr>
        <w:t xml:space="preserve">la matière </w:t>
      </w:r>
      <w:r w:rsidR="00F40A52" w:rsidRPr="00F02792">
        <w:rPr>
          <w:lang w:val="fr-FR"/>
        </w:rPr>
        <w:t>familiale</w:t>
      </w:r>
      <w:r w:rsidR="00CF6E55" w:rsidRPr="00F02792">
        <w:rPr>
          <w:rStyle w:val="Appelnotedebasdep"/>
          <w:lang w:val="fr-FR"/>
        </w:rPr>
        <w:footnoteReference w:id="19"/>
      </w:r>
      <w:r w:rsidR="00F40A52" w:rsidRPr="00F02792">
        <w:rPr>
          <w:lang w:val="fr-FR"/>
        </w:rPr>
        <w:t xml:space="preserve"> soit des contentieux </w:t>
      </w:r>
      <w:r w:rsidR="00295FD1" w:rsidRPr="00F02792">
        <w:rPr>
          <w:lang w:val="fr-FR"/>
        </w:rPr>
        <w:t xml:space="preserve">où les justiciables </w:t>
      </w:r>
      <w:r w:rsidR="00410592" w:rsidRPr="00F02792">
        <w:rPr>
          <w:lang w:val="fr-FR"/>
        </w:rPr>
        <w:t xml:space="preserve">les </w:t>
      </w:r>
      <w:r w:rsidR="00862133" w:rsidRPr="00F02792">
        <w:rPr>
          <w:lang w:val="fr-FR"/>
        </w:rPr>
        <w:t xml:space="preserve">moins </w:t>
      </w:r>
      <w:r w:rsidR="005E0BC2" w:rsidRPr="00F02792">
        <w:rPr>
          <w:lang w:val="fr-FR"/>
        </w:rPr>
        <w:t xml:space="preserve">expérimentés </w:t>
      </w:r>
      <w:r w:rsidR="00567D76" w:rsidRPr="00F02792">
        <w:rPr>
          <w:lang w:val="fr-FR"/>
        </w:rPr>
        <w:t>et souvent les plus fragiles</w:t>
      </w:r>
      <w:r w:rsidR="00F718EC" w:rsidRPr="00F02792">
        <w:rPr>
          <w:lang w:val="fr-FR"/>
        </w:rPr>
        <w:t xml:space="preserve"> </w:t>
      </w:r>
      <w:r w:rsidR="008C06EF" w:rsidRPr="00F02792">
        <w:rPr>
          <w:lang w:val="fr-FR"/>
        </w:rPr>
        <w:t>vont supporter la char</w:t>
      </w:r>
      <w:r w:rsidR="00E50608" w:rsidRPr="00F02792">
        <w:rPr>
          <w:lang w:val="fr-FR"/>
        </w:rPr>
        <w:t xml:space="preserve">ge </w:t>
      </w:r>
      <w:r w:rsidR="00A257F3" w:rsidRPr="00F02792">
        <w:rPr>
          <w:lang w:val="fr-FR"/>
        </w:rPr>
        <w:t>de la détermination de la juridiction compétente</w:t>
      </w:r>
      <w:r w:rsidR="00327C26" w:rsidRPr="00F02792">
        <w:rPr>
          <w:lang w:val="fr-FR"/>
        </w:rPr>
        <w:t xml:space="preserve"> sans renvoi en cas d</w:t>
      </w:r>
      <w:r w:rsidR="00BB76F1">
        <w:rPr>
          <w:lang w:val="fr-FR"/>
        </w:rPr>
        <w:t>’</w:t>
      </w:r>
      <w:r w:rsidR="00327C26" w:rsidRPr="00F02792">
        <w:rPr>
          <w:lang w:val="fr-FR"/>
        </w:rPr>
        <w:t>erreur</w:t>
      </w:r>
      <w:r w:rsidR="00042FC9" w:rsidRPr="00F02792">
        <w:rPr>
          <w:lang w:val="fr-FR"/>
        </w:rPr>
        <w:t xml:space="preserve"> et sachant </w:t>
      </w:r>
      <w:r w:rsidR="00B152D7" w:rsidRPr="00F02792">
        <w:rPr>
          <w:lang w:val="fr-FR"/>
        </w:rPr>
        <w:t>que l</w:t>
      </w:r>
      <w:r w:rsidR="00BB76F1">
        <w:rPr>
          <w:lang w:val="fr-FR"/>
        </w:rPr>
        <w:t>’</w:t>
      </w:r>
      <w:r w:rsidR="00B1206A" w:rsidRPr="00F02792">
        <w:rPr>
          <w:lang w:val="fr-FR"/>
        </w:rPr>
        <w:t xml:space="preserve">incompétence matérielle </w:t>
      </w:r>
      <w:r w:rsidR="003B0A29" w:rsidRPr="00F02792">
        <w:rPr>
          <w:lang w:val="fr-FR"/>
        </w:rPr>
        <w:t xml:space="preserve">peut être soulevée </w:t>
      </w:r>
      <w:r w:rsidR="003E6654" w:rsidRPr="00F02792">
        <w:rPr>
          <w:lang w:val="fr-FR"/>
        </w:rPr>
        <w:t xml:space="preserve">en tout état </w:t>
      </w:r>
      <w:r w:rsidR="00042549" w:rsidRPr="00F02792">
        <w:rPr>
          <w:lang w:val="fr-FR"/>
        </w:rPr>
        <w:t>de cause et pour la première fois en appel</w:t>
      </w:r>
      <w:r w:rsidR="002B3860" w:rsidRPr="00F02792">
        <w:rPr>
          <w:lang w:val="fr-FR"/>
        </w:rPr>
        <w:t xml:space="preserve"> comme l</w:t>
      </w:r>
      <w:r w:rsidR="00BB76F1">
        <w:rPr>
          <w:lang w:val="fr-FR"/>
        </w:rPr>
        <w:t>’</w:t>
      </w:r>
      <w:r w:rsidR="002B3860" w:rsidRPr="00F02792">
        <w:rPr>
          <w:lang w:val="fr-FR"/>
        </w:rPr>
        <w:t xml:space="preserve">a rappelé </w:t>
      </w:r>
      <w:r w:rsidR="00EB6E6C" w:rsidRPr="00F02792">
        <w:rPr>
          <w:lang w:val="fr-FR"/>
        </w:rPr>
        <w:t>la Cour d</w:t>
      </w:r>
      <w:r w:rsidR="00BB76F1">
        <w:rPr>
          <w:lang w:val="fr-FR"/>
        </w:rPr>
        <w:t>’</w:t>
      </w:r>
      <w:r w:rsidR="00EB6E6C" w:rsidRPr="00F02792">
        <w:rPr>
          <w:lang w:val="fr-FR"/>
        </w:rPr>
        <w:t xml:space="preserve">appel </w:t>
      </w:r>
      <w:r w:rsidR="00F520FD" w:rsidRPr="00F02792">
        <w:rPr>
          <w:lang w:val="fr-FR"/>
        </w:rPr>
        <w:t xml:space="preserve">dans un arrêt </w:t>
      </w:r>
      <w:r w:rsidR="0041436E" w:rsidRPr="00F02792">
        <w:rPr>
          <w:lang w:val="fr-FR"/>
        </w:rPr>
        <w:t>du 21 janvier 2021</w:t>
      </w:r>
      <w:r w:rsidR="002B3860" w:rsidRPr="00F02792">
        <w:rPr>
          <w:rStyle w:val="Appelnotedebasdep"/>
          <w:lang w:val="fr-FR"/>
        </w:rPr>
        <w:footnoteReference w:id="20"/>
      </w:r>
      <w:r w:rsidR="002B3860" w:rsidRPr="00F02792">
        <w:rPr>
          <w:lang w:val="fr-FR"/>
        </w:rPr>
        <w:t>.</w:t>
      </w:r>
    </w:p>
    <w:p w14:paraId="5CF0EC4E" w14:textId="77777777" w:rsidR="00E07D24" w:rsidRPr="00F02792" w:rsidRDefault="00E07D24" w:rsidP="00C7313B">
      <w:pPr>
        <w:spacing w:line="276" w:lineRule="auto"/>
        <w:jc w:val="both"/>
        <w:rPr>
          <w:lang w:val="fr-FR"/>
        </w:rPr>
      </w:pPr>
    </w:p>
    <w:p w14:paraId="79F058BD" w14:textId="516124BF" w:rsidR="007B0116" w:rsidRPr="00F02792" w:rsidRDefault="007B0116" w:rsidP="00C7313B">
      <w:pPr>
        <w:spacing w:line="276" w:lineRule="auto"/>
        <w:jc w:val="both"/>
        <w:rPr>
          <w:b/>
          <w:bCs/>
          <w:lang w:val="fr-FR"/>
        </w:rPr>
      </w:pPr>
      <w:r w:rsidRPr="00F02792">
        <w:rPr>
          <w:b/>
          <w:bCs/>
          <w:lang w:val="fr-FR"/>
        </w:rPr>
        <w:lastRenderedPageBreak/>
        <w:t xml:space="preserve">B. </w:t>
      </w:r>
      <w:r w:rsidR="0073214F" w:rsidRPr="00F02792">
        <w:rPr>
          <w:b/>
          <w:bCs/>
          <w:lang w:val="fr-FR"/>
        </w:rPr>
        <w:t xml:space="preserve">Une conception large </w:t>
      </w:r>
      <w:r w:rsidR="00772DB3" w:rsidRPr="00F02792">
        <w:rPr>
          <w:b/>
          <w:bCs/>
          <w:lang w:val="fr-FR"/>
        </w:rPr>
        <w:t>de l</w:t>
      </w:r>
      <w:r w:rsidR="00BB76F1">
        <w:rPr>
          <w:b/>
          <w:bCs/>
          <w:lang w:val="fr-FR"/>
        </w:rPr>
        <w:t>’</w:t>
      </w:r>
      <w:r w:rsidR="00772DB3" w:rsidRPr="00F02792">
        <w:rPr>
          <w:b/>
          <w:bCs/>
          <w:lang w:val="fr-FR"/>
        </w:rPr>
        <w:t>incompétence</w:t>
      </w:r>
      <w:r w:rsidR="003A317E" w:rsidRPr="00F02792">
        <w:rPr>
          <w:b/>
          <w:bCs/>
          <w:lang w:val="fr-FR"/>
        </w:rPr>
        <w:t xml:space="preserve"> </w:t>
      </w:r>
      <w:r w:rsidR="007E4F3E" w:rsidRPr="00F02792">
        <w:rPr>
          <w:b/>
          <w:bCs/>
          <w:lang w:val="fr-FR"/>
        </w:rPr>
        <w:t xml:space="preserve">en lieu et </w:t>
      </w:r>
      <w:r w:rsidR="00B440F3" w:rsidRPr="00F02792">
        <w:rPr>
          <w:b/>
          <w:bCs/>
          <w:lang w:val="fr-FR"/>
        </w:rPr>
        <w:t xml:space="preserve">place </w:t>
      </w:r>
      <w:r w:rsidR="00F57328" w:rsidRPr="00F02792">
        <w:rPr>
          <w:b/>
          <w:bCs/>
          <w:lang w:val="fr-FR"/>
        </w:rPr>
        <w:t>d</w:t>
      </w:r>
      <w:r w:rsidR="00BB76F1">
        <w:rPr>
          <w:b/>
          <w:bCs/>
          <w:lang w:val="fr-FR"/>
        </w:rPr>
        <w:t>’</w:t>
      </w:r>
      <w:r w:rsidR="00F57328" w:rsidRPr="00F02792">
        <w:rPr>
          <w:b/>
          <w:bCs/>
          <w:lang w:val="fr-FR"/>
        </w:rPr>
        <w:t>incidents de répartition</w:t>
      </w:r>
    </w:p>
    <w:p w14:paraId="7365A24E" w14:textId="77777777" w:rsidR="007B0116" w:rsidRPr="00F02792" w:rsidRDefault="007B0116" w:rsidP="00C7313B">
      <w:pPr>
        <w:spacing w:line="276" w:lineRule="auto"/>
        <w:jc w:val="both"/>
        <w:rPr>
          <w:lang w:val="fr-FR"/>
        </w:rPr>
      </w:pPr>
    </w:p>
    <w:p w14:paraId="60DD1E3D" w14:textId="34A94C5C" w:rsidR="00C7313B" w:rsidRPr="00F02792" w:rsidRDefault="00C7313B" w:rsidP="00C7313B">
      <w:pPr>
        <w:spacing w:line="276" w:lineRule="auto"/>
        <w:jc w:val="both"/>
        <w:rPr>
          <w:lang w:val="fr-FR"/>
        </w:rPr>
      </w:pPr>
      <w:r w:rsidRPr="00F02792">
        <w:rPr>
          <w:lang w:val="fr-FR"/>
        </w:rPr>
        <w:t xml:space="preserve">Le contentieux familial est </w:t>
      </w:r>
      <w:r w:rsidR="00AF0C8A" w:rsidRPr="00F02792">
        <w:rPr>
          <w:lang w:val="fr-FR"/>
        </w:rPr>
        <w:t>particulièrement</w:t>
      </w:r>
      <w:r w:rsidRPr="00F02792">
        <w:rPr>
          <w:lang w:val="fr-FR"/>
        </w:rPr>
        <w:t xml:space="preserve"> concerné par </w:t>
      </w:r>
      <w:r w:rsidR="000E15CC" w:rsidRPr="00F02792">
        <w:rPr>
          <w:lang w:val="fr-FR"/>
        </w:rPr>
        <w:t>l</w:t>
      </w:r>
      <w:r w:rsidRPr="00F02792">
        <w:rPr>
          <w:lang w:val="fr-FR"/>
        </w:rPr>
        <w:t>es décisions d</w:t>
      </w:r>
      <w:r w:rsidR="00BB76F1">
        <w:rPr>
          <w:lang w:val="fr-FR"/>
        </w:rPr>
        <w:t>’</w:t>
      </w:r>
      <w:r w:rsidRPr="00F02792">
        <w:rPr>
          <w:lang w:val="fr-FR"/>
        </w:rPr>
        <w:t xml:space="preserve">incompétence dans lesquelles les juges </w:t>
      </w:r>
      <w:r w:rsidR="00176715" w:rsidRPr="00F02792">
        <w:rPr>
          <w:lang w:val="fr-FR"/>
        </w:rPr>
        <w:t>peuvent se</w:t>
      </w:r>
      <w:r w:rsidRPr="00F02792">
        <w:rPr>
          <w:lang w:val="fr-FR"/>
        </w:rPr>
        <w:t xml:space="preserve"> renvo</w:t>
      </w:r>
      <w:r w:rsidR="00176715" w:rsidRPr="00F02792">
        <w:rPr>
          <w:lang w:val="fr-FR"/>
        </w:rPr>
        <w:t>yer</w:t>
      </w:r>
      <w:r w:rsidRPr="00F02792">
        <w:rPr>
          <w:lang w:val="fr-FR"/>
        </w:rPr>
        <w:t xml:space="preserve"> la balle sans véritable renvoi </w:t>
      </w:r>
      <w:r w:rsidR="00546F23" w:rsidRPr="00F02792">
        <w:rPr>
          <w:lang w:val="fr-FR"/>
        </w:rPr>
        <w:t>du dossier.</w:t>
      </w:r>
      <w:r w:rsidRPr="00F02792">
        <w:rPr>
          <w:lang w:val="fr-FR"/>
        </w:rPr>
        <w:t xml:space="preserve"> Thierry Hoscheit avait, avant la mise en place du juge aux affaires familiales, épinglé des décisions contraires</w:t>
      </w:r>
      <w:r w:rsidRPr="00F02792">
        <w:rPr>
          <w:rStyle w:val="Appelnotedebasdep"/>
          <w:lang w:val="fr-FR"/>
        </w:rPr>
        <w:footnoteReference w:id="21"/>
      </w:r>
      <w:r w:rsidRPr="00F02792">
        <w:rPr>
          <w:lang w:val="fr-FR"/>
        </w:rPr>
        <w:t>. Tout en soulignant le danger des conflits négatifs et la complexité de l</w:t>
      </w:r>
      <w:r w:rsidR="00BB76F1">
        <w:rPr>
          <w:lang w:val="fr-FR"/>
        </w:rPr>
        <w:t>’</w:t>
      </w:r>
      <w:r w:rsidRPr="00F02792">
        <w:rPr>
          <w:lang w:val="fr-FR"/>
        </w:rPr>
        <w:t>application des articles 506 à 510 NCPC à ce type de situation, il relève une question fondamentale : se trouve-t-on véritablement dans un conflit de compétence (qui pourrait le cas échéant justifier le règlement de juges)</w:t>
      </w:r>
      <w:r w:rsidRPr="00F02792">
        <w:rPr>
          <w:rStyle w:val="Appelnotedebasdep"/>
          <w:lang w:val="fr-FR"/>
        </w:rPr>
        <w:footnoteReference w:id="22"/>
      </w:r>
      <w:r w:rsidRPr="00F02792">
        <w:rPr>
          <w:lang w:val="fr-FR"/>
        </w:rPr>
        <w:t> ? Pour qu</w:t>
      </w:r>
      <w:r w:rsidR="00BB76F1">
        <w:rPr>
          <w:lang w:val="fr-FR"/>
        </w:rPr>
        <w:t>’</w:t>
      </w:r>
      <w:r w:rsidRPr="00F02792">
        <w:rPr>
          <w:lang w:val="fr-FR"/>
        </w:rPr>
        <w:t>il y ait conflit de compétence, il doit y avoir au moins deux juridictions. En l</w:t>
      </w:r>
      <w:r w:rsidR="00BB76F1">
        <w:rPr>
          <w:lang w:val="fr-FR"/>
        </w:rPr>
        <w:t>’</w:t>
      </w:r>
      <w:r w:rsidRPr="00F02792">
        <w:rPr>
          <w:lang w:val="fr-FR"/>
        </w:rPr>
        <w:t>espèce le juge des tutelles et le juge des référés près le Tribunal d</w:t>
      </w:r>
      <w:r w:rsidR="00BB76F1">
        <w:rPr>
          <w:lang w:val="fr-FR"/>
        </w:rPr>
        <w:t>’</w:t>
      </w:r>
      <w:r w:rsidRPr="00F02792">
        <w:rPr>
          <w:lang w:val="fr-FR"/>
        </w:rPr>
        <w:t>arrondissement étaient-ils deux juridictions différentes ? Le juge des tutelles est une section du Tribunal d</w:t>
      </w:r>
      <w:r w:rsidR="00BB76F1">
        <w:rPr>
          <w:lang w:val="fr-FR"/>
        </w:rPr>
        <w:t>’</w:t>
      </w:r>
      <w:r w:rsidRPr="00F02792">
        <w:rPr>
          <w:lang w:val="fr-FR"/>
        </w:rPr>
        <w:t>arrondissement. La question se pose avec plus d</w:t>
      </w:r>
      <w:r w:rsidR="00BB76F1">
        <w:rPr>
          <w:lang w:val="fr-FR"/>
        </w:rPr>
        <w:t>’</w:t>
      </w:r>
      <w:r w:rsidRPr="00F02792">
        <w:rPr>
          <w:lang w:val="fr-FR"/>
        </w:rPr>
        <w:t>acuité encore depuis la mise en place de juges aux affaires familiales désignés par l</w:t>
      </w:r>
      <w:r w:rsidR="00BB76F1">
        <w:rPr>
          <w:lang w:val="fr-FR"/>
        </w:rPr>
        <w:t>’</w:t>
      </w:r>
      <w:r w:rsidRPr="00F02792">
        <w:rPr>
          <w:lang w:val="fr-FR"/>
        </w:rPr>
        <w:t>article 15-1 de la Loi sur l</w:t>
      </w:r>
      <w:r w:rsidR="00BB76F1">
        <w:rPr>
          <w:lang w:val="fr-FR"/>
        </w:rPr>
        <w:t>’</w:t>
      </w:r>
      <w:r w:rsidRPr="00F02792">
        <w:rPr>
          <w:lang w:val="fr-FR"/>
        </w:rPr>
        <w:t>Organisation judicaires comme des « magistrats » au sein du Tribunal d</w:t>
      </w:r>
      <w:r w:rsidR="00BB76F1">
        <w:rPr>
          <w:lang w:val="fr-FR"/>
        </w:rPr>
        <w:t>’</w:t>
      </w:r>
      <w:r w:rsidRPr="00F02792">
        <w:rPr>
          <w:lang w:val="fr-FR"/>
        </w:rPr>
        <w:t>arrondissement.</w:t>
      </w:r>
      <w:r w:rsidR="00904AB8" w:rsidRPr="00F02792">
        <w:rPr>
          <w:lang w:val="fr-FR"/>
        </w:rPr>
        <w:t xml:space="preserve"> « Ces conglomérats de magistrats ne se sont même pas vu</w:t>
      </w:r>
      <w:r w:rsidR="006E40C4" w:rsidRPr="00F02792">
        <w:rPr>
          <w:lang w:val="fr-FR"/>
        </w:rPr>
        <w:t>s</w:t>
      </w:r>
      <w:r w:rsidR="00904AB8" w:rsidRPr="00F02792">
        <w:rPr>
          <w:lang w:val="fr-FR"/>
        </w:rPr>
        <w:t xml:space="preserve"> reconnaître le statut de section à part des tribunaux d</w:t>
      </w:r>
      <w:r w:rsidR="00BB76F1">
        <w:rPr>
          <w:lang w:val="fr-FR"/>
        </w:rPr>
        <w:t>’</w:t>
      </w:r>
      <w:r w:rsidR="00904AB8" w:rsidRPr="00F02792">
        <w:rPr>
          <w:lang w:val="fr-FR"/>
        </w:rPr>
        <w:t>arrondissement tel que cela est le cas pour le tribunal de la jeunesse et des tutelles »</w:t>
      </w:r>
      <w:r w:rsidR="009277D1" w:rsidRPr="00F02792">
        <w:rPr>
          <w:rStyle w:val="Appelnotedebasdep"/>
          <w:lang w:val="fr-FR"/>
        </w:rPr>
        <w:footnoteReference w:id="23"/>
      </w:r>
      <w:r w:rsidR="00904AB8" w:rsidRPr="00F02792">
        <w:rPr>
          <w:lang w:val="fr-FR"/>
        </w:rPr>
        <w:t>.</w:t>
      </w:r>
      <w:r w:rsidR="00AB51A8" w:rsidRPr="00F02792">
        <w:rPr>
          <w:lang w:val="fr-FR"/>
        </w:rPr>
        <w:t xml:space="preserve"> </w:t>
      </w:r>
      <w:r w:rsidRPr="00F02792">
        <w:rPr>
          <w:lang w:val="fr-FR"/>
        </w:rPr>
        <w:t>La « section » du Tribunal de la jeunesse et des tutelles ou les « magistrats » aux affaires familiales constituent-ils des juridictions à part aux compétences séparées ou sont-ils des formations différentes au sein du Tribunal d</w:t>
      </w:r>
      <w:r w:rsidR="00BB76F1">
        <w:rPr>
          <w:lang w:val="fr-FR"/>
        </w:rPr>
        <w:t>’</w:t>
      </w:r>
      <w:r w:rsidRPr="00F02792">
        <w:rPr>
          <w:lang w:val="fr-FR"/>
        </w:rPr>
        <w:t xml:space="preserve">arrondissement comme les chambres civiles et commerciales qui le composent ? La </w:t>
      </w:r>
      <w:r w:rsidRPr="00F02792">
        <w:rPr>
          <w:color w:val="000000" w:themeColor="text1"/>
          <w:lang w:val="fr-FR"/>
        </w:rPr>
        <w:t>jurisprudence ne s</w:t>
      </w:r>
      <w:r w:rsidR="00BB76F1">
        <w:rPr>
          <w:color w:val="000000" w:themeColor="text1"/>
          <w:lang w:val="fr-FR"/>
        </w:rPr>
        <w:t>’</w:t>
      </w:r>
      <w:r w:rsidRPr="00F02792">
        <w:rPr>
          <w:color w:val="000000" w:themeColor="text1"/>
          <w:lang w:val="fr-FR"/>
        </w:rPr>
        <w:t>est en tout cas pas embarrassée de la question. Et si l</w:t>
      </w:r>
      <w:r w:rsidR="00BB76F1">
        <w:rPr>
          <w:color w:val="000000" w:themeColor="text1"/>
          <w:lang w:val="fr-FR"/>
        </w:rPr>
        <w:t>’</w:t>
      </w:r>
      <w:r w:rsidRPr="00F02792">
        <w:rPr>
          <w:color w:val="000000" w:themeColor="text1"/>
          <w:lang w:val="fr-FR"/>
        </w:rPr>
        <w:t>article 1007-1 NCPC énumère les compétences matérielles du juge aux affaires familiales force est de constater que les incidents de compétence sont nombreux et que le droit transitoire ne suffit pas à les expliquer</w:t>
      </w:r>
      <w:r w:rsidRPr="00F02792">
        <w:rPr>
          <w:rStyle w:val="Appelnotedebasdep"/>
          <w:color w:val="000000" w:themeColor="text1"/>
          <w:lang w:val="fr-FR"/>
        </w:rPr>
        <w:footnoteReference w:id="24"/>
      </w:r>
      <w:r w:rsidRPr="00F02792">
        <w:rPr>
          <w:color w:val="000000" w:themeColor="text1"/>
          <w:lang w:val="fr-FR"/>
        </w:rPr>
        <w:t xml:space="preserve">. Ces incidents auraient </w:t>
      </w:r>
      <w:r w:rsidR="00F37F94" w:rsidRPr="00F02792">
        <w:rPr>
          <w:color w:val="000000" w:themeColor="text1"/>
          <w:lang w:val="fr-FR"/>
        </w:rPr>
        <w:t>pris</w:t>
      </w:r>
      <w:r w:rsidRPr="00F02792">
        <w:rPr>
          <w:color w:val="000000" w:themeColor="text1"/>
          <w:lang w:val="fr-FR"/>
        </w:rPr>
        <w:t xml:space="preserve"> des formes moins lourdes pour les parties s</w:t>
      </w:r>
      <w:r w:rsidR="00BB76F1">
        <w:rPr>
          <w:color w:val="000000" w:themeColor="text1"/>
          <w:lang w:val="fr-FR"/>
        </w:rPr>
        <w:t>’</w:t>
      </w:r>
      <w:r w:rsidRPr="00F02792">
        <w:rPr>
          <w:color w:val="000000" w:themeColor="text1"/>
          <w:lang w:val="fr-FR"/>
        </w:rPr>
        <w:t>ils avaient été considérés comme des incidents de répartition au sein du même tribunal d</w:t>
      </w:r>
      <w:r w:rsidR="00BB76F1">
        <w:rPr>
          <w:color w:val="000000" w:themeColor="text1"/>
          <w:lang w:val="fr-FR"/>
        </w:rPr>
        <w:t>’</w:t>
      </w:r>
      <w:r w:rsidRPr="00F02792">
        <w:rPr>
          <w:color w:val="000000" w:themeColor="text1"/>
          <w:lang w:val="fr-FR"/>
        </w:rPr>
        <w:t>arrondissement : juge civil</w:t>
      </w:r>
      <w:r w:rsidRPr="00F02792">
        <w:rPr>
          <w:color w:val="000000" w:themeColor="text1"/>
        </w:rPr>
        <w:t>, juge aux affaires familiales, juge des</w:t>
      </w:r>
      <w:r w:rsidRPr="00F02792">
        <w:rPr>
          <w:color w:val="000000" w:themeColor="text1"/>
          <w:lang w:val="fr-FR"/>
        </w:rPr>
        <w:t xml:space="preserve"> tutelles.</w:t>
      </w:r>
      <w:r w:rsidRPr="00F02792">
        <w:rPr>
          <w:lang w:val="fr-FR"/>
        </w:rPr>
        <w:t xml:space="preserve"> Certes des « compétences » sont expressément attribuées par la loi au juge aux affaires </w:t>
      </w:r>
      <w:r w:rsidR="00394E73" w:rsidRPr="00F02792">
        <w:rPr>
          <w:lang w:val="fr-FR"/>
        </w:rPr>
        <w:t>familiales</w:t>
      </w:r>
      <w:r w:rsidRPr="00F02792">
        <w:rPr>
          <w:lang w:val="fr-FR"/>
        </w:rPr>
        <w:t>, mais la Loi sur l</w:t>
      </w:r>
      <w:r w:rsidR="00BB76F1">
        <w:rPr>
          <w:lang w:val="fr-FR"/>
        </w:rPr>
        <w:t>’</w:t>
      </w:r>
      <w:r w:rsidRPr="00F02792">
        <w:rPr>
          <w:lang w:val="fr-FR"/>
        </w:rPr>
        <w:t xml:space="preserve">Organisation judiciaire ne fait pas du </w:t>
      </w:r>
      <w:r w:rsidR="002368A8" w:rsidRPr="00F02792">
        <w:rPr>
          <w:lang w:val="fr-FR"/>
        </w:rPr>
        <w:t>juge aux affaires familiales</w:t>
      </w:r>
      <w:r w:rsidRPr="00F02792">
        <w:rPr>
          <w:lang w:val="fr-FR"/>
        </w:rPr>
        <w:t xml:space="preserve"> une juridiction distincte du Tribunal d</w:t>
      </w:r>
      <w:r w:rsidR="00BB76F1">
        <w:rPr>
          <w:lang w:val="fr-FR"/>
        </w:rPr>
        <w:t>’</w:t>
      </w:r>
      <w:r w:rsidRPr="00F02792">
        <w:rPr>
          <w:lang w:val="fr-FR"/>
        </w:rPr>
        <w:t>arrondissement et la loi prend bien soin d</w:t>
      </w:r>
      <w:r w:rsidR="00BB76F1">
        <w:rPr>
          <w:lang w:val="fr-FR"/>
        </w:rPr>
        <w:t>’</w:t>
      </w:r>
      <w:r w:rsidRPr="00F02792">
        <w:rPr>
          <w:lang w:val="fr-FR"/>
        </w:rPr>
        <w:t>indiquer que c</w:t>
      </w:r>
      <w:r w:rsidR="00BB76F1">
        <w:rPr>
          <w:lang w:val="fr-FR"/>
        </w:rPr>
        <w:t>’</w:t>
      </w:r>
      <w:r w:rsidRPr="00F02792">
        <w:rPr>
          <w:lang w:val="fr-FR"/>
        </w:rPr>
        <w:t>est le Tribunal d</w:t>
      </w:r>
      <w:r w:rsidR="00BB76F1">
        <w:rPr>
          <w:lang w:val="fr-FR"/>
        </w:rPr>
        <w:t>’</w:t>
      </w:r>
      <w:r w:rsidRPr="00F02792">
        <w:rPr>
          <w:lang w:val="fr-FR"/>
        </w:rPr>
        <w:t xml:space="preserve">arrondissement qui est saisi et qui rendra jugement non pas le </w:t>
      </w:r>
      <w:r w:rsidR="001F5710" w:rsidRPr="00F02792">
        <w:rPr>
          <w:lang w:val="fr-FR"/>
        </w:rPr>
        <w:t xml:space="preserve">juge aux affaires familiales </w:t>
      </w:r>
      <w:r w:rsidRPr="00F02792">
        <w:rPr>
          <w:rStyle w:val="Appelnotedebasdep"/>
          <w:lang w:val="fr-FR"/>
        </w:rPr>
        <w:footnoteReference w:id="25"/>
      </w:r>
      <w:r w:rsidRPr="00F02792">
        <w:rPr>
          <w:lang w:val="fr-FR"/>
        </w:rPr>
        <w:t>. La suggestion d</w:t>
      </w:r>
      <w:r w:rsidR="00BB76F1">
        <w:rPr>
          <w:lang w:val="fr-FR"/>
        </w:rPr>
        <w:t>’</w:t>
      </w:r>
      <w:r w:rsidRPr="00F02792">
        <w:rPr>
          <w:lang w:val="fr-FR"/>
        </w:rPr>
        <w:t xml:space="preserve">exclure les incidents de compétence pour ce qui concerne les attributions du </w:t>
      </w:r>
      <w:r w:rsidR="001F5710" w:rsidRPr="00F02792">
        <w:rPr>
          <w:lang w:val="fr-FR"/>
        </w:rPr>
        <w:t>juge aux affaires familiales</w:t>
      </w:r>
      <w:r w:rsidRPr="00F02792">
        <w:rPr>
          <w:lang w:val="fr-FR"/>
        </w:rPr>
        <w:t xml:space="preserve"> n</w:t>
      </w:r>
      <w:r w:rsidR="00BB76F1">
        <w:rPr>
          <w:lang w:val="fr-FR"/>
        </w:rPr>
        <w:t>’</w:t>
      </w:r>
      <w:r w:rsidRPr="00F02792">
        <w:rPr>
          <w:lang w:val="fr-FR"/>
        </w:rPr>
        <w:t>a hélas pas été retenue</w:t>
      </w:r>
      <w:r w:rsidRPr="00F02792">
        <w:rPr>
          <w:rStyle w:val="Appelnotedebasdep"/>
          <w:lang w:val="fr-FR"/>
        </w:rPr>
        <w:footnoteReference w:id="26"/>
      </w:r>
      <w:r w:rsidRPr="00F02792">
        <w:rPr>
          <w:lang w:val="fr-FR"/>
        </w:rPr>
        <w:t xml:space="preserve">. </w:t>
      </w:r>
      <w:r w:rsidR="001128FB" w:rsidRPr="00F02792">
        <w:rPr>
          <w:lang w:val="fr-FR"/>
        </w:rPr>
        <w:t xml:space="preserve">Thierry Hoscheit avait pourtant </w:t>
      </w:r>
      <w:r w:rsidR="000C733F" w:rsidRPr="00F02792">
        <w:rPr>
          <w:lang w:val="fr-FR"/>
        </w:rPr>
        <w:t xml:space="preserve">clairement </w:t>
      </w:r>
      <w:r w:rsidR="00D11782" w:rsidRPr="00F02792">
        <w:rPr>
          <w:lang w:val="fr-FR"/>
        </w:rPr>
        <w:t>dé</w:t>
      </w:r>
      <w:r w:rsidR="00AD1253" w:rsidRPr="00F02792">
        <w:rPr>
          <w:lang w:val="fr-FR"/>
        </w:rPr>
        <w:t>montré que « </w:t>
      </w:r>
      <w:r w:rsidR="009A0251" w:rsidRPr="00F02792">
        <w:rPr>
          <w:lang w:val="fr-FR"/>
        </w:rPr>
        <w:t xml:space="preserve">le juge aux affaires familiales ne </w:t>
      </w:r>
      <w:r w:rsidR="00D40BAC" w:rsidRPr="00F02792">
        <w:rPr>
          <w:lang w:val="fr-FR"/>
        </w:rPr>
        <w:t>constitue pas une nouvelle juridiction</w:t>
      </w:r>
      <w:r w:rsidR="002548ED" w:rsidRPr="00F02792">
        <w:rPr>
          <w:lang w:val="fr-FR"/>
        </w:rPr>
        <w:t xml:space="preserve"> à laquelle la loi aurait </w:t>
      </w:r>
      <w:r w:rsidR="00322F7F" w:rsidRPr="00F02792">
        <w:rPr>
          <w:lang w:val="fr-FR"/>
        </w:rPr>
        <w:t xml:space="preserve">pu </w:t>
      </w:r>
      <w:r w:rsidR="002548ED" w:rsidRPr="00F02792">
        <w:rPr>
          <w:lang w:val="fr-FR"/>
        </w:rPr>
        <w:t>attribu</w:t>
      </w:r>
      <w:r w:rsidR="00322F7F" w:rsidRPr="00F02792">
        <w:rPr>
          <w:lang w:val="fr-FR"/>
        </w:rPr>
        <w:t xml:space="preserve">er des </w:t>
      </w:r>
      <w:r w:rsidR="00EE6041" w:rsidRPr="00F02792">
        <w:rPr>
          <w:lang w:val="fr-FR"/>
        </w:rPr>
        <w:t xml:space="preserve">compétences. </w:t>
      </w:r>
      <w:r w:rsidR="00373741" w:rsidRPr="00F02792">
        <w:rPr>
          <w:lang w:val="fr-FR"/>
        </w:rPr>
        <w:t xml:space="preserve">Le juge aux affaires </w:t>
      </w:r>
      <w:r w:rsidR="00E10E15" w:rsidRPr="00F02792">
        <w:rPr>
          <w:lang w:val="fr-FR"/>
        </w:rPr>
        <w:t>e</w:t>
      </w:r>
      <w:r w:rsidR="00FE2FA4" w:rsidRPr="00F02792">
        <w:rPr>
          <w:lang w:val="fr-FR"/>
        </w:rPr>
        <w:t>s</w:t>
      </w:r>
      <w:r w:rsidR="00E10E15" w:rsidRPr="00F02792">
        <w:rPr>
          <w:lang w:val="fr-FR"/>
        </w:rPr>
        <w:t xml:space="preserve">t au </w:t>
      </w:r>
      <w:r w:rsidR="00E10E15" w:rsidRPr="00F02792">
        <w:rPr>
          <w:lang w:val="fr-FR"/>
        </w:rPr>
        <w:lastRenderedPageBreak/>
        <w:t>contraire pleinement incorporé dans les deux tribunaux d</w:t>
      </w:r>
      <w:r w:rsidR="00BB76F1">
        <w:rPr>
          <w:lang w:val="fr-FR"/>
        </w:rPr>
        <w:t>’</w:t>
      </w:r>
      <w:r w:rsidR="00E10E15" w:rsidRPr="00F02792">
        <w:rPr>
          <w:lang w:val="fr-FR"/>
        </w:rPr>
        <w:t>arrondissement dont il forme une partie intégrante</w:t>
      </w:r>
      <w:r w:rsidR="0059316B" w:rsidRPr="00F02792">
        <w:rPr>
          <w:lang w:val="fr-FR"/>
        </w:rPr>
        <w:t> »</w:t>
      </w:r>
      <w:r w:rsidR="00B220F4" w:rsidRPr="00F02792">
        <w:rPr>
          <w:rStyle w:val="Appelnotedebasdep"/>
          <w:lang w:val="fr-FR"/>
        </w:rPr>
        <w:footnoteReference w:id="27"/>
      </w:r>
      <w:r w:rsidR="0059316B" w:rsidRPr="00F02792">
        <w:rPr>
          <w:lang w:val="fr-FR"/>
        </w:rPr>
        <w:t>.</w:t>
      </w:r>
      <w:r w:rsidR="00AB51A8" w:rsidRPr="00F02792">
        <w:rPr>
          <w:lang w:val="fr-FR"/>
        </w:rPr>
        <w:t xml:space="preserve"> </w:t>
      </w:r>
      <w:r w:rsidR="009E5169" w:rsidRPr="00F02792">
        <w:rPr>
          <w:lang w:val="fr-FR"/>
        </w:rPr>
        <w:t xml:space="preserve">Il en avait conclu </w:t>
      </w:r>
      <w:r w:rsidR="00516159" w:rsidRPr="00F02792">
        <w:rPr>
          <w:lang w:val="fr-FR"/>
        </w:rPr>
        <w:t>« que ce</w:t>
      </w:r>
      <w:r w:rsidR="00206CF9" w:rsidRPr="00F02792">
        <w:rPr>
          <w:lang w:val="fr-FR"/>
        </w:rPr>
        <w:t>s</w:t>
      </w:r>
      <w:r w:rsidR="00516159" w:rsidRPr="00F02792">
        <w:rPr>
          <w:lang w:val="fr-FR"/>
        </w:rPr>
        <w:t xml:space="preserve"> litige</w:t>
      </w:r>
      <w:r w:rsidR="00206CF9" w:rsidRPr="00F02792">
        <w:rPr>
          <w:lang w:val="fr-FR"/>
        </w:rPr>
        <w:t>s</w:t>
      </w:r>
      <w:r w:rsidR="00516159" w:rsidRPr="00F02792">
        <w:rPr>
          <w:lang w:val="fr-FR"/>
        </w:rPr>
        <w:t xml:space="preserve"> soi</w:t>
      </w:r>
      <w:r w:rsidR="00206CF9" w:rsidRPr="00F02792">
        <w:rPr>
          <w:lang w:val="fr-FR"/>
        </w:rPr>
        <w:t>en</w:t>
      </w:r>
      <w:r w:rsidR="00516159" w:rsidRPr="00F02792">
        <w:rPr>
          <w:lang w:val="fr-FR"/>
        </w:rPr>
        <w:t>t traité</w:t>
      </w:r>
      <w:r w:rsidR="00206CF9" w:rsidRPr="00F02792">
        <w:rPr>
          <w:lang w:val="fr-FR"/>
        </w:rPr>
        <w:t>s</w:t>
      </w:r>
      <w:r w:rsidR="00516159" w:rsidRPr="00F02792">
        <w:rPr>
          <w:lang w:val="fr-FR"/>
        </w:rPr>
        <w:t xml:space="preserve"> au sein des tribunaux d</w:t>
      </w:r>
      <w:r w:rsidR="00BB76F1">
        <w:rPr>
          <w:lang w:val="fr-FR"/>
        </w:rPr>
        <w:t>’</w:t>
      </w:r>
      <w:r w:rsidR="00516159" w:rsidRPr="00F02792">
        <w:rPr>
          <w:lang w:val="fr-FR"/>
        </w:rPr>
        <w:t>arrondissement par un juge aux affaires familiales ou un autre juge ne sera en définitive qu</w:t>
      </w:r>
      <w:r w:rsidR="00BB76F1">
        <w:rPr>
          <w:lang w:val="fr-FR"/>
        </w:rPr>
        <w:t>’</w:t>
      </w:r>
      <w:r w:rsidR="00516159" w:rsidRPr="00F02792">
        <w:rPr>
          <w:lang w:val="fr-FR"/>
        </w:rPr>
        <w:t>une question d</w:t>
      </w:r>
      <w:r w:rsidR="00BB76F1">
        <w:rPr>
          <w:lang w:val="fr-FR"/>
        </w:rPr>
        <w:t>’</w:t>
      </w:r>
      <w:r w:rsidR="00516159" w:rsidRPr="00F02792">
        <w:rPr>
          <w:lang w:val="fr-FR"/>
        </w:rPr>
        <w:t>organisation interne et de procédure applicable</w:t>
      </w:r>
      <w:r w:rsidR="003641AA" w:rsidRPr="00F02792">
        <w:rPr>
          <w:lang w:val="fr-FR"/>
        </w:rPr>
        <w:t> »</w:t>
      </w:r>
      <w:r w:rsidR="003641AA" w:rsidRPr="00F02792">
        <w:rPr>
          <w:rStyle w:val="Appelnotedebasdep"/>
          <w:lang w:val="fr-FR"/>
        </w:rPr>
        <w:footnoteReference w:id="28"/>
      </w:r>
      <w:r w:rsidR="003641AA" w:rsidRPr="00F02792">
        <w:rPr>
          <w:lang w:val="fr-FR"/>
        </w:rPr>
        <w:t xml:space="preserve">. </w:t>
      </w:r>
      <w:r w:rsidR="008F5B34" w:rsidRPr="00F02792">
        <w:rPr>
          <w:lang w:val="fr-FR"/>
        </w:rPr>
        <w:t>La jurisprudence ne l</w:t>
      </w:r>
      <w:r w:rsidR="00BB76F1">
        <w:rPr>
          <w:lang w:val="fr-FR"/>
        </w:rPr>
        <w:t>’</w:t>
      </w:r>
      <w:r w:rsidR="008F5B34" w:rsidRPr="00F02792">
        <w:rPr>
          <w:lang w:val="fr-FR"/>
        </w:rPr>
        <w:t xml:space="preserve">a pas suivi. </w:t>
      </w:r>
      <w:r w:rsidR="00CF6FAC" w:rsidRPr="00F02792">
        <w:rPr>
          <w:lang w:val="fr-FR"/>
        </w:rPr>
        <w:t>Dans un</w:t>
      </w:r>
      <w:r w:rsidR="00AB51A8" w:rsidRPr="00F02792">
        <w:rPr>
          <w:lang w:val="fr-FR"/>
        </w:rPr>
        <w:t xml:space="preserve"> </w:t>
      </w:r>
      <w:r w:rsidR="00F02D4A" w:rsidRPr="00F02792">
        <w:rPr>
          <w:lang w:val="fr-FR"/>
        </w:rPr>
        <w:t xml:space="preserve">arrêt </w:t>
      </w:r>
      <w:r w:rsidR="00CF6FAC" w:rsidRPr="00F02792">
        <w:rPr>
          <w:lang w:val="fr-FR"/>
        </w:rPr>
        <w:t xml:space="preserve">du </w:t>
      </w:r>
      <w:r w:rsidR="00205082" w:rsidRPr="00F02792">
        <w:rPr>
          <w:lang w:val="fr-FR"/>
        </w:rPr>
        <w:t xml:space="preserve">15 juillet 2020, </w:t>
      </w:r>
      <w:r w:rsidR="009319BA" w:rsidRPr="00F02792">
        <w:rPr>
          <w:lang w:val="fr-FR"/>
        </w:rPr>
        <w:t>la Cour d</w:t>
      </w:r>
      <w:r w:rsidR="00BB76F1">
        <w:rPr>
          <w:lang w:val="fr-FR"/>
        </w:rPr>
        <w:t>’</w:t>
      </w:r>
      <w:r w:rsidR="009319BA" w:rsidRPr="00F02792">
        <w:rPr>
          <w:lang w:val="fr-FR"/>
        </w:rPr>
        <w:t>appel</w:t>
      </w:r>
      <w:r w:rsidR="00DE7107" w:rsidRPr="00F02792">
        <w:rPr>
          <w:lang w:val="fr-FR"/>
        </w:rPr>
        <w:t xml:space="preserve"> a jugé </w:t>
      </w:r>
      <w:r w:rsidR="00C0079B" w:rsidRPr="00F02792">
        <w:rPr>
          <w:lang w:val="fr-FR"/>
        </w:rPr>
        <w:t>que</w:t>
      </w:r>
      <w:r w:rsidR="00347108" w:rsidRPr="00F02792">
        <w:rPr>
          <w:lang w:val="fr-FR"/>
        </w:rPr>
        <w:t xml:space="preserve"> « </w:t>
      </w:r>
      <w:r w:rsidR="00ED6187" w:rsidRPr="00F02792">
        <w:t>[p]</w:t>
      </w:r>
      <w:r w:rsidR="00347108" w:rsidRPr="00F02792">
        <w:t>ar la loi du 27 juin 2018 portant institution du juge aux affaires, le législateur a créé au sein du tribunal d</w:t>
      </w:r>
      <w:r w:rsidR="00BB76F1">
        <w:t>’</w:t>
      </w:r>
      <w:r w:rsidR="00347108" w:rsidRPr="00F02792">
        <w:t>arrondissement une nouvelle fonction de juge qui se voit doté de compétences spécifiques. Le tribunal d</w:t>
      </w:r>
      <w:r w:rsidR="00BB76F1">
        <w:t>’</w:t>
      </w:r>
      <w:r w:rsidR="00347108" w:rsidRPr="00F02792">
        <w:t>arrondissement siégeant en formation collégiale est resté le juge de droit commun.</w:t>
      </w:r>
      <w:r w:rsidR="00AB51A8" w:rsidRPr="00F02792">
        <w:t xml:space="preserve"> </w:t>
      </w:r>
      <w:r w:rsidR="00347108" w:rsidRPr="00F02792">
        <w:t>Lorsqu</w:t>
      </w:r>
      <w:r w:rsidR="00BB76F1">
        <w:t>’</w:t>
      </w:r>
      <w:r w:rsidR="00347108" w:rsidRPr="00F02792">
        <w:t>un texte confère un pouvoir juridictionnel propre à un juge particulier d</w:t>
      </w:r>
      <w:r w:rsidR="00BB76F1">
        <w:t>’</w:t>
      </w:r>
      <w:r w:rsidR="00347108" w:rsidRPr="00F02792">
        <w:t>un tribunal, ce sont les règles de compétence qui opèrent la répartition des litiges entre ce juge et le tribunal. (cf. Répertoire de procédure civile v° Incompétence n°2 Pierre Calle)</w:t>
      </w:r>
      <w:r w:rsidR="00846347" w:rsidRPr="00F02792">
        <w:t> »</w:t>
      </w:r>
      <w:r w:rsidR="0067608A" w:rsidRPr="00F02792">
        <w:rPr>
          <w:rStyle w:val="Appelnotedebasdep"/>
        </w:rPr>
        <w:footnoteReference w:id="29"/>
      </w:r>
      <w:r w:rsidR="00846347" w:rsidRPr="00F02792">
        <w:t xml:space="preserve">. </w:t>
      </w:r>
      <w:r w:rsidR="00E40AE5" w:rsidRPr="00F02792">
        <w:t xml:space="preserve">Pourtant dans le même </w:t>
      </w:r>
      <w:r w:rsidR="00AA0953" w:rsidRPr="00F02792">
        <w:rPr>
          <w:i/>
          <w:iCs/>
        </w:rPr>
        <w:t>Répertoire</w:t>
      </w:r>
      <w:r w:rsidR="003D26EF" w:rsidRPr="00F02792">
        <w:rPr>
          <w:i/>
          <w:iCs/>
        </w:rPr>
        <w:t xml:space="preserve"> Dalloz</w:t>
      </w:r>
      <w:r w:rsidR="00AB51A8" w:rsidRPr="00F02792">
        <w:t xml:space="preserve"> </w:t>
      </w:r>
      <w:r w:rsidR="00CE259B" w:rsidRPr="00F02792">
        <w:t>la Cour</w:t>
      </w:r>
      <w:r w:rsidR="003D26EF" w:rsidRPr="00F02792">
        <w:t xml:space="preserve"> aurait </w:t>
      </w:r>
      <w:r w:rsidR="00CE259B" w:rsidRPr="00F02792">
        <w:t xml:space="preserve">pu </w:t>
      </w:r>
      <w:r w:rsidR="000B60CA" w:rsidRPr="00F02792">
        <w:t>indiquer</w:t>
      </w:r>
      <w:r w:rsidR="00657C0E" w:rsidRPr="00F02792">
        <w:t xml:space="preserve"> que </w:t>
      </w:r>
      <w:r w:rsidR="00657C0E" w:rsidRPr="00F02792">
        <w:rPr>
          <w:lang w:val="fr-FR"/>
        </w:rPr>
        <w:t>« p</w:t>
      </w:r>
      <w:r w:rsidR="00657C0E" w:rsidRPr="00F02792">
        <w:t>ar dérogation, les questions de compétence au sein d</w:t>
      </w:r>
      <w:r w:rsidR="00BB76F1">
        <w:t>’</w:t>
      </w:r>
      <w:r w:rsidR="00657C0E" w:rsidRPr="00F02792">
        <w:t>un tribunal judiciaire peuvent être réglées avant la première audience par mention au dossier à la demande d</w:t>
      </w:r>
      <w:r w:rsidR="00BB76F1">
        <w:t>’</w:t>
      </w:r>
      <w:r w:rsidR="00657C0E" w:rsidRPr="00F02792">
        <w:t>une partie ou d</w:t>
      </w:r>
      <w:r w:rsidR="00BB76F1">
        <w:t>’</w:t>
      </w:r>
      <w:r w:rsidR="00657C0E" w:rsidRPr="00F02792">
        <w:t>office. L</w:t>
      </w:r>
      <w:r w:rsidR="00BB76F1">
        <w:t>’</w:t>
      </w:r>
      <w:r w:rsidR="00657C0E" w:rsidRPr="00F02792">
        <w:t>article vise les questions de compétence au sein d</w:t>
      </w:r>
      <w:r w:rsidR="00BB76F1">
        <w:t>’</w:t>
      </w:r>
      <w:r w:rsidR="00657C0E" w:rsidRPr="00F02792">
        <w:t>un tribunal judiciaire et non entre tribunaux judiciaires. Sont, semble-t-il, visées les questions de compétence d</w:t>
      </w:r>
      <w:r w:rsidR="00BB76F1">
        <w:t>’</w:t>
      </w:r>
      <w:r w:rsidR="00657C0E" w:rsidRPr="00F02792">
        <w:t xml:space="preserve">attribution entre les différentes juridictions qui dépendent du même tribunal judiciaire : tribunal judiciaire, </w:t>
      </w:r>
      <w:r w:rsidR="00657C0E" w:rsidRPr="00F02792">
        <w:rPr>
          <w:i/>
          <w:iCs/>
        </w:rPr>
        <w:t>juge aux affaires familiales</w:t>
      </w:r>
      <w:r w:rsidR="00657C0E" w:rsidRPr="00F02792">
        <w:t>, juge de l</w:t>
      </w:r>
      <w:r w:rsidR="00BB76F1">
        <w:t>’</w:t>
      </w:r>
      <w:r w:rsidR="00657C0E" w:rsidRPr="00F02792">
        <w:t>exécution, juge des contentieux de la protection, président du tribunal judiciaire ou juge du tribunal judiciaire</w:t>
      </w:r>
      <w:r w:rsidR="000A1F8F" w:rsidRPr="00F02792">
        <w:rPr>
          <w:lang w:val="fr-FR"/>
        </w:rPr>
        <w:t> »</w:t>
      </w:r>
      <w:r w:rsidR="000A1F8F" w:rsidRPr="00F02792">
        <w:rPr>
          <w:rStyle w:val="Appelnotedebasdep"/>
          <w:lang w:val="fr-FR"/>
        </w:rPr>
        <w:footnoteReference w:id="30"/>
      </w:r>
      <w:r w:rsidR="000A1F8F" w:rsidRPr="00F02792">
        <w:rPr>
          <w:lang w:val="fr-FR"/>
        </w:rPr>
        <w:t>.</w:t>
      </w:r>
      <w:r w:rsidR="009319BA" w:rsidRPr="00F02792">
        <w:rPr>
          <w:lang w:val="fr-FR"/>
        </w:rPr>
        <w:t xml:space="preserve"> </w:t>
      </w:r>
    </w:p>
    <w:p w14:paraId="671148F4" w14:textId="1D28AB49" w:rsidR="00105D67" w:rsidRPr="00F02792" w:rsidRDefault="00105D67" w:rsidP="00C7313B">
      <w:pPr>
        <w:spacing w:line="276" w:lineRule="auto"/>
        <w:jc w:val="both"/>
        <w:rPr>
          <w:lang w:val="fr-FR"/>
        </w:rPr>
      </w:pPr>
    </w:p>
    <w:p w14:paraId="2EB5F946" w14:textId="6A388A1C" w:rsidR="0097210F" w:rsidRPr="00F02792" w:rsidRDefault="00105D67" w:rsidP="0097210F">
      <w:pPr>
        <w:spacing w:line="276" w:lineRule="auto"/>
        <w:jc w:val="both"/>
        <w:rPr>
          <w:lang w:val="fr-FR"/>
        </w:rPr>
      </w:pPr>
      <w:r w:rsidRPr="00F02792">
        <w:rPr>
          <w:lang w:val="fr-FR"/>
        </w:rPr>
        <w:t>L</w:t>
      </w:r>
      <w:r w:rsidR="00BB76F1">
        <w:rPr>
          <w:lang w:val="fr-FR"/>
        </w:rPr>
        <w:t>’</w:t>
      </w:r>
      <w:r w:rsidRPr="00F02792">
        <w:rPr>
          <w:lang w:val="fr-FR"/>
        </w:rPr>
        <w:t>absence de règles claires en matière d</w:t>
      </w:r>
      <w:r w:rsidR="00BB76F1">
        <w:rPr>
          <w:lang w:val="fr-FR"/>
        </w:rPr>
        <w:t>’</w:t>
      </w:r>
      <w:r w:rsidRPr="00F02792">
        <w:rPr>
          <w:lang w:val="fr-FR"/>
        </w:rPr>
        <w:t xml:space="preserve">incidents </w:t>
      </w:r>
      <w:r w:rsidR="00A931B1" w:rsidRPr="00F02792">
        <w:rPr>
          <w:lang w:val="fr-FR"/>
        </w:rPr>
        <w:t xml:space="preserve">de répartition </w:t>
      </w:r>
      <w:r w:rsidR="00FB2C88" w:rsidRPr="00F02792">
        <w:rPr>
          <w:lang w:val="fr-FR"/>
        </w:rPr>
        <w:t xml:space="preserve">conduit à une solution </w:t>
      </w:r>
      <w:r w:rsidR="0097210F" w:rsidRPr="00F02792">
        <w:rPr>
          <w:lang w:val="fr-FR"/>
        </w:rPr>
        <w:t xml:space="preserve">paradoxale. </w:t>
      </w:r>
      <w:r w:rsidR="0097210F" w:rsidRPr="00F02792">
        <w:rPr>
          <w:color w:val="141215"/>
          <w:lang w:val="fr-FR"/>
        </w:rPr>
        <w:t>Selon la jurisprudence, « la chambre civile [du Tribunal d</w:t>
      </w:r>
      <w:r w:rsidR="00BB76F1">
        <w:rPr>
          <w:color w:val="141215"/>
          <w:lang w:val="fr-FR"/>
        </w:rPr>
        <w:t>’</w:t>
      </w:r>
      <w:r w:rsidR="0097210F" w:rsidRPr="00F02792">
        <w:rPr>
          <w:color w:val="141215"/>
          <w:lang w:val="fr-FR"/>
        </w:rPr>
        <w:t>arrondissement] ne peut pas se déclarer incompétente pour connaître de l</w:t>
      </w:r>
      <w:r w:rsidR="00BB76F1">
        <w:rPr>
          <w:color w:val="141215"/>
          <w:lang w:val="fr-FR"/>
        </w:rPr>
        <w:t>’</w:t>
      </w:r>
      <w:r w:rsidR="0097210F" w:rsidRPr="00F02792">
        <w:rPr>
          <w:color w:val="141215"/>
          <w:lang w:val="fr-FR"/>
        </w:rPr>
        <w:t>affaire au motif que celle-ci est de nature commerciale »</w:t>
      </w:r>
      <w:r w:rsidR="0097210F" w:rsidRPr="00F02792">
        <w:rPr>
          <w:rStyle w:val="Appelnotedebasdep"/>
          <w:color w:val="141215"/>
          <w:lang w:val="fr-FR"/>
        </w:rPr>
        <w:footnoteReference w:id="31"/>
      </w:r>
      <w:r w:rsidR="0097210F" w:rsidRPr="00F02792">
        <w:rPr>
          <w:color w:val="141215"/>
          <w:lang w:val="fr-FR"/>
        </w:rPr>
        <w:t xml:space="preserve">. </w:t>
      </w:r>
      <w:r w:rsidR="0097210F" w:rsidRPr="00F02792">
        <w:rPr>
          <w:lang w:val="fr-FR"/>
        </w:rPr>
        <w:t>En revanche, et bien qu</w:t>
      </w:r>
      <w:r w:rsidR="00BB76F1">
        <w:rPr>
          <w:lang w:val="fr-FR"/>
        </w:rPr>
        <w:t>’</w:t>
      </w:r>
      <w:r w:rsidR="0097210F" w:rsidRPr="00F02792">
        <w:rPr>
          <w:lang w:val="fr-FR"/>
        </w:rPr>
        <w:t>il s</w:t>
      </w:r>
      <w:r w:rsidR="00BB76F1">
        <w:rPr>
          <w:lang w:val="fr-FR"/>
        </w:rPr>
        <w:t>’</w:t>
      </w:r>
      <w:r w:rsidR="0097210F" w:rsidRPr="00F02792">
        <w:rPr>
          <w:lang w:val="fr-FR"/>
        </w:rPr>
        <w:t>agisse d</w:t>
      </w:r>
      <w:r w:rsidR="00BB76F1">
        <w:rPr>
          <w:lang w:val="fr-FR"/>
        </w:rPr>
        <w:t>’</w:t>
      </w:r>
      <w:r w:rsidR="0097210F" w:rsidRPr="00F02792">
        <w:rPr>
          <w:lang w:val="fr-FR"/>
        </w:rPr>
        <w:t>une « section » dans le cas du tribunal de la jeunesse et des tutelles (article 15 LOJ) et de « magistrats » pour le juge aux affaires familiales (article 15-1 LOJ), le tout regroupé dans le chapitre 2 de la Loi sur l</w:t>
      </w:r>
      <w:r w:rsidR="00BB76F1">
        <w:rPr>
          <w:lang w:val="fr-FR"/>
        </w:rPr>
        <w:t>’</w:t>
      </w:r>
      <w:r w:rsidR="00A84C3C" w:rsidRPr="00F02792">
        <w:rPr>
          <w:lang w:val="fr-FR"/>
        </w:rPr>
        <w:t>O</w:t>
      </w:r>
      <w:r w:rsidR="0097210F" w:rsidRPr="00F02792">
        <w:rPr>
          <w:lang w:val="fr-FR"/>
        </w:rPr>
        <w:t>rganisation judiciaire consacré aux Tribunaux d</w:t>
      </w:r>
      <w:r w:rsidR="00BB76F1">
        <w:rPr>
          <w:lang w:val="fr-FR"/>
        </w:rPr>
        <w:t>’</w:t>
      </w:r>
      <w:r w:rsidR="0097210F" w:rsidRPr="00F02792">
        <w:rPr>
          <w:lang w:val="fr-FR"/>
        </w:rPr>
        <w:t>arrondissement, la jurisprudence y voit des incidents de compétence aux conséquences dramatiques pour les parties</w:t>
      </w:r>
      <w:r w:rsidR="00B3544F" w:rsidRPr="00F02792">
        <w:rPr>
          <w:lang w:val="fr-FR"/>
        </w:rPr>
        <w:t xml:space="preserve"> puisqu</w:t>
      </w:r>
      <w:r w:rsidR="00BB76F1">
        <w:rPr>
          <w:lang w:val="fr-FR"/>
        </w:rPr>
        <w:t>’</w:t>
      </w:r>
      <w:r w:rsidR="00B3544F" w:rsidRPr="00F02792">
        <w:rPr>
          <w:lang w:val="fr-FR"/>
        </w:rPr>
        <w:t xml:space="preserve">il est mis </w:t>
      </w:r>
      <w:r w:rsidR="00A06E36" w:rsidRPr="00F02792">
        <w:rPr>
          <w:lang w:val="fr-FR"/>
        </w:rPr>
        <w:t>fin à l</w:t>
      </w:r>
      <w:r w:rsidR="00BB76F1">
        <w:rPr>
          <w:lang w:val="fr-FR"/>
        </w:rPr>
        <w:t>’</w:t>
      </w:r>
      <w:r w:rsidR="00A06E36" w:rsidRPr="00F02792">
        <w:rPr>
          <w:lang w:val="fr-FR"/>
        </w:rPr>
        <w:t xml:space="preserve">instance </w:t>
      </w:r>
      <w:r w:rsidR="003D2A70" w:rsidRPr="00F02792">
        <w:rPr>
          <w:lang w:val="fr-FR"/>
        </w:rPr>
        <w:t xml:space="preserve">alors </w:t>
      </w:r>
      <w:r w:rsidR="00371CFA" w:rsidRPr="00F02792">
        <w:rPr>
          <w:lang w:val="fr-FR"/>
        </w:rPr>
        <w:t>qu</w:t>
      </w:r>
      <w:r w:rsidR="00BB76F1">
        <w:rPr>
          <w:lang w:val="fr-FR"/>
        </w:rPr>
        <w:t>’</w:t>
      </w:r>
      <w:r w:rsidR="00371CFA" w:rsidRPr="00F02792">
        <w:rPr>
          <w:lang w:val="fr-FR"/>
        </w:rPr>
        <w:t xml:space="preserve">un </w:t>
      </w:r>
      <w:r w:rsidR="006626B5" w:rsidRPr="00F02792">
        <w:rPr>
          <w:lang w:val="fr-FR"/>
        </w:rPr>
        <w:t>renvoi</w:t>
      </w:r>
      <w:r w:rsidR="00E41428" w:rsidRPr="00F02792">
        <w:rPr>
          <w:lang w:val="fr-FR"/>
        </w:rPr>
        <w:t xml:space="preserve"> à la chambre</w:t>
      </w:r>
      <w:r w:rsidR="007D54CA" w:rsidRPr="00F02792">
        <w:rPr>
          <w:lang w:val="fr-FR"/>
        </w:rPr>
        <w:t xml:space="preserve"> compétente </w:t>
      </w:r>
      <w:r w:rsidR="005B0B7F" w:rsidRPr="00F02792">
        <w:rPr>
          <w:lang w:val="fr-FR"/>
        </w:rPr>
        <w:t>suffi</w:t>
      </w:r>
      <w:r w:rsidR="001A0D1C" w:rsidRPr="00F02792">
        <w:rPr>
          <w:lang w:val="fr-FR"/>
        </w:rPr>
        <w:t>rait</w:t>
      </w:r>
      <w:r w:rsidR="005B0B7F" w:rsidRPr="00F02792">
        <w:rPr>
          <w:lang w:val="fr-FR"/>
        </w:rPr>
        <w:t xml:space="preserve"> à résoudre </w:t>
      </w:r>
      <w:r w:rsidR="00EF027F" w:rsidRPr="00F02792">
        <w:rPr>
          <w:lang w:val="fr-FR"/>
        </w:rPr>
        <w:t xml:space="preserve">la difficulté. </w:t>
      </w:r>
      <w:r w:rsidR="0017085A" w:rsidRPr="00F02792">
        <w:rPr>
          <w:lang w:val="fr-FR"/>
        </w:rPr>
        <w:t>Le renvoi au sein du même Tribunal d</w:t>
      </w:r>
      <w:r w:rsidR="00BB76F1">
        <w:rPr>
          <w:lang w:val="fr-FR"/>
        </w:rPr>
        <w:t>’</w:t>
      </w:r>
      <w:r w:rsidR="0017085A" w:rsidRPr="00F02792">
        <w:rPr>
          <w:lang w:val="fr-FR"/>
        </w:rPr>
        <w:t>arrondissement ne para</w:t>
      </w:r>
      <w:r w:rsidR="003E3CEB" w:rsidRPr="00F02792">
        <w:rPr>
          <w:lang w:val="fr-FR"/>
        </w:rPr>
        <w:t>î</w:t>
      </w:r>
      <w:r w:rsidR="0017085A" w:rsidRPr="00F02792">
        <w:rPr>
          <w:lang w:val="fr-FR"/>
        </w:rPr>
        <w:t>t pourtant pas si complexe</w:t>
      </w:r>
      <w:r w:rsidR="0017085A" w:rsidRPr="00F02792">
        <w:rPr>
          <w:rStyle w:val="Appelnotedebasdep"/>
          <w:lang w:val="fr-FR"/>
        </w:rPr>
        <w:footnoteReference w:id="32"/>
      </w:r>
      <w:r w:rsidR="0017085A" w:rsidRPr="00F02792">
        <w:rPr>
          <w:lang w:val="fr-FR"/>
        </w:rPr>
        <w:t>.</w:t>
      </w:r>
    </w:p>
    <w:p w14:paraId="4D0D3C99" w14:textId="0FDA91A0" w:rsidR="00812621" w:rsidRPr="00F02792" w:rsidRDefault="00812621" w:rsidP="0097210F">
      <w:pPr>
        <w:spacing w:line="276" w:lineRule="auto"/>
        <w:jc w:val="both"/>
        <w:rPr>
          <w:lang w:val="fr-FR"/>
        </w:rPr>
      </w:pPr>
    </w:p>
    <w:p w14:paraId="4F116B02" w14:textId="143165F7" w:rsidR="00812621" w:rsidRPr="00F02792" w:rsidRDefault="00812621" w:rsidP="0097210F">
      <w:pPr>
        <w:spacing w:line="276" w:lineRule="auto"/>
        <w:jc w:val="both"/>
        <w:rPr>
          <w:lang w:val="fr-FR"/>
        </w:rPr>
      </w:pPr>
      <w:r w:rsidRPr="00F02792">
        <w:rPr>
          <w:lang w:val="fr-FR"/>
        </w:rPr>
        <w:t xml:space="preserve">Les mêmes interrogations peuvent </w:t>
      </w:r>
      <w:r w:rsidR="00E422AE" w:rsidRPr="00F02792">
        <w:rPr>
          <w:lang w:val="fr-FR"/>
        </w:rPr>
        <w:t xml:space="preserve">se poser </w:t>
      </w:r>
      <w:r w:rsidR="0018752D" w:rsidRPr="00F02792">
        <w:rPr>
          <w:lang w:val="fr-FR"/>
        </w:rPr>
        <w:t>pour</w:t>
      </w:r>
      <w:r w:rsidR="00E422AE" w:rsidRPr="00F02792">
        <w:rPr>
          <w:lang w:val="fr-FR"/>
        </w:rPr>
        <w:t xml:space="preserve"> la Justice de paix </w:t>
      </w:r>
      <w:r w:rsidR="0018752D" w:rsidRPr="00F02792">
        <w:rPr>
          <w:lang w:val="fr-FR"/>
        </w:rPr>
        <w:t xml:space="preserve">et le Tribunal du travail. </w:t>
      </w:r>
      <w:r w:rsidR="00FE4787" w:rsidRPr="00F02792">
        <w:rPr>
          <w:lang w:val="fr-FR"/>
        </w:rPr>
        <w:t>Même si la loi du 13 mai 2008 portant statut unique pour les salariés du secteur privé a abrogé les sections « ouvriers » et « employés privés », souvenons-nous que les deux sections du même Tribunal du travail étaient considérées comme des juridictions autonomes</w:t>
      </w:r>
      <w:r w:rsidR="001E1043" w:rsidRPr="00F02792">
        <w:rPr>
          <w:rStyle w:val="Appelnotedebasdep"/>
          <w:lang w:val="fr-FR"/>
        </w:rPr>
        <w:footnoteReference w:id="33"/>
      </w:r>
      <w:r w:rsidR="00FE4787" w:rsidRPr="00F02792">
        <w:rPr>
          <w:lang w:val="fr-FR"/>
        </w:rPr>
        <w:t> ! Ceci démontre que la compétence juridictionnelle n</w:t>
      </w:r>
      <w:r w:rsidR="00BB76F1">
        <w:rPr>
          <w:lang w:val="fr-FR"/>
        </w:rPr>
        <w:t>’</w:t>
      </w:r>
      <w:r w:rsidR="00FE4787" w:rsidRPr="00F02792">
        <w:rPr>
          <w:lang w:val="fr-FR"/>
        </w:rPr>
        <w:t>est pas comprise et qu</w:t>
      </w:r>
      <w:r w:rsidR="00BB76F1">
        <w:rPr>
          <w:lang w:val="fr-FR"/>
        </w:rPr>
        <w:t>’</w:t>
      </w:r>
      <w:r w:rsidR="00FE4787" w:rsidRPr="00F02792">
        <w:rPr>
          <w:lang w:val="fr-FR"/>
        </w:rPr>
        <w:t xml:space="preserve">il importerait de faire une place aux incidents de répartition. </w:t>
      </w:r>
      <w:r w:rsidR="000663C5" w:rsidRPr="00F02792">
        <w:rPr>
          <w:lang w:val="fr-FR"/>
        </w:rPr>
        <w:t>Et l</w:t>
      </w:r>
      <w:r w:rsidR="00BB76F1">
        <w:rPr>
          <w:lang w:val="fr-FR"/>
        </w:rPr>
        <w:t>’</w:t>
      </w:r>
      <w:r w:rsidR="000663C5" w:rsidRPr="00F02792">
        <w:rPr>
          <w:lang w:val="fr-FR"/>
        </w:rPr>
        <w:t>on ne sera pas surpris que la</w:t>
      </w:r>
      <w:r w:rsidR="009838FA" w:rsidRPr="00F02792">
        <w:rPr>
          <w:lang w:val="fr-FR"/>
        </w:rPr>
        <w:t xml:space="preserve"> Cour d</w:t>
      </w:r>
      <w:r w:rsidR="00BB76F1">
        <w:rPr>
          <w:lang w:val="fr-FR"/>
        </w:rPr>
        <w:t>’</w:t>
      </w:r>
      <w:r w:rsidR="009838FA" w:rsidRPr="00F02792">
        <w:rPr>
          <w:lang w:val="fr-FR"/>
        </w:rPr>
        <w:t xml:space="preserve">appel rappelle </w:t>
      </w:r>
      <w:r w:rsidR="0092043D" w:rsidRPr="00F02792">
        <w:rPr>
          <w:lang w:val="fr-FR"/>
        </w:rPr>
        <w:t>qu</w:t>
      </w:r>
      <w:r w:rsidR="00BB76F1">
        <w:rPr>
          <w:lang w:val="fr-FR"/>
        </w:rPr>
        <w:t>’</w:t>
      </w:r>
      <w:r w:rsidR="00134615" w:rsidRPr="00F02792">
        <w:rPr>
          <w:lang w:val="fr-FR"/>
        </w:rPr>
        <w:t> « </w:t>
      </w:r>
      <w:r w:rsidR="00392708" w:rsidRPr="00F02792">
        <w:rPr>
          <w:lang w:val="fr-FR"/>
        </w:rPr>
        <w:t xml:space="preserve">il y a lieu </w:t>
      </w:r>
      <w:r w:rsidR="00516682" w:rsidRPr="00F02792">
        <w:rPr>
          <w:lang w:val="fr-FR"/>
        </w:rPr>
        <w:t xml:space="preserve">de </w:t>
      </w:r>
      <w:r w:rsidR="00503A5C" w:rsidRPr="00F02792">
        <w:rPr>
          <w:lang w:val="fr-FR"/>
        </w:rPr>
        <w:t xml:space="preserve">relever </w:t>
      </w:r>
      <w:r w:rsidR="00865464" w:rsidRPr="00F02792">
        <w:rPr>
          <w:lang w:val="fr-FR"/>
        </w:rPr>
        <w:t xml:space="preserve">que </w:t>
      </w:r>
      <w:r w:rsidR="00414BA0" w:rsidRPr="00F02792">
        <w:rPr>
          <w:lang w:val="fr-FR"/>
        </w:rPr>
        <w:t xml:space="preserve">le </w:t>
      </w:r>
      <w:r w:rsidR="00037147" w:rsidRPr="00F02792">
        <w:rPr>
          <w:lang w:val="fr-FR"/>
        </w:rPr>
        <w:t xml:space="preserve">tribunal du travail et la justice de paix </w:t>
      </w:r>
      <w:r w:rsidR="005B70E1" w:rsidRPr="00F02792">
        <w:rPr>
          <w:lang w:val="fr-FR"/>
        </w:rPr>
        <w:t xml:space="preserve">constituent deux juridictions distinctes </w:t>
      </w:r>
      <w:r w:rsidR="00C46B35" w:rsidRPr="00F02792">
        <w:rPr>
          <w:lang w:val="fr-FR"/>
        </w:rPr>
        <w:t xml:space="preserve">et autonomes, même si </w:t>
      </w:r>
      <w:r w:rsidR="003A12CA" w:rsidRPr="00F02792">
        <w:rPr>
          <w:lang w:val="fr-FR"/>
        </w:rPr>
        <w:t>le service des tribunaux</w:t>
      </w:r>
      <w:r w:rsidR="00B33608" w:rsidRPr="00F02792">
        <w:rPr>
          <w:lang w:val="fr-FR"/>
        </w:rPr>
        <w:t xml:space="preserve"> du travail </w:t>
      </w:r>
      <w:r w:rsidR="000D1E55" w:rsidRPr="00F02792">
        <w:rPr>
          <w:lang w:val="fr-FR"/>
        </w:rPr>
        <w:t xml:space="preserve">est </w:t>
      </w:r>
      <w:r w:rsidR="00E5107D" w:rsidRPr="00F02792">
        <w:rPr>
          <w:lang w:val="fr-FR"/>
        </w:rPr>
        <w:t>assuré par les juges de paix</w:t>
      </w:r>
      <w:r w:rsidR="001054E3" w:rsidRPr="00F02792">
        <w:rPr>
          <w:lang w:val="fr-FR"/>
        </w:rPr>
        <w:t xml:space="preserve"> et les </w:t>
      </w:r>
      <w:r w:rsidR="00F129D9" w:rsidRPr="00F02792">
        <w:rPr>
          <w:lang w:val="fr-FR"/>
        </w:rPr>
        <w:t xml:space="preserve">greffes </w:t>
      </w:r>
      <w:r w:rsidR="0073738D" w:rsidRPr="00F02792">
        <w:rPr>
          <w:lang w:val="fr-FR"/>
        </w:rPr>
        <w:t xml:space="preserve">des </w:t>
      </w:r>
      <w:r w:rsidR="008057B1" w:rsidRPr="00F02792">
        <w:rPr>
          <w:lang w:val="fr-FR"/>
        </w:rPr>
        <w:t>tribunaux de paix »</w:t>
      </w:r>
      <w:r w:rsidR="0050153B" w:rsidRPr="00F02792">
        <w:rPr>
          <w:rStyle w:val="Appelnotedebasdep"/>
          <w:lang w:val="fr-FR"/>
        </w:rPr>
        <w:footnoteReference w:id="34"/>
      </w:r>
      <w:r w:rsidR="008057B1" w:rsidRPr="00F02792">
        <w:rPr>
          <w:lang w:val="fr-FR"/>
        </w:rPr>
        <w:t xml:space="preserve">. </w:t>
      </w:r>
      <w:r w:rsidR="00003E78" w:rsidRPr="00F02792">
        <w:rPr>
          <w:lang w:val="fr-FR"/>
        </w:rPr>
        <w:t xml:space="preserve">Cependant </w:t>
      </w:r>
      <w:r w:rsidR="00D348BA" w:rsidRPr="00F02792">
        <w:rPr>
          <w:lang w:val="fr-FR"/>
        </w:rPr>
        <w:t>les</w:t>
      </w:r>
      <w:r w:rsidR="00993E52" w:rsidRPr="00F02792">
        <w:rPr>
          <w:lang w:val="fr-FR"/>
        </w:rPr>
        <w:t xml:space="preserve"> juges </w:t>
      </w:r>
      <w:r w:rsidR="00C04DD2" w:rsidRPr="00F02792">
        <w:rPr>
          <w:lang w:val="fr-FR"/>
        </w:rPr>
        <w:t xml:space="preserve">du fond </w:t>
      </w:r>
      <w:r w:rsidR="00D348BA" w:rsidRPr="00F02792">
        <w:rPr>
          <w:lang w:val="fr-FR"/>
        </w:rPr>
        <w:t xml:space="preserve">ont pu </w:t>
      </w:r>
      <w:r w:rsidR="000B6D6A" w:rsidRPr="00F02792">
        <w:rPr>
          <w:lang w:val="fr-FR"/>
        </w:rPr>
        <w:t xml:space="preserve">reconnaître </w:t>
      </w:r>
      <w:r w:rsidR="00D26853" w:rsidRPr="00F02792">
        <w:rPr>
          <w:lang w:val="fr-FR"/>
        </w:rPr>
        <w:t xml:space="preserve">une </w:t>
      </w:r>
      <w:r w:rsidR="00A958D4" w:rsidRPr="00F02792">
        <w:rPr>
          <w:lang w:val="fr-FR"/>
        </w:rPr>
        <w:t>compétence « de la juridiction du travail</w:t>
      </w:r>
      <w:r w:rsidR="004E375A" w:rsidRPr="00F02792">
        <w:rPr>
          <w:lang w:val="fr-FR"/>
        </w:rPr>
        <w:t xml:space="preserve"> relevant de la justice </w:t>
      </w:r>
      <w:r w:rsidR="00D84D60" w:rsidRPr="00F02792">
        <w:rPr>
          <w:lang w:val="fr-FR"/>
        </w:rPr>
        <w:t>de paix</w:t>
      </w:r>
      <w:r w:rsidR="00CD1C43" w:rsidRPr="00F02792">
        <w:rPr>
          <w:lang w:val="fr-FR"/>
        </w:rPr>
        <w:t> » qui ne para</w:t>
      </w:r>
      <w:r w:rsidR="008C2416" w:rsidRPr="00F02792">
        <w:rPr>
          <w:lang w:val="fr-FR"/>
        </w:rPr>
        <w:t>î</w:t>
      </w:r>
      <w:r w:rsidR="00CD1C43" w:rsidRPr="00F02792">
        <w:rPr>
          <w:lang w:val="fr-FR"/>
        </w:rPr>
        <w:t xml:space="preserve">t pas </w:t>
      </w:r>
      <w:r w:rsidR="00F078CF" w:rsidRPr="00F02792">
        <w:rPr>
          <w:lang w:val="fr-FR"/>
        </w:rPr>
        <w:t xml:space="preserve">aussi </w:t>
      </w:r>
      <w:r w:rsidR="0070181A" w:rsidRPr="00F02792">
        <w:rPr>
          <w:lang w:val="fr-FR"/>
        </w:rPr>
        <w:t xml:space="preserve">critiquable que </w:t>
      </w:r>
      <w:r w:rsidR="0087065E" w:rsidRPr="00F02792">
        <w:rPr>
          <w:lang w:val="fr-FR"/>
        </w:rPr>
        <w:t>l</w:t>
      </w:r>
      <w:r w:rsidR="00BB76F1">
        <w:rPr>
          <w:lang w:val="fr-FR"/>
        </w:rPr>
        <w:t>’</w:t>
      </w:r>
      <w:r w:rsidR="0087065E" w:rsidRPr="00F02792">
        <w:rPr>
          <w:lang w:val="fr-FR"/>
        </w:rPr>
        <w:t>affirme la Cour d</w:t>
      </w:r>
      <w:r w:rsidR="00BB76F1">
        <w:rPr>
          <w:lang w:val="fr-FR"/>
        </w:rPr>
        <w:t>’</w:t>
      </w:r>
      <w:r w:rsidR="0087065E" w:rsidRPr="00F02792">
        <w:rPr>
          <w:lang w:val="fr-FR"/>
        </w:rPr>
        <w:t>appel</w:t>
      </w:r>
      <w:r w:rsidR="008E593F" w:rsidRPr="00F02792">
        <w:rPr>
          <w:rStyle w:val="Appelnotedebasdep"/>
          <w:lang w:val="fr-FR"/>
        </w:rPr>
        <w:footnoteReference w:id="35"/>
      </w:r>
      <w:r w:rsidR="0087065E" w:rsidRPr="00F02792">
        <w:rPr>
          <w:lang w:val="fr-FR"/>
        </w:rPr>
        <w:t xml:space="preserve">. </w:t>
      </w:r>
      <w:r w:rsidR="00130284" w:rsidRPr="00F02792">
        <w:rPr>
          <w:lang w:val="fr-FR"/>
        </w:rPr>
        <w:t>Il ne s</w:t>
      </w:r>
      <w:r w:rsidR="00BB76F1">
        <w:rPr>
          <w:lang w:val="fr-FR"/>
        </w:rPr>
        <w:t>’</w:t>
      </w:r>
      <w:r w:rsidR="00130284" w:rsidRPr="00F02792">
        <w:rPr>
          <w:lang w:val="fr-FR"/>
        </w:rPr>
        <w:t xml:space="preserve">agit pas de </w:t>
      </w:r>
      <w:r w:rsidR="00DA5318" w:rsidRPr="00F02792">
        <w:rPr>
          <w:lang w:val="fr-FR"/>
        </w:rPr>
        <w:t xml:space="preserve">dire </w:t>
      </w:r>
      <w:r w:rsidR="00DF2592" w:rsidRPr="00F02792">
        <w:rPr>
          <w:lang w:val="fr-FR"/>
        </w:rPr>
        <w:t xml:space="preserve">que </w:t>
      </w:r>
      <w:r w:rsidR="00523763" w:rsidRPr="00F02792">
        <w:rPr>
          <w:lang w:val="fr-FR"/>
        </w:rPr>
        <w:t xml:space="preserve">la Justice de paix </w:t>
      </w:r>
      <w:r w:rsidR="00B73C40" w:rsidRPr="00F02792">
        <w:rPr>
          <w:lang w:val="fr-FR"/>
        </w:rPr>
        <w:t xml:space="preserve">et </w:t>
      </w:r>
      <w:r w:rsidR="007C357A" w:rsidRPr="00F02792">
        <w:rPr>
          <w:lang w:val="fr-FR"/>
        </w:rPr>
        <w:t xml:space="preserve">le Tribunal du travail </w:t>
      </w:r>
      <w:r w:rsidR="00185E71" w:rsidRPr="00F02792">
        <w:rPr>
          <w:lang w:val="fr-FR"/>
        </w:rPr>
        <w:t>ne sont pas des juges distincts</w:t>
      </w:r>
      <w:r w:rsidR="00246AE7" w:rsidRPr="00F02792">
        <w:rPr>
          <w:lang w:val="fr-FR"/>
        </w:rPr>
        <w:t xml:space="preserve">, mais </w:t>
      </w:r>
      <w:r w:rsidR="00E1779F" w:rsidRPr="00F02792">
        <w:rPr>
          <w:lang w:val="fr-FR"/>
        </w:rPr>
        <w:t>de s</w:t>
      </w:r>
      <w:r w:rsidR="00BB76F1">
        <w:rPr>
          <w:lang w:val="fr-FR"/>
        </w:rPr>
        <w:t>’</w:t>
      </w:r>
      <w:r w:rsidR="00E1779F" w:rsidRPr="00F02792">
        <w:rPr>
          <w:lang w:val="fr-FR"/>
        </w:rPr>
        <w:t xml:space="preserve">interroger </w:t>
      </w:r>
      <w:r w:rsidR="00F812EF" w:rsidRPr="00F02792">
        <w:rPr>
          <w:lang w:val="fr-FR"/>
        </w:rPr>
        <w:t xml:space="preserve">sur </w:t>
      </w:r>
      <w:r w:rsidR="00C94319" w:rsidRPr="00F02792">
        <w:rPr>
          <w:lang w:val="fr-FR"/>
        </w:rPr>
        <w:t xml:space="preserve">la </w:t>
      </w:r>
      <w:r w:rsidR="00D418E9" w:rsidRPr="00F02792">
        <w:rPr>
          <w:lang w:val="fr-FR"/>
        </w:rPr>
        <w:t xml:space="preserve">pertinence </w:t>
      </w:r>
      <w:r w:rsidR="002215EA" w:rsidRPr="00F02792">
        <w:rPr>
          <w:lang w:val="fr-FR"/>
        </w:rPr>
        <w:t>d</w:t>
      </w:r>
      <w:r w:rsidR="00C6272D" w:rsidRPr="00F02792">
        <w:rPr>
          <w:lang w:val="fr-FR"/>
        </w:rPr>
        <w:t xml:space="preserve">e qualifier </w:t>
      </w:r>
      <w:r w:rsidR="003B0C95" w:rsidRPr="00F02792">
        <w:rPr>
          <w:lang w:val="fr-FR"/>
        </w:rPr>
        <w:t xml:space="preserve">les </w:t>
      </w:r>
      <w:r w:rsidR="006544E1" w:rsidRPr="00F02792">
        <w:rPr>
          <w:lang w:val="fr-FR"/>
        </w:rPr>
        <w:t xml:space="preserve">incidents </w:t>
      </w:r>
      <w:r w:rsidR="00D509F1" w:rsidRPr="00F02792">
        <w:rPr>
          <w:lang w:val="fr-FR"/>
        </w:rPr>
        <w:t xml:space="preserve">de conflits </w:t>
      </w:r>
      <w:r w:rsidR="006E5CCD" w:rsidRPr="00F02792">
        <w:rPr>
          <w:lang w:val="fr-FR"/>
        </w:rPr>
        <w:t xml:space="preserve">de répartition </w:t>
      </w:r>
      <w:r w:rsidR="00F35599" w:rsidRPr="00F02792">
        <w:rPr>
          <w:lang w:val="fr-FR"/>
        </w:rPr>
        <w:t xml:space="preserve">en lieu et place </w:t>
      </w:r>
      <w:r w:rsidR="0033280B" w:rsidRPr="00F02792">
        <w:rPr>
          <w:lang w:val="fr-FR"/>
        </w:rPr>
        <w:t>de conflits de juridictions.</w:t>
      </w:r>
      <w:r w:rsidR="003E790A" w:rsidRPr="00F02792">
        <w:rPr>
          <w:lang w:val="fr-FR"/>
        </w:rPr>
        <w:t xml:space="preserve"> </w:t>
      </w:r>
    </w:p>
    <w:p w14:paraId="61538ACE" w14:textId="5D00F845" w:rsidR="00EF027F" w:rsidRPr="00F02792" w:rsidRDefault="00EF027F" w:rsidP="0097210F">
      <w:pPr>
        <w:spacing w:line="276" w:lineRule="auto"/>
        <w:jc w:val="both"/>
        <w:rPr>
          <w:lang w:val="fr-FR"/>
        </w:rPr>
      </w:pPr>
    </w:p>
    <w:p w14:paraId="09415D70" w14:textId="3B1DED72" w:rsidR="00EF027F" w:rsidRPr="00F02792" w:rsidRDefault="00EF027F" w:rsidP="0097210F">
      <w:pPr>
        <w:spacing w:line="276" w:lineRule="auto"/>
        <w:jc w:val="both"/>
        <w:rPr>
          <w:lang w:val="fr-FR"/>
        </w:rPr>
      </w:pPr>
      <w:r w:rsidRPr="00F02792">
        <w:rPr>
          <w:lang w:val="fr-FR"/>
        </w:rPr>
        <w:t>L</w:t>
      </w:r>
      <w:r w:rsidR="00BB76F1">
        <w:rPr>
          <w:lang w:val="fr-FR"/>
        </w:rPr>
        <w:t>’</w:t>
      </w:r>
      <w:r w:rsidRPr="00F02792">
        <w:rPr>
          <w:lang w:val="fr-FR"/>
        </w:rPr>
        <w:t xml:space="preserve">incompétence </w:t>
      </w:r>
      <w:r w:rsidR="00C306CD" w:rsidRPr="00F02792">
        <w:rPr>
          <w:lang w:val="fr-FR"/>
        </w:rPr>
        <w:t xml:space="preserve">est comprise de manière </w:t>
      </w:r>
      <w:r w:rsidR="00BD3B16" w:rsidRPr="00F02792">
        <w:rPr>
          <w:lang w:val="fr-FR"/>
        </w:rPr>
        <w:t xml:space="preserve">trop large </w:t>
      </w:r>
      <w:r w:rsidR="006E1B6B" w:rsidRPr="00F02792">
        <w:rPr>
          <w:lang w:val="fr-FR"/>
        </w:rPr>
        <w:t xml:space="preserve">en incluant </w:t>
      </w:r>
      <w:r w:rsidR="001E0826" w:rsidRPr="00F02792">
        <w:rPr>
          <w:lang w:val="fr-FR"/>
        </w:rPr>
        <w:t xml:space="preserve">les incidents </w:t>
      </w:r>
      <w:r w:rsidR="00FC09C4" w:rsidRPr="00F02792">
        <w:rPr>
          <w:lang w:val="fr-FR"/>
        </w:rPr>
        <w:t xml:space="preserve">de répartition et </w:t>
      </w:r>
      <w:r w:rsidR="005066DE" w:rsidRPr="00F02792">
        <w:rPr>
          <w:lang w:val="fr-FR"/>
        </w:rPr>
        <w:t xml:space="preserve">est sanctionnée trop sévèrement </w:t>
      </w:r>
      <w:r w:rsidR="00CB554C" w:rsidRPr="00F02792">
        <w:rPr>
          <w:lang w:val="fr-FR"/>
        </w:rPr>
        <w:t>puisqu</w:t>
      </w:r>
      <w:r w:rsidR="00BB76F1">
        <w:rPr>
          <w:lang w:val="fr-FR"/>
        </w:rPr>
        <w:t>’</w:t>
      </w:r>
      <w:r w:rsidR="00CB554C" w:rsidRPr="00F02792">
        <w:rPr>
          <w:lang w:val="fr-FR"/>
        </w:rPr>
        <w:t xml:space="preserve">elle sanctionnée </w:t>
      </w:r>
      <w:r w:rsidR="00193F06" w:rsidRPr="00F02792">
        <w:rPr>
          <w:lang w:val="fr-FR"/>
        </w:rPr>
        <w:t xml:space="preserve">comme un défaut de pouvoir juridictionnel. </w:t>
      </w:r>
    </w:p>
    <w:p w14:paraId="28A87D42" w14:textId="62DA27DD" w:rsidR="0097210F" w:rsidRPr="00F02792" w:rsidRDefault="0097210F" w:rsidP="00C7313B">
      <w:pPr>
        <w:spacing w:line="276" w:lineRule="auto"/>
        <w:jc w:val="both"/>
        <w:rPr>
          <w:color w:val="000000" w:themeColor="text1"/>
          <w:lang w:val="fr-FR"/>
        </w:rPr>
      </w:pPr>
    </w:p>
    <w:p w14:paraId="6140C2CE" w14:textId="3D6F65B3" w:rsidR="00CA18D3" w:rsidRPr="00F02792" w:rsidRDefault="007B0116" w:rsidP="00CA18D3">
      <w:pPr>
        <w:spacing w:line="276" w:lineRule="auto"/>
        <w:jc w:val="both"/>
        <w:rPr>
          <w:b/>
          <w:bCs/>
          <w:color w:val="000000" w:themeColor="text1"/>
        </w:rPr>
      </w:pPr>
      <w:r w:rsidRPr="00F02792">
        <w:rPr>
          <w:b/>
          <w:bCs/>
          <w:color w:val="000000" w:themeColor="text1"/>
        </w:rPr>
        <w:t>C</w:t>
      </w:r>
      <w:r w:rsidR="00CA18D3" w:rsidRPr="00F02792">
        <w:rPr>
          <w:b/>
          <w:bCs/>
          <w:color w:val="000000" w:themeColor="text1"/>
        </w:rPr>
        <w:t>. Sanction identique pour l</w:t>
      </w:r>
      <w:r w:rsidR="00BB76F1">
        <w:rPr>
          <w:b/>
          <w:bCs/>
          <w:color w:val="000000" w:themeColor="text1"/>
        </w:rPr>
        <w:t>’</w:t>
      </w:r>
      <w:r w:rsidR="00CA18D3" w:rsidRPr="00F02792">
        <w:rPr>
          <w:b/>
          <w:bCs/>
          <w:color w:val="000000" w:themeColor="text1"/>
        </w:rPr>
        <w:t>incompétence et le défaut de pouvoir juridictionnel</w:t>
      </w:r>
    </w:p>
    <w:p w14:paraId="2D3D9323" w14:textId="6586B8FC" w:rsidR="00CA18D3" w:rsidRPr="00F02792" w:rsidRDefault="00CA18D3" w:rsidP="00CA18D3">
      <w:pPr>
        <w:spacing w:line="276" w:lineRule="auto"/>
        <w:jc w:val="both"/>
        <w:rPr>
          <w:color w:val="000000" w:themeColor="text1"/>
        </w:rPr>
      </w:pPr>
    </w:p>
    <w:p w14:paraId="7230C4BA" w14:textId="341B6FAF" w:rsidR="00670E84" w:rsidRPr="00F02792" w:rsidRDefault="00A74261" w:rsidP="001810A3">
      <w:pPr>
        <w:spacing w:line="276" w:lineRule="auto"/>
        <w:jc w:val="both"/>
        <w:rPr>
          <w:color w:val="000000" w:themeColor="text1"/>
          <w:shd w:val="clear" w:color="auto" w:fill="FFFFFF"/>
        </w:rPr>
      </w:pPr>
      <w:r w:rsidRPr="00F02792">
        <w:rPr>
          <w:lang w:val="fr-FR"/>
        </w:rPr>
        <w:t xml:space="preserve">Bien que Thierry Hoscheit </w:t>
      </w:r>
      <w:r w:rsidRPr="00F02792">
        <w:rPr>
          <w:color w:val="000000" w:themeColor="text1"/>
          <w:lang w:val="fr-FR"/>
        </w:rPr>
        <w:t>qualifie de « fondamentale » la distinction entre compétence et pouvoir</w:t>
      </w:r>
      <w:r w:rsidR="00EE38CD" w:rsidRPr="00F02792">
        <w:rPr>
          <w:color w:val="000000" w:themeColor="text1"/>
          <w:lang w:val="fr-FR"/>
        </w:rPr>
        <w:t xml:space="preserve"> et donc entre incompétence et irrec</w:t>
      </w:r>
      <w:r w:rsidR="007E2A9C" w:rsidRPr="00F02792">
        <w:rPr>
          <w:color w:val="000000" w:themeColor="text1"/>
          <w:lang w:val="fr-FR"/>
        </w:rPr>
        <w:t>ev</w:t>
      </w:r>
      <w:r w:rsidR="00EE38CD" w:rsidRPr="00F02792">
        <w:rPr>
          <w:color w:val="000000" w:themeColor="text1"/>
          <w:lang w:val="fr-FR"/>
        </w:rPr>
        <w:t>abilité</w:t>
      </w:r>
      <w:r w:rsidRPr="00F02792">
        <w:rPr>
          <w:lang w:val="fr-FR"/>
        </w:rPr>
        <w:t>, celle-ci est en réalité inopérante au Luxembourg puisque la sanction de l</w:t>
      </w:r>
      <w:r w:rsidR="00BB76F1">
        <w:rPr>
          <w:lang w:val="fr-FR"/>
        </w:rPr>
        <w:t>’</w:t>
      </w:r>
      <w:r w:rsidRPr="00F02792">
        <w:rPr>
          <w:lang w:val="fr-FR"/>
        </w:rPr>
        <w:t>incompétence ou du défaut de pouvoir est identique : la fin de l</w:t>
      </w:r>
      <w:r w:rsidR="00BB76F1">
        <w:rPr>
          <w:lang w:val="fr-FR"/>
        </w:rPr>
        <w:t>’</w:t>
      </w:r>
      <w:r w:rsidRPr="00F02792">
        <w:rPr>
          <w:lang w:val="fr-FR"/>
        </w:rPr>
        <w:t>instance</w:t>
      </w:r>
      <w:r w:rsidR="009F444A" w:rsidRPr="00F02792">
        <w:rPr>
          <w:rStyle w:val="Appelnotedebasdep"/>
          <w:lang w:val="fr-FR"/>
        </w:rPr>
        <w:footnoteReference w:id="36"/>
      </w:r>
      <w:r w:rsidRPr="00F02792">
        <w:rPr>
          <w:lang w:val="fr-FR"/>
        </w:rPr>
        <w:t>.</w:t>
      </w:r>
      <w:r w:rsidR="003E04FD" w:rsidRPr="00F02792">
        <w:rPr>
          <w:lang w:val="fr-FR"/>
        </w:rPr>
        <w:t xml:space="preserve"> Il est tout à fait singulier </w:t>
      </w:r>
      <w:r w:rsidR="00CC4F79" w:rsidRPr="00F02792">
        <w:rPr>
          <w:lang w:val="fr-FR"/>
        </w:rPr>
        <w:t>que bien qu</w:t>
      </w:r>
      <w:r w:rsidR="00BB76F1">
        <w:rPr>
          <w:lang w:val="fr-FR"/>
        </w:rPr>
        <w:t>’</w:t>
      </w:r>
      <w:r w:rsidR="00CC4F79" w:rsidRPr="00F02792">
        <w:rPr>
          <w:lang w:val="fr-FR"/>
        </w:rPr>
        <w:t xml:space="preserve">il soit distingué </w:t>
      </w:r>
      <w:r w:rsidR="00335CCC" w:rsidRPr="00F02792">
        <w:rPr>
          <w:lang w:val="fr-FR"/>
        </w:rPr>
        <w:t xml:space="preserve">entre compétence et pouvoir </w:t>
      </w:r>
      <w:r w:rsidR="00326962" w:rsidRPr="00F02792">
        <w:rPr>
          <w:lang w:val="fr-FR"/>
        </w:rPr>
        <w:t xml:space="preserve">aucune leçon </w:t>
      </w:r>
      <w:r w:rsidR="008A7272" w:rsidRPr="00F02792">
        <w:rPr>
          <w:lang w:val="fr-FR"/>
        </w:rPr>
        <w:t>n</w:t>
      </w:r>
      <w:r w:rsidR="00BB76F1">
        <w:rPr>
          <w:lang w:val="fr-FR"/>
        </w:rPr>
        <w:t>’</w:t>
      </w:r>
      <w:r w:rsidR="008A7272" w:rsidRPr="00F02792">
        <w:rPr>
          <w:lang w:val="fr-FR"/>
        </w:rPr>
        <w:t>en soit</w:t>
      </w:r>
      <w:r w:rsidR="009440F4" w:rsidRPr="00F02792">
        <w:rPr>
          <w:lang w:val="fr-FR"/>
        </w:rPr>
        <w:t xml:space="preserve"> </w:t>
      </w:r>
      <w:r w:rsidR="00326962" w:rsidRPr="00F02792">
        <w:rPr>
          <w:lang w:val="fr-FR"/>
        </w:rPr>
        <w:t xml:space="preserve">tirée </w:t>
      </w:r>
      <w:r w:rsidR="00BF19B2" w:rsidRPr="00F02792">
        <w:rPr>
          <w:lang w:val="fr-FR"/>
        </w:rPr>
        <w:t xml:space="preserve">du point de vue des sanctions. </w:t>
      </w:r>
      <w:r w:rsidR="00F81BAD" w:rsidRPr="00F02792">
        <w:rPr>
          <w:lang w:val="fr-FR"/>
        </w:rPr>
        <w:t>Le pouvoir juridict</w:t>
      </w:r>
      <w:r w:rsidR="00433C54" w:rsidRPr="00F02792">
        <w:rPr>
          <w:lang w:val="fr-FR"/>
        </w:rPr>
        <w:t>i</w:t>
      </w:r>
      <w:r w:rsidR="00F81BAD" w:rsidRPr="00F02792">
        <w:rPr>
          <w:lang w:val="fr-FR"/>
        </w:rPr>
        <w:t xml:space="preserve">onnel est mobilisé </w:t>
      </w:r>
      <w:r w:rsidR="002C5727" w:rsidRPr="00F02792">
        <w:rPr>
          <w:lang w:val="fr-FR"/>
        </w:rPr>
        <w:t xml:space="preserve">en matière de </w:t>
      </w:r>
      <w:r w:rsidR="00CA18D3" w:rsidRPr="00F02792">
        <w:rPr>
          <w:color w:val="000000" w:themeColor="text1"/>
          <w:lang w:val="fr-FR"/>
        </w:rPr>
        <w:t>référé</w:t>
      </w:r>
      <w:r w:rsidR="000876F5" w:rsidRPr="00F02792">
        <w:rPr>
          <w:rStyle w:val="Appelnotedebasdep"/>
          <w:color w:val="000000" w:themeColor="text1"/>
          <w:lang w:val="fr-FR"/>
        </w:rPr>
        <w:footnoteReference w:id="37"/>
      </w:r>
      <w:r w:rsidR="00427BEF" w:rsidRPr="00F02792">
        <w:rPr>
          <w:color w:val="000000" w:themeColor="text1"/>
          <w:lang w:val="fr-FR"/>
        </w:rPr>
        <w:t>.</w:t>
      </w:r>
      <w:r w:rsidR="00427BEF" w:rsidRPr="00F02792">
        <w:rPr>
          <w:b/>
          <w:bCs/>
          <w:color w:val="000000" w:themeColor="text1"/>
          <w:lang w:val="fr-FR"/>
        </w:rPr>
        <w:t xml:space="preserve"> </w:t>
      </w:r>
      <w:r w:rsidR="00CA18D3" w:rsidRPr="00F02792">
        <w:rPr>
          <w:color w:val="000000" w:themeColor="text1"/>
          <w:lang w:val="fr-FR"/>
        </w:rPr>
        <w:t>Ainsi « l</w:t>
      </w:r>
      <w:r w:rsidR="00CA18D3" w:rsidRPr="00F02792">
        <w:rPr>
          <w:color w:val="000000" w:themeColor="text1"/>
        </w:rPr>
        <w:t>e moyen soutenant qu</w:t>
      </w:r>
      <w:r w:rsidR="00BB76F1">
        <w:rPr>
          <w:color w:val="000000" w:themeColor="text1"/>
        </w:rPr>
        <w:t>’</w:t>
      </w:r>
      <w:r w:rsidR="00CA18D3" w:rsidRPr="00F02792">
        <w:rPr>
          <w:color w:val="000000" w:themeColor="text1"/>
        </w:rPr>
        <w:t>il n</w:t>
      </w:r>
      <w:r w:rsidR="00BB76F1">
        <w:rPr>
          <w:color w:val="000000" w:themeColor="text1"/>
        </w:rPr>
        <w:t>’</w:t>
      </w:r>
      <w:r w:rsidR="00CA18D3" w:rsidRPr="00F02792">
        <w:rPr>
          <w:color w:val="000000" w:themeColor="text1"/>
        </w:rPr>
        <w:t>y a pas lieu à référé en raison du défaut de la condition tenant à l</w:t>
      </w:r>
      <w:r w:rsidR="00BB76F1">
        <w:rPr>
          <w:color w:val="000000" w:themeColor="text1"/>
        </w:rPr>
        <w:t>’</w:t>
      </w:r>
      <w:r w:rsidR="00CA18D3" w:rsidRPr="00F02792">
        <w:rPr>
          <w:color w:val="000000" w:themeColor="text1"/>
        </w:rPr>
        <w:t>existence d</w:t>
      </w:r>
      <w:r w:rsidR="00BB76F1">
        <w:rPr>
          <w:color w:val="000000" w:themeColor="text1"/>
        </w:rPr>
        <w:t>’</w:t>
      </w:r>
      <w:r w:rsidR="00CA18D3" w:rsidRPr="00F02792">
        <w:rPr>
          <w:color w:val="000000" w:themeColor="text1"/>
        </w:rPr>
        <w:t>une obligation non sérieusement contestable ne constitue pas une exception d</w:t>
      </w:r>
      <w:r w:rsidR="00BB76F1">
        <w:rPr>
          <w:color w:val="000000" w:themeColor="text1"/>
        </w:rPr>
        <w:t>’</w:t>
      </w:r>
      <w:r w:rsidR="00CA18D3" w:rsidRPr="00F02792">
        <w:rPr>
          <w:color w:val="000000" w:themeColor="text1"/>
        </w:rPr>
        <w:t>incompétence, mais un moyen de nature à faire obstacle aux pouvoirs du juge des référés</w:t>
      </w:r>
      <w:r w:rsidR="00CA18D3" w:rsidRPr="00F02792">
        <w:rPr>
          <w:color w:val="000000" w:themeColor="text1"/>
          <w:lang w:val="fr-FR"/>
        </w:rPr>
        <w:t> »</w:t>
      </w:r>
      <w:r w:rsidR="00CA18D3" w:rsidRPr="00F02792">
        <w:rPr>
          <w:rStyle w:val="Appelnotedebasdep"/>
          <w:color w:val="000000" w:themeColor="text1"/>
          <w:lang w:val="fr-FR"/>
        </w:rPr>
        <w:footnoteReference w:id="38"/>
      </w:r>
      <w:r w:rsidR="00CA18D3" w:rsidRPr="00F02792">
        <w:rPr>
          <w:color w:val="000000" w:themeColor="text1"/>
          <w:lang w:val="fr-FR"/>
        </w:rPr>
        <w:t xml:space="preserve">. Ce cas doit être distingué de celui de la véritable </w:t>
      </w:r>
      <w:r w:rsidR="00CA18D3" w:rsidRPr="00F02792">
        <w:rPr>
          <w:color w:val="000000" w:themeColor="text1"/>
          <w:lang w:val="fr-FR"/>
        </w:rPr>
        <w:lastRenderedPageBreak/>
        <w:t>incompétence du juge des référés (en termes de concurrence). Les termes de l</w:t>
      </w:r>
      <w:r w:rsidR="00BB76F1">
        <w:rPr>
          <w:color w:val="000000" w:themeColor="text1"/>
          <w:lang w:val="fr-FR"/>
        </w:rPr>
        <w:t>’</w:t>
      </w:r>
      <w:r w:rsidR="00CA18D3" w:rsidRPr="00F02792">
        <w:rPr>
          <w:color w:val="000000" w:themeColor="text1"/>
          <w:lang w:val="fr-FR"/>
        </w:rPr>
        <w:t>arrêt de la Cour d</w:t>
      </w:r>
      <w:r w:rsidR="00BB76F1">
        <w:rPr>
          <w:color w:val="000000" w:themeColor="text1"/>
          <w:lang w:val="fr-FR"/>
        </w:rPr>
        <w:t>’</w:t>
      </w:r>
      <w:r w:rsidR="00CA18D3" w:rsidRPr="00F02792">
        <w:rPr>
          <w:color w:val="000000" w:themeColor="text1"/>
          <w:lang w:val="fr-FR"/>
        </w:rPr>
        <w:t>appel du 6 février 2019 illustrent cependant les incertitudes terminologiques de la jurisprudence : « </w:t>
      </w:r>
      <w:r w:rsidR="00CA18D3" w:rsidRPr="00F02792">
        <w:rPr>
          <w:color w:val="000000" w:themeColor="text1"/>
        </w:rPr>
        <w:t>La possibilité de saisir un</w:t>
      </w:r>
      <w:r w:rsidR="00CA18D3" w:rsidRPr="00F02792">
        <w:rPr>
          <w:rStyle w:val="apple-converted-space"/>
          <w:color w:val="000000" w:themeColor="text1"/>
        </w:rPr>
        <w:t> </w:t>
      </w:r>
      <w:r w:rsidR="00CA18D3" w:rsidRPr="00F02792">
        <w:rPr>
          <w:rStyle w:val="highlightdoc"/>
          <w:color w:val="000000" w:themeColor="text1"/>
        </w:rPr>
        <w:t>juge des référés</w:t>
      </w:r>
      <w:r w:rsidR="00CA18D3" w:rsidRPr="00F02792">
        <w:rPr>
          <w:rStyle w:val="apple-converted-space"/>
          <w:color w:val="000000" w:themeColor="text1"/>
        </w:rPr>
        <w:t> </w:t>
      </w:r>
      <w:r w:rsidR="00CA18D3" w:rsidRPr="00F02792">
        <w:rPr>
          <w:color w:val="000000" w:themeColor="text1"/>
        </w:rPr>
        <w:t>en parallèle d</w:t>
      </w:r>
      <w:r w:rsidR="00BB76F1">
        <w:rPr>
          <w:color w:val="000000" w:themeColor="text1"/>
        </w:rPr>
        <w:t>’</w:t>
      </w:r>
      <w:r w:rsidR="00CA18D3" w:rsidRPr="00F02792">
        <w:rPr>
          <w:color w:val="000000" w:themeColor="text1"/>
        </w:rPr>
        <w:t>une action au fond est exclue lorsqu</w:t>
      </w:r>
      <w:r w:rsidR="00BB76F1">
        <w:rPr>
          <w:color w:val="000000" w:themeColor="text1"/>
        </w:rPr>
        <w:t>’</w:t>
      </w:r>
      <w:r w:rsidR="00CA18D3" w:rsidRPr="00F02792">
        <w:rPr>
          <w:color w:val="000000" w:themeColor="text1"/>
        </w:rPr>
        <w:t>un juge du fond se voit attribuer une</w:t>
      </w:r>
      <w:r w:rsidR="00CA18D3" w:rsidRPr="00F02792">
        <w:rPr>
          <w:rStyle w:val="apple-converted-space"/>
          <w:color w:val="000000" w:themeColor="text1"/>
        </w:rPr>
        <w:t> </w:t>
      </w:r>
      <w:r w:rsidR="00CA18D3" w:rsidRPr="00F02792">
        <w:rPr>
          <w:rStyle w:val="highlightdoc"/>
          <w:color w:val="000000" w:themeColor="text1"/>
        </w:rPr>
        <w:t>compétence</w:t>
      </w:r>
      <w:r w:rsidR="00CA18D3" w:rsidRPr="00F02792">
        <w:rPr>
          <w:rStyle w:val="apple-converted-space"/>
          <w:color w:val="000000" w:themeColor="text1"/>
        </w:rPr>
        <w:t> </w:t>
      </w:r>
      <w:r w:rsidR="00CA18D3" w:rsidRPr="00F02792">
        <w:rPr>
          <w:color w:val="000000" w:themeColor="text1"/>
        </w:rPr>
        <w:t>exclusive de l</w:t>
      </w:r>
      <w:r w:rsidR="00BB76F1">
        <w:rPr>
          <w:color w:val="000000" w:themeColor="text1"/>
        </w:rPr>
        <w:t>’</w:t>
      </w:r>
      <w:r w:rsidR="00CA18D3" w:rsidRPr="00F02792">
        <w:rPr>
          <w:color w:val="000000" w:themeColor="text1"/>
        </w:rPr>
        <w:t>intervention du</w:t>
      </w:r>
      <w:r w:rsidR="00CA18D3" w:rsidRPr="00F02792">
        <w:rPr>
          <w:rStyle w:val="apple-converted-space"/>
          <w:color w:val="000000" w:themeColor="text1"/>
        </w:rPr>
        <w:t> </w:t>
      </w:r>
      <w:r w:rsidR="00CA18D3" w:rsidRPr="00F02792">
        <w:rPr>
          <w:rStyle w:val="highlightdoc"/>
          <w:color w:val="000000" w:themeColor="text1"/>
        </w:rPr>
        <w:t>juge des référés</w:t>
      </w:r>
      <w:r w:rsidR="00CA18D3" w:rsidRPr="00F02792">
        <w:rPr>
          <w:rStyle w:val="apple-converted-space"/>
          <w:color w:val="000000" w:themeColor="text1"/>
        </w:rPr>
        <w:t> </w:t>
      </w:r>
      <w:r w:rsidR="00CA18D3" w:rsidRPr="00F02792">
        <w:rPr>
          <w:color w:val="000000" w:themeColor="text1"/>
        </w:rPr>
        <w:t>ou des</w:t>
      </w:r>
      <w:r w:rsidR="00CA18D3" w:rsidRPr="00F02792">
        <w:rPr>
          <w:rStyle w:val="apple-converted-space"/>
          <w:color w:val="000000" w:themeColor="text1"/>
        </w:rPr>
        <w:t> </w:t>
      </w:r>
      <w:r w:rsidR="00CA18D3" w:rsidRPr="00F02792">
        <w:rPr>
          <w:rStyle w:val="highlightdoc"/>
          <w:color w:val="000000" w:themeColor="text1"/>
        </w:rPr>
        <w:t>pouvoirs</w:t>
      </w:r>
      <w:r w:rsidR="00CA18D3" w:rsidRPr="00F02792">
        <w:rPr>
          <w:rStyle w:val="apple-converted-space"/>
          <w:color w:val="000000" w:themeColor="text1"/>
        </w:rPr>
        <w:t> </w:t>
      </w:r>
      <w:r w:rsidR="00CA18D3" w:rsidRPr="00F02792">
        <w:rPr>
          <w:color w:val="000000" w:themeColor="text1"/>
        </w:rPr>
        <w:t>de référé. Divers exemples illustrent cette succession chronologique de</w:t>
      </w:r>
      <w:r w:rsidR="00CA18D3" w:rsidRPr="00F02792">
        <w:rPr>
          <w:rStyle w:val="apple-converted-space"/>
          <w:color w:val="000000" w:themeColor="text1"/>
        </w:rPr>
        <w:t> </w:t>
      </w:r>
      <w:r w:rsidR="00CA18D3" w:rsidRPr="00F02792">
        <w:rPr>
          <w:rStyle w:val="highlightdoc"/>
          <w:color w:val="000000" w:themeColor="text1"/>
        </w:rPr>
        <w:t>compétences</w:t>
      </w:r>
      <w:r w:rsidR="00CA18D3" w:rsidRPr="00F02792">
        <w:rPr>
          <w:rStyle w:val="apple-converted-space"/>
          <w:color w:val="000000" w:themeColor="text1"/>
        </w:rPr>
        <w:t> </w:t>
      </w:r>
      <w:r w:rsidR="00CA18D3" w:rsidRPr="00F02792">
        <w:rPr>
          <w:color w:val="000000" w:themeColor="text1"/>
        </w:rPr>
        <w:t>de référé, dans lesquels le juge du fond doté de</w:t>
      </w:r>
      <w:r w:rsidR="00CA18D3" w:rsidRPr="00F02792">
        <w:rPr>
          <w:rStyle w:val="apple-converted-space"/>
          <w:color w:val="000000" w:themeColor="text1"/>
        </w:rPr>
        <w:t> </w:t>
      </w:r>
      <w:r w:rsidR="00CA18D3" w:rsidRPr="00F02792">
        <w:rPr>
          <w:rStyle w:val="highlightdoc"/>
          <w:color w:val="000000" w:themeColor="text1"/>
        </w:rPr>
        <w:t>pouvoirs</w:t>
      </w:r>
      <w:r w:rsidR="00CA18D3" w:rsidRPr="00F02792">
        <w:rPr>
          <w:rStyle w:val="apple-converted-space"/>
          <w:color w:val="000000" w:themeColor="text1"/>
        </w:rPr>
        <w:t> </w:t>
      </w:r>
      <w:r w:rsidR="00CA18D3" w:rsidRPr="00F02792">
        <w:rPr>
          <w:color w:val="000000" w:themeColor="text1"/>
        </w:rPr>
        <w:t>de référé est seul</w:t>
      </w:r>
      <w:r w:rsidR="00CA18D3" w:rsidRPr="00F02792">
        <w:rPr>
          <w:rStyle w:val="apple-converted-space"/>
          <w:color w:val="000000" w:themeColor="text1"/>
        </w:rPr>
        <w:t> </w:t>
      </w:r>
      <w:r w:rsidR="00CA18D3" w:rsidRPr="00F02792">
        <w:rPr>
          <w:rStyle w:val="highlightdoc"/>
          <w:color w:val="000000" w:themeColor="text1"/>
        </w:rPr>
        <w:t>compétent</w:t>
      </w:r>
      <w:r w:rsidR="00CA18D3" w:rsidRPr="00F02792">
        <w:rPr>
          <w:rStyle w:val="apple-converted-space"/>
          <w:color w:val="000000" w:themeColor="text1"/>
        </w:rPr>
        <w:t> </w:t>
      </w:r>
      <w:r w:rsidR="00CA18D3" w:rsidRPr="00F02792">
        <w:rPr>
          <w:color w:val="000000" w:themeColor="text1"/>
        </w:rPr>
        <w:t>pour statuer à l</w:t>
      </w:r>
      <w:r w:rsidR="00BB76F1">
        <w:rPr>
          <w:color w:val="000000" w:themeColor="text1"/>
        </w:rPr>
        <w:t>’</w:t>
      </w:r>
      <w:r w:rsidR="00CA18D3" w:rsidRPr="00F02792">
        <w:rPr>
          <w:color w:val="000000" w:themeColor="text1"/>
        </w:rPr>
        <w:t>exclusion du</w:t>
      </w:r>
      <w:r w:rsidR="00CA18D3" w:rsidRPr="00F02792">
        <w:rPr>
          <w:rStyle w:val="apple-converted-space"/>
          <w:color w:val="000000" w:themeColor="text1"/>
        </w:rPr>
        <w:t> </w:t>
      </w:r>
      <w:r w:rsidR="00CA18D3" w:rsidRPr="00F02792">
        <w:rPr>
          <w:rStyle w:val="highlightdoc"/>
          <w:color w:val="000000" w:themeColor="text1"/>
        </w:rPr>
        <w:t>juge des référés</w:t>
      </w:r>
      <w:r w:rsidR="00CA18D3" w:rsidRPr="00F02792">
        <w:rPr>
          <w:rStyle w:val="apple-converted-space"/>
          <w:color w:val="000000" w:themeColor="text1"/>
        </w:rPr>
        <w:t> </w:t>
      </w:r>
      <w:r w:rsidR="00CA18D3" w:rsidRPr="00F02792">
        <w:rPr>
          <w:color w:val="000000" w:themeColor="text1"/>
        </w:rPr>
        <w:t>de droit commun »</w:t>
      </w:r>
      <w:r w:rsidR="00CA18D3" w:rsidRPr="00F02792">
        <w:rPr>
          <w:rStyle w:val="Appelnotedebasdep"/>
          <w:color w:val="000000" w:themeColor="text1"/>
        </w:rPr>
        <w:footnoteReference w:id="39"/>
      </w:r>
      <w:r w:rsidR="00CA18D3" w:rsidRPr="00F02792">
        <w:rPr>
          <w:color w:val="000000" w:themeColor="text1"/>
        </w:rPr>
        <w:t>. Thierry Hoscheit a également souligné que « </w:t>
      </w:r>
      <w:r w:rsidR="00CA18D3" w:rsidRPr="00F02792">
        <w:rPr>
          <w:color w:val="000000" w:themeColor="text1"/>
          <w:shd w:val="clear" w:color="auto" w:fill="FFFFFF"/>
        </w:rPr>
        <w:t>l</w:t>
      </w:r>
      <w:r w:rsidR="00BB76F1">
        <w:rPr>
          <w:color w:val="000000" w:themeColor="text1"/>
          <w:shd w:val="clear" w:color="auto" w:fill="FFFFFF"/>
        </w:rPr>
        <w:t>’</w:t>
      </w:r>
      <w:r w:rsidR="00CA18D3" w:rsidRPr="00F02792">
        <w:rPr>
          <w:color w:val="000000" w:themeColor="text1"/>
          <w:shd w:val="clear" w:color="auto" w:fill="FFFFFF"/>
        </w:rPr>
        <w:t>expérience montre qu</w:t>
      </w:r>
      <w:r w:rsidR="00BB76F1">
        <w:rPr>
          <w:color w:val="000000" w:themeColor="text1"/>
          <w:shd w:val="clear" w:color="auto" w:fill="FFFFFF"/>
        </w:rPr>
        <w:t>’</w:t>
      </w:r>
      <w:r w:rsidR="00CA18D3" w:rsidRPr="00F02792">
        <w:rPr>
          <w:color w:val="000000" w:themeColor="text1"/>
          <w:shd w:val="clear" w:color="auto" w:fill="FFFFFF"/>
        </w:rPr>
        <w:t>il règne souvent une grande confusion en ce qui concerne les </w:t>
      </w:r>
      <w:r w:rsidR="00CA18D3" w:rsidRPr="00F02792">
        <w:rPr>
          <w:color w:val="000000" w:themeColor="text1"/>
        </w:rPr>
        <w:t>compétences</w:t>
      </w:r>
      <w:r w:rsidR="00CA18D3" w:rsidRPr="00F02792">
        <w:rPr>
          <w:color w:val="000000" w:themeColor="text1"/>
          <w:shd w:val="clear" w:color="auto" w:fill="FFFFFF"/>
        </w:rPr>
        <w:t> et les </w:t>
      </w:r>
      <w:r w:rsidR="00CA18D3" w:rsidRPr="00F02792">
        <w:rPr>
          <w:color w:val="000000" w:themeColor="text1"/>
        </w:rPr>
        <w:t>pouvoirs</w:t>
      </w:r>
      <w:r w:rsidR="00CA18D3" w:rsidRPr="00F02792">
        <w:rPr>
          <w:color w:val="000000" w:themeColor="text1"/>
          <w:shd w:val="clear" w:color="auto" w:fill="FFFFFF"/>
        </w:rPr>
        <w:t> juridictionnels du président du tribunal d</w:t>
      </w:r>
      <w:r w:rsidR="00BB76F1">
        <w:rPr>
          <w:color w:val="000000" w:themeColor="text1"/>
          <w:shd w:val="clear" w:color="auto" w:fill="FFFFFF"/>
        </w:rPr>
        <w:t>’</w:t>
      </w:r>
      <w:r w:rsidR="00CA18D3" w:rsidRPr="00F02792">
        <w:rPr>
          <w:color w:val="000000" w:themeColor="text1"/>
          <w:shd w:val="clear" w:color="auto" w:fill="FFFFFF"/>
        </w:rPr>
        <w:t>arrondissement, alors que ceux-ci sont trop souvent confondus avec la juridiction des référés »</w:t>
      </w:r>
      <w:r w:rsidR="00CA18D3" w:rsidRPr="00F02792">
        <w:rPr>
          <w:rStyle w:val="Appelnotedebasdep"/>
          <w:color w:val="000000" w:themeColor="text1"/>
          <w:shd w:val="clear" w:color="auto" w:fill="FFFFFF"/>
        </w:rPr>
        <w:footnoteReference w:id="40"/>
      </w:r>
      <w:r w:rsidR="00CA18D3" w:rsidRPr="00F02792">
        <w:rPr>
          <w:color w:val="000000" w:themeColor="text1"/>
          <w:shd w:val="clear" w:color="auto" w:fill="FFFFFF"/>
        </w:rPr>
        <w:t>.</w:t>
      </w:r>
      <w:r w:rsidR="0020077B" w:rsidRPr="00F02792">
        <w:rPr>
          <w:color w:val="000000" w:themeColor="text1"/>
          <w:shd w:val="clear" w:color="auto" w:fill="FFFFFF"/>
        </w:rPr>
        <w:t xml:space="preserve"> Mais en réalité cett</w:t>
      </w:r>
      <w:r w:rsidR="00F92317" w:rsidRPr="00F02792">
        <w:rPr>
          <w:color w:val="000000" w:themeColor="text1"/>
          <w:shd w:val="clear" w:color="auto" w:fill="FFFFFF"/>
        </w:rPr>
        <w:t xml:space="preserve">e confusion </w:t>
      </w:r>
      <w:r w:rsidR="00514836" w:rsidRPr="00F02792">
        <w:rPr>
          <w:color w:val="000000" w:themeColor="text1"/>
          <w:shd w:val="clear" w:color="auto" w:fill="FFFFFF"/>
        </w:rPr>
        <w:t>n</w:t>
      </w:r>
      <w:r w:rsidR="00BB76F1">
        <w:rPr>
          <w:color w:val="000000" w:themeColor="text1"/>
          <w:shd w:val="clear" w:color="auto" w:fill="FFFFFF"/>
        </w:rPr>
        <w:t>’</w:t>
      </w:r>
      <w:r w:rsidR="00514836" w:rsidRPr="00F02792">
        <w:rPr>
          <w:color w:val="000000" w:themeColor="text1"/>
          <w:shd w:val="clear" w:color="auto" w:fill="FFFFFF"/>
        </w:rPr>
        <w:t xml:space="preserve">a pas </w:t>
      </w:r>
      <w:r w:rsidR="000B6778" w:rsidRPr="00F02792">
        <w:rPr>
          <w:color w:val="000000" w:themeColor="text1"/>
          <w:shd w:val="clear" w:color="auto" w:fill="FFFFFF"/>
        </w:rPr>
        <w:t xml:space="preserve">de conséquence pratique puisque la sanction est identique. </w:t>
      </w:r>
      <w:r w:rsidR="00670E84" w:rsidRPr="00F02792">
        <w:rPr>
          <w:color w:val="000000" w:themeColor="text1"/>
          <w:shd w:val="clear" w:color="auto" w:fill="FFFFFF"/>
        </w:rPr>
        <w:t>De même alors qu</w:t>
      </w:r>
      <w:r w:rsidR="00BB76F1">
        <w:rPr>
          <w:color w:val="000000" w:themeColor="text1"/>
          <w:shd w:val="clear" w:color="auto" w:fill="FFFFFF"/>
        </w:rPr>
        <w:t>’</w:t>
      </w:r>
      <w:r w:rsidR="00670E84" w:rsidRPr="00F02792">
        <w:rPr>
          <w:color w:val="000000" w:themeColor="text1"/>
          <w:shd w:val="clear" w:color="auto" w:fill="FFFFFF"/>
        </w:rPr>
        <w:t xml:space="preserve">il y a intérêt </w:t>
      </w:r>
      <w:r w:rsidR="006B7A90" w:rsidRPr="00F02792">
        <w:rPr>
          <w:color w:val="000000" w:themeColor="text1"/>
          <w:shd w:val="clear" w:color="auto" w:fill="FFFFFF"/>
        </w:rPr>
        <w:t>à distinguer</w:t>
      </w:r>
      <w:r w:rsidR="001810A3" w:rsidRPr="00F02792">
        <w:rPr>
          <w:color w:val="000000" w:themeColor="text1"/>
          <w:shd w:val="clear" w:color="auto" w:fill="FFFFFF"/>
        </w:rPr>
        <w:t xml:space="preserve"> </w:t>
      </w:r>
      <w:r w:rsidR="00670E84" w:rsidRPr="00F02792">
        <w:rPr>
          <w:rFonts w:eastAsiaTheme="minorEastAsia"/>
          <w:color w:val="000000" w:themeColor="text1"/>
        </w:rPr>
        <w:t>les immunités de juridictions qui font obstacle au pouvoir juridictionnel</w:t>
      </w:r>
      <w:r w:rsidR="001F4817" w:rsidRPr="00F02792">
        <w:rPr>
          <w:rFonts w:eastAsiaTheme="minorEastAsia"/>
          <w:color w:val="000000" w:themeColor="text1"/>
        </w:rPr>
        <w:t xml:space="preserve"> des règles de compétence, la distinction est vaine en droit luxembourgeois, à ce ceci près que </w:t>
      </w:r>
      <w:r w:rsidR="00C86623" w:rsidRPr="00F02792">
        <w:rPr>
          <w:rFonts w:eastAsiaTheme="minorEastAsia"/>
          <w:color w:val="000000" w:themeColor="text1"/>
        </w:rPr>
        <w:t>si</w:t>
      </w:r>
      <w:r w:rsidR="001F4817" w:rsidRPr="00F02792">
        <w:rPr>
          <w:rFonts w:eastAsiaTheme="minorEastAsia"/>
          <w:color w:val="000000" w:themeColor="text1"/>
        </w:rPr>
        <w:t xml:space="preserve"> </w:t>
      </w:r>
      <w:r w:rsidR="00670E84" w:rsidRPr="00F02792">
        <w:rPr>
          <w:rFonts w:eastAsiaTheme="minorEastAsia"/>
          <w:color w:val="000000" w:themeColor="text1"/>
        </w:rPr>
        <w:t>le droit d</w:t>
      </w:r>
      <w:r w:rsidR="00BB76F1">
        <w:rPr>
          <w:rFonts w:eastAsiaTheme="minorEastAsia"/>
          <w:color w:val="000000" w:themeColor="text1"/>
        </w:rPr>
        <w:t>’</w:t>
      </w:r>
      <w:r w:rsidR="00670E84" w:rsidRPr="00F02792">
        <w:rPr>
          <w:rFonts w:eastAsiaTheme="minorEastAsia"/>
          <w:color w:val="000000" w:themeColor="text1"/>
        </w:rPr>
        <w:t>agir lui-même est atteint</w:t>
      </w:r>
      <w:r w:rsidR="00B1202D" w:rsidRPr="00F02792">
        <w:rPr>
          <w:rFonts w:eastAsiaTheme="minorEastAsia"/>
          <w:color w:val="000000" w:themeColor="text1"/>
        </w:rPr>
        <w:t>, l</w:t>
      </w:r>
      <w:r w:rsidR="00BB76F1">
        <w:rPr>
          <w:rFonts w:eastAsiaTheme="minorEastAsia"/>
          <w:color w:val="000000" w:themeColor="text1"/>
        </w:rPr>
        <w:t>’</w:t>
      </w:r>
      <w:r w:rsidR="00B1202D" w:rsidRPr="00F02792">
        <w:rPr>
          <w:rFonts w:eastAsiaTheme="minorEastAsia"/>
          <w:color w:val="000000" w:themeColor="text1"/>
        </w:rPr>
        <w:t>action ne pourra être réitérée</w:t>
      </w:r>
      <w:r w:rsidR="00670E84" w:rsidRPr="00F02792">
        <w:rPr>
          <w:rStyle w:val="Appelnotedebasdep"/>
          <w:rFonts w:eastAsiaTheme="minorEastAsia"/>
          <w:color w:val="000000" w:themeColor="text1"/>
        </w:rPr>
        <w:footnoteReference w:id="41"/>
      </w:r>
      <w:r w:rsidR="00670E84" w:rsidRPr="00F02792">
        <w:rPr>
          <w:rFonts w:eastAsiaTheme="minorEastAsia"/>
          <w:color w:val="000000" w:themeColor="text1"/>
        </w:rPr>
        <w:t xml:space="preserve">. </w:t>
      </w:r>
    </w:p>
    <w:p w14:paraId="4B9F4809" w14:textId="2E4A064F" w:rsidR="00146D12" w:rsidRPr="00F02792" w:rsidRDefault="00146D12" w:rsidP="00CA18D3">
      <w:pPr>
        <w:spacing w:line="276" w:lineRule="auto"/>
        <w:jc w:val="both"/>
        <w:rPr>
          <w:b/>
          <w:bCs/>
          <w:color w:val="000000" w:themeColor="text1"/>
          <w:lang w:val="fr-FR"/>
        </w:rPr>
      </w:pPr>
    </w:p>
    <w:p w14:paraId="330F6D6E" w14:textId="42C1F125" w:rsidR="00CA18D3" w:rsidRPr="00F02792" w:rsidRDefault="00AF1922" w:rsidP="00CA18D3">
      <w:pPr>
        <w:spacing w:line="276" w:lineRule="auto"/>
        <w:jc w:val="both"/>
        <w:rPr>
          <w:rFonts w:eastAsiaTheme="minorEastAsia"/>
          <w:b/>
          <w:bCs/>
          <w:color w:val="000000" w:themeColor="text1"/>
          <w:lang w:eastAsia="en-US"/>
        </w:rPr>
      </w:pPr>
      <w:r w:rsidRPr="00F02792">
        <w:rPr>
          <w:color w:val="000000" w:themeColor="text1"/>
          <w:lang w:val="fr-FR"/>
        </w:rPr>
        <w:t xml:space="preserve">Le seul point </w:t>
      </w:r>
      <w:r w:rsidR="0069755B" w:rsidRPr="00F02792">
        <w:rPr>
          <w:color w:val="000000" w:themeColor="text1"/>
          <w:lang w:val="fr-FR"/>
        </w:rPr>
        <w:t>sur le</w:t>
      </w:r>
      <w:r w:rsidR="000C77C5" w:rsidRPr="00F02792">
        <w:rPr>
          <w:color w:val="000000" w:themeColor="text1"/>
          <w:lang w:val="fr-FR"/>
        </w:rPr>
        <w:t xml:space="preserve">quel </w:t>
      </w:r>
      <w:r w:rsidR="00B628AD" w:rsidRPr="00F02792">
        <w:rPr>
          <w:color w:val="000000" w:themeColor="text1"/>
          <w:lang w:val="fr-FR"/>
        </w:rPr>
        <w:t>l</w:t>
      </w:r>
      <w:r w:rsidR="00BB76F1">
        <w:rPr>
          <w:color w:val="000000" w:themeColor="text1"/>
          <w:lang w:val="fr-FR"/>
        </w:rPr>
        <w:t>’</w:t>
      </w:r>
      <w:r w:rsidR="00B628AD" w:rsidRPr="00F02792">
        <w:rPr>
          <w:color w:val="000000" w:themeColor="text1"/>
          <w:lang w:val="fr-FR"/>
        </w:rPr>
        <w:t xml:space="preserve">obstacle </w:t>
      </w:r>
      <w:r w:rsidR="00024BF6" w:rsidRPr="00F02792">
        <w:rPr>
          <w:color w:val="000000" w:themeColor="text1"/>
          <w:lang w:val="fr-FR"/>
        </w:rPr>
        <w:t>à l</w:t>
      </w:r>
      <w:r w:rsidR="00BB76F1">
        <w:rPr>
          <w:color w:val="000000" w:themeColor="text1"/>
          <w:lang w:val="fr-FR"/>
        </w:rPr>
        <w:t>’</w:t>
      </w:r>
      <w:r w:rsidR="00024BF6" w:rsidRPr="00F02792">
        <w:rPr>
          <w:color w:val="000000" w:themeColor="text1"/>
          <w:lang w:val="fr-FR"/>
        </w:rPr>
        <w:t xml:space="preserve">exercice </w:t>
      </w:r>
      <w:r w:rsidR="0026240C" w:rsidRPr="00F02792">
        <w:rPr>
          <w:color w:val="000000" w:themeColor="text1"/>
          <w:lang w:val="fr-FR"/>
        </w:rPr>
        <w:t xml:space="preserve">du pouvoir juridictionnel </w:t>
      </w:r>
      <w:r w:rsidR="005C5D98" w:rsidRPr="00F02792">
        <w:rPr>
          <w:color w:val="000000" w:themeColor="text1"/>
          <w:lang w:val="fr-FR"/>
        </w:rPr>
        <w:t xml:space="preserve">est traité </w:t>
      </w:r>
      <w:r w:rsidR="00864085" w:rsidRPr="00F02792">
        <w:rPr>
          <w:color w:val="000000" w:themeColor="text1"/>
          <w:lang w:val="fr-FR"/>
        </w:rPr>
        <w:t xml:space="preserve">différemment </w:t>
      </w:r>
      <w:r w:rsidR="00281618" w:rsidRPr="00F02792">
        <w:rPr>
          <w:color w:val="000000" w:themeColor="text1"/>
          <w:lang w:val="fr-FR"/>
        </w:rPr>
        <w:t>de l</w:t>
      </w:r>
      <w:r w:rsidR="00BB76F1">
        <w:rPr>
          <w:color w:val="000000" w:themeColor="text1"/>
          <w:lang w:val="fr-FR"/>
        </w:rPr>
        <w:t>’</w:t>
      </w:r>
      <w:r w:rsidR="00281618" w:rsidRPr="00F02792">
        <w:rPr>
          <w:color w:val="000000" w:themeColor="text1"/>
          <w:lang w:val="fr-FR"/>
        </w:rPr>
        <w:t xml:space="preserve">incompétence </w:t>
      </w:r>
      <w:r w:rsidR="00EE02F5" w:rsidRPr="00F02792">
        <w:rPr>
          <w:color w:val="000000" w:themeColor="text1"/>
          <w:lang w:val="fr-FR"/>
        </w:rPr>
        <w:t>(mais paradoxalement de manière plus favorable)</w:t>
      </w:r>
      <w:r w:rsidR="00CC788E" w:rsidRPr="00F02792">
        <w:rPr>
          <w:color w:val="000000" w:themeColor="text1"/>
          <w:lang w:val="fr-FR"/>
        </w:rPr>
        <w:t xml:space="preserve"> </w:t>
      </w:r>
      <w:r w:rsidR="00912626" w:rsidRPr="00F02792">
        <w:rPr>
          <w:color w:val="000000" w:themeColor="text1"/>
          <w:lang w:val="fr-FR"/>
        </w:rPr>
        <w:t>se rencontre</w:t>
      </w:r>
      <w:r w:rsidR="00CC788E" w:rsidRPr="00F02792">
        <w:rPr>
          <w:color w:val="000000" w:themeColor="text1"/>
          <w:lang w:val="fr-FR"/>
        </w:rPr>
        <w:t xml:space="preserve"> en présence d</w:t>
      </w:r>
      <w:r w:rsidR="00BB76F1">
        <w:rPr>
          <w:color w:val="000000" w:themeColor="text1"/>
          <w:lang w:val="fr-FR"/>
        </w:rPr>
        <w:t>’</w:t>
      </w:r>
      <w:r w:rsidR="00CC788E" w:rsidRPr="00F02792">
        <w:rPr>
          <w:color w:val="000000" w:themeColor="text1"/>
          <w:lang w:val="fr-FR"/>
        </w:rPr>
        <w:t xml:space="preserve">une </w:t>
      </w:r>
      <w:r w:rsidR="00CA18D3" w:rsidRPr="00F02792">
        <w:rPr>
          <w:rFonts w:eastAsiaTheme="minorEastAsia"/>
          <w:color w:val="000000" w:themeColor="text1"/>
          <w:lang w:eastAsia="en-US"/>
        </w:rPr>
        <w:t>clause de médiation</w:t>
      </w:r>
      <w:r w:rsidR="00EC134F" w:rsidRPr="00F02792">
        <w:rPr>
          <w:rFonts w:eastAsiaTheme="minorEastAsia"/>
          <w:color w:val="000000" w:themeColor="text1"/>
          <w:lang w:eastAsia="en-US"/>
        </w:rPr>
        <w:t>. Celle-ci</w:t>
      </w:r>
      <w:r w:rsidR="00CA18D3" w:rsidRPr="00F02792">
        <w:rPr>
          <w:rFonts w:eastAsiaTheme="minorEastAsia"/>
          <w:color w:val="000000" w:themeColor="text1"/>
          <w:lang w:eastAsia="en-US"/>
        </w:rPr>
        <w:t xml:space="preserve"> </w:t>
      </w:r>
      <w:r w:rsidR="00CA18D3" w:rsidRPr="00F02792">
        <w:rPr>
          <w:rFonts w:eastAsiaTheme="minorEastAsia"/>
          <w:color w:val="000000" w:themeColor="text1"/>
        </w:rPr>
        <w:t>fait</w:t>
      </w:r>
      <w:r w:rsidR="00A11435" w:rsidRPr="00F02792">
        <w:rPr>
          <w:rFonts w:eastAsiaTheme="minorEastAsia"/>
          <w:color w:val="000000" w:themeColor="text1"/>
        </w:rPr>
        <w:t xml:space="preserve"> bien</w:t>
      </w:r>
      <w:r w:rsidR="00CA18D3" w:rsidRPr="00F02792">
        <w:rPr>
          <w:rFonts w:eastAsiaTheme="minorEastAsia"/>
          <w:color w:val="000000" w:themeColor="text1"/>
          <w:lang w:eastAsia="en-US"/>
        </w:rPr>
        <w:t xml:space="preserve"> obstacle à l</w:t>
      </w:r>
      <w:r w:rsidR="00BB76F1">
        <w:rPr>
          <w:rFonts w:eastAsiaTheme="minorEastAsia"/>
          <w:color w:val="000000" w:themeColor="text1"/>
          <w:lang w:eastAsia="en-US"/>
        </w:rPr>
        <w:t>’</w:t>
      </w:r>
      <w:r w:rsidR="00CA18D3" w:rsidRPr="00F02792">
        <w:rPr>
          <w:rFonts w:eastAsiaTheme="minorEastAsia"/>
          <w:color w:val="000000" w:themeColor="text1"/>
          <w:lang w:eastAsia="en-US"/>
        </w:rPr>
        <w:t>exercice d</w:t>
      </w:r>
      <w:r w:rsidR="00CA18D3" w:rsidRPr="00F02792">
        <w:rPr>
          <w:rFonts w:eastAsiaTheme="minorEastAsia"/>
          <w:color w:val="000000" w:themeColor="text1"/>
        </w:rPr>
        <w:t>u</w:t>
      </w:r>
      <w:r w:rsidR="00CA18D3" w:rsidRPr="00F02792">
        <w:rPr>
          <w:rFonts w:eastAsiaTheme="minorEastAsia"/>
          <w:color w:val="000000" w:themeColor="text1"/>
          <w:lang w:eastAsia="en-US"/>
        </w:rPr>
        <w:t xml:space="preserve"> pouvoir juridictionnel</w:t>
      </w:r>
      <w:r w:rsidR="004811C8" w:rsidRPr="00F02792">
        <w:rPr>
          <w:rFonts w:eastAsiaTheme="minorEastAsia"/>
          <w:color w:val="000000" w:themeColor="text1"/>
          <w:lang w:eastAsia="en-US"/>
        </w:rPr>
        <w:t xml:space="preserve"> mais est sanctionnée d</w:t>
      </w:r>
      <w:r w:rsidR="00BB76F1">
        <w:rPr>
          <w:rFonts w:eastAsiaTheme="minorEastAsia"/>
          <w:color w:val="000000" w:themeColor="text1"/>
          <w:lang w:eastAsia="en-US"/>
        </w:rPr>
        <w:t>’</w:t>
      </w:r>
      <w:r w:rsidR="004811C8" w:rsidRPr="00F02792">
        <w:rPr>
          <w:rFonts w:eastAsiaTheme="minorEastAsia"/>
          <w:color w:val="000000" w:themeColor="text1"/>
          <w:lang w:eastAsia="en-US"/>
        </w:rPr>
        <w:t>une surséance à statuer</w:t>
      </w:r>
      <w:r w:rsidR="00CA18D3" w:rsidRPr="00F02792">
        <w:rPr>
          <w:rStyle w:val="Appelnotedebasdep"/>
          <w:rFonts w:eastAsiaTheme="minorEastAsia"/>
          <w:color w:val="000000" w:themeColor="text1"/>
          <w:lang w:eastAsia="en-US"/>
        </w:rPr>
        <w:footnoteReference w:id="42"/>
      </w:r>
      <w:r w:rsidR="00CA18D3" w:rsidRPr="00F02792">
        <w:rPr>
          <w:rFonts w:eastAsiaTheme="minorEastAsia"/>
          <w:color w:val="000000" w:themeColor="text1"/>
          <w:lang w:eastAsia="en-US"/>
        </w:rPr>
        <w:t>.</w:t>
      </w:r>
      <w:r w:rsidR="00CA18D3" w:rsidRPr="00F02792">
        <w:rPr>
          <w:rFonts w:eastAsiaTheme="minorEastAsia"/>
          <w:color w:val="000000" w:themeColor="text1"/>
        </w:rPr>
        <w:t xml:space="preserve"> </w:t>
      </w:r>
      <w:r w:rsidR="00FF0D15" w:rsidRPr="00F02792">
        <w:rPr>
          <w:color w:val="000000" w:themeColor="text1"/>
        </w:rPr>
        <w:t>L</w:t>
      </w:r>
      <w:r w:rsidR="00BB76F1">
        <w:rPr>
          <w:color w:val="000000" w:themeColor="text1"/>
        </w:rPr>
        <w:t>’</w:t>
      </w:r>
      <w:r w:rsidR="00CA18D3" w:rsidRPr="00F02792">
        <w:rPr>
          <w:color w:val="000000" w:themeColor="text1"/>
        </w:rPr>
        <w:t>article 1251-5 (2) NCPC</w:t>
      </w:r>
      <w:r w:rsidR="00222B01" w:rsidRPr="00F02792">
        <w:rPr>
          <w:color w:val="000000" w:themeColor="text1"/>
        </w:rPr>
        <w:t xml:space="preserve"> dispose à cet effet que</w:t>
      </w:r>
      <w:r w:rsidR="00CA18D3" w:rsidRPr="00F02792">
        <w:rPr>
          <w:color w:val="000000" w:themeColor="text1"/>
        </w:rPr>
        <w:t xml:space="preserve"> « le </w:t>
      </w:r>
      <w:r w:rsidR="00CA18D3" w:rsidRPr="00F02792">
        <w:rPr>
          <w:rFonts w:eastAsiaTheme="minorEastAsia"/>
          <w:color w:val="000000" w:themeColor="text1"/>
          <w:lang w:eastAsia="en-US"/>
        </w:rPr>
        <w:t>juge du fond ou l</w:t>
      </w:r>
      <w:r w:rsidR="00BB76F1">
        <w:rPr>
          <w:rFonts w:eastAsiaTheme="minorEastAsia"/>
          <w:color w:val="000000" w:themeColor="text1"/>
          <w:lang w:eastAsia="en-US"/>
        </w:rPr>
        <w:t>’</w:t>
      </w:r>
      <w:r w:rsidR="00CA18D3" w:rsidRPr="00F02792">
        <w:rPr>
          <w:rFonts w:eastAsiaTheme="minorEastAsia"/>
          <w:color w:val="000000" w:themeColor="text1"/>
          <w:lang w:eastAsia="en-US"/>
        </w:rPr>
        <w:t>arbitre saisi d</w:t>
      </w:r>
      <w:r w:rsidR="00BB76F1">
        <w:rPr>
          <w:rFonts w:eastAsiaTheme="minorEastAsia"/>
          <w:color w:val="000000" w:themeColor="text1"/>
          <w:lang w:eastAsia="en-US"/>
        </w:rPr>
        <w:t>’</w:t>
      </w:r>
      <w:r w:rsidR="00CA18D3" w:rsidRPr="00F02792">
        <w:rPr>
          <w:rFonts w:eastAsiaTheme="minorEastAsia"/>
          <w:color w:val="000000" w:themeColor="text1"/>
          <w:lang w:eastAsia="en-US"/>
        </w:rPr>
        <w:t>un différend faisant l</w:t>
      </w:r>
      <w:r w:rsidR="00BB76F1">
        <w:rPr>
          <w:rFonts w:eastAsiaTheme="minorEastAsia"/>
          <w:color w:val="000000" w:themeColor="text1"/>
          <w:lang w:eastAsia="en-US"/>
        </w:rPr>
        <w:t>’</w:t>
      </w:r>
      <w:r w:rsidR="00CA18D3" w:rsidRPr="00F02792">
        <w:rPr>
          <w:rFonts w:eastAsiaTheme="minorEastAsia"/>
          <w:color w:val="000000" w:themeColor="text1"/>
          <w:lang w:eastAsia="en-US"/>
        </w:rPr>
        <w:t>objet d</w:t>
      </w:r>
      <w:r w:rsidR="00BB76F1">
        <w:rPr>
          <w:rFonts w:eastAsiaTheme="minorEastAsia"/>
          <w:color w:val="000000" w:themeColor="text1"/>
          <w:lang w:eastAsia="en-US"/>
        </w:rPr>
        <w:t>’</w:t>
      </w:r>
      <w:r w:rsidR="00CA18D3" w:rsidRPr="00F02792">
        <w:rPr>
          <w:rFonts w:eastAsiaTheme="minorEastAsia"/>
          <w:color w:val="000000" w:themeColor="text1"/>
          <w:lang w:eastAsia="en-US"/>
        </w:rPr>
        <w:t>une clause de médiation suspend l</w:t>
      </w:r>
      <w:r w:rsidR="00BB76F1">
        <w:rPr>
          <w:rFonts w:eastAsiaTheme="minorEastAsia"/>
          <w:color w:val="000000" w:themeColor="text1"/>
          <w:lang w:eastAsia="en-US"/>
        </w:rPr>
        <w:t>’</w:t>
      </w:r>
      <w:r w:rsidR="00CA18D3" w:rsidRPr="00F02792">
        <w:rPr>
          <w:rFonts w:eastAsiaTheme="minorEastAsia"/>
          <w:color w:val="000000" w:themeColor="text1"/>
          <w:lang w:eastAsia="en-US"/>
        </w:rPr>
        <w:t>examen de la cause à la demande d</w:t>
      </w:r>
      <w:r w:rsidR="00BB76F1">
        <w:rPr>
          <w:rFonts w:eastAsiaTheme="minorEastAsia"/>
          <w:color w:val="000000" w:themeColor="text1"/>
          <w:lang w:eastAsia="en-US"/>
        </w:rPr>
        <w:t>’</w:t>
      </w:r>
      <w:r w:rsidR="00CA18D3" w:rsidRPr="00F02792">
        <w:rPr>
          <w:rFonts w:eastAsiaTheme="minorEastAsia"/>
          <w:color w:val="000000" w:themeColor="text1"/>
          <w:lang w:eastAsia="en-US"/>
        </w:rPr>
        <w:t>une partie, à moins qu</w:t>
      </w:r>
      <w:r w:rsidR="00BB76F1">
        <w:rPr>
          <w:rFonts w:eastAsiaTheme="minorEastAsia"/>
          <w:color w:val="000000" w:themeColor="text1"/>
          <w:lang w:eastAsia="en-US"/>
        </w:rPr>
        <w:t>’</w:t>
      </w:r>
      <w:r w:rsidR="00CA18D3" w:rsidRPr="00F02792">
        <w:rPr>
          <w:rFonts w:eastAsiaTheme="minorEastAsia"/>
          <w:color w:val="000000" w:themeColor="text1"/>
          <w:lang w:eastAsia="en-US"/>
        </w:rPr>
        <w:t>en ce qui concerne ce différend, la clause ne soit pas valable ou ait pris fin. L</w:t>
      </w:r>
      <w:r w:rsidR="00BB76F1">
        <w:rPr>
          <w:rFonts w:eastAsiaTheme="minorEastAsia"/>
          <w:color w:val="000000" w:themeColor="text1"/>
          <w:lang w:eastAsia="en-US"/>
        </w:rPr>
        <w:t>’</w:t>
      </w:r>
      <w:r w:rsidR="00CA18D3" w:rsidRPr="00F02792">
        <w:rPr>
          <w:rFonts w:eastAsiaTheme="minorEastAsia"/>
          <w:color w:val="000000" w:themeColor="text1"/>
          <w:lang w:eastAsia="en-US"/>
        </w:rPr>
        <w:t>exception doit être soulevée avant tout autre moyen de défense et exception. L</w:t>
      </w:r>
      <w:r w:rsidR="00BB76F1">
        <w:rPr>
          <w:rFonts w:eastAsiaTheme="minorEastAsia"/>
          <w:color w:val="000000" w:themeColor="text1"/>
          <w:lang w:eastAsia="en-US"/>
        </w:rPr>
        <w:t>’</w:t>
      </w:r>
      <w:r w:rsidR="00CA18D3" w:rsidRPr="00F02792">
        <w:rPr>
          <w:rFonts w:eastAsiaTheme="minorEastAsia"/>
          <w:color w:val="000000" w:themeColor="text1"/>
          <w:lang w:eastAsia="en-US"/>
        </w:rPr>
        <w:t>examen de la cause est poursuivi dès que les parties ou l</w:t>
      </w:r>
      <w:r w:rsidR="00BB76F1">
        <w:rPr>
          <w:rFonts w:eastAsiaTheme="minorEastAsia"/>
          <w:color w:val="000000" w:themeColor="text1"/>
          <w:lang w:eastAsia="en-US"/>
        </w:rPr>
        <w:t>’</w:t>
      </w:r>
      <w:r w:rsidR="00CA18D3" w:rsidRPr="00F02792">
        <w:rPr>
          <w:rFonts w:eastAsiaTheme="minorEastAsia"/>
          <w:color w:val="000000" w:themeColor="text1"/>
          <w:lang w:eastAsia="en-US"/>
        </w:rPr>
        <w:t>une d</w:t>
      </w:r>
      <w:r w:rsidR="00BB76F1">
        <w:rPr>
          <w:rFonts w:eastAsiaTheme="minorEastAsia"/>
          <w:color w:val="000000" w:themeColor="text1"/>
          <w:lang w:eastAsia="en-US"/>
        </w:rPr>
        <w:t>’</w:t>
      </w:r>
      <w:r w:rsidR="00CA18D3" w:rsidRPr="00F02792">
        <w:rPr>
          <w:rFonts w:eastAsiaTheme="minorEastAsia"/>
          <w:color w:val="000000" w:themeColor="text1"/>
          <w:lang w:eastAsia="en-US"/>
        </w:rPr>
        <w:t>elles, ont notifié au greffe et aux autres parties que la médiation a pris fin ». La clause de médiation fait donc obstacle à l</w:t>
      </w:r>
      <w:r w:rsidR="00BB76F1">
        <w:rPr>
          <w:rFonts w:eastAsiaTheme="minorEastAsia"/>
          <w:color w:val="000000" w:themeColor="text1"/>
          <w:lang w:eastAsia="en-US"/>
        </w:rPr>
        <w:t>’</w:t>
      </w:r>
      <w:r w:rsidR="00CA18D3" w:rsidRPr="00F02792">
        <w:rPr>
          <w:rFonts w:eastAsiaTheme="minorEastAsia"/>
          <w:color w:val="000000" w:themeColor="text1"/>
          <w:lang w:eastAsia="en-US"/>
        </w:rPr>
        <w:t xml:space="preserve">examen au fond de la demande en justice. La qualification de cet obstacle est toutefois sujette à caution. Le terme « exception » utilisé par le NCPC </w:t>
      </w:r>
      <w:r w:rsidR="001A2C9C" w:rsidRPr="00F02792">
        <w:rPr>
          <w:rFonts w:eastAsiaTheme="minorEastAsia"/>
          <w:color w:val="000000" w:themeColor="text1"/>
          <w:lang w:eastAsia="en-US"/>
        </w:rPr>
        <w:t xml:space="preserve">pourrait </w:t>
      </w:r>
      <w:r w:rsidR="00CA18D3" w:rsidRPr="00F02792">
        <w:rPr>
          <w:rFonts w:eastAsiaTheme="minorEastAsia"/>
          <w:color w:val="000000" w:themeColor="text1"/>
          <w:lang w:eastAsia="en-US"/>
        </w:rPr>
        <w:t>sugg</w:t>
      </w:r>
      <w:r w:rsidR="001A2C9C" w:rsidRPr="00F02792">
        <w:rPr>
          <w:rFonts w:eastAsiaTheme="minorEastAsia"/>
          <w:color w:val="000000" w:themeColor="text1"/>
          <w:lang w:eastAsia="en-US"/>
        </w:rPr>
        <w:t>érer</w:t>
      </w:r>
      <w:r w:rsidR="00CA18D3" w:rsidRPr="00F02792">
        <w:rPr>
          <w:rFonts w:eastAsiaTheme="minorEastAsia"/>
          <w:color w:val="000000" w:themeColor="text1"/>
          <w:lang w:eastAsia="en-US"/>
        </w:rPr>
        <w:t xml:space="preserve"> une exception d</w:t>
      </w:r>
      <w:r w:rsidR="00BB76F1">
        <w:rPr>
          <w:rFonts w:eastAsiaTheme="minorEastAsia"/>
          <w:color w:val="000000" w:themeColor="text1"/>
          <w:lang w:eastAsia="en-US"/>
        </w:rPr>
        <w:t>’</w:t>
      </w:r>
      <w:r w:rsidR="00CA18D3" w:rsidRPr="00F02792">
        <w:rPr>
          <w:rFonts w:eastAsiaTheme="minorEastAsia"/>
          <w:color w:val="000000" w:themeColor="text1"/>
          <w:lang w:eastAsia="en-US"/>
        </w:rPr>
        <w:t>incompétence de la même manière que la présence d</w:t>
      </w:r>
      <w:r w:rsidR="00BB76F1">
        <w:rPr>
          <w:rFonts w:eastAsiaTheme="minorEastAsia"/>
          <w:color w:val="000000" w:themeColor="text1"/>
          <w:lang w:eastAsia="en-US"/>
        </w:rPr>
        <w:t>’</w:t>
      </w:r>
      <w:r w:rsidR="00CA18D3" w:rsidRPr="00F02792">
        <w:rPr>
          <w:rFonts w:eastAsiaTheme="minorEastAsia"/>
          <w:color w:val="000000" w:themeColor="text1"/>
          <w:lang w:eastAsia="en-US"/>
        </w:rPr>
        <w:t>une clause compromissoire prive le juge de se prononcer en premier lieu sur sa compétence. Cependant, puisque le médiateur –et ce contrairement à l</w:t>
      </w:r>
      <w:r w:rsidR="00BB76F1">
        <w:rPr>
          <w:rFonts w:eastAsiaTheme="minorEastAsia"/>
          <w:color w:val="000000" w:themeColor="text1"/>
          <w:lang w:eastAsia="en-US"/>
        </w:rPr>
        <w:t>’</w:t>
      </w:r>
      <w:r w:rsidR="00CA18D3" w:rsidRPr="00F02792">
        <w:rPr>
          <w:rFonts w:eastAsiaTheme="minorEastAsia"/>
          <w:color w:val="000000" w:themeColor="text1"/>
          <w:lang w:eastAsia="en-US"/>
        </w:rPr>
        <w:t>arbitre- est dépourvu de tout pouvoir juridictionnel, la qualification d</w:t>
      </w:r>
      <w:r w:rsidR="00BB76F1">
        <w:rPr>
          <w:rFonts w:eastAsiaTheme="minorEastAsia"/>
          <w:color w:val="000000" w:themeColor="text1"/>
          <w:lang w:eastAsia="en-US"/>
        </w:rPr>
        <w:t>’</w:t>
      </w:r>
      <w:r w:rsidR="00CA18D3" w:rsidRPr="00F02792">
        <w:rPr>
          <w:rFonts w:eastAsiaTheme="minorEastAsia"/>
          <w:color w:val="000000" w:themeColor="text1"/>
          <w:lang w:eastAsia="en-US"/>
        </w:rPr>
        <w:t>exception d</w:t>
      </w:r>
      <w:r w:rsidR="00BB76F1">
        <w:rPr>
          <w:rFonts w:eastAsiaTheme="minorEastAsia"/>
          <w:color w:val="000000" w:themeColor="text1"/>
          <w:lang w:eastAsia="en-US"/>
        </w:rPr>
        <w:t>’</w:t>
      </w:r>
      <w:r w:rsidR="00CA18D3" w:rsidRPr="00F02792">
        <w:rPr>
          <w:rFonts w:eastAsiaTheme="minorEastAsia"/>
          <w:color w:val="000000" w:themeColor="text1"/>
          <w:lang w:eastAsia="en-US"/>
        </w:rPr>
        <w:t>incompétence doit être écartée</w:t>
      </w:r>
      <w:r w:rsidR="00CA18D3" w:rsidRPr="00F02792">
        <w:rPr>
          <w:rStyle w:val="Appelnotedebasdep"/>
          <w:rFonts w:eastAsiaTheme="minorEastAsia"/>
          <w:color w:val="000000" w:themeColor="text1"/>
          <w:lang w:eastAsia="en-US"/>
        </w:rPr>
        <w:footnoteReference w:id="43"/>
      </w:r>
      <w:r w:rsidR="00CA18D3" w:rsidRPr="00F02792">
        <w:rPr>
          <w:rFonts w:eastAsiaTheme="minorEastAsia"/>
          <w:color w:val="000000" w:themeColor="text1"/>
          <w:lang w:eastAsia="en-US"/>
        </w:rPr>
        <w:t>. Il s</w:t>
      </w:r>
      <w:r w:rsidR="00BB76F1">
        <w:rPr>
          <w:rFonts w:eastAsiaTheme="minorEastAsia"/>
          <w:color w:val="000000" w:themeColor="text1"/>
          <w:lang w:eastAsia="en-US"/>
        </w:rPr>
        <w:t>’</w:t>
      </w:r>
      <w:r w:rsidR="00CA18D3" w:rsidRPr="00F02792">
        <w:rPr>
          <w:rFonts w:eastAsiaTheme="minorEastAsia"/>
          <w:color w:val="000000" w:themeColor="text1"/>
          <w:lang w:eastAsia="en-US"/>
        </w:rPr>
        <w:t>agirait alors davantage d</w:t>
      </w:r>
      <w:r w:rsidR="00BB76F1">
        <w:rPr>
          <w:rFonts w:eastAsiaTheme="minorEastAsia"/>
          <w:color w:val="000000" w:themeColor="text1"/>
          <w:lang w:eastAsia="en-US"/>
        </w:rPr>
        <w:t>’</w:t>
      </w:r>
      <w:r w:rsidR="00CA18D3" w:rsidRPr="00F02792">
        <w:rPr>
          <w:rFonts w:eastAsiaTheme="minorEastAsia"/>
          <w:color w:val="000000" w:themeColor="text1"/>
          <w:lang w:eastAsia="en-US"/>
        </w:rPr>
        <w:t>une fin de non</w:t>
      </w:r>
      <w:r w:rsidR="00CA18D3" w:rsidRPr="00F02792">
        <w:rPr>
          <w:rFonts w:eastAsiaTheme="minorEastAsia"/>
          <w:color w:val="000000" w:themeColor="text1"/>
        </w:rPr>
        <w:t>-</w:t>
      </w:r>
      <w:r w:rsidR="00CA18D3" w:rsidRPr="00F02792">
        <w:rPr>
          <w:rFonts w:eastAsiaTheme="minorEastAsia"/>
          <w:color w:val="000000" w:themeColor="text1"/>
          <w:lang w:eastAsia="en-US"/>
        </w:rPr>
        <w:t>recevoir faisant obstacle (temporairement) à l</w:t>
      </w:r>
      <w:r w:rsidR="00BB76F1">
        <w:rPr>
          <w:rFonts w:eastAsiaTheme="minorEastAsia"/>
          <w:color w:val="000000" w:themeColor="text1"/>
          <w:lang w:eastAsia="en-US"/>
        </w:rPr>
        <w:t>’</w:t>
      </w:r>
      <w:r w:rsidR="00CA18D3" w:rsidRPr="00F02792">
        <w:rPr>
          <w:rFonts w:eastAsiaTheme="minorEastAsia"/>
          <w:color w:val="000000" w:themeColor="text1"/>
          <w:lang w:eastAsia="en-US"/>
        </w:rPr>
        <w:t>exercice du pouvoir de juger de la juridiction étatique. Une fin de non</w:t>
      </w:r>
      <w:r w:rsidR="00067148" w:rsidRPr="00F02792">
        <w:rPr>
          <w:rFonts w:eastAsiaTheme="minorEastAsia"/>
          <w:color w:val="000000" w:themeColor="text1"/>
          <w:lang w:eastAsia="en-US"/>
        </w:rPr>
        <w:t>-</w:t>
      </w:r>
      <w:r w:rsidR="00CA18D3" w:rsidRPr="00F02792">
        <w:rPr>
          <w:rFonts w:eastAsiaTheme="minorEastAsia"/>
          <w:color w:val="000000" w:themeColor="text1"/>
          <w:lang w:eastAsia="en-US"/>
        </w:rPr>
        <w:t xml:space="preserve">recevoir au régime juridique particulier </w:t>
      </w:r>
      <w:r w:rsidR="001948CB" w:rsidRPr="00F02792">
        <w:rPr>
          <w:rFonts w:eastAsiaTheme="minorEastAsia"/>
          <w:color w:val="000000" w:themeColor="text1"/>
          <w:lang w:eastAsia="en-US"/>
        </w:rPr>
        <w:t>puisqu</w:t>
      </w:r>
      <w:r w:rsidR="00BB76F1">
        <w:rPr>
          <w:rFonts w:eastAsiaTheme="minorEastAsia"/>
          <w:color w:val="000000" w:themeColor="text1"/>
          <w:lang w:eastAsia="en-US"/>
        </w:rPr>
        <w:t>’</w:t>
      </w:r>
      <w:r w:rsidR="001948CB" w:rsidRPr="00F02792">
        <w:rPr>
          <w:rFonts w:eastAsiaTheme="minorEastAsia"/>
          <w:color w:val="000000" w:themeColor="text1"/>
          <w:lang w:eastAsia="en-US"/>
        </w:rPr>
        <w:t>elle doit être</w:t>
      </w:r>
      <w:r w:rsidR="00CA18D3" w:rsidRPr="00F02792">
        <w:rPr>
          <w:rFonts w:eastAsiaTheme="minorEastAsia"/>
          <w:color w:val="000000" w:themeColor="text1"/>
          <w:lang w:eastAsia="en-US"/>
        </w:rPr>
        <w:t xml:space="preserve"> soulevée </w:t>
      </w:r>
      <w:r w:rsidR="00CA18D3" w:rsidRPr="00F02792">
        <w:rPr>
          <w:rFonts w:eastAsiaTheme="minorEastAsia"/>
          <w:i/>
          <w:color w:val="000000" w:themeColor="text1"/>
          <w:lang w:eastAsia="en-US"/>
        </w:rPr>
        <w:t>in limine litis</w:t>
      </w:r>
      <w:r w:rsidR="00CA18D3" w:rsidRPr="00F02792">
        <w:rPr>
          <w:rFonts w:eastAsiaTheme="minorEastAsia"/>
          <w:color w:val="000000" w:themeColor="text1"/>
          <w:lang w:eastAsia="en-US"/>
        </w:rPr>
        <w:t>. Par ailleurs, la sanction prévue –l</w:t>
      </w:r>
      <w:r w:rsidR="00BB76F1">
        <w:rPr>
          <w:rFonts w:eastAsiaTheme="minorEastAsia"/>
          <w:color w:val="000000" w:themeColor="text1"/>
          <w:lang w:eastAsia="en-US"/>
        </w:rPr>
        <w:t>’</w:t>
      </w:r>
      <w:r w:rsidR="00CA18D3" w:rsidRPr="00F02792">
        <w:rPr>
          <w:rFonts w:eastAsiaTheme="minorEastAsia"/>
          <w:color w:val="000000" w:themeColor="text1"/>
          <w:lang w:eastAsia="en-US"/>
        </w:rPr>
        <w:t>effet à proprement parler de la clause de médiation- est la suspension de l</w:t>
      </w:r>
      <w:r w:rsidR="00BB76F1">
        <w:rPr>
          <w:rFonts w:eastAsiaTheme="minorEastAsia"/>
          <w:color w:val="000000" w:themeColor="text1"/>
          <w:lang w:eastAsia="en-US"/>
        </w:rPr>
        <w:t>’</w:t>
      </w:r>
      <w:r w:rsidR="00CA18D3" w:rsidRPr="00F02792">
        <w:rPr>
          <w:rFonts w:eastAsiaTheme="minorEastAsia"/>
          <w:color w:val="000000" w:themeColor="text1"/>
          <w:lang w:eastAsia="en-US"/>
        </w:rPr>
        <w:t xml:space="preserve">examen de la cause. Il semblerait donc en pratique que si une partie saisit un juge normalement compétent par un acte </w:t>
      </w:r>
      <w:r w:rsidR="00CA18D3" w:rsidRPr="00F02792">
        <w:rPr>
          <w:rFonts w:eastAsiaTheme="minorEastAsia"/>
          <w:color w:val="000000" w:themeColor="text1"/>
          <w:lang w:eastAsia="en-US"/>
        </w:rPr>
        <w:lastRenderedPageBreak/>
        <w:t>introductif d</w:t>
      </w:r>
      <w:r w:rsidR="00BB76F1">
        <w:rPr>
          <w:rFonts w:eastAsiaTheme="minorEastAsia"/>
          <w:color w:val="000000" w:themeColor="text1"/>
          <w:lang w:eastAsia="en-US"/>
        </w:rPr>
        <w:t>’</w:t>
      </w:r>
      <w:r w:rsidR="00CA18D3" w:rsidRPr="00F02792">
        <w:rPr>
          <w:rFonts w:eastAsiaTheme="minorEastAsia"/>
          <w:color w:val="000000" w:themeColor="text1"/>
          <w:lang w:eastAsia="en-US"/>
        </w:rPr>
        <w:t>instance et que l</w:t>
      </w:r>
      <w:r w:rsidR="00BB76F1">
        <w:rPr>
          <w:rFonts w:eastAsiaTheme="minorEastAsia"/>
          <w:color w:val="000000" w:themeColor="text1"/>
          <w:lang w:eastAsia="en-US"/>
        </w:rPr>
        <w:t>’</w:t>
      </w:r>
      <w:r w:rsidR="00CA18D3" w:rsidRPr="00F02792">
        <w:rPr>
          <w:rFonts w:eastAsiaTheme="minorEastAsia"/>
          <w:color w:val="000000" w:themeColor="text1"/>
          <w:lang w:eastAsia="en-US"/>
        </w:rPr>
        <w:t>autre partie oppose à cette demande l</w:t>
      </w:r>
      <w:r w:rsidR="00BB76F1">
        <w:rPr>
          <w:rFonts w:eastAsiaTheme="minorEastAsia"/>
          <w:color w:val="000000" w:themeColor="text1"/>
          <w:lang w:eastAsia="en-US"/>
        </w:rPr>
        <w:t>’</w:t>
      </w:r>
      <w:r w:rsidR="00CA18D3" w:rsidRPr="00F02792">
        <w:rPr>
          <w:rFonts w:eastAsiaTheme="minorEastAsia"/>
          <w:color w:val="000000" w:themeColor="text1"/>
          <w:lang w:eastAsia="en-US"/>
        </w:rPr>
        <w:t>existence d</w:t>
      </w:r>
      <w:r w:rsidR="00BB76F1">
        <w:rPr>
          <w:rFonts w:eastAsiaTheme="minorEastAsia"/>
          <w:color w:val="000000" w:themeColor="text1"/>
          <w:lang w:eastAsia="en-US"/>
        </w:rPr>
        <w:t>’</w:t>
      </w:r>
      <w:r w:rsidR="00CA18D3" w:rsidRPr="00F02792">
        <w:rPr>
          <w:rFonts w:eastAsiaTheme="minorEastAsia"/>
          <w:color w:val="000000" w:themeColor="text1"/>
          <w:lang w:eastAsia="en-US"/>
        </w:rPr>
        <w:t>une clause de médiation, le juge suspendra l</w:t>
      </w:r>
      <w:r w:rsidR="00BB76F1">
        <w:rPr>
          <w:rFonts w:eastAsiaTheme="minorEastAsia"/>
          <w:color w:val="000000" w:themeColor="text1"/>
          <w:lang w:eastAsia="en-US"/>
        </w:rPr>
        <w:t>’</w:t>
      </w:r>
      <w:r w:rsidR="00CA18D3" w:rsidRPr="00F02792">
        <w:rPr>
          <w:rFonts w:eastAsiaTheme="minorEastAsia"/>
          <w:color w:val="000000" w:themeColor="text1"/>
          <w:lang w:eastAsia="en-US"/>
        </w:rPr>
        <w:t>affaire. Cela signifie que, en cas d</w:t>
      </w:r>
      <w:r w:rsidR="00BB76F1">
        <w:rPr>
          <w:rFonts w:eastAsiaTheme="minorEastAsia"/>
          <w:color w:val="000000" w:themeColor="text1"/>
          <w:lang w:eastAsia="en-US"/>
        </w:rPr>
        <w:t>’</w:t>
      </w:r>
      <w:r w:rsidR="00CA18D3" w:rsidRPr="00F02792">
        <w:rPr>
          <w:rFonts w:eastAsiaTheme="minorEastAsia"/>
          <w:color w:val="000000" w:themeColor="text1"/>
          <w:lang w:eastAsia="en-US"/>
        </w:rPr>
        <w:t>échec de la médiation, l</w:t>
      </w:r>
      <w:r w:rsidR="00BB76F1">
        <w:rPr>
          <w:rFonts w:eastAsiaTheme="minorEastAsia"/>
          <w:color w:val="000000" w:themeColor="text1"/>
          <w:lang w:eastAsia="en-US"/>
        </w:rPr>
        <w:t>’</w:t>
      </w:r>
      <w:r w:rsidR="00CA18D3" w:rsidRPr="00F02792">
        <w:rPr>
          <w:rFonts w:eastAsiaTheme="minorEastAsia"/>
          <w:color w:val="000000" w:themeColor="text1"/>
          <w:lang w:eastAsia="en-US"/>
        </w:rPr>
        <w:t>instance pourra reprendre (et en réalité commencer) sans qu</w:t>
      </w:r>
      <w:r w:rsidR="00BB76F1">
        <w:rPr>
          <w:rFonts w:eastAsiaTheme="minorEastAsia"/>
          <w:color w:val="000000" w:themeColor="text1"/>
          <w:lang w:eastAsia="en-US"/>
        </w:rPr>
        <w:t>’</w:t>
      </w:r>
      <w:r w:rsidR="00CA18D3" w:rsidRPr="00F02792">
        <w:rPr>
          <w:rFonts w:eastAsiaTheme="minorEastAsia"/>
          <w:color w:val="000000" w:themeColor="text1"/>
          <w:lang w:eastAsia="en-US"/>
        </w:rPr>
        <w:t>un nouvel acte introductif d</w:t>
      </w:r>
      <w:r w:rsidR="00BB76F1">
        <w:rPr>
          <w:rFonts w:eastAsiaTheme="minorEastAsia"/>
          <w:color w:val="000000" w:themeColor="text1"/>
          <w:lang w:eastAsia="en-US"/>
        </w:rPr>
        <w:t>’</w:t>
      </w:r>
      <w:r w:rsidR="00CA18D3" w:rsidRPr="00F02792">
        <w:rPr>
          <w:rFonts w:eastAsiaTheme="minorEastAsia"/>
          <w:color w:val="000000" w:themeColor="text1"/>
          <w:lang w:eastAsia="en-US"/>
        </w:rPr>
        <w:t>instance soit requis</w:t>
      </w:r>
      <w:r w:rsidR="00CA18D3" w:rsidRPr="00F02792">
        <w:rPr>
          <w:rStyle w:val="Appelnotedebasdep"/>
          <w:rFonts w:eastAsiaTheme="minorEastAsia"/>
          <w:color w:val="000000" w:themeColor="text1"/>
          <w:lang w:eastAsia="en-US"/>
        </w:rPr>
        <w:footnoteReference w:id="44"/>
      </w:r>
      <w:r w:rsidR="00CA18D3" w:rsidRPr="00F02792">
        <w:rPr>
          <w:rFonts w:eastAsiaTheme="minorEastAsia"/>
          <w:color w:val="000000" w:themeColor="text1"/>
          <w:lang w:eastAsia="en-US"/>
        </w:rPr>
        <w:t xml:space="preserve">. </w:t>
      </w:r>
    </w:p>
    <w:p w14:paraId="25286455" w14:textId="199DD105" w:rsidR="006030F1" w:rsidRPr="00F02792" w:rsidRDefault="006030F1" w:rsidP="00CA18D3">
      <w:pPr>
        <w:spacing w:line="276" w:lineRule="auto"/>
        <w:jc w:val="both"/>
        <w:rPr>
          <w:rFonts w:eastAsiaTheme="minorEastAsia"/>
          <w:color w:val="000000" w:themeColor="text1"/>
          <w:lang w:eastAsia="en-US"/>
        </w:rPr>
      </w:pPr>
    </w:p>
    <w:p w14:paraId="566872E0" w14:textId="384DA72A" w:rsidR="006030F1" w:rsidRPr="00F02792" w:rsidRDefault="006030F1" w:rsidP="00CA18D3">
      <w:pPr>
        <w:spacing w:line="276" w:lineRule="auto"/>
        <w:jc w:val="both"/>
        <w:rPr>
          <w:rFonts w:eastAsiaTheme="minorEastAsia"/>
          <w:color w:val="000000" w:themeColor="text1"/>
        </w:rPr>
      </w:pPr>
      <w:r w:rsidRPr="00F02792">
        <w:rPr>
          <w:rFonts w:eastAsiaTheme="minorEastAsia"/>
          <w:color w:val="000000" w:themeColor="text1"/>
          <w:lang w:eastAsia="en-US"/>
        </w:rPr>
        <w:t>En l</w:t>
      </w:r>
      <w:r w:rsidR="00BB76F1">
        <w:rPr>
          <w:rFonts w:eastAsiaTheme="minorEastAsia"/>
          <w:color w:val="000000" w:themeColor="text1"/>
          <w:lang w:eastAsia="en-US"/>
        </w:rPr>
        <w:t>’</w:t>
      </w:r>
      <w:r w:rsidRPr="00F02792">
        <w:rPr>
          <w:rFonts w:eastAsiaTheme="minorEastAsia"/>
          <w:color w:val="000000" w:themeColor="text1"/>
          <w:lang w:eastAsia="en-US"/>
        </w:rPr>
        <w:t xml:space="preserve">état du droit positif, le droit </w:t>
      </w:r>
      <w:r w:rsidR="00C81D8B" w:rsidRPr="00F02792">
        <w:rPr>
          <w:rFonts w:eastAsiaTheme="minorEastAsia"/>
          <w:color w:val="000000" w:themeColor="text1"/>
          <w:lang w:eastAsia="en-US"/>
        </w:rPr>
        <w:t xml:space="preserve">judiciaire luxembourgeois ignore la </w:t>
      </w:r>
      <w:r w:rsidR="00C81D8B" w:rsidRPr="00F02792">
        <w:rPr>
          <w:color w:val="000000" w:themeColor="text1"/>
          <w:lang w:val="fr-FR"/>
        </w:rPr>
        <w:t>distinction entre pouvoir juridictionnel, compétence et répartition</w:t>
      </w:r>
      <w:r w:rsidR="00E53037" w:rsidRPr="00F02792">
        <w:rPr>
          <w:color w:val="000000" w:themeColor="text1"/>
          <w:lang w:val="fr-FR"/>
        </w:rPr>
        <w:t xml:space="preserve"> mais surtout </w:t>
      </w:r>
      <w:r w:rsidR="003E3441" w:rsidRPr="00F02792">
        <w:rPr>
          <w:color w:val="000000" w:themeColor="text1"/>
          <w:lang w:val="fr-FR"/>
        </w:rPr>
        <w:t>s</w:t>
      </w:r>
      <w:r w:rsidR="00BB76F1">
        <w:rPr>
          <w:color w:val="000000" w:themeColor="text1"/>
          <w:lang w:val="fr-FR"/>
        </w:rPr>
        <w:t>’</w:t>
      </w:r>
      <w:r w:rsidR="003E3441" w:rsidRPr="00F02792">
        <w:rPr>
          <w:color w:val="000000" w:themeColor="text1"/>
          <w:lang w:val="fr-FR"/>
        </w:rPr>
        <w:t>arc-boute</w:t>
      </w:r>
      <w:r w:rsidR="00B50F65" w:rsidRPr="00F02792">
        <w:rPr>
          <w:color w:val="000000" w:themeColor="text1"/>
          <w:lang w:val="fr-FR"/>
        </w:rPr>
        <w:t xml:space="preserve"> sur une conception </w:t>
      </w:r>
      <w:r w:rsidR="007047AE" w:rsidRPr="00F02792">
        <w:rPr>
          <w:color w:val="000000" w:themeColor="text1"/>
          <w:lang w:val="fr-FR"/>
        </w:rPr>
        <w:t xml:space="preserve">très rigide et formaliste </w:t>
      </w:r>
      <w:r w:rsidR="00B24B86" w:rsidRPr="00F02792">
        <w:rPr>
          <w:color w:val="000000" w:themeColor="text1"/>
          <w:lang w:val="fr-FR"/>
        </w:rPr>
        <w:t>de la compétence juridictionnelle au détriment de l</w:t>
      </w:r>
      <w:r w:rsidR="00BB76F1">
        <w:rPr>
          <w:color w:val="000000" w:themeColor="text1"/>
          <w:lang w:val="fr-FR"/>
        </w:rPr>
        <w:t>’</w:t>
      </w:r>
      <w:r w:rsidR="00B24B86" w:rsidRPr="00F02792">
        <w:rPr>
          <w:color w:val="000000" w:themeColor="text1"/>
          <w:lang w:val="fr-FR"/>
        </w:rPr>
        <w:t>accès au juge</w:t>
      </w:r>
      <w:r w:rsidR="00BA3A68" w:rsidRPr="00F02792">
        <w:rPr>
          <w:color w:val="000000" w:themeColor="text1"/>
          <w:lang w:val="fr-FR"/>
        </w:rPr>
        <w:t xml:space="preserve">. </w:t>
      </w:r>
      <w:r w:rsidR="000F366C" w:rsidRPr="00F02792">
        <w:rPr>
          <w:color w:val="000000" w:themeColor="text1"/>
          <w:lang w:val="fr-FR"/>
        </w:rPr>
        <w:t xml:space="preserve">Le droit comparé </w:t>
      </w:r>
      <w:r w:rsidR="00C67C36" w:rsidRPr="00F02792">
        <w:rPr>
          <w:color w:val="000000" w:themeColor="text1"/>
          <w:lang w:val="fr-FR"/>
        </w:rPr>
        <w:t>enseigne</w:t>
      </w:r>
      <w:r w:rsidR="00746933" w:rsidRPr="00F02792">
        <w:rPr>
          <w:color w:val="000000" w:themeColor="text1"/>
          <w:lang w:val="fr-FR"/>
        </w:rPr>
        <w:t xml:space="preserve"> au contraire </w:t>
      </w:r>
      <w:r w:rsidR="00EB0885" w:rsidRPr="00F02792">
        <w:rPr>
          <w:color w:val="000000" w:themeColor="text1"/>
          <w:lang w:val="fr-FR"/>
        </w:rPr>
        <w:t xml:space="preserve">la nécessité de distinguer </w:t>
      </w:r>
      <w:r w:rsidR="00DB3303" w:rsidRPr="00F02792">
        <w:rPr>
          <w:color w:val="000000" w:themeColor="text1"/>
          <w:lang w:val="fr-FR"/>
        </w:rPr>
        <w:t xml:space="preserve">entre les </w:t>
      </w:r>
      <w:r w:rsidR="00FE676B" w:rsidRPr="00F02792">
        <w:rPr>
          <w:color w:val="000000" w:themeColor="text1"/>
          <w:lang w:val="fr-FR"/>
        </w:rPr>
        <w:t xml:space="preserve">différents </w:t>
      </w:r>
      <w:r w:rsidR="00301B46" w:rsidRPr="00F02792">
        <w:rPr>
          <w:color w:val="000000" w:themeColor="text1"/>
          <w:lang w:val="fr-FR"/>
        </w:rPr>
        <w:t xml:space="preserve">cas </w:t>
      </w:r>
      <w:r w:rsidR="005F592B" w:rsidRPr="00F02792">
        <w:rPr>
          <w:color w:val="000000" w:themeColor="text1"/>
          <w:lang w:val="fr-FR"/>
        </w:rPr>
        <w:t xml:space="preserve">de saisine </w:t>
      </w:r>
      <w:r w:rsidR="008757BC" w:rsidRPr="00F02792">
        <w:rPr>
          <w:color w:val="000000" w:themeColor="text1"/>
          <w:lang w:val="fr-FR"/>
        </w:rPr>
        <w:t>erronée</w:t>
      </w:r>
      <w:r w:rsidR="00CA7055" w:rsidRPr="00F02792">
        <w:rPr>
          <w:color w:val="000000" w:themeColor="text1"/>
          <w:lang w:val="fr-FR"/>
        </w:rPr>
        <w:t xml:space="preserve"> du juge </w:t>
      </w:r>
      <w:r w:rsidR="002755D6" w:rsidRPr="00F02792">
        <w:rPr>
          <w:color w:val="000000" w:themeColor="text1"/>
          <w:lang w:val="fr-FR"/>
        </w:rPr>
        <w:t xml:space="preserve">et </w:t>
      </w:r>
      <w:r w:rsidR="00CC749F" w:rsidRPr="00F02792">
        <w:rPr>
          <w:color w:val="000000" w:themeColor="text1"/>
          <w:lang w:val="fr-FR"/>
        </w:rPr>
        <w:t>de faire primer l</w:t>
      </w:r>
      <w:r w:rsidR="00BB76F1">
        <w:rPr>
          <w:color w:val="000000" w:themeColor="text1"/>
          <w:lang w:val="fr-FR"/>
        </w:rPr>
        <w:t>’</w:t>
      </w:r>
      <w:r w:rsidR="00CC749F" w:rsidRPr="00F02792">
        <w:rPr>
          <w:color w:val="000000" w:themeColor="text1"/>
          <w:lang w:val="fr-FR"/>
        </w:rPr>
        <w:t xml:space="preserve">efficacité </w:t>
      </w:r>
      <w:r w:rsidR="007258B1" w:rsidRPr="00F02792">
        <w:rPr>
          <w:color w:val="000000" w:themeColor="text1"/>
          <w:lang w:val="fr-FR"/>
        </w:rPr>
        <w:t xml:space="preserve">de la </w:t>
      </w:r>
      <w:r w:rsidR="002A2AF8" w:rsidRPr="00F02792">
        <w:rPr>
          <w:color w:val="000000" w:themeColor="text1"/>
          <w:lang w:val="fr-FR"/>
        </w:rPr>
        <w:t xml:space="preserve">justice. </w:t>
      </w:r>
    </w:p>
    <w:p w14:paraId="71E5F0AC" w14:textId="77777777" w:rsidR="00CA18D3" w:rsidRPr="00F02792" w:rsidRDefault="00CA18D3" w:rsidP="00CA18D3">
      <w:pPr>
        <w:spacing w:line="276" w:lineRule="auto"/>
        <w:jc w:val="both"/>
        <w:rPr>
          <w:rFonts w:eastAsiaTheme="minorEastAsia"/>
          <w:color w:val="000000" w:themeColor="text1"/>
        </w:rPr>
      </w:pPr>
    </w:p>
    <w:p w14:paraId="2E07BFC4" w14:textId="66CF6E67" w:rsidR="00001733" w:rsidRPr="00F02792" w:rsidRDefault="00001733" w:rsidP="006C2194">
      <w:pPr>
        <w:spacing w:line="276" w:lineRule="auto"/>
        <w:jc w:val="both"/>
        <w:rPr>
          <w:b/>
          <w:bCs/>
          <w:color w:val="000000" w:themeColor="text1"/>
          <w:lang w:val="fr-FR"/>
        </w:rPr>
      </w:pPr>
      <w:r w:rsidRPr="00F02792">
        <w:rPr>
          <w:b/>
          <w:bCs/>
          <w:color w:val="000000" w:themeColor="text1"/>
          <w:lang w:val="fr-FR"/>
        </w:rPr>
        <w:t xml:space="preserve">II. </w:t>
      </w:r>
      <w:r w:rsidR="00203B4E" w:rsidRPr="00F02792">
        <w:rPr>
          <w:b/>
          <w:bCs/>
          <w:color w:val="000000" w:themeColor="text1"/>
          <w:lang w:val="fr-FR"/>
        </w:rPr>
        <w:t xml:space="preserve">De la distinction </w:t>
      </w:r>
      <w:r w:rsidR="0028748E" w:rsidRPr="00F02792">
        <w:rPr>
          <w:b/>
          <w:bCs/>
          <w:color w:val="000000" w:themeColor="text1"/>
          <w:lang w:val="fr-FR"/>
        </w:rPr>
        <w:t xml:space="preserve">entre </w:t>
      </w:r>
      <w:r w:rsidR="006421A1" w:rsidRPr="00F02792">
        <w:rPr>
          <w:b/>
          <w:bCs/>
          <w:color w:val="000000" w:themeColor="text1"/>
          <w:lang w:val="fr-FR"/>
        </w:rPr>
        <w:t>pouvoir</w:t>
      </w:r>
      <w:r w:rsidR="009734BF" w:rsidRPr="00F02792">
        <w:rPr>
          <w:b/>
          <w:bCs/>
          <w:color w:val="000000" w:themeColor="text1"/>
          <w:lang w:val="fr-FR"/>
        </w:rPr>
        <w:t xml:space="preserve"> juridictionnel</w:t>
      </w:r>
      <w:r w:rsidR="006421A1" w:rsidRPr="00F02792">
        <w:rPr>
          <w:b/>
          <w:bCs/>
          <w:color w:val="000000" w:themeColor="text1"/>
          <w:lang w:val="fr-FR"/>
        </w:rPr>
        <w:t xml:space="preserve">, compétence et </w:t>
      </w:r>
      <w:r w:rsidR="00A03532" w:rsidRPr="00F02792">
        <w:rPr>
          <w:b/>
          <w:bCs/>
          <w:color w:val="000000" w:themeColor="text1"/>
          <w:lang w:val="fr-FR"/>
        </w:rPr>
        <w:t xml:space="preserve">répartition </w:t>
      </w:r>
      <w:r w:rsidR="007B2C32" w:rsidRPr="00F02792">
        <w:rPr>
          <w:b/>
          <w:bCs/>
          <w:color w:val="000000" w:themeColor="text1"/>
          <w:lang w:val="fr-FR"/>
        </w:rPr>
        <w:t>et de leurs sanctions</w:t>
      </w:r>
      <w:r w:rsidR="006A706E" w:rsidRPr="00F02792">
        <w:rPr>
          <w:b/>
          <w:bCs/>
          <w:color w:val="000000" w:themeColor="text1"/>
          <w:lang w:val="fr-FR"/>
        </w:rPr>
        <w:t xml:space="preserve"> </w:t>
      </w:r>
      <w:r w:rsidR="007446B1" w:rsidRPr="00F02792">
        <w:rPr>
          <w:b/>
          <w:bCs/>
          <w:color w:val="000000" w:themeColor="text1"/>
          <w:lang w:val="fr-FR"/>
        </w:rPr>
        <w:t>à l</w:t>
      </w:r>
      <w:r w:rsidR="00BB76F1">
        <w:rPr>
          <w:b/>
          <w:bCs/>
          <w:color w:val="000000" w:themeColor="text1"/>
          <w:lang w:val="fr-FR"/>
        </w:rPr>
        <w:t>’</w:t>
      </w:r>
      <w:r w:rsidR="007446B1" w:rsidRPr="00F02792">
        <w:rPr>
          <w:b/>
          <w:bCs/>
          <w:color w:val="000000" w:themeColor="text1"/>
          <w:lang w:val="fr-FR"/>
        </w:rPr>
        <w:t>aune du</w:t>
      </w:r>
      <w:r w:rsidR="006A706E" w:rsidRPr="00F02792">
        <w:rPr>
          <w:b/>
          <w:bCs/>
          <w:color w:val="000000" w:themeColor="text1"/>
          <w:lang w:val="fr-FR"/>
        </w:rPr>
        <w:t xml:space="preserve"> droit comparé</w:t>
      </w:r>
    </w:p>
    <w:p w14:paraId="2F48EBE1" w14:textId="7853FAE0" w:rsidR="009851D1" w:rsidRPr="00F02792" w:rsidRDefault="009851D1" w:rsidP="006C2194">
      <w:pPr>
        <w:spacing w:line="276" w:lineRule="auto"/>
        <w:jc w:val="both"/>
        <w:rPr>
          <w:b/>
          <w:bCs/>
          <w:color w:val="FF0000"/>
          <w:lang w:val="fr-FR"/>
        </w:rPr>
      </w:pPr>
    </w:p>
    <w:p w14:paraId="5FF8C790" w14:textId="4AE613E0" w:rsidR="00AF3676" w:rsidRPr="00F02792" w:rsidRDefault="00AF3676" w:rsidP="00AF3676">
      <w:pPr>
        <w:spacing w:line="276" w:lineRule="auto"/>
        <w:jc w:val="both"/>
        <w:rPr>
          <w:lang w:val="fr-FR"/>
        </w:rPr>
      </w:pPr>
      <w:r w:rsidRPr="00F02792">
        <w:rPr>
          <w:color w:val="000000" w:themeColor="text1"/>
          <w:lang w:val="fr-FR"/>
        </w:rPr>
        <w:t>« Une grande confusion</w:t>
      </w:r>
      <w:r w:rsidR="005D0BAE" w:rsidRPr="00F02792">
        <w:rPr>
          <w:rStyle w:val="Appelnotedebasdep"/>
          <w:color w:val="000000" w:themeColor="text1"/>
          <w:lang w:val="fr-FR"/>
        </w:rPr>
        <w:footnoteReference w:id="45"/>
      </w:r>
      <w:r w:rsidRPr="00F02792">
        <w:rPr>
          <w:color w:val="000000" w:themeColor="text1"/>
          <w:lang w:val="fr-FR"/>
        </w:rPr>
        <w:t xml:space="preserve"> règne souvent pour distinguer entre la </w:t>
      </w:r>
      <w:r w:rsidRPr="00F02792">
        <w:rPr>
          <w:lang w:val="fr-FR"/>
        </w:rPr>
        <w:t>compétence et la recevabilité, respectivement l</w:t>
      </w:r>
      <w:r w:rsidR="00BB76F1">
        <w:rPr>
          <w:lang w:val="fr-FR"/>
        </w:rPr>
        <w:t>’</w:t>
      </w:r>
      <w:r w:rsidRPr="00F02792">
        <w:rPr>
          <w:lang w:val="fr-FR"/>
        </w:rPr>
        <w:t>incompétence et l</w:t>
      </w:r>
      <w:r w:rsidR="00BB76F1">
        <w:rPr>
          <w:lang w:val="fr-FR"/>
        </w:rPr>
        <w:t>’</w:t>
      </w:r>
      <w:r w:rsidRPr="00F02792">
        <w:rPr>
          <w:lang w:val="fr-FR"/>
        </w:rPr>
        <w:t>irrecevabilité, de sorte qu</w:t>
      </w:r>
      <w:r w:rsidR="00BB76F1">
        <w:rPr>
          <w:lang w:val="fr-FR"/>
        </w:rPr>
        <w:t>’</w:t>
      </w:r>
      <w:r w:rsidRPr="00F02792">
        <w:rPr>
          <w:lang w:val="fr-FR"/>
        </w:rPr>
        <w:t>il paraît utile de mettre en évidence, ne serait-ce qu</w:t>
      </w:r>
      <w:r w:rsidR="00BB76F1">
        <w:rPr>
          <w:lang w:val="fr-FR"/>
        </w:rPr>
        <w:t>’</w:t>
      </w:r>
      <w:r w:rsidRPr="00F02792">
        <w:rPr>
          <w:lang w:val="fr-FR"/>
        </w:rPr>
        <w:t>en termes généraux, cette distinction »</w:t>
      </w:r>
      <w:r w:rsidRPr="00F02792">
        <w:rPr>
          <w:rStyle w:val="Appelnotedebasdep"/>
          <w:lang w:val="fr-FR"/>
        </w:rPr>
        <w:footnoteReference w:id="46"/>
      </w:r>
      <w:r w:rsidRPr="00F02792">
        <w:rPr>
          <w:lang w:val="fr-FR"/>
        </w:rPr>
        <w:t>. C</w:t>
      </w:r>
      <w:r w:rsidR="00BB76F1">
        <w:rPr>
          <w:lang w:val="fr-FR"/>
        </w:rPr>
        <w:t>’</w:t>
      </w:r>
      <w:r w:rsidRPr="00F02792">
        <w:rPr>
          <w:lang w:val="fr-FR"/>
        </w:rPr>
        <w:t>est ce que nous nous proposons de faire ici en empruntant au droit comparé et au droit processuel pour mieux mettre en avant les spécificités -critiquables- du droit judiciaire luxembourgeois en la matière.</w:t>
      </w:r>
      <w:r w:rsidR="007D4E5B" w:rsidRPr="00F02792">
        <w:rPr>
          <w:lang w:val="fr-FR"/>
        </w:rPr>
        <w:t xml:space="preserve"> </w:t>
      </w:r>
      <w:r w:rsidR="00605F89" w:rsidRPr="00F02792">
        <w:rPr>
          <w:lang w:val="fr-FR"/>
        </w:rPr>
        <w:t>Le</w:t>
      </w:r>
      <w:r w:rsidR="00CD2517" w:rsidRPr="00F02792">
        <w:rPr>
          <w:lang w:val="fr-FR"/>
        </w:rPr>
        <w:t>s</w:t>
      </w:r>
      <w:r w:rsidR="00605F89" w:rsidRPr="00F02792">
        <w:rPr>
          <w:lang w:val="fr-FR"/>
        </w:rPr>
        <w:t xml:space="preserve"> droit</w:t>
      </w:r>
      <w:r w:rsidR="00CD2517" w:rsidRPr="00F02792">
        <w:rPr>
          <w:lang w:val="fr-FR"/>
        </w:rPr>
        <w:t>s</w:t>
      </w:r>
      <w:r w:rsidR="00605F89" w:rsidRPr="00F02792">
        <w:rPr>
          <w:lang w:val="fr-FR"/>
        </w:rPr>
        <w:t xml:space="preserve"> belge</w:t>
      </w:r>
      <w:r w:rsidR="00CE0DC3" w:rsidRPr="00F02792">
        <w:rPr>
          <w:lang w:val="fr-FR"/>
        </w:rPr>
        <w:t xml:space="preserve"> (A)</w:t>
      </w:r>
      <w:r w:rsidR="000633CB" w:rsidRPr="00F02792">
        <w:rPr>
          <w:lang w:val="fr-FR"/>
        </w:rPr>
        <w:t xml:space="preserve"> </w:t>
      </w:r>
      <w:r w:rsidR="00CD2517" w:rsidRPr="00F02792">
        <w:rPr>
          <w:lang w:val="fr-FR"/>
        </w:rPr>
        <w:t>et français</w:t>
      </w:r>
      <w:r w:rsidR="000633CB" w:rsidRPr="00F02792">
        <w:rPr>
          <w:lang w:val="fr-FR"/>
        </w:rPr>
        <w:t xml:space="preserve"> </w:t>
      </w:r>
      <w:r w:rsidR="00CE0DC3" w:rsidRPr="00F02792">
        <w:rPr>
          <w:lang w:val="fr-FR"/>
        </w:rPr>
        <w:t xml:space="preserve">(B) </w:t>
      </w:r>
      <w:r w:rsidR="004A29F2" w:rsidRPr="00F02792">
        <w:rPr>
          <w:lang w:val="fr-FR"/>
        </w:rPr>
        <w:t>serviront de référence</w:t>
      </w:r>
      <w:r w:rsidR="00E4733B" w:rsidRPr="00F02792">
        <w:rPr>
          <w:lang w:val="fr-FR"/>
        </w:rPr>
        <w:t xml:space="preserve"> mais </w:t>
      </w:r>
      <w:r w:rsidR="00E6234D" w:rsidRPr="00F02792">
        <w:rPr>
          <w:lang w:val="fr-FR"/>
        </w:rPr>
        <w:t>des solutions comparables</w:t>
      </w:r>
      <w:r w:rsidR="00740D44" w:rsidRPr="00F02792">
        <w:rPr>
          <w:lang w:val="fr-FR"/>
        </w:rPr>
        <w:t xml:space="preserve"> </w:t>
      </w:r>
      <w:r w:rsidR="000526D8" w:rsidRPr="00F02792">
        <w:rPr>
          <w:lang w:val="fr-FR"/>
        </w:rPr>
        <w:t xml:space="preserve">sont </w:t>
      </w:r>
      <w:r w:rsidR="008B1251" w:rsidRPr="00F02792">
        <w:rPr>
          <w:lang w:val="fr-FR"/>
        </w:rPr>
        <w:t xml:space="preserve">consacrées </w:t>
      </w:r>
      <w:r w:rsidR="001523E4" w:rsidRPr="00F02792">
        <w:rPr>
          <w:lang w:val="fr-FR"/>
        </w:rPr>
        <w:t>ailleurs</w:t>
      </w:r>
      <w:r w:rsidR="001523E4" w:rsidRPr="00F02792">
        <w:rPr>
          <w:rStyle w:val="Appelnotedebasdep"/>
          <w:lang w:val="fr-FR"/>
        </w:rPr>
        <w:footnoteReference w:id="47"/>
      </w:r>
      <w:r w:rsidR="001523E4" w:rsidRPr="00F02792">
        <w:rPr>
          <w:lang w:val="fr-FR"/>
        </w:rPr>
        <w:t>.</w:t>
      </w:r>
      <w:r w:rsidR="00AB51A8" w:rsidRPr="00F02792">
        <w:rPr>
          <w:lang w:val="fr-FR"/>
        </w:rPr>
        <w:t xml:space="preserve"> </w:t>
      </w:r>
    </w:p>
    <w:p w14:paraId="4C62D34F" w14:textId="24A9FC3D" w:rsidR="008821EA" w:rsidRPr="00F02792" w:rsidRDefault="00CA27EE" w:rsidP="00AF3676">
      <w:pPr>
        <w:spacing w:line="276" w:lineRule="auto"/>
        <w:jc w:val="both"/>
        <w:rPr>
          <w:b/>
          <w:bCs/>
          <w:color w:val="000000" w:themeColor="text1"/>
          <w:lang w:val="fr-FR"/>
        </w:rPr>
      </w:pPr>
      <w:r w:rsidRPr="00F02792">
        <w:rPr>
          <w:b/>
          <w:bCs/>
          <w:color w:val="000000" w:themeColor="text1"/>
          <w:lang w:val="fr-FR"/>
        </w:rPr>
        <w:lastRenderedPageBreak/>
        <w:t>A. Le droit belge</w:t>
      </w:r>
    </w:p>
    <w:p w14:paraId="17E85F0F" w14:textId="6E1FAE2D" w:rsidR="00FE46C2" w:rsidRPr="00F02792" w:rsidRDefault="00FE46C2" w:rsidP="00515E4B">
      <w:pPr>
        <w:spacing w:line="276" w:lineRule="auto"/>
        <w:jc w:val="both"/>
        <w:rPr>
          <w:color w:val="000000" w:themeColor="text1"/>
          <w:lang w:val="fr-FR"/>
        </w:rPr>
      </w:pPr>
    </w:p>
    <w:p w14:paraId="6DF81263" w14:textId="1D0D0793" w:rsidR="00C700E4" w:rsidRPr="00F02792" w:rsidRDefault="00C700E4" w:rsidP="00C700E4">
      <w:pPr>
        <w:tabs>
          <w:tab w:val="left" w:pos="1040"/>
        </w:tabs>
        <w:spacing w:line="276" w:lineRule="auto"/>
        <w:jc w:val="both"/>
        <w:rPr>
          <w:color w:val="000000" w:themeColor="text1"/>
          <w:lang w:val="fr-FR"/>
        </w:rPr>
      </w:pPr>
      <w:r w:rsidRPr="00F02792">
        <w:rPr>
          <w:color w:val="000000" w:themeColor="text1"/>
          <w:lang w:val="fr-FR"/>
        </w:rPr>
        <w:t>Empruntons à Jacques Englebert et au droit judiciaire belge les distinctions entre le pouvoir de juridiction, la compétence et la répartition des causes :</w:t>
      </w:r>
    </w:p>
    <w:p w14:paraId="60E64B09" w14:textId="77777777" w:rsidR="00C700E4" w:rsidRPr="00F02792" w:rsidRDefault="00C700E4" w:rsidP="00C700E4">
      <w:pPr>
        <w:tabs>
          <w:tab w:val="left" w:pos="1040"/>
        </w:tabs>
        <w:spacing w:line="276" w:lineRule="auto"/>
        <w:jc w:val="both"/>
        <w:rPr>
          <w:color w:val="000000" w:themeColor="text1"/>
          <w:lang w:val="fr-FR"/>
        </w:rPr>
      </w:pPr>
    </w:p>
    <w:p w14:paraId="7DD987D6" w14:textId="0FEDA70A" w:rsidR="00C700E4" w:rsidRPr="00F02792" w:rsidRDefault="00C700E4" w:rsidP="00C700E4">
      <w:pPr>
        <w:pStyle w:val="Paragraphedeliste"/>
        <w:numPr>
          <w:ilvl w:val="0"/>
          <w:numId w:val="3"/>
        </w:numPr>
        <w:tabs>
          <w:tab w:val="left" w:pos="1040"/>
        </w:tabs>
        <w:spacing w:line="276" w:lineRule="auto"/>
        <w:jc w:val="both"/>
        <w:rPr>
          <w:color w:val="000000" w:themeColor="text1"/>
          <w:lang w:val="fr-FR"/>
        </w:rPr>
      </w:pPr>
      <w:r w:rsidRPr="00F02792">
        <w:rPr>
          <w:color w:val="000000" w:themeColor="text1"/>
          <w:lang w:val="fr-FR"/>
        </w:rPr>
        <w:t xml:space="preserve">« Le </w:t>
      </w:r>
      <w:r w:rsidRPr="00F02792">
        <w:rPr>
          <w:i/>
          <w:iCs/>
          <w:color w:val="000000" w:themeColor="text1"/>
          <w:lang w:val="fr-FR"/>
        </w:rPr>
        <w:t>pouvoir de juridiction</w:t>
      </w:r>
      <w:r w:rsidRPr="00F02792">
        <w:rPr>
          <w:color w:val="000000" w:themeColor="text1"/>
          <w:lang w:val="fr-FR"/>
        </w:rPr>
        <w:t xml:space="preserve"> concerne le point de savoir si le pouvoir de trancher la contestation relève bien des attributions du pouvoir judiciaire belge. Tel ne sera notamment pas le cas si les parties ont convenu de soumettre leur litige à l</w:t>
      </w:r>
      <w:r w:rsidR="00BB76F1">
        <w:rPr>
          <w:color w:val="000000" w:themeColor="text1"/>
          <w:lang w:val="fr-FR"/>
        </w:rPr>
        <w:t>’</w:t>
      </w:r>
      <w:r w:rsidRPr="00F02792">
        <w:rPr>
          <w:color w:val="000000" w:themeColor="text1"/>
          <w:lang w:val="fr-FR"/>
        </w:rPr>
        <w:t>arbitrage ou que leur litige relève de la compétence des juridictions d</w:t>
      </w:r>
      <w:r w:rsidR="00BB76F1">
        <w:rPr>
          <w:color w:val="000000" w:themeColor="text1"/>
          <w:lang w:val="fr-FR"/>
        </w:rPr>
        <w:t>’</w:t>
      </w:r>
      <w:r w:rsidRPr="00F02792">
        <w:rPr>
          <w:color w:val="000000" w:themeColor="text1"/>
          <w:lang w:val="fr-FR"/>
        </w:rPr>
        <w:t>un autre Etat »</w:t>
      </w:r>
      <w:r w:rsidRPr="00F02792">
        <w:rPr>
          <w:rStyle w:val="Appelnotedebasdep"/>
          <w:color w:val="000000" w:themeColor="text1"/>
          <w:lang w:val="fr-FR"/>
        </w:rPr>
        <w:footnoteReference w:id="48"/>
      </w:r>
      <w:r w:rsidRPr="00F02792">
        <w:rPr>
          <w:color w:val="000000" w:themeColor="text1"/>
          <w:lang w:val="fr-FR"/>
        </w:rPr>
        <w:t>. On parle aussi d</w:t>
      </w:r>
      <w:r w:rsidR="00BB76F1">
        <w:rPr>
          <w:color w:val="000000" w:themeColor="text1"/>
          <w:lang w:val="fr-FR"/>
        </w:rPr>
        <w:t>’</w:t>
      </w:r>
      <w:r w:rsidRPr="00F02792">
        <w:rPr>
          <w:color w:val="000000" w:themeColor="text1"/>
          <w:lang w:val="fr-FR"/>
        </w:rPr>
        <w:t>attributions qui s</w:t>
      </w:r>
      <w:r w:rsidR="00BB76F1">
        <w:rPr>
          <w:color w:val="000000" w:themeColor="text1"/>
          <w:lang w:val="fr-FR"/>
        </w:rPr>
        <w:t>’</w:t>
      </w:r>
      <w:r w:rsidRPr="00F02792">
        <w:rPr>
          <w:color w:val="000000" w:themeColor="text1"/>
          <w:lang w:val="fr-FR"/>
        </w:rPr>
        <w:t>entendent des prérogatives qui reviennent et appartiennent à l</w:t>
      </w:r>
      <w:r w:rsidR="00BB76F1">
        <w:rPr>
          <w:color w:val="000000" w:themeColor="text1"/>
          <w:lang w:val="fr-FR"/>
        </w:rPr>
        <w:t>’</w:t>
      </w:r>
      <w:r w:rsidRPr="00F02792">
        <w:rPr>
          <w:color w:val="000000" w:themeColor="text1"/>
          <w:lang w:val="fr-FR"/>
        </w:rPr>
        <w:t>Etat et aux différents pouvoirs qui le composent. S</w:t>
      </w:r>
      <w:r w:rsidR="00BB76F1">
        <w:rPr>
          <w:color w:val="000000" w:themeColor="text1"/>
          <w:lang w:val="fr-FR"/>
        </w:rPr>
        <w:t>’</w:t>
      </w:r>
      <w:r w:rsidRPr="00F02792">
        <w:rPr>
          <w:color w:val="000000" w:themeColor="text1"/>
          <w:lang w:val="fr-FR"/>
        </w:rPr>
        <w:t>agissant de l</w:t>
      </w:r>
      <w:r w:rsidR="00BB76F1">
        <w:rPr>
          <w:color w:val="000000" w:themeColor="text1"/>
          <w:lang w:val="fr-FR"/>
        </w:rPr>
        <w:t>’</w:t>
      </w:r>
      <w:r w:rsidRPr="00F02792">
        <w:rPr>
          <w:color w:val="000000" w:themeColor="text1"/>
          <w:lang w:val="fr-FR"/>
        </w:rPr>
        <w:t>administration de la justice, les « attributions » fixent les contours de ce qui revient au juge national tout autant que ce qui, au sein de l</w:t>
      </w:r>
      <w:r w:rsidR="00BB76F1">
        <w:rPr>
          <w:color w:val="000000" w:themeColor="text1"/>
          <w:lang w:val="fr-FR"/>
        </w:rPr>
        <w:t>’</w:t>
      </w:r>
      <w:r w:rsidRPr="00F02792">
        <w:rPr>
          <w:color w:val="000000" w:themeColor="text1"/>
          <w:lang w:val="fr-FR"/>
        </w:rPr>
        <w:t>Etat revient aux juridictions de l</w:t>
      </w:r>
      <w:r w:rsidR="00BB76F1">
        <w:rPr>
          <w:color w:val="000000" w:themeColor="text1"/>
          <w:lang w:val="fr-FR"/>
        </w:rPr>
        <w:t>’</w:t>
      </w:r>
      <w:r w:rsidRPr="00F02792">
        <w:rPr>
          <w:color w:val="000000" w:themeColor="text1"/>
          <w:lang w:val="fr-FR"/>
        </w:rPr>
        <w:t>ordre judiciaire</w:t>
      </w:r>
    </w:p>
    <w:p w14:paraId="1D3D0857" w14:textId="77777777" w:rsidR="00C700E4" w:rsidRPr="00F02792" w:rsidRDefault="00C700E4" w:rsidP="00C700E4">
      <w:pPr>
        <w:tabs>
          <w:tab w:val="left" w:pos="1040"/>
        </w:tabs>
        <w:spacing w:line="276" w:lineRule="auto"/>
        <w:jc w:val="both"/>
        <w:rPr>
          <w:color w:val="000000" w:themeColor="text1"/>
          <w:lang w:val="fr-FR"/>
        </w:rPr>
      </w:pPr>
    </w:p>
    <w:p w14:paraId="4975C526" w14:textId="287C71B3" w:rsidR="00C700E4" w:rsidRPr="00F02792" w:rsidRDefault="00C700E4" w:rsidP="00C700E4">
      <w:pPr>
        <w:pStyle w:val="Paragraphedeliste"/>
        <w:numPr>
          <w:ilvl w:val="0"/>
          <w:numId w:val="3"/>
        </w:numPr>
        <w:tabs>
          <w:tab w:val="left" w:pos="1040"/>
        </w:tabs>
        <w:spacing w:line="276" w:lineRule="auto"/>
        <w:jc w:val="both"/>
        <w:rPr>
          <w:color w:val="000000" w:themeColor="text1"/>
          <w:lang w:val="fr-FR"/>
        </w:rPr>
      </w:pPr>
      <w:r w:rsidRPr="00F02792">
        <w:rPr>
          <w:color w:val="000000" w:themeColor="text1"/>
          <w:lang w:val="fr-FR"/>
        </w:rPr>
        <w:t xml:space="preserve">« Les règles de </w:t>
      </w:r>
      <w:r w:rsidRPr="00F02792">
        <w:rPr>
          <w:i/>
          <w:iCs/>
          <w:color w:val="000000" w:themeColor="text1"/>
          <w:lang w:val="fr-FR"/>
        </w:rPr>
        <w:t>compétence</w:t>
      </w:r>
      <w:r w:rsidRPr="00F02792">
        <w:rPr>
          <w:color w:val="000000" w:themeColor="text1"/>
          <w:lang w:val="fr-FR"/>
        </w:rPr>
        <w:t xml:space="preserve"> ont pour objet de répartir le pouvoir de juger entre les cours et tribunaux au sein de l</w:t>
      </w:r>
      <w:r w:rsidR="00BB76F1">
        <w:rPr>
          <w:color w:val="000000" w:themeColor="text1"/>
          <w:lang w:val="fr-FR"/>
        </w:rPr>
        <w:t>’</w:t>
      </w:r>
      <w:r w:rsidRPr="00F02792">
        <w:rPr>
          <w:color w:val="000000" w:themeColor="text1"/>
          <w:lang w:val="fr-FR"/>
        </w:rPr>
        <w:t>ordre judiciaire. Un déclinatoire de compétence peut ainsi être soulevé et le tribunal saisi peut, le cas échéant, se déclarer incompétent, lorsqu</w:t>
      </w:r>
      <w:r w:rsidR="00BB76F1">
        <w:rPr>
          <w:color w:val="000000" w:themeColor="text1"/>
          <w:lang w:val="fr-FR"/>
        </w:rPr>
        <w:t>’</w:t>
      </w:r>
      <w:r w:rsidRPr="00F02792">
        <w:rPr>
          <w:color w:val="000000" w:themeColor="text1"/>
          <w:lang w:val="fr-FR"/>
        </w:rPr>
        <w:t>une partie a commis une erreur dans le choix du tribunal de l</w:t>
      </w:r>
      <w:r w:rsidR="00BB76F1">
        <w:rPr>
          <w:color w:val="000000" w:themeColor="text1"/>
          <w:lang w:val="fr-FR"/>
        </w:rPr>
        <w:t>’</w:t>
      </w:r>
      <w:r w:rsidRPr="00F02792">
        <w:rPr>
          <w:color w:val="000000" w:themeColor="text1"/>
          <w:lang w:val="fr-FR"/>
        </w:rPr>
        <w:t>ordre judiciaire »</w:t>
      </w:r>
      <w:r w:rsidRPr="00F02792">
        <w:rPr>
          <w:rStyle w:val="Appelnotedebasdep"/>
          <w:color w:val="000000" w:themeColor="text1"/>
          <w:lang w:val="fr-FR"/>
        </w:rPr>
        <w:footnoteReference w:id="49"/>
      </w:r>
      <w:r w:rsidRPr="00F02792">
        <w:rPr>
          <w:color w:val="000000" w:themeColor="text1"/>
          <w:lang w:val="fr-FR"/>
        </w:rPr>
        <w:t>. Les compétences recouvrent, au sein du pouvoir judiciaire, les charges que chacun des juges de cet ordre se voit reconnaître tant en fonction d</w:t>
      </w:r>
      <w:r w:rsidR="00BB76F1">
        <w:rPr>
          <w:color w:val="000000" w:themeColor="text1"/>
          <w:lang w:val="fr-FR"/>
        </w:rPr>
        <w:t>’</w:t>
      </w:r>
      <w:r w:rsidRPr="00F02792">
        <w:rPr>
          <w:color w:val="000000" w:themeColor="text1"/>
          <w:lang w:val="fr-FR"/>
        </w:rPr>
        <w:t>un critère matériel (compétence matérielle) que géographique (compétence territoriale).</w:t>
      </w:r>
    </w:p>
    <w:p w14:paraId="461930F3" w14:textId="77777777" w:rsidR="00C700E4" w:rsidRPr="00F02792" w:rsidRDefault="00C700E4" w:rsidP="00C700E4">
      <w:pPr>
        <w:pStyle w:val="Paragraphedeliste"/>
        <w:spacing w:line="276" w:lineRule="auto"/>
        <w:jc w:val="both"/>
        <w:rPr>
          <w:color w:val="000000" w:themeColor="text1"/>
          <w:lang w:val="fr-FR"/>
        </w:rPr>
      </w:pPr>
    </w:p>
    <w:p w14:paraId="4F77B491" w14:textId="3E50DE2D" w:rsidR="00C700E4" w:rsidRPr="00F02792" w:rsidRDefault="00C700E4" w:rsidP="00C700E4">
      <w:pPr>
        <w:pStyle w:val="Paragraphedeliste"/>
        <w:numPr>
          <w:ilvl w:val="0"/>
          <w:numId w:val="3"/>
        </w:numPr>
        <w:tabs>
          <w:tab w:val="left" w:pos="1040"/>
        </w:tabs>
        <w:spacing w:line="276" w:lineRule="auto"/>
        <w:jc w:val="both"/>
        <w:rPr>
          <w:color w:val="000000" w:themeColor="text1"/>
          <w:lang w:val="fr-FR"/>
        </w:rPr>
      </w:pPr>
      <w:r w:rsidRPr="00F02792">
        <w:rPr>
          <w:color w:val="000000" w:themeColor="text1"/>
          <w:lang w:val="fr-FR"/>
        </w:rPr>
        <w:t>« L</w:t>
      </w:r>
      <w:r w:rsidR="00BB76F1">
        <w:rPr>
          <w:color w:val="000000" w:themeColor="text1"/>
          <w:lang w:val="fr-FR"/>
        </w:rPr>
        <w:t>’</w:t>
      </w:r>
      <w:r w:rsidRPr="00F02792">
        <w:rPr>
          <w:color w:val="000000" w:themeColor="text1"/>
          <w:lang w:val="fr-FR"/>
        </w:rPr>
        <w:t xml:space="preserve">incident de </w:t>
      </w:r>
      <w:r w:rsidRPr="00F02792">
        <w:rPr>
          <w:i/>
          <w:iCs/>
          <w:color w:val="000000" w:themeColor="text1"/>
          <w:lang w:val="fr-FR"/>
        </w:rPr>
        <w:t xml:space="preserve">répartition </w:t>
      </w:r>
      <w:r w:rsidRPr="00F02792">
        <w:rPr>
          <w:color w:val="000000" w:themeColor="text1"/>
          <w:lang w:val="fr-FR"/>
        </w:rPr>
        <w:t>apparaît lorsqu</w:t>
      </w:r>
      <w:r w:rsidR="00BB76F1">
        <w:rPr>
          <w:color w:val="000000" w:themeColor="text1"/>
          <w:lang w:val="fr-FR"/>
        </w:rPr>
        <w:t>’</w:t>
      </w:r>
      <w:r w:rsidRPr="00F02792">
        <w:rPr>
          <w:color w:val="000000" w:themeColor="text1"/>
          <w:lang w:val="fr-FR"/>
        </w:rPr>
        <w:t>il y a un problème de répartition des affaires entre les divisions, les sections, les chambres ou les juges d</w:t>
      </w:r>
      <w:r w:rsidR="00BB76F1">
        <w:rPr>
          <w:color w:val="000000" w:themeColor="text1"/>
          <w:lang w:val="fr-FR"/>
        </w:rPr>
        <w:t>’</w:t>
      </w:r>
      <w:r w:rsidRPr="00F02792">
        <w:rPr>
          <w:color w:val="000000" w:themeColor="text1"/>
          <w:lang w:val="fr-FR"/>
        </w:rPr>
        <w:t>une même juridiction »</w:t>
      </w:r>
      <w:r w:rsidRPr="00F02792">
        <w:rPr>
          <w:rStyle w:val="Appelnotedebasdep"/>
          <w:color w:val="000000" w:themeColor="text1"/>
          <w:lang w:val="fr-FR"/>
        </w:rPr>
        <w:footnoteReference w:id="50"/>
      </w:r>
      <w:r w:rsidRPr="00F02792">
        <w:rPr>
          <w:color w:val="000000" w:themeColor="text1"/>
          <w:lang w:val="fr-FR"/>
        </w:rPr>
        <w:t>.</w:t>
      </w:r>
      <w:bookmarkStart w:id="1" w:name="h.3znysh7" w:colFirst="0" w:colLast="0"/>
      <w:bookmarkEnd w:id="1"/>
    </w:p>
    <w:p w14:paraId="3E56F3CB" w14:textId="77777777" w:rsidR="00C700E4" w:rsidRPr="00F02792" w:rsidRDefault="00C700E4" w:rsidP="00C700E4">
      <w:pPr>
        <w:spacing w:line="276" w:lineRule="auto"/>
        <w:jc w:val="both"/>
        <w:rPr>
          <w:color w:val="000000" w:themeColor="text1"/>
          <w:lang w:val="fr-FR"/>
        </w:rPr>
      </w:pPr>
      <w:bookmarkStart w:id="2" w:name="h.tyjcwt" w:colFirst="0" w:colLast="0"/>
      <w:bookmarkEnd w:id="2"/>
    </w:p>
    <w:p w14:paraId="4343D81A" w14:textId="72655853" w:rsidR="000B244D" w:rsidRPr="00F02792" w:rsidRDefault="00C700E4" w:rsidP="0009409C">
      <w:pPr>
        <w:spacing w:line="276" w:lineRule="auto"/>
        <w:jc w:val="both"/>
        <w:rPr>
          <w:color w:val="000000" w:themeColor="text1"/>
          <w:lang w:val="fr-FR"/>
        </w:rPr>
      </w:pPr>
      <w:r w:rsidRPr="00F02792">
        <w:rPr>
          <w:color w:val="000000" w:themeColor="text1"/>
          <w:lang w:val="fr-FR"/>
        </w:rPr>
        <w:lastRenderedPageBreak/>
        <w:t xml:space="preserve">Cette triple distinction </w:t>
      </w:r>
      <w:r w:rsidR="008E4915" w:rsidRPr="00F02792">
        <w:rPr>
          <w:color w:val="000000" w:themeColor="text1"/>
          <w:lang w:val="fr-FR"/>
        </w:rPr>
        <w:t xml:space="preserve">emporte des </w:t>
      </w:r>
      <w:r w:rsidR="00F63FAE" w:rsidRPr="00F02792">
        <w:rPr>
          <w:color w:val="000000" w:themeColor="text1"/>
          <w:lang w:val="fr-FR"/>
        </w:rPr>
        <w:t>effets</w:t>
      </w:r>
      <w:r w:rsidR="008E4915" w:rsidRPr="00F02792">
        <w:rPr>
          <w:color w:val="000000" w:themeColor="text1"/>
          <w:lang w:val="fr-FR"/>
        </w:rPr>
        <w:t xml:space="preserve"> pratiques entre</w:t>
      </w:r>
      <w:r w:rsidRPr="00F02792">
        <w:rPr>
          <w:color w:val="000000" w:themeColor="text1"/>
          <w:lang w:val="fr-FR"/>
        </w:rPr>
        <w:t xml:space="preserve"> le déclinatoire de juridictio</w:t>
      </w:r>
      <w:r w:rsidR="008E4915" w:rsidRPr="00F02792">
        <w:rPr>
          <w:color w:val="000000" w:themeColor="text1"/>
          <w:lang w:val="fr-FR"/>
        </w:rPr>
        <w:t xml:space="preserve">n, le </w:t>
      </w:r>
      <w:r w:rsidRPr="00F02792">
        <w:rPr>
          <w:color w:val="000000" w:themeColor="text1"/>
          <w:lang w:val="fr-FR"/>
        </w:rPr>
        <w:t>déclinatoire de compétence</w:t>
      </w:r>
      <w:r w:rsidR="00B41961" w:rsidRPr="00F02792">
        <w:rPr>
          <w:color w:val="000000" w:themeColor="text1"/>
          <w:lang w:val="fr-FR"/>
        </w:rPr>
        <w:t xml:space="preserve"> et </w:t>
      </w:r>
      <w:r w:rsidRPr="00F02792">
        <w:rPr>
          <w:color w:val="000000" w:themeColor="text1"/>
          <w:lang w:val="fr-FR"/>
        </w:rPr>
        <w:t>l</w:t>
      </w:r>
      <w:r w:rsidR="00BB76F1">
        <w:rPr>
          <w:color w:val="000000" w:themeColor="text1"/>
          <w:lang w:val="fr-FR"/>
        </w:rPr>
        <w:t>’</w:t>
      </w:r>
      <w:r w:rsidRPr="00F02792">
        <w:rPr>
          <w:color w:val="000000" w:themeColor="text1"/>
          <w:lang w:val="fr-FR"/>
        </w:rPr>
        <w:t xml:space="preserve">incident de répartition </w:t>
      </w:r>
      <w:r w:rsidR="00D222A5" w:rsidRPr="00F02792">
        <w:rPr>
          <w:color w:val="000000" w:themeColor="text1"/>
          <w:lang w:val="fr-FR"/>
        </w:rPr>
        <w:t>qui sont réglés</w:t>
      </w:r>
      <w:r w:rsidRPr="00F02792">
        <w:rPr>
          <w:color w:val="000000" w:themeColor="text1"/>
          <w:lang w:val="fr-FR"/>
        </w:rPr>
        <w:t xml:space="preserve"> de manière </w:t>
      </w:r>
      <w:r w:rsidR="00D222A5" w:rsidRPr="00F02792">
        <w:rPr>
          <w:color w:val="000000" w:themeColor="text1"/>
          <w:lang w:val="fr-FR"/>
        </w:rPr>
        <w:t>distincte.</w:t>
      </w:r>
      <w:r w:rsidR="008C1623" w:rsidRPr="00F02792">
        <w:rPr>
          <w:color w:val="000000" w:themeColor="text1"/>
          <w:lang w:val="fr-FR"/>
        </w:rPr>
        <w:t xml:space="preserve"> </w:t>
      </w:r>
      <w:r w:rsidR="00795548" w:rsidRPr="00F02792">
        <w:rPr>
          <w:color w:val="000000" w:themeColor="text1"/>
          <w:lang w:val="fr-FR"/>
        </w:rPr>
        <w:t xml:space="preserve">Le déclinatoire </w:t>
      </w:r>
      <w:r w:rsidR="00C5363F" w:rsidRPr="00F02792">
        <w:rPr>
          <w:color w:val="000000" w:themeColor="text1"/>
          <w:lang w:val="fr-FR"/>
        </w:rPr>
        <w:t xml:space="preserve">de juridiction </w:t>
      </w:r>
      <w:r w:rsidR="00CD77AA" w:rsidRPr="00F02792">
        <w:rPr>
          <w:color w:val="000000" w:themeColor="text1"/>
          <w:lang w:val="fr-FR"/>
        </w:rPr>
        <w:t>d</w:t>
      </w:r>
      <w:r w:rsidR="00BB76F1">
        <w:rPr>
          <w:color w:val="000000" w:themeColor="text1"/>
          <w:lang w:val="fr-FR"/>
        </w:rPr>
        <w:t>’</w:t>
      </w:r>
      <w:r w:rsidR="00CD77AA" w:rsidRPr="00F02792">
        <w:rPr>
          <w:color w:val="000000" w:themeColor="text1"/>
          <w:lang w:val="fr-FR"/>
        </w:rPr>
        <w:t xml:space="preserve">ordre privé (compétence </w:t>
      </w:r>
      <w:r w:rsidR="0000000E" w:rsidRPr="00F02792">
        <w:rPr>
          <w:color w:val="000000" w:themeColor="text1"/>
          <w:lang w:val="fr-FR"/>
        </w:rPr>
        <w:t>d</w:t>
      </w:r>
      <w:r w:rsidR="00BB76F1">
        <w:rPr>
          <w:color w:val="000000" w:themeColor="text1"/>
          <w:lang w:val="fr-FR"/>
        </w:rPr>
        <w:t>’</w:t>
      </w:r>
      <w:r w:rsidR="0000000E" w:rsidRPr="00F02792">
        <w:rPr>
          <w:color w:val="000000" w:themeColor="text1"/>
          <w:lang w:val="fr-FR"/>
        </w:rPr>
        <w:t xml:space="preserve">une juridiction étrangère ou </w:t>
      </w:r>
      <w:r w:rsidR="00E34BF9" w:rsidRPr="00F02792">
        <w:rPr>
          <w:color w:val="000000" w:themeColor="text1"/>
          <w:lang w:val="fr-FR"/>
        </w:rPr>
        <w:t>arbitrale)</w:t>
      </w:r>
      <w:r w:rsidR="00B26611" w:rsidRPr="00F02792">
        <w:rPr>
          <w:color w:val="000000" w:themeColor="text1"/>
          <w:lang w:val="fr-FR"/>
        </w:rPr>
        <w:t xml:space="preserve"> doit être soulevé </w:t>
      </w:r>
      <w:r w:rsidR="00F04D3A" w:rsidRPr="00F02792">
        <w:rPr>
          <w:color w:val="000000" w:themeColor="text1"/>
          <w:lang w:val="fr-FR"/>
        </w:rPr>
        <w:t xml:space="preserve">par le défendeur </w:t>
      </w:r>
      <w:r w:rsidR="00EA2517" w:rsidRPr="00F02792">
        <w:rPr>
          <w:color w:val="000000" w:themeColor="text1"/>
          <w:lang w:val="fr-FR"/>
        </w:rPr>
        <w:t>au plus tard dans ses premières conclusions</w:t>
      </w:r>
      <w:r w:rsidR="005442BA" w:rsidRPr="00F02792">
        <w:rPr>
          <w:color w:val="000000" w:themeColor="text1"/>
          <w:lang w:val="fr-FR"/>
        </w:rPr>
        <w:t>.</w:t>
      </w:r>
      <w:r w:rsidR="00E83267" w:rsidRPr="00F02792">
        <w:rPr>
          <w:color w:val="000000" w:themeColor="text1"/>
          <w:lang w:val="fr-FR"/>
        </w:rPr>
        <w:t xml:space="preserve"> Il doit l</w:t>
      </w:r>
      <w:r w:rsidR="00BB76F1">
        <w:rPr>
          <w:color w:val="000000" w:themeColor="text1"/>
          <w:lang w:val="fr-FR"/>
        </w:rPr>
        <w:t>’</w:t>
      </w:r>
      <w:r w:rsidR="00E83267" w:rsidRPr="00F02792">
        <w:rPr>
          <w:color w:val="000000" w:themeColor="text1"/>
          <w:lang w:val="fr-FR"/>
        </w:rPr>
        <w:t>être d</w:t>
      </w:r>
      <w:r w:rsidR="00BB76F1">
        <w:rPr>
          <w:color w:val="000000" w:themeColor="text1"/>
          <w:lang w:val="fr-FR"/>
        </w:rPr>
        <w:t>’</w:t>
      </w:r>
      <w:r w:rsidR="00E83267" w:rsidRPr="00F02792">
        <w:rPr>
          <w:color w:val="000000" w:themeColor="text1"/>
          <w:lang w:val="fr-FR"/>
        </w:rPr>
        <w:t xml:space="preserve">office par le juge </w:t>
      </w:r>
      <w:r w:rsidR="00E07568" w:rsidRPr="00F02792">
        <w:rPr>
          <w:color w:val="000000" w:themeColor="text1"/>
          <w:lang w:val="fr-FR"/>
        </w:rPr>
        <w:t>lorsqu</w:t>
      </w:r>
      <w:r w:rsidR="00BB76F1">
        <w:rPr>
          <w:color w:val="000000" w:themeColor="text1"/>
          <w:lang w:val="fr-FR"/>
        </w:rPr>
        <w:t>’</w:t>
      </w:r>
      <w:r w:rsidR="00E07568" w:rsidRPr="00F02792">
        <w:rPr>
          <w:color w:val="000000" w:themeColor="text1"/>
          <w:lang w:val="fr-FR"/>
        </w:rPr>
        <w:t xml:space="preserve">il </w:t>
      </w:r>
      <w:r w:rsidR="000A50C7" w:rsidRPr="00F02792">
        <w:rPr>
          <w:color w:val="000000" w:themeColor="text1"/>
          <w:lang w:val="fr-FR"/>
        </w:rPr>
        <w:t>porte sur un conflit d</w:t>
      </w:r>
      <w:r w:rsidR="00BB76F1">
        <w:rPr>
          <w:color w:val="000000" w:themeColor="text1"/>
          <w:lang w:val="fr-FR"/>
        </w:rPr>
        <w:t>’</w:t>
      </w:r>
      <w:r w:rsidR="000A50C7" w:rsidRPr="00F02792">
        <w:rPr>
          <w:color w:val="000000" w:themeColor="text1"/>
          <w:lang w:val="fr-FR"/>
        </w:rPr>
        <w:t>attribution</w:t>
      </w:r>
      <w:r w:rsidR="001739E1" w:rsidRPr="00F02792">
        <w:rPr>
          <w:color w:val="000000" w:themeColor="text1"/>
          <w:lang w:val="fr-FR"/>
        </w:rPr>
        <w:t>s entre les</w:t>
      </w:r>
      <w:r w:rsidR="00305116" w:rsidRPr="00F02792">
        <w:rPr>
          <w:color w:val="000000" w:themeColor="text1"/>
          <w:lang w:val="fr-FR"/>
        </w:rPr>
        <w:t xml:space="preserve"> ordres juridictionnels.</w:t>
      </w:r>
      <w:r w:rsidR="00AB51A8" w:rsidRPr="00F02792">
        <w:rPr>
          <w:color w:val="000000" w:themeColor="text1"/>
          <w:lang w:val="fr-FR"/>
        </w:rPr>
        <w:t xml:space="preserve"> </w:t>
      </w:r>
      <w:r w:rsidR="007905F9" w:rsidRPr="00F02792">
        <w:rPr>
          <w:color w:val="000000" w:themeColor="text1"/>
          <w:lang w:val="fr-FR"/>
        </w:rPr>
        <w:t xml:space="preserve">En toute hypothèse, </w:t>
      </w:r>
      <w:r w:rsidR="0027085F" w:rsidRPr="00F02792">
        <w:rPr>
          <w:color w:val="000000" w:themeColor="text1"/>
          <w:lang w:val="fr-FR"/>
        </w:rPr>
        <w:t>l</w:t>
      </w:r>
      <w:r w:rsidR="005442BA" w:rsidRPr="00F02792">
        <w:rPr>
          <w:color w:val="000000" w:themeColor="text1"/>
          <w:lang w:val="fr-FR"/>
        </w:rPr>
        <w:t xml:space="preserve">e juge saisi </w:t>
      </w:r>
      <w:r w:rsidR="001C17FD" w:rsidRPr="00F02792">
        <w:rPr>
          <w:color w:val="000000" w:themeColor="text1"/>
          <w:lang w:val="fr-FR"/>
        </w:rPr>
        <w:t xml:space="preserve">du </w:t>
      </w:r>
      <w:r w:rsidR="004214D1" w:rsidRPr="00F02792">
        <w:rPr>
          <w:color w:val="000000" w:themeColor="text1"/>
          <w:lang w:val="fr-FR"/>
        </w:rPr>
        <w:t xml:space="preserve">litige </w:t>
      </w:r>
      <w:r w:rsidR="008B4D26" w:rsidRPr="00F02792">
        <w:rPr>
          <w:color w:val="000000" w:themeColor="text1"/>
          <w:lang w:val="fr-FR"/>
        </w:rPr>
        <w:t xml:space="preserve">statue </w:t>
      </w:r>
      <w:r w:rsidR="00944ABB" w:rsidRPr="00F02792">
        <w:rPr>
          <w:color w:val="000000" w:themeColor="text1"/>
          <w:lang w:val="fr-FR"/>
        </w:rPr>
        <w:t xml:space="preserve">sur </w:t>
      </w:r>
      <w:r w:rsidR="007B7FA7" w:rsidRPr="00F02792">
        <w:rPr>
          <w:color w:val="000000" w:themeColor="text1"/>
          <w:lang w:val="fr-FR"/>
        </w:rPr>
        <w:t>« </w:t>
      </w:r>
      <w:r w:rsidR="00944ABB" w:rsidRPr="00F02792">
        <w:rPr>
          <w:color w:val="000000" w:themeColor="text1"/>
          <w:lang w:val="fr-FR"/>
        </w:rPr>
        <w:t>son pouvoir de conna</w:t>
      </w:r>
      <w:r w:rsidR="00797921" w:rsidRPr="00F02792">
        <w:rPr>
          <w:color w:val="000000" w:themeColor="text1"/>
          <w:lang w:val="fr-FR"/>
        </w:rPr>
        <w:t>î</w:t>
      </w:r>
      <w:r w:rsidR="00944ABB" w:rsidRPr="00F02792">
        <w:rPr>
          <w:color w:val="000000" w:themeColor="text1"/>
          <w:lang w:val="fr-FR"/>
        </w:rPr>
        <w:t>tre le litige</w:t>
      </w:r>
      <w:r w:rsidR="007B7FA7" w:rsidRPr="00F02792">
        <w:rPr>
          <w:color w:val="000000" w:themeColor="text1"/>
          <w:lang w:val="fr-FR"/>
        </w:rPr>
        <w:t> »</w:t>
      </w:r>
      <w:r w:rsidR="007B7FA7" w:rsidRPr="00F02792">
        <w:rPr>
          <w:rStyle w:val="Appelnotedebasdep"/>
          <w:color w:val="000000" w:themeColor="text1"/>
          <w:lang w:val="fr-FR"/>
        </w:rPr>
        <w:footnoteReference w:id="51"/>
      </w:r>
      <w:r w:rsidR="007B7FA7" w:rsidRPr="00F02792">
        <w:rPr>
          <w:color w:val="000000" w:themeColor="text1"/>
          <w:lang w:val="fr-FR"/>
        </w:rPr>
        <w:t>.</w:t>
      </w:r>
      <w:r w:rsidR="00AB51A8" w:rsidRPr="00F02792">
        <w:rPr>
          <w:color w:val="000000" w:themeColor="text1"/>
          <w:lang w:val="fr-FR"/>
        </w:rPr>
        <w:t xml:space="preserve"> </w:t>
      </w:r>
      <w:r w:rsidR="00992346" w:rsidRPr="00F02792">
        <w:rPr>
          <w:color w:val="000000" w:themeColor="text1"/>
          <w:lang w:val="fr-FR"/>
        </w:rPr>
        <w:t xml:space="preserve">La décision </w:t>
      </w:r>
      <w:r w:rsidR="00A83612" w:rsidRPr="00F02792">
        <w:rPr>
          <w:color w:val="000000" w:themeColor="text1"/>
          <w:lang w:val="fr-FR"/>
        </w:rPr>
        <w:t xml:space="preserve">tranchant </w:t>
      </w:r>
      <w:r w:rsidR="00CF0863" w:rsidRPr="00F02792">
        <w:rPr>
          <w:color w:val="000000" w:themeColor="text1"/>
          <w:lang w:val="fr-FR"/>
        </w:rPr>
        <w:t xml:space="preserve">un déclinatoire </w:t>
      </w:r>
      <w:r w:rsidR="00394BAE" w:rsidRPr="00F02792">
        <w:rPr>
          <w:color w:val="000000" w:themeColor="text1"/>
          <w:lang w:val="fr-FR"/>
        </w:rPr>
        <w:t>de juridiction est</w:t>
      </w:r>
      <w:r w:rsidR="00346A33" w:rsidRPr="00F02792">
        <w:rPr>
          <w:color w:val="000000" w:themeColor="text1"/>
          <w:lang w:val="fr-FR"/>
        </w:rPr>
        <w:t xml:space="preserve"> susceptible d</w:t>
      </w:r>
      <w:r w:rsidR="00BB76F1">
        <w:rPr>
          <w:color w:val="000000" w:themeColor="text1"/>
          <w:lang w:val="fr-FR"/>
        </w:rPr>
        <w:t>’</w:t>
      </w:r>
      <w:r w:rsidR="00346A33" w:rsidRPr="00F02792">
        <w:rPr>
          <w:color w:val="000000" w:themeColor="text1"/>
          <w:lang w:val="fr-FR"/>
        </w:rPr>
        <w:t xml:space="preserve">appel </w:t>
      </w:r>
      <w:r w:rsidR="00365828" w:rsidRPr="00F02792">
        <w:rPr>
          <w:color w:val="000000" w:themeColor="text1"/>
          <w:lang w:val="fr-FR"/>
        </w:rPr>
        <w:t>immédiat</w:t>
      </w:r>
      <w:r w:rsidR="004C049F" w:rsidRPr="00F02792">
        <w:rPr>
          <w:color w:val="000000" w:themeColor="text1"/>
          <w:lang w:val="fr-FR"/>
        </w:rPr>
        <w:t xml:space="preserve"> contrairement </w:t>
      </w:r>
      <w:r w:rsidR="00F524E6" w:rsidRPr="00F02792">
        <w:rPr>
          <w:color w:val="000000" w:themeColor="text1"/>
          <w:lang w:val="fr-FR"/>
        </w:rPr>
        <w:t xml:space="preserve">à la décision </w:t>
      </w:r>
      <w:r w:rsidR="00E45B00" w:rsidRPr="00F02792">
        <w:rPr>
          <w:color w:val="000000" w:themeColor="text1"/>
          <w:lang w:val="fr-FR"/>
        </w:rPr>
        <w:t xml:space="preserve">tranchant un déclinatoire de compétence précisément parce que la première </w:t>
      </w:r>
      <w:r w:rsidR="009054FC" w:rsidRPr="00F02792">
        <w:rPr>
          <w:color w:val="000000" w:themeColor="text1"/>
          <w:lang w:val="fr-FR"/>
        </w:rPr>
        <w:t>peut mettre fin à l</w:t>
      </w:r>
      <w:r w:rsidR="00BB76F1">
        <w:rPr>
          <w:color w:val="000000" w:themeColor="text1"/>
          <w:lang w:val="fr-FR"/>
        </w:rPr>
        <w:t>’</w:t>
      </w:r>
      <w:r w:rsidR="009054FC" w:rsidRPr="00F02792">
        <w:rPr>
          <w:color w:val="000000" w:themeColor="text1"/>
          <w:lang w:val="fr-FR"/>
        </w:rPr>
        <w:t>instance et pas la seconde</w:t>
      </w:r>
      <w:r w:rsidR="00610A84" w:rsidRPr="00F02792">
        <w:rPr>
          <w:rStyle w:val="Appelnotedebasdep"/>
          <w:color w:val="000000" w:themeColor="text1"/>
          <w:lang w:val="fr-FR"/>
        </w:rPr>
        <w:footnoteReference w:id="52"/>
      </w:r>
      <w:r w:rsidR="009054FC" w:rsidRPr="00F02792">
        <w:rPr>
          <w:color w:val="000000" w:themeColor="text1"/>
          <w:lang w:val="fr-FR"/>
        </w:rPr>
        <w:t>.</w:t>
      </w:r>
      <w:r w:rsidR="00873EE0" w:rsidRPr="00F02792">
        <w:rPr>
          <w:color w:val="000000" w:themeColor="text1"/>
          <w:lang w:val="fr-FR"/>
        </w:rPr>
        <w:t xml:space="preserve"> </w:t>
      </w:r>
    </w:p>
    <w:p w14:paraId="7D54A564" w14:textId="77777777" w:rsidR="000B244D" w:rsidRPr="00F02792" w:rsidRDefault="000B244D" w:rsidP="0009409C">
      <w:pPr>
        <w:spacing w:line="276" w:lineRule="auto"/>
        <w:jc w:val="both"/>
        <w:rPr>
          <w:color w:val="000000" w:themeColor="text1"/>
          <w:lang w:val="fr-FR"/>
        </w:rPr>
      </w:pPr>
    </w:p>
    <w:p w14:paraId="65D80216" w14:textId="604DCEBA" w:rsidR="00D3518D" w:rsidRPr="00F02792" w:rsidRDefault="00583DB8" w:rsidP="00D3518D">
      <w:pPr>
        <w:ind w:right="118"/>
        <w:jc w:val="both"/>
        <w:rPr>
          <w:rFonts w:eastAsia="Calibri"/>
          <w:color w:val="000000" w:themeColor="text1"/>
          <w:lang w:val="fr-FR"/>
        </w:rPr>
      </w:pPr>
      <w:r w:rsidRPr="00F02792">
        <w:rPr>
          <w:color w:val="000000" w:themeColor="text1"/>
          <w:lang w:val="fr-FR"/>
        </w:rPr>
        <w:t>« Tout autre est le déclinatoire de compétence »</w:t>
      </w:r>
      <w:r w:rsidRPr="00F02792">
        <w:rPr>
          <w:rStyle w:val="Appelnotedebasdep"/>
          <w:color w:val="000000" w:themeColor="text1"/>
          <w:lang w:val="fr-FR"/>
        </w:rPr>
        <w:footnoteReference w:id="53"/>
      </w:r>
      <w:r w:rsidR="00FA6C8C" w:rsidRPr="00F02792">
        <w:rPr>
          <w:color w:val="000000" w:themeColor="text1"/>
          <w:lang w:val="fr-FR"/>
        </w:rPr>
        <w:t xml:space="preserve"> qui tend </w:t>
      </w:r>
      <w:r w:rsidR="00A72BB6" w:rsidRPr="00F02792">
        <w:rPr>
          <w:color w:val="000000" w:themeColor="text1"/>
          <w:lang w:val="fr-FR"/>
        </w:rPr>
        <w:t>à obtenir le renvoi au juge normalement compétent, le cas échéant à l</w:t>
      </w:r>
      <w:r w:rsidR="00BB76F1">
        <w:rPr>
          <w:color w:val="000000" w:themeColor="text1"/>
          <w:lang w:val="fr-FR"/>
        </w:rPr>
        <w:t>’</w:t>
      </w:r>
      <w:r w:rsidR="00A72BB6" w:rsidRPr="00F02792">
        <w:rPr>
          <w:color w:val="000000" w:themeColor="text1"/>
          <w:lang w:val="fr-FR"/>
        </w:rPr>
        <w:t>intervention du tribunal d</w:t>
      </w:r>
      <w:r w:rsidR="00BB76F1">
        <w:rPr>
          <w:color w:val="000000" w:themeColor="text1"/>
          <w:lang w:val="fr-FR"/>
        </w:rPr>
        <w:t>’</w:t>
      </w:r>
      <w:r w:rsidR="00A72BB6" w:rsidRPr="00F02792">
        <w:rPr>
          <w:color w:val="000000" w:themeColor="text1"/>
          <w:lang w:val="fr-FR"/>
        </w:rPr>
        <w:t>arrondissement.</w:t>
      </w:r>
      <w:r w:rsidR="00604850" w:rsidRPr="00F02792">
        <w:rPr>
          <w:color w:val="000000" w:themeColor="text1"/>
          <w:lang w:val="fr-FR"/>
        </w:rPr>
        <w:t xml:space="preserve"> </w:t>
      </w:r>
      <w:r w:rsidR="00A72BB6" w:rsidRPr="00F02792">
        <w:rPr>
          <w:color w:val="000000" w:themeColor="text1"/>
        </w:rPr>
        <w:t>Dans la mesure où elle conduit à un sursis à statuer au fond, l</w:t>
      </w:r>
      <w:r w:rsidR="00BB76F1">
        <w:rPr>
          <w:color w:val="000000" w:themeColor="text1"/>
        </w:rPr>
        <w:t>’</w:t>
      </w:r>
      <w:r w:rsidR="00A72BB6" w:rsidRPr="00F02792">
        <w:rPr>
          <w:color w:val="000000" w:themeColor="text1"/>
        </w:rPr>
        <w:t>exception d</w:t>
      </w:r>
      <w:r w:rsidR="00BB76F1">
        <w:rPr>
          <w:color w:val="000000" w:themeColor="text1"/>
        </w:rPr>
        <w:t>’</w:t>
      </w:r>
      <w:r w:rsidR="00A72BB6" w:rsidRPr="00F02792">
        <w:rPr>
          <w:color w:val="000000" w:themeColor="text1"/>
        </w:rPr>
        <w:t>incompétence, à la différence d</w:t>
      </w:r>
      <w:r w:rsidR="00BB76F1">
        <w:rPr>
          <w:color w:val="000000" w:themeColor="text1"/>
        </w:rPr>
        <w:t>’</w:t>
      </w:r>
      <w:r w:rsidR="00A72BB6" w:rsidRPr="00F02792">
        <w:rPr>
          <w:color w:val="000000" w:themeColor="text1"/>
        </w:rPr>
        <w:t>un déclinatoire de juridiction, s</w:t>
      </w:r>
      <w:r w:rsidR="00BB76F1">
        <w:rPr>
          <w:color w:val="000000" w:themeColor="text1"/>
        </w:rPr>
        <w:t>’</w:t>
      </w:r>
      <w:r w:rsidR="00A72BB6" w:rsidRPr="00F02792">
        <w:rPr>
          <w:color w:val="000000" w:themeColor="text1"/>
        </w:rPr>
        <w:t>apparente à une exception dilatoire</w:t>
      </w:r>
      <w:r w:rsidR="00FD5480" w:rsidRPr="00F02792">
        <w:rPr>
          <w:color w:val="000000" w:themeColor="text1"/>
        </w:rPr>
        <w:t xml:space="preserve"> et non péremptoire</w:t>
      </w:r>
      <w:r w:rsidR="00A72BB6" w:rsidRPr="00F02792">
        <w:rPr>
          <w:color w:val="000000" w:themeColor="text1"/>
        </w:rPr>
        <w:t xml:space="preserve">. </w:t>
      </w:r>
      <w:r w:rsidR="00FD5480" w:rsidRPr="00F02792">
        <w:rPr>
          <w:color w:val="000000" w:themeColor="text1"/>
          <w:lang w:val="fr-FR"/>
        </w:rPr>
        <w:t>Concrètement, alors</w:t>
      </w:r>
      <w:r w:rsidR="00873EE0" w:rsidRPr="00F02792">
        <w:rPr>
          <w:color w:val="000000" w:themeColor="text1"/>
          <w:lang w:val="fr-FR"/>
        </w:rPr>
        <w:t xml:space="preserve"> que le défendeur </w:t>
      </w:r>
      <w:r w:rsidR="004A43DE" w:rsidRPr="00F02792">
        <w:rPr>
          <w:color w:val="000000" w:themeColor="text1"/>
          <w:lang w:val="fr-FR"/>
        </w:rPr>
        <w:t>n</w:t>
      </w:r>
      <w:r w:rsidR="00BB76F1">
        <w:rPr>
          <w:color w:val="000000" w:themeColor="text1"/>
          <w:lang w:val="fr-FR"/>
        </w:rPr>
        <w:t>’</w:t>
      </w:r>
      <w:r w:rsidR="004A43DE" w:rsidRPr="00F02792">
        <w:rPr>
          <w:color w:val="000000" w:themeColor="text1"/>
          <w:lang w:val="fr-FR"/>
        </w:rPr>
        <w:t>a pas à indiquer</w:t>
      </w:r>
      <w:r w:rsidR="0017078F" w:rsidRPr="00F02792">
        <w:rPr>
          <w:color w:val="000000" w:themeColor="text1"/>
          <w:lang w:val="fr-FR"/>
        </w:rPr>
        <w:t>, d</w:t>
      </w:r>
      <w:r w:rsidR="004A43DE" w:rsidRPr="00F02792">
        <w:rPr>
          <w:color w:val="000000" w:themeColor="text1"/>
          <w:lang w:val="fr-FR"/>
        </w:rPr>
        <w:t xml:space="preserve">ans le </w:t>
      </w:r>
      <w:r w:rsidR="00873EE0" w:rsidRPr="00F02792">
        <w:rPr>
          <w:color w:val="000000" w:themeColor="text1"/>
          <w:lang w:val="fr-FR"/>
        </w:rPr>
        <w:t>déclinatoire</w:t>
      </w:r>
      <w:r w:rsidR="004A43DE" w:rsidRPr="00F02792">
        <w:rPr>
          <w:color w:val="000000" w:themeColor="text1"/>
          <w:lang w:val="fr-FR"/>
        </w:rPr>
        <w:t xml:space="preserve"> de juridiction</w:t>
      </w:r>
      <w:r w:rsidR="00325431" w:rsidRPr="00F02792">
        <w:rPr>
          <w:color w:val="000000" w:themeColor="text1"/>
          <w:lang w:val="fr-FR"/>
        </w:rPr>
        <w:t>,</w:t>
      </w:r>
      <w:r w:rsidR="00A16D63" w:rsidRPr="00F02792">
        <w:rPr>
          <w:color w:val="000000" w:themeColor="text1"/>
          <w:lang w:val="fr-FR"/>
        </w:rPr>
        <w:t xml:space="preserve"> </w:t>
      </w:r>
      <w:r w:rsidR="0017078F" w:rsidRPr="00F02792">
        <w:rPr>
          <w:color w:val="000000" w:themeColor="text1"/>
          <w:lang w:val="fr-FR"/>
        </w:rPr>
        <w:t xml:space="preserve">quelle serait la </w:t>
      </w:r>
      <w:r w:rsidR="00A16D63" w:rsidRPr="00F02792">
        <w:rPr>
          <w:color w:val="000000" w:themeColor="text1"/>
          <w:lang w:val="fr-FR"/>
        </w:rPr>
        <w:t xml:space="preserve">juridiction </w:t>
      </w:r>
      <w:r w:rsidR="00205387" w:rsidRPr="00F02792">
        <w:rPr>
          <w:color w:val="000000" w:themeColor="text1"/>
          <w:lang w:val="fr-FR"/>
        </w:rPr>
        <w:t>compéten</w:t>
      </w:r>
      <w:r w:rsidR="0017078F" w:rsidRPr="00F02792">
        <w:rPr>
          <w:color w:val="000000" w:themeColor="text1"/>
          <w:lang w:val="fr-FR"/>
        </w:rPr>
        <w:t>t</w:t>
      </w:r>
      <w:r w:rsidR="00325431" w:rsidRPr="00F02792">
        <w:rPr>
          <w:color w:val="000000" w:themeColor="text1"/>
          <w:lang w:val="fr-FR"/>
        </w:rPr>
        <w:t xml:space="preserve">e, il </w:t>
      </w:r>
      <w:r w:rsidR="00F47F16" w:rsidRPr="00F02792">
        <w:rPr>
          <w:color w:val="000000" w:themeColor="text1"/>
          <w:lang w:val="fr-FR"/>
        </w:rPr>
        <w:t>ne peut</w:t>
      </w:r>
      <w:r w:rsidR="00DB7BE1" w:rsidRPr="00F02792">
        <w:rPr>
          <w:color w:val="000000" w:themeColor="text1"/>
          <w:lang w:val="fr-FR"/>
        </w:rPr>
        <w:t>,</w:t>
      </w:r>
      <w:r w:rsidR="00325431" w:rsidRPr="00F02792">
        <w:rPr>
          <w:color w:val="000000" w:themeColor="text1"/>
          <w:lang w:val="fr-FR"/>
        </w:rPr>
        <w:t xml:space="preserve"> en</w:t>
      </w:r>
      <w:r w:rsidR="00873EE0" w:rsidRPr="00F02792">
        <w:rPr>
          <w:color w:val="000000" w:themeColor="text1"/>
          <w:lang w:val="fr-FR"/>
        </w:rPr>
        <w:t xml:space="preserve"> </w:t>
      </w:r>
      <w:r w:rsidR="00ED728E" w:rsidRPr="00F02792">
        <w:rPr>
          <w:color w:val="000000" w:themeColor="text1"/>
          <w:lang w:val="fr-FR"/>
        </w:rPr>
        <w:t>vertu de l</w:t>
      </w:r>
      <w:r w:rsidR="00BB76F1">
        <w:rPr>
          <w:color w:val="000000" w:themeColor="text1"/>
          <w:lang w:val="fr-FR"/>
        </w:rPr>
        <w:t>’</w:t>
      </w:r>
      <w:r w:rsidR="00ED728E" w:rsidRPr="00F02792">
        <w:rPr>
          <w:color w:val="000000" w:themeColor="text1"/>
          <w:lang w:val="fr-FR"/>
        </w:rPr>
        <w:t>article 855</w:t>
      </w:r>
      <w:r w:rsidR="000F6408" w:rsidRPr="00F02792">
        <w:rPr>
          <w:color w:val="000000" w:themeColor="text1"/>
          <w:lang w:val="fr-FR"/>
        </w:rPr>
        <w:t xml:space="preserve"> du Code judiciaire belge,</w:t>
      </w:r>
      <w:r w:rsidR="002019DE" w:rsidRPr="00F02792">
        <w:rPr>
          <w:color w:val="000000" w:themeColor="text1"/>
          <w:lang w:val="fr-FR"/>
        </w:rPr>
        <w:t xml:space="preserve"> « </w:t>
      </w:r>
      <w:r w:rsidR="00ED728E" w:rsidRPr="00F02792">
        <w:rPr>
          <w:i/>
          <w:iCs/>
          <w:color w:val="000000" w:themeColor="text1"/>
        </w:rPr>
        <w:t>décliner la compétence</w:t>
      </w:r>
      <w:r w:rsidR="00ED728E" w:rsidRPr="00F02792">
        <w:rPr>
          <w:color w:val="000000" w:themeColor="text1"/>
        </w:rPr>
        <w:t xml:space="preserve"> du juge saisi que pour autant qu</w:t>
      </w:r>
      <w:r w:rsidR="00BB76F1">
        <w:rPr>
          <w:color w:val="000000" w:themeColor="text1"/>
        </w:rPr>
        <w:t>’</w:t>
      </w:r>
      <w:r w:rsidR="00ED728E" w:rsidRPr="00F02792">
        <w:rPr>
          <w:color w:val="000000" w:themeColor="text1"/>
        </w:rPr>
        <w:t>elle désigne le juge qui, selon elle, serait compétent »</w:t>
      </w:r>
      <w:r w:rsidR="00822E87" w:rsidRPr="00F02792">
        <w:rPr>
          <w:color w:val="000000" w:themeColor="text1"/>
          <w:lang w:val="fr-FR"/>
        </w:rPr>
        <w:t xml:space="preserve"> </w:t>
      </w:r>
      <w:r w:rsidR="00822E87" w:rsidRPr="00F02792">
        <w:rPr>
          <w:rStyle w:val="Appelnotedebasdep"/>
          <w:color w:val="000000" w:themeColor="text1"/>
          <w:lang w:val="fr-FR"/>
        </w:rPr>
        <w:footnoteReference w:id="54"/>
      </w:r>
      <w:r w:rsidR="00ED728E" w:rsidRPr="00F02792">
        <w:rPr>
          <w:color w:val="000000" w:themeColor="text1"/>
        </w:rPr>
        <w:t>.</w:t>
      </w:r>
      <w:r w:rsidR="00781286" w:rsidRPr="00F02792">
        <w:rPr>
          <w:color w:val="000000" w:themeColor="text1"/>
        </w:rPr>
        <w:t xml:space="preserve"> </w:t>
      </w:r>
      <w:r w:rsidR="009848E8" w:rsidRPr="00F02792">
        <w:rPr>
          <w:color w:val="000000" w:themeColor="text1"/>
          <w:lang w:val="fr-FR"/>
        </w:rPr>
        <w:t>Sur le déclinatoire du défendeur, le demandeur peut</w:t>
      </w:r>
      <w:r w:rsidR="00FC6E58" w:rsidRPr="00F02792">
        <w:rPr>
          <w:color w:val="000000" w:themeColor="text1"/>
          <w:lang w:val="fr-FR"/>
        </w:rPr>
        <w:t>, conformément à l</w:t>
      </w:r>
      <w:r w:rsidR="00BB76F1">
        <w:rPr>
          <w:color w:val="000000" w:themeColor="text1"/>
          <w:lang w:val="fr-FR"/>
        </w:rPr>
        <w:t>’</w:t>
      </w:r>
      <w:r w:rsidR="00FC6E58" w:rsidRPr="00F02792">
        <w:rPr>
          <w:color w:val="000000" w:themeColor="text1"/>
          <w:lang w:val="fr-FR"/>
        </w:rPr>
        <w:t>article 639 du Code judiciaire,</w:t>
      </w:r>
      <w:r w:rsidR="009848E8" w:rsidRPr="00F02792">
        <w:rPr>
          <w:color w:val="000000" w:themeColor="text1"/>
          <w:lang w:val="fr-FR"/>
        </w:rPr>
        <w:t xml:space="preserve"> demander le renvoi au tribunal d</w:t>
      </w:r>
      <w:r w:rsidR="00BB76F1">
        <w:rPr>
          <w:color w:val="000000" w:themeColor="text1"/>
          <w:lang w:val="fr-FR"/>
        </w:rPr>
        <w:t>’</w:t>
      </w:r>
      <w:r w:rsidR="009848E8" w:rsidRPr="00F02792">
        <w:rPr>
          <w:color w:val="000000" w:themeColor="text1"/>
          <w:lang w:val="fr-FR"/>
        </w:rPr>
        <w:t>arrondissement ou laisser le juge statuer lui-même sur sa compétenc</w:t>
      </w:r>
      <w:r w:rsidR="00E5636C" w:rsidRPr="00F02792">
        <w:rPr>
          <w:color w:val="000000" w:themeColor="text1"/>
          <w:lang w:val="fr-FR"/>
        </w:rPr>
        <w:t xml:space="preserve">e. </w:t>
      </w:r>
      <w:r w:rsidR="00591D08" w:rsidRPr="00F02792">
        <w:rPr>
          <w:color w:val="000000" w:themeColor="text1"/>
          <w:lang w:val="fr-FR"/>
        </w:rPr>
        <w:t>Le juge qui relève d</w:t>
      </w:r>
      <w:r w:rsidR="00BB76F1">
        <w:rPr>
          <w:color w:val="000000" w:themeColor="text1"/>
          <w:lang w:val="fr-FR"/>
        </w:rPr>
        <w:t>’</w:t>
      </w:r>
      <w:r w:rsidR="00591D08" w:rsidRPr="00F02792">
        <w:rPr>
          <w:color w:val="000000" w:themeColor="text1"/>
          <w:lang w:val="fr-FR"/>
        </w:rPr>
        <w:t xml:space="preserve">office son incompétence </w:t>
      </w:r>
      <w:r w:rsidR="009615CF" w:rsidRPr="00F02792">
        <w:rPr>
          <w:color w:val="000000" w:themeColor="text1"/>
          <w:lang w:val="fr-FR"/>
        </w:rPr>
        <w:t xml:space="preserve">doit </w:t>
      </w:r>
      <w:r w:rsidR="00EA5F48" w:rsidRPr="00F02792">
        <w:rPr>
          <w:color w:val="000000" w:themeColor="text1"/>
          <w:lang w:val="fr-FR"/>
        </w:rPr>
        <w:t xml:space="preserve">renvoyer </w:t>
      </w:r>
      <w:r w:rsidR="0092042F" w:rsidRPr="00F02792">
        <w:rPr>
          <w:color w:val="000000" w:themeColor="text1"/>
          <w:lang w:val="fr-FR"/>
        </w:rPr>
        <w:t>au Tribunal d</w:t>
      </w:r>
      <w:r w:rsidR="00BB76F1">
        <w:rPr>
          <w:color w:val="000000" w:themeColor="text1"/>
          <w:lang w:val="fr-FR"/>
        </w:rPr>
        <w:t>’</w:t>
      </w:r>
      <w:r w:rsidR="0092042F" w:rsidRPr="00F02792">
        <w:rPr>
          <w:color w:val="000000" w:themeColor="text1"/>
          <w:lang w:val="fr-FR"/>
        </w:rPr>
        <w:t>arrondissement</w:t>
      </w:r>
      <w:r w:rsidR="0092042F" w:rsidRPr="00F02792">
        <w:rPr>
          <w:rStyle w:val="Appelnotedebasdep"/>
          <w:color w:val="000000" w:themeColor="text1"/>
          <w:lang w:val="fr-FR"/>
        </w:rPr>
        <w:footnoteReference w:id="55"/>
      </w:r>
      <w:r w:rsidR="0092042F" w:rsidRPr="00F02792">
        <w:rPr>
          <w:color w:val="000000" w:themeColor="text1"/>
          <w:lang w:val="fr-FR"/>
        </w:rPr>
        <w:t>.</w:t>
      </w:r>
      <w:r w:rsidR="00FD2468" w:rsidRPr="00F02792">
        <w:rPr>
          <w:color w:val="000000" w:themeColor="text1"/>
          <w:lang w:val="fr-FR"/>
        </w:rPr>
        <w:t xml:space="preserve"> </w:t>
      </w:r>
      <w:r w:rsidR="00781286" w:rsidRPr="00F02792">
        <w:rPr>
          <w:color w:val="000000" w:themeColor="text1"/>
          <w:lang w:val="fr-FR"/>
        </w:rPr>
        <w:t>L</w:t>
      </w:r>
      <w:r w:rsidR="00BB76F1">
        <w:rPr>
          <w:color w:val="000000" w:themeColor="text1"/>
          <w:lang w:val="fr-FR"/>
        </w:rPr>
        <w:t>’</w:t>
      </w:r>
      <w:r w:rsidR="00781286" w:rsidRPr="00F02792">
        <w:rPr>
          <w:color w:val="000000" w:themeColor="text1"/>
          <w:lang w:val="fr-FR"/>
        </w:rPr>
        <w:t>article 660 du Code judiciaire belge dispose que « toute décision sur la compétence renvoie, s</w:t>
      </w:r>
      <w:r w:rsidR="00BB76F1">
        <w:rPr>
          <w:color w:val="000000" w:themeColor="text1"/>
          <w:lang w:val="fr-FR"/>
        </w:rPr>
        <w:t>’</w:t>
      </w:r>
      <w:r w:rsidR="00781286" w:rsidRPr="00F02792">
        <w:rPr>
          <w:color w:val="000000" w:themeColor="text1"/>
          <w:lang w:val="fr-FR"/>
        </w:rPr>
        <w:t>il y a lieu, la cause au juge compétent qu</w:t>
      </w:r>
      <w:r w:rsidR="00BB76F1">
        <w:rPr>
          <w:color w:val="000000" w:themeColor="text1"/>
          <w:lang w:val="fr-FR"/>
        </w:rPr>
        <w:t>’</w:t>
      </w:r>
      <w:r w:rsidR="00781286" w:rsidRPr="00F02792">
        <w:rPr>
          <w:color w:val="000000" w:themeColor="text1"/>
          <w:lang w:val="fr-FR"/>
        </w:rPr>
        <w:t>elle désigne ». Cette décision qu</w:t>
      </w:r>
      <w:r w:rsidR="00BB76F1">
        <w:rPr>
          <w:color w:val="000000" w:themeColor="text1"/>
          <w:lang w:val="fr-FR"/>
        </w:rPr>
        <w:t>’</w:t>
      </w:r>
      <w:r w:rsidR="00781286" w:rsidRPr="00F02792">
        <w:rPr>
          <w:color w:val="000000" w:themeColor="text1"/>
          <w:lang w:val="fr-FR"/>
        </w:rPr>
        <w:t>elle émane du Tribunal d</w:t>
      </w:r>
      <w:r w:rsidR="00BB76F1">
        <w:rPr>
          <w:color w:val="000000" w:themeColor="text1"/>
          <w:lang w:val="fr-FR"/>
        </w:rPr>
        <w:t>’</w:t>
      </w:r>
      <w:r w:rsidR="00781286" w:rsidRPr="00F02792">
        <w:rPr>
          <w:color w:val="000000" w:themeColor="text1"/>
          <w:lang w:val="fr-FR"/>
        </w:rPr>
        <w:t>arrondissement ou du juge du fond « lie le juge auquel la demande est renvoyée, tous droits d</w:t>
      </w:r>
      <w:r w:rsidR="00BB76F1">
        <w:rPr>
          <w:color w:val="000000" w:themeColor="text1"/>
          <w:lang w:val="fr-FR"/>
        </w:rPr>
        <w:t>’</w:t>
      </w:r>
      <w:r w:rsidR="00781286" w:rsidRPr="00F02792">
        <w:rPr>
          <w:color w:val="000000" w:themeColor="text1"/>
          <w:lang w:val="fr-FR"/>
        </w:rPr>
        <w:t>appréciation saufs sur le fond du litige ». Le juge de renvoi est saisi par la décision et ne peut revenir sur la question de la compétence. « Clé de voûte du système adopté en 1967, l</w:t>
      </w:r>
      <w:r w:rsidR="00BB76F1">
        <w:rPr>
          <w:color w:val="000000" w:themeColor="text1"/>
          <w:lang w:val="fr-FR"/>
        </w:rPr>
        <w:t>’</w:t>
      </w:r>
      <w:r w:rsidR="00781286" w:rsidRPr="00F02792">
        <w:rPr>
          <w:color w:val="000000" w:themeColor="text1"/>
          <w:lang w:val="fr-FR"/>
        </w:rPr>
        <w:t>article 660 interdit au juge de renvoi de susciter ou d</w:t>
      </w:r>
      <w:r w:rsidR="00BB76F1">
        <w:rPr>
          <w:color w:val="000000" w:themeColor="text1"/>
          <w:lang w:val="fr-FR"/>
        </w:rPr>
        <w:t>’</w:t>
      </w:r>
      <w:r w:rsidR="00781286" w:rsidRPr="00F02792">
        <w:rPr>
          <w:color w:val="000000" w:themeColor="text1"/>
          <w:lang w:val="fr-FR"/>
        </w:rPr>
        <w:t>accepter, pour quelque motif que ce soit, une nouvelle mise en cause de la compétence »</w:t>
      </w:r>
      <w:r w:rsidR="00781286" w:rsidRPr="00F02792">
        <w:rPr>
          <w:rStyle w:val="Appelnotedebasdep"/>
          <w:color w:val="000000" w:themeColor="text1"/>
          <w:lang w:val="fr-FR"/>
        </w:rPr>
        <w:footnoteReference w:id="56"/>
      </w:r>
      <w:r w:rsidR="00781286" w:rsidRPr="00F02792">
        <w:rPr>
          <w:color w:val="000000" w:themeColor="text1"/>
          <w:lang w:val="fr-FR"/>
        </w:rPr>
        <w:t xml:space="preserve">. </w:t>
      </w:r>
      <w:r w:rsidR="00D3518D" w:rsidRPr="00F02792">
        <w:rPr>
          <w:color w:val="000000" w:themeColor="text1"/>
          <w:lang w:val="fr-FR"/>
        </w:rPr>
        <w:t>La</w:t>
      </w:r>
      <w:r w:rsidR="00D3518D" w:rsidRPr="00F02792">
        <w:rPr>
          <w:color w:val="000000" w:themeColor="text1"/>
          <w:spacing w:val="7"/>
          <w:lang w:val="fr-FR"/>
        </w:rPr>
        <w:t xml:space="preserve"> </w:t>
      </w:r>
      <w:r w:rsidR="00D3518D" w:rsidRPr="00F02792">
        <w:rPr>
          <w:color w:val="000000" w:themeColor="text1"/>
          <w:spacing w:val="-1"/>
          <w:lang w:val="fr-FR"/>
        </w:rPr>
        <w:t>décision</w:t>
      </w:r>
      <w:r w:rsidR="00D3518D" w:rsidRPr="00F02792">
        <w:rPr>
          <w:color w:val="000000" w:themeColor="text1"/>
          <w:spacing w:val="6"/>
          <w:lang w:val="fr-FR"/>
        </w:rPr>
        <w:t xml:space="preserve"> </w:t>
      </w:r>
      <w:r w:rsidR="00D3518D" w:rsidRPr="00F02792">
        <w:rPr>
          <w:i/>
          <w:iCs/>
          <w:color w:val="000000" w:themeColor="text1"/>
          <w:spacing w:val="-1"/>
          <w:lang w:val="fr-FR"/>
        </w:rPr>
        <w:t>lie</w:t>
      </w:r>
      <w:r w:rsidR="00D3518D" w:rsidRPr="00F02792">
        <w:rPr>
          <w:i/>
          <w:iCs/>
          <w:color w:val="000000" w:themeColor="text1"/>
          <w:spacing w:val="7"/>
          <w:lang w:val="fr-FR"/>
        </w:rPr>
        <w:t xml:space="preserve"> </w:t>
      </w:r>
      <w:r w:rsidR="00D3518D" w:rsidRPr="00F02792">
        <w:rPr>
          <w:i/>
          <w:iCs/>
          <w:color w:val="000000" w:themeColor="text1"/>
          <w:lang w:val="fr-FR"/>
        </w:rPr>
        <w:t>le</w:t>
      </w:r>
      <w:r w:rsidR="00D3518D" w:rsidRPr="00F02792">
        <w:rPr>
          <w:i/>
          <w:iCs/>
          <w:color w:val="000000" w:themeColor="text1"/>
          <w:spacing w:val="5"/>
          <w:lang w:val="fr-FR"/>
        </w:rPr>
        <w:t xml:space="preserve"> </w:t>
      </w:r>
      <w:r w:rsidR="00D3518D" w:rsidRPr="00F02792">
        <w:rPr>
          <w:i/>
          <w:iCs/>
          <w:color w:val="000000" w:themeColor="text1"/>
          <w:spacing w:val="-1"/>
          <w:lang w:val="fr-FR"/>
        </w:rPr>
        <w:t>juge</w:t>
      </w:r>
      <w:r w:rsidR="00D3518D" w:rsidRPr="00F02792">
        <w:rPr>
          <w:i/>
          <w:iCs/>
          <w:color w:val="000000" w:themeColor="text1"/>
          <w:spacing w:val="7"/>
          <w:lang w:val="fr-FR"/>
        </w:rPr>
        <w:t xml:space="preserve"> </w:t>
      </w:r>
      <w:r w:rsidR="00D3518D" w:rsidRPr="00F02792">
        <w:rPr>
          <w:i/>
          <w:iCs/>
          <w:color w:val="000000" w:themeColor="text1"/>
          <w:spacing w:val="-2"/>
          <w:lang w:val="fr-FR"/>
        </w:rPr>
        <w:t>auquel</w:t>
      </w:r>
      <w:r w:rsidR="00D3518D" w:rsidRPr="00F02792">
        <w:rPr>
          <w:i/>
          <w:iCs/>
          <w:color w:val="000000" w:themeColor="text1"/>
          <w:spacing w:val="7"/>
          <w:lang w:val="fr-FR"/>
        </w:rPr>
        <w:t xml:space="preserve"> </w:t>
      </w:r>
      <w:r w:rsidR="00D3518D" w:rsidRPr="00F02792">
        <w:rPr>
          <w:i/>
          <w:iCs/>
          <w:color w:val="000000" w:themeColor="text1"/>
          <w:lang w:val="fr-FR"/>
        </w:rPr>
        <w:t>la</w:t>
      </w:r>
      <w:r w:rsidR="00D3518D" w:rsidRPr="00F02792">
        <w:rPr>
          <w:i/>
          <w:iCs/>
          <w:color w:val="000000" w:themeColor="text1"/>
          <w:spacing w:val="6"/>
          <w:lang w:val="fr-FR"/>
        </w:rPr>
        <w:t xml:space="preserve"> </w:t>
      </w:r>
      <w:r w:rsidR="00D3518D" w:rsidRPr="00F02792">
        <w:rPr>
          <w:i/>
          <w:iCs/>
          <w:color w:val="000000" w:themeColor="text1"/>
          <w:spacing w:val="-1"/>
          <w:lang w:val="fr-FR"/>
        </w:rPr>
        <w:t>demande</w:t>
      </w:r>
      <w:r w:rsidR="00D3518D" w:rsidRPr="00F02792">
        <w:rPr>
          <w:i/>
          <w:iCs/>
          <w:color w:val="000000" w:themeColor="text1"/>
          <w:spacing w:val="7"/>
          <w:lang w:val="fr-FR"/>
        </w:rPr>
        <w:t xml:space="preserve"> </w:t>
      </w:r>
      <w:r w:rsidR="00D3518D" w:rsidRPr="00F02792">
        <w:rPr>
          <w:i/>
          <w:iCs/>
          <w:color w:val="000000" w:themeColor="text1"/>
          <w:spacing w:val="-1"/>
          <w:lang w:val="fr-FR"/>
        </w:rPr>
        <w:t>est</w:t>
      </w:r>
      <w:r w:rsidR="00D3518D" w:rsidRPr="00F02792">
        <w:rPr>
          <w:i/>
          <w:iCs/>
          <w:color w:val="000000" w:themeColor="text1"/>
          <w:spacing w:val="5"/>
          <w:lang w:val="fr-FR"/>
        </w:rPr>
        <w:t xml:space="preserve"> </w:t>
      </w:r>
      <w:r w:rsidR="00D3518D" w:rsidRPr="00F02792">
        <w:rPr>
          <w:i/>
          <w:iCs/>
          <w:color w:val="000000" w:themeColor="text1"/>
          <w:spacing w:val="-1"/>
          <w:lang w:val="fr-FR"/>
        </w:rPr>
        <w:t>renvoyée,</w:t>
      </w:r>
      <w:r w:rsidR="00D3518D" w:rsidRPr="00F02792">
        <w:rPr>
          <w:i/>
          <w:iCs/>
          <w:color w:val="000000" w:themeColor="text1"/>
          <w:spacing w:val="7"/>
          <w:lang w:val="fr-FR"/>
        </w:rPr>
        <w:t xml:space="preserve"> </w:t>
      </w:r>
      <w:r w:rsidR="00D3518D" w:rsidRPr="00F02792">
        <w:rPr>
          <w:color w:val="000000" w:themeColor="text1"/>
          <w:spacing w:val="-1"/>
          <w:lang w:val="fr-FR"/>
        </w:rPr>
        <w:t>tous</w:t>
      </w:r>
      <w:r w:rsidR="00D3518D" w:rsidRPr="00F02792">
        <w:rPr>
          <w:color w:val="000000" w:themeColor="text1"/>
          <w:spacing w:val="8"/>
          <w:lang w:val="fr-FR"/>
        </w:rPr>
        <w:t xml:space="preserve"> </w:t>
      </w:r>
      <w:r w:rsidR="00D3518D" w:rsidRPr="00F02792">
        <w:rPr>
          <w:color w:val="000000" w:themeColor="text1"/>
          <w:spacing w:val="-1"/>
          <w:lang w:val="fr-FR"/>
        </w:rPr>
        <w:t>droits</w:t>
      </w:r>
      <w:r w:rsidR="00D3518D" w:rsidRPr="00F02792">
        <w:rPr>
          <w:color w:val="000000" w:themeColor="text1"/>
          <w:spacing w:val="6"/>
          <w:lang w:val="fr-FR"/>
        </w:rPr>
        <w:t xml:space="preserve"> </w:t>
      </w:r>
      <w:r w:rsidR="00D3518D" w:rsidRPr="00F02792">
        <w:rPr>
          <w:color w:val="000000" w:themeColor="text1"/>
          <w:spacing w:val="-1"/>
          <w:lang w:val="fr-FR"/>
        </w:rPr>
        <w:t>d</w:t>
      </w:r>
      <w:r w:rsidR="00BB76F1">
        <w:rPr>
          <w:color w:val="000000" w:themeColor="text1"/>
          <w:spacing w:val="-1"/>
          <w:lang w:val="fr-FR"/>
        </w:rPr>
        <w:t>’</w:t>
      </w:r>
      <w:r w:rsidR="00D3518D" w:rsidRPr="00F02792">
        <w:rPr>
          <w:color w:val="000000" w:themeColor="text1"/>
          <w:spacing w:val="-1"/>
          <w:lang w:val="fr-FR"/>
        </w:rPr>
        <w:t>appréciation</w:t>
      </w:r>
      <w:r w:rsidR="00D3518D" w:rsidRPr="00F02792">
        <w:rPr>
          <w:color w:val="000000" w:themeColor="text1"/>
          <w:spacing w:val="6"/>
          <w:lang w:val="fr-FR"/>
        </w:rPr>
        <w:t xml:space="preserve"> </w:t>
      </w:r>
      <w:r w:rsidR="00D3518D" w:rsidRPr="00F02792">
        <w:rPr>
          <w:color w:val="000000" w:themeColor="text1"/>
          <w:spacing w:val="-1"/>
          <w:lang w:val="fr-FR"/>
        </w:rPr>
        <w:t>étant</w:t>
      </w:r>
      <w:r w:rsidR="00D3518D" w:rsidRPr="00F02792">
        <w:rPr>
          <w:color w:val="000000" w:themeColor="text1"/>
          <w:spacing w:val="5"/>
          <w:lang w:val="fr-FR"/>
        </w:rPr>
        <w:t xml:space="preserve"> </w:t>
      </w:r>
      <w:r w:rsidR="00D3518D" w:rsidRPr="00F02792">
        <w:rPr>
          <w:color w:val="000000" w:themeColor="text1"/>
          <w:spacing w:val="-1"/>
          <w:lang w:val="fr-FR"/>
        </w:rPr>
        <w:t>saufs</w:t>
      </w:r>
      <w:r w:rsidR="00D3518D" w:rsidRPr="00F02792">
        <w:rPr>
          <w:color w:val="000000" w:themeColor="text1"/>
          <w:spacing w:val="5"/>
          <w:lang w:val="fr-FR"/>
        </w:rPr>
        <w:t xml:space="preserve"> </w:t>
      </w:r>
      <w:r w:rsidR="00D3518D" w:rsidRPr="00F02792">
        <w:rPr>
          <w:color w:val="000000" w:themeColor="text1"/>
          <w:spacing w:val="-1"/>
          <w:lang w:val="fr-FR"/>
        </w:rPr>
        <w:t>sur</w:t>
      </w:r>
      <w:r w:rsidR="00D3518D" w:rsidRPr="00F02792">
        <w:rPr>
          <w:color w:val="000000" w:themeColor="text1"/>
          <w:spacing w:val="6"/>
          <w:lang w:val="fr-FR"/>
        </w:rPr>
        <w:t xml:space="preserve"> </w:t>
      </w:r>
      <w:r w:rsidR="00D3518D" w:rsidRPr="00F02792">
        <w:rPr>
          <w:color w:val="000000" w:themeColor="text1"/>
          <w:lang w:val="fr-FR"/>
        </w:rPr>
        <w:t>le</w:t>
      </w:r>
      <w:r w:rsidR="00D3518D" w:rsidRPr="00F02792">
        <w:rPr>
          <w:color w:val="000000" w:themeColor="text1"/>
          <w:spacing w:val="45"/>
          <w:lang w:val="fr-FR"/>
        </w:rPr>
        <w:t xml:space="preserve"> </w:t>
      </w:r>
      <w:r w:rsidR="00D3518D" w:rsidRPr="00F02792">
        <w:rPr>
          <w:color w:val="000000" w:themeColor="text1"/>
          <w:spacing w:val="-1"/>
          <w:lang w:val="fr-FR"/>
        </w:rPr>
        <w:t>fond</w:t>
      </w:r>
      <w:r w:rsidR="00D3518D" w:rsidRPr="00F02792">
        <w:rPr>
          <w:color w:val="000000" w:themeColor="text1"/>
          <w:spacing w:val="-2"/>
          <w:lang w:val="fr-FR"/>
        </w:rPr>
        <w:t xml:space="preserve"> </w:t>
      </w:r>
      <w:r w:rsidR="00D3518D" w:rsidRPr="00F02792">
        <w:rPr>
          <w:color w:val="000000" w:themeColor="text1"/>
          <w:spacing w:val="-1"/>
          <w:lang w:val="fr-FR"/>
        </w:rPr>
        <w:t>du litige.</w:t>
      </w:r>
    </w:p>
    <w:p w14:paraId="3E92740E" w14:textId="77777777" w:rsidR="009F217B" w:rsidRPr="00F02792" w:rsidRDefault="009F217B" w:rsidP="0009409C">
      <w:pPr>
        <w:spacing w:line="276" w:lineRule="auto"/>
        <w:jc w:val="both"/>
        <w:rPr>
          <w:color w:val="000000" w:themeColor="text1"/>
          <w:lang w:val="fr-FR"/>
        </w:rPr>
      </w:pPr>
    </w:p>
    <w:p w14:paraId="17502220" w14:textId="0389B76A" w:rsidR="006E53C0" w:rsidRPr="00F02792" w:rsidRDefault="006E53C0" w:rsidP="0009409C">
      <w:pPr>
        <w:spacing w:line="276" w:lineRule="auto"/>
        <w:jc w:val="both"/>
        <w:rPr>
          <w:color w:val="000000" w:themeColor="text1"/>
          <w:lang w:val="fr-FR"/>
        </w:rPr>
      </w:pPr>
      <w:r w:rsidRPr="00F02792">
        <w:rPr>
          <w:color w:val="000000" w:themeColor="text1"/>
          <w:spacing w:val="-1"/>
          <w:lang w:val="fr-FR"/>
        </w:rPr>
        <w:t>Tandis que les</w:t>
      </w:r>
      <w:r w:rsidRPr="00F02792">
        <w:rPr>
          <w:color w:val="000000" w:themeColor="text1"/>
          <w:spacing w:val="14"/>
          <w:lang w:val="fr-FR"/>
        </w:rPr>
        <w:t xml:space="preserve"> </w:t>
      </w:r>
      <w:r w:rsidRPr="00F02792">
        <w:rPr>
          <w:color w:val="000000" w:themeColor="text1"/>
          <w:spacing w:val="-1"/>
          <w:lang w:val="fr-FR"/>
        </w:rPr>
        <w:t>incidents</w:t>
      </w:r>
      <w:r w:rsidRPr="00F02792">
        <w:rPr>
          <w:color w:val="000000" w:themeColor="text1"/>
          <w:spacing w:val="14"/>
          <w:lang w:val="fr-FR"/>
        </w:rPr>
        <w:t xml:space="preserve"> </w:t>
      </w:r>
      <w:r w:rsidRPr="00F02792">
        <w:rPr>
          <w:color w:val="000000" w:themeColor="text1"/>
          <w:spacing w:val="-1"/>
          <w:lang w:val="fr-FR"/>
        </w:rPr>
        <w:t>de</w:t>
      </w:r>
      <w:r w:rsidRPr="00F02792">
        <w:rPr>
          <w:color w:val="000000" w:themeColor="text1"/>
          <w:spacing w:val="15"/>
          <w:lang w:val="fr-FR"/>
        </w:rPr>
        <w:t xml:space="preserve"> </w:t>
      </w:r>
      <w:r w:rsidRPr="00F02792">
        <w:rPr>
          <w:color w:val="000000" w:themeColor="text1"/>
          <w:spacing w:val="-1"/>
          <w:lang w:val="fr-FR"/>
        </w:rPr>
        <w:t>compétence</w:t>
      </w:r>
      <w:r w:rsidRPr="00F02792">
        <w:rPr>
          <w:color w:val="000000" w:themeColor="text1"/>
          <w:spacing w:val="15"/>
          <w:lang w:val="fr-FR"/>
        </w:rPr>
        <w:t xml:space="preserve"> </w:t>
      </w:r>
      <w:r w:rsidRPr="00F02792">
        <w:rPr>
          <w:color w:val="000000" w:themeColor="text1"/>
          <w:spacing w:val="-1"/>
          <w:lang w:val="fr-FR"/>
        </w:rPr>
        <w:t>concerne</w:t>
      </w:r>
      <w:r w:rsidR="009623AF" w:rsidRPr="00F02792">
        <w:rPr>
          <w:color w:val="000000" w:themeColor="text1"/>
          <w:spacing w:val="-1"/>
          <w:lang w:val="fr-FR"/>
        </w:rPr>
        <w:t>nt</w:t>
      </w:r>
      <w:r w:rsidRPr="00F02792">
        <w:rPr>
          <w:color w:val="000000" w:themeColor="text1"/>
          <w:spacing w:val="15"/>
          <w:lang w:val="fr-FR"/>
        </w:rPr>
        <w:t xml:space="preserve"> </w:t>
      </w:r>
      <w:r w:rsidR="009623AF" w:rsidRPr="00F02792">
        <w:rPr>
          <w:color w:val="000000" w:themeColor="text1"/>
          <w:spacing w:val="-1"/>
          <w:lang w:val="fr-FR"/>
        </w:rPr>
        <w:t>l</w:t>
      </w:r>
      <w:r w:rsidRPr="00F02792">
        <w:rPr>
          <w:color w:val="000000" w:themeColor="text1"/>
          <w:spacing w:val="-1"/>
          <w:lang w:val="fr-FR"/>
        </w:rPr>
        <w:t>es</w:t>
      </w:r>
      <w:r w:rsidRPr="00F02792">
        <w:rPr>
          <w:color w:val="000000" w:themeColor="text1"/>
          <w:spacing w:val="14"/>
          <w:lang w:val="fr-FR"/>
        </w:rPr>
        <w:t xml:space="preserve"> </w:t>
      </w:r>
      <w:r w:rsidRPr="00F02792">
        <w:rPr>
          <w:color w:val="000000" w:themeColor="text1"/>
          <w:spacing w:val="-1"/>
          <w:lang w:val="fr-FR"/>
        </w:rPr>
        <w:t>attributions</w:t>
      </w:r>
      <w:r w:rsidR="00251EB1" w:rsidRPr="00F02792">
        <w:rPr>
          <w:color w:val="000000" w:themeColor="text1"/>
          <w:spacing w:val="-1"/>
          <w:lang w:val="fr-FR"/>
        </w:rPr>
        <w:t xml:space="preserve"> matérielles ou </w:t>
      </w:r>
      <w:r w:rsidR="00886620" w:rsidRPr="00F02792">
        <w:rPr>
          <w:color w:val="000000" w:themeColor="text1"/>
          <w:spacing w:val="-1"/>
          <w:lang w:val="fr-FR"/>
        </w:rPr>
        <w:t>la compétence territoriale</w:t>
      </w:r>
      <w:r w:rsidRPr="00F02792">
        <w:rPr>
          <w:color w:val="000000" w:themeColor="text1"/>
          <w:spacing w:val="14"/>
          <w:lang w:val="fr-FR"/>
        </w:rPr>
        <w:t xml:space="preserve"> </w:t>
      </w:r>
      <w:r w:rsidRPr="00F02792">
        <w:rPr>
          <w:color w:val="000000" w:themeColor="text1"/>
          <w:spacing w:val="-1"/>
          <w:lang w:val="fr-FR"/>
        </w:rPr>
        <w:t>entre</w:t>
      </w:r>
      <w:r w:rsidRPr="00F02792">
        <w:rPr>
          <w:color w:val="000000" w:themeColor="text1"/>
          <w:spacing w:val="15"/>
          <w:lang w:val="fr-FR"/>
        </w:rPr>
        <w:t xml:space="preserve"> </w:t>
      </w:r>
      <w:r w:rsidRPr="00F02792">
        <w:rPr>
          <w:color w:val="000000" w:themeColor="text1"/>
          <w:spacing w:val="-1"/>
          <w:lang w:val="fr-FR"/>
        </w:rPr>
        <w:t>des</w:t>
      </w:r>
      <w:r w:rsidRPr="00F02792">
        <w:rPr>
          <w:color w:val="000000" w:themeColor="text1"/>
          <w:spacing w:val="15"/>
          <w:lang w:val="fr-FR"/>
        </w:rPr>
        <w:t xml:space="preserve"> </w:t>
      </w:r>
      <w:r w:rsidRPr="00F02792">
        <w:rPr>
          <w:color w:val="000000" w:themeColor="text1"/>
          <w:spacing w:val="-1"/>
          <w:lang w:val="fr-FR"/>
        </w:rPr>
        <w:t>juridictions</w:t>
      </w:r>
      <w:r w:rsidRPr="00F02792">
        <w:rPr>
          <w:color w:val="000000" w:themeColor="text1"/>
          <w:spacing w:val="81"/>
          <w:lang w:val="fr-FR"/>
        </w:rPr>
        <w:t xml:space="preserve"> </w:t>
      </w:r>
      <w:r w:rsidRPr="00F02792">
        <w:rPr>
          <w:color w:val="000000" w:themeColor="text1"/>
          <w:spacing w:val="-1"/>
          <w:lang w:val="fr-FR"/>
        </w:rPr>
        <w:t>différentes,</w:t>
      </w:r>
      <w:r w:rsidRPr="00F02792">
        <w:rPr>
          <w:color w:val="000000" w:themeColor="text1"/>
          <w:spacing w:val="14"/>
          <w:lang w:val="fr-FR"/>
        </w:rPr>
        <w:t xml:space="preserve"> </w:t>
      </w:r>
      <w:r w:rsidRPr="00F02792">
        <w:rPr>
          <w:color w:val="000000" w:themeColor="text1"/>
          <w:spacing w:val="-1"/>
          <w:lang w:val="fr-FR"/>
        </w:rPr>
        <w:t>l</w:t>
      </w:r>
      <w:r w:rsidR="00F723C5" w:rsidRPr="00F02792">
        <w:rPr>
          <w:color w:val="000000" w:themeColor="text1"/>
          <w:spacing w:val="-1"/>
          <w:lang w:val="fr-FR"/>
        </w:rPr>
        <w:t xml:space="preserve">es </w:t>
      </w:r>
      <w:r w:rsidRPr="00F02792">
        <w:rPr>
          <w:color w:val="000000" w:themeColor="text1"/>
          <w:spacing w:val="-1"/>
          <w:lang w:val="fr-FR"/>
        </w:rPr>
        <w:t>incident</w:t>
      </w:r>
      <w:r w:rsidR="00F723C5" w:rsidRPr="00F02792">
        <w:rPr>
          <w:color w:val="000000" w:themeColor="text1"/>
          <w:spacing w:val="-1"/>
          <w:lang w:val="fr-FR"/>
        </w:rPr>
        <w:t>s</w:t>
      </w:r>
      <w:r w:rsidRPr="00F02792">
        <w:rPr>
          <w:color w:val="000000" w:themeColor="text1"/>
          <w:spacing w:val="14"/>
          <w:lang w:val="fr-FR"/>
        </w:rPr>
        <w:t xml:space="preserve"> </w:t>
      </w:r>
      <w:r w:rsidRPr="00F02792">
        <w:rPr>
          <w:color w:val="000000" w:themeColor="text1"/>
          <w:spacing w:val="-1"/>
          <w:lang w:val="fr-FR"/>
        </w:rPr>
        <w:t>de</w:t>
      </w:r>
      <w:r w:rsidRPr="00F02792">
        <w:rPr>
          <w:color w:val="000000" w:themeColor="text1"/>
          <w:spacing w:val="17"/>
          <w:lang w:val="fr-FR"/>
        </w:rPr>
        <w:t xml:space="preserve"> </w:t>
      </w:r>
      <w:r w:rsidRPr="00F02792">
        <w:rPr>
          <w:color w:val="000000" w:themeColor="text1"/>
          <w:spacing w:val="-1"/>
          <w:lang w:val="fr-FR"/>
        </w:rPr>
        <w:t>répartition</w:t>
      </w:r>
      <w:r w:rsidRPr="00F02792">
        <w:rPr>
          <w:color w:val="000000" w:themeColor="text1"/>
          <w:spacing w:val="16"/>
          <w:lang w:val="fr-FR"/>
        </w:rPr>
        <w:t xml:space="preserve"> </w:t>
      </w:r>
      <w:r w:rsidRPr="00F02792">
        <w:rPr>
          <w:color w:val="000000" w:themeColor="text1"/>
          <w:lang w:val="fr-FR"/>
        </w:rPr>
        <w:t>se</w:t>
      </w:r>
      <w:r w:rsidRPr="00F02792">
        <w:rPr>
          <w:color w:val="000000" w:themeColor="text1"/>
          <w:spacing w:val="15"/>
          <w:lang w:val="fr-FR"/>
        </w:rPr>
        <w:t xml:space="preserve"> </w:t>
      </w:r>
      <w:r w:rsidRPr="00F02792">
        <w:rPr>
          <w:color w:val="000000" w:themeColor="text1"/>
          <w:spacing w:val="-1"/>
          <w:lang w:val="fr-FR"/>
        </w:rPr>
        <w:t>produ</w:t>
      </w:r>
      <w:r w:rsidR="00F723C5" w:rsidRPr="00F02792">
        <w:rPr>
          <w:color w:val="000000" w:themeColor="text1"/>
          <w:spacing w:val="-1"/>
          <w:lang w:val="fr-FR"/>
        </w:rPr>
        <w:t>isent</w:t>
      </w:r>
      <w:r w:rsidRPr="00F02792">
        <w:rPr>
          <w:color w:val="000000" w:themeColor="text1"/>
          <w:spacing w:val="14"/>
          <w:lang w:val="fr-FR"/>
        </w:rPr>
        <w:t xml:space="preserve"> </w:t>
      </w:r>
      <w:r w:rsidRPr="00F02792">
        <w:rPr>
          <w:color w:val="000000" w:themeColor="text1"/>
          <w:spacing w:val="-1"/>
          <w:lang w:val="fr-FR"/>
        </w:rPr>
        <w:t>entre</w:t>
      </w:r>
      <w:r w:rsidRPr="00F02792">
        <w:rPr>
          <w:color w:val="000000" w:themeColor="text1"/>
          <w:spacing w:val="15"/>
          <w:lang w:val="fr-FR"/>
        </w:rPr>
        <w:t xml:space="preserve"> </w:t>
      </w:r>
      <w:r w:rsidRPr="00F02792">
        <w:rPr>
          <w:color w:val="000000" w:themeColor="text1"/>
          <w:lang w:val="fr-FR"/>
        </w:rPr>
        <w:t>les</w:t>
      </w:r>
      <w:r w:rsidRPr="00F02792">
        <w:rPr>
          <w:color w:val="000000" w:themeColor="text1"/>
          <w:spacing w:val="17"/>
          <w:lang w:val="fr-FR"/>
        </w:rPr>
        <w:t xml:space="preserve"> </w:t>
      </w:r>
      <w:r w:rsidRPr="00F02792">
        <w:rPr>
          <w:color w:val="000000" w:themeColor="text1"/>
          <w:spacing w:val="-1"/>
          <w:lang w:val="fr-FR"/>
        </w:rPr>
        <w:t>divisions,</w:t>
      </w:r>
      <w:r w:rsidRPr="00F02792">
        <w:rPr>
          <w:color w:val="000000" w:themeColor="text1"/>
          <w:spacing w:val="17"/>
          <w:lang w:val="fr-FR"/>
        </w:rPr>
        <w:t xml:space="preserve"> </w:t>
      </w:r>
      <w:r w:rsidRPr="00F02792">
        <w:rPr>
          <w:color w:val="000000" w:themeColor="text1"/>
          <w:spacing w:val="-1"/>
          <w:lang w:val="fr-FR"/>
        </w:rPr>
        <w:t>les</w:t>
      </w:r>
      <w:r w:rsidRPr="00F02792">
        <w:rPr>
          <w:color w:val="000000" w:themeColor="text1"/>
          <w:spacing w:val="17"/>
          <w:lang w:val="fr-FR"/>
        </w:rPr>
        <w:t xml:space="preserve"> </w:t>
      </w:r>
      <w:r w:rsidRPr="00F02792">
        <w:rPr>
          <w:color w:val="000000" w:themeColor="text1"/>
          <w:spacing w:val="-1"/>
          <w:lang w:val="fr-FR"/>
        </w:rPr>
        <w:t>sections,</w:t>
      </w:r>
      <w:r w:rsidRPr="00F02792">
        <w:rPr>
          <w:color w:val="000000" w:themeColor="text1"/>
          <w:spacing w:val="14"/>
          <w:lang w:val="fr-FR"/>
        </w:rPr>
        <w:t xml:space="preserve"> </w:t>
      </w:r>
      <w:r w:rsidRPr="00F02792">
        <w:rPr>
          <w:color w:val="000000" w:themeColor="text1"/>
          <w:lang w:val="fr-FR"/>
        </w:rPr>
        <w:t>les</w:t>
      </w:r>
      <w:r w:rsidRPr="00F02792">
        <w:rPr>
          <w:color w:val="000000" w:themeColor="text1"/>
          <w:spacing w:val="17"/>
          <w:lang w:val="fr-FR"/>
        </w:rPr>
        <w:t xml:space="preserve"> </w:t>
      </w:r>
      <w:r w:rsidRPr="00F02792">
        <w:rPr>
          <w:color w:val="000000" w:themeColor="text1"/>
          <w:spacing w:val="-1"/>
          <w:lang w:val="fr-FR"/>
        </w:rPr>
        <w:t>chambres</w:t>
      </w:r>
      <w:r w:rsidRPr="00F02792">
        <w:rPr>
          <w:color w:val="000000" w:themeColor="text1"/>
          <w:spacing w:val="14"/>
          <w:lang w:val="fr-FR"/>
        </w:rPr>
        <w:t xml:space="preserve"> </w:t>
      </w:r>
      <w:r w:rsidRPr="00F02792">
        <w:rPr>
          <w:color w:val="000000" w:themeColor="text1"/>
          <w:lang w:val="fr-FR"/>
        </w:rPr>
        <w:t>ou</w:t>
      </w:r>
      <w:r w:rsidRPr="00F02792">
        <w:rPr>
          <w:color w:val="000000" w:themeColor="text1"/>
          <w:spacing w:val="14"/>
          <w:lang w:val="fr-FR"/>
        </w:rPr>
        <w:t xml:space="preserve"> </w:t>
      </w:r>
      <w:r w:rsidRPr="00F02792">
        <w:rPr>
          <w:color w:val="000000" w:themeColor="text1"/>
          <w:spacing w:val="-1"/>
          <w:lang w:val="fr-FR"/>
        </w:rPr>
        <w:t>les</w:t>
      </w:r>
      <w:r w:rsidRPr="00F02792">
        <w:rPr>
          <w:color w:val="000000" w:themeColor="text1"/>
          <w:spacing w:val="77"/>
          <w:lang w:val="fr-FR"/>
        </w:rPr>
        <w:t xml:space="preserve"> </w:t>
      </w:r>
      <w:r w:rsidRPr="00F02792">
        <w:rPr>
          <w:color w:val="000000" w:themeColor="text1"/>
          <w:spacing w:val="-1"/>
          <w:lang w:val="fr-FR"/>
        </w:rPr>
        <w:t>juges</w:t>
      </w:r>
      <w:r w:rsidRPr="00F02792">
        <w:rPr>
          <w:color w:val="000000" w:themeColor="text1"/>
          <w:spacing w:val="17"/>
          <w:position w:val="10"/>
          <w:lang w:val="fr-FR"/>
        </w:rPr>
        <w:t xml:space="preserve"> </w:t>
      </w:r>
      <w:r w:rsidRPr="00F02792">
        <w:rPr>
          <w:color w:val="000000" w:themeColor="text1"/>
          <w:spacing w:val="-1"/>
          <w:lang w:val="fr-FR"/>
        </w:rPr>
        <w:t>d</w:t>
      </w:r>
      <w:r w:rsidR="00BB76F1">
        <w:rPr>
          <w:color w:val="000000" w:themeColor="text1"/>
          <w:spacing w:val="-1"/>
          <w:lang w:val="fr-FR"/>
        </w:rPr>
        <w:t>’</w:t>
      </w:r>
      <w:r w:rsidRPr="00F02792">
        <w:rPr>
          <w:color w:val="000000" w:themeColor="text1"/>
          <w:spacing w:val="-1"/>
          <w:lang w:val="fr-FR"/>
        </w:rPr>
        <w:t>une</w:t>
      </w:r>
      <w:r w:rsidRPr="00F02792">
        <w:rPr>
          <w:color w:val="000000" w:themeColor="text1"/>
          <w:spacing w:val="10"/>
          <w:lang w:val="fr-FR"/>
        </w:rPr>
        <w:t xml:space="preserve"> </w:t>
      </w:r>
      <w:r w:rsidRPr="00F02792">
        <w:rPr>
          <w:i/>
          <w:iCs/>
          <w:color w:val="000000" w:themeColor="text1"/>
          <w:spacing w:val="-1"/>
          <w:lang w:val="fr-FR"/>
        </w:rPr>
        <w:t>même</w:t>
      </w:r>
      <w:r w:rsidRPr="00F02792">
        <w:rPr>
          <w:i/>
          <w:iCs/>
          <w:color w:val="000000" w:themeColor="text1"/>
          <w:spacing w:val="10"/>
          <w:lang w:val="fr-FR"/>
        </w:rPr>
        <w:t xml:space="preserve"> </w:t>
      </w:r>
      <w:r w:rsidRPr="00F02792">
        <w:rPr>
          <w:i/>
          <w:iCs/>
          <w:color w:val="000000" w:themeColor="text1"/>
          <w:spacing w:val="-1"/>
          <w:lang w:val="fr-FR"/>
        </w:rPr>
        <w:t>juridiction</w:t>
      </w:r>
      <w:r w:rsidR="00DE04B2" w:rsidRPr="00F02792">
        <w:rPr>
          <w:i/>
          <w:iCs/>
          <w:color w:val="000000" w:themeColor="text1"/>
          <w:spacing w:val="-1"/>
          <w:lang w:val="fr-FR"/>
        </w:rPr>
        <w:t xml:space="preserve"> </w:t>
      </w:r>
      <w:r w:rsidR="00DE04B2" w:rsidRPr="00F02792">
        <w:rPr>
          <w:color w:val="000000" w:themeColor="text1"/>
          <w:spacing w:val="-1"/>
          <w:lang w:val="fr-FR"/>
        </w:rPr>
        <w:t>(p. ex chambre civile et juge des saisie)</w:t>
      </w:r>
      <w:r w:rsidR="00F723C5" w:rsidRPr="00F02792">
        <w:rPr>
          <w:color w:val="000000" w:themeColor="text1"/>
          <w:spacing w:val="-1"/>
          <w:lang w:val="fr-FR"/>
        </w:rPr>
        <w:t>.</w:t>
      </w:r>
      <w:r w:rsidR="00CE67BB" w:rsidRPr="00F02792">
        <w:rPr>
          <w:color w:val="000000" w:themeColor="text1"/>
          <w:spacing w:val="-1"/>
          <w:lang w:val="fr-FR"/>
        </w:rPr>
        <w:t xml:space="preserve"> </w:t>
      </w:r>
      <w:r w:rsidR="00CE67BB" w:rsidRPr="00F02792">
        <w:rPr>
          <w:color w:val="000000" w:themeColor="text1"/>
          <w:lang w:val="fr-FR"/>
        </w:rPr>
        <w:t>« Les incidents de répartition qui sont soulevés au sujet de la répartition des affaires civiles entre les sections, les chambres ou les juges d</w:t>
      </w:r>
      <w:r w:rsidR="00BB76F1">
        <w:rPr>
          <w:color w:val="000000" w:themeColor="text1"/>
          <w:lang w:val="fr-FR"/>
        </w:rPr>
        <w:t>’</w:t>
      </w:r>
      <w:r w:rsidR="00CE67BB" w:rsidRPr="00F02792">
        <w:rPr>
          <w:color w:val="000000" w:themeColor="text1"/>
          <w:lang w:val="fr-FR"/>
        </w:rPr>
        <w:t>un même Tribunal de première instance, sont réglés de la manière prévue à l</w:t>
      </w:r>
      <w:r w:rsidR="00BB76F1">
        <w:rPr>
          <w:color w:val="000000" w:themeColor="text1"/>
          <w:lang w:val="fr-FR"/>
        </w:rPr>
        <w:t>’</w:t>
      </w:r>
      <w:r w:rsidR="00CE67BB" w:rsidRPr="00F02792">
        <w:rPr>
          <w:color w:val="000000" w:themeColor="text1"/>
          <w:lang w:val="fr-FR"/>
        </w:rPr>
        <w:t>article 88§2 du Code judiciaire »</w:t>
      </w:r>
      <w:r w:rsidR="00CE67BB" w:rsidRPr="00F02792">
        <w:rPr>
          <w:rStyle w:val="Appelnotedebasdep"/>
          <w:color w:val="000000" w:themeColor="text1"/>
          <w:lang w:val="fr-FR"/>
        </w:rPr>
        <w:footnoteReference w:id="57"/>
      </w:r>
      <w:r w:rsidR="0009409C" w:rsidRPr="00F02792">
        <w:rPr>
          <w:color w:val="000000" w:themeColor="text1"/>
          <w:lang w:val="fr-FR"/>
        </w:rPr>
        <w:t xml:space="preserve">. Ce dernier prévoit que </w:t>
      </w:r>
      <w:r w:rsidRPr="00F02792">
        <w:rPr>
          <w:color w:val="000000" w:themeColor="text1"/>
          <w:lang w:val="fr-FR"/>
        </w:rPr>
        <w:t xml:space="preserve">« </w:t>
      </w:r>
      <w:r w:rsidR="0009409C" w:rsidRPr="00F02792">
        <w:rPr>
          <w:color w:val="000000" w:themeColor="text1"/>
          <w:lang w:val="fr-FR"/>
        </w:rPr>
        <w:t>l</w:t>
      </w:r>
      <w:r w:rsidRPr="00F02792">
        <w:rPr>
          <w:color w:val="000000" w:themeColor="text1"/>
          <w:lang w:val="fr-FR"/>
        </w:rPr>
        <w:t>es</w:t>
      </w:r>
      <w:r w:rsidRPr="00F02792">
        <w:rPr>
          <w:color w:val="000000" w:themeColor="text1"/>
          <w:spacing w:val="3"/>
          <w:lang w:val="fr-FR"/>
        </w:rPr>
        <w:t xml:space="preserve"> </w:t>
      </w:r>
      <w:r w:rsidRPr="00F02792">
        <w:rPr>
          <w:color w:val="000000" w:themeColor="text1"/>
          <w:spacing w:val="-1"/>
          <w:u w:color="000000"/>
          <w:lang w:val="fr-FR"/>
        </w:rPr>
        <w:t>incidents</w:t>
      </w:r>
      <w:r w:rsidRPr="00F02792">
        <w:rPr>
          <w:color w:val="000000" w:themeColor="text1"/>
          <w:spacing w:val="3"/>
          <w:u w:color="000000"/>
          <w:lang w:val="fr-FR"/>
        </w:rPr>
        <w:t xml:space="preserve"> </w:t>
      </w:r>
      <w:r w:rsidRPr="00F02792">
        <w:rPr>
          <w:color w:val="000000" w:themeColor="text1"/>
          <w:spacing w:val="-1"/>
          <w:lang w:val="fr-FR"/>
        </w:rPr>
        <w:t>qui</w:t>
      </w:r>
      <w:r w:rsidRPr="00F02792">
        <w:rPr>
          <w:color w:val="000000" w:themeColor="text1"/>
          <w:spacing w:val="2"/>
          <w:lang w:val="fr-FR"/>
        </w:rPr>
        <w:t xml:space="preserve"> </w:t>
      </w:r>
      <w:r w:rsidRPr="00F02792">
        <w:rPr>
          <w:color w:val="000000" w:themeColor="text1"/>
          <w:spacing w:val="-1"/>
          <w:lang w:val="fr-FR"/>
        </w:rPr>
        <w:t>sont</w:t>
      </w:r>
      <w:r w:rsidRPr="00F02792">
        <w:rPr>
          <w:color w:val="000000" w:themeColor="text1"/>
          <w:lang w:val="fr-FR"/>
        </w:rPr>
        <w:t xml:space="preserve"> </w:t>
      </w:r>
      <w:r w:rsidRPr="00F02792">
        <w:rPr>
          <w:color w:val="000000" w:themeColor="text1"/>
          <w:spacing w:val="-1"/>
          <w:lang w:val="fr-FR"/>
        </w:rPr>
        <w:t>soulevés</w:t>
      </w:r>
      <w:r w:rsidRPr="00F02792">
        <w:rPr>
          <w:color w:val="000000" w:themeColor="text1"/>
          <w:spacing w:val="2"/>
          <w:lang w:val="fr-FR"/>
        </w:rPr>
        <w:t xml:space="preserve"> </w:t>
      </w:r>
      <w:r w:rsidRPr="00F02792">
        <w:rPr>
          <w:color w:val="000000" w:themeColor="text1"/>
          <w:spacing w:val="-1"/>
          <w:lang w:val="fr-FR"/>
        </w:rPr>
        <w:t>au</w:t>
      </w:r>
      <w:r w:rsidRPr="00F02792">
        <w:rPr>
          <w:color w:val="000000" w:themeColor="text1"/>
          <w:spacing w:val="2"/>
          <w:lang w:val="fr-FR"/>
        </w:rPr>
        <w:t xml:space="preserve"> </w:t>
      </w:r>
      <w:r w:rsidRPr="00F02792">
        <w:rPr>
          <w:color w:val="000000" w:themeColor="text1"/>
          <w:spacing w:val="-1"/>
          <w:lang w:val="fr-FR"/>
        </w:rPr>
        <w:t>sujet</w:t>
      </w:r>
      <w:r w:rsidRPr="00F02792">
        <w:rPr>
          <w:color w:val="000000" w:themeColor="text1"/>
          <w:spacing w:val="3"/>
          <w:lang w:val="fr-FR"/>
        </w:rPr>
        <w:t xml:space="preserve"> </w:t>
      </w:r>
      <w:r w:rsidRPr="00F02792">
        <w:rPr>
          <w:color w:val="000000" w:themeColor="text1"/>
          <w:spacing w:val="-1"/>
          <w:lang w:val="fr-FR"/>
        </w:rPr>
        <w:t>de</w:t>
      </w:r>
      <w:r w:rsidRPr="00F02792">
        <w:rPr>
          <w:color w:val="000000" w:themeColor="text1"/>
          <w:spacing w:val="2"/>
          <w:lang w:val="fr-FR"/>
        </w:rPr>
        <w:t xml:space="preserve"> </w:t>
      </w:r>
      <w:r w:rsidRPr="00F02792">
        <w:rPr>
          <w:color w:val="000000" w:themeColor="text1"/>
          <w:lang w:val="fr-FR"/>
        </w:rPr>
        <w:t>la</w:t>
      </w:r>
      <w:r w:rsidRPr="00F02792">
        <w:rPr>
          <w:color w:val="000000" w:themeColor="text1"/>
          <w:spacing w:val="3"/>
          <w:lang w:val="fr-FR"/>
        </w:rPr>
        <w:t xml:space="preserve"> </w:t>
      </w:r>
      <w:r w:rsidRPr="00F02792">
        <w:rPr>
          <w:color w:val="000000" w:themeColor="text1"/>
          <w:spacing w:val="-1"/>
          <w:u w:color="000000"/>
          <w:lang w:val="fr-FR"/>
        </w:rPr>
        <w:t>répartition</w:t>
      </w:r>
      <w:r w:rsidRPr="00F02792">
        <w:rPr>
          <w:color w:val="000000" w:themeColor="text1"/>
          <w:spacing w:val="1"/>
          <w:u w:color="000000"/>
          <w:lang w:val="fr-FR"/>
        </w:rPr>
        <w:t xml:space="preserve"> </w:t>
      </w:r>
      <w:r w:rsidRPr="00F02792">
        <w:rPr>
          <w:color w:val="000000" w:themeColor="text1"/>
          <w:spacing w:val="-1"/>
          <w:u w:color="000000"/>
          <w:lang w:val="fr-FR"/>
        </w:rPr>
        <w:t>des</w:t>
      </w:r>
      <w:r w:rsidRPr="00F02792">
        <w:rPr>
          <w:color w:val="000000" w:themeColor="text1"/>
          <w:spacing w:val="2"/>
          <w:u w:color="000000"/>
          <w:lang w:val="fr-FR"/>
        </w:rPr>
        <w:t xml:space="preserve"> </w:t>
      </w:r>
      <w:r w:rsidRPr="00F02792">
        <w:rPr>
          <w:color w:val="000000" w:themeColor="text1"/>
          <w:spacing w:val="-1"/>
          <w:u w:color="000000"/>
          <w:lang w:val="fr-FR"/>
        </w:rPr>
        <w:t>affaires</w:t>
      </w:r>
      <w:r w:rsidRPr="00F02792">
        <w:rPr>
          <w:color w:val="000000" w:themeColor="text1"/>
          <w:spacing w:val="4"/>
          <w:u w:color="000000"/>
          <w:lang w:val="fr-FR"/>
        </w:rPr>
        <w:t xml:space="preserve"> </w:t>
      </w:r>
      <w:r w:rsidRPr="00F02792">
        <w:rPr>
          <w:color w:val="000000" w:themeColor="text1"/>
          <w:spacing w:val="-1"/>
          <w:lang w:val="fr-FR"/>
        </w:rPr>
        <w:t>entre</w:t>
      </w:r>
      <w:r w:rsidRPr="00F02792">
        <w:rPr>
          <w:color w:val="000000" w:themeColor="text1"/>
          <w:spacing w:val="2"/>
          <w:lang w:val="fr-FR"/>
        </w:rPr>
        <w:t xml:space="preserve"> </w:t>
      </w:r>
      <w:r w:rsidRPr="00F02792">
        <w:rPr>
          <w:color w:val="000000" w:themeColor="text1"/>
          <w:lang w:val="fr-FR"/>
        </w:rPr>
        <w:t>les</w:t>
      </w:r>
      <w:r w:rsidRPr="00F02792">
        <w:rPr>
          <w:color w:val="000000" w:themeColor="text1"/>
          <w:spacing w:val="2"/>
          <w:lang w:val="fr-FR"/>
        </w:rPr>
        <w:t xml:space="preserve"> </w:t>
      </w:r>
      <w:r w:rsidRPr="00F02792">
        <w:rPr>
          <w:color w:val="000000" w:themeColor="text1"/>
          <w:spacing w:val="-1"/>
          <w:lang w:val="fr-FR"/>
        </w:rPr>
        <w:lastRenderedPageBreak/>
        <w:t>divisions,</w:t>
      </w:r>
      <w:r w:rsidRPr="00F02792">
        <w:rPr>
          <w:color w:val="000000" w:themeColor="text1"/>
          <w:spacing w:val="3"/>
          <w:lang w:val="fr-FR"/>
        </w:rPr>
        <w:t xml:space="preserve"> </w:t>
      </w:r>
      <w:r w:rsidRPr="00F02792">
        <w:rPr>
          <w:color w:val="000000" w:themeColor="text1"/>
          <w:lang w:val="fr-FR"/>
        </w:rPr>
        <w:t>les</w:t>
      </w:r>
      <w:r w:rsidRPr="00F02792">
        <w:rPr>
          <w:color w:val="000000" w:themeColor="text1"/>
          <w:spacing w:val="2"/>
          <w:lang w:val="fr-FR"/>
        </w:rPr>
        <w:t xml:space="preserve"> </w:t>
      </w:r>
      <w:r w:rsidRPr="00F02792">
        <w:rPr>
          <w:color w:val="000000" w:themeColor="text1"/>
          <w:spacing w:val="-2"/>
          <w:lang w:val="fr-FR"/>
        </w:rPr>
        <w:t>sections,</w:t>
      </w:r>
      <w:r w:rsidRPr="00F02792">
        <w:rPr>
          <w:color w:val="000000" w:themeColor="text1"/>
          <w:spacing w:val="77"/>
          <w:lang w:val="fr-FR"/>
        </w:rPr>
        <w:t xml:space="preserve"> </w:t>
      </w:r>
      <w:r w:rsidRPr="00F02792">
        <w:rPr>
          <w:color w:val="000000" w:themeColor="text1"/>
          <w:lang w:val="fr-FR"/>
        </w:rPr>
        <w:t>les</w:t>
      </w:r>
      <w:r w:rsidRPr="00F02792">
        <w:rPr>
          <w:color w:val="000000" w:themeColor="text1"/>
          <w:spacing w:val="22"/>
          <w:lang w:val="fr-FR"/>
        </w:rPr>
        <w:t xml:space="preserve"> </w:t>
      </w:r>
      <w:r w:rsidRPr="00F02792">
        <w:rPr>
          <w:color w:val="000000" w:themeColor="text1"/>
          <w:spacing w:val="-1"/>
          <w:lang w:val="fr-FR"/>
        </w:rPr>
        <w:t>chambres</w:t>
      </w:r>
      <w:r w:rsidRPr="00F02792">
        <w:rPr>
          <w:color w:val="000000" w:themeColor="text1"/>
          <w:spacing w:val="20"/>
          <w:lang w:val="fr-FR"/>
        </w:rPr>
        <w:t xml:space="preserve"> </w:t>
      </w:r>
      <w:r w:rsidRPr="00F02792">
        <w:rPr>
          <w:color w:val="000000" w:themeColor="text1"/>
          <w:spacing w:val="-1"/>
          <w:lang w:val="fr-FR"/>
        </w:rPr>
        <w:t>ou</w:t>
      </w:r>
      <w:r w:rsidRPr="00F02792">
        <w:rPr>
          <w:color w:val="000000" w:themeColor="text1"/>
          <w:spacing w:val="20"/>
          <w:lang w:val="fr-FR"/>
        </w:rPr>
        <w:t xml:space="preserve"> </w:t>
      </w:r>
      <w:r w:rsidRPr="00F02792">
        <w:rPr>
          <w:color w:val="000000" w:themeColor="text1"/>
          <w:spacing w:val="-1"/>
          <w:lang w:val="fr-FR"/>
        </w:rPr>
        <w:t>les</w:t>
      </w:r>
      <w:r w:rsidRPr="00F02792">
        <w:rPr>
          <w:color w:val="000000" w:themeColor="text1"/>
          <w:spacing w:val="22"/>
          <w:lang w:val="fr-FR"/>
        </w:rPr>
        <w:t xml:space="preserve"> </w:t>
      </w:r>
      <w:r w:rsidRPr="00F02792">
        <w:rPr>
          <w:color w:val="000000" w:themeColor="text1"/>
          <w:spacing w:val="-1"/>
          <w:lang w:val="fr-FR"/>
        </w:rPr>
        <w:t>juges</w:t>
      </w:r>
      <w:r w:rsidRPr="00F02792">
        <w:rPr>
          <w:color w:val="000000" w:themeColor="text1"/>
          <w:spacing w:val="17"/>
          <w:lang w:val="fr-FR"/>
        </w:rPr>
        <w:t xml:space="preserve"> </w:t>
      </w:r>
      <w:r w:rsidRPr="00F02792">
        <w:rPr>
          <w:color w:val="000000" w:themeColor="text1"/>
          <w:spacing w:val="-1"/>
          <w:lang w:val="fr-FR"/>
        </w:rPr>
        <w:t>d</w:t>
      </w:r>
      <w:r w:rsidR="00BB76F1">
        <w:rPr>
          <w:color w:val="000000" w:themeColor="text1"/>
          <w:spacing w:val="-1"/>
          <w:lang w:val="fr-FR"/>
        </w:rPr>
        <w:t>’</w:t>
      </w:r>
      <w:r w:rsidRPr="00F02792">
        <w:rPr>
          <w:color w:val="000000" w:themeColor="text1"/>
          <w:spacing w:val="-1"/>
          <w:lang w:val="fr-FR"/>
        </w:rPr>
        <w:t>un</w:t>
      </w:r>
      <w:r w:rsidRPr="00F02792">
        <w:rPr>
          <w:color w:val="000000" w:themeColor="text1"/>
          <w:spacing w:val="21"/>
          <w:lang w:val="fr-FR"/>
        </w:rPr>
        <w:t xml:space="preserve"> </w:t>
      </w:r>
      <w:r w:rsidRPr="00F02792">
        <w:rPr>
          <w:color w:val="000000" w:themeColor="text1"/>
          <w:lang w:val="fr-FR"/>
        </w:rPr>
        <w:t>même</w:t>
      </w:r>
      <w:r w:rsidRPr="00F02792">
        <w:rPr>
          <w:color w:val="000000" w:themeColor="text1"/>
          <w:spacing w:val="19"/>
          <w:lang w:val="fr-FR"/>
        </w:rPr>
        <w:t xml:space="preserve"> </w:t>
      </w:r>
      <w:r w:rsidRPr="00F02792">
        <w:rPr>
          <w:color w:val="000000" w:themeColor="text1"/>
          <w:spacing w:val="-1"/>
          <w:lang w:val="fr-FR"/>
        </w:rPr>
        <w:t>tribunal</w:t>
      </w:r>
      <w:r w:rsidRPr="00F02792">
        <w:rPr>
          <w:color w:val="000000" w:themeColor="text1"/>
          <w:spacing w:val="21"/>
          <w:lang w:val="fr-FR"/>
        </w:rPr>
        <w:t xml:space="preserve"> </w:t>
      </w:r>
      <w:r w:rsidRPr="00F02792">
        <w:rPr>
          <w:color w:val="000000" w:themeColor="text1"/>
          <w:spacing w:val="-1"/>
          <w:lang w:val="fr-FR"/>
        </w:rPr>
        <w:t>conformément</w:t>
      </w:r>
      <w:r w:rsidRPr="00F02792">
        <w:rPr>
          <w:color w:val="000000" w:themeColor="text1"/>
          <w:spacing w:val="22"/>
          <w:lang w:val="fr-FR"/>
        </w:rPr>
        <w:t xml:space="preserve"> </w:t>
      </w:r>
      <w:r w:rsidRPr="00F02792">
        <w:rPr>
          <w:color w:val="000000" w:themeColor="text1"/>
          <w:spacing w:val="-1"/>
          <w:lang w:val="fr-FR"/>
        </w:rPr>
        <w:t>au</w:t>
      </w:r>
      <w:r w:rsidRPr="00F02792">
        <w:rPr>
          <w:color w:val="000000" w:themeColor="text1"/>
          <w:spacing w:val="18"/>
          <w:lang w:val="fr-FR"/>
        </w:rPr>
        <w:t xml:space="preserve"> </w:t>
      </w:r>
      <w:r w:rsidRPr="00F02792">
        <w:rPr>
          <w:color w:val="000000" w:themeColor="text1"/>
          <w:spacing w:val="-1"/>
          <w:lang w:val="fr-FR"/>
        </w:rPr>
        <w:t>règlement</w:t>
      </w:r>
      <w:r w:rsidRPr="00F02792">
        <w:rPr>
          <w:color w:val="000000" w:themeColor="text1"/>
          <w:spacing w:val="20"/>
          <w:lang w:val="fr-FR"/>
        </w:rPr>
        <w:t xml:space="preserve"> </w:t>
      </w:r>
      <w:r w:rsidRPr="00F02792">
        <w:rPr>
          <w:color w:val="000000" w:themeColor="text1"/>
          <w:spacing w:val="-1"/>
          <w:lang w:val="fr-FR"/>
        </w:rPr>
        <w:t>particulier</w:t>
      </w:r>
      <w:r w:rsidRPr="00F02792">
        <w:rPr>
          <w:color w:val="000000" w:themeColor="text1"/>
          <w:spacing w:val="22"/>
          <w:lang w:val="fr-FR"/>
        </w:rPr>
        <w:t xml:space="preserve"> </w:t>
      </w:r>
      <w:r w:rsidRPr="00F02792">
        <w:rPr>
          <w:color w:val="000000" w:themeColor="text1"/>
          <w:spacing w:val="-1"/>
          <w:lang w:val="fr-FR"/>
        </w:rPr>
        <w:t>ou</w:t>
      </w:r>
      <w:r w:rsidRPr="00F02792">
        <w:rPr>
          <w:color w:val="000000" w:themeColor="text1"/>
          <w:spacing w:val="18"/>
          <w:lang w:val="fr-FR"/>
        </w:rPr>
        <w:t xml:space="preserve"> </w:t>
      </w:r>
      <w:r w:rsidRPr="00F02792">
        <w:rPr>
          <w:color w:val="000000" w:themeColor="text1"/>
          <w:spacing w:val="-1"/>
          <w:lang w:val="fr-FR"/>
        </w:rPr>
        <w:t>au</w:t>
      </w:r>
      <w:r w:rsidRPr="00F02792">
        <w:rPr>
          <w:color w:val="000000" w:themeColor="text1"/>
          <w:spacing w:val="21"/>
          <w:lang w:val="fr-FR"/>
        </w:rPr>
        <w:t xml:space="preserve"> </w:t>
      </w:r>
      <w:r w:rsidRPr="00F02792">
        <w:rPr>
          <w:color w:val="000000" w:themeColor="text1"/>
          <w:lang w:val="fr-FR"/>
        </w:rPr>
        <w:t xml:space="preserve">règlement </w:t>
      </w:r>
      <w:r w:rsidRPr="00F02792">
        <w:rPr>
          <w:color w:val="000000" w:themeColor="text1"/>
          <w:spacing w:val="-1"/>
          <w:lang w:val="fr-FR"/>
        </w:rPr>
        <w:t>de</w:t>
      </w:r>
      <w:r w:rsidRPr="00F02792">
        <w:rPr>
          <w:color w:val="000000" w:themeColor="text1"/>
          <w:spacing w:val="-3"/>
          <w:lang w:val="fr-FR"/>
        </w:rPr>
        <w:t xml:space="preserve"> </w:t>
      </w:r>
      <w:r w:rsidRPr="00F02792">
        <w:rPr>
          <w:color w:val="000000" w:themeColor="text1"/>
          <w:spacing w:val="-1"/>
          <w:lang w:val="fr-FR"/>
        </w:rPr>
        <w:t xml:space="preserve">répartition </w:t>
      </w:r>
      <w:r w:rsidRPr="00F02792">
        <w:rPr>
          <w:color w:val="000000" w:themeColor="text1"/>
          <w:spacing w:val="-2"/>
          <w:lang w:val="fr-FR"/>
        </w:rPr>
        <w:t>des</w:t>
      </w:r>
      <w:r w:rsidRPr="00F02792">
        <w:rPr>
          <w:color w:val="000000" w:themeColor="text1"/>
          <w:spacing w:val="1"/>
          <w:lang w:val="fr-FR"/>
        </w:rPr>
        <w:t xml:space="preserve"> </w:t>
      </w:r>
      <w:r w:rsidRPr="00F02792">
        <w:rPr>
          <w:color w:val="000000" w:themeColor="text1"/>
          <w:spacing w:val="-1"/>
          <w:lang w:val="fr-FR"/>
        </w:rPr>
        <w:t>affaires</w:t>
      </w:r>
      <w:r w:rsidRPr="00F02792">
        <w:rPr>
          <w:color w:val="000000" w:themeColor="text1"/>
          <w:spacing w:val="-2"/>
          <w:lang w:val="fr-FR"/>
        </w:rPr>
        <w:t xml:space="preserve"> </w:t>
      </w:r>
      <w:r w:rsidRPr="00F02792">
        <w:rPr>
          <w:color w:val="000000" w:themeColor="text1"/>
          <w:spacing w:val="-1"/>
          <w:lang w:val="fr-FR"/>
        </w:rPr>
        <w:t>sont</w:t>
      </w:r>
      <w:r w:rsidRPr="00F02792">
        <w:rPr>
          <w:color w:val="000000" w:themeColor="text1"/>
          <w:spacing w:val="-2"/>
          <w:lang w:val="fr-FR"/>
        </w:rPr>
        <w:t xml:space="preserve"> </w:t>
      </w:r>
      <w:r w:rsidRPr="00F02792">
        <w:rPr>
          <w:color w:val="000000" w:themeColor="text1"/>
          <w:spacing w:val="-1"/>
          <w:lang w:val="fr-FR"/>
        </w:rPr>
        <w:t>réglés</w:t>
      </w:r>
      <w:r w:rsidRPr="00F02792">
        <w:rPr>
          <w:color w:val="000000" w:themeColor="text1"/>
          <w:lang w:val="fr-FR"/>
        </w:rPr>
        <w:t xml:space="preserve"> </w:t>
      </w:r>
      <w:r w:rsidRPr="00F02792">
        <w:rPr>
          <w:color w:val="000000" w:themeColor="text1"/>
          <w:spacing w:val="-1"/>
          <w:lang w:val="fr-FR"/>
        </w:rPr>
        <w:t>de</w:t>
      </w:r>
      <w:r w:rsidRPr="00F02792">
        <w:rPr>
          <w:color w:val="000000" w:themeColor="text1"/>
          <w:spacing w:val="-3"/>
          <w:lang w:val="fr-FR"/>
        </w:rPr>
        <w:t xml:space="preserve"> </w:t>
      </w:r>
      <w:r w:rsidRPr="00F02792">
        <w:rPr>
          <w:color w:val="000000" w:themeColor="text1"/>
          <w:lang w:val="fr-FR"/>
        </w:rPr>
        <w:t xml:space="preserve">la </w:t>
      </w:r>
      <w:r w:rsidRPr="00F02792">
        <w:rPr>
          <w:color w:val="000000" w:themeColor="text1"/>
          <w:spacing w:val="-1"/>
          <w:lang w:val="fr-FR"/>
        </w:rPr>
        <w:t>manière</w:t>
      </w:r>
      <w:r w:rsidRPr="00F02792">
        <w:rPr>
          <w:color w:val="000000" w:themeColor="text1"/>
          <w:spacing w:val="-2"/>
          <w:lang w:val="fr-FR"/>
        </w:rPr>
        <w:t xml:space="preserve"> </w:t>
      </w:r>
      <w:r w:rsidRPr="00F02792">
        <w:rPr>
          <w:color w:val="000000" w:themeColor="text1"/>
          <w:spacing w:val="-1"/>
          <w:lang w:val="fr-FR"/>
        </w:rPr>
        <w:t>suivante</w:t>
      </w:r>
      <w:r w:rsidRPr="00F02792">
        <w:rPr>
          <w:color w:val="000000" w:themeColor="text1"/>
          <w:spacing w:val="-2"/>
          <w:lang w:val="fr-FR"/>
        </w:rPr>
        <w:t xml:space="preserve"> </w:t>
      </w:r>
      <w:r w:rsidRPr="00F02792">
        <w:rPr>
          <w:color w:val="000000" w:themeColor="text1"/>
          <w:lang w:val="fr-FR"/>
        </w:rPr>
        <w:t>:</w:t>
      </w:r>
    </w:p>
    <w:p w14:paraId="7839D14E" w14:textId="77777777" w:rsidR="006E53C0" w:rsidRPr="00F02792" w:rsidRDefault="006E53C0" w:rsidP="006E53C0">
      <w:pPr>
        <w:spacing w:before="6"/>
        <w:jc w:val="both"/>
        <w:rPr>
          <w:rFonts w:eastAsia="Calibri"/>
          <w:color w:val="000000" w:themeColor="text1"/>
          <w:lang w:val="fr-FR"/>
        </w:rPr>
      </w:pPr>
    </w:p>
    <w:p w14:paraId="39603EC3" w14:textId="1EBFA8F2" w:rsidR="00D37F6A" w:rsidRPr="00F02792" w:rsidRDefault="006E53C0" w:rsidP="00D37F6A">
      <w:pPr>
        <w:pStyle w:val="Paragraphedeliste"/>
        <w:numPr>
          <w:ilvl w:val="0"/>
          <w:numId w:val="3"/>
        </w:numPr>
        <w:ind w:right="112"/>
        <w:jc w:val="both"/>
        <w:rPr>
          <w:rFonts w:eastAsia="Calibri"/>
          <w:color w:val="000000" w:themeColor="text1"/>
          <w:lang w:val="fr-FR"/>
        </w:rPr>
      </w:pPr>
      <w:r w:rsidRPr="00F02792">
        <w:rPr>
          <w:color w:val="000000" w:themeColor="text1"/>
          <w:spacing w:val="-1"/>
          <w:lang w:val="fr-FR"/>
        </w:rPr>
        <w:t>Lorsqu</w:t>
      </w:r>
      <w:r w:rsidR="00BB76F1">
        <w:rPr>
          <w:color w:val="000000" w:themeColor="text1"/>
          <w:spacing w:val="-1"/>
          <w:lang w:val="fr-FR"/>
        </w:rPr>
        <w:t>’</w:t>
      </w:r>
      <w:r w:rsidRPr="00F02792">
        <w:rPr>
          <w:color w:val="000000" w:themeColor="text1"/>
          <w:spacing w:val="-1"/>
          <w:lang w:val="fr-FR"/>
        </w:rPr>
        <w:t>un</w:t>
      </w:r>
      <w:r w:rsidRPr="00F02792">
        <w:rPr>
          <w:color w:val="000000" w:themeColor="text1"/>
          <w:spacing w:val="27"/>
          <w:lang w:val="fr-FR"/>
        </w:rPr>
        <w:t xml:space="preserve"> </w:t>
      </w:r>
      <w:r w:rsidRPr="00F02792">
        <w:rPr>
          <w:color w:val="000000" w:themeColor="text1"/>
          <w:lang w:val="fr-FR"/>
        </w:rPr>
        <w:t>tel</w:t>
      </w:r>
      <w:r w:rsidRPr="00F02792">
        <w:rPr>
          <w:color w:val="000000" w:themeColor="text1"/>
          <w:spacing w:val="29"/>
          <w:lang w:val="fr-FR"/>
        </w:rPr>
        <w:t xml:space="preserve"> </w:t>
      </w:r>
      <w:r w:rsidRPr="00F02792">
        <w:rPr>
          <w:color w:val="000000" w:themeColor="text1"/>
          <w:spacing w:val="-1"/>
          <w:lang w:val="fr-FR"/>
        </w:rPr>
        <w:t>incident</w:t>
      </w:r>
      <w:r w:rsidRPr="00F02792">
        <w:rPr>
          <w:color w:val="000000" w:themeColor="text1"/>
          <w:spacing w:val="29"/>
          <w:lang w:val="fr-FR"/>
        </w:rPr>
        <w:t xml:space="preserve"> </w:t>
      </w:r>
      <w:r w:rsidRPr="00F02792">
        <w:rPr>
          <w:color w:val="000000" w:themeColor="text1"/>
          <w:spacing w:val="-1"/>
          <w:lang w:val="fr-FR"/>
        </w:rPr>
        <w:t>est</w:t>
      </w:r>
      <w:r w:rsidRPr="00F02792">
        <w:rPr>
          <w:color w:val="000000" w:themeColor="text1"/>
          <w:spacing w:val="30"/>
          <w:lang w:val="fr-FR"/>
        </w:rPr>
        <w:t xml:space="preserve"> </w:t>
      </w:r>
      <w:r w:rsidRPr="00F02792">
        <w:rPr>
          <w:color w:val="000000" w:themeColor="text1"/>
          <w:spacing w:val="-1"/>
          <w:lang w:val="fr-FR"/>
        </w:rPr>
        <w:t>soulevé</w:t>
      </w:r>
      <w:r w:rsidRPr="00F02792">
        <w:rPr>
          <w:color w:val="000000" w:themeColor="text1"/>
          <w:spacing w:val="29"/>
          <w:lang w:val="fr-FR"/>
        </w:rPr>
        <w:t xml:space="preserve"> </w:t>
      </w:r>
      <w:r w:rsidRPr="00F02792">
        <w:rPr>
          <w:color w:val="000000" w:themeColor="text1"/>
          <w:spacing w:val="-1"/>
          <w:lang w:val="fr-FR"/>
        </w:rPr>
        <w:t>avant</w:t>
      </w:r>
      <w:r w:rsidRPr="00F02792">
        <w:rPr>
          <w:color w:val="000000" w:themeColor="text1"/>
          <w:spacing w:val="30"/>
          <w:lang w:val="fr-FR"/>
        </w:rPr>
        <w:t xml:space="preserve"> </w:t>
      </w:r>
      <w:r w:rsidRPr="00F02792">
        <w:rPr>
          <w:color w:val="000000" w:themeColor="text1"/>
          <w:spacing w:val="-1"/>
          <w:lang w:val="fr-FR"/>
        </w:rPr>
        <w:t>tout</w:t>
      </w:r>
      <w:r w:rsidRPr="00F02792">
        <w:rPr>
          <w:color w:val="000000" w:themeColor="text1"/>
          <w:spacing w:val="30"/>
          <w:lang w:val="fr-FR"/>
        </w:rPr>
        <w:t xml:space="preserve"> </w:t>
      </w:r>
      <w:r w:rsidRPr="00F02792">
        <w:rPr>
          <w:color w:val="000000" w:themeColor="text1"/>
          <w:spacing w:val="-1"/>
          <w:lang w:val="fr-FR"/>
        </w:rPr>
        <w:t>autre</w:t>
      </w:r>
      <w:r w:rsidRPr="00F02792">
        <w:rPr>
          <w:color w:val="000000" w:themeColor="text1"/>
          <w:spacing w:val="26"/>
          <w:lang w:val="fr-FR"/>
        </w:rPr>
        <w:t xml:space="preserve"> </w:t>
      </w:r>
      <w:r w:rsidRPr="00F02792">
        <w:rPr>
          <w:color w:val="000000" w:themeColor="text1"/>
          <w:spacing w:val="-1"/>
          <w:lang w:val="fr-FR"/>
        </w:rPr>
        <w:t>moyen,</w:t>
      </w:r>
      <w:r w:rsidRPr="00F02792">
        <w:rPr>
          <w:color w:val="000000" w:themeColor="text1"/>
          <w:spacing w:val="29"/>
          <w:lang w:val="fr-FR"/>
        </w:rPr>
        <w:t xml:space="preserve"> </w:t>
      </w:r>
      <w:r w:rsidRPr="00F02792">
        <w:rPr>
          <w:color w:val="000000" w:themeColor="text1"/>
          <w:spacing w:val="-1"/>
          <w:lang w:val="fr-FR"/>
        </w:rPr>
        <w:t>par</w:t>
      </w:r>
      <w:r w:rsidRPr="00F02792">
        <w:rPr>
          <w:color w:val="000000" w:themeColor="text1"/>
          <w:spacing w:val="30"/>
          <w:lang w:val="fr-FR"/>
        </w:rPr>
        <w:t xml:space="preserve"> </w:t>
      </w:r>
      <w:r w:rsidRPr="00F02792">
        <w:rPr>
          <w:color w:val="000000" w:themeColor="text1"/>
          <w:spacing w:val="-1"/>
          <w:lang w:val="fr-FR"/>
        </w:rPr>
        <w:t>l</w:t>
      </w:r>
      <w:r w:rsidR="00BB76F1">
        <w:rPr>
          <w:color w:val="000000" w:themeColor="text1"/>
          <w:spacing w:val="-1"/>
          <w:lang w:val="fr-FR"/>
        </w:rPr>
        <w:t>’</w:t>
      </w:r>
      <w:r w:rsidRPr="00F02792">
        <w:rPr>
          <w:color w:val="000000" w:themeColor="text1"/>
          <w:spacing w:val="-1"/>
          <w:lang w:val="fr-FR"/>
        </w:rPr>
        <w:t>une</w:t>
      </w:r>
      <w:r w:rsidRPr="00F02792">
        <w:rPr>
          <w:color w:val="000000" w:themeColor="text1"/>
          <w:spacing w:val="28"/>
          <w:lang w:val="fr-FR"/>
        </w:rPr>
        <w:t xml:space="preserve"> </w:t>
      </w:r>
      <w:r w:rsidRPr="00F02792">
        <w:rPr>
          <w:color w:val="000000" w:themeColor="text1"/>
          <w:spacing w:val="-1"/>
          <w:lang w:val="fr-FR"/>
        </w:rPr>
        <w:t>des</w:t>
      </w:r>
      <w:r w:rsidRPr="00F02792">
        <w:rPr>
          <w:color w:val="000000" w:themeColor="text1"/>
          <w:spacing w:val="29"/>
          <w:lang w:val="fr-FR"/>
        </w:rPr>
        <w:t xml:space="preserve"> </w:t>
      </w:r>
      <w:r w:rsidRPr="00F02792">
        <w:rPr>
          <w:color w:val="000000" w:themeColor="text1"/>
          <w:spacing w:val="-1"/>
          <w:lang w:val="fr-FR"/>
        </w:rPr>
        <w:t>parties,</w:t>
      </w:r>
      <w:r w:rsidRPr="00F02792">
        <w:rPr>
          <w:color w:val="000000" w:themeColor="text1"/>
          <w:spacing w:val="30"/>
          <w:lang w:val="fr-FR"/>
        </w:rPr>
        <w:t xml:space="preserve"> </w:t>
      </w:r>
      <w:r w:rsidRPr="00F02792">
        <w:rPr>
          <w:color w:val="000000" w:themeColor="text1"/>
          <w:spacing w:val="-1"/>
          <w:lang w:val="fr-FR"/>
        </w:rPr>
        <w:t>ou</w:t>
      </w:r>
      <w:r w:rsidRPr="00F02792">
        <w:rPr>
          <w:color w:val="000000" w:themeColor="text1"/>
          <w:spacing w:val="28"/>
          <w:lang w:val="fr-FR"/>
        </w:rPr>
        <w:t xml:space="preserve"> </w:t>
      </w:r>
      <w:r w:rsidRPr="00F02792">
        <w:rPr>
          <w:color w:val="000000" w:themeColor="text1"/>
          <w:spacing w:val="-1"/>
          <w:lang w:val="fr-FR"/>
        </w:rPr>
        <w:t>lorsqu</w:t>
      </w:r>
      <w:r w:rsidR="00BB76F1">
        <w:rPr>
          <w:color w:val="000000" w:themeColor="text1"/>
          <w:spacing w:val="-1"/>
          <w:lang w:val="fr-FR"/>
        </w:rPr>
        <w:t>’</w:t>
      </w:r>
      <w:r w:rsidRPr="00F02792">
        <w:rPr>
          <w:color w:val="000000" w:themeColor="text1"/>
          <w:spacing w:val="-1"/>
          <w:lang w:val="fr-FR"/>
        </w:rPr>
        <w:t>il</w:t>
      </w:r>
      <w:r w:rsidRPr="00F02792">
        <w:rPr>
          <w:color w:val="000000" w:themeColor="text1"/>
          <w:spacing w:val="28"/>
          <w:lang w:val="fr-FR"/>
        </w:rPr>
        <w:t xml:space="preserve"> </w:t>
      </w:r>
      <w:r w:rsidRPr="00F02792">
        <w:rPr>
          <w:color w:val="000000" w:themeColor="text1"/>
          <w:spacing w:val="-1"/>
          <w:lang w:val="fr-FR"/>
        </w:rPr>
        <w:t>est</w:t>
      </w:r>
      <w:r w:rsidRPr="00F02792">
        <w:rPr>
          <w:color w:val="000000" w:themeColor="text1"/>
          <w:spacing w:val="59"/>
          <w:lang w:val="fr-FR"/>
        </w:rPr>
        <w:t xml:space="preserve"> </w:t>
      </w:r>
      <w:r w:rsidRPr="00F02792">
        <w:rPr>
          <w:color w:val="000000" w:themeColor="text1"/>
          <w:spacing w:val="-1"/>
          <w:lang w:val="fr-FR"/>
        </w:rPr>
        <w:t>soulevé</w:t>
      </w:r>
      <w:r w:rsidRPr="00F02792">
        <w:rPr>
          <w:color w:val="000000" w:themeColor="text1"/>
          <w:spacing w:val="9"/>
          <w:lang w:val="fr-FR"/>
        </w:rPr>
        <w:t xml:space="preserve"> </w:t>
      </w:r>
      <w:r w:rsidRPr="00F02792">
        <w:rPr>
          <w:color w:val="000000" w:themeColor="text1"/>
          <w:spacing w:val="-1"/>
          <w:lang w:val="fr-FR"/>
        </w:rPr>
        <w:t>d</w:t>
      </w:r>
      <w:r w:rsidR="00BB76F1">
        <w:rPr>
          <w:color w:val="000000" w:themeColor="text1"/>
          <w:spacing w:val="-1"/>
          <w:lang w:val="fr-FR"/>
        </w:rPr>
        <w:t>’</w:t>
      </w:r>
      <w:r w:rsidRPr="00F02792">
        <w:rPr>
          <w:color w:val="000000" w:themeColor="text1"/>
          <w:spacing w:val="-1"/>
          <w:lang w:val="fr-FR"/>
        </w:rPr>
        <w:t>office</w:t>
      </w:r>
      <w:r w:rsidRPr="00F02792">
        <w:rPr>
          <w:color w:val="000000" w:themeColor="text1"/>
          <w:spacing w:val="10"/>
          <w:lang w:val="fr-FR"/>
        </w:rPr>
        <w:t xml:space="preserve"> </w:t>
      </w:r>
      <w:r w:rsidRPr="00F02792">
        <w:rPr>
          <w:color w:val="000000" w:themeColor="text1"/>
          <w:lang w:val="fr-FR"/>
        </w:rPr>
        <w:t>à</w:t>
      </w:r>
      <w:r w:rsidRPr="00F02792">
        <w:rPr>
          <w:color w:val="000000" w:themeColor="text1"/>
          <w:spacing w:val="7"/>
          <w:lang w:val="fr-FR"/>
        </w:rPr>
        <w:t xml:space="preserve"> </w:t>
      </w:r>
      <w:r w:rsidRPr="00F02792">
        <w:rPr>
          <w:color w:val="000000" w:themeColor="text1"/>
          <w:spacing w:val="-1"/>
          <w:lang w:val="fr-FR"/>
        </w:rPr>
        <w:t>l</w:t>
      </w:r>
      <w:r w:rsidR="00BB76F1">
        <w:rPr>
          <w:color w:val="000000" w:themeColor="text1"/>
          <w:spacing w:val="-1"/>
          <w:lang w:val="fr-FR"/>
        </w:rPr>
        <w:t>’</w:t>
      </w:r>
      <w:r w:rsidRPr="00F02792">
        <w:rPr>
          <w:color w:val="000000" w:themeColor="text1"/>
          <w:spacing w:val="-1"/>
          <w:lang w:val="fr-FR"/>
        </w:rPr>
        <w:t>ouverture</w:t>
      </w:r>
      <w:r w:rsidRPr="00F02792">
        <w:rPr>
          <w:color w:val="000000" w:themeColor="text1"/>
          <w:spacing w:val="10"/>
          <w:lang w:val="fr-FR"/>
        </w:rPr>
        <w:t xml:space="preserve"> </w:t>
      </w:r>
      <w:r w:rsidRPr="00F02792">
        <w:rPr>
          <w:color w:val="000000" w:themeColor="text1"/>
          <w:spacing w:val="-2"/>
          <w:lang w:val="fr-FR"/>
        </w:rPr>
        <w:t>des</w:t>
      </w:r>
      <w:r w:rsidRPr="00F02792">
        <w:rPr>
          <w:color w:val="000000" w:themeColor="text1"/>
          <w:spacing w:val="10"/>
          <w:lang w:val="fr-FR"/>
        </w:rPr>
        <w:t xml:space="preserve"> </w:t>
      </w:r>
      <w:r w:rsidRPr="00F02792">
        <w:rPr>
          <w:color w:val="000000" w:themeColor="text1"/>
          <w:spacing w:val="-1"/>
          <w:lang w:val="fr-FR"/>
        </w:rPr>
        <w:t>débats,</w:t>
      </w:r>
      <w:r w:rsidRPr="00F02792">
        <w:rPr>
          <w:color w:val="000000" w:themeColor="text1"/>
          <w:spacing w:val="10"/>
          <w:lang w:val="fr-FR"/>
        </w:rPr>
        <w:t xml:space="preserve"> </w:t>
      </w:r>
      <w:r w:rsidRPr="00F02792">
        <w:rPr>
          <w:color w:val="000000" w:themeColor="text1"/>
          <w:lang w:val="fr-FR"/>
        </w:rPr>
        <w:t>la</w:t>
      </w:r>
      <w:r w:rsidRPr="00F02792">
        <w:rPr>
          <w:color w:val="000000" w:themeColor="text1"/>
          <w:spacing w:val="6"/>
          <w:lang w:val="fr-FR"/>
        </w:rPr>
        <w:t xml:space="preserve"> </w:t>
      </w:r>
      <w:r w:rsidRPr="00F02792">
        <w:rPr>
          <w:color w:val="000000" w:themeColor="text1"/>
          <w:spacing w:val="-1"/>
          <w:lang w:val="fr-FR"/>
        </w:rPr>
        <w:t>division,</w:t>
      </w:r>
      <w:r w:rsidRPr="00F02792">
        <w:rPr>
          <w:color w:val="000000" w:themeColor="text1"/>
          <w:spacing w:val="7"/>
          <w:lang w:val="fr-FR"/>
        </w:rPr>
        <w:t xml:space="preserve"> </w:t>
      </w:r>
      <w:r w:rsidRPr="00F02792">
        <w:rPr>
          <w:color w:val="000000" w:themeColor="text1"/>
          <w:lang w:val="fr-FR"/>
        </w:rPr>
        <w:t>la</w:t>
      </w:r>
      <w:r w:rsidRPr="00F02792">
        <w:rPr>
          <w:color w:val="000000" w:themeColor="text1"/>
          <w:spacing w:val="8"/>
          <w:lang w:val="fr-FR"/>
        </w:rPr>
        <w:t xml:space="preserve"> </w:t>
      </w:r>
      <w:r w:rsidRPr="00F02792">
        <w:rPr>
          <w:color w:val="000000" w:themeColor="text1"/>
          <w:spacing w:val="-1"/>
          <w:lang w:val="fr-FR"/>
        </w:rPr>
        <w:t>section,</w:t>
      </w:r>
      <w:r w:rsidRPr="00F02792">
        <w:rPr>
          <w:color w:val="000000" w:themeColor="text1"/>
          <w:spacing w:val="7"/>
          <w:lang w:val="fr-FR"/>
        </w:rPr>
        <w:t xml:space="preserve"> </w:t>
      </w:r>
      <w:r w:rsidRPr="00F02792">
        <w:rPr>
          <w:color w:val="000000" w:themeColor="text1"/>
          <w:lang w:val="fr-FR"/>
        </w:rPr>
        <w:t>la</w:t>
      </w:r>
      <w:r w:rsidRPr="00F02792">
        <w:rPr>
          <w:color w:val="000000" w:themeColor="text1"/>
          <w:spacing w:val="8"/>
          <w:lang w:val="fr-FR"/>
        </w:rPr>
        <w:t xml:space="preserve"> </w:t>
      </w:r>
      <w:r w:rsidRPr="00F02792">
        <w:rPr>
          <w:color w:val="000000" w:themeColor="text1"/>
          <w:spacing w:val="-1"/>
          <w:lang w:val="fr-FR"/>
        </w:rPr>
        <w:t>chambre</w:t>
      </w:r>
      <w:r w:rsidRPr="00F02792">
        <w:rPr>
          <w:color w:val="000000" w:themeColor="text1"/>
          <w:spacing w:val="10"/>
          <w:lang w:val="fr-FR"/>
        </w:rPr>
        <w:t xml:space="preserve"> </w:t>
      </w:r>
      <w:r w:rsidRPr="00F02792">
        <w:rPr>
          <w:color w:val="000000" w:themeColor="text1"/>
          <w:spacing w:val="-1"/>
          <w:lang w:val="fr-FR"/>
        </w:rPr>
        <w:t>ou</w:t>
      </w:r>
      <w:r w:rsidRPr="00F02792">
        <w:rPr>
          <w:color w:val="000000" w:themeColor="text1"/>
          <w:spacing w:val="6"/>
          <w:lang w:val="fr-FR"/>
        </w:rPr>
        <w:t xml:space="preserve"> </w:t>
      </w:r>
      <w:r w:rsidRPr="00F02792">
        <w:rPr>
          <w:color w:val="000000" w:themeColor="text1"/>
          <w:lang w:val="fr-FR"/>
        </w:rPr>
        <w:t>le</w:t>
      </w:r>
      <w:r w:rsidRPr="00F02792">
        <w:rPr>
          <w:color w:val="000000" w:themeColor="text1"/>
          <w:spacing w:val="7"/>
          <w:lang w:val="fr-FR"/>
        </w:rPr>
        <w:t xml:space="preserve"> </w:t>
      </w:r>
      <w:r w:rsidRPr="00F02792">
        <w:rPr>
          <w:color w:val="000000" w:themeColor="text1"/>
          <w:spacing w:val="-1"/>
          <w:lang w:val="fr-FR"/>
        </w:rPr>
        <w:t>juge</w:t>
      </w:r>
      <w:r w:rsidRPr="00F02792">
        <w:rPr>
          <w:color w:val="000000" w:themeColor="text1"/>
          <w:spacing w:val="10"/>
          <w:lang w:val="fr-FR"/>
        </w:rPr>
        <w:t xml:space="preserve"> </w:t>
      </w:r>
      <w:r w:rsidRPr="00F02792">
        <w:rPr>
          <w:color w:val="000000" w:themeColor="text1"/>
          <w:spacing w:val="-1"/>
          <w:lang w:val="fr-FR"/>
        </w:rPr>
        <w:t>soumet</w:t>
      </w:r>
      <w:r w:rsidRPr="00F02792">
        <w:rPr>
          <w:color w:val="000000" w:themeColor="text1"/>
          <w:spacing w:val="8"/>
          <w:lang w:val="fr-FR"/>
        </w:rPr>
        <w:t xml:space="preserve"> </w:t>
      </w:r>
      <w:r w:rsidRPr="00F02792">
        <w:rPr>
          <w:color w:val="000000" w:themeColor="text1"/>
          <w:lang w:val="fr-FR"/>
        </w:rPr>
        <w:t>le</w:t>
      </w:r>
      <w:r w:rsidRPr="00F02792">
        <w:rPr>
          <w:color w:val="000000" w:themeColor="text1"/>
          <w:spacing w:val="7"/>
          <w:lang w:val="fr-FR"/>
        </w:rPr>
        <w:t xml:space="preserve"> </w:t>
      </w:r>
      <w:r w:rsidRPr="00F02792">
        <w:rPr>
          <w:color w:val="000000" w:themeColor="text1"/>
          <w:lang w:val="fr-FR"/>
        </w:rPr>
        <w:t>dos</w:t>
      </w:r>
      <w:r w:rsidRPr="00F02792">
        <w:rPr>
          <w:color w:val="000000" w:themeColor="text1"/>
          <w:spacing w:val="-1"/>
          <w:lang w:val="fr-FR"/>
        </w:rPr>
        <w:t>sier</w:t>
      </w:r>
      <w:r w:rsidRPr="00F02792">
        <w:rPr>
          <w:color w:val="000000" w:themeColor="text1"/>
          <w:spacing w:val="14"/>
          <w:lang w:val="fr-FR"/>
        </w:rPr>
        <w:t xml:space="preserve"> </w:t>
      </w:r>
      <w:r w:rsidRPr="00F02792">
        <w:rPr>
          <w:color w:val="000000" w:themeColor="text1"/>
          <w:spacing w:val="-1"/>
          <w:lang w:val="fr-FR"/>
        </w:rPr>
        <w:t>au</w:t>
      </w:r>
      <w:r w:rsidRPr="00F02792">
        <w:rPr>
          <w:color w:val="000000" w:themeColor="text1"/>
          <w:spacing w:val="11"/>
          <w:lang w:val="fr-FR"/>
        </w:rPr>
        <w:t xml:space="preserve"> </w:t>
      </w:r>
      <w:r w:rsidRPr="00F02792">
        <w:rPr>
          <w:color w:val="000000" w:themeColor="text1"/>
          <w:spacing w:val="-1"/>
          <w:lang w:val="fr-FR"/>
        </w:rPr>
        <w:t>président</w:t>
      </w:r>
      <w:r w:rsidRPr="00F02792">
        <w:rPr>
          <w:color w:val="000000" w:themeColor="text1"/>
          <w:spacing w:val="13"/>
          <w:lang w:val="fr-FR"/>
        </w:rPr>
        <w:t xml:space="preserve"> </w:t>
      </w:r>
      <w:r w:rsidRPr="00F02792">
        <w:rPr>
          <w:color w:val="000000" w:themeColor="text1"/>
          <w:spacing w:val="-1"/>
          <w:lang w:val="fr-FR"/>
        </w:rPr>
        <w:t>du</w:t>
      </w:r>
      <w:r w:rsidRPr="00F02792">
        <w:rPr>
          <w:color w:val="000000" w:themeColor="text1"/>
          <w:spacing w:val="11"/>
          <w:lang w:val="fr-FR"/>
        </w:rPr>
        <w:t xml:space="preserve"> </w:t>
      </w:r>
      <w:r w:rsidRPr="00F02792">
        <w:rPr>
          <w:color w:val="000000" w:themeColor="text1"/>
          <w:spacing w:val="-1"/>
          <w:lang w:val="fr-FR"/>
        </w:rPr>
        <w:t>tribunal</w:t>
      </w:r>
      <w:r w:rsidRPr="00F02792">
        <w:rPr>
          <w:color w:val="000000" w:themeColor="text1"/>
          <w:spacing w:val="12"/>
          <w:lang w:val="fr-FR"/>
        </w:rPr>
        <w:t xml:space="preserve"> </w:t>
      </w:r>
      <w:r w:rsidRPr="00F02792">
        <w:rPr>
          <w:color w:val="000000" w:themeColor="text1"/>
          <w:spacing w:val="-1"/>
          <w:lang w:val="fr-FR"/>
        </w:rPr>
        <w:t>aux</w:t>
      </w:r>
      <w:r w:rsidRPr="00F02792">
        <w:rPr>
          <w:color w:val="000000" w:themeColor="text1"/>
          <w:spacing w:val="12"/>
          <w:lang w:val="fr-FR"/>
        </w:rPr>
        <w:t xml:space="preserve"> </w:t>
      </w:r>
      <w:r w:rsidRPr="00F02792">
        <w:rPr>
          <w:color w:val="000000" w:themeColor="text1"/>
          <w:spacing w:val="-1"/>
          <w:lang w:val="fr-FR"/>
        </w:rPr>
        <w:t>fins</w:t>
      </w:r>
      <w:r w:rsidRPr="00F02792">
        <w:rPr>
          <w:color w:val="000000" w:themeColor="text1"/>
          <w:spacing w:val="12"/>
          <w:lang w:val="fr-FR"/>
        </w:rPr>
        <w:t xml:space="preserve"> </w:t>
      </w:r>
      <w:r w:rsidRPr="00F02792">
        <w:rPr>
          <w:color w:val="000000" w:themeColor="text1"/>
          <w:spacing w:val="-1"/>
          <w:lang w:val="fr-FR"/>
        </w:rPr>
        <w:t>de</w:t>
      </w:r>
      <w:r w:rsidRPr="00F02792">
        <w:rPr>
          <w:color w:val="000000" w:themeColor="text1"/>
          <w:spacing w:val="12"/>
          <w:lang w:val="fr-FR"/>
        </w:rPr>
        <w:t xml:space="preserve"> </w:t>
      </w:r>
      <w:r w:rsidRPr="00F02792">
        <w:rPr>
          <w:color w:val="000000" w:themeColor="text1"/>
          <w:spacing w:val="-1"/>
          <w:lang w:val="fr-FR"/>
        </w:rPr>
        <w:t>décider</w:t>
      </w:r>
      <w:r w:rsidRPr="00F02792">
        <w:rPr>
          <w:color w:val="000000" w:themeColor="text1"/>
          <w:spacing w:val="13"/>
          <w:lang w:val="fr-FR"/>
        </w:rPr>
        <w:t xml:space="preserve"> </w:t>
      </w:r>
      <w:r w:rsidRPr="00F02792">
        <w:rPr>
          <w:color w:val="000000" w:themeColor="text1"/>
          <w:spacing w:val="-1"/>
          <w:lang w:val="fr-FR"/>
        </w:rPr>
        <w:t>s</w:t>
      </w:r>
      <w:r w:rsidR="00BB76F1">
        <w:rPr>
          <w:color w:val="000000" w:themeColor="text1"/>
          <w:spacing w:val="-1"/>
          <w:lang w:val="fr-FR"/>
        </w:rPr>
        <w:t>’</w:t>
      </w:r>
      <w:r w:rsidRPr="00F02792">
        <w:rPr>
          <w:color w:val="000000" w:themeColor="text1"/>
          <w:spacing w:val="-1"/>
          <w:lang w:val="fr-FR"/>
        </w:rPr>
        <w:t>il</w:t>
      </w:r>
      <w:r w:rsidRPr="00F02792">
        <w:rPr>
          <w:color w:val="000000" w:themeColor="text1"/>
          <w:spacing w:val="12"/>
          <w:lang w:val="fr-FR"/>
        </w:rPr>
        <w:t xml:space="preserve"> </w:t>
      </w:r>
      <w:r w:rsidRPr="00F02792">
        <w:rPr>
          <w:color w:val="000000" w:themeColor="text1"/>
          <w:lang w:val="fr-FR"/>
        </w:rPr>
        <w:t>y</w:t>
      </w:r>
      <w:r w:rsidRPr="00F02792">
        <w:rPr>
          <w:color w:val="000000" w:themeColor="text1"/>
          <w:spacing w:val="7"/>
          <w:lang w:val="fr-FR"/>
        </w:rPr>
        <w:t xml:space="preserve"> </w:t>
      </w:r>
      <w:r w:rsidRPr="00F02792">
        <w:rPr>
          <w:color w:val="000000" w:themeColor="text1"/>
          <w:lang w:val="fr-FR"/>
        </w:rPr>
        <w:t>a</w:t>
      </w:r>
      <w:r w:rsidRPr="00F02792">
        <w:rPr>
          <w:color w:val="000000" w:themeColor="text1"/>
          <w:spacing w:val="11"/>
          <w:lang w:val="fr-FR"/>
        </w:rPr>
        <w:t xml:space="preserve"> </w:t>
      </w:r>
      <w:r w:rsidRPr="00F02792">
        <w:rPr>
          <w:color w:val="000000" w:themeColor="text1"/>
          <w:spacing w:val="-1"/>
          <w:lang w:val="fr-FR"/>
        </w:rPr>
        <w:t>lieu</w:t>
      </w:r>
      <w:r w:rsidRPr="00F02792">
        <w:rPr>
          <w:color w:val="000000" w:themeColor="text1"/>
          <w:spacing w:val="11"/>
          <w:lang w:val="fr-FR"/>
        </w:rPr>
        <w:t xml:space="preserve"> </w:t>
      </w:r>
      <w:r w:rsidRPr="00F02792">
        <w:rPr>
          <w:color w:val="000000" w:themeColor="text1"/>
          <w:spacing w:val="-1"/>
          <w:lang w:val="fr-FR"/>
        </w:rPr>
        <w:t>de</w:t>
      </w:r>
      <w:r w:rsidRPr="00F02792">
        <w:rPr>
          <w:color w:val="000000" w:themeColor="text1"/>
          <w:spacing w:val="12"/>
          <w:lang w:val="fr-FR"/>
        </w:rPr>
        <w:t xml:space="preserve"> </w:t>
      </w:r>
      <w:r w:rsidRPr="00F02792">
        <w:rPr>
          <w:color w:val="000000" w:themeColor="text1"/>
          <w:spacing w:val="-1"/>
          <w:lang w:val="fr-FR"/>
        </w:rPr>
        <w:t>modifier</w:t>
      </w:r>
      <w:r w:rsidRPr="00F02792">
        <w:rPr>
          <w:color w:val="000000" w:themeColor="text1"/>
          <w:spacing w:val="13"/>
          <w:lang w:val="fr-FR"/>
        </w:rPr>
        <w:t xml:space="preserve"> </w:t>
      </w:r>
      <w:r w:rsidRPr="00F02792">
        <w:rPr>
          <w:color w:val="000000" w:themeColor="text1"/>
          <w:spacing w:val="-1"/>
          <w:lang w:val="fr-FR"/>
        </w:rPr>
        <w:t>l</w:t>
      </w:r>
      <w:r w:rsidR="00BB76F1">
        <w:rPr>
          <w:color w:val="000000" w:themeColor="text1"/>
          <w:spacing w:val="-1"/>
          <w:lang w:val="fr-FR"/>
        </w:rPr>
        <w:t>’</w:t>
      </w:r>
      <w:r w:rsidRPr="00F02792">
        <w:rPr>
          <w:color w:val="000000" w:themeColor="text1"/>
          <w:spacing w:val="-1"/>
          <w:lang w:val="fr-FR"/>
        </w:rPr>
        <w:t>attribution</w:t>
      </w:r>
      <w:r w:rsidRPr="00F02792">
        <w:rPr>
          <w:color w:val="000000" w:themeColor="text1"/>
          <w:spacing w:val="11"/>
          <w:lang w:val="fr-FR"/>
        </w:rPr>
        <w:t xml:space="preserve"> </w:t>
      </w:r>
      <w:r w:rsidRPr="00F02792">
        <w:rPr>
          <w:color w:val="000000" w:themeColor="text1"/>
          <w:spacing w:val="-1"/>
          <w:lang w:val="fr-FR"/>
        </w:rPr>
        <w:t>de</w:t>
      </w:r>
      <w:r w:rsidRPr="00F02792">
        <w:rPr>
          <w:color w:val="000000" w:themeColor="text1"/>
          <w:spacing w:val="12"/>
          <w:lang w:val="fr-FR"/>
        </w:rPr>
        <w:t xml:space="preserve"> </w:t>
      </w:r>
      <w:r w:rsidRPr="00F02792">
        <w:rPr>
          <w:color w:val="000000" w:themeColor="text1"/>
          <w:spacing w:val="-1"/>
          <w:lang w:val="fr-FR"/>
        </w:rPr>
        <w:t>l</w:t>
      </w:r>
      <w:r w:rsidR="00BB76F1">
        <w:rPr>
          <w:color w:val="000000" w:themeColor="text1"/>
          <w:spacing w:val="-1"/>
          <w:lang w:val="fr-FR"/>
        </w:rPr>
        <w:t>’</w:t>
      </w:r>
      <w:r w:rsidRPr="00F02792">
        <w:rPr>
          <w:color w:val="000000" w:themeColor="text1"/>
          <w:spacing w:val="-1"/>
          <w:lang w:val="fr-FR"/>
        </w:rPr>
        <w:t>affaire</w:t>
      </w:r>
      <w:r w:rsidRPr="00F02792">
        <w:rPr>
          <w:color w:val="000000" w:themeColor="text1"/>
          <w:spacing w:val="12"/>
          <w:lang w:val="fr-FR"/>
        </w:rPr>
        <w:t xml:space="preserve"> </w:t>
      </w:r>
      <w:r w:rsidRPr="00F02792">
        <w:rPr>
          <w:color w:val="000000" w:themeColor="text1"/>
          <w:lang w:val="fr-FR"/>
        </w:rPr>
        <w:t>et</w:t>
      </w:r>
      <w:r w:rsidRPr="00F02792">
        <w:rPr>
          <w:color w:val="000000" w:themeColor="text1"/>
          <w:spacing w:val="10"/>
          <w:lang w:val="fr-FR"/>
        </w:rPr>
        <w:t xml:space="preserve"> </w:t>
      </w:r>
      <w:r w:rsidRPr="00F02792">
        <w:rPr>
          <w:color w:val="000000" w:themeColor="text1"/>
          <w:lang w:val="fr-FR"/>
        </w:rPr>
        <w:t>le</w:t>
      </w:r>
      <w:r w:rsidRPr="00F02792">
        <w:rPr>
          <w:color w:val="000000" w:themeColor="text1"/>
          <w:spacing w:val="49"/>
          <w:lang w:val="fr-FR"/>
        </w:rPr>
        <w:t xml:space="preserve"> </w:t>
      </w:r>
      <w:r w:rsidRPr="00F02792">
        <w:rPr>
          <w:color w:val="000000" w:themeColor="text1"/>
          <w:spacing w:val="-1"/>
          <w:lang w:val="fr-FR"/>
        </w:rPr>
        <w:t>ministère</w:t>
      </w:r>
      <w:r w:rsidRPr="00F02792">
        <w:rPr>
          <w:color w:val="000000" w:themeColor="text1"/>
          <w:spacing w:val="26"/>
          <w:lang w:val="fr-FR"/>
        </w:rPr>
        <w:t xml:space="preserve"> </w:t>
      </w:r>
      <w:r w:rsidRPr="00F02792">
        <w:rPr>
          <w:color w:val="000000" w:themeColor="text1"/>
          <w:spacing w:val="-1"/>
          <w:lang w:val="fr-FR"/>
        </w:rPr>
        <w:t>public</w:t>
      </w:r>
      <w:r w:rsidRPr="00F02792">
        <w:rPr>
          <w:color w:val="000000" w:themeColor="text1"/>
          <w:spacing w:val="26"/>
          <w:lang w:val="fr-FR"/>
        </w:rPr>
        <w:t xml:space="preserve"> </w:t>
      </w:r>
      <w:r w:rsidRPr="00F02792">
        <w:rPr>
          <w:color w:val="000000" w:themeColor="text1"/>
          <w:lang w:val="fr-FR"/>
        </w:rPr>
        <w:t>en</w:t>
      </w:r>
      <w:r w:rsidRPr="00F02792">
        <w:rPr>
          <w:color w:val="000000" w:themeColor="text1"/>
          <w:spacing w:val="26"/>
          <w:lang w:val="fr-FR"/>
        </w:rPr>
        <w:t xml:space="preserve"> </w:t>
      </w:r>
      <w:r w:rsidRPr="00F02792">
        <w:rPr>
          <w:color w:val="000000" w:themeColor="text1"/>
          <w:lang w:val="fr-FR"/>
        </w:rPr>
        <w:t>est</w:t>
      </w:r>
      <w:r w:rsidRPr="00F02792">
        <w:rPr>
          <w:color w:val="000000" w:themeColor="text1"/>
          <w:spacing w:val="26"/>
          <w:lang w:val="fr-FR"/>
        </w:rPr>
        <w:t xml:space="preserve"> </w:t>
      </w:r>
      <w:r w:rsidRPr="00F02792">
        <w:rPr>
          <w:color w:val="000000" w:themeColor="text1"/>
          <w:spacing w:val="-1"/>
          <w:lang w:val="fr-FR"/>
        </w:rPr>
        <w:t>simultanément</w:t>
      </w:r>
      <w:r w:rsidRPr="00F02792">
        <w:rPr>
          <w:color w:val="000000" w:themeColor="text1"/>
          <w:spacing w:val="27"/>
          <w:lang w:val="fr-FR"/>
        </w:rPr>
        <w:t xml:space="preserve"> </w:t>
      </w:r>
      <w:r w:rsidRPr="00F02792">
        <w:rPr>
          <w:color w:val="000000" w:themeColor="text1"/>
          <w:spacing w:val="-1"/>
          <w:lang w:val="fr-FR"/>
        </w:rPr>
        <w:t>informé.</w:t>
      </w:r>
      <w:r w:rsidRPr="00F02792">
        <w:rPr>
          <w:color w:val="000000" w:themeColor="text1"/>
          <w:spacing w:val="24"/>
          <w:lang w:val="fr-FR"/>
        </w:rPr>
        <w:t xml:space="preserve"> </w:t>
      </w:r>
      <w:r w:rsidRPr="00F02792">
        <w:rPr>
          <w:color w:val="000000" w:themeColor="text1"/>
          <w:lang w:val="fr-FR"/>
        </w:rPr>
        <w:t>Les</w:t>
      </w:r>
      <w:r w:rsidRPr="00F02792">
        <w:rPr>
          <w:color w:val="000000" w:themeColor="text1"/>
          <w:spacing w:val="25"/>
          <w:lang w:val="fr-FR"/>
        </w:rPr>
        <w:t xml:space="preserve"> </w:t>
      </w:r>
      <w:r w:rsidRPr="00F02792">
        <w:rPr>
          <w:color w:val="000000" w:themeColor="text1"/>
          <w:spacing w:val="-1"/>
          <w:lang w:val="fr-FR"/>
        </w:rPr>
        <w:t>parties</w:t>
      </w:r>
      <w:r w:rsidRPr="00F02792">
        <w:rPr>
          <w:color w:val="000000" w:themeColor="text1"/>
          <w:spacing w:val="27"/>
          <w:lang w:val="fr-FR"/>
        </w:rPr>
        <w:t xml:space="preserve"> </w:t>
      </w:r>
      <w:r w:rsidRPr="00F02792">
        <w:rPr>
          <w:color w:val="000000" w:themeColor="text1"/>
          <w:spacing w:val="-1"/>
          <w:lang w:val="fr-FR"/>
        </w:rPr>
        <w:t>qui</w:t>
      </w:r>
      <w:r w:rsidRPr="00F02792">
        <w:rPr>
          <w:color w:val="000000" w:themeColor="text1"/>
          <w:spacing w:val="25"/>
          <w:lang w:val="fr-FR"/>
        </w:rPr>
        <w:t xml:space="preserve"> </w:t>
      </w:r>
      <w:r w:rsidRPr="00F02792">
        <w:rPr>
          <w:color w:val="000000" w:themeColor="text1"/>
          <w:lang w:val="fr-FR"/>
        </w:rPr>
        <w:t>en</w:t>
      </w:r>
      <w:r w:rsidRPr="00F02792">
        <w:rPr>
          <w:color w:val="000000" w:themeColor="text1"/>
          <w:spacing w:val="26"/>
          <w:lang w:val="fr-FR"/>
        </w:rPr>
        <w:t xml:space="preserve"> </w:t>
      </w:r>
      <w:r w:rsidRPr="00F02792">
        <w:rPr>
          <w:color w:val="000000" w:themeColor="text1"/>
          <w:spacing w:val="-1"/>
          <w:lang w:val="fr-FR"/>
        </w:rPr>
        <w:t>font</w:t>
      </w:r>
      <w:r w:rsidRPr="00F02792">
        <w:rPr>
          <w:color w:val="000000" w:themeColor="text1"/>
          <w:spacing w:val="27"/>
          <w:lang w:val="fr-FR"/>
        </w:rPr>
        <w:t xml:space="preserve"> </w:t>
      </w:r>
      <w:r w:rsidRPr="00F02792">
        <w:rPr>
          <w:color w:val="000000" w:themeColor="text1"/>
          <w:lang w:val="fr-FR"/>
        </w:rPr>
        <w:t>la</w:t>
      </w:r>
      <w:r w:rsidRPr="00F02792">
        <w:rPr>
          <w:color w:val="000000" w:themeColor="text1"/>
          <w:spacing w:val="25"/>
          <w:lang w:val="fr-FR"/>
        </w:rPr>
        <w:t xml:space="preserve"> </w:t>
      </w:r>
      <w:r w:rsidRPr="00F02792">
        <w:rPr>
          <w:color w:val="000000" w:themeColor="text1"/>
          <w:spacing w:val="-1"/>
          <w:lang w:val="fr-FR"/>
        </w:rPr>
        <w:t>demande</w:t>
      </w:r>
      <w:r w:rsidRPr="00F02792">
        <w:rPr>
          <w:color w:val="000000" w:themeColor="text1"/>
          <w:spacing w:val="27"/>
          <w:lang w:val="fr-FR"/>
        </w:rPr>
        <w:t xml:space="preserve"> </w:t>
      </w:r>
      <w:r w:rsidRPr="00F02792">
        <w:rPr>
          <w:color w:val="000000" w:themeColor="text1"/>
          <w:spacing w:val="-1"/>
          <w:lang w:val="fr-FR"/>
        </w:rPr>
        <w:t>disposent</w:t>
      </w:r>
      <w:r w:rsidRPr="00F02792">
        <w:rPr>
          <w:color w:val="000000" w:themeColor="text1"/>
          <w:spacing w:val="27"/>
          <w:lang w:val="fr-FR"/>
        </w:rPr>
        <w:t xml:space="preserve"> </w:t>
      </w:r>
      <w:r w:rsidRPr="00F02792">
        <w:rPr>
          <w:color w:val="000000" w:themeColor="text1"/>
          <w:spacing w:val="-1"/>
          <w:lang w:val="fr-FR"/>
        </w:rPr>
        <w:t>d</w:t>
      </w:r>
      <w:r w:rsidR="00BB76F1">
        <w:rPr>
          <w:color w:val="000000" w:themeColor="text1"/>
          <w:spacing w:val="-1"/>
          <w:lang w:val="fr-FR"/>
        </w:rPr>
        <w:t>’</w:t>
      </w:r>
      <w:r w:rsidRPr="00F02792">
        <w:rPr>
          <w:color w:val="000000" w:themeColor="text1"/>
          <w:spacing w:val="-1"/>
          <w:lang w:val="fr-FR"/>
        </w:rPr>
        <w:t>un</w:t>
      </w:r>
      <w:r w:rsidRPr="00F02792">
        <w:rPr>
          <w:color w:val="000000" w:themeColor="text1"/>
          <w:spacing w:val="53"/>
          <w:lang w:val="fr-FR"/>
        </w:rPr>
        <w:t xml:space="preserve"> </w:t>
      </w:r>
      <w:r w:rsidRPr="00F02792">
        <w:rPr>
          <w:color w:val="000000" w:themeColor="text1"/>
          <w:spacing w:val="-1"/>
          <w:lang w:val="fr-FR"/>
        </w:rPr>
        <w:t>délai</w:t>
      </w:r>
      <w:r w:rsidRPr="00F02792">
        <w:rPr>
          <w:color w:val="000000" w:themeColor="text1"/>
          <w:spacing w:val="25"/>
          <w:lang w:val="fr-FR"/>
        </w:rPr>
        <w:t xml:space="preserve"> </w:t>
      </w:r>
      <w:r w:rsidRPr="00F02792">
        <w:rPr>
          <w:color w:val="000000" w:themeColor="text1"/>
          <w:spacing w:val="-1"/>
          <w:lang w:val="fr-FR"/>
        </w:rPr>
        <w:t>de</w:t>
      </w:r>
      <w:r w:rsidRPr="00F02792">
        <w:rPr>
          <w:color w:val="000000" w:themeColor="text1"/>
          <w:spacing w:val="27"/>
          <w:lang w:val="fr-FR"/>
        </w:rPr>
        <w:t xml:space="preserve"> </w:t>
      </w:r>
      <w:r w:rsidRPr="00F02792">
        <w:rPr>
          <w:color w:val="000000" w:themeColor="text1"/>
          <w:spacing w:val="-1"/>
          <w:lang w:val="fr-FR"/>
        </w:rPr>
        <w:t>huit</w:t>
      </w:r>
      <w:r w:rsidRPr="00F02792">
        <w:rPr>
          <w:color w:val="000000" w:themeColor="text1"/>
          <w:spacing w:val="24"/>
          <w:lang w:val="fr-FR"/>
        </w:rPr>
        <w:t xml:space="preserve"> </w:t>
      </w:r>
      <w:r w:rsidRPr="00F02792">
        <w:rPr>
          <w:color w:val="000000" w:themeColor="text1"/>
          <w:spacing w:val="-1"/>
          <w:lang w:val="fr-FR"/>
        </w:rPr>
        <w:t>jours</w:t>
      </w:r>
      <w:r w:rsidRPr="00F02792">
        <w:rPr>
          <w:color w:val="000000" w:themeColor="text1"/>
          <w:spacing w:val="25"/>
          <w:lang w:val="fr-FR"/>
        </w:rPr>
        <w:t xml:space="preserve"> </w:t>
      </w:r>
      <w:r w:rsidRPr="00F02792">
        <w:rPr>
          <w:color w:val="000000" w:themeColor="text1"/>
          <w:lang w:val="fr-FR"/>
        </w:rPr>
        <w:t>à</w:t>
      </w:r>
      <w:r w:rsidRPr="00F02792">
        <w:rPr>
          <w:color w:val="000000" w:themeColor="text1"/>
          <w:spacing w:val="25"/>
          <w:lang w:val="fr-FR"/>
        </w:rPr>
        <w:t xml:space="preserve"> </w:t>
      </w:r>
      <w:r w:rsidRPr="00F02792">
        <w:rPr>
          <w:color w:val="000000" w:themeColor="text1"/>
          <w:spacing w:val="-1"/>
          <w:lang w:val="fr-FR"/>
        </w:rPr>
        <w:t>compter</w:t>
      </w:r>
      <w:r w:rsidRPr="00F02792">
        <w:rPr>
          <w:color w:val="000000" w:themeColor="text1"/>
          <w:spacing w:val="26"/>
          <w:lang w:val="fr-FR"/>
        </w:rPr>
        <w:t xml:space="preserve"> </w:t>
      </w:r>
      <w:r w:rsidRPr="00F02792">
        <w:rPr>
          <w:color w:val="000000" w:themeColor="text1"/>
          <w:spacing w:val="-1"/>
          <w:lang w:val="fr-FR"/>
        </w:rPr>
        <w:t>de</w:t>
      </w:r>
      <w:r w:rsidRPr="00F02792">
        <w:rPr>
          <w:color w:val="000000" w:themeColor="text1"/>
          <w:spacing w:val="27"/>
          <w:lang w:val="fr-FR"/>
        </w:rPr>
        <w:t xml:space="preserve"> </w:t>
      </w:r>
      <w:r w:rsidRPr="00F02792">
        <w:rPr>
          <w:color w:val="000000" w:themeColor="text1"/>
          <w:spacing w:val="-1"/>
          <w:lang w:val="fr-FR"/>
        </w:rPr>
        <w:t>l</w:t>
      </w:r>
      <w:r w:rsidR="00BB76F1">
        <w:rPr>
          <w:color w:val="000000" w:themeColor="text1"/>
          <w:spacing w:val="-1"/>
          <w:lang w:val="fr-FR"/>
        </w:rPr>
        <w:t>’</w:t>
      </w:r>
      <w:r w:rsidRPr="00F02792">
        <w:rPr>
          <w:color w:val="000000" w:themeColor="text1"/>
          <w:spacing w:val="-1"/>
          <w:lang w:val="fr-FR"/>
        </w:rPr>
        <w:t>audience</w:t>
      </w:r>
      <w:r w:rsidRPr="00F02792">
        <w:rPr>
          <w:color w:val="000000" w:themeColor="text1"/>
          <w:spacing w:val="26"/>
          <w:lang w:val="fr-FR"/>
        </w:rPr>
        <w:t xml:space="preserve"> </w:t>
      </w:r>
      <w:r w:rsidRPr="00F02792">
        <w:rPr>
          <w:color w:val="000000" w:themeColor="text1"/>
          <w:spacing w:val="-1"/>
          <w:lang w:val="fr-FR"/>
        </w:rPr>
        <w:t>pour</w:t>
      </w:r>
      <w:r w:rsidRPr="00F02792">
        <w:rPr>
          <w:color w:val="000000" w:themeColor="text1"/>
          <w:spacing w:val="24"/>
          <w:lang w:val="fr-FR"/>
        </w:rPr>
        <w:t xml:space="preserve"> </w:t>
      </w:r>
      <w:r w:rsidRPr="00F02792">
        <w:rPr>
          <w:color w:val="000000" w:themeColor="text1"/>
          <w:spacing w:val="-2"/>
          <w:lang w:val="fr-FR"/>
        </w:rPr>
        <w:t>déposer</w:t>
      </w:r>
      <w:r w:rsidRPr="00F02792">
        <w:rPr>
          <w:color w:val="000000" w:themeColor="text1"/>
          <w:spacing w:val="26"/>
          <w:lang w:val="fr-FR"/>
        </w:rPr>
        <w:t xml:space="preserve"> </w:t>
      </w:r>
      <w:r w:rsidRPr="00F02792">
        <w:rPr>
          <w:color w:val="000000" w:themeColor="text1"/>
          <w:spacing w:val="-1"/>
          <w:lang w:val="fr-FR"/>
        </w:rPr>
        <w:t>des</w:t>
      </w:r>
      <w:r w:rsidRPr="00F02792">
        <w:rPr>
          <w:color w:val="000000" w:themeColor="text1"/>
          <w:spacing w:val="27"/>
          <w:lang w:val="fr-FR"/>
        </w:rPr>
        <w:t xml:space="preserve"> </w:t>
      </w:r>
      <w:r w:rsidRPr="00F02792">
        <w:rPr>
          <w:color w:val="000000" w:themeColor="text1"/>
          <w:spacing w:val="-1"/>
          <w:lang w:val="fr-FR"/>
        </w:rPr>
        <w:t>conclusions.</w:t>
      </w:r>
      <w:r w:rsidRPr="00F02792">
        <w:rPr>
          <w:color w:val="000000" w:themeColor="text1"/>
          <w:spacing w:val="24"/>
          <w:lang w:val="fr-FR"/>
        </w:rPr>
        <w:t xml:space="preserve"> </w:t>
      </w:r>
      <w:r w:rsidRPr="00F02792">
        <w:rPr>
          <w:color w:val="000000" w:themeColor="text1"/>
          <w:lang w:val="fr-FR"/>
        </w:rPr>
        <w:t>Le</w:t>
      </w:r>
      <w:r w:rsidRPr="00F02792">
        <w:rPr>
          <w:color w:val="000000" w:themeColor="text1"/>
          <w:spacing w:val="24"/>
          <w:lang w:val="fr-FR"/>
        </w:rPr>
        <w:t xml:space="preserve"> </w:t>
      </w:r>
      <w:r w:rsidRPr="00F02792">
        <w:rPr>
          <w:color w:val="000000" w:themeColor="text1"/>
          <w:spacing w:val="-1"/>
          <w:lang w:val="fr-FR"/>
        </w:rPr>
        <w:t>ministère</w:t>
      </w:r>
      <w:r w:rsidRPr="00F02792">
        <w:rPr>
          <w:color w:val="000000" w:themeColor="text1"/>
          <w:spacing w:val="24"/>
          <w:lang w:val="fr-FR"/>
        </w:rPr>
        <w:t xml:space="preserve"> </w:t>
      </w:r>
      <w:r w:rsidRPr="00F02792">
        <w:rPr>
          <w:color w:val="000000" w:themeColor="text1"/>
          <w:spacing w:val="-1"/>
          <w:lang w:val="fr-FR"/>
        </w:rPr>
        <w:t>public</w:t>
      </w:r>
      <w:r w:rsidRPr="00F02792">
        <w:rPr>
          <w:color w:val="000000" w:themeColor="text1"/>
          <w:spacing w:val="25"/>
          <w:lang w:val="fr-FR"/>
        </w:rPr>
        <w:t xml:space="preserve"> </w:t>
      </w:r>
      <w:r w:rsidRPr="00F02792">
        <w:rPr>
          <w:color w:val="000000" w:themeColor="text1"/>
          <w:spacing w:val="-2"/>
          <w:lang w:val="fr-FR"/>
        </w:rPr>
        <w:t>peut</w:t>
      </w:r>
      <w:r w:rsidRPr="00F02792">
        <w:rPr>
          <w:color w:val="000000" w:themeColor="text1"/>
          <w:spacing w:val="67"/>
          <w:lang w:val="fr-FR"/>
        </w:rPr>
        <w:t xml:space="preserve"> </w:t>
      </w:r>
      <w:r w:rsidRPr="00F02792">
        <w:rPr>
          <w:color w:val="000000" w:themeColor="text1"/>
          <w:spacing w:val="-1"/>
          <w:lang w:val="fr-FR"/>
        </w:rPr>
        <w:t>rendre</w:t>
      </w:r>
      <w:r w:rsidRPr="00F02792">
        <w:rPr>
          <w:color w:val="000000" w:themeColor="text1"/>
          <w:spacing w:val="-3"/>
          <w:lang w:val="fr-FR"/>
        </w:rPr>
        <w:t xml:space="preserve"> </w:t>
      </w:r>
      <w:r w:rsidRPr="00F02792">
        <w:rPr>
          <w:color w:val="000000" w:themeColor="text1"/>
          <w:spacing w:val="-1"/>
          <w:lang w:val="fr-FR"/>
        </w:rPr>
        <w:t>un avis</w:t>
      </w:r>
      <w:r w:rsidRPr="00F02792">
        <w:rPr>
          <w:color w:val="000000" w:themeColor="text1"/>
          <w:lang w:val="fr-FR"/>
        </w:rPr>
        <w:t xml:space="preserve"> </w:t>
      </w:r>
      <w:r w:rsidRPr="00F02792">
        <w:rPr>
          <w:color w:val="000000" w:themeColor="text1"/>
          <w:spacing w:val="-1"/>
          <w:lang w:val="fr-FR"/>
        </w:rPr>
        <w:t>dans</w:t>
      </w:r>
      <w:r w:rsidRPr="00F02792">
        <w:rPr>
          <w:color w:val="000000" w:themeColor="text1"/>
          <w:spacing w:val="1"/>
          <w:lang w:val="fr-FR"/>
        </w:rPr>
        <w:t xml:space="preserve"> </w:t>
      </w:r>
      <w:r w:rsidRPr="00F02792">
        <w:rPr>
          <w:color w:val="000000" w:themeColor="text1"/>
          <w:spacing w:val="-2"/>
          <w:lang w:val="fr-FR"/>
        </w:rPr>
        <w:t>le</w:t>
      </w:r>
      <w:r w:rsidRPr="00F02792">
        <w:rPr>
          <w:color w:val="000000" w:themeColor="text1"/>
          <w:lang w:val="fr-FR"/>
        </w:rPr>
        <w:t xml:space="preserve"> </w:t>
      </w:r>
      <w:r w:rsidRPr="00F02792">
        <w:rPr>
          <w:color w:val="000000" w:themeColor="text1"/>
          <w:spacing w:val="-1"/>
          <w:lang w:val="fr-FR"/>
        </w:rPr>
        <w:t>même</w:t>
      </w:r>
      <w:r w:rsidRPr="00F02792">
        <w:rPr>
          <w:color w:val="000000" w:themeColor="text1"/>
          <w:lang w:val="fr-FR"/>
        </w:rPr>
        <w:t xml:space="preserve"> </w:t>
      </w:r>
      <w:r w:rsidRPr="00F02792">
        <w:rPr>
          <w:color w:val="000000" w:themeColor="text1"/>
          <w:spacing w:val="-1"/>
          <w:lang w:val="fr-FR"/>
        </w:rPr>
        <w:t>délai.</w:t>
      </w:r>
    </w:p>
    <w:p w14:paraId="325DF3C3" w14:textId="2C90780C" w:rsidR="006E53C0" w:rsidRPr="00F02792" w:rsidRDefault="006E53C0" w:rsidP="00D37F6A">
      <w:pPr>
        <w:pStyle w:val="Paragraphedeliste"/>
        <w:numPr>
          <w:ilvl w:val="0"/>
          <w:numId w:val="3"/>
        </w:numPr>
        <w:ind w:right="112"/>
        <w:jc w:val="both"/>
        <w:rPr>
          <w:rFonts w:eastAsia="Calibri"/>
          <w:color w:val="000000" w:themeColor="text1"/>
          <w:lang w:val="fr-FR"/>
        </w:rPr>
      </w:pPr>
      <w:r w:rsidRPr="00F02792">
        <w:rPr>
          <w:color w:val="000000" w:themeColor="text1"/>
          <w:lang w:val="fr-FR"/>
        </w:rPr>
        <w:t>Le</w:t>
      </w:r>
      <w:r w:rsidRPr="00F02792">
        <w:rPr>
          <w:color w:val="000000" w:themeColor="text1"/>
          <w:spacing w:val="10"/>
          <w:lang w:val="fr-FR"/>
        </w:rPr>
        <w:t xml:space="preserve"> </w:t>
      </w:r>
      <w:r w:rsidRPr="00F02792">
        <w:rPr>
          <w:color w:val="000000" w:themeColor="text1"/>
          <w:spacing w:val="-1"/>
          <w:lang w:val="fr-FR"/>
        </w:rPr>
        <w:t>président</w:t>
      </w:r>
      <w:r w:rsidRPr="00F02792">
        <w:rPr>
          <w:color w:val="000000" w:themeColor="text1"/>
          <w:spacing w:val="10"/>
          <w:lang w:val="fr-FR"/>
        </w:rPr>
        <w:t xml:space="preserve"> </w:t>
      </w:r>
      <w:r w:rsidRPr="00F02792">
        <w:rPr>
          <w:color w:val="000000" w:themeColor="text1"/>
          <w:spacing w:val="-1"/>
          <w:lang w:val="fr-FR"/>
        </w:rPr>
        <w:t>statue</w:t>
      </w:r>
      <w:r w:rsidRPr="00F02792">
        <w:rPr>
          <w:color w:val="000000" w:themeColor="text1"/>
          <w:spacing w:val="12"/>
          <w:lang w:val="fr-FR"/>
        </w:rPr>
        <w:t xml:space="preserve"> </w:t>
      </w:r>
      <w:r w:rsidRPr="00F02792">
        <w:rPr>
          <w:color w:val="000000" w:themeColor="text1"/>
          <w:spacing w:val="-2"/>
          <w:lang w:val="fr-FR"/>
        </w:rPr>
        <w:t>par</w:t>
      </w:r>
      <w:r w:rsidRPr="00F02792">
        <w:rPr>
          <w:color w:val="000000" w:themeColor="text1"/>
          <w:spacing w:val="13"/>
          <w:lang w:val="fr-FR"/>
        </w:rPr>
        <w:t xml:space="preserve"> </w:t>
      </w:r>
      <w:r w:rsidRPr="00F02792">
        <w:rPr>
          <w:color w:val="000000" w:themeColor="text1"/>
          <w:spacing w:val="-1"/>
          <w:lang w:val="fr-FR"/>
        </w:rPr>
        <w:t>ordonnance</w:t>
      </w:r>
      <w:r w:rsidRPr="00F02792">
        <w:rPr>
          <w:color w:val="000000" w:themeColor="text1"/>
          <w:spacing w:val="12"/>
          <w:lang w:val="fr-FR"/>
        </w:rPr>
        <w:t xml:space="preserve"> </w:t>
      </w:r>
      <w:r w:rsidRPr="00F02792">
        <w:rPr>
          <w:color w:val="000000" w:themeColor="text1"/>
          <w:spacing w:val="-1"/>
          <w:lang w:val="fr-FR"/>
        </w:rPr>
        <w:t>dans</w:t>
      </w:r>
      <w:r w:rsidRPr="00F02792">
        <w:rPr>
          <w:color w:val="000000" w:themeColor="text1"/>
          <w:spacing w:val="12"/>
          <w:lang w:val="fr-FR"/>
        </w:rPr>
        <w:t xml:space="preserve"> </w:t>
      </w:r>
      <w:r w:rsidRPr="00F02792">
        <w:rPr>
          <w:color w:val="000000" w:themeColor="text1"/>
          <w:spacing w:val="-1"/>
          <w:lang w:val="fr-FR"/>
        </w:rPr>
        <w:t>les</w:t>
      </w:r>
      <w:r w:rsidRPr="00F02792">
        <w:rPr>
          <w:color w:val="000000" w:themeColor="text1"/>
          <w:spacing w:val="10"/>
          <w:lang w:val="fr-FR"/>
        </w:rPr>
        <w:t xml:space="preserve"> </w:t>
      </w:r>
      <w:r w:rsidRPr="00F02792">
        <w:rPr>
          <w:color w:val="000000" w:themeColor="text1"/>
          <w:spacing w:val="-1"/>
          <w:lang w:val="fr-FR"/>
        </w:rPr>
        <w:t>huit</w:t>
      </w:r>
      <w:r w:rsidRPr="00F02792">
        <w:rPr>
          <w:color w:val="000000" w:themeColor="text1"/>
          <w:spacing w:val="12"/>
          <w:lang w:val="fr-FR"/>
        </w:rPr>
        <w:t xml:space="preserve"> </w:t>
      </w:r>
      <w:r w:rsidRPr="00F02792">
        <w:rPr>
          <w:color w:val="000000" w:themeColor="text1"/>
          <w:spacing w:val="-1"/>
          <w:lang w:val="fr-FR"/>
        </w:rPr>
        <w:t>jours</w:t>
      </w:r>
      <w:r w:rsidRPr="00F02792">
        <w:rPr>
          <w:color w:val="000000" w:themeColor="text1"/>
          <w:spacing w:val="10"/>
          <w:lang w:val="fr-FR"/>
        </w:rPr>
        <w:t xml:space="preserve"> </w:t>
      </w:r>
      <w:r w:rsidRPr="00F02792">
        <w:rPr>
          <w:color w:val="000000" w:themeColor="text1"/>
          <w:spacing w:val="-1"/>
          <w:lang w:val="fr-FR"/>
        </w:rPr>
        <w:t>suivant</w:t>
      </w:r>
      <w:r w:rsidRPr="00F02792">
        <w:rPr>
          <w:color w:val="000000" w:themeColor="text1"/>
          <w:spacing w:val="10"/>
          <w:lang w:val="fr-FR"/>
        </w:rPr>
        <w:t xml:space="preserve"> </w:t>
      </w:r>
      <w:r w:rsidRPr="00F02792">
        <w:rPr>
          <w:color w:val="000000" w:themeColor="text1"/>
          <w:spacing w:val="-1"/>
          <w:lang w:val="fr-FR"/>
        </w:rPr>
        <w:t>l</w:t>
      </w:r>
      <w:r w:rsidR="00BB76F1">
        <w:rPr>
          <w:color w:val="000000" w:themeColor="text1"/>
          <w:spacing w:val="-1"/>
          <w:lang w:val="fr-FR"/>
        </w:rPr>
        <w:t>’</w:t>
      </w:r>
      <w:r w:rsidRPr="00F02792">
        <w:rPr>
          <w:color w:val="000000" w:themeColor="text1"/>
          <w:spacing w:val="-1"/>
          <w:lang w:val="fr-FR"/>
        </w:rPr>
        <w:t>audience.</w:t>
      </w:r>
      <w:r w:rsidRPr="00F02792">
        <w:rPr>
          <w:color w:val="000000" w:themeColor="text1"/>
          <w:spacing w:val="11"/>
          <w:lang w:val="fr-FR"/>
        </w:rPr>
        <w:t xml:space="preserve"> </w:t>
      </w:r>
      <w:r w:rsidRPr="00F02792">
        <w:rPr>
          <w:color w:val="000000" w:themeColor="text1"/>
          <w:lang w:val="fr-FR"/>
        </w:rPr>
        <w:t>Il</w:t>
      </w:r>
      <w:r w:rsidRPr="00F02792">
        <w:rPr>
          <w:color w:val="000000" w:themeColor="text1"/>
          <w:spacing w:val="11"/>
          <w:lang w:val="fr-FR"/>
        </w:rPr>
        <w:t xml:space="preserve"> </w:t>
      </w:r>
      <w:r w:rsidRPr="00F02792">
        <w:rPr>
          <w:color w:val="000000" w:themeColor="text1"/>
          <w:spacing w:val="-2"/>
          <w:lang w:val="fr-FR"/>
        </w:rPr>
        <w:t>peut</w:t>
      </w:r>
      <w:r w:rsidRPr="00F02792">
        <w:rPr>
          <w:color w:val="000000" w:themeColor="text1"/>
          <w:spacing w:val="13"/>
          <w:lang w:val="fr-FR"/>
        </w:rPr>
        <w:t xml:space="preserve"> </w:t>
      </w:r>
      <w:r w:rsidRPr="00F02792">
        <w:rPr>
          <w:color w:val="000000" w:themeColor="text1"/>
          <w:spacing w:val="-1"/>
          <w:lang w:val="fr-FR"/>
        </w:rPr>
        <w:t>attribuer</w:t>
      </w:r>
      <w:r w:rsidRPr="00F02792">
        <w:rPr>
          <w:color w:val="000000" w:themeColor="text1"/>
          <w:spacing w:val="11"/>
          <w:lang w:val="fr-FR"/>
        </w:rPr>
        <w:t xml:space="preserve"> </w:t>
      </w:r>
      <w:r w:rsidRPr="00F02792">
        <w:rPr>
          <w:color w:val="000000" w:themeColor="text1"/>
          <w:spacing w:val="-2"/>
          <w:lang w:val="fr-FR"/>
        </w:rPr>
        <w:t>l</w:t>
      </w:r>
      <w:r w:rsidR="00BB76F1">
        <w:rPr>
          <w:color w:val="000000" w:themeColor="text1"/>
          <w:spacing w:val="-2"/>
          <w:lang w:val="fr-FR"/>
        </w:rPr>
        <w:t>’</w:t>
      </w:r>
      <w:r w:rsidRPr="00F02792">
        <w:rPr>
          <w:color w:val="000000" w:themeColor="text1"/>
          <w:spacing w:val="-2"/>
          <w:lang w:val="fr-FR"/>
        </w:rPr>
        <w:t>affaire</w:t>
      </w:r>
      <w:r w:rsidRPr="00F02792">
        <w:rPr>
          <w:color w:val="000000" w:themeColor="text1"/>
          <w:spacing w:val="45"/>
          <w:lang w:val="fr-FR"/>
        </w:rPr>
        <w:t xml:space="preserve"> </w:t>
      </w:r>
      <w:r w:rsidRPr="00F02792">
        <w:rPr>
          <w:color w:val="000000" w:themeColor="text1"/>
          <w:spacing w:val="-1"/>
          <w:lang w:val="fr-FR"/>
        </w:rPr>
        <w:t>immédiatement</w:t>
      </w:r>
      <w:r w:rsidRPr="00F02792">
        <w:rPr>
          <w:color w:val="000000" w:themeColor="text1"/>
          <w:spacing w:val="15"/>
          <w:lang w:val="fr-FR"/>
        </w:rPr>
        <w:t xml:space="preserve"> </w:t>
      </w:r>
      <w:r w:rsidRPr="00F02792">
        <w:rPr>
          <w:color w:val="000000" w:themeColor="text1"/>
          <w:lang w:val="fr-FR"/>
        </w:rPr>
        <w:t>à</w:t>
      </w:r>
      <w:r w:rsidRPr="00F02792">
        <w:rPr>
          <w:color w:val="000000" w:themeColor="text1"/>
          <w:spacing w:val="14"/>
          <w:lang w:val="fr-FR"/>
        </w:rPr>
        <w:t xml:space="preserve"> </w:t>
      </w:r>
      <w:r w:rsidRPr="00F02792">
        <w:rPr>
          <w:color w:val="000000" w:themeColor="text1"/>
          <w:spacing w:val="-1"/>
          <w:lang w:val="fr-FR"/>
        </w:rPr>
        <w:t>une</w:t>
      </w:r>
      <w:r w:rsidRPr="00F02792">
        <w:rPr>
          <w:color w:val="000000" w:themeColor="text1"/>
          <w:spacing w:val="15"/>
          <w:lang w:val="fr-FR"/>
        </w:rPr>
        <w:t xml:space="preserve"> </w:t>
      </w:r>
      <w:r w:rsidRPr="00F02792">
        <w:rPr>
          <w:color w:val="000000" w:themeColor="text1"/>
          <w:spacing w:val="-1"/>
          <w:lang w:val="fr-FR"/>
        </w:rPr>
        <w:t>division,</w:t>
      </w:r>
      <w:r w:rsidRPr="00F02792">
        <w:rPr>
          <w:color w:val="000000" w:themeColor="text1"/>
          <w:spacing w:val="14"/>
          <w:lang w:val="fr-FR"/>
        </w:rPr>
        <w:t xml:space="preserve"> </w:t>
      </w:r>
      <w:r w:rsidRPr="00F02792">
        <w:rPr>
          <w:color w:val="000000" w:themeColor="text1"/>
          <w:lang w:val="fr-FR"/>
        </w:rPr>
        <w:t>à</w:t>
      </w:r>
      <w:r w:rsidRPr="00F02792">
        <w:rPr>
          <w:color w:val="000000" w:themeColor="text1"/>
          <w:spacing w:val="14"/>
          <w:lang w:val="fr-FR"/>
        </w:rPr>
        <w:t xml:space="preserve"> </w:t>
      </w:r>
      <w:r w:rsidRPr="00F02792">
        <w:rPr>
          <w:color w:val="000000" w:themeColor="text1"/>
          <w:spacing w:val="-1"/>
          <w:lang w:val="fr-FR"/>
        </w:rPr>
        <w:t>une</w:t>
      </w:r>
      <w:r w:rsidRPr="00F02792">
        <w:rPr>
          <w:color w:val="000000" w:themeColor="text1"/>
          <w:spacing w:val="15"/>
          <w:lang w:val="fr-FR"/>
        </w:rPr>
        <w:t xml:space="preserve"> </w:t>
      </w:r>
      <w:r w:rsidRPr="00F02792">
        <w:rPr>
          <w:color w:val="000000" w:themeColor="text1"/>
          <w:spacing w:val="-1"/>
          <w:lang w:val="fr-FR"/>
        </w:rPr>
        <w:t>section,</w:t>
      </w:r>
      <w:r w:rsidRPr="00F02792">
        <w:rPr>
          <w:color w:val="000000" w:themeColor="text1"/>
          <w:spacing w:val="14"/>
          <w:lang w:val="fr-FR"/>
        </w:rPr>
        <w:t xml:space="preserve"> </w:t>
      </w:r>
      <w:r w:rsidRPr="00F02792">
        <w:rPr>
          <w:color w:val="000000" w:themeColor="text1"/>
          <w:lang w:val="fr-FR"/>
        </w:rPr>
        <w:t>à</w:t>
      </w:r>
      <w:r w:rsidRPr="00F02792">
        <w:rPr>
          <w:color w:val="000000" w:themeColor="text1"/>
          <w:spacing w:val="14"/>
          <w:lang w:val="fr-FR"/>
        </w:rPr>
        <w:t xml:space="preserve"> </w:t>
      </w:r>
      <w:r w:rsidRPr="00F02792">
        <w:rPr>
          <w:color w:val="000000" w:themeColor="text1"/>
          <w:spacing w:val="-1"/>
          <w:lang w:val="fr-FR"/>
        </w:rPr>
        <w:t>une</w:t>
      </w:r>
      <w:r w:rsidRPr="00F02792">
        <w:rPr>
          <w:color w:val="000000" w:themeColor="text1"/>
          <w:spacing w:val="15"/>
          <w:lang w:val="fr-FR"/>
        </w:rPr>
        <w:t xml:space="preserve"> </w:t>
      </w:r>
      <w:r w:rsidRPr="00F02792">
        <w:rPr>
          <w:color w:val="000000" w:themeColor="text1"/>
          <w:spacing w:val="-1"/>
          <w:lang w:val="fr-FR"/>
        </w:rPr>
        <w:t>chambre</w:t>
      </w:r>
      <w:r w:rsidRPr="00F02792">
        <w:rPr>
          <w:color w:val="000000" w:themeColor="text1"/>
          <w:spacing w:val="15"/>
          <w:lang w:val="fr-FR"/>
        </w:rPr>
        <w:t xml:space="preserve"> </w:t>
      </w:r>
      <w:r w:rsidRPr="00F02792">
        <w:rPr>
          <w:color w:val="000000" w:themeColor="text1"/>
          <w:spacing w:val="-1"/>
          <w:lang w:val="fr-FR"/>
        </w:rPr>
        <w:t>ou</w:t>
      </w:r>
      <w:r w:rsidRPr="00F02792">
        <w:rPr>
          <w:color w:val="000000" w:themeColor="text1"/>
          <w:spacing w:val="13"/>
          <w:lang w:val="fr-FR"/>
        </w:rPr>
        <w:t xml:space="preserve"> </w:t>
      </w:r>
      <w:r w:rsidRPr="00F02792">
        <w:rPr>
          <w:color w:val="000000" w:themeColor="text1"/>
          <w:lang w:val="fr-FR"/>
        </w:rPr>
        <w:t>à</w:t>
      </w:r>
      <w:r w:rsidRPr="00F02792">
        <w:rPr>
          <w:color w:val="000000" w:themeColor="text1"/>
          <w:spacing w:val="14"/>
          <w:lang w:val="fr-FR"/>
        </w:rPr>
        <w:t xml:space="preserve"> </w:t>
      </w:r>
      <w:r w:rsidRPr="00F02792">
        <w:rPr>
          <w:color w:val="000000" w:themeColor="text1"/>
          <w:spacing w:val="-1"/>
          <w:lang w:val="fr-FR"/>
        </w:rPr>
        <w:t>un</w:t>
      </w:r>
      <w:r w:rsidRPr="00F02792">
        <w:rPr>
          <w:color w:val="000000" w:themeColor="text1"/>
          <w:spacing w:val="14"/>
          <w:lang w:val="fr-FR"/>
        </w:rPr>
        <w:t xml:space="preserve"> </w:t>
      </w:r>
      <w:r w:rsidRPr="00F02792">
        <w:rPr>
          <w:color w:val="000000" w:themeColor="text1"/>
          <w:spacing w:val="-1"/>
          <w:lang w:val="fr-FR"/>
        </w:rPr>
        <w:t>juge</w:t>
      </w:r>
      <w:r w:rsidRPr="00F02792">
        <w:rPr>
          <w:color w:val="000000" w:themeColor="text1"/>
          <w:spacing w:val="15"/>
          <w:lang w:val="fr-FR"/>
        </w:rPr>
        <w:t xml:space="preserve"> </w:t>
      </w:r>
      <w:r w:rsidRPr="00F02792">
        <w:rPr>
          <w:color w:val="000000" w:themeColor="text1"/>
          <w:lang w:val="fr-FR"/>
        </w:rPr>
        <w:t>et</w:t>
      </w:r>
      <w:r w:rsidRPr="00F02792">
        <w:rPr>
          <w:color w:val="000000" w:themeColor="text1"/>
          <w:spacing w:val="15"/>
          <w:lang w:val="fr-FR"/>
        </w:rPr>
        <w:t xml:space="preserve"> </w:t>
      </w:r>
      <w:r w:rsidRPr="00F02792">
        <w:rPr>
          <w:color w:val="000000" w:themeColor="text1"/>
          <w:spacing w:val="-2"/>
          <w:lang w:val="fr-FR"/>
        </w:rPr>
        <w:t>fixer</w:t>
      </w:r>
      <w:r w:rsidRPr="00F02792">
        <w:rPr>
          <w:color w:val="000000" w:themeColor="text1"/>
          <w:spacing w:val="16"/>
          <w:lang w:val="fr-FR"/>
        </w:rPr>
        <w:t xml:space="preserve"> </w:t>
      </w:r>
      <w:r w:rsidRPr="00F02792">
        <w:rPr>
          <w:color w:val="000000" w:themeColor="text1"/>
          <w:spacing w:val="-1"/>
          <w:lang w:val="fr-FR"/>
        </w:rPr>
        <w:t>une</w:t>
      </w:r>
      <w:r w:rsidRPr="00F02792">
        <w:rPr>
          <w:color w:val="000000" w:themeColor="text1"/>
          <w:spacing w:val="15"/>
          <w:lang w:val="fr-FR"/>
        </w:rPr>
        <w:t xml:space="preserve"> </w:t>
      </w:r>
      <w:r w:rsidRPr="00F02792">
        <w:rPr>
          <w:color w:val="000000" w:themeColor="text1"/>
          <w:spacing w:val="-1"/>
          <w:lang w:val="fr-FR"/>
        </w:rPr>
        <w:t>date</w:t>
      </w:r>
      <w:r w:rsidRPr="00F02792">
        <w:rPr>
          <w:color w:val="000000" w:themeColor="text1"/>
          <w:spacing w:val="15"/>
          <w:lang w:val="fr-FR"/>
        </w:rPr>
        <w:t xml:space="preserve"> </w:t>
      </w:r>
      <w:r w:rsidRPr="00F02792">
        <w:rPr>
          <w:color w:val="000000" w:themeColor="text1"/>
          <w:spacing w:val="-2"/>
          <w:lang w:val="fr-FR"/>
        </w:rPr>
        <w:t>pour</w:t>
      </w:r>
      <w:r w:rsidRPr="00F02792">
        <w:rPr>
          <w:color w:val="000000" w:themeColor="text1"/>
          <w:spacing w:val="15"/>
          <w:lang w:val="fr-FR"/>
        </w:rPr>
        <w:t xml:space="preserve"> </w:t>
      </w:r>
      <w:r w:rsidRPr="00F02792">
        <w:rPr>
          <w:color w:val="000000" w:themeColor="text1"/>
          <w:lang w:val="fr-FR"/>
        </w:rPr>
        <w:t>la</w:t>
      </w:r>
      <w:r w:rsidRPr="00F02792">
        <w:rPr>
          <w:color w:val="000000" w:themeColor="text1"/>
          <w:spacing w:val="57"/>
          <w:lang w:val="fr-FR"/>
        </w:rPr>
        <w:t xml:space="preserve"> </w:t>
      </w:r>
      <w:r w:rsidRPr="00F02792">
        <w:rPr>
          <w:color w:val="000000" w:themeColor="text1"/>
          <w:spacing w:val="-1"/>
          <w:lang w:val="fr-FR"/>
        </w:rPr>
        <w:t>poursuite</w:t>
      </w:r>
      <w:r w:rsidRPr="00F02792">
        <w:rPr>
          <w:color w:val="000000" w:themeColor="text1"/>
          <w:spacing w:val="15"/>
          <w:lang w:val="fr-FR"/>
        </w:rPr>
        <w:t xml:space="preserve"> </w:t>
      </w:r>
      <w:r w:rsidRPr="00F02792">
        <w:rPr>
          <w:color w:val="000000" w:themeColor="text1"/>
          <w:spacing w:val="-1"/>
          <w:lang w:val="fr-FR"/>
        </w:rPr>
        <w:t>de</w:t>
      </w:r>
      <w:r w:rsidRPr="00F02792">
        <w:rPr>
          <w:color w:val="000000" w:themeColor="text1"/>
          <w:spacing w:val="15"/>
          <w:lang w:val="fr-FR"/>
        </w:rPr>
        <w:t xml:space="preserve"> </w:t>
      </w:r>
      <w:r w:rsidRPr="00F02792">
        <w:rPr>
          <w:color w:val="000000" w:themeColor="text1"/>
          <w:spacing w:val="-1"/>
          <w:lang w:val="fr-FR"/>
        </w:rPr>
        <w:t>l</w:t>
      </w:r>
      <w:r w:rsidR="00BB76F1">
        <w:rPr>
          <w:color w:val="000000" w:themeColor="text1"/>
          <w:spacing w:val="-1"/>
          <w:lang w:val="fr-FR"/>
        </w:rPr>
        <w:t>’</w:t>
      </w:r>
      <w:r w:rsidRPr="00F02792">
        <w:rPr>
          <w:color w:val="000000" w:themeColor="text1"/>
          <w:spacing w:val="-1"/>
          <w:lang w:val="fr-FR"/>
        </w:rPr>
        <w:t>examen.</w:t>
      </w:r>
      <w:r w:rsidRPr="00F02792">
        <w:rPr>
          <w:color w:val="000000" w:themeColor="text1"/>
          <w:spacing w:val="13"/>
          <w:lang w:val="fr-FR"/>
        </w:rPr>
        <w:t xml:space="preserve"> </w:t>
      </w:r>
      <w:r w:rsidRPr="00F02792">
        <w:rPr>
          <w:color w:val="000000" w:themeColor="text1"/>
          <w:spacing w:val="-1"/>
          <w:lang w:val="fr-FR"/>
        </w:rPr>
        <w:t>Cette</w:t>
      </w:r>
      <w:r w:rsidRPr="00F02792">
        <w:rPr>
          <w:color w:val="000000" w:themeColor="text1"/>
          <w:spacing w:val="15"/>
          <w:lang w:val="fr-FR"/>
        </w:rPr>
        <w:t xml:space="preserve"> </w:t>
      </w:r>
      <w:r w:rsidRPr="00F02792">
        <w:rPr>
          <w:color w:val="000000" w:themeColor="text1"/>
          <w:spacing w:val="-1"/>
          <w:lang w:val="fr-FR"/>
        </w:rPr>
        <w:t>ordonnance</w:t>
      </w:r>
      <w:r w:rsidRPr="00F02792">
        <w:rPr>
          <w:color w:val="000000" w:themeColor="text1"/>
          <w:spacing w:val="14"/>
          <w:lang w:val="fr-FR"/>
        </w:rPr>
        <w:t xml:space="preserve"> </w:t>
      </w:r>
      <w:r w:rsidRPr="00F02792">
        <w:rPr>
          <w:color w:val="000000" w:themeColor="text1"/>
          <w:spacing w:val="-1"/>
          <w:lang w:val="fr-FR"/>
        </w:rPr>
        <w:t>n</w:t>
      </w:r>
      <w:r w:rsidR="00BB76F1">
        <w:rPr>
          <w:color w:val="000000" w:themeColor="text1"/>
          <w:spacing w:val="-1"/>
          <w:lang w:val="fr-FR"/>
        </w:rPr>
        <w:t>’</w:t>
      </w:r>
      <w:r w:rsidRPr="00F02792">
        <w:rPr>
          <w:color w:val="000000" w:themeColor="text1"/>
          <w:spacing w:val="-1"/>
          <w:lang w:val="fr-FR"/>
        </w:rPr>
        <w:t>est</w:t>
      </w:r>
      <w:r w:rsidRPr="00F02792">
        <w:rPr>
          <w:color w:val="000000" w:themeColor="text1"/>
          <w:spacing w:val="15"/>
          <w:lang w:val="fr-FR"/>
        </w:rPr>
        <w:t xml:space="preserve"> </w:t>
      </w:r>
      <w:r w:rsidRPr="00F02792">
        <w:rPr>
          <w:color w:val="000000" w:themeColor="text1"/>
          <w:spacing w:val="-1"/>
          <w:lang w:val="fr-FR"/>
        </w:rPr>
        <w:t>susceptible</w:t>
      </w:r>
      <w:r w:rsidRPr="00F02792">
        <w:rPr>
          <w:color w:val="000000" w:themeColor="text1"/>
          <w:spacing w:val="15"/>
          <w:lang w:val="fr-FR"/>
        </w:rPr>
        <w:t xml:space="preserve"> </w:t>
      </w:r>
      <w:r w:rsidRPr="00F02792">
        <w:rPr>
          <w:color w:val="000000" w:themeColor="text1"/>
          <w:spacing w:val="-1"/>
          <w:lang w:val="fr-FR"/>
        </w:rPr>
        <w:t>d</w:t>
      </w:r>
      <w:r w:rsidR="00BB76F1">
        <w:rPr>
          <w:color w:val="000000" w:themeColor="text1"/>
          <w:spacing w:val="-1"/>
          <w:lang w:val="fr-FR"/>
        </w:rPr>
        <w:t>’</w:t>
      </w:r>
      <w:r w:rsidRPr="00F02792">
        <w:rPr>
          <w:color w:val="000000" w:themeColor="text1"/>
          <w:spacing w:val="-1"/>
          <w:lang w:val="fr-FR"/>
        </w:rPr>
        <w:t>aucun</w:t>
      </w:r>
      <w:r w:rsidRPr="00F02792">
        <w:rPr>
          <w:color w:val="000000" w:themeColor="text1"/>
          <w:spacing w:val="14"/>
          <w:lang w:val="fr-FR"/>
        </w:rPr>
        <w:t xml:space="preserve"> </w:t>
      </w:r>
      <w:r w:rsidRPr="00F02792">
        <w:rPr>
          <w:color w:val="000000" w:themeColor="text1"/>
          <w:spacing w:val="-1"/>
          <w:lang w:val="fr-FR"/>
        </w:rPr>
        <w:t>recours,</w:t>
      </w:r>
      <w:r w:rsidRPr="00F02792">
        <w:rPr>
          <w:color w:val="000000" w:themeColor="text1"/>
          <w:spacing w:val="15"/>
          <w:lang w:val="fr-FR"/>
        </w:rPr>
        <w:t xml:space="preserve"> </w:t>
      </w:r>
      <w:r w:rsidRPr="00F02792">
        <w:rPr>
          <w:color w:val="000000" w:themeColor="text1"/>
          <w:lang w:val="fr-FR"/>
        </w:rPr>
        <w:t>à</w:t>
      </w:r>
      <w:r w:rsidRPr="00F02792">
        <w:rPr>
          <w:color w:val="000000" w:themeColor="text1"/>
          <w:spacing w:val="14"/>
          <w:lang w:val="fr-FR"/>
        </w:rPr>
        <w:t xml:space="preserve"> </w:t>
      </w:r>
      <w:r w:rsidRPr="00F02792">
        <w:rPr>
          <w:color w:val="000000" w:themeColor="text1"/>
          <w:spacing w:val="-1"/>
          <w:lang w:val="fr-FR"/>
        </w:rPr>
        <w:t>l</w:t>
      </w:r>
      <w:r w:rsidR="00BB76F1">
        <w:rPr>
          <w:color w:val="000000" w:themeColor="text1"/>
          <w:spacing w:val="-1"/>
          <w:lang w:val="fr-FR"/>
        </w:rPr>
        <w:t>’</w:t>
      </w:r>
      <w:r w:rsidRPr="00F02792">
        <w:rPr>
          <w:color w:val="000000" w:themeColor="text1"/>
          <w:spacing w:val="-1"/>
          <w:lang w:val="fr-FR"/>
        </w:rPr>
        <w:t>exception</w:t>
      </w:r>
      <w:r w:rsidRPr="00F02792">
        <w:rPr>
          <w:color w:val="000000" w:themeColor="text1"/>
          <w:spacing w:val="13"/>
          <w:lang w:val="fr-FR"/>
        </w:rPr>
        <w:t xml:space="preserve"> </w:t>
      </w:r>
      <w:r w:rsidRPr="00F02792">
        <w:rPr>
          <w:color w:val="000000" w:themeColor="text1"/>
          <w:spacing w:val="-1"/>
          <w:lang w:val="fr-FR"/>
        </w:rPr>
        <w:t>du</w:t>
      </w:r>
      <w:r w:rsidRPr="00F02792">
        <w:rPr>
          <w:color w:val="000000" w:themeColor="text1"/>
          <w:spacing w:val="14"/>
          <w:lang w:val="fr-FR"/>
        </w:rPr>
        <w:t xml:space="preserve"> </w:t>
      </w:r>
      <w:r w:rsidRPr="00F02792">
        <w:rPr>
          <w:color w:val="000000" w:themeColor="text1"/>
          <w:spacing w:val="-1"/>
          <w:lang w:val="fr-FR"/>
        </w:rPr>
        <w:t>recours</w:t>
      </w:r>
      <w:r w:rsidRPr="00F02792">
        <w:rPr>
          <w:color w:val="000000" w:themeColor="text1"/>
          <w:spacing w:val="63"/>
          <w:lang w:val="fr-FR"/>
        </w:rPr>
        <w:t xml:space="preserve"> </w:t>
      </w:r>
      <w:r w:rsidRPr="00F02792">
        <w:rPr>
          <w:color w:val="000000" w:themeColor="text1"/>
          <w:spacing w:val="-1"/>
          <w:lang w:val="fr-FR"/>
        </w:rPr>
        <w:t>du</w:t>
      </w:r>
      <w:r w:rsidRPr="00F02792">
        <w:rPr>
          <w:color w:val="000000" w:themeColor="text1"/>
          <w:spacing w:val="11"/>
          <w:lang w:val="fr-FR"/>
        </w:rPr>
        <w:t xml:space="preserve"> </w:t>
      </w:r>
      <w:r w:rsidRPr="00F02792">
        <w:rPr>
          <w:color w:val="000000" w:themeColor="text1"/>
          <w:spacing w:val="-1"/>
          <w:lang w:val="fr-FR"/>
        </w:rPr>
        <w:t>procureur</w:t>
      </w:r>
      <w:r w:rsidRPr="00F02792">
        <w:rPr>
          <w:color w:val="000000" w:themeColor="text1"/>
          <w:spacing w:val="13"/>
          <w:lang w:val="fr-FR"/>
        </w:rPr>
        <w:t xml:space="preserve"> </w:t>
      </w:r>
      <w:r w:rsidRPr="00F02792">
        <w:rPr>
          <w:color w:val="000000" w:themeColor="text1"/>
          <w:spacing w:val="-1"/>
          <w:lang w:val="fr-FR"/>
        </w:rPr>
        <w:t>général</w:t>
      </w:r>
      <w:r w:rsidRPr="00F02792">
        <w:rPr>
          <w:color w:val="000000" w:themeColor="text1"/>
          <w:spacing w:val="12"/>
          <w:lang w:val="fr-FR"/>
        </w:rPr>
        <w:t xml:space="preserve"> </w:t>
      </w:r>
      <w:r w:rsidRPr="00F02792">
        <w:rPr>
          <w:color w:val="000000" w:themeColor="text1"/>
          <w:spacing w:val="-1"/>
          <w:lang w:val="fr-FR"/>
        </w:rPr>
        <w:t>près</w:t>
      </w:r>
      <w:r w:rsidRPr="00F02792">
        <w:rPr>
          <w:color w:val="000000" w:themeColor="text1"/>
          <w:spacing w:val="12"/>
          <w:lang w:val="fr-FR"/>
        </w:rPr>
        <w:t xml:space="preserve"> </w:t>
      </w:r>
      <w:r w:rsidRPr="00F02792">
        <w:rPr>
          <w:color w:val="000000" w:themeColor="text1"/>
          <w:spacing w:val="-2"/>
          <w:lang w:val="fr-FR"/>
        </w:rPr>
        <w:t>la</w:t>
      </w:r>
      <w:r w:rsidRPr="00F02792">
        <w:rPr>
          <w:color w:val="000000" w:themeColor="text1"/>
          <w:spacing w:val="11"/>
          <w:lang w:val="fr-FR"/>
        </w:rPr>
        <w:t xml:space="preserve"> </w:t>
      </w:r>
      <w:r w:rsidRPr="00F02792">
        <w:rPr>
          <w:color w:val="000000" w:themeColor="text1"/>
          <w:spacing w:val="-1"/>
          <w:lang w:val="fr-FR"/>
        </w:rPr>
        <w:t>cour</w:t>
      </w:r>
      <w:r w:rsidRPr="00F02792">
        <w:rPr>
          <w:color w:val="000000" w:themeColor="text1"/>
          <w:spacing w:val="13"/>
          <w:lang w:val="fr-FR"/>
        </w:rPr>
        <w:t xml:space="preserve"> </w:t>
      </w:r>
      <w:r w:rsidRPr="00F02792">
        <w:rPr>
          <w:color w:val="000000" w:themeColor="text1"/>
          <w:spacing w:val="-1"/>
          <w:lang w:val="fr-FR"/>
        </w:rPr>
        <w:t>d</w:t>
      </w:r>
      <w:r w:rsidR="00BB76F1">
        <w:rPr>
          <w:color w:val="000000" w:themeColor="text1"/>
          <w:spacing w:val="-1"/>
          <w:lang w:val="fr-FR"/>
        </w:rPr>
        <w:t>’</w:t>
      </w:r>
      <w:r w:rsidRPr="00F02792">
        <w:rPr>
          <w:color w:val="000000" w:themeColor="text1"/>
          <w:spacing w:val="-1"/>
          <w:lang w:val="fr-FR"/>
        </w:rPr>
        <w:t>appel,</w:t>
      </w:r>
      <w:r w:rsidRPr="00F02792">
        <w:rPr>
          <w:color w:val="000000" w:themeColor="text1"/>
          <w:spacing w:val="12"/>
          <w:lang w:val="fr-FR"/>
        </w:rPr>
        <w:t xml:space="preserve"> </w:t>
      </w:r>
      <w:r w:rsidRPr="00F02792">
        <w:rPr>
          <w:color w:val="000000" w:themeColor="text1"/>
          <w:spacing w:val="-1"/>
          <w:lang w:val="fr-FR"/>
        </w:rPr>
        <w:t>devant</w:t>
      </w:r>
      <w:r w:rsidRPr="00F02792">
        <w:rPr>
          <w:color w:val="000000" w:themeColor="text1"/>
          <w:spacing w:val="10"/>
          <w:lang w:val="fr-FR"/>
        </w:rPr>
        <w:t xml:space="preserve"> </w:t>
      </w:r>
      <w:r w:rsidRPr="00F02792">
        <w:rPr>
          <w:color w:val="000000" w:themeColor="text1"/>
          <w:lang w:val="fr-FR"/>
        </w:rPr>
        <w:t>la</w:t>
      </w:r>
      <w:r w:rsidRPr="00F02792">
        <w:rPr>
          <w:color w:val="000000" w:themeColor="text1"/>
          <w:spacing w:val="11"/>
          <w:lang w:val="fr-FR"/>
        </w:rPr>
        <w:t xml:space="preserve"> </w:t>
      </w:r>
      <w:r w:rsidRPr="00F02792">
        <w:rPr>
          <w:color w:val="000000" w:themeColor="text1"/>
          <w:spacing w:val="-2"/>
          <w:lang w:val="fr-FR"/>
        </w:rPr>
        <w:t>Cour</w:t>
      </w:r>
      <w:r w:rsidRPr="00F02792">
        <w:rPr>
          <w:color w:val="000000" w:themeColor="text1"/>
          <w:spacing w:val="13"/>
          <w:lang w:val="fr-FR"/>
        </w:rPr>
        <w:t xml:space="preserve"> </w:t>
      </w:r>
      <w:r w:rsidRPr="00F02792">
        <w:rPr>
          <w:color w:val="000000" w:themeColor="text1"/>
          <w:spacing w:val="-1"/>
          <w:lang w:val="fr-FR"/>
        </w:rPr>
        <w:t>de</w:t>
      </w:r>
      <w:r w:rsidRPr="00F02792">
        <w:rPr>
          <w:color w:val="000000" w:themeColor="text1"/>
          <w:spacing w:val="12"/>
          <w:lang w:val="fr-FR"/>
        </w:rPr>
        <w:t xml:space="preserve"> </w:t>
      </w:r>
      <w:r w:rsidRPr="00F02792">
        <w:rPr>
          <w:color w:val="000000" w:themeColor="text1"/>
          <w:spacing w:val="-2"/>
          <w:lang w:val="fr-FR"/>
        </w:rPr>
        <w:t>cassation,</w:t>
      </w:r>
      <w:r w:rsidRPr="00F02792">
        <w:rPr>
          <w:color w:val="000000" w:themeColor="text1"/>
          <w:spacing w:val="12"/>
          <w:lang w:val="fr-FR"/>
        </w:rPr>
        <w:t xml:space="preserve"> </w:t>
      </w:r>
      <w:r w:rsidRPr="00F02792">
        <w:rPr>
          <w:color w:val="000000" w:themeColor="text1"/>
          <w:spacing w:val="-1"/>
          <w:lang w:val="fr-FR"/>
        </w:rPr>
        <w:t>dans</w:t>
      </w:r>
      <w:r w:rsidRPr="00F02792">
        <w:rPr>
          <w:color w:val="000000" w:themeColor="text1"/>
          <w:spacing w:val="10"/>
          <w:lang w:val="fr-FR"/>
        </w:rPr>
        <w:t xml:space="preserve"> </w:t>
      </w:r>
      <w:r w:rsidRPr="00F02792">
        <w:rPr>
          <w:color w:val="000000" w:themeColor="text1"/>
          <w:lang w:val="fr-FR"/>
        </w:rPr>
        <w:t>les</w:t>
      </w:r>
      <w:r w:rsidRPr="00F02792">
        <w:rPr>
          <w:color w:val="000000" w:themeColor="text1"/>
          <w:spacing w:val="10"/>
          <w:lang w:val="fr-FR"/>
        </w:rPr>
        <w:t xml:space="preserve"> </w:t>
      </w:r>
      <w:r w:rsidRPr="00F02792">
        <w:rPr>
          <w:color w:val="000000" w:themeColor="text1"/>
          <w:spacing w:val="-1"/>
          <w:lang w:val="fr-FR"/>
        </w:rPr>
        <w:t>délais</w:t>
      </w:r>
      <w:r w:rsidRPr="00F02792">
        <w:rPr>
          <w:color w:val="000000" w:themeColor="text1"/>
          <w:spacing w:val="12"/>
          <w:lang w:val="fr-FR"/>
        </w:rPr>
        <w:t xml:space="preserve"> </w:t>
      </w:r>
      <w:r w:rsidRPr="00F02792">
        <w:rPr>
          <w:color w:val="000000" w:themeColor="text1"/>
          <w:lang w:val="fr-FR"/>
        </w:rPr>
        <w:t>et</w:t>
      </w:r>
      <w:r w:rsidRPr="00F02792">
        <w:rPr>
          <w:color w:val="000000" w:themeColor="text1"/>
          <w:spacing w:val="10"/>
          <w:lang w:val="fr-FR"/>
        </w:rPr>
        <w:t xml:space="preserve"> </w:t>
      </w:r>
      <w:r w:rsidRPr="00F02792">
        <w:rPr>
          <w:color w:val="000000" w:themeColor="text1"/>
          <w:spacing w:val="-1"/>
          <w:lang w:val="fr-FR"/>
        </w:rPr>
        <w:t>suivant</w:t>
      </w:r>
      <w:r w:rsidRPr="00F02792">
        <w:rPr>
          <w:color w:val="000000" w:themeColor="text1"/>
          <w:spacing w:val="13"/>
          <w:lang w:val="fr-FR"/>
        </w:rPr>
        <w:t xml:space="preserve"> </w:t>
      </w:r>
      <w:r w:rsidRPr="00F02792">
        <w:rPr>
          <w:color w:val="000000" w:themeColor="text1"/>
          <w:spacing w:val="-2"/>
          <w:lang w:val="fr-FR"/>
        </w:rPr>
        <w:t>les</w:t>
      </w:r>
      <w:r w:rsidRPr="00F02792">
        <w:rPr>
          <w:color w:val="000000" w:themeColor="text1"/>
          <w:spacing w:val="55"/>
          <w:lang w:val="fr-FR"/>
        </w:rPr>
        <w:t xml:space="preserve"> </w:t>
      </w:r>
      <w:r w:rsidRPr="00F02792">
        <w:rPr>
          <w:color w:val="000000" w:themeColor="text1"/>
          <w:spacing w:val="-1"/>
          <w:lang w:val="fr-FR"/>
        </w:rPr>
        <w:t>modalités</w:t>
      </w:r>
      <w:r w:rsidRPr="00F02792">
        <w:rPr>
          <w:color w:val="000000" w:themeColor="text1"/>
          <w:spacing w:val="18"/>
          <w:lang w:val="fr-FR"/>
        </w:rPr>
        <w:t xml:space="preserve"> </w:t>
      </w:r>
      <w:r w:rsidRPr="00F02792">
        <w:rPr>
          <w:color w:val="000000" w:themeColor="text1"/>
          <w:spacing w:val="-1"/>
          <w:lang w:val="fr-FR"/>
        </w:rPr>
        <w:t>qui</w:t>
      </w:r>
      <w:r w:rsidRPr="00F02792">
        <w:rPr>
          <w:color w:val="000000" w:themeColor="text1"/>
          <w:spacing w:val="17"/>
          <w:lang w:val="fr-FR"/>
        </w:rPr>
        <w:t xml:space="preserve"> </w:t>
      </w:r>
      <w:r w:rsidRPr="00F02792">
        <w:rPr>
          <w:color w:val="000000" w:themeColor="text1"/>
          <w:spacing w:val="-1"/>
          <w:lang w:val="fr-FR"/>
        </w:rPr>
        <w:t>sont</w:t>
      </w:r>
      <w:r w:rsidRPr="00F02792">
        <w:rPr>
          <w:color w:val="000000" w:themeColor="text1"/>
          <w:spacing w:val="17"/>
          <w:lang w:val="fr-FR"/>
        </w:rPr>
        <w:t xml:space="preserve"> </w:t>
      </w:r>
      <w:r w:rsidRPr="00F02792">
        <w:rPr>
          <w:color w:val="000000" w:themeColor="text1"/>
          <w:spacing w:val="-1"/>
          <w:lang w:val="fr-FR"/>
        </w:rPr>
        <w:t>prévus</w:t>
      </w:r>
      <w:r w:rsidRPr="00F02792">
        <w:rPr>
          <w:color w:val="000000" w:themeColor="text1"/>
          <w:spacing w:val="12"/>
          <w:lang w:val="fr-FR"/>
        </w:rPr>
        <w:t xml:space="preserve"> </w:t>
      </w:r>
      <w:r w:rsidRPr="00F02792">
        <w:rPr>
          <w:color w:val="000000" w:themeColor="text1"/>
          <w:lang w:val="fr-FR"/>
        </w:rPr>
        <w:t>à</w:t>
      </w:r>
      <w:r w:rsidRPr="00F02792">
        <w:rPr>
          <w:color w:val="000000" w:themeColor="text1"/>
          <w:spacing w:val="16"/>
          <w:lang w:val="fr-FR"/>
        </w:rPr>
        <w:t xml:space="preserve"> </w:t>
      </w:r>
      <w:r w:rsidRPr="00F02792">
        <w:rPr>
          <w:color w:val="000000" w:themeColor="text1"/>
          <w:spacing w:val="-1"/>
          <w:lang w:val="fr-FR"/>
        </w:rPr>
        <w:t>l</w:t>
      </w:r>
      <w:r w:rsidR="00BB76F1">
        <w:rPr>
          <w:color w:val="000000" w:themeColor="text1"/>
          <w:spacing w:val="-1"/>
          <w:lang w:val="fr-FR"/>
        </w:rPr>
        <w:t>’</w:t>
      </w:r>
      <w:r w:rsidRPr="00F02792">
        <w:rPr>
          <w:color w:val="000000" w:themeColor="text1"/>
          <w:spacing w:val="-1"/>
          <w:lang w:val="fr-FR"/>
        </w:rPr>
        <w:t>article</w:t>
      </w:r>
      <w:r w:rsidRPr="00F02792">
        <w:rPr>
          <w:color w:val="000000" w:themeColor="text1"/>
          <w:spacing w:val="17"/>
          <w:lang w:val="fr-FR"/>
        </w:rPr>
        <w:t xml:space="preserve"> </w:t>
      </w:r>
      <w:r w:rsidRPr="00F02792">
        <w:rPr>
          <w:color w:val="000000" w:themeColor="text1"/>
          <w:spacing w:val="-1"/>
          <w:lang w:val="fr-FR"/>
        </w:rPr>
        <w:t>642,</w:t>
      </w:r>
      <w:r w:rsidRPr="00F02792">
        <w:rPr>
          <w:color w:val="000000" w:themeColor="text1"/>
          <w:spacing w:val="14"/>
          <w:lang w:val="fr-FR"/>
        </w:rPr>
        <w:t xml:space="preserve"> </w:t>
      </w:r>
      <w:r w:rsidRPr="00F02792">
        <w:rPr>
          <w:color w:val="000000" w:themeColor="text1"/>
          <w:spacing w:val="-1"/>
          <w:lang w:val="fr-FR"/>
        </w:rPr>
        <w:t>alinéas</w:t>
      </w:r>
      <w:r w:rsidRPr="00F02792">
        <w:rPr>
          <w:color w:val="000000" w:themeColor="text1"/>
          <w:spacing w:val="16"/>
          <w:lang w:val="fr-FR"/>
        </w:rPr>
        <w:t xml:space="preserve"> </w:t>
      </w:r>
      <w:r w:rsidRPr="00F02792">
        <w:rPr>
          <w:color w:val="000000" w:themeColor="text1"/>
          <w:lang w:val="fr-FR"/>
        </w:rPr>
        <w:t>2</w:t>
      </w:r>
      <w:r w:rsidRPr="00F02792">
        <w:rPr>
          <w:color w:val="000000" w:themeColor="text1"/>
          <w:spacing w:val="15"/>
          <w:lang w:val="fr-FR"/>
        </w:rPr>
        <w:t xml:space="preserve"> </w:t>
      </w:r>
      <w:r w:rsidRPr="00F02792">
        <w:rPr>
          <w:color w:val="000000" w:themeColor="text1"/>
          <w:lang w:val="fr-FR"/>
        </w:rPr>
        <w:t>et</w:t>
      </w:r>
      <w:r w:rsidRPr="00F02792">
        <w:rPr>
          <w:color w:val="000000" w:themeColor="text1"/>
          <w:spacing w:val="15"/>
          <w:lang w:val="fr-FR"/>
        </w:rPr>
        <w:t xml:space="preserve"> </w:t>
      </w:r>
      <w:r w:rsidRPr="00F02792">
        <w:rPr>
          <w:color w:val="000000" w:themeColor="text1"/>
          <w:lang w:val="fr-FR"/>
        </w:rPr>
        <w:t>3.</w:t>
      </w:r>
      <w:r w:rsidRPr="00F02792">
        <w:rPr>
          <w:color w:val="000000" w:themeColor="text1"/>
          <w:spacing w:val="16"/>
          <w:lang w:val="fr-FR"/>
        </w:rPr>
        <w:t xml:space="preserve"> </w:t>
      </w:r>
      <w:r w:rsidRPr="00F02792">
        <w:rPr>
          <w:color w:val="000000" w:themeColor="text1"/>
          <w:spacing w:val="-1"/>
          <w:lang w:val="fr-FR"/>
        </w:rPr>
        <w:t>Copie</w:t>
      </w:r>
      <w:r w:rsidRPr="00F02792">
        <w:rPr>
          <w:color w:val="000000" w:themeColor="text1"/>
          <w:spacing w:val="16"/>
          <w:lang w:val="fr-FR"/>
        </w:rPr>
        <w:t xml:space="preserve"> </w:t>
      </w:r>
      <w:r w:rsidRPr="00F02792">
        <w:rPr>
          <w:color w:val="000000" w:themeColor="text1"/>
          <w:spacing w:val="-1"/>
          <w:lang w:val="fr-FR"/>
        </w:rPr>
        <w:t>de</w:t>
      </w:r>
      <w:r w:rsidRPr="00F02792">
        <w:rPr>
          <w:color w:val="000000" w:themeColor="text1"/>
          <w:spacing w:val="17"/>
          <w:lang w:val="fr-FR"/>
        </w:rPr>
        <w:t xml:space="preserve"> </w:t>
      </w:r>
      <w:r w:rsidRPr="00F02792">
        <w:rPr>
          <w:color w:val="000000" w:themeColor="text1"/>
          <w:spacing w:val="-1"/>
          <w:lang w:val="fr-FR"/>
        </w:rPr>
        <w:t>l</w:t>
      </w:r>
      <w:r w:rsidR="00BB76F1">
        <w:rPr>
          <w:color w:val="000000" w:themeColor="text1"/>
          <w:spacing w:val="-1"/>
          <w:lang w:val="fr-FR"/>
        </w:rPr>
        <w:t>’</w:t>
      </w:r>
      <w:r w:rsidRPr="00F02792">
        <w:rPr>
          <w:color w:val="000000" w:themeColor="text1"/>
          <w:spacing w:val="-1"/>
          <w:lang w:val="fr-FR"/>
        </w:rPr>
        <w:t>arrêt</w:t>
      </w:r>
      <w:r w:rsidRPr="00F02792">
        <w:rPr>
          <w:color w:val="000000" w:themeColor="text1"/>
          <w:spacing w:val="15"/>
          <w:lang w:val="fr-FR"/>
        </w:rPr>
        <w:t xml:space="preserve"> </w:t>
      </w:r>
      <w:r w:rsidRPr="00F02792">
        <w:rPr>
          <w:color w:val="000000" w:themeColor="text1"/>
          <w:spacing w:val="-1"/>
          <w:lang w:val="fr-FR"/>
        </w:rPr>
        <w:t>de</w:t>
      </w:r>
      <w:r w:rsidRPr="00F02792">
        <w:rPr>
          <w:color w:val="000000" w:themeColor="text1"/>
          <w:spacing w:val="17"/>
          <w:lang w:val="fr-FR"/>
        </w:rPr>
        <w:t xml:space="preserve"> </w:t>
      </w:r>
      <w:r w:rsidRPr="00F02792">
        <w:rPr>
          <w:color w:val="000000" w:themeColor="text1"/>
          <w:lang w:val="fr-FR"/>
        </w:rPr>
        <w:t>la</w:t>
      </w:r>
      <w:r w:rsidRPr="00F02792">
        <w:rPr>
          <w:color w:val="000000" w:themeColor="text1"/>
          <w:spacing w:val="16"/>
          <w:lang w:val="fr-FR"/>
        </w:rPr>
        <w:t xml:space="preserve"> </w:t>
      </w:r>
      <w:r w:rsidRPr="00F02792">
        <w:rPr>
          <w:color w:val="000000" w:themeColor="text1"/>
          <w:spacing w:val="-2"/>
          <w:lang w:val="fr-FR"/>
        </w:rPr>
        <w:t>Cour</w:t>
      </w:r>
      <w:r w:rsidRPr="00F02792">
        <w:rPr>
          <w:color w:val="000000" w:themeColor="text1"/>
          <w:spacing w:val="18"/>
          <w:lang w:val="fr-FR"/>
        </w:rPr>
        <w:t xml:space="preserve"> </w:t>
      </w:r>
      <w:r w:rsidRPr="00F02792">
        <w:rPr>
          <w:color w:val="000000" w:themeColor="text1"/>
          <w:spacing w:val="-1"/>
          <w:lang w:val="fr-FR"/>
        </w:rPr>
        <w:t>de</w:t>
      </w:r>
      <w:r w:rsidRPr="00F02792">
        <w:rPr>
          <w:color w:val="000000" w:themeColor="text1"/>
          <w:spacing w:val="17"/>
          <w:lang w:val="fr-FR"/>
        </w:rPr>
        <w:t xml:space="preserve"> </w:t>
      </w:r>
      <w:r w:rsidRPr="00F02792">
        <w:rPr>
          <w:color w:val="000000" w:themeColor="text1"/>
          <w:spacing w:val="-1"/>
          <w:lang w:val="fr-FR"/>
        </w:rPr>
        <w:t>cassation</w:t>
      </w:r>
      <w:r w:rsidRPr="00F02792">
        <w:rPr>
          <w:color w:val="000000" w:themeColor="text1"/>
          <w:spacing w:val="16"/>
          <w:lang w:val="fr-FR"/>
        </w:rPr>
        <w:t xml:space="preserve"> </w:t>
      </w:r>
      <w:r w:rsidRPr="00F02792">
        <w:rPr>
          <w:color w:val="000000" w:themeColor="text1"/>
          <w:spacing w:val="1"/>
          <w:lang w:val="fr-FR"/>
        </w:rPr>
        <w:t>est</w:t>
      </w:r>
      <w:r w:rsidRPr="00F02792">
        <w:rPr>
          <w:color w:val="000000" w:themeColor="text1"/>
          <w:spacing w:val="66"/>
          <w:lang w:val="fr-FR"/>
        </w:rPr>
        <w:t xml:space="preserve"> </w:t>
      </w:r>
      <w:r w:rsidRPr="00F02792">
        <w:rPr>
          <w:color w:val="000000" w:themeColor="text1"/>
          <w:spacing w:val="-1"/>
          <w:lang w:val="fr-FR"/>
        </w:rPr>
        <w:t>envoyée</w:t>
      </w:r>
      <w:r w:rsidRPr="00F02792">
        <w:rPr>
          <w:color w:val="000000" w:themeColor="text1"/>
          <w:lang w:val="fr-FR"/>
        </w:rPr>
        <w:t xml:space="preserve"> </w:t>
      </w:r>
      <w:r w:rsidRPr="00F02792">
        <w:rPr>
          <w:color w:val="000000" w:themeColor="text1"/>
          <w:spacing w:val="-1"/>
          <w:lang w:val="fr-FR"/>
        </w:rPr>
        <w:t>par</w:t>
      </w:r>
      <w:r w:rsidRPr="00F02792">
        <w:rPr>
          <w:color w:val="000000" w:themeColor="text1"/>
          <w:spacing w:val="1"/>
          <w:lang w:val="fr-FR"/>
        </w:rPr>
        <w:t xml:space="preserve"> </w:t>
      </w:r>
      <w:r w:rsidRPr="00F02792">
        <w:rPr>
          <w:color w:val="000000" w:themeColor="text1"/>
          <w:spacing w:val="-2"/>
          <w:lang w:val="fr-FR"/>
        </w:rPr>
        <w:t>le</w:t>
      </w:r>
      <w:r w:rsidRPr="00F02792">
        <w:rPr>
          <w:color w:val="000000" w:themeColor="text1"/>
          <w:lang w:val="fr-FR"/>
        </w:rPr>
        <w:t xml:space="preserve"> </w:t>
      </w:r>
      <w:r w:rsidRPr="00F02792">
        <w:rPr>
          <w:color w:val="000000" w:themeColor="text1"/>
          <w:spacing w:val="-1"/>
          <w:lang w:val="fr-FR"/>
        </w:rPr>
        <w:t>greffier</w:t>
      </w:r>
      <w:r w:rsidRPr="00F02792">
        <w:rPr>
          <w:color w:val="000000" w:themeColor="text1"/>
          <w:spacing w:val="-3"/>
          <w:lang w:val="fr-FR"/>
        </w:rPr>
        <w:t xml:space="preserve"> </w:t>
      </w:r>
      <w:r w:rsidRPr="00F02792">
        <w:rPr>
          <w:color w:val="000000" w:themeColor="text1"/>
          <w:spacing w:val="-1"/>
          <w:lang w:val="fr-FR"/>
        </w:rPr>
        <w:t>de</w:t>
      </w:r>
      <w:r w:rsidRPr="00F02792">
        <w:rPr>
          <w:color w:val="000000" w:themeColor="text1"/>
          <w:lang w:val="fr-FR"/>
        </w:rPr>
        <w:t xml:space="preserve"> </w:t>
      </w:r>
      <w:r w:rsidRPr="00F02792">
        <w:rPr>
          <w:color w:val="000000" w:themeColor="text1"/>
          <w:spacing w:val="-2"/>
          <w:lang w:val="fr-FR"/>
        </w:rPr>
        <w:t>la</w:t>
      </w:r>
      <w:r w:rsidRPr="00F02792">
        <w:rPr>
          <w:color w:val="000000" w:themeColor="text1"/>
          <w:spacing w:val="-1"/>
          <w:lang w:val="fr-FR"/>
        </w:rPr>
        <w:t xml:space="preserve"> Cour</w:t>
      </w:r>
      <w:r w:rsidRPr="00F02792">
        <w:rPr>
          <w:color w:val="000000" w:themeColor="text1"/>
          <w:spacing w:val="1"/>
          <w:lang w:val="fr-FR"/>
        </w:rPr>
        <w:t xml:space="preserve"> </w:t>
      </w:r>
      <w:r w:rsidRPr="00F02792">
        <w:rPr>
          <w:color w:val="000000" w:themeColor="text1"/>
          <w:spacing w:val="-1"/>
          <w:lang w:val="fr-FR"/>
        </w:rPr>
        <w:t>au président</w:t>
      </w:r>
      <w:r w:rsidRPr="00F02792">
        <w:rPr>
          <w:color w:val="000000" w:themeColor="text1"/>
          <w:lang w:val="fr-FR"/>
        </w:rPr>
        <w:t xml:space="preserve"> </w:t>
      </w:r>
      <w:r w:rsidRPr="00F02792">
        <w:rPr>
          <w:color w:val="000000" w:themeColor="text1"/>
          <w:spacing w:val="-1"/>
          <w:lang w:val="fr-FR"/>
        </w:rPr>
        <w:t>du</w:t>
      </w:r>
      <w:r w:rsidRPr="00F02792">
        <w:rPr>
          <w:color w:val="000000" w:themeColor="text1"/>
          <w:spacing w:val="-3"/>
          <w:lang w:val="fr-FR"/>
        </w:rPr>
        <w:t xml:space="preserve"> </w:t>
      </w:r>
      <w:r w:rsidRPr="00F02792">
        <w:rPr>
          <w:color w:val="000000" w:themeColor="text1"/>
          <w:spacing w:val="-1"/>
          <w:lang w:val="fr-FR"/>
        </w:rPr>
        <w:t>tribunal</w:t>
      </w:r>
      <w:r w:rsidRPr="00F02792">
        <w:rPr>
          <w:color w:val="000000" w:themeColor="text1"/>
          <w:lang w:val="fr-FR"/>
        </w:rPr>
        <w:t xml:space="preserve"> et </w:t>
      </w:r>
      <w:r w:rsidRPr="00F02792">
        <w:rPr>
          <w:color w:val="000000" w:themeColor="text1"/>
          <w:spacing w:val="-1"/>
          <w:lang w:val="fr-FR"/>
        </w:rPr>
        <w:t>aux</w:t>
      </w:r>
      <w:r w:rsidRPr="00F02792">
        <w:rPr>
          <w:color w:val="000000" w:themeColor="text1"/>
          <w:lang w:val="fr-FR"/>
        </w:rPr>
        <w:t xml:space="preserve"> </w:t>
      </w:r>
      <w:r w:rsidRPr="00F02792">
        <w:rPr>
          <w:color w:val="000000" w:themeColor="text1"/>
          <w:spacing w:val="-1"/>
          <w:lang w:val="fr-FR"/>
        </w:rPr>
        <w:t>parties.</w:t>
      </w:r>
    </w:p>
    <w:p w14:paraId="1119836D" w14:textId="77777777" w:rsidR="00D37F6A" w:rsidRPr="00F02792" w:rsidRDefault="00D37F6A" w:rsidP="006E53C0">
      <w:pPr>
        <w:ind w:right="118"/>
        <w:jc w:val="both"/>
        <w:rPr>
          <w:rFonts w:eastAsia="Calibri"/>
          <w:color w:val="000000" w:themeColor="text1"/>
          <w:lang w:val="fr-FR"/>
        </w:rPr>
      </w:pPr>
    </w:p>
    <w:p w14:paraId="58BF1167" w14:textId="55D8BCD3" w:rsidR="00C700E4" w:rsidRPr="00F02792" w:rsidRDefault="006E53C0" w:rsidP="00A61CC5">
      <w:pPr>
        <w:pStyle w:val="Corpsdetexte"/>
        <w:spacing w:before="217"/>
        <w:ind w:right="114"/>
        <w:jc w:val="both"/>
        <w:rPr>
          <w:rFonts w:ascii="Times New Roman" w:hAnsi="Times New Roman" w:cs="Times New Roman"/>
          <w:color w:val="000000" w:themeColor="text1"/>
          <w:spacing w:val="-1"/>
          <w:lang w:val="fr-FR"/>
        </w:rPr>
      </w:pPr>
      <w:r w:rsidRPr="00F02792">
        <w:rPr>
          <w:rFonts w:ascii="Times New Roman" w:hAnsi="Times New Roman" w:cs="Times New Roman"/>
          <w:color w:val="000000" w:themeColor="text1"/>
          <w:spacing w:val="-1"/>
          <w:lang w:val="fr-FR"/>
        </w:rPr>
        <w:t>En</w:t>
      </w:r>
      <w:r w:rsidRPr="00F02792">
        <w:rPr>
          <w:rFonts w:ascii="Times New Roman" w:hAnsi="Times New Roman" w:cs="Times New Roman"/>
          <w:color w:val="000000" w:themeColor="text1"/>
          <w:spacing w:val="4"/>
          <w:lang w:val="fr-FR"/>
        </w:rPr>
        <w:t xml:space="preserve"> </w:t>
      </w:r>
      <w:r w:rsidRPr="00F02792">
        <w:rPr>
          <w:rFonts w:ascii="Times New Roman" w:hAnsi="Times New Roman" w:cs="Times New Roman"/>
          <w:color w:val="000000" w:themeColor="text1"/>
          <w:spacing w:val="-1"/>
          <w:lang w:val="fr-FR"/>
        </w:rPr>
        <w:t>prévoyant</w:t>
      </w:r>
      <w:r w:rsidRPr="00F02792">
        <w:rPr>
          <w:rFonts w:ascii="Times New Roman" w:hAnsi="Times New Roman" w:cs="Times New Roman"/>
          <w:color w:val="000000" w:themeColor="text1"/>
          <w:spacing w:val="3"/>
          <w:lang w:val="fr-FR"/>
        </w:rPr>
        <w:t xml:space="preserve"> </w:t>
      </w:r>
      <w:r w:rsidRPr="00F02792">
        <w:rPr>
          <w:rFonts w:ascii="Times New Roman" w:hAnsi="Times New Roman" w:cs="Times New Roman"/>
          <w:color w:val="000000" w:themeColor="text1"/>
          <w:spacing w:val="-1"/>
          <w:lang w:val="fr-FR"/>
        </w:rPr>
        <w:t>que</w:t>
      </w:r>
      <w:r w:rsidRPr="00F02792">
        <w:rPr>
          <w:rFonts w:ascii="Times New Roman" w:hAnsi="Times New Roman" w:cs="Times New Roman"/>
          <w:color w:val="000000" w:themeColor="text1"/>
          <w:spacing w:val="5"/>
          <w:lang w:val="fr-FR"/>
        </w:rPr>
        <w:t xml:space="preserve"> </w:t>
      </w:r>
      <w:r w:rsidRPr="00F02792">
        <w:rPr>
          <w:rFonts w:ascii="Times New Roman" w:hAnsi="Times New Roman" w:cs="Times New Roman"/>
          <w:color w:val="000000" w:themeColor="text1"/>
          <w:spacing w:val="-1"/>
          <w:lang w:val="fr-FR"/>
        </w:rPr>
        <w:t>les</w:t>
      </w:r>
      <w:r w:rsidRPr="00F02792">
        <w:rPr>
          <w:rFonts w:ascii="Times New Roman" w:hAnsi="Times New Roman" w:cs="Times New Roman"/>
          <w:color w:val="000000" w:themeColor="text1"/>
          <w:spacing w:val="5"/>
          <w:lang w:val="fr-FR"/>
        </w:rPr>
        <w:t xml:space="preserve"> </w:t>
      </w:r>
      <w:r w:rsidRPr="00F02792">
        <w:rPr>
          <w:rFonts w:ascii="Times New Roman" w:hAnsi="Times New Roman" w:cs="Times New Roman"/>
          <w:color w:val="000000" w:themeColor="text1"/>
          <w:spacing w:val="-1"/>
          <w:lang w:val="fr-FR"/>
        </w:rPr>
        <w:t>incidents</w:t>
      </w:r>
      <w:r w:rsidRPr="00F02792">
        <w:rPr>
          <w:rFonts w:ascii="Times New Roman" w:hAnsi="Times New Roman" w:cs="Times New Roman"/>
          <w:color w:val="000000" w:themeColor="text1"/>
          <w:spacing w:val="4"/>
          <w:lang w:val="fr-FR"/>
        </w:rPr>
        <w:t xml:space="preserve"> </w:t>
      </w:r>
      <w:r w:rsidRPr="00F02792">
        <w:rPr>
          <w:rFonts w:ascii="Times New Roman" w:hAnsi="Times New Roman" w:cs="Times New Roman"/>
          <w:color w:val="000000" w:themeColor="text1"/>
          <w:spacing w:val="-1"/>
          <w:lang w:val="fr-FR"/>
        </w:rPr>
        <w:t>soulevés</w:t>
      </w:r>
      <w:r w:rsidRPr="00F02792">
        <w:rPr>
          <w:rFonts w:ascii="Times New Roman" w:hAnsi="Times New Roman" w:cs="Times New Roman"/>
          <w:color w:val="000000" w:themeColor="text1"/>
          <w:spacing w:val="3"/>
          <w:lang w:val="fr-FR"/>
        </w:rPr>
        <w:t xml:space="preserve"> </w:t>
      </w:r>
      <w:r w:rsidRPr="00F02792">
        <w:rPr>
          <w:rFonts w:ascii="Times New Roman" w:hAnsi="Times New Roman" w:cs="Times New Roman"/>
          <w:color w:val="000000" w:themeColor="text1"/>
          <w:lang w:val="fr-FR"/>
        </w:rPr>
        <w:t>au</w:t>
      </w:r>
      <w:r w:rsidRPr="00F02792">
        <w:rPr>
          <w:rFonts w:ascii="Times New Roman" w:hAnsi="Times New Roman" w:cs="Times New Roman"/>
          <w:color w:val="000000" w:themeColor="text1"/>
          <w:spacing w:val="1"/>
          <w:lang w:val="fr-FR"/>
        </w:rPr>
        <w:t xml:space="preserve"> </w:t>
      </w:r>
      <w:r w:rsidRPr="00F02792">
        <w:rPr>
          <w:rFonts w:ascii="Times New Roman" w:hAnsi="Times New Roman" w:cs="Times New Roman"/>
          <w:color w:val="000000" w:themeColor="text1"/>
          <w:spacing w:val="-1"/>
          <w:lang w:val="fr-FR"/>
        </w:rPr>
        <w:t>sujet</w:t>
      </w:r>
      <w:r w:rsidRPr="00F02792">
        <w:rPr>
          <w:rFonts w:ascii="Times New Roman" w:hAnsi="Times New Roman" w:cs="Times New Roman"/>
          <w:color w:val="000000" w:themeColor="text1"/>
          <w:spacing w:val="6"/>
          <w:lang w:val="fr-FR"/>
        </w:rPr>
        <w:t xml:space="preserve"> </w:t>
      </w:r>
      <w:r w:rsidRPr="00F02792">
        <w:rPr>
          <w:rFonts w:ascii="Times New Roman" w:hAnsi="Times New Roman" w:cs="Times New Roman"/>
          <w:color w:val="000000" w:themeColor="text1"/>
          <w:spacing w:val="-1"/>
          <w:lang w:val="fr-FR"/>
        </w:rPr>
        <w:t>de</w:t>
      </w:r>
      <w:r w:rsidRPr="00F02792">
        <w:rPr>
          <w:rFonts w:ascii="Times New Roman" w:hAnsi="Times New Roman" w:cs="Times New Roman"/>
          <w:color w:val="000000" w:themeColor="text1"/>
          <w:spacing w:val="3"/>
          <w:lang w:val="fr-FR"/>
        </w:rPr>
        <w:t xml:space="preserve"> </w:t>
      </w:r>
      <w:r w:rsidRPr="00F02792">
        <w:rPr>
          <w:rFonts w:ascii="Times New Roman" w:hAnsi="Times New Roman" w:cs="Times New Roman"/>
          <w:color w:val="000000" w:themeColor="text1"/>
          <w:spacing w:val="-2"/>
          <w:lang w:val="fr-FR"/>
        </w:rPr>
        <w:t>la</w:t>
      </w:r>
      <w:r w:rsidRPr="00F02792">
        <w:rPr>
          <w:rFonts w:ascii="Times New Roman" w:hAnsi="Times New Roman" w:cs="Times New Roman"/>
          <w:color w:val="000000" w:themeColor="text1"/>
          <w:spacing w:val="5"/>
          <w:lang w:val="fr-FR"/>
        </w:rPr>
        <w:t xml:space="preserve"> </w:t>
      </w:r>
      <w:r w:rsidRPr="00F02792">
        <w:rPr>
          <w:rFonts w:ascii="Times New Roman" w:hAnsi="Times New Roman" w:cs="Times New Roman"/>
          <w:color w:val="000000" w:themeColor="text1"/>
          <w:spacing w:val="-1"/>
          <w:lang w:val="fr-FR"/>
        </w:rPr>
        <w:t>répartition</w:t>
      </w:r>
      <w:r w:rsidRPr="00F02792">
        <w:rPr>
          <w:rFonts w:ascii="Times New Roman" w:hAnsi="Times New Roman" w:cs="Times New Roman"/>
          <w:color w:val="000000" w:themeColor="text1"/>
          <w:spacing w:val="2"/>
          <w:lang w:val="fr-FR"/>
        </w:rPr>
        <w:t xml:space="preserve"> </w:t>
      </w:r>
      <w:r w:rsidRPr="00F02792">
        <w:rPr>
          <w:rFonts w:ascii="Times New Roman" w:hAnsi="Times New Roman" w:cs="Times New Roman"/>
          <w:color w:val="000000" w:themeColor="text1"/>
          <w:spacing w:val="-1"/>
          <w:lang w:val="fr-FR"/>
        </w:rPr>
        <w:t>entre</w:t>
      </w:r>
      <w:r w:rsidRPr="00F02792">
        <w:rPr>
          <w:rFonts w:ascii="Times New Roman" w:hAnsi="Times New Roman" w:cs="Times New Roman"/>
          <w:color w:val="000000" w:themeColor="text1"/>
          <w:spacing w:val="5"/>
          <w:lang w:val="fr-FR"/>
        </w:rPr>
        <w:t xml:space="preserve"> </w:t>
      </w:r>
      <w:r w:rsidRPr="00F02792">
        <w:rPr>
          <w:rFonts w:ascii="Times New Roman" w:hAnsi="Times New Roman" w:cs="Times New Roman"/>
          <w:color w:val="000000" w:themeColor="text1"/>
          <w:spacing w:val="-1"/>
          <w:lang w:val="fr-FR"/>
        </w:rPr>
        <w:t>les</w:t>
      </w:r>
      <w:r w:rsidRPr="00F02792">
        <w:rPr>
          <w:rFonts w:ascii="Times New Roman" w:hAnsi="Times New Roman" w:cs="Times New Roman"/>
          <w:color w:val="000000" w:themeColor="text1"/>
          <w:spacing w:val="3"/>
          <w:lang w:val="fr-FR"/>
        </w:rPr>
        <w:t xml:space="preserve"> </w:t>
      </w:r>
      <w:r w:rsidRPr="00F02792">
        <w:rPr>
          <w:rFonts w:ascii="Times New Roman" w:hAnsi="Times New Roman" w:cs="Times New Roman"/>
          <w:color w:val="000000" w:themeColor="text1"/>
          <w:spacing w:val="-1"/>
          <w:lang w:val="fr-FR"/>
        </w:rPr>
        <w:t>divisions</w:t>
      </w:r>
      <w:r w:rsidRPr="00F02792">
        <w:rPr>
          <w:rFonts w:ascii="Times New Roman" w:hAnsi="Times New Roman" w:cs="Times New Roman"/>
          <w:color w:val="000000" w:themeColor="text1"/>
          <w:spacing w:val="5"/>
          <w:lang w:val="fr-FR"/>
        </w:rPr>
        <w:t xml:space="preserve"> </w:t>
      </w:r>
      <w:r w:rsidRPr="00F02792">
        <w:rPr>
          <w:rFonts w:ascii="Times New Roman" w:hAnsi="Times New Roman" w:cs="Times New Roman"/>
          <w:color w:val="000000" w:themeColor="text1"/>
          <w:spacing w:val="-1"/>
          <w:lang w:val="fr-FR"/>
        </w:rPr>
        <w:t>sont</w:t>
      </w:r>
      <w:r w:rsidRPr="00F02792">
        <w:rPr>
          <w:rFonts w:ascii="Times New Roman" w:hAnsi="Times New Roman" w:cs="Times New Roman"/>
          <w:color w:val="000000" w:themeColor="text1"/>
          <w:spacing w:val="3"/>
          <w:lang w:val="fr-FR"/>
        </w:rPr>
        <w:t xml:space="preserve"> </w:t>
      </w:r>
      <w:r w:rsidRPr="00F02792">
        <w:rPr>
          <w:rFonts w:ascii="Times New Roman" w:hAnsi="Times New Roman" w:cs="Times New Roman"/>
          <w:color w:val="000000" w:themeColor="text1"/>
          <w:spacing w:val="-1"/>
          <w:lang w:val="fr-FR"/>
        </w:rPr>
        <w:t>réglés</w:t>
      </w:r>
      <w:r w:rsidRPr="00F02792">
        <w:rPr>
          <w:rFonts w:ascii="Times New Roman" w:hAnsi="Times New Roman" w:cs="Times New Roman"/>
          <w:color w:val="000000" w:themeColor="text1"/>
          <w:spacing w:val="5"/>
          <w:lang w:val="fr-FR"/>
        </w:rPr>
        <w:t xml:space="preserve"> </w:t>
      </w:r>
      <w:r w:rsidRPr="00F02792">
        <w:rPr>
          <w:rFonts w:ascii="Times New Roman" w:hAnsi="Times New Roman" w:cs="Times New Roman"/>
          <w:color w:val="000000" w:themeColor="text1"/>
          <w:spacing w:val="-1"/>
          <w:lang w:val="fr-FR"/>
        </w:rPr>
        <w:t>de</w:t>
      </w:r>
      <w:r w:rsidRPr="00F02792">
        <w:rPr>
          <w:rFonts w:ascii="Times New Roman" w:hAnsi="Times New Roman" w:cs="Times New Roman"/>
          <w:color w:val="000000" w:themeColor="text1"/>
          <w:spacing w:val="3"/>
          <w:lang w:val="fr-FR"/>
        </w:rPr>
        <w:t xml:space="preserve"> </w:t>
      </w:r>
      <w:r w:rsidRPr="00F02792">
        <w:rPr>
          <w:rFonts w:ascii="Times New Roman" w:hAnsi="Times New Roman" w:cs="Times New Roman"/>
          <w:color w:val="000000" w:themeColor="text1"/>
          <w:spacing w:val="-2"/>
          <w:lang w:val="fr-FR"/>
        </w:rPr>
        <w:t>la</w:t>
      </w:r>
      <w:r w:rsidRPr="00F02792">
        <w:rPr>
          <w:rFonts w:ascii="Times New Roman" w:hAnsi="Times New Roman" w:cs="Times New Roman"/>
          <w:color w:val="000000" w:themeColor="text1"/>
          <w:spacing w:val="67"/>
          <w:lang w:val="fr-FR"/>
        </w:rPr>
        <w:t xml:space="preserve"> </w:t>
      </w:r>
      <w:r w:rsidRPr="00F02792">
        <w:rPr>
          <w:rFonts w:ascii="Times New Roman" w:hAnsi="Times New Roman" w:cs="Times New Roman"/>
          <w:color w:val="000000" w:themeColor="text1"/>
          <w:spacing w:val="-1"/>
          <w:lang w:val="fr-FR"/>
        </w:rPr>
        <w:t>même</w:t>
      </w:r>
      <w:r w:rsidRPr="00F02792">
        <w:rPr>
          <w:rFonts w:ascii="Times New Roman" w:hAnsi="Times New Roman" w:cs="Times New Roman"/>
          <w:color w:val="000000" w:themeColor="text1"/>
          <w:spacing w:val="17"/>
          <w:lang w:val="fr-FR"/>
        </w:rPr>
        <w:t xml:space="preserve"> </w:t>
      </w:r>
      <w:r w:rsidRPr="00F02792">
        <w:rPr>
          <w:rFonts w:ascii="Times New Roman" w:hAnsi="Times New Roman" w:cs="Times New Roman"/>
          <w:color w:val="000000" w:themeColor="text1"/>
          <w:spacing w:val="-1"/>
          <w:lang w:val="fr-FR"/>
        </w:rPr>
        <w:t>manière</w:t>
      </w:r>
      <w:r w:rsidRPr="00F02792">
        <w:rPr>
          <w:rFonts w:ascii="Times New Roman" w:hAnsi="Times New Roman" w:cs="Times New Roman"/>
          <w:color w:val="000000" w:themeColor="text1"/>
          <w:spacing w:val="20"/>
          <w:lang w:val="fr-FR"/>
        </w:rPr>
        <w:t xml:space="preserve"> </w:t>
      </w:r>
      <w:r w:rsidRPr="00F02792">
        <w:rPr>
          <w:rFonts w:ascii="Times New Roman" w:hAnsi="Times New Roman" w:cs="Times New Roman"/>
          <w:color w:val="000000" w:themeColor="text1"/>
          <w:spacing w:val="-1"/>
          <w:lang w:val="fr-FR"/>
        </w:rPr>
        <w:t>que</w:t>
      </w:r>
      <w:r w:rsidRPr="00F02792">
        <w:rPr>
          <w:rFonts w:ascii="Times New Roman" w:hAnsi="Times New Roman" w:cs="Times New Roman"/>
          <w:color w:val="000000" w:themeColor="text1"/>
          <w:spacing w:val="20"/>
          <w:lang w:val="fr-FR"/>
        </w:rPr>
        <w:t xml:space="preserve"> </w:t>
      </w:r>
      <w:r w:rsidRPr="00F02792">
        <w:rPr>
          <w:rFonts w:ascii="Times New Roman" w:hAnsi="Times New Roman" w:cs="Times New Roman"/>
          <w:color w:val="000000" w:themeColor="text1"/>
          <w:lang w:val="fr-FR"/>
        </w:rPr>
        <w:t>les</w:t>
      </w:r>
      <w:r w:rsidRPr="00F02792">
        <w:rPr>
          <w:rFonts w:ascii="Times New Roman" w:hAnsi="Times New Roman" w:cs="Times New Roman"/>
          <w:color w:val="000000" w:themeColor="text1"/>
          <w:spacing w:val="19"/>
          <w:lang w:val="fr-FR"/>
        </w:rPr>
        <w:t xml:space="preserve"> </w:t>
      </w:r>
      <w:r w:rsidRPr="00F02792">
        <w:rPr>
          <w:rFonts w:ascii="Times New Roman" w:hAnsi="Times New Roman" w:cs="Times New Roman"/>
          <w:color w:val="000000" w:themeColor="text1"/>
          <w:spacing w:val="-1"/>
          <w:lang w:val="fr-FR"/>
        </w:rPr>
        <w:t>incidents</w:t>
      </w:r>
      <w:r w:rsidRPr="00F02792">
        <w:rPr>
          <w:rFonts w:ascii="Times New Roman" w:hAnsi="Times New Roman" w:cs="Times New Roman"/>
          <w:color w:val="000000" w:themeColor="text1"/>
          <w:spacing w:val="19"/>
          <w:lang w:val="fr-FR"/>
        </w:rPr>
        <w:t xml:space="preserve"> </w:t>
      </w:r>
      <w:r w:rsidRPr="00F02792">
        <w:rPr>
          <w:rFonts w:ascii="Times New Roman" w:hAnsi="Times New Roman" w:cs="Times New Roman"/>
          <w:color w:val="000000" w:themeColor="text1"/>
          <w:lang w:val="fr-FR"/>
        </w:rPr>
        <w:t>entre</w:t>
      </w:r>
      <w:r w:rsidRPr="00F02792">
        <w:rPr>
          <w:rFonts w:ascii="Times New Roman" w:hAnsi="Times New Roman" w:cs="Times New Roman"/>
          <w:color w:val="000000" w:themeColor="text1"/>
          <w:spacing w:val="20"/>
          <w:lang w:val="fr-FR"/>
        </w:rPr>
        <w:t xml:space="preserve"> </w:t>
      </w:r>
      <w:r w:rsidRPr="00F02792">
        <w:rPr>
          <w:rFonts w:ascii="Times New Roman" w:hAnsi="Times New Roman" w:cs="Times New Roman"/>
          <w:color w:val="000000" w:themeColor="text1"/>
          <w:spacing w:val="-1"/>
          <w:lang w:val="fr-FR"/>
        </w:rPr>
        <w:t>les</w:t>
      </w:r>
      <w:r w:rsidRPr="00F02792">
        <w:rPr>
          <w:rFonts w:ascii="Times New Roman" w:hAnsi="Times New Roman" w:cs="Times New Roman"/>
          <w:color w:val="000000" w:themeColor="text1"/>
          <w:spacing w:val="19"/>
          <w:lang w:val="fr-FR"/>
        </w:rPr>
        <w:t xml:space="preserve"> </w:t>
      </w:r>
      <w:r w:rsidRPr="00F02792">
        <w:rPr>
          <w:rFonts w:ascii="Times New Roman" w:hAnsi="Times New Roman" w:cs="Times New Roman"/>
          <w:color w:val="000000" w:themeColor="text1"/>
          <w:spacing w:val="-1"/>
          <w:lang w:val="fr-FR"/>
        </w:rPr>
        <w:t>sections,</w:t>
      </w:r>
      <w:r w:rsidRPr="00F02792">
        <w:rPr>
          <w:rFonts w:ascii="Times New Roman" w:hAnsi="Times New Roman" w:cs="Times New Roman"/>
          <w:color w:val="000000" w:themeColor="text1"/>
          <w:spacing w:val="19"/>
          <w:lang w:val="fr-FR"/>
        </w:rPr>
        <w:t xml:space="preserve"> </w:t>
      </w:r>
      <w:r w:rsidRPr="00F02792">
        <w:rPr>
          <w:rFonts w:ascii="Times New Roman" w:hAnsi="Times New Roman" w:cs="Times New Roman"/>
          <w:color w:val="000000" w:themeColor="text1"/>
          <w:spacing w:val="-1"/>
          <w:lang w:val="fr-FR"/>
        </w:rPr>
        <w:t>les</w:t>
      </w:r>
      <w:r w:rsidRPr="00F02792">
        <w:rPr>
          <w:rFonts w:ascii="Times New Roman" w:hAnsi="Times New Roman" w:cs="Times New Roman"/>
          <w:color w:val="000000" w:themeColor="text1"/>
          <w:spacing w:val="20"/>
          <w:lang w:val="fr-FR"/>
        </w:rPr>
        <w:t xml:space="preserve"> </w:t>
      </w:r>
      <w:r w:rsidRPr="00F02792">
        <w:rPr>
          <w:rFonts w:ascii="Times New Roman" w:hAnsi="Times New Roman" w:cs="Times New Roman"/>
          <w:color w:val="000000" w:themeColor="text1"/>
          <w:spacing w:val="-1"/>
          <w:lang w:val="fr-FR"/>
        </w:rPr>
        <w:t>chambres</w:t>
      </w:r>
      <w:r w:rsidRPr="00F02792">
        <w:rPr>
          <w:rFonts w:ascii="Times New Roman" w:hAnsi="Times New Roman" w:cs="Times New Roman"/>
          <w:color w:val="000000" w:themeColor="text1"/>
          <w:spacing w:val="20"/>
          <w:lang w:val="fr-FR"/>
        </w:rPr>
        <w:t xml:space="preserve"> </w:t>
      </w:r>
      <w:r w:rsidRPr="00F02792">
        <w:rPr>
          <w:rFonts w:ascii="Times New Roman" w:hAnsi="Times New Roman" w:cs="Times New Roman"/>
          <w:color w:val="000000" w:themeColor="text1"/>
          <w:lang w:val="fr-FR"/>
        </w:rPr>
        <w:t>et</w:t>
      </w:r>
      <w:r w:rsidRPr="00F02792">
        <w:rPr>
          <w:rFonts w:ascii="Times New Roman" w:hAnsi="Times New Roman" w:cs="Times New Roman"/>
          <w:color w:val="000000" w:themeColor="text1"/>
          <w:spacing w:val="20"/>
          <w:lang w:val="fr-FR"/>
        </w:rPr>
        <w:t xml:space="preserve"> </w:t>
      </w:r>
      <w:r w:rsidRPr="00F02792">
        <w:rPr>
          <w:rFonts w:ascii="Times New Roman" w:hAnsi="Times New Roman" w:cs="Times New Roman"/>
          <w:color w:val="000000" w:themeColor="text1"/>
          <w:lang w:val="fr-FR"/>
        </w:rPr>
        <w:t>les</w:t>
      </w:r>
      <w:r w:rsidRPr="00F02792">
        <w:rPr>
          <w:rFonts w:ascii="Times New Roman" w:hAnsi="Times New Roman" w:cs="Times New Roman"/>
          <w:color w:val="000000" w:themeColor="text1"/>
          <w:spacing w:val="19"/>
          <w:lang w:val="fr-FR"/>
        </w:rPr>
        <w:t xml:space="preserve"> </w:t>
      </w:r>
      <w:r w:rsidRPr="00F02792">
        <w:rPr>
          <w:rFonts w:ascii="Times New Roman" w:hAnsi="Times New Roman" w:cs="Times New Roman"/>
          <w:color w:val="000000" w:themeColor="text1"/>
          <w:spacing w:val="-1"/>
          <w:lang w:val="fr-FR"/>
        </w:rPr>
        <w:t>juges</w:t>
      </w:r>
      <w:r w:rsidRPr="00F02792">
        <w:rPr>
          <w:rFonts w:ascii="Times New Roman" w:hAnsi="Times New Roman" w:cs="Times New Roman"/>
          <w:color w:val="000000" w:themeColor="text1"/>
          <w:spacing w:val="19"/>
          <w:lang w:val="fr-FR"/>
        </w:rPr>
        <w:t xml:space="preserve"> </w:t>
      </w:r>
      <w:r w:rsidRPr="00F02792">
        <w:rPr>
          <w:rFonts w:ascii="Times New Roman" w:hAnsi="Times New Roman" w:cs="Times New Roman"/>
          <w:color w:val="000000" w:themeColor="text1"/>
          <w:spacing w:val="-1"/>
          <w:lang w:val="fr-FR"/>
        </w:rPr>
        <w:t>d</w:t>
      </w:r>
      <w:r w:rsidR="00BB76F1">
        <w:rPr>
          <w:rFonts w:ascii="Times New Roman" w:hAnsi="Times New Roman" w:cs="Times New Roman"/>
          <w:color w:val="000000" w:themeColor="text1"/>
          <w:spacing w:val="-1"/>
          <w:lang w:val="fr-FR"/>
        </w:rPr>
        <w:t>’</w:t>
      </w:r>
      <w:r w:rsidRPr="00F02792">
        <w:rPr>
          <w:rFonts w:ascii="Times New Roman" w:hAnsi="Times New Roman" w:cs="Times New Roman"/>
          <w:color w:val="000000" w:themeColor="text1"/>
          <w:spacing w:val="-1"/>
          <w:lang w:val="fr-FR"/>
        </w:rPr>
        <w:t>un</w:t>
      </w:r>
      <w:r w:rsidRPr="00F02792">
        <w:rPr>
          <w:rFonts w:ascii="Times New Roman" w:hAnsi="Times New Roman" w:cs="Times New Roman"/>
          <w:color w:val="000000" w:themeColor="text1"/>
          <w:spacing w:val="18"/>
          <w:lang w:val="fr-FR"/>
        </w:rPr>
        <w:t xml:space="preserve"> </w:t>
      </w:r>
      <w:r w:rsidRPr="00F02792">
        <w:rPr>
          <w:rFonts w:ascii="Times New Roman" w:hAnsi="Times New Roman" w:cs="Times New Roman"/>
          <w:color w:val="000000" w:themeColor="text1"/>
          <w:spacing w:val="-1"/>
          <w:lang w:val="fr-FR"/>
        </w:rPr>
        <w:t>même</w:t>
      </w:r>
      <w:r w:rsidRPr="00F02792">
        <w:rPr>
          <w:rFonts w:ascii="Times New Roman" w:hAnsi="Times New Roman" w:cs="Times New Roman"/>
          <w:color w:val="000000" w:themeColor="text1"/>
          <w:spacing w:val="20"/>
          <w:lang w:val="fr-FR"/>
        </w:rPr>
        <w:t xml:space="preserve"> </w:t>
      </w:r>
      <w:r w:rsidRPr="00F02792">
        <w:rPr>
          <w:rFonts w:ascii="Times New Roman" w:hAnsi="Times New Roman" w:cs="Times New Roman"/>
          <w:color w:val="000000" w:themeColor="text1"/>
          <w:spacing w:val="-1"/>
          <w:lang w:val="fr-FR"/>
        </w:rPr>
        <w:t>tribunal,</w:t>
      </w:r>
      <w:r w:rsidRPr="00F02792">
        <w:rPr>
          <w:rFonts w:ascii="Times New Roman" w:hAnsi="Times New Roman" w:cs="Times New Roman"/>
          <w:color w:val="000000" w:themeColor="text1"/>
          <w:spacing w:val="57"/>
          <w:lang w:val="fr-FR"/>
        </w:rPr>
        <w:t xml:space="preserve"> </w:t>
      </w:r>
      <w:r w:rsidRPr="00F02792">
        <w:rPr>
          <w:rFonts w:ascii="Times New Roman" w:hAnsi="Times New Roman" w:cs="Times New Roman"/>
          <w:color w:val="000000" w:themeColor="text1"/>
          <w:spacing w:val="-1"/>
          <w:lang w:val="fr-FR"/>
        </w:rPr>
        <w:t>l</w:t>
      </w:r>
      <w:r w:rsidR="00BB76F1">
        <w:rPr>
          <w:rFonts w:ascii="Times New Roman" w:hAnsi="Times New Roman" w:cs="Times New Roman"/>
          <w:color w:val="000000" w:themeColor="text1"/>
          <w:spacing w:val="-1"/>
          <w:lang w:val="fr-FR"/>
        </w:rPr>
        <w:t>’</w:t>
      </w:r>
      <w:r w:rsidRPr="00F02792">
        <w:rPr>
          <w:rFonts w:ascii="Times New Roman" w:hAnsi="Times New Roman" w:cs="Times New Roman"/>
          <w:color w:val="000000" w:themeColor="text1"/>
          <w:spacing w:val="-1"/>
          <w:lang w:val="fr-FR"/>
        </w:rPr>
        <w:t>article</w:t>
      </w:r>
      <w:r w:rsidRPr="00F02792">
        <w:rPr>
          <w:rFonts w:ascii="Times New Roman" w:hAnsi="Times New Roman" w:cs="Times New Roman"/>
          <w:color w:val="000000" w:themeColor="text1"/>
          <w:spacing w:val="15"/>
          <w:lang w:val="fr-FR"/>
        </w:rPr>
        <w:t xml:space="preserve"> </w:t>
      </w:r>
      <w:r w:rsidRPr="00F02792">
        <w:rPr>
          <w:rFonts w:ascii="Times New Roman" w:hAnsi="Times New Roman" w:cs="Times New Roman"/>
          <w:color w:val="000000" w:themeColor="text1"/>
          <w:spacing w:val="-1"/>
          <w:lang w:val="fr-FR"/>
        </w:rPr>
        <w:t>88</w:t>
      </w:r>
      <w:r w:rsidRPr="00F02792">
        <w:rPr>
          <w:rFonts w:ascii="Times New Roman" w:hAnsi="Times New Roman" w:cs="Times New Roman"/>
          <w:color w:val="000000" w:themeColor="text1"/>
          <w:spacing w:val="17"/>
          <w:lang w:val="fr-FR"/>
        </w:rPr>
        <w:t xml:space="preserve"> </w:t>
      </w:r>
      <w:r w:rsidRPr="00F02792">
        <w:rPr>
          <w:rFonts w:ascii="Times New Roman" w:hAnsi="Times New Roman" w:cs="Times New Roman"/>
          <w:color w:val="000000" w:themeColor="text1"/>
          <w:lang w:val="fr-FR"/>
        </w:rPr>
        <w:t>§</w:t>
      </w:r>
      <w:r w:rsidRPr="00F02792">
        <w:rPr>
          <w:rFonts w:ascii="Times New Roman" w:hAnsi="Times New Roman" w:cs="Times New Roman"/>
          <w:color w:val="000000" w:themeColor="text1"/>
          <w:spacing w:val="15"/>
          <w:lang w:val="fr-FR"/>
        </w:rPr>
        <w:t xml:space="preserve"> </w:t>
      </w:r>
      <w:r w:rsidRPr="00F02792">
        <w:rPr>
          <w:rFonts w:ascii="Times New Roman" w:hAnsi="Times New Roman" w:cs="Times New Roman"/>
          <w:color w:val="000000" w:themeColor="text1"/>
          <w:lang w:val="fr-FR"/>
        </w:rPr>
        <w:t>2</w:t>
      </w:r>
      <w:r w:rsidRPr="00F02792">
        <w:rPr>
          <w:rFonts w:ascii="Times New Roman" w:hAnsi="Times New Roman" w:cs="Times New Roman"/>
          <w:color w:val="000000" w:themeColor="text1"/>
          <w:spacing w:val="15"/>
          <w:lang w:val="fr-FR"/>
        </w:rPr>
        <w:t xml:space="preserve"> </w:t>
      </w:r>
      <w:r w:rsidRPr="00F02792">
        <w:rPr>
          <w:rFonts w:ascii="Times New Roman" w:hAnsi="Times New Roman" w:cs="Times New Roman"/>
          <w:color w:val="000000" w:themeColor="text1"/>
          <w:spacing w:val="-1"/>
          <w:lang w:val="fr-FR"/>
        </w:rPr>
        <w:t>permet</w:t>
      </w:r>
      <w:r w:rsidRPr="00F02792">
        <w:rPr>
          <w:rFonts w:ascii="Times New Roman" w:hAnsi="Times New Roman" w:cs="Times New Roman"/>
          <w:color w:val="000000" w:themeColor="text1"/>
          <w:spacing w:val="17"/>
          <w:lang w:val="fr-FR"/>
        </w:rPr>
        <w:t xml:space="preserve"> </w:t>
      </w:r>
      <w:r w:rsidRPr="00F02792">
        <w:rPr>
          <w:rFonts w:ascii="Times New Roman" w:hAnsi="Times New Roman" w:cs="Times New Roman"/>
          <w:color w:val="000000" w:themeColor="text1"/>
          <w:spacing w:val="-1"/>
          <w:lang w:val="fr-FR"/>
        </w:rPr>
        <w:t>de</w:t>
      </w:r>
      <w:r w:rsidRPr="00F02792">
        <w:rPr>
          <w:rFonts w:ascii="Times New Roman" w:hAnsi="Times New Roman" w:cs="Times New Roman"/>
          <w:color w:val="000000" w:themeColor="text1"/>
          <w:spacing w:val="15"/>
          <w:lang w:val="fr-FR"/>
        </w:rPr>
        <w:t xml:space="preserve"> </w:t>
      </w:r>
      <w:r w:rsidRPr="00F02792">
        <w:rPr>
          <w:rFonts w:ascii="Times New Roman" w:hAnsi="Times New Roman" w:cs="Times New Roman"/>
          <w:color w:val="000000" w:themeColor="text1"/>
          <w:spacing w:val="-1"/>
          <w:lang w:val="fr-FR"/>
        </w:rPr>
        <w:t>les</w:t>
      </w:r>
      <w:r w:rsidRPr="00F02792">
        <w:rPr>
          <w:rFonts w:ascii="Times New Roman" w:hAnsi="Times New Roman" w:cs="Times New Roman"/>
          <w:color w:val="000000" w:themeColor="text1"/>
          <w:spacing w:val="17"/>
          <w:lang w:val="fr-FR"/>
        </w:rPr>
        <w:t xml:space="preserve"> </w:t>
      </w:r>
      <w:r w:rsidRPr="00F02792">
        <w:rPr>
          <w:rFonts w:ascii="Times New Roman" w:hAnsi="Times New Roman" w:cs="Times New Roman"/>
          <w:color w:val="000000" w:themeColor="text1"/>
          <w:spacing w:val="-1"/>
          <w:lang w:val="fr-FR"/>
        </w:rPr>
        <w:t>solutionner</w:t>
      </w:r>
      <w:r w:rsidRPr="00F02792">
        <w:rPr>
          <w:rFonts w:ascii="Times New Roman" w:hAnsi="Times New Roman" w:cs="Times New Roman"/>
          <w:color w:val="000000" w:themeColor="text1"/>
          <w:spacing w:val="17"/>
          <w:lang w:val="fr-FR"/>
        </w:rPr>
        <w:t xml:space="preserve"> </w:t>
      </w:r>
      <w:r w:rsidRPr="00F02792">
        <w:rPr>
          <w:rFonts w:ascii="Times New Roman" w:hAnsi="Times New Roman" w:cs="Times New Roman"/>
          <w:color w:val="000000" w:themeColor="text1"/>
          <w:spacing w:val="-1"/>
          <w:lang w:val="fr-FR"/>
        </w:rPr>
        <w:t>avec</w:t>
      </w:r>
      <w:r w:rsidRPr="00F02792">
        <w:rPr>
          <w:rFonts w:ascii="Times New Roman" w:hAnsi="Times New Roman" w:cs="Times New Roman"/>
          <w:color w:val="000000" w:themeColor="text1"/>
          <w:spacing w:val="15"/>
          <w:lang w:val="fr-FR"/>
        </w:rPr>
        <w:t xml:space="preserve"> </w:t>
      </w:r>
      <w:r w:rsidRPr="00F02792">
        <w:rPr>
          <w:rFonts w:ascii="Times New Roman" w:hAnsi="Times New Roman" w:cs="Times New Roman"/>
          <w:color w:val="000000" w:themeColor="text1"/>
          <w:spacing w:val="-1"/>
          <w:lang w:val="fr-FR"/>
        </w:rPr>
        <w:t>rapidité</w:t>
      </w:r>
      <w:r w:rsidRPr="00F02792">
        <w:rPr>
          <w:rFonts w:ascii="Times New Roman" w:hAnsi="Times New Roman" w:cs="Times New Roman"/>
          <w:color w:val="000000" w:themeColor="text1"/>
          <w:spacing w:val="17"/>
          <w:lang w:val="fr-FR"/>
        </w:rPr>
        <w:t xml:space="preserve"> </w:t>
      </w:r>
      <w:r w:rsidRPr="00F02792">
        <w:rPr>
          <w:rFonts w:ascii="Times New Roman" w:hAnsi="Times New Roman" w:cs="Times New Roman"/>
          <w:color w:val="000000" w:themeColor="text1"/>
          <w:spacing w:val="-1"/>
          <w:lang w:val="fr-FR"/>
        </w:rPr>
        <w:t>et</w:t>
      </w:r>
      <w:r w:rsidRPr="00F02792">
        <w:rPr>
          <w:rFonts w:ascii="Times New Roman" w:hAnsi="Times New Roman" w:cs="Times New Roman"/>
          <w:color w:val="000000" w:themeColor="text1"/>
          <w:spacing w:val="17"/>
          <w:lang w:val="fr-FR"/>
        </w:rPr>
        <w:t xml:space="preserve"> </w:t>
      </w:r>
      <w:r w:rsidRPr="00F02792">
        <w:rPr>
          <w:rFonts w:ascii="Times New Roman" w:hAnsi="Times New Roman" w:cs="Times New Roman"/>
          <w:color w:val="000000" w:themeColor="text1"/>
          <w:spacing w:val="-1"/>
          <w:lang w:val="fr-FR"/>
        </w:rPr>
        <w:t>efficacité</w:t>
      </w:r>
      <w:r w:rsidRPr="00F02792">
        <w:rPr>
          <w:rFonts w:ascii="Times New Roman" w:hAnsi="Times New Roman" w:cs="Times New Roman"/>
          <w:color w:val="000000" w:themeColor="text1"/>
          <w:spacing w:val="17"/>
          <w:lang w:val="fr-FR"/>
        </w:rPr>
        <w:t xml:space="preserve"> </w:t>
      </w:r>
      <w:r w:rsidRPr="00F02792">
        <w:rPr>
          <w:rFonts w:ascii="Times New Roman" w:hAnsi="Times New Roman" w:cs="Times New Roman"/>
          <w:color w:val="000000" w:themeColor="text1"/>
          <w:lang w:val="fr-FR"/>
        </w:rPr>
        <w:t>en</w:t>
      </w:r>
      <w:r w:rsidRPr="00F02792">
        <w:rPr>
          <w:rFonts w:ascii="Times New Roman" w:hAnsi="Times New Roman" w:cs="Times New Roman"/>
          <w:color w:val="000000" w:themeColor="text1"/>
          <w:spacing w:val="14"/>
          <w:lang w:val="fr-FR"/>
        </w:rPr>
        <w:t xml:space="preserve"> </w:t>
      </w:r>
      <w:r w:rsidRPr="00F02792">
        <w:rPr>
          <w:rFonts w:ascii="Times New Roman" w:hAnsi="Times New Roman" w:cs="Times New Roman"/>
          <w:color w:val="000000" w:themeColor="text1"/>
          <w:spacing w:val="-1"/>
          <w:lang w:val="fr-FR"/>
        </w:rPr>
        <w:t>renvoyant</w:t>
      </w:r>
      <w:r w:rsidRPr="00F02792">
        <w:rPr>
          <w:rFonts w:ascii="Times New Roman" w:hAnsi="Times New Roman" w:cs="Times New Roman"/>
          <w:color w:val="000000" w:themeColor="text1"/>
          <w:spacing w:val="17"/>
          <w:lang w:val="fr-FR"/>
        </w:rPr>
        <w:t xml:space="preserve"> </w:t>
      </w:r>
      <w:r w:rsidRPr="00F02792">
        <w:rPr>
          <w:rFonts w:ascii="Times New Roman" w:hAnsi="Times New Roman" w:cs="Times New Roman"/>
          <w:color w:val="000000" w:themeColor="text1"/>
          <w:lang w:val="fr-FR"/>
        </w:rPr>
        <w:t>au</w:t>
      </w:r>
      <w:r w:rsidRPr="00F02792">
        <w:rPr>
          <w:rFonts w:ascii="Times New Roman" w:hAnsi="Times New Roman" w:cs="Times New Roman"/>
          <w:color w:val="000000" w:themeColor="text1"/>
          <w:spacing w:val="16"/>
          <w:lang w:val="fr-FR"/>
        </w:rPr>
        <w:t xml:space="preserve"> </w:t>
      </w:r>
      <w:r w:rsidRPr="00F02792">
        <w:rPr>
          <w:rFonts w:ascii="Times New Roman" w:hAnsi="Times New Roman" w:cs="Times New Roman"/>
          <w:color w:val="000000" w:themeColor="text1"/>
          <w:spacing w:val="-1"/>
          <w:lang w:val="fr-FR"/>
        </w:rPr>
        <w:t>besoin</w:t>
      </w:r>
      <w:r w:rsidRPr="00F02792">
        <w:rPr>
          <w:rFonts w:ascii="Times New Roman" w:hAnsi="Times New Roman" w:cs="Times New Roman"/>
          <w:color w:val="000000" w:themeColor="text1"/>
          <w:spacing w:val="16"/>
          <w:lang w:val="fr-FR"/>
        </w:rPr>
        <w:t xml:space="preserve"> </w:t>
      </w:r>
      <w:r w:rsidRPr="00F02792">
        <w:rPr>
          <w:rFonts w:ascii="Times New Roman" w:hAnsi="Times New Roman" w:cs="Times New Roman"/>
          <w:color w:val="000000" w:themeColor="text1"/>
          <w:spacing w:val="-2"/>
          <w:lang w:val="fr-FR"/>
        </w:rPr>
        <w:t>une</w:t>
      </w:r>
      <w:r w:rsidRPr="00F02792">
        <w:rPr>
          <w:rFonts w:ascii="Times New Roman" w:hAnsi="Times New Roman" w:cs="Times New Roman"/>
          <w:color w:val="000000" w:themeColor="text1"/>
          <w:spacing w:val="17"/>
          <w:lang w:val="fr-FR"/>
        </w:rPr>
        <w:t xml:space="preserve"> </w:t>
      </w:r>
      <w:r w:rsidRPr="00F02792">
        <w:rPr>
          <w:rFonts w:ascii="Times New Roman" w:hAnsi="Times New Roman" w:cs="Times New Roman"/>
          <w:color w:val="000000" w:themeColor="text1"/>
          <w:spacing w:val="2"/>
          <w:lang w:val="fr-FR"/>
        </w:rPr>
        <w:t>af</w:t>
      </w:r>
      <w:r w:rsidRPr="00F02792">
        <w:rPr>
          <w:rFonts w:ascii="Times New Roman" w:hAnsi="Times New Roman" w:cs="Times New Roman"/>
          <w:color w:val="000000" w:themeColor="text1"/>
          <w:spacing w:val="-1"/>
          <w:lang w:val="fr-FR"/>
        </w:rPr>
        <w:t>faire</w:t>
      </w:r>
      <w:r w:rsidRPr="00F02792">
        <w:rPr>
          <w:rFonts w:ascii="Times New Roman" w:hAnsi="Times New Roman" w:cs="Times New Roman"/>
          <w:color w:val="000000" w:themeColor="text1"/>
          <w:spacing w:val="-4"/>
          <w:lang w:val="fr-FR"/>
        </w:rPr>
        <w:t xml:space="preserve"> </w:t>
      </w:r>
      <w:r w:rsidRPr="00F02792">
        <w:rPr>
          <w:rFonts w:ascii="Times New Roman" w:hAnsi="Times New Roman" w:cs="Times New Roman"/>
          <w:color w:val="000000" w:themeColor="text1"/>
          <w:lang w:val="fr-FR"/>
        </w:rPr>
        <w:t xml:space="preserve">mal </w:t>
      </w:r>
      <w:r w:rsidRPr="00F02792">
        <w:rPr>
          <w:rFonts w:ascii="Times New Roman" w:hAnsi="Times New Roman" w:cs="Times New Roman"/>
          <w:color w:val="000000" w:themeColor="text1"/>
          <w:spacing w:val="-1"/>
          <w:lang w:val="fr-FR"/>
        </w:rPr>
        <w:t xml:space="preserve">introduite </w:t>
      </w:r>
      <w:r w:rsidRPr="00F02792">
        <w:rPr>
          <w:rFonts w:ascii="Times New Roman" w:hAnsi="Times New Roman" w:cs="Times New Roman"/>
          <w:color w:val="000000" w:themeColor="text1"/>
          <w:lang w:val="fr-FR"/>
        </w:rPr>
        <w:t>à</w:t>
      </w:r>
      <w:r w:rsidRPr="00F02792">
        <w:rPr>
          <w:rFonts w:ascii="Times New Roman" w:hAnsi="Times New Roman" w:cs="Times New Roman"/>
          <w:color w:val="000000" w:themeColor="text1"/>
          <w:spacing w:val="-3"/>
          <w:lang w:val="fr-FR"/>
        </w:rPr>
        <w:t xml:space="preserve"> </w:t>
      </w:r>
      <w:r w:rsidRPr="00F02792">
        <w:rPr>
          <w:rFonts w:ascii="Times New Roman" w:hAnsi="Times New Roman" w:cs="Times New Roman"/>
          <w:color w:val="000000" w:themeColor="text1"/>
          <w:lang w:val="fr-FR"/>
        </w:rPr>
        <w:t xml:space="preserve">la </w:t>
      </w:r>
      <w:r w:rsidRPr="00F02792">
        <w:rPr>
          <w:rFonts w:ascii="Times New Roman" w:hAnsi="Times New Roman" w:cs="Times New Roman"/>
          <w:color w:val="000000" w:themeColor="text1"/>
          <w:spacing w:val="-1"/>
          <w:lang w:val="fr-FR"/>
        </w:rPr>
        <w:t>division</w:t>
      </w:r>
      <w:r w:rsidRPr="00F02792">
        <w:rPr>
          <w:rFonts w:ascii="Times New Roman" w:hAnsi="Times New Roman" w:cs="Times New Roman"/>
          <w:color w:val="000000" w:themeColor="text1"/>
          <w:spacing w:val="-2"/>
          <w:lang w:val="fr-FR"/>
        </w:rPr>
        <w:t xml:space="preserve"> </w:t>
      </w:r>
      <w:r w:rsidRPr="00F02792">
        <w:rPr>
          <w:rFonts w:ascii="Times New Roman" w:hAnsi="Times New Roman" w:cs="Times New Roman"/>
          <w:color w:val="000000" w:themeColor="text1"/>
          <w:spacing w:val="-1"/>
          <w:lang w:val="fr-FR"/>
        </w:rPr>
        <w:t>appropriée.</w:t>
      </w:r>
    </w:p>
    <w:p w14:paraId="6B29F75D" w14:textId="77777777" w:rsidR="00A61CC5" w:rsidRPr="00F02792" w:rsidRDefault="00A61CC5" w:rsidP="00A61CC5">
      <w:pPr>
        <w:pStyle w:val="Corpsdetexte"/>
        <w:spacing w:before="217"/>
        <w:ind w:right="114"/>
        <w:jc w:val="both"/>
        <w:rPr>
          <w:rFonts w:ascii="Times New Roman" w:hAnsi="Times New Roman" w:cs="Times New Roman"/>
          <w:color w:val="000000" w:themeColor="text1"/>
          <w:spacing w:val="-1"/>
          <w:lang w:val="fr-FR"/>
        </w:rPr>
      </w:pPr>
    </w:p>
    <w:p w14:paraId="5A6D79F5" w14:textId="391DC53E" w:rsidR="00E779E9" w:rsidRPr="00F02792" w:rsidRDefault="00E779E9" w:rsidP="00C700E4">
      <w:pPr>
        <w:spacing w:line="276" w:lineRule="auto"/>
        <w:jc w:val="both"/>
        <w:rPr>
          <w:b/>
          <w:bCs/>
          <w:color w:val="000000" w:themeColor="text1"/>
          <w:lang w:val="fr-FR"/>
        </w:rPr>
      </w:pPr>
      <w:r w:rsidRPr="00F02792">
        <w:rPr>
          <w:b/>
          <w:bCs/>
          <w:color w:val="000000" w:themeColor="text1"/>
          <w:lang w:val="fr-FR"/>
        </w:rPr>
        <w:t xml:space="preserve">B. </w:t>
      </w:r>
      <w:r w:rsidR="00CA27EE" w:rsidRPr="00F02792">
        <w:rPr>
          <w:b/>
          <w:bCs/>
          <w:color w:val="000000" w:themeColor="text1"/>
          <w:lang w:val="fr-FR"/>
        </w:rPr>
        <w:t>Le droit français</w:t>
      </w:r>
    </w:p>
    <w:p w14:paraId="733BC597" w14:textId="77777777" w:rsidR="00E779E9" w:rsidRPr="00F02792" w:rsidRDefault="00E779E9" w:rsidP="00C700E4">
      <w:pPr>
        <w:spacing w:line="276" w:lineRule="auto"/>
        <w:jc w:val="both"/>
        <w:rPr>
          <w:color w:val="000000" w:themeColor="text1"/>
          <w:lang w:val="fr-FR"/>
        </w:rPr>
      </w:pPr>
    </w:p>
    <w:p w14:paraId="30837F1E" w14:textId="4FDC1DCD" w:rsidR="002F714C" w:rsidRPr="00F02792" w:rsidRDefault="00C700E4" w:rsidP="002E541C">
      <w:pPr>
        <w:spacing w:line="276" w:lineRule="auto"/>
        <w:jc w:val="both"/>
        <w:rPr>
          <w:color w:val="000000" w:themeColor="text1"/>
        </w:rPr>
      </w:pPr>
      <w:r w:rsidRPr="00F02792">
        <w:rPr>
          <w:color w:val="000000" w:themeColor="text1"/>
          <w:lang w:val="fr-FR"/>
        </w:rPr>
        <w:t>En droit judiciaire français,</w:t>
      </w:r>
      <w:r w:rsidRPr="00F02792">
        <w:rPr>
          <w:b/>
          <w:bCs/>
          <w:color w:val="000000" w:themeColor="text1"/>
          <w:lang w:val="fr-FR"/>
        </w:rPr>
        <w:t xml:space="preserve"> </w:t>
      </w:r>
      <w:r w:rsidRPr="00F02792">
        <w:rPr>
          <w:color w:val="000000" w:themeColor="text1"/>
          <w:lang w:val="fr-FR"/>
        </w:rPr>
        <w:t xml:space="preserve">également, distinction est faite entre pouvoir juridictionnel, compétence, et formation juridictionnelle. </w:t>
      </w:r>
      <w:r w:rsidRPr="00F02792">
        <w:rPr>
          <w:color w:val="000000" w:themeColor="text1"/>
        </w:rPr>
        <w:t>« </w:t>
      </w:r>
      <w:r w:rsidRPr="00F02792">
        <w:rPr>
          <w:color w:val="000000" w:themeColor="text1"/>
          <w:lang w:val="fr-FR"/>
        </w:rPr>
        <w:t>Le</w:t>
      </w:r>
      <w:r w:rsidRPr="00F02792">
        <w:rPr>
          <w:i/>
          <w:iCs/>
          <w:color w:val="000000" w:themeColor="text1"/>
        </w:rPr>
        <w:t xml:space="preserve"> pouvoir juridictionnel</w:t>
      </w:r>
      <w:r w:rsidRPr="00F02792">
        <w:rPr>
          <w:color w:val="000000" w:themeColor="text1"/>
        </w:rPr>
        <w:t xml:space="preserve"> est l</w:t>
      </w:r>
      <w:r w:rsidR="00BB76F1">
        <w:rPr>
          <w:color w:val="000000" w:themeColor="text1"/>
        </w:rPr>
        <w:t>’</w:t>
      </w:r>
      <w:r w:rsidRPr="00F02792">
        <w:rPr>
          <w:color w:val="000000" w:themeColor="text1"/>
        </w:rPr>
        <w:t>aptitude d</w:t>
      </w:r>
      <w:r w:rsidR="00BB76F1">
        <w:rPr>
          <w:color w:val="000000" w:themeColor="text1"/>
        </w:rPr>
        <w:t>’</w:t>
      </w:r>
      <w:r w:rsidRPr="00F02792">
        <w:rPr>
          <w:color w:val="000000" w:themeColor="text1"/>
        </w:rPr>
        <w:t xml:space="preserve">une juridiction, </w:t>
      </w:r>
      <w:r w:rsidRPr="00F02792">
        <w:rPr>
          <w:rStyle w:val="CORPUSanyCharacter"/>
          <w:rFonts w:ascii="Times New Roman" w:hAnsi="Times New Roman" w:cs="Times New Roman"/>
          <w:color w:val="000000" w:themeColor="text1"/>
        </w:rPr>
        <w:t>considérée en elle-même</w:t>
      </w:r>
      <w:r w:rsidRPr="00F02792">
        <w:rPr>
          <w:color w:val="000000" w:themeColor="text1"/>
        </w:rPr>
        <w:t>, à trancher un litige par application des règles de droit ; elle n</w:t>
      </w:r>
      <w:r w:rsidR="00BB76F1">
        <w:rPr>
          <w:color w:val="000000" w:themeColor="text1"/>
        </w:rPr>
        <w:t>’</w:t>
      </w:r>
      <w:r w:rsidRPr="00F02792">
        <w:rPr>
          <w:color w:val="000000" w:themeColor="text1"/>
        </w:rPr>
        <w:t>implique aucune comparaison entre l</w:t>
      </w:r>
      <w:r w:rsidR="00BB76F1">
        <w:rPr>
          <w:color w:val="000000" w:themeColor="text1"/>
        </w:rPr>
        <w:t>’</w:t>
      </w:r>
      <w:r w:rsidRPr="00F02792">
        <w:rPr>
          <w:color w:val="000000" w:themeColor="text1"/>
        </w:rPr>
        <w:t>attitude respective de deux ou plusieurs juridictions »</w:t>
      </w:r>
      <w:r w:rsidRPr="00F02792">
        <w:rPr>
          <w:rStyle w:val="Appelnotedebasdep"/>
          <w:color w:val="000000" w:themeColor="text1"/>
        </w:rPr>
        <w:footnoteReference w:id="58"/>
      </w:r>
      <w:r w:rsidRPr="00F02792">
        <w:rPr>
          <w:color w:val="000000" w:themeColor="text1"/>
          <w:lang w:val="fr-FR"/>
        </w:rPr>
        <w:t xml:space="preserve">. </w:t>
      </w:r>
      <w:r w:rsidR="002D6085" w:rsidRPr="00F02792">
        <w:rPr>
          <w:color w:val="000000" w:themeColor="text1"/>
          <w:lang w:val="fr-FR"/>
        </w:rPr>
        <w:t xml:space="preserve">Le défaut de pouvoir </w:t>
      </w:r>
      <w:r w:rsidR="00B06A5B" w:rsidRPr="00F02792">
        <w:rPr>
          <w:color w:val="000000" w:themeColor="text1"/>
          <w:lang w:val="fr-FR"/>
        </w:rPr>
        <w:t>juridi</w:t>
      </w:r>
      <w:r w:rsidR="00184D4F" w:rsidRPr="00F02792">
        <w:rPr>
          <w:color w:val="000000" w:themeColor="text1"/>
          <w:lang w:val="fr-FR"/>
        </w:rPr>
        <w:t>c</w:t>
      </w:r>
      <w:r w:rsidR="00B06A5B" w:rsidRPr="00F02792">
        <w:rPr>
          <w:color w:val="000000" w:themeColor="text1"/>
          <w:lang w:val="fr-FR"/>
        </w:rPr>
        <w:t xml:space="preserve">tionnel </w:t>
      </w:r>
      <w:r w:rsidR="00976B1A" w:rsidRPr="00F02792">
        <w:rPr>
          <w:color w:val="000000" w:themeColor="text1"/>
          <w:lang w:val="fr-FR"/>
        </w:rPr>
        <w:t xml:space="preserve">est sanctionné </w:t>
      </w:r>
      <w:r w:rsidR="00A411A7" w:rsidRPr="00F02792">
        <w:rPr>
          <w:color w:val="000000" w:themeColor="text1"/>
          <w:lang w:val="fr-FR"/>
        </w:rPr>
        <w:t>par une fin de non-recevoir</w:t>
      </w:r>
      <w:r w:rsidR="0067628C" w:rsidRPr="00F02792">
        <w:rPr>
          <w:color w:val="000000" w:themeColor="text1"/>
          <w:lang w:val="fr-FR"/>
        </w:rPr>
        <w:t xml:space="preserve"> qui conformément </w:t>
      </w:r>
      <w:r w:rsidR="00752336" w:rsidRPr="00F02792">
        <w:rPr>
          <w:color w:val="000000" w:themeColor="text1"/>
          <w:lang w:val="fr-FR"/>
        </w:rPr>
        <w:t>aux articles</w:t>
      </w:r>
      <w:r w:rsidR="00A02B35" w:rsidRPr="00F02792">
        <w:rPr>
          <w:color w:val="000000" w:themeColor="text1"/>
          <w:lang w:val="fr-FR"/>
        </w:rPr>
        <w:t xml:space="preserve"> </w:t>
      </w:r>
      <w:r w:rsidR="0067628C" w:rsidRPr="00F02792">
        <w:rPr>
          <w:color w:val="000000" w:themeColor="text1"/>
          <w:lang w:val="fr-FR"/>
        </w:rPr>
        <w:t>123</w:t>
      </w:r>
      <w:r w:rsidR="00752336" w:rsidRPr="00F02792">
        <w:rPr>
          <w:color w:val="000000" w:themeColor="text1"/>
          <w:lang w:val="fr-FR"/>
        </w:rPr>
        <w:t xml:space="preserve"> et suivants</w:t>
      </w:r>
      <w:r w:rsidR="0067628C" w:rsidRPr="00F02792">
        <w:rPr>
          <w:color w:val="000000" w:themeColor="text1"/>
          <w:lang w:val="fr-FR"/>
        </w:rPr>
        <w:t xml:space="preserve"> du Code de procédure civile français peut être soulevée </w:t>
      </w:r>
      <w:r w:rsidR="000B350E" w:rsidRPr="00F02792">
        <w:rPr>
          <w:color w:val="000000" w:themeColor="text1"/>
          <w:lang w:val="fr-FR"/>
        </w:rPr>
        <w:t>en tout état de cause</w:t>
      </w:r>
      <w:r w:rsidR="00CF46E6" w:rsidRPr="00F02792">
        <w:rPr>
          <w:color w:val="000000" w:themeColor="text1"/>
          <w:lang w:val="fr-FR"/>
        </w:rPr>
        <w:t xml:space="preserve"> sans justification d</w:t>
      </w:r>
      <w:r w:rsidR="00BB76F1">
        <w:rPr>
          <w:color w:val="000000" w:themeColor="text1"/>
          <w:lang w:val="fr-FR"/>
        </w:rPr>
        <w:t>’</w:t>
      </w:r>
      <w:r w:rsidR="00CF46E6" w:rsidRPr="00F02792">
        <w:rPr>
          <w:color w:val="000000" w:themeColor="text1"/>
          <w:lang w:val="fr-FR"/>
        </w:rPr>
        <w:t>un grie</w:t>
      </w:r>
      <w:r w:rsidR="006024ED" w:rsidRPr="00F02792">
        <w:rPr>
          <w:color w:val="000000" w:themeColor="text1"/>
          <w:lang w:val="fr-FR"/>
        </w:rPr>
        <w:t>f</w:t>
      </w:r>
      <w:r w:rsidR="00AE2F20" w:rsidRPr="00F02792">
        <w:rPr>
          <w:rStyle w:val="Appelnotedebasdep"/>
          <w:color w:val="000000" w:themeColor="text1"/>
          <w:lang w:val="fr-FR"/>
        </w:rPr>
        <w:footnoteReference w:id="59"/>
      </w:r>
      <w:r w:rsidR="000B350E" w:rsidRPr="00F02792">
        <w:rPr>
          <w:color w:val="000000" w:themeColor="text1"/>
          <w:lang w:val="fr-FR"/>
        </w:rPr>
        <w:t>.</w:t>
      </w:r>
      <w:r w:rsidR="00A411A7" w:rsidRPr="00F02792">
        <w:rPr>
          <w:color w:val="000000" w:themeColor="text1"/>
          <w:lang w:val="fr-FR"/>
        </w:rPr>
        <w:t xml:space="preserve"> </w:t>
      </w:r>
      <w:r w:rsidR="006B44CF" w:rsidRPr="00F02792">
        <w:rPr>
          <w:color w:val="000000" w:themeColor="text1"/>
          <w:lang w:val="fr-FR"/>
        </w:rPr>
        <w:t xml:space="preserve">Ainsi, </w:t>
      </w:r>
      <w:r w:rsidR="006B44CF" w:rsidRPr="00F02792">
        <w:rPr>
          <w:rFonts w:eastAsiaTheme="minorEastAsia"/>
          <w:color w:val="000000" w:themeColor="text1"/>
        </w:rPr>
        <w:t>« </w:t>
      </w:r>
      <w:r w:rsidR="00E4743A" w:rsidRPr="00F02792">
        <w:rPr>
          <w:rFonts w:eastAsiaTheme="minorEastAsia"/>
          <w:color w:val="000000" w:themeColor="text1"/>
        </w:rPr>
        <w:t>l</w:t>
      </w:r>
      <w:r w:rsidR="006B44CF" w:rsidRPr="00F02792">
        <w:rPr>
          <w:rFonts w:eastAsiaTheme="minorEastAsia"/>
          <w:color w:val="000000" w:themeColor="text1"/>
        </w:rPr>
        <w:t>e moyen tiré de l</w:t>
      </w:r>
      <w:r w:rsidR="00BB76F1">
        <w:rPr>
          <w:rFonts w:eastAsiaTheme="minorEastAsia"/>
          <w:color w:val="000000" w:themeColor="text1"/>
        </w:rPr>
        <w:t>’</w:t>
      </w:r>
      <w:r w:rsidR="006B44CF" w:rsidRPr="00F02792">
        <w:rPr>
          <w:rFonts w:eastAsiaTheme="minorEastAsia"/>
          <w:color w:val="000000" w:themeColor="text1"/>
        </w:rPr>
        <w:t>immunité de juridiction constitue une fin de non-recevoir invocable en tout état de cause et non une exception d</w:t>
      </w:r>
      <w:r w:rsidR="00BB76F1">
        <w:rPr>
          <w:rFonts w:eastAsiaTheme="minorEastAsia"/>
          <w:color w:val="000000" w:themeColor="text1"/>
        </w:rPr>
        <w:t>’</w:t>
      </w:r>
      <w:r w:rsidR="006B44CF" w:rsidRPr="00F02792">
        <w:rPr>
          <w:rFonts w:eastAsiaTheme="minorEastAsia"/>
          <w:color w:val="000000" w:themeColor="text1"/>
        </w:rPr>
        <w:t>incompétence »</w:t>
      </w:r>
      <w:r w:rsidR="00F249E2" w:rsidRPr="00F02792">
        <w:rPr>
          <w:rStyle w:val="Appelnotedebasdep"/>
          <w:rFonts w:eastAsiaTheme="minorEastAsia"/>
          <w:color w:val="000000" w:themeColor="text1"/>
        </w:rPr>
        <w:footnoteReference w:id="60"/>
      </w:r>
      <w:r w:rsidR="00F249E2" w:rsidRPr="00F02792">
        <w:rPr>
          <w:color w:val="000000" w:themeColor="text1"/>
        </w:rPr>
        <w:t>.</w:t>
      </w:r>
      <w:r w:rsidR="007F2EC6" w:rsidRPr="00F02792">
        <w:rPr>
          <w:color w:val="000000" w:themeColor="text1"/>
        </w:rPr>
        <w:t xml:space="preserve"> Il en va de même </w:t>
      </w:r>
      <w:r w:rsidR="00A764E8" w:rsidRPr="00F02792">
        <w:rPr>
          <w:color w:val="000000" w:themeColor="text1"/>
        </w:rPr>
        <w:t xml:space="preserve">pour </w:t>
      </w:r>
      <w:r w:rsidR="00DC4B55" w:rsidRPr="00F02792">
        <w:rPr>
          <w:color w:val="000000" w:themeColor="text1"/>
        </w:rPr>
        <w:t xml:space="preserve">le moyen tiré </w:t>
      </w:r>
      <w:r w:rsidR="00154199" w:rsidRPr="00F02792">
        <w:rPr>
          <w:color w:val="000000" w:themeColor="text1"/>
        </w:rPr>
        <w:t>de l</w:t>
      </w:r>
      <w:r w:rsidR="00BB76F1">
        <w:rPr>
          <w:color w:val="000000" w:themeColor="text1"/>
        </w:rPr>
        <w:t>’</w:t>
      </w:r>
      <w:r w:rsidR="00154199" w:rsidRPr="00F02792">
        <w:rPr>
          <w:color w:val="000000" w:themeColor="text1"/>
        </w:rPr>
        <w:t xml:space="preserve">existence </w:t>
      </w:r>
      <w:r w:rsidR="001E3A31" w:rsidRPr="00F02792">
        <w:rPr>
          <w:color w:val="000000" w:themeColor="text1"/>
        </w:rPr>
        <w:t>d</w:t>
      </w:r>
      <w:r w:rsidR="00BB76F1">
        <w:rPr>
          <w:color w:val="000000" w:themeColor="text1"/>
        </w:rPr>
        <w:t>’</w:t>
      </w:r>
      <w:r w:rsidR="001E3A31" w:rsidRPr="00F02792">
        <w:rPr>
          <w:color w:val="000000" w:themeColor="text1"/>
        </w:rPr>
        <w:t xml:space="preserve">une contestation sérieuse </w:t>
      </w:r>
      <w:r w:rsidR="00CD11C3" w:rsidRPr="00F02792">
        <w:rPr>
          <w:color w:val="000000" w:themeColor="text1"/>
        </w:rPr>
        <w:t>devant le juge des référés</w:t>
      </w:r>
      <w:r w:rsidR="00CD11C3" w:rsidRPr="00F02792">
        <w:rPr>
          <w:rStyle w:val="Appelnotedebasdep"/>
          <w:color w:val="000000" w:themeColor="text1"/>
        </w:rPr>
        <w:footnoteReference w:id="61"/>
      </w:r>
      <w:r w:rsidR="00CD11C3" w:rsidRPr="00F02792">
        <w:rPr>
          <w:color w:val="000000" w:themeColor="text1"/>
        </w:rPr>
        <w:t>.</w:t>
      </w:r>
      <w:r w:rsidR="00AB51A8" w:rsidRPr="00F02792">
        <w:rPr>
          <w:color w:val="000000" w:themeColor="text1"/>
        </w:rPr>
        <w:t xml:space="preserve"> </w:t>
      </w:r>
    </w:p>
    <w:p w14:paraId="70347714" w14:textId="77777777" w:rsidR="002F714C" w:rsidRPr="00F02792" w:rsidRDefault="002F714C" w:rsidP="002E541C">
      <w:pPr>
        <w:spacing w:line="276" w:lineRule="auto"/>
        <w:jc w:val="both"/>
        <w:rPr>
          <w:color w:val="000000" w:themeColor="text1"/>
        </w:rPr>
      </w:pPr>
    </w:p>
    <w:p w14:paraId="2C965F67" w14:textId="7E650E51" w:rsidR="008E5DE6" w:rsidRPr="00F02792" w:rsidRDefault="00C700E4" w:rsidP="002E541C">
      <w:pPr>
        <w:spacing w:line="276" w:lineRule="auto"/>
        <w:jc w:val="both"/>
        <w:rPr>
          <w:color w:val="000000" w:themeColor="text1"/>
          <w:lang w:val="fr-FR"/>
        </w:rPr>
      </w:pPr>
      <w:r w:rsidRPr="00F02792">
        <w:rPr>
          <w:color w:val="000000" w:themeColor="text1"/>
          <w:lang w:val="fr-FR"/>
        </w:rPr>
        <w:t xml:space="preserve">Par contraste, </w:t>
      </w:r>
      <w:r w:rsidRPr="00F02792">
        <w:rPr>
          <w:color w:val="000000" w:themeColor="text1"/>
        </w:rPr>
        <w:t>« la compétence peut être définie comme l</w:t>
      </w:r>
      <w:r w:rsidR="00BB76F1">
        <w:rPr>
          <w:color w:val="000000" w:themeColor="text1"/>
        </w:rPr>
        <w:t>’</w:t>
      </w:r>
      <w:r w:rsidRPr="00F02792">
        <w:rPr>
          <w:color w:val="000000" w:themeColor="text1"/>
        </w:rPr>
        <w:t>aptitude d</w:t>
      </w:r>
      <w:r w:rsidR="00BB76F1">
        <w:rPr>
          <w:color w:val="000000" w:themeColor="text1"/>
        </w:rPr>
        <w:t>’</w:t>
      </w:r>
      <w:r w:rsidRPr="00F02792">
        <w:rPr>
          <w:color w:val="000000" w:themeColor="text1"/>
        </w:rPr>
        <w:t>une juridiction à exercer son pouvoir de juger un litige de préférence à une autre</w:t>
      </w:r>
      <w:r w:rsidR="00A02B35" w:rsidRPr="00F02792">
        <w:rPr>
          <w:color w:val="000000" w:themeColor="text1"/>
        </w:rPr>
        <w:t> »</w:t>
      </w:r>
      <w:r w:rsidRPr="00F02792">
        <w:rPr>
          <w:rStyle w:val="Appelnotedebasdep"/>
          <w:color w:val="000000" w:themeColor="text1"/>
        </w:rPr>
        <w:footnoteReference w:id="62"/>
      </w:r>
      <w:r w:rsidRPr="00F02792">
        <w:rPr>
          <w:color w:val="000000" w:themeColor="text1"/>
        </w:rPr>
        <w:t>.</w:t>
      </w:r>
      <w:r w:rsidRPr="00F02792">
        <w:rPr>
          <w:color w:val="000000" w:themeColor="text1"/>
          <w:lang w:val="fr-FR"/>
        </w:rPr>
        <w:t xml:space="preserve"> Comme le résume Pierre Calé, </w:t>
      </w:r>
      <w:r w:rsidRPr="00F02792">
        <w:rPr>
          <w:color w:val="000000" w:themeColor="text1"/>
          <w:lang w:val="fr-FR"/>
        </w:rPr>
        <w:lastRenderedPageBreak/>
        <w:t>« </w:t>
      </w:r>
      <w:r w:rsidRPr="00F02792">
        <w:rPr>
          <w:color w:val="000000" w:themeColor="text1"/>
        </w:rPr>
        <w:t>l</w:t>
      </w:r>
      <w:r w:rsidR="00BB76F1">
        <w:rPr>
          <w:color w:val="000000" w:themeColor="text1"/>
        </w:rPr>
        <w:t>’</w:t>
      </w:r>
      <w:r w:rsidRPr="00F02792">
        <w:rPr>
          <w:color w:val="000000" w:themeColor="text1"/>
        </w:rPr>
        <w:t>incompétence implique l</w:t>
      </w:r>
      <w:r w:rsidR="00BB76F1">
        <w:rPr>
          <w:color w:val="000000" w:themeColor="text1"/>
        </w:rPr>
        <w:t>’</w:t>
      </w:r>
      <w:r w:rsidRPr="00F02792">
        <w:rPr>
          <w:color w:val="000000" w:themeColor="text1"/>
        </w:rPr>
        <w:t>idée d</w:t>
      </w:r>
      <w:r w:rsidR="00BB76F1">
        <w:rPr>
          <w:color w:val="000000" w:themeColor="text1"/>
        </w:rPr>
        <w:t>’</w:t>
      </w:r>
      <w:r w:rsidRPr="00F02792">
        <w:rPr>
          <w:color w:val="000000" w:themeColor="text1"/>
        </w:rPr>
        <w:t>une concurrence entre juridictions, l</w:t>
      </w:r>
      <w:r w:rsidR="00BB76F1">
        <w:rPr>
          <w:color w:val="000000" w:themeColor="text1"/>
        </w:rPr>
        <w:t>’</w:t>
      </w:r>
      <w:r w:rsidRPr="00F02792">
        <w:rPr>
          <w:color w:val="000000" w:themeColor="text1"/>
        </w:rPr>
        <w:t>auteur du déclinatoire de compétence soutenant que la demande aurait dû être portée devant une autre juridiction, tandis que le défaut de pouvoir a pour objet de contester dans son principe même l</w:t>
      </w:r>
      <w:r w:rsidR="00BB76F1">
        <w:rPr>
          <w:color w:val="000000" w:themeColor="text1"/>
        </w:rPr>
        <w:t>’</w:t>
      </w:r>
      <w:r w:rsidRPr="00F02792">
        <w:rPr>
          <w:color w:val="000000" w:themeColor="text1"/>
        </w:rPr>
        <w:t>intervention du juge, sans que cette contestation s</w:t>
      </w:r>
      <w:r w:rsidR="00BB76F1">
        <w:rPr>
          <w:color w:val="000000" w:themeColor="text1"/>
        </w:rPr>
        <w:t>’</w:t>
      </w:r>
      <w:r w:rsidRPr="00F02792">
        <w:rPr>
          <w:color w:val="000000" w:themeColor="text1"/>
        </w:rPr>
        <w:t>accompagne d</w:t>
      </w:r>
      <w:r w:rsidR="00BB76F1">
        <w:rPr>
          <w:color w:val="000000" w:themeColor="text1"/>
        </w:rPr>
        <w:t>’</w:t>
      </w:r>
      <w:r w:rsidRPr="00F02792">
        <w:rPr>
          <w:color w:val="000000" w:themeColor="text1"/>
        </w:rPr>
        <w:t>une revendication quelconque de la compétence d</w:t>
      </w:r>
      <w:r w:rsidR="00BB76F1">
        <w:rPr>
          <w:color w:val="000000" w:themeColor="text1"/>
        </w:rPr>
        <w:t>’</w:t>
      </w:r>
      <w:r w:rsidRPr="00F02792">
        <w:rPr>
          <w:color w:val="000000" w:themeColor="text1"/>
        </w:rPr>
        <w:t>une autre juridiction. Cette distinction n</w:t>
      </w:r>
      <w:r w:rsidR="00BB76F1">
        <w:rPr>
          <w:color w:val="000000" w:themeColor="text1"/>
        </w:rPr>
        <w:t>’</w:t>
      </w:r>
      <w:r w:rsidRPr="00F02792">
        <w:rPr>
          <w:color w:val="000000" w:themeColor="text1"/>
        </w:rPr>
        <w:t>est pas sans conséquence pratique. Alors que l</w:t>
      </w:r>
      <w:r w:rsidR="00BB76F1">
        <w:rPr>
          <w:color w:val="000000" w:themeColor="text1"/>
        </w:rPr>
        <w:t>’</w:t>
      </w:r>
      <w:r w:rsidRPr="00F02792">
        <w:rPr>
          <w:color w:val="000000" w:themeColor="text1"/>
        </w:rPr>
        <w:t>incompétence est sanctionnée par une exception de procédure, l</w:t>
      </w:r>
      <w:r w:rsidR="00BB76F1">
        <w:rPr>
          <w:color w:val="000000" w:themeColor="text1"/>
        </w:rPr>
        <w:t>’</w:t>
      </w:r>
      <w:r w:rsidRPr="00F02792">
        <w:rPr>
          <w:color w:val="000000" w:themeColor="text1"/>
        </w:rPr>
        <w:t>irrecevabilité est la sanction de l</w:t>
      </w:r>
      <w:r w:rsidR="00BB76F1">
        <w:rPr>
          <w:color w:val="000000" w:themeColor="text1"/>
        </w:rPr>
        <w:t>’</w:t>
      </w:r>
      <w:r w:rsidRPr="00F02792">
        <w:rPr>
          <w:color w:val="000000" w:themeColor="text1"/>
        </w:rPr>
        <w:t>absence de pouvoir juridictionnel dès lors qu</w:t>
      </w:r>
      <w:r w:rsidR="00BB76F1">
        <w:rPr>
          <w:color w:val="000000" w:themeColor="text1"/>
        </w:rPr>
        <w:t>’</w:t>
      </w:r>
      <w:r w:rsidRPr="00F02792">
        <w:rPr>
          <w:color w:val="000000" w:themeColor="text1"/>
        </w:rPr>
        <w:t>est contesté le principe de l</w:t>
      </w:r>
      <w:r w:rsidR="00BB76F1">
        <w:rPr>
          <w:color w:val="000000" w:themeColor="text1"/>
        </w:rPr>
        <w:t>’</w:t>
      </w:r>
      <w:r w:rsidRPr="00F02792">
        <w:rPr>
          <w:color w:val="000000" w:themeColor="text1"/>
        </w:rPr>
        <w:t>intervention d</w:t>
      </w:r>
      <w:r w:rsidR="00BB76F1">
        <w:rPr>
          <w:color w:val="000000" w:themeColor="text1"/>
        </w:rPr>
        <w:t>’</w:t>
      </w:r>
      <w:r w:rsidRPr="00F02792">
        <w:rPr>
          <w:color w:val="000000" w:themeColor="text1"/>
        </w:rPr>
        <w:t>un juge, quel que soit ce juge</w:t>
      </w:r>
      <w:r w:rsidRPr="00F02792">
        <w:rPr>
          <w:color w:val="000000" w:themeColor="text1"/>
          <w:lang w:val="fr-FR"/>
        </w:rPr>
        <w:t> »</w:t>
      </w:r>
      <w:r w:rsidRPr="00F02792">
        <w:rPr>
          <w:rStyle w:val="Appelnotedebasdep"/>
          <w:color w:val="000000" w:themeColor="text1"/>
          <w:lang w:val="fr-FR"/>
        </w:rPr>
        <w:footnoteReference w:id="63"/>
      </w:r>
      <w:r w:rsidRPr="00F02792">
        <w:rPr>
          <w:color w:val="000000" w:themeColor="text1"/>
          <w:lang w:val="fr-FR"/>
        </w:rPr>
        <w:t>.</w:t>
      </w:r>
    </w:p>
    <w:p w14:paraId="648A275D" w14:textId="2314F8F9" w:rsidR="00B50C5C" w:rsidRPr="00F02792" w:rsidRDefault="00B50C5C" w:rsidP="002E541C">
      <w:pPr>
        <w:spacing w:line="276" w:lineRule="auto"/>
        <w:jc w:val="both"/>
        <w:rPr>
          <w:color w:val="000000" w:themeColor="text1"/>
          <w:lang w:val="fr-FR"/>
        </w:rPr>
      </w:pPr>
    </w:p>
    <w:p w14:paraId="76A0284B" w14:textId="2CCD405F" w:rsidR="00B50C5C" w:rsidRPr="00F02792" w:rsidRDefault="005364B2" w:rsidP="002E541C">
      <w:pPr>
        <w:spacing w:line="276" w:lineRule="auto"/>
        <w:jc w:val="both"/>
        <w:rPr>
          <w:color w:val="000000" w:themeColor="text1"/>
          <w:lang w:val="fr-FR"/>
        </w:rPr>
      </w:pPr>
      <w:r w:rsidRPr="00F02792">
        <w:rPr>
          <w:color w:val="000000" w:themeColor="text1"/>
          <w:lang w:val="fr-FR"/>
        </w:rPr>
        <w:t>Pour ce qui est du déclinatoire de compétence</w:t>
      </w:r>
      <w:r w:rsidR="00B01503" w:rsidRPr="00F02792">
        <w:rPr>
          <w:bCs/>
          <w:color w:val="000000" w:themeColor="text1"/>
        </w:rPr>
        <w:t>, en</w:t>
      </w:r>
      <w:r w:rsidR="00B50C5C" w:rsidRPr="00F02792">
        <w:rPr>
          <w:bCs/>
          <w:color w:val="000000" w:themeColor="text1"/>
        </w:rPr>
        <w:t xml:space="preserve"> vertu de</w:t>
      </w:r>
      <w:r w:rsidR="00B50C5C" w:rsidRPr="00F02792">
        <w:rPr>
          <w:color w:val="000000" w:themeColor="text1"/>
        </w:rPr>
        <w:t xml:space="preserve"> l</w:t>
      </w:r>
      <w:r w:rsidR="00BB76F1">
        <w:rPr>
          <w:color w:val="000000" w:themeColor="text1"/>
        </w:rPr>
        <w:t>’</w:t>
      </w:r>
      <w:r w:rsidR="00B50C5C" w:rsidRPr="00F02792">
        <w:rPr>
          <w:color w:val="000000" w:themeColor="text1"/>
        </w:rPr>
        <w:t>article 75 du code de procédure civile</w:t>
      </w:r>
      <w:r w:rsidR="00B50C5C" w:rsidRPr="00F02792">
        <w:rPr>
          <w:color w:val="000000" w:themeColor="text1"/>
          <w:lang w:val="fr-FR"/>
        </w:rPr>
        <w:t xml:space="preserve"> français</w:t>
      </w:r>
      <w:r w:rsidR="00B50C5C" w:rsidRPr="00F02792">
        <w:rPr>
          <w:color w:val="000000" w:themeColor="text1"/>
        </w:rPr>
        <w:t>,</w:t>
      </w:r>
      <w:r w:rsidR="00B50C5C" w:rsidRPr="00F02792">
        <w:rPr>
          <w:color w:val="000000" w:themeColor="text1"/>
          <w:lang w:val="fr-FR"/>
        </w:rPr>
        <w:t xml:space="preserve"> l</w:t>
      </w:r>
      <w:r w:rsidR="00B50C5C" w:rsidRPr="00F02792">
        <w:rPr>
          <w:color w:val="000000" w:themeColor="text1"/>
        </w:rPr>
        <w:t>a partie qui soulève l</w:t>
      </w:r>
      <w:r w:rsidR="00BB76F1">
        <w:rPr>
          <w:color w:val="000000" w:themeColor="text1"/>
        </w:rPr>
        <w:t>’</w:t>
      </w:r>
      <w:r w:rsidR="00B50C5C" w:rsidRPr="00F02792">
        <w:rPr>
          <w:color w:val="000000" w:themeColor="text1"/>
        </w:rPr>
        <w:t>exception d</w:t>
      </w:r>
      <w:r w:rsidR="00BB76F1">
        <w:rPr>
          <w:color w:val="000000" w:themeColor="text1"/>
        </w:rPr>
        <w:t>’</w:t>
      </w:r>
      <w:r w:rsidR="00B50C5C" w:rsidRPr="00F02792">
        <w:rPr>
          <w:color w:val="000000" w:themeColor="text1"/>
        </w:rPr>
        <w:t>incompétence doit « la motiver et faire connaître dans tous les cas devant quelle juridiction elle demande que l</w:t>
      </w:r>
      <w:r w:rsidR="00BB76F1">
        <w:rPr>
          <w:color w:val="000000" w:themeColor="text1"/>
        </w:rPr>
        <w:t>’</w:t>
      </w:r>
      <w:r w:rsidR="00B50C5C" w:rsidRPr="00F02792">
        <w:rPr>
          <w:color w:val="000000" w:themeColor="text1"/>
        </w:rPr>
        <w:t>affaire soit portée ».</w:t>
      </w:r>
      <w:r w:rsidR="00B50C5C" w:rsidRPr="00F02792">
        <w:rPr>
          <w:color w:val="000000" w:themeColor="text1"/>
          <w:lang w:val="fr-FR"/>
        </w:rPr>
        <w:t xml:space="preserve"> Comme en droit belge, la décision d</w:t>
      </w:r>
      <w:r w:rsidR="00BB76F1">
        <w:rPr>
          <w:color w:val="000000" w:themeColor="text1"/>
          <w:lang w:val="fr-FR"/>
        </w:rPr>
        <w:t>’</w:t>
      </w:r>
      <w:r w:rsidR="00B50C5C" w:rsidRPr="00F02792">
        <w:rPr>
          <w:color w:val="000000" w:themeColor="text1"/>
          <w:lang w:val="fr-FR"/>
        </w:rPr>
        <w:t>incompétence renvoie devant la juridiction jugée compétente. Cette décision s</w:t>
      </w:r>
      <w:r w:rsidR="00BB76F1">
        <w:rPr>
          <w:color w:val="000000" w:themeColor="text1"/>
          <w:lang w:val="fr-FR"/>
        </w:rPr>
        <w:t>’</w:t>
      </w:r>
      <w:r w:rsidR="00B50C5C" w:rsidRPr="00F02792">
        <w:rPr>
          <w:color w:val="000000" w:themeColor="text1"/>
          <w:lang w:val="fr-FR"/>
        </w:rPr>
        <w:t>impose aux parties et au juge de renvoi. « L</w:t>
      </w:r>
      <w:r w:rsidR="00B50C5C" w:rsidRPr="00F02792">
        <w:rPr>
          <w:color w:val="000000" w:themeColor="text1"/>
        </w:rPr>
        <w:t>e juge ne saurait se borner à déclarer son incompétence</w:t>
      </w:r>
      <w:r w:rsidR="00B50C5C" w:rsidRPr="00F02792">
        <w:rPr>
          <w:color w:val="000000" w:themeColor="text1"/>
          <w:lang w:val="fr-FR"/>
        </w:rPr>
        <w:t> »</w:t>
      </w:r>
      <w:r w:rsidR="00B50C5C" w:rsidRPr="00F02792">
        <w:rPr>
          <w:rStyle w:val="Appelnotedebasdep"/>
          <w:color w:val="000000" w:themeColor="text1"/>
          <w:lang w:val="fr-FR"/>
        </w:rPr>
        <w:footnoteReference w:id="64"/>
      </w:r>
      <w:r w:rsidR="00B50C5C" w:rsidRPr="00F02792">
        <w:rPr>
          <w:color w:val="000000" w:themeColor="text1"/>
          <w:lang w:val="fr-FR"/>
        </w:rPr>
        <w:t xml:space="preserve"> et en contrepartie « l</w:t>
      </w:r>
      <w:r w:rsidR="00B50C5C" w:rsidRPr="00F02792">
        <w:rPr>
          <w:color w:val="000000" w:themeColor="text1"/>
        </w:rPr>
        <w:t>e juge désigné ne peut absolument pas discuter le renvoi opéré et doit statuer au fond</w:t>
      </w:r>
      <w:r w:rsidR="00B50C5C" w:rsidRPr="00F02792">
        <w:rPr>
          <w:color w:val="000000" w:themeColor="text1"/>
          <w:lang w:val="fr-FR"/>
        </w:rPr>
        <w:t> »</w:t>
      </w:r>
      <w:r w:rsidR="00B50C5C" w:rsidRPr="00F02792">
        <w:rPr>
          <w:rStyle w:val="Appelnotedebasdep"/>
          <w:color w:val="000000" w:themeColor="text1"/>
          <w:lang w:val="fr-FR"/>
        </w:rPr>
        <w:footnoteReference w:id="65"/>
      </w:r>
      <w:r w:rsidR="00B50C5C" w:rsidRPr="00F02792">
        <w:rPr>
          <w:color w:val="000000" w:themeColor="text1"/>
          <w:lang w:val="fr-FR"/>
        </w:rPr>
        <w:t xml:space="preserve">. Sur le plan « administratif », </w:t>
      </w:r>
      <w:r w:rsidR="00B50C5C" w:rsidRPr="00F02792">
        <w:rPr>
          <w:color w:val="000000" w:themeColor="text1"/>
        </w:rPr>
        <w:t xml:space="preserve">le dossier est transmis au greffe de </w:t>
      </w:r>
      <w:r w:rsidR="00B50C5C" w:rsidRPr="00F02792">
        <w:rPr>
          <w:color w:val="000000" w:themeColor="text1"/>
          <w:lang w:val="fr-FR"/>
        </w:rPr>
        <w:t xml:space="preserve">la </w:t>
      </w:r>
      <w:r w:rsidR="00B50C5C" w:rsidRPr="00F02792">
        <w:rPr>
          <w:color w:val="000000" w:themeColor="text1"/>
        </w:rPr>
        <w:t xml:space="preserve">juridiction </w:t>
      </w:r>
      <w:r w:rsidR="00B50C5C" w:rsidRPr="00F02792">
        <w:rPr>
          <w:color w:val="000000" w:themeColor="text1"/>
          <w:lang w:val="fr-FR"/>
        </w:rPr>
        <w:t xml:space="preserve">de renvoi </w:t>
      </w:r>
      <w:r w:rsidR="00B50C5C" w:rsidRPr="00F02792">
        <w:rPr>
          <w:color w:val="000000" w:themeColor="text1"/>
        </w:rPr>
        <w:t xml:space="preserve">avec une copie de la décision de renvoi. </w:t>
      </w:r>
      <w:r w:rsidR="00B50C5C" w:rsidRPr="00F02792">
        <w:rPr>
          <w:color w:val="000000" w:themeColor="text1"/>
          <w:lang w:val="fr-FR"/>
        </w:rPr>
        <w:t>« </w:t>
      </w:r>
      <w:r w:rsidR="00B50C5C" w:rsidRPr="00F02792">
        <w:rPr>
          <w:color w:val="000000" w:themeColor="text1"/>
        </w:rPr>
        <w:t>Le jugement d</w:t>
      </w:r>
      <w:r w:rsidR="00BB76F1">
        <w:rPr>
          <w:color w:val="000000" w:themeColor="text1"/>
        </w:rPr>
        <w:t>’</w:t>
      </w:r>
      <w:r w:rsidR="00B50C5C" w:rsidRPr="00F02792">
        <w:rPr>
          <w:color w:val="000000" w:themeColor="text1"/>
        </w:rPr>
        <w:t>incompétence ne donne donc pas lieu à un nouvel acte introductif d</w:t>
      </w:r>
      <w:r w:rsidR="00BB76F1">
        <w:rPr>
          <w:color w:val="000000" w:themeColor="text1"/>
        </w:rPr>
        <w:t>’</w:t>
      </w:r>
      <w:r w:rsidR="00B50C5C" w:rsidRPr="00F02792">
        <w:rPr>
          <w:color w:val="000000" w:themeColor="text1"/>
        </w:rPr>
        <w:t>instance, la même instance se poursuivant. Dès réception du dossier, les parties sont invitées par tout moyen par le greffe de la juridiction désignée à poursuivre l</w:t>
      </w:r>
      <w:r w:rsidR="00BB76F1">
        <w:rPr>
          <w:color w:val="000000" w:themeColor="text1"/>
        </w:rPr>
        <w:t>’</w:t>
      </w:r>
      <w:r w:rsidR="00B50C5C" w:rsidRPr="00F02792">
        <w:rPr>
          <w:color w:val="000000" w:themeColor="text1"/>
        </w:rPr>
        <w:t>instance et, s</w:t>
      </w:r>
      <w:r w:rsidR="00BB76F1">
        <w:rPr>
          <w:color w:val="000000" w:themeColor="text1"/>
        </w:rPr>
        <w:t>’</w:t>
      </w:r>
      <w:r w:rsidR="00B50C5C" w:rsidRPr="00F02792">
        <w:rPr>
          <w:color w:val="000000" w:themeColor="text1"/>
        </w:rPr>
        <w:t>il y a lieu, à constituer avocat dans le délai d</w:t>
      </w:r>
      <w:r w:rsidR="00BB76F1">
        <w:rPr>
          <w:color w:val="000000" w:themeColor="text1"/>
        </w:rPr>
        <w:t>’</w:t>
      </w:r>
      <w:r w:rsidR="00B50C5C" w:rsidRPr="00F02792">
        <w:rPr>
          <w:color w:val="000000" w:themeColor="text1"/>
        </w:rPr>
        <w:t>un mois à compter de cet avis</w:t>
      </w:r>
      <w:r w:rsidR="00B50C5C" w:rsidRPr="00F02792">
        <w:rPr>
          <w:color w:val="000000" w:themeColor="text1"/>
          <w:lang w:val="fr-FR"/>
        </w:rPr>
        <w:t> »</w:t>
      </w:r>
      <w:r w:rsidR="00B50C5C" w:rsidRPr="00F02792">
        <w:rPr>
          <w:rStyle w:val="Appelnotedebasdep"/>
          <w:color w:val="000000" w:themeColor="text1"/>
          <w:lang w:val="fr-FR"/>
        </w:rPr>
        <w:footnoteReference w:id="66"/>
      </w:r>
      <w:r w:rsidR="00B50C5C" w:rsidRPr="00F02792">
        <w:rPr>
          <w:color w:val="000000" w:themeColor="text1"/>
          <w:lang w:val="fr-FR"/>
        </w:rPr>
        <w:t>.</w:t>
      </w:r>
    </w:p>
    <w:p w14:paraId="0CC8E446" w14:textId="77777777" w:rsidR="008E5DE6" w:rsidRPr="00F02792" w:rsidRDefault="008E5DE6" w:rsidP="002E541C">
      <w:pPr>
        <w:spacing w:line="276" w:lineRule="auto"/>
        <w:jc w:val="both"/>
        <w:rPr>
          <w:color w:val="000000" w:themeColor="text1"/>
          <w:lang w:val="fr-FR"/>
        </w:rPr>
      </w:pPr>
    </w:p>
    <w:p w14:paraId="350B7968" w14:textId="5D1F741B" w:rsidR="00C700E4" w:rsidRPr="00F02792" w:rsidRDefault="00AC69CD" w:rsidP="002E541C">
      <w:pPr>
        <w:spacing w:line="276" w:lineRule="auto"/>
        <w:jc w:val="both"/>
        <w:rPr>
          <w:color w:val="000000" w:themeColor="text1"/>
          <w:lang w:val="fr-FR"/>
        </w:rPr>
      </w:pPr>
      <w:r w:rsidRPr="00F02792">
        <w:rPr>
          <w:color w:val="000000" w:themeColor="text1"/>
          <w:lang w:val="fr-FR"/>
        </w:rPr>
        <w:t>A la distinction entre pouvoir et compétence</w:t>
      </w:r>
      <w:r w:rsidR="00C700E4" w:rsidRPr="00F02792">
        <w:rPr>
          <w:color w:val="000000" w:themeColor="text1"/>
          <w:lang w:val="fr-FR"/>
        </w:rPr>
        <w:t xml:space="preserve"> s</w:t>
      </w:r>
      <w:r w:rsidR="00BB76F1">
        <w:rPr>
          <w:color w:val="000000" w:themeColor="text1"/>
          <w:lang w:val="fr-FR"/>
        </w:rPr>
        <w:t>’</w:t>
      </w:r>
      <w:r w:rsidR="00C700E4" w:rsidRPr="00F02792">
        <w:rPr>
          <w:color w:val="000000" w:themeColor="text1"/>
          <w:lang w:val="fr-FR"/>
        </w:rPr>
        <w:t>ajoute la question de la formation juridictionnelle : « u</w:t>
      </w:r>
      <w:r w:rsidR="00C700E4" w:rsidRPr="00F02792">
        <w:rPr>
          <w:color w:val="000000" w:themeColor="text1"/>
        </w:rPr>
        <w:t>ne juridiction peut siéger en différentes formations : formation collégiale ou à juge unique, publiquement ou en chambre du conseil, etc. Ces formations ne disposent pas d</w:t>
      </w:r>
      <w:r w:rsidR="00BB76F1">
        <w:rPr>
          <w:color w:val="000000" w:themeColor="text1"/>
        </w:rPr>
        <w:t>’</w:t>
      </w:r>
      <w:r w:rsidR="00C700E4" w:rsidRPr="00F02792">
        <w:rPr>
          <w:color w:val="000000" w:themeColor="text1"/>
        </w:rPr>
        <w:t>un pouvoir juridictionnel propre, de sorte que ce ne sont pas des règles de compétence qui répartissent les litiges entre les différentes formations d</w:t>
      </w:r>
      <w:r w:rsidR="00BB76F1">
        <w:rPr>
          <w:color w:val="000000" w:themeColor="text1"/>
        </w:rPr>
        <w:t>’</w:t>
      </w:r>
      <w:r w:rsidR="00C700E4" w:rsidRPr="00F02792">
        <w:rPr>
          <w:color w:val="000000" w:themeColor="text1"/>
        </w:rPr>
        <w:t>une même juridiction</w:t>
      </w:r>
      <w:r w:rsidR="00A2157D" w:rsidRPr="00F02792">
        <w:rPr>
          <w:color w:val="000000" w:themeColor="text1"/>
        </w:rPr>
        <w:t> »</w:t>
      </w:r>
      <w:r w:rsidR="00C700E4" w:rsidRPr="00F02792">
        <w:rPr>
          <w:rStyle w:val="Appelnotedebasdep"/>
          <w:color w:val="000000" w:themeColor="text1"/>
          <w:lang w:val="fr-FR"/>
        </w:rPr>
        <w:footnoteReference w:id="67"/>
      </w:r>
      <w:r w:rsidR="00C700E4" w:rsidRPr="00F02792">
        <w:rPr>
          <w:color w:val="000000" w:themeColor="text1"/>
        </w:rPr>
        <w:t>.</w:t>
      </w:r>
      <w:r w:rsidR="00C700E4" w:rsidRPr="00F02792">
        <w:rPr>
          <w:color w:val="000000" w:themeColor="text1"/>
          <w:lang w:val="fr-FR"/>
        </w:rPr>
        <w:t xml:space="preserve"> Avec la mise en place d</w:t>
      </w:r>
      <w:r w:rsidR="00BB76F1">
        <w:rPr>
          <w:color w:val="000000" w:themeColor="text1"/>
          <w:lang w:val="fr-FR"/>
        </w:rPr>
        <w:t>’</w:t>
      </w:r>
      <w:r w:rsidR="00C700E4" w:rsidRPr="00F02792">
        <w:rPr>
          <w:color w:val="000000" w:themeColor="text1"/>
          <w:lang w:val="fr-FR"/>
        </w:rPr>
        <w:t>un tribunal judiciaire unique, le droit français s</w:t>
      </w:r>
      <w:r w:rsidR="00BB76F1">
        <w:rPr>
          <w:color w:val="000000" w:themeColor="text1"/>
          <w:lang w:val="fr-FR"/>
        </w:rPr>
        <w:t>’</w:t>
      </w:r>
      <w:r w:rsidR="00C700E4" w:rsidRPr="00F02792">
        <w:rPr>
          <w:color w:val="000000" w:themeColor="text1"/>
          <w:lang w:val="fr-FR"/>
        </w:rPr>
        <w:t>est grandement simplifié. En vertu de l</w:t>
      </w:r>
      <w:r w:rsidR="00BB76F1">
        <w:rPr>
          <w:color w:val="000000" w:themeColor="text1"/>
          <w:lang w:val="fr-FR"/>
        </w:rPr>
        <w:t>’</w:t>
      </w:r>
      <w:r w:rsidR="00C700E4" w:rsidRPr="00F02792">
        <w:rPr>
          <w:color w:val="000000" w:themeColor="text1"/>
          <w:lang w:val="fr-FR"/>
        </w:rPr>
        <w:t>article 82-1 du Code de procédure civile français, « </w:t>
      </w:r>
      <w:r w:rsidR="00CF6310" w:rsidRPr="00F02792">
        <w:rPr>
          <w:color w:val="000000" w:themeColor="text1"/>
          <w:shd w:val="clear" w:color="auto" w:fill="FFFFFF"/>
        </w:rPr>
        <w:t>les questions de compétence au sein d</w:t>
      </w:r>
      <w:r w:rsidR="00BB76F1">
        <w:rPr>
          <w:color w:val="000000" w:themeColor="text1"/>
          <w:shd w:val="clear" w:color="auto" w:fill="FFFFFF"/>
        </w:rPr>
        <w:t>’</w:t>
      </w:r>
      <w:r w:rsidR="00CF6310" w:rsidRPr="00F02792">
        <w:rPr>
          <w:color w:val="000000" w:themeColor="text1"/>
          <w:shd w:val="clear" w:color="auto" w:fill="FFFFFF"/>
        </w:rPr>
        <w:t>un tribunal judiciaire peuvent être réglées avant la première audience par mention au dossier, à la demande d</w:t>
      </w:r>
      <w:r w:rsidR="00BB76F1">
        <w:rPr>
          <w:color w:val="000000" w:themeColor="text1"/>
          <w:shd w:val="clear" w:color="auto" w:fill="FFFFFF"/>
        </w:rPr>
        <w:t>’</w:t>
      </w:r>
      <w:r w:rsidR="00CF6310" w:rsidRPr="00F02792">
        <w:rPr>
          <w:color w:val="000000" w:themeColor="text1"/>
          <w:shd w:val="clear" w:color="auto" w:fill="FFFFFF"/>
        </w:rPr>
        <w:t>une partie ou d</w:t>
      </w:r>
      <w:r w:rsidR="00BB76F1">
        <w:rPr>
          <w:color w:val="000000" w:themeColor="text1"/>
          <w:shd w:val="clear" w:color="auto" w:fill="FFFFFF"/>
        </w:rPr>
        <w:t>’</w:t>
      </w:r>
      <w:r w:rsidR="00CF6310" w:rsidRPr="00F02792">
        <w:rPr>
          <w:color w:val="000000" w:themeColor="text1"/>
          <w:shd w:val="clear" w:color="auto" w:fill="FFFFFF"/>
        </w:rPr>
        <w:t>office par le juge.</w:t>
      </w:r>
      <w:r w:rsidR="00CF6310" w:rsidRPr="00F02792">
        <w:rPr>
          <w:color w:val="000000" w:themeColor="text1"/>
        </w:rPr>
        <w:t xml:space="preserve"> </w:t>
      </w:r>
      <w:r w:rsidR="00CF6310" w:rsidRPr="00F02792">
        <w:rPr>
          <w:color w:val="000000" w:themeColor="text1"/>
          <w:shd w:val="clear" w:color="auto" w:fill="FFFFFF"/>
        </w:rPr>
        <w:t>Les parties ou leurs avocats en sont avisés sans délai par tout moyen conférant date certaine.</w:t>
      </w:r>
      <w:r w:rsidR="00CF6310" w:rsidRPr="00F02792">
        <w:rPr>
          <w:color w:val="000000" w:themeColor="text1"/>
        </w:rPr>
        <w:t xml:space="preserve"> </w:t>
      </w:r>
      <w:r w:rsidR="00CF6310" w:rsidRPr="00F02792">
        <w:rPr>
          <w:color w:val="000000" w:themeColor="text1"/>
          <w:shd w:val="clear" w:color="auto" w:fill="FFFFFF"/>
        </w:rPr>
        <w:t>Le dossier de l</w:t>
      </w:r>
      <w:r w:rsidR="00BB76F1">
        <w:rPr>
          <w:color w:val="000000" w:themeColor="text1"/>
          <w:shd w:val="clear" w:color="auto" w:fill="FFFFFF"/>
        </w:rPr>
        <w:t>’</w:t>
      </w:r>
      <w:r w:rsidR="00CF6310" w:rsidRPr="00F02792">
        <w:rPr>
          <w:color w:val="000000" w:themeColor="text1"/>
          <w:shd w:val="clear" w:color="auto" w:fill="FFFFFF"/>
        </w:rPr>
        <w:t>affaire est aussitôt transmis par le greffe au juge désigné.</w:t>
      </w:r>
      <w:r w:rsidR="00273BB5" w:rsidRPr="00F02792">
        <w:rPr>
          <w:color w:val="000000" w:themeColor="text1"/>
        </w:rPr>
        <w:t xml:space="preserve"> </w:t>
      </w:r>
      <w:r w:rsidR="00CF6310" w:rsidRPr="00F02792">
        <w:rPr>
          <w:color w:val="000000" w:themeColor="text1"/>
          <w:shd w:val="clear" w:color="auto" w:fill="FFFFFF"/>
        </w:rPr>
        <w:t>La compétence du juge à qui l</w:t>
      </w:r>
      <w:r w:rsidR="00BB76F1">
        <w:rPr>
          <w:color w:val="000000" w:themeColor="text1"/>
          <w:shd w:val="clear" w:color="auto" w:fill="FFFFFF"/>
        </w:rPr>
        <w:t>’</w:t>
      </w:r>
      <w:r w:rsidR="00CF6310" w:rsidRPr="00F02792">
        <w:rPr>
          <w:color w:val="000000" w:themeColor="text1"/>
          <w:shd w:val="clear" w:color="auto" w:fill="FFFFFF"/>
        </w:rPr>
        <w:t>affaire a été ainsi renvoyée peut être remise en cause par ce juge ou une partie dans un délai de trois mois.</w:t>
      </w:r>
      <w:r w:rsidR="00273BB5" w:rsidRPr="00F02792">
        <w:rPr>
          <w:color w:val="000000" w:themeColor="text1"/>
        </w:rPr>
        <w:t xml:space="preserve"> </w:t>
      </w:r>
      <w:r w:rsidR="00CF6310" w:rsidRPr="00F02792">
        <w:rPr>
          <w:color w:val="000000" w:themeColor="text1"/>
          <w:shd w:val="clear" w:color="auto" w:fill="FFFFFF"/>
        </w:rPr>
        <w:t>Dans ce cas, le juge, d</w:t>
      </w:r>
      <w:r w:rsidR="00BB76F1">
        <w:rPr>
          <w:color w:val="000000" w:themeColor="text1"/>
          <w:shd w:val="clear" w:color="auto" w:fill="FFFFFF"/>
        </w:rPr>
        <w:t>’</w:t>
      </w:r>
      <w:r w:rsidR="00CF6310" w:rsidRPr="00F02792">
        <w:rPr>
          <w:color w:val="000000" w:themeColor="text1"/>
          <w:shd w:val="clear" w:color="auto" w:fill="FFFFFF"/>
        </w:rPr>
        <w:t>office ou à la demande d</w:t>
      </w:r>
      <w:r w:rsidR="00BB76F1">
        <w:rPr>
          <w:color w:val="000000" w:themeColor="text1"/>
          <w:shd w:val="clear" w:color="auto" w:fill="FFFFFF"/>
        </w:rPr>
        <w:t>’</w:t>
      </w:r>
      <w:r w:rsidR="00CF6310" w:rsidRPr="00F02792">
        <w:rPr>
          <w:color w:val="000000" w:themeColor="text1"/>
          <w:shd w:val="clear" w:color="auto" w:fill="FFFFFF"/>
        </w:rPr>
        <w:t>une partie, renvoie l</w:t>
      </w:r>
      <w:r w:rsidR="00BB76F1">
        <w:rPr>
          <w:color w:val="000000" w:themeColor="text1"/>
          <w:shd w:val="clear" w:color="auto" w:fill="FFFFFF"/>
        </w:rPr>
        <w:t>’</w:t>
      </w:r>
      <w:r w:rsidR="00CF6310" w:rsidRPr="00F02792">
        <w:rPr>
          <w:color w:val="000000" w:themeColor="text1"/>
          <w:shd w:val="clear" w:color="auto" w:fill="FFFFFF"/>
        </w:rPr>
        <w:t>affaire par simple mention au dossier au président du tribunal judiciaire. Le président renvoie l</w:t>
      </w:r>
      <w:r w:rsidR="00BB76F1">
        <w:rPr>
          <w:color w:val="000000" w:themeColor="text1"/>
          <w:shd w:val="clear" w:color="auto" w:fill="FFFFFF"/>
        </w:rPr>
        <w:t>’</w:t>
      </w:r>
      <w:r w:rsidR="00CF6310" w:rsidRPr="00F02792">
        <w:rPr>
          <w:color w:val="000000" w:themeColor="text1"/>
          <w:shd w:val="clear" w:color="auto" w:fill="FFFFFF"/>
        </w:rPr>
        <w:t>affaire, selon les mêmes modalités, au juge qu</w:t>
      </w:r>
      <w:r w:rsidR="00BB76F1">
        <w:rPr>
          <w:color w:val="000000" w:themeColor="text1"/>
          <w:shd w:val="clear" w:color="auto" w:fill="FFFFFF"/>
        </w:rPr>
        <w:t>’</w:t>
      </w:r>
      <w:r w:rsidR="00CF6310" w:rsidRPr="00F02792">
        <w:rPr>
          <w:color w:val="000000" w:themeColor="text1"/>
          <w:shd w:val="clear" w:color="auto" w:fill="FFFFFF"/>
        </w:rPr>
        <w:t>il désigne. Sa décision n</w:t>
      </w:r>
      <w:r w:rsidR="00BB76F1">
        <w:rPr>
          <w:color w:val="000000" w:themeColor="text1"/>
          <w:shd w:val="clear" w:color="auto" w:fill="FFFFFF"/>
        </w:rPr>
        <w:t>’</w:t>
      </w:r>
      <w:r w:rsidR="00CF6310" w:rsidRPr="00F02792">
        <w:rPr>
          <w:color w:val="000000" w:themeColor="text1"/>
          <w:shd w:val="clear" w:color="auto" w:fill="FFFFFF"/>
        </w:rPr>
        <w:t>est pas susceptible de recours.</w:t>
      </w:r>
      <w:r w:rsidR="00273BB5" w:rsidRPr="00F02792">
        <w:rPr>
          <w:color w:val="000000" w:themeColor="text1"/>
        </w:rPr>
        <w:t xml:space="preserve"> </w:t>
      </w:r>
      <w:r w:rsidR="00CF6310" w:rsidRPr="00F02792">
        <w:rPr>
          <w:color w:val="000000" w:themeColor="text1"/>
          <w:shd w:val="clear" w:color="auto" w:fill="FFFFFF"/>
        </w:rPr>
        <w:t>La compétence du juge peut être contestée devant lui par les parties</w:t>
      </w:r>
      <w:r w:rsidR="00273BB5" w:rsidRPr="00F02792">
        <w:rPr>
          <w:color w:val="000000" w:themeColor="text1"/>
          <w:shd w:val="clear" w:color="auto" w:fill="FFFFFF"/>
        </w:rPr>
        <w:t xml:space="preserve"> ». Cet article </w:t>
      </w:r>
      <w:r w:rsidR="00AF7122" w:rsidRPr="00F02792">
        <w:rPr>
          <w:color w:val="000000" w:themeColor="text1"/>
          <w:shd w:val="clear" w:color="auto" w:fill="FFFFFF"/>
        </w:rPr>
        <w:t xml:space="preserve">ne va pas sans </w:t>
      </w:r>
      <w:r w:rsidR="00AD7839" w:rsidRPr="00F02792">
        <w:rPr>
          <w:color w:val="000000" w:themeColor="text1"/>
          <w:shd w:val="clear" w:color="auto" w:fill="FFFFFF"/>
        </w:rPr>
        <w:t xml:space="preserve">susciter de nombreuses </w:t>
      </w:r>
      <w:r w:rsidR="00AD7839" w:rsidRPr="00F02792">
        <w:rPr>
          <w:color w:val="000000" w:themeColor="text1"/>
          <w:shd w:val="clear" w:color="auto" w:fill="FFFFFF"/>
        </w:rPr>
        <w:lastRenderedPageBreak/>
        <w:t>questi</w:t>
      </w:r>
      <w:r w:rsidR="005C045D" w:rsidRPr="00F02792">
        <w:rPr>
          <w:color w:val="000000" w:themeColor="text1"/>
          <w:shd w:val="clear" w:color="auto" w:fill="FFFFFF"/>
        </w:rPr>
        <w:t xml:space="preserve">ons mais </w:t>
      </w:r>
      <w:r w:rsidR="00785599" w:rsidRPr="00F02792">
        <w:rPr>
          <w:color w:val="000000" w:themeColor="text1"/>
          <w:lang w:val="fr-FR"/>
        </w:rPr>
        <w:t>concerne les « </w:t>
      </w:r>
      <w:r w:rsidR="00C700E4" w:rsidRPr="00F02792">
        <w:rPr>
          <w:color w:val="000000" w:themeColor="text1"/>
        </w:rPr>
        <w:t>compétence</w:t>
      </w:r>
      <w:r w:rsidR="00785599" w:rsidRPr="00F02792">
        <w:rPr>
          <w:color w:val="000000" w:themeColor="text1"/>
          <w:lang w:val="fr-FR"/>
        </w:rPr>
        <w:t>s</w:t>
      </w:r>
      <w:r w:rsidR="00C700E4" w:rsidRPr="00F02792">
        <w:rPr>
          <w:color w:val="000000" w:themeColor="text1"/>
        </w:rPr>
        <w:t xml:space="preserve"> au sein d</w:t>
      </w:r>
      <w:r w:rsidR="00BB76F1">
        <w:rPr>
          <w:color w:val="000000" w:themeColor="text1"/>
        </w:rPr>
        <w:t>’</w:t>
      </w:r>
      <w:r w:rsidR="00C700E4" w:rsidRPr="00F02792">
        <w:rPr>
          <w:color w:val="000000" w:themeColor="text1"/>
        </w:rPr>
        <w:t>un tribunal judiciaire et non entre tribunaux judiciaires. Sont</w:t>
      </w:r>
      <w:r w:rsidR="002625A4" w:rsidRPr="00F02792">
        <w:rPr>
          <w:color w:val="000000" w:themeColor="text1"/>
          <w:lang w:val="fr-FR"/>
        </w:rPr>
        <w:t xml:space="preserve"> </w:t>
      </w:r>
      <w:r w:rsidR="00C700E4" w:rsidRPr="00F02792">
        <w:rPr>
          <w:color w:val="000000" w:themeColor="text1"/>
        </w:rPr>
        <w:t>visées les questions de compétence d</w:t>
      </w:r>
      <w:r w:rsidR="00BB76F1">
        <w:rPr>
          <w:color w:val="000000" w:themeColor="text1"/>
        </w:rPr>
        <w:t>’</w:t>
      </w:r>
      <w:r w:rsidR="00C700E4" w:rsidRPr="00F02792">
        <w:rPr>
          <w:color w:val="000000" w:themeColor="text1"/>
        </w:rPr>
        <w:t>attribution entre les différentes juridictions qui dépendent du même tribunal judiciaire : tribunal judiciaire, juge aux affaires familiales, juge de l</w:t>
      </w:r>
      <w:r w:rsidR="00BB76F1">
        <w:rPr>
          <w:color w:val="000000" w:themeColor="text1"/>
        </w:rPr>
        <w:t>’</w:t>
      </w:r>
      <w:r w:rsidR="00C700E4" w:rsidRPr="00F02792">
        <w:rPr>
          <w:color w:val="000000" w:themeColor="text1"/>
        </w:rPr>
        <w:t>exécution, juge des contentieux de la protection, président du tribunal judiciaire ou juge du tribunal judiciaire</w:t>
      </w:r>
      <w:r w:rsidR="00C700E4" w:rsidRPr="00F02792">
        <w:rPr>
          <w:color w:val="000000" w:themeColor="text1"/>
          <w:lang w:val="fr-FR"/>
        </w:rPr>
        <w:t> »</w:t>
      </w:r>
      <w:r w:rsidR="00C700E4" w:rsidRPr="00F02792">
        <w:rPr>
          <w:rStyle w:val="Appelnotedebasdep"/>
          <w:color w:val="000000" w:themeColor="text1"/>
          <w:lang w:val="fr-FR"/>
        </w:rPr>
        <w:footnoteReference w:id="68"/>
      </w:r>
      <w:r w:rsidR="00C700E4" w:rsidRPr="00F02792">
        <w:rPr>
          <w:color w:val="000000" w:themeColor="text1"/>
        </w:rPr>
        <w:t>.</w:t>
      </w:r>
    </w:p>
    <w:p w14:paraId="7534D135" w14:textId="77777777" w:rsidR="00062D16" w:rsidRPr="00F02792" w:rsidRDefault="00062D16" w:rsidP="007F6C39">
      <w:pPr>
        <w:spacing w:line="276" w:lineRule="auto"/>
        <w:jc w:val="both"/>
        <w:rPr>
          <w:color w:val="000000" w:themeColor="text1"/>
          <w:lang w:val="fr-FR"/>
        </w:rPr>
      </w:pPr>
    </w:p>
    <w:p w14:paraId="7DF70B7F" w14:textId="083DA672" w:rsidR="007F6C39" w:rsidRPr="00F02792" w:rsidRDefault="00C34F9F" w:rsidP="007F6C39">
      <w:pPr>
        <w:spacing w:line="276" w:lineRule="auto"/>
        <w:jc w:val="both"/>
        <w:rPr>
          <w:color w:val="000000" w:themeColor="text1"/>
          <w:lang w:val="fr-FR"/>
        </w:rPr>
      </w:pPr>
      <w:r w:rsidRPr="00F02792">
        <w:rPr>
          <w:color w:val="000000" w:themeColor="text1"/>
          <w:lang w:val="fr-FR"/>
        </w:rPr>
        <w:t>En droit français, comme en droit belge, le</w:t>
      </w:r>
      <w:r w:rsidR="007F6C39" w:rsidRPr="00F02792">
        <w:rPr>
          <w:color w:val="000000" w:themeColor="text1"/>
          <w:lang w:val="fr-FR"/>
        </w:rPr>
        <w:t xml:space="preserve"> renvoi a un double effet : pratique et juridique. En pratique, le dossier de l</w:t>
      </w:r>
      <w:r w:rsidR="00BB76F1">
        <w:rPr>
          <w:color w:val="000000" w:themeColor="text1"/>
          <w:lang w:val="fr-FR"/>
        </w:rPr>
        <w:t>’</w:t>
      </w:r>
      <w:r w:rsidR="007F6C39" w:rsidRPr="00F02792">
        <w:rPr>
          <w:color w:val="000000" w:themeColor="text1"/>
          <w:lang w:val="fr-FR"/>
        </w:rPr>
        <w:t xml:space="preserve">affaire est transmis au greffe de la juridiction concernée et en droit la juridiction à qui il est renvoyé ne peut contester sa compétence. </w:t>
      </w:r>
      <w:r w:rsidR="00DE5B6F" w:rsidRPr="00F02792">
        <w:rPr>
          <w:color w:val="000000" w:themeColor="text1"/>
          <w:lang w:val="fr-FR"/>
        </w:rPr>
        <w:t>L</w:t>
      </w:r>
      <w:r w:rsidR="00BB76F1">
        <w:rPr>
          <w:color w:val="000000" w:themeColor="text1"/>
          <w:lang w:val="fr-FR"/>
        </w:rPr>
        <w:t>’</w:t>
      </w:r>
      <w:r w:rsidR="00DE5B6F" w:rsidRPr="00F02792">
        <w:rPr>
          <w:color w:val="000000" w:themeColor="text1"/>
          <w:lang w:val="fr-FR"/>
        </w:rPr>
        <w:t xml:space="preserve">accès </w:t>
      </w:r>
      <w:r w:rsidR="000C0120" w:rsidRPr="00F02792">
        <w:rPr>
          <w:color w:val="000000" w:themeColor="text1"/>
          <w:lang w:val="fr-FR"/>
        </w:rPr>
        <w:t xml:space="preserve">à la justice prime </w:t>
      </w:r>
      <w:r w:rsidR="00857FF3" w:rsidRPr="00F02792">
        <w:rPr>
          <w:color w:val="000000" w:themeColor="text1"/>
          <w:lang w:val="fr-FR"/>
        </w:rPr>
        <w:t xml:space="preserve">toute conception </w:t>
      </w:r>
      <w:r w:rsidR="0062272D" w:rsidRPr="00F02792">
        <w:rPr>
          <w:color w:val="000000" w:themeColor="text1"/>
          <w:lang w:val="fr-FR"/>
        </w:rPr>
        <w:t>rigide de la compétence</w:t>
      </w:r>
      <w:r w:rsidR="00482D8D" w:rsidRPr="00F02792">
        <w:rPr>
          <w:color w:val="000000" w:themeColor="text1"/>
          <w:lang w:val="fr-FR"/>
        </w:rPr>
        <w:t>.</w:t>
      </w:r>
    </w:p>
    <w:p w14:paraId="79CD9C79" w14:textId="77777777" w:rsidR="00AF3676" w:rsidRPr="00F02792" w:rsidRDefault="00AF3676" w:rsidP="006C2194">
      <w:pPr>
        <w:spacing w:line="276" w:lineRule="auto"/>
        <w:jc w:val="both"/>
        <w:rPr>
          <w:b/>
          <w:bCs/>
          <w:color w:val="000000" w:themeColor="text1"/>
          <w:lang w:val="fr-FR"/>
        </w:rPr>
      </w:pPr>
    </w:p>
    <w:p w14:paraId="16653604" w14:textId="635452D9" w:rsidR="007F5B10" w:rsidRPr="00F02792" w:rsidRDefault="007F5B10" w:rsidP="006C2194">
      <w:pPr>
        <w:spacing w:line="276" w:lineRule="auto"/>
        <w:jc w:val="both"/>
        <w:rPr>
          <w:b/>
          <w:bCs/>
          <w:color w:val="000000" w:themeColor="text1"/>
          <w:lang w:val="fr-FR"/>
        </w:rPr>
      </w:pPr>
      <w:r w:rsidRPr="00F02792">
        <w:rPr>
          <w:b/>
          <w:bCs/>
          <w:color w:val="000000" w:themeColor="text1"/>
          <w:lang w:val="fr-FR"/>
        </w:rPr>
        <w:t xml:space="preserve">III. </w:t>
      </w:r>
      <w:r w:rsidR="000123C8" w:rsidRPr="00F02792">
        <w:rPr>
          <w:b/>
          <w:bCs/>
          <w:color w:val="000000" w:themeColor="text1"/>
          <w:lang w:val="fr-FR"/>
        </w:rPr>
        <w:t xml:space="preserve">Vers un renvoi en </w:t>
      </w:r>
      <w:r w:rsidR="001A2D3E" w:rsidRPr="00F02792">
        <w:rPr>
          <w:b/>
          <w:bCs/>
          <w:color w:val="000000" w:themeColor="text1"/>
          <w:lang w:val="fr-FR"/>
        </w:rPr>
        <w:t>matière de compétence internationale</w:t>
      </w:r>
    </w:p>
    <w:p w14:paraId="0B2AE651" w14:textId="32B08C19" w:rsidR="00187E2F" w:rsidRPr="00F02792" w:rsidRDefault="00187E2F" w:rsidP="006C2194">
      <w:pPr>
        <w:spacing w:line="276" w:lineRule="auto"/>
        <w:jc w:val="both"/>
        <w:rPr>
          <w:b/>
          <w:bCs/>
          <w:color w:val="000000" w:themeColor="text1"/>
          <w:lang w:val="fr-FR"/>
        </w:rPr>
      </w:pPr>
    </w:p>
    <w:p w14:paraId="4834E388" w14:textId="4971AA72" w:rsidR="00C7313B" w:rsidRPr="00F02792" w:rsidRDefault="008E19E3" w:rsidP="00C7313B">
      <w:pPr>
        <w:spacing w:line="276" w:lineRule="auto"/>
        <w:jc w:val="both"/>
        <w:rPr>
          <w:color w:val="000000" w:themeColor="text1"/>
          <w:lang w:val="fr-FR"/>
        </w:rPr>
      </w:pPr>
      <w:r w:rsidRPr="00F02792">
        <w:rPr>
          <w:color w:val="000000" w:themeColor="text1"/>
          <w:lang w:val="fr-FR"/>
        </w:rPr>
        <w:t>L</w:t>
      </w:r>
      <w:r w:rsidR="00BB76F1">
        <w:rPr>
          <w:color w:val="000000" w:themeColor="text1"/>
          <w:lang w:val="fr-FR"/>
        </w:rPr>
        <w:t>’</w:t>
      </w:r>
      <w:r w:rsidR="00ED6888" w:rsidRPr="00F02792">
        <w:rPr>
          <w:color w:val="000000" w:themeColor="text1"/>
          <w:lang w:val="fr-FR"/>
        </w:rPr>
        <w:t>absence de renvoi en droit luxembourgeois</w:t>
      </w:r>
      <w:r w:rsidR="00613A7B" w:rsidRPr="00F02792">
        <w:rPr>
          <w:color w:val="000000" w:themeColor="text1"/>
          <w:lang w:val="fr-FR"/>
        </w:rPr>
        <w:t xml:space="preserve"> interroge </w:t>
      </w:r>
      <w:r w:rsidR="001F52A7" w:rsidRPr="00F02792">
        <w:rPr>
          <w:color w:val="000000" w:themeColor="text1"/>
          <w:lang w:val="fr-FR"/>
        </w:rPr>
        <w:t>et ne s</w:t>
      </w:r>
      <w:r w:rsidR="00BB76F1">
        <w:rPr>
          <w:color w:val="000000" w:themeColor="text1"/>
          <w:lang w:val="fr-FR"/>
        </w:rPr>
        <w:t>’</w:t>
      </w:r>
      <w:r w:rsidR="001F52A7" w:rsidRPr="00F02792">
        <w:rPr>
          <w:color w:val="000000" w:themeColor="text1"/>
          <w:lang w:val="fr-FR"/>
        </w:rPr>
        <w:t xml:space="preserve">explique guère </w:t>
      </w:r>
      <w:r w:rsidR="00871416" w:rsidRPr="00F02792">
        <w:rPr>
          <w:color w:val="000000" w:themeColor="text1"/>
          <w:lang w:val="fr-FR"/>
        </w:rPr>
        <w:t>en raison de la clarté des termes de la loi</w:t>
      </w:r>
      <w:r w:rsidR="00637A4D" w:rsidRPr="00F02792">
        <w:rPr>
          <w:color w:val="000000" w:themeColor="text1"/>
          <w:lang w:val="fr-FR"/>
        </w:rPr>
        <w:t xml:space="preserve">. </w:t>
      </w:r>
      <w:r w:rsidR="00C7313B" w:rsidRPr="00F02792">
        <w:rPr>
          <w:color w:val="000000" w:themeColor="text1"/>
          <w:lang w:val="fr-FR"/>
        </w:rPr>
        <w:t>Une explication tient peut-être au fait que les incidents de compétence concernent davantage la compétence internationale que les compétences internes</w:t>
      </w:r>
      <w:r w:rsidR="00B90232" w:rsidRPr="00F02792">
        <w:rPr>
          <w:color w:val="000000" w:themeColor="text1"/>
          <w:lang w:val="fr-FR"/>
        </w:rPr>
        <w:t xml:space="preserve"> et qu</w:t>
      </w:r>
      <w:r w:rsidR="00BB76F1">
        <w:rPr>
          <w:color w:val="000000" w:themeColor="text1"/>
          <w:lang w:val="fr-FR"/>
        </w:rPr>
        <w:t>’</w:t>
      </w:r>
      <w:r w:rsidR="00096EFB" w:rsidRPr="00F02792">
        <w:rPr>
          <w:color w:val="000000" w:themeColor="text1"/>
          <w:lang w:val="fr-FR"/>
        </w:rPr>
        <w:t xml:space="preserve">il </w:t>
      </w:r>
      <w:r w:rsidR="00DC2BC9" w:rsidRPr="00F02792">
        <w:rPr>
          <w:color w:val="000000" w:themeColor="text1"/>
          <w:lang w:val="fr-FR"/>
        </w:rPr>
        <w:t>est apparu</w:t>
      </w:r>
      <w:r w:rsidR="00096EFB" w:rsidRPr="00F02792">
        <w:rPr>
          <w:color w:val="000000" w:themeColor="text1"/>
          <w:lang w:val="fr-FR"/>
        </w:rPr>
        <w:t xml:space="preserve"> plus </w:t>
      </w:r>
      <w:r w:rsidR="00DC2BC9" w:rsidRPr="00F02792">
        <w:rPr>
          <w:color w:val="000000" w:themeColor="text1"/>
          <w:lang w:val="fr-FR"/>
        </w:rPr>
        <w:t>« </w:t>
      </w:r>
      <w:r w:rsidR="00096EFB" w:rsidRPr="00F02792">
        <w:rPr>
          <w:color w:val="000000" w:themeColor="text1"/>
          <w:lang w:val="fr-FR"/>
        </w:rPr>
        <w:t>simple</w:t>
      </w:r>
      <w:r w:rsidR="00DC2BC9" w:rsidRPr="00F02792">
        <w:rPr>
          <w:color w:val="000000" w:themeColor="text1"/>
          <w:lang w:val="fr-FR"/>
        </w:rPr>
        <w:t> »</w:t>
      </w:r>
      <w:r w:rsidR="00096EFB" w:rsidRPr="00F02792">
        <w:rPr>
          <w:color w:val="000000" w:themeColor="text1"/>
          <w:lang w:val="fr-FR"/>
        </w:rPr>
        <w:t xml:space="preserve"> aux juridictions de sanctionner </w:t>
      </w:r>
      <w:r w:rsidR="00CC6725" w:rsidRPr="00F02792">
        <w:rPr>
          <w:color w:val="000000" w:themeColor="text1"/>
          <w:lang w:val="fr-FR"/>
        </w:rPr>
        <w:t>l</w:t>
      </w:r>
      <w:r w:rsidR="00BB76F1">
        <w:rPr>
          <w:color w:val="000000" w:themeColor="text1"/>
          <w:lang w:val="fr-FR"/>
        </w:rPr>
        <w:t>’</w:t>
      </w:r>
      <w:r w:rsidR="00CC6725" w:rsidRPr="00F02792">
        <w:rPr>
          <w:color w:val="000000" w:themeColor="text1"/>
          <w:lang w:val="fr-FR"/>
        </w:rPr>
        <w:t xml:space="preserve">incompétence </w:t>
      </w:r>
      <w:r w:rsidR="00223707" w:rsidRPr="00F02792">
        <w:rPr>
          <w:color w:val="000000" w:themeColor="text1"/>
          <w:lang w:val="fr-FR"/>
        </w:rPr>
        <w:t xml:space="preserve">interne </w:t>
      </w:r>
      <w:r w:rsidR="00BB2633" w:rsidRPr="00F02792">
        <w:rPr>
          <w:color w:val="000000" w:themeColor="text1"/>
          <w:lang w:val="fr-FR"/>
        </w:rPr>
        <w:t xml:space="preserve">dans les mêmes termes </w:t>
      </w:r>
      <w:r w:rsidR="00EE1894" w:rsidRPr="00F02792">
        <w:rPr>
          <w:color w:val="000000" w:themeColor="text1"/>
          <w:lang w:val="fr-FR"/>
        </w:rPr>
        <w:t>que l</w:t>
      </w:r>
      <w:r w:rsidR="00BB76F1">
        <w:rPr>
          <w:color w:val="000000" w:themeColor="text1"/>
          <w:lang w:val="fr-FR"/>
        </w:rPr>
        <w:t>’</w:t>
      </w:r>
      <w:r w:rsidR="00EE1894" w:rsidRPr="00F02792">
        <w:rPr>
          <w:color w:val="000000" w:themeColor="text1"/>
          <w:lang w:val="fr-FR"/>
        </w:rPr>
        <w:t>incompétence</w:t>
      </w:r>
      <w:r w:rsidR="00F01064" w:rsidRPr="00F02792">
        <w:rPr>
          <w:color w:val="000000" w:themeColor="text1"/>
          <w:lang w:val="fr-FR"/>
        </w:rPr>
        <w:t xml:space="preserve"> internationale </w:t>
      </w:r>
      <w:r w:rsidR="005C5C23" w:rsidRPr="00F02792">
        <w:rPr>
          <w:color w:val="000000" w:themeColor="text1"/>
          <w:lang w:val="fr-FR"/>
        </w:rPr>
        <w:t xml:space="preserve">sans égards pour </w:t>
      </w:r>
      <w:r w:rsidR="00437AB9" w:rsidRPr="00F02792">
        <w:rPr>
          <w:color w:val="000000" w:themeColor="text1"/>
          <w:lang w:val="fr-FR"/>
        </w:rPr>
        <w:t>les justiciables lux</w:t>
      </w:r>
      <w:r w:rsidR="003165AD" w:rsidRPr="00F02792">
        <w:rPr>
          <w:color w:val="000000" w:themeColor="text1"/>
          <w:lang w:val="fr-FR"/>
        </w:rPr>
        <w:t>em</w:t>
      </w:r>
      <w:r w:rsidR="00437AB9" w:rsidRPr="00F02792">
        <w:rPr>
          <w:color w:val="000000" w:themeColor="text1"/>
          <w:lang w:val="fr-FR"/>
        </w:rPr>
        <w:t>bourgeois</w:t>
      </w:r>
      <w:r w:rsidR="003E23AB" w:rsidRPr="00F02792">
        <w:rPr>
          <w:rStyle w:val="Appelnotedebasdep"/>
          <w:color w:val="000000" w:themeColor="text1"/>
          <w:lang w:val="fr-FR"/>
        </w:rPr>
        <w:footnoteReference w:id="69"/>
      </w:r>
      <w:r w:rsidR="0097181A" w:rsidRPr="00F02792">
        <w:rPr>
          <w:color w:val="000000" w:themeColor="text1"/>
          <w:lang w:val="fr-FR"/>
        </w:rPr>
        <w:t>. En effet</w:t>
      </w:r>
      <w:r w:rsidR="003165AD" w:rsidRPr="00F02792">
        <w:rPr>
          <w:color w:val="000000" w:themeColor="text1"/>
          <w:lang w:val="fr-FR"/>
        </w:rPr>
        <w:t>,</w:t>
      </w:r>
      <w:r w:rsidR="00C7313B" w:rsidRPr="00F02792">
        <w:rPr>
          <w:color w:val="000000" w:themeColor="text1"/>
          <w:lang w:val="fr-FR"/>
        </w:rPr>
        <w:t xml:space="preserve"> la compétence internationale</w:t>
      </w:r>
      <w:r w:rsidR="00F879DC" w:rsidRPr="00F02792">
        <w:rPr>
          <w:color w:val="000000" w:themeColor="text1"/>
          <w:lang w:val="fr-FR"/>
        </w:rPr>
        <w:t xml:space="preserve"> </w:t>
      </w:r>
      <w:r w:rsidR="008D1FFB" w:rsidRPr="00F02792">
        <w:rPr>
          <w:color w:val="000000" w:themeColor="text1"/>
          <w:lang w:val="fr-FR"/>
        </w:rPr>
        <w:t xml:space="preserve">peut </w:t>
      </w:r>
      <w:r w:rsidR="004F3F7B" w:rsidRPr="00F02792">
        <w:rPr>
          <w:color w:val="000000" w:themeColor="text1"/>
          <w:lang w:val="fr-FR"/>
        </w:rPr>
        <w:t>s</w:t>
      </w:r>
      <w:r w:rsidR="00BB76F1">
        <w:rPr>
          <w:color w:val="000000" w:themeColor="text1"/>
          <w:lang w:val="fr-FR"/>
        </w:rPr>
        <w:t>’</w:t>
      </w:r>
      <w:r w:rsidR="004F3F7B" w:rsidRPr="00F02792">
        <w:rPr>
          <w:color w:val="000000" w:themeColor="text1"/>
          <w:lang w:val="fr-FR"/>
        </w:rPr>
        <w:t xml:space="preserve">analyser </w:t>
      </w:r>
      <w:r w:rsidR="00C7313B" w:rsidRPr="00F02792">
        <w:rPr>
          <w:color w:val="000000" w:themeColor="text1"/>
          <w:lang w:val="fr-FR"/>
        </w:rPr>
        <w:t xml:space="preserve">en termes de pouvoir juridictionnel car les </w:t>
      </w:r>
      <w:r w:rsidR="00C7313B" w:rsidRPr="00F02792">
        <w:rPr>
          <w:color w:val="000000" w:themeColor="text1"/>
        </w:rPr>
        <w:t>règles de compétence internationale</w:t>
      </w:r>
      <w:r w:rsidR="005E2002" w:rsidRPr="00F02792">
        <w:rPr>
          <w:color w:val="000000" w:themeColor="text1"/>
        </w:rPr>
        <w:t xml:space="preserve"> </w:t>
      </w:r>
      <w:r w:rsidR="00E50EBC" w:rsidRPr="00F02792">
        <w:rPr>
          <w:color w:val="000000" w:themeColor="text1"/>
        </w:rPr>
        <w:t xml:space="preserve">constituent </w:t>
      </w:r>
      <w:r w:rsidR="00C7313B" w:rsidRPr="00F02792">
        <w:rPr>
          <w:lang w:val="fr-FR"/>
        </w:rPr>
        <w:t>d</w:t>
      </w:r>
      <w:r w:rsidR="00C7313B" w:rsidRPr="00F02792">
        <w:t>es limites du pouvoir de l</w:t>
      </w:r>
      <w:r w:rsidR="00BB76F1">
        <w:t>’</w:t>
      </w:r>
      <w:r w:rsidR="00C7313B" w:rsidRPr="00F02792">
        <w:t xml:space="preserve">ordre juridictionnel </w:t>
      </w:r>
      <w:r w:rsidR="00C7313B" w:rsidRPr="00F02792">
        <w:rPr>
          <w:lang w:val="fr-FR"/>
        </w:rPr>
        <w:t xml:space="preserve">luxembourgeois </w:t>
      </w:r>
      <w:r w:rsidR="00C7313B" w:rsidRPr="00F02792">
        <w:t xml:space="preserve">par rapport aux ordres juridictionnels étrangers. </w:t>
      </w:r>
      <w:r w:rsidR="00C7313B" w:rsidRPr="00F02792">
        <w:rPr>
          <w:lang w:val="fr-FR"/>
        </w:rPr>
        <w:t xml:space="preserve">Pierre Mayer a pu souligner à cet égard que </w:t>
      </w:r>
      <w:r w:rsidR="00C7313B" w:rsidRPr="00F02792">
        <w:t>« </w:t>
      </w:r>
      <w:r w:rsidR="00C7313B" w:rsidRPr="00F02792">
        <w:rPr>
          <w:lang w:val="fr-FR"/>
        </w:rPr>
        <w:t>le</w:t>
      </w:r>
      <w:r w:rsidR="00C7313B" w:rsidRPr="00F02792">
        <w:t xml:space="preserve">s règles dites de </w:t>
      </w:r>
      <w:r w:rsidR="00BB76F1">
        <w:rPr>
          <w:lang w:val="fr-FR"/>
        </w:rPr>
        <w:t>‘</w:t>
      </w:r>
      <w:r w:rsidR="00C7313B" w:rsidRPr="00F02792">
        <w:rPr>
          <w:lang w:val="fr-FR"/>
        </w:rPr>
        <w:t>c</w:t>
      </w:r>
      <w:r w:rsidR="00C7313B" w:rsidRPr="00F02792">
        <w:t>ompétenc</w:t>
      </w:r>
      <w:r w:rsidR="00C7313B" w:rsidRPr="00F02792">
        <w:rPr>
          <w:lang w:val="fr-FR"/>
        </w:rPr>
        <w:t>e</w:t>
      </w:r>
      <w:r w:rsidR="00BB76F1">
        <w:rPr>
          <w:lang w:val="fr-FR"/>
        </w:rPr>
        <w:t>’</w:t>
      </w:r>
      <w:r w:rsidR="00C7313B" w:rsidRPr="00F02792">
        <w:t xml:space="preserve"> internationale ne sont pas de véritables règles de compétence. Elles tendent à restreindre à certains litiges le pouvoir de juridiction des tribunaux de l</w:t>
      </w:r>
      <w:r w:rsidR="00BB76F1">
        <w:t>’</w:t>
      </w:r>
      <w:r w:rsidR="00C7313B" w:rsidRPr="00F02792">
        <w:t>État qui les édicte, mais sans que ce soit en vue de l</w:t>
      </w:r>
      <w:r w:rsidR="00BB76F1">
        <w:t>’</w:t>
      </w:r>
      <w:r w:rsidR="00C7313B" w:rsidRPr="00F02792">
        <w:t>attribuer aux tribunaux d</w:t>
      </w:r>
      <w:r w:rsidR="00BB76F1">
        <w:t>’</w:t>
      </w:r>
      <w:r w:rsidR="00C7313B" w:rsidRPr="00F02792">
        <w:t>autres États […].</w:t>
      </w:r>
      <w:r w:rsidR="00C7313B" w:rsidRPr="00F02792">
        <w:rPr>
          <w:lang w:val="fr-FR"/>
        </w:rPr>
        <w:t xml:space="preserve"> </w:t>
      </w:r>
      <w:r w:rsidR="00C7313B" w:rsidRPr="00F02792">
        <w:t xml:space="preserve">Tandis que les règles de compétence précisent </w:t>
      </w:r>
      <w:r w:rsidR="00C7313B" w:rsidRPr="00F02792">
        <w:rPr>
          <w:rStyle w:val="CORPUSanyCharacter"/>
          <w:rFonts w:ascii="Times New Roman" w:hAnsi="Times New Roman" w:cs="Times New Roman"/>
        </w:rPr>
        <w:t>à qui</w:t>
      </w:r>
      <w:r w:rsidR="00C7313B" w:rsidRPr="00F02792">
        <w:t xml:space="preserve"> est confié un droit ou un pouvoir, les règles de </w:t>
      </w:r>
      <w:r w:rsidR="00BB76F1">
        <w:rPr>
          <w:lang w:val="fr-FR"/>
        </w:rPr>
        <w:t>‘</w:t>
      </w:r>
      <w:r w:rsidR="00C7313B" w:rsidRPr="00F02792">
        <w:t>compétence</w:t>
      </w:r>
      <w:r w:rsidR="00BB76F1">
        <w:rPr>
          <w:lang w:val="fr-FR"/>
        </w:rPr>
        <w:t>’</w:t>
      </w:r>
      <w:r w:rsidR="00C7313B" w:rsidRPr="00F02792">
        <w:t xml:space="preserve"> internationale directe décident seulement si </w:t>
      </w:r>
      <w:r w:rsidR="00C7313B" w:rsidRPr="00F02792">
        <w:rPr>
          <w:rStyle w:val="CORPUSanyCharacter"/>
          <w:rFonts w:ascii="Times New Roman" w:hAnsi="Times New Roman" w:cs="Times New Roman"/>
        </w:rPr>
        <w:t>oui ou non</w:t>
      </w:r>
      <w:r w:rsidR="00C7313B" w:rsidRPr="00F02792">
        <w:t xml:space="preserve"> le groupe d</w:t>
      </w:r>
      <w:r w:rsidR="00BB76F1">
        <w:t>’</w:t>
      </w:r>
      <w:r w:rsidR="00C7313B" w:rsidRPr="00F02792">
        <w:t>organes qui constitue l</w:t>
      </w:r>
      <w:r w:rsidR="00BB76F1">
        <w:t>’</w:t>
      </w:r>
      <w:r w:rsidR="00C7313B" w:rsidRPr="00F02792">
        <w:t>ordre juridictionnel de l</w:t>
      </w:r>
      <w:r w:rsidR="00BB76F1">
        <w:t>’</w:t>
      </w:r>
      <w:r w:rsidR="00C7313B" w:rsidRPr="00F02792">
        <w:t>État est habilité à statuer »</w:t>
      </w:r>
      <w:r w:rsidR="00C7313B" w:rsidRPr="00F02792">
        <w:rPr>
          <w:rStyle w:val="Appelnotedebasdep"/>
        </w:rPr>
        <w:footnoteReference w:id="70"/>
      </w:r>
      <w:r w:rsidR="00C7313B" w:rsidRPr="00F02792">
        <w:rPr>
          <w:lang w:val="fr-FR"/>
        </w:rPr>
        <w:t>. Serge Guinchard estime également que « l</w:t>
      </w:r>
      <w:r w:rsidR="00BB76F1">
        <w:rPr>
          <w:lang w:val="fr-FR"/>
        </w:rPr>
        <w:t>’</w:t>
      </w:r>
      <w:r w:rsidR="00C7313B" w:rsidRPr="00F02792">
        <w:rPr>
          <w:lang w:val="fr-FR"/>
        </w:rPr>
        <w:t>horizon du juge [national] s</w:t>
      </w:r>
      <w:r w:rsidR="00BB76F1">
        <w:rPr>
          <w:lang w:val="fr-FR"/>
        </w:rPr>
        <w:t>’</w:t>
      </w:r>
      <w:r w:rsidR="00C7313B" w:rsidRPr="00F02792">
        <w:rPr>
          <w:lang w:val="fr-FR"/>
        </w:rPr>
        <w:t>arrêtant à [ses] frontières, parce qu</w:t>
      </w:r>
      <w:r w:rsidR="00BB76F1">
        <w:rPr>
          <w:lang w:val="fr-FR"/>
        </w:rPr>
        <w:t>’</w:t>
      </w:r>
      <w:r w:rsidR="00C7313B" w:rsidRPr="00F02792">
        <w:rPr>
          <w:lang w:val="fr-FR"/>
        </w:rPr>
        <w:t>il n</w:t>
      </w:r>
      <w:r w:rsidR="00BB76F1">
        <w:rPr>
          <w:lang w:val="fr-FR"/>
        </w:rPr>
        <w:t>’</w:t>
      </w:r>
      <w:r w:rsidR="00C7313B" w:rsidRPr="00F02792">
        <w:rPr>
          <w:lang w:val="fr-FR"/>
        </w:rPr>
        <w:t>a pas le pouvoir de s</w:t>
      </w:r>
      <w:r w:rsidR="00BB76F1">
        <w:rPr>
          <w:lang w:val="fr-FR"/>
        </w:rPr>
        <w:t>’</w:t>
      </w:r>
      <w:r w:rsidR="00C7313B" w:rsidRPr="00F02792">
        <w:rPr>
          <w:lang w:val="fr-FR"/>
        </w:rPr>
        <w:t>interroger sur la compétence des juridictions étrangère, c</w:t>
      </w:r>
      <w:r w:rsidR="00BB76F1">
        <w:rPr>
          <w:lang w:val="fr-FR"/>
        </w:rPr>
        <w:t>’</w:t>
      </w:r>
      <w:r w:rsidR="00C7313B" w:rsidRPr="00F02792">
        <w:rPr>
          <w:lang w:val="fr-FR"/>
        </w:rPr>
        <w:t>est la fin de non-recevoir qui devrait être retenue, le plaideur étant démuni du droit d</w:t>
      </w:r>
      <w:r w:rsidR="00BB76F1">
        <w:rPr>
          <w:lang w:val="fr-FR"/>
        </w:rPr>
        <w:t>’</w:t>
      </w:r>
      <w:r w:rsidR="00C7313B" w:rsidRPr="00F02792">
        <w:rPr>
          <w:lang w:val="fr-FR"/>
        </w:rPr>
        <w:t>agir au se</w:t>
      </w:r>
      <w:r w:rsidR="00686D47" w:rsidRPr="00F02792">
        <w:rPr>
          <w:lang w:val="fr-FR"/>
        </w:rPr>
        <w:t>ns</w:t>
      </w:r>
      <w:r w:rsidR="00C7313B" w:rsidRPr="00F02792">
        <w:rPr>
          <w:lang w:val="fr-FR"/>
        </w:rPr>
        <w:t xml:space="preserve"> de demander au juge [national] qu</w:t>
      </w:r>
      <w:r w:rsidR="00BB76F1">
        <w:rPr>
          <w:lang w:val="fr-FR"/>
        </w:rPr>
        <w:t>’</w:t>
      </w:r>
      <w:r w:rsidR="00C7313B" w:rsidRPr="00F02792">
        <w:rPr>
          <w:lang w:val="fr-FR"/>
        </w:rPr>
        <w:t>il se prononce sur la compétence d</w:t>
      </w:r>
      <w:r w:rsidR="00BB76F1">
        <w:rPr>
          <w:lang w:val="fr-FR"/>
        </w:rPr>
        <w:t>’</w:t>
      </w:r>
      <w:r w:rsidR="00C7313B" w:rsidRPr="00F02792">
        <w:rPr>
          <w:lang w:val="fr-FR"/>
        </w:rPr>
        <w:t>un tribunal étranger »</w:t>
      </w:r>
      <w:r w:rsidR="00C7313B" w:rsidRPr="00F02792">
        <w:rPr>
          <w:rStyle w:val="Appelnotedebasdep"/>
          <w:lang w:val="fr-FR"/>
        </w:rPr>
        <w:footnoteReference w:id="71"/>
      </w:r>
      <w:r w:rsidR="00C7313B" w:rsidRPr="00F02792">
        <w:rPr>
          <w:lang w:val="fr-FR"/>
        </w:rPr>
        <w:t xml:space="preserve">. </w:t>
      </w:r>
    </w:p>
    <w:p w14:paraId="3009A37C" w14:textId="77777777" w:rsidR="00C7313B" w:rsidRPr="00F02792" w:rsidRDefault="00C7313B" w:rsidP="00C7313B">
      <w:pPr>
        <w:spacing w:line="276" w:lineRule="auto"/>
        <w:jc w:val="both"/>
        <w:rPr>
          <w:lang w:val="fr-FR"/>
        </w:rPr>
      </w:pPr>
    </w:p>
    <w:p w14:paraId="7CD1A608" w14:textId="4A80BBED" w:rsidR="00C7313B" w:rsidRPr="00F02792" w:rsidRDefault="00C7313B" w:rsidP="00C7313B">
      <w:pPr>
        <w:spacing w:line="276" w:lineRule="auto"/>
        <w:jc w:val="both"/>
        <w:rPr>
          <w:lang w:val="fr-FR"/>
        </w:rPr>
      </w:pPr>
      <w:r w:rsidRPr="00F02792">
        <w:rPr>
          <w:lang w:val="fr-FR"/>
        </w:rPr>
        <w:t>Cette analyse mérite cependant d</w:t>
      </w:r>
      <w:r w:rsidR="00BB76F1">
        <w:rPr>
          <w:lang w:val="fr-FR"/>
        </w:rPr>
        <w:t>’</w:t>
      </w:r>
      <w:r w:rsidRPr="00F02792">
        <w:rPr>
          <w:lang w:val="fr-FR"/>
        </w:rPr>
        <w:t>être nuancée tant en raison de l</w:t>
      </w:r>
      <w:r w:rsidR="00BB76F1">
        <w:rPr>
          <w:lang w:val="fr-FR"/>
        </w:rPr>
        <w:t>’</w:t>
      </w:r>
      <w:r w:rsidRPr="00F02792">
        <w:rPr>
          <w:lang w:val="fr-FR"/>
        </w:rPr>
        <w:t>intégration des règles de compétence au niveau européen</w:t>
      </w:r>
      <w:r w:rsidRPr="00F02792">
        <w:rPr>
          <w:rStyle w:val="Appelnotedebasdep"/>
          <w:lang w:val="fr-FR"/>
        </w:rPr>
        <w:footnoteReference w:id="72"/>
      </w:r>
      <w:r w:rsidRPr="00F02792">
        <w:rPr>
          <w:lang w:val="fr-FR"/>
        </w:rPr>
        <w:t xml:space="preserve"> qu</w:t>
      </w:r>
      <w:r w:rsidR="00BB76F1">
        <w:rPr>
          <w:lang w:val="fr-FR"/>
        </w:rPr>
        <w:t>’</w:t>
      </w:r>
      <w:r w:rsidRPr="00F02792">
        <w:rPr>
          <w:lang w:val="fr-FR"/>
        </w:rPr>
        <w:t xml:space="preserve">en raison de la solution </w:t>
      </w:r>
      <w:r w:rsidR="003B09EE" w:rsidRPr="00F02792">
        <w:rPr>
          <w:lang w:val="fr-FR"/>
        </w:rPr>
        <w:t xml:space="preserve">adoptée par </w:t>
      </w:r>
      <w:r w:rsidR="00F63BEF" w:rsidRPr="00F02792">
        <w:rPr>
          <w:lang w:val="fr-FR"/>
        </w:rPr>
        <w:t>le législateur (français en l</w:t>
      </w:r>
      <w:r w:rsidR="00BB76F1">
        <w:rPr>
          <w:lang w:val="fr-FR"/>
        </w:rPr>
        <w:t>’</w:t>
      </w:r>
      <w:r w:rsidR="00F63BEF" w:rsidRPr="00F02792">
        <w:rPr>
          <w:lang w:val="fr-FR"/>
        </w:rPr>
        <w:t>occurrence)</w:t>
      </w:r>
      <w:r w:rsidR="006A2B61" w:rsidRPr="00F02792">
        <w:rPr>
          <w:lang w:val="fr-FR"/>
        </w:rPr>
        <w:t xml:space="preserve"> de sanctionner </w:t>
      </w:r>
      <w:r w:rsidR="002C492D" w:rsidRPr="00F02792">
        <w:rPr>
          <w:lang w:val="fr-FR"/>
        </w:rPr>
        <w:t xml:space="preserve">les règles </w:t>
      </w:r>
      <w:r w:rsidR="00B16FD9" w:rsidRPr="00F02792">
        <w:rPr>
          <w:lang w:val="fr-FR"/>
        </w:rPr>
        <w:t xml:space="preserve">de compétence internationale </w:t>
      </w:r>
      <w:r w:rsidR="00097128" w:rsidRPr="00F02792">
        <w:rPr>
          <w:lang w:val="fr-FR"/>
        </w:rPr>
        <w:t xml:space="preserve">de manière analogue </w:t>
      </w:r>
      <w:r w:rsidR="00097128" w:rsidRPr="00F02792">
        <w:rPr>
          <w:lang w:val="fr-FR"/>
        </w:rPr>
        <w:lastRenderedPageBreak/>
        <w:t xml:space="preserve">aux </w:t>
      </w:r>
      <w:r w:rsidR="00556F8A" w:rsidRPr="00F02792">
        <w:rPr>
          <w:lang w:val="fr-FR"/>
        </w:rPr>
        <w:t xml:space="preserve">règles de compétence </w:t>
      </w:r>
      <w:r w:rsidR="00E035A8" w:rsidRPr="00F02792">
        <w:rPr>
          <w:lang w:val="fr-FR"/>
        </w:rPr>
        <w:t>interne</w:t>
      </w:r>
      <w:r w:rsidR="00CF33E8" w:rsidRPr="00F02792">
        <w:rPr>
          <w:lang w:val="fr-FR"/>
        </w:rPr>
        <w:t>s</w:t>
      </w:r>
      <w:r w:rsidRPr="00F02792">
        <w:rPr>
          <w:rStyle w:val="Appelnotedebasdep"/>
          <w:lang w:val="fr-FR"/>
        </w:rPr>
        <w:footnoteReference w:id="73"/>
      </w:r>
      <w:r w:rsidRPr="00F02792">
        <w:rPr>
          <w:lang w:val="fr-FR"/>
        </w:rPr>
        <w:t>. Serge Guinchard souligne à cet effet que la contestation de la compétence internationale du juge aurait dû relever des fins de non-recevoir</w:t>
      </w:r>
      <w:r w:rsidR="00600DAC" w:rsidRPr="00F02792">
        <w:rPr>
          <w:lang w:val="fr-FR"/>
        </w:rPr>
        <w:t xml:space="preserve">, </w:t>
      </w:r>
      <w:r w:rsidR="00657EF7" w:rsidRPr="00F02792">
        <w:rPr>
          <w:lang w:val="fr-FR"/>
        </w:rPr>
        <w:t>mais que</w:t>
      </w:r>
      <w:r w:rsidR="00B75DBC" w:rsidRPr="00F02792">
        <w:rPr>
          <w:lang w:val="fr-FR"/>
        </w:rPr>
        <w:t>, en France,</w:t>
      </w:r>
      <w:r w:rsidR="00600DAC" w:rsidRPr="00F02792">
        <w:rPr>
          <w:lang w:val="fr-FR"/>
        </w:rPr>
        <w:t xml:space="preserve"> </w:t>
      </w:r>
      <w:r w:rsidRPr="00F02792">
        <w:rPr>
          <w:lang w:val="fr-FR"/>
        </w:rPr>
        <w:t>« le pouvoir réglementaire en a décidé autrement »</w:t>
      </w:r>
      <w:r w:rsidRPr="00F02792">
        <w:rPr>
          <w:rStyle w:val="Appelnotedebasdep"/>
          <w:lang w:val="fr-FR"/>
        </w:rPr>
        <w:footnoteReference w:id="74"/>
      </w:r>
      <w:r w:rsidRPr="00F02792">
        <w:rPr>
          <w:lang w:val="fr-FR"/>
        </w:rPr>
        <w:t>. Il en va de même pour le moyen tiré de l</w:t>
      </w:r>
      <w:r w:rsidR="00BB76F1">
        <w:rPr>
          <w:lang w:val="fr-FR"/>
        </w:rPr>
        <w:t>’</w:t>
      </w:r>
      <w:r w:rsidRPr="00F02792">
        <w:rPr>
          <w:lang w:val="fr-FR"/>
        </w:rPr>
        <w:t>existence d</w:t>
      </w:r>
      <w:r w:rsidR="00BB76F1">
        <w:rPr>
          <w:lang w:val="fr-FR"/>
        </w:rPr>
        <w:t>’</w:t>
      </w:r>
      <w:r w:rsidRPr="00F02792">
        <w:rPr>
          <w:lang w:val="fr-FR"/>
        </w:rPr>
        <w:t>une clause compromissoire ; si conceptuellement il devrait relever des fins de non-recevoir, il est admis en droit français et luxembourgeois qu</w:t>
      </w:r>
      <w:r w:rsidR="00BB76F1">
        <w:rPr>
          <w:lang w:val="fr-FR"/>
        </w:rPr>
        <w:t>’</w:t>
      </w:r>
      <w:r w:rsidRPr="00F02792">
        <w:rPr>
          <w:lang w:val="fr-FR"/>
        </w:rPr>
        <w:t>il s</w:t>
      </w:r>
      <w:r w:rsidR="00BB76F1">
        <w:rPr>
          <w:lang w:val="fr-FR"/>
        </w:rPr>
        <w:t>’</w:t>
      </w:r>
      <w:r w:rsidRPr="00F02792">
        <w:rPr>
          <w:lang w:val="fr-FR"/>
        </w:rPr>
        <w:t>agit d</w:t>
      </w:r>
      <w:r w:rsidR="00BB76F1">
        <w:rPr>
          <w:lang w:val="fr-FR"/>
        </w:rPr>
        <w:t>’</w:t>
      </w:r>
      <w:r w:rsidRPr="00F02792">
        <w:rPr>
          <w:lang w:val="fr-FR"/>
        </w:rPr>
        <w:t>une « incompétence »</w:t>
      </w:r>
      <w:r w:rsidRPr="00F02792">
        <w:rPr>
          <w:rStyle w:val="Appelnotedebasdep"/>
          <w:lang w:val="fr-FR"/>
        </w:rPr>
        <w:footnoteReference w:id="75"/>
      </w:r>
      <w:r w:rsidRPr="00F02792">
        <w:rPr>
          <w:lang w:val="fr-FR"/>
        </w:rPr>
        <w:t xml:space="preserve">. </w:t>
      </w:r>
    </w:p>
    <w:p w14:paraId="11DB86E2" w14:textId="77777777" w:rsidR="00C7313B" w:rsidRPr="00F02792" w:rsidRDefault="00C7313B" w:rsidP="00C7313B">
      <w:pPr>
        <w:spacing w:line="276" w:lineRule="auto"/>
        <w:jc w:val="both"/>
        <w:rPr>
          <w:lang w:val="fr-FR"/>
        </w:rPr>
      </w:pPr>
    </w:p>
    <w:p w14:paraId="2DD236E3" w14:textId="291594CE" w:rsidR="00C7313B" w:rsidRPr="00F02792" w:rsidRDefault="00C7313B" w:rsidP="00C7313B">
      <w:pPr>
        <w:spacing w:line="276" w:lineRule="auto"/>
        <w:jc w:val="both"/>
        <w:rPr>
          <w:lang w:val="fr-FR"/>
        </w:rPr>
      </w:pPr>
      <w:r w:rsidRPr="00F02792">
        <w:rPr>
          <w:lang w:val="fr-FR"/>
        </w:rPr>
        <w:t>Sur ce point, le droit judiciaire belge est le plus correct conceptuellement puisqu</w:t>
      </w:r>
      <w:r w:rsidR="00BB76F1">
        <w:rPr>
          <w:lang w:val="fr-FR"/>
        </w:rPr>
        <w:t>’</w:t>
      </w:r>
      <w:r w:rsidRPr="00F02792">
        <w:rPr>
          <w:lang w:val="fr-FR"/>
        </w:rPr>
        <w:t>il distingue les incidents de compétence des incidents de juridiction pour désigner précisément l</w:t>
      </w:r>
      <w:r w:rsidR="00BB76F1">
        <w:rPr>
          <w:lang w:val="fr-FR"/>
        </w:rPr>
        <w:t>’</w:t>
      </w:r>
      <w:r w:rsidRPr="00F02792">
        <w:rPr>
          <w:lang w:val="fr-FR"/>
        </w:rPr>
        <w:t>hypothèse où un juge étranger ou un tribunal arbitral (mais aussi la juridiction d</w:t>
      </w:r>
      <w:r w:rsidR="00BB76F1">
        <w:rPr>
          <w:lang w:val="fr-FR"/>
        </w:rPr>
        <w:t>’</w:t>
      </w:r>
      <w:r w:rsidRPr="00F02792">
        <w:rPr>
          <w:lang w:val="fr-FR"/>
        </w:rPr>
        <w:t xml:space="preserve">un autre ordre de juridiction) est investi du pouvoir de juger privant le juge judiciaire belge dudit pouvoir. </w:t>
      </w:r>
      <w:r w:rsidR="00336E92" w:rsidRPr="00F02792">
        <w:rPr>
          <w:lang w:val="fr-FR"/>
        </w:rPr>
        <w:t>Et comme on l</w:t>
      </w:r>
      <w:r w:rsidR="00BB76F1">
        <w:rPr>
          <w:lang w:val="fr-FR"/>
        </w:rPr>
        <w:t>’</w:t>
      </w:r>
      <w:r w:rsidR="00336E92" w:rsidRPr="00F02792">
        <w:rPr>
          <w:lang w:val="fr-FR"/>
        </w:rPr>
        <w:t>a vu</w:t>
      </w:r>
      <w:r w:rsidR="00142674" w:rsidRPr="00F02792">
        <w:rPr>
          <w:lang w:val="fr-FR"/>
        </w:rPr>
        <w:t xml:space="preserve">, </w:t>
      </w:r>
      <w:r w:rsidRPr="00F02792">
        <w:rPr>
          <w:lang w:val="fr-FR"/>
        </w:rPr>
        <w:t>« </w:t>
      </w:r>
      <w:r w:rsidR="00142674" w:rsidRPr="00F02792">
        <w:rPr>
          <w:lang w:val="fr-FR"/>
        </w:rPr>
        <w:t>l</w:t>
      </w:r>
      <w:r w:rsidRPr="00F02792">
        <w:rPr>
          <w:lang w:val="fr-FR"/>
        </w:rPr>
        <w:t>a différence entre compétence et juridiction n</w:t>
      </w:r>
      <w:r w:rsidR="00BB76F1">
        <w:rPr>
          <w:lang w:val="fr-FR"/>
        </w:rPr>
        <w:t>’</w:t>
      </w:r>
      <w:r w:rsidRPr="00F02792">
        <w:rPr>
          <w:lang w:val="fr-FR"/>
        </w:rPr>
        <w:t>est évidemment pas purement théorique. On sait en effet que les règles du Code judiciaire relatives aux incidents de compétence et à leur règlement sont étrangères aux déclinatoires fondés sur l</w:t>
      </w:r>
      <w:r w:rsidR="00BB76F1">
        <w:rPr>
          <w:lang w:val="fr-FR"/>
        </w:rPr>
        <w:t>’</w:t>
      </w:r>
      <w:r w:rsidRPr="00F02792">
        <w:rPr>
          <w:lang w:val="fr-FR"/>
        </w:rPr>
        <w:t>attribution du litige à un juge étranger »</w:t>
      </w:r>
      <w:r w:rsidRPr="00F02792">
        <w:rPr>
          <w:rStyle w:val="Appelnotedebasdep"/>
          <w:lang w:val="fr-FR"/>
        </w:rPr>
        <w:footnoteReference w:id="76"/>
      </w:r>
      <w:r w:rsidRPr="00F02792">
        <w:rPr>
          <w:lang w:val="fr-FR"/>
        </w:rPr>
        <w:t>.</w:t>
      </w:r>
    </w:p>
    <w:p w14:paraId="74907170" w14:textId="77777777" w:rsidR="00C7313B" w:rsidRPr="00F02792" w:rsidRDefault="00C7313B" w:rsidP="00C7313B">
      <w:pPr>
        <w:spacing w:line="276" w:lineRule="auto"/>
        <w:jc w:val="both"/>
        <w:rPr>
          <w:lang w:val="fr-FR"/>
        </w:rPr>
      </w:pPr>
    </w:p>
    <w:p w14:paraId="645CC0C2" w14:textId="26BF615D" w:rsidR="00C7313B" w:rsidRPr="00F02792" w:rsidRDefault="0097494C" w:rsidP="00C7313B">
      <w:pPr>
        <w:spacing w:line="276" w:lineRule="auto"/>
        <w:jc w:val="both"/>
        <w:rPr>
          <w:color w:val="000000" w:themeColor="text1"/>
          <w:lang w:val="fr-FR"/>
        </w:rPr>
      </w:pPr>
      <w:r w:rsidRPr="00F02792">
        <w:rPr>
          <w:lang w:val="fr-FR"/>
        </w:rPr>
        <w:t>En réalité, le</w:t>
      </w:r>
      <w:r w:rsidR="00C7313B" w:rsidRPr="00F02792">
        <w:rPr>
          <w:lang w:val="fr-FR"/>
        </w:rPr>
        <w:t xml:space="preserve"> droit français établit</w:t>
      </w:r>
      <w:r w:rsidR="00B70C8D" w:rsidRPr="00F02792">
        <w:rPr>
          <w:lang w:val="fr-FR"/>
        </w:rPr>
        <w:t xml:space="preserve"> lui aussi</w:t>
      </w:r>
      <w:r w:rsidR="00C7313B" w:rsidRPr="00F02792">
        <w:rPr>
          <w:lang w:val="fr-FR"/>
        </w:rPr>
        <w:t xml:space="preserve"> une distinction non pas du point de vue des notions </w:t>
      </w:r>
      <w:r w:rsidR="00A26E72" w:rsidRPr="00F02792">
        <w:rPr>
          <w:lang w:val="fr-FR"/>
        </w:rPr>
        <w:t xml:space="preserve">de compétence interne et de compétence internationale, </w:t>
      </w:r>
      <w:r w:rsidR="00C7313B" w:rsidRPr="00F02792">
        <w:rPr>
          <w:lang w:val="fr-FR"/>
        </w:rPr>
        <w:t>mais</w:t>
      </w:r>
      <w:r w:rsidR="00097350" w:rsidRPr="00F02792">
        <w:rPr>
          <w:lang w:val="fr-FR"/>
        </w:rPr>
        <w:t xml:space="preserve"> du point de vue</w:t>
      </w:r>
      <w:r w:rsidR="00C7313B" w:rsidRPr="00F02792">
        <w:rPr>
          <w:lang w:val="fr-FR"/>
        </w:rPr>
        <w:t xml:space="preserve"> du régime </w:t>
      </w:r>
      <w:r w:rsidR="000E0313" w:rsidRPr="00F02792">
        <w:rPr>
          <w:lang w:val="fr-FR"/>
        </w:rPr>
        <w:t xml:space="preserve">applicable aux </w:t>
      </w:r>
      <w:r w:rsidR="00C7313B" w:rsidRPr="00F02792">
        <w:rPr>
          <w:lang w:val="fr-FR"/>
        </w:rPr>
        <w:t xml:space="preserve">sanctions </w:t>
      </w:r>
      <w:r w:rsidR="002F79ED" w:rsidRPr="00F02792">
        <w:rPr>
          <w:lang w:val="fr-FR"/>
        </w:rPr>
        <w:t>selon le type</w:t>
      </w:r>
      <w:r w:rsidR="00C7313B" w:rsidRPr="00F02792">
        <w:rPr>
          <w:lang w:val="fr-FR"/>
        </w:rPr>
        <w:t xml:space="preserve"> de compétences. </w:t>
      </w:r>
      <w:r w:rsidR="002F6999" w:rsidRPr="00F02792">
        <w:rPr>
          <w:lang w:val="fr-FR"/>
        </w:rPr>
        <w:t>L</w:t>
      </w:r>
      <w:r w:rsidR="00BB76F1">
        <w:rPr>
          <w:lang w:val="fr-FR"/>
        </w:rPr>
        <w:t>’</w:t>
      </w:r>
      <w:r w:rsidR="002F6999" w:rsidRPr="00F02792">
        <w:rPr>
          <w:lang w:val="fr-FR"/>
        </w:rPr>
        <w:t xml:space="preserve">article 81 du Code de procédure civile </w:t>
      </w:r>
      <w:r w:rsidR="002F6999" w:rsidRPr="00F02792">
        <w:rPr>
          <w:color w:val="000000" w:themeColor="text1"/>
          <w:lang w:val="fr-FR"/>
        </w:rPr>
        <w:t xml:space="preserve">français dispose à cet effet que </w:t>
      </w:r>
      <w:r w:rsidR="00C7313B" w:rsidRPr="00F02792">
        <w:rPr>
          <w:color w:val="000000" w:themeColor="text1"/>
          <w:lang w:val="fr-FR"/>
        </w:rPr>
        <w:t xml:space="preserve">« </w:t>
      </w:r>
      <w:r w:rsidR="002F6999" w:rsidRPr="00F02792">
        <w:rPr>
          <w:color w:val="000000" w:themeColor="text1"/>
          <w:lang w:val="fr-FR"/>
        </w:rPr>
        <w:t>l</w:t>
      </w:r>
      <w:r w:rsidR="00C7313B" w:rsidRPr="00F02792">
        <w:rPr>
          <w:color w:val="000000" w:themeColor="text1"/>
          <w:lang w:val="fr-FR"/>
        </w:rPr>
        <w:t>orsque le juge estime que l</w:t>
      </w:r>
      <w:r w:rsidR="00BB76F1">
        <w:rPr>
          <w:color w:val="000000" w:themeColor="text1"/>
          <w:lang w:val="fr-FR"/>
        </w:rPr>
        <w:t>’</w:t>
      </w:r>
      <w:r w:rsidR="00C7313B" w:rsidRPr="00F02792">
        <w:rPr>
          <w:color w:val="000000" w:themeColor="text1"/>
          <w:lang w:val="fr-FR"/>
        </w:rPr>
        <w:t>affaire relève de la compétence d</w:t>
      </w:r>
      <w:r w:rsidR="00BB76F1">
        <w:rPr>
          <w:color w:val="000000" w:themeColor="text1"/>
          <w:lang w:val="fr-FR"/>
        </w:rPr>
        <w:t>’</w:t>
      </w:r>
      <w:r w:rsidR="00C7313B" w:rsidRPr="00F02792">
        <w:rPr>
          <w:color w:val="000000" w:themeColor="text1"/>
          <w:lang w:val="fr-FR"/>
        </w:rPr>
        <w:t>une juridiction répressive, administrative, arbitrale ou étrangère, il renvoie seulement les parties à mieux se pourvoir. Dans tous les autres cas, le juge qui se déclare incompétent désigne la juridiction qu</w:t>
      </w:r>
      <w:r w:rsidR="00BB76F1">
        <w:rPr>
          <w:color w:val="000000" w:themeColor="text1"/>
          <w:lang w:val="fr-FR"/>
        </w:rPr>
        <w:t>’</w:t>
      </w:r>
      <w:r w:rsidR="00C7313B" w:rsidRPr="00F02792">
        <w:rPr>
          <w:color w:val="000000" w:themeColor="text1"/>
          <w:lang w:val="fr-FR"/>
        </w:rPr>
        <w:t>il estime compétente. Cette désignation s</w:t>
      </w:r>
      <w:r w:rsidR="00BB76F1">
        <w:rPr>
          <w:color w:val="000000" w:themeColor="text1"/>
          <w:lang w:val="fr-FR"/>
        </w:rPr>
        <w:t>’</w:t>
      </w:r>
      <w:r w:rsidR="00C7313B" w:rsidRPr="00F02792">
        <w:rPr>
          <w:color w:val="000000" w:themeColor="text1"/>
          <w:lang w:val="fr-FR"/>
        </w:rPr>
        <w:t>impose aux parties et au juge de renvo</w:t>
      </w:r>
      <w:r w:rsidR="00417158" w:rsidRPr="00F02792">
        <w:rPr>
          <w:color w:val="000000" w:themeColor="text1"/>
          <w:lang w:val="fr-FR"/>
        </w:rPr>
        <w:t>i »</w:t>
      </w:r>
      <w:r w:rsidR="00C7313B" w:rsidRPr="00F02792">
        <w:rPr>
          <w:color w:val="000000" w:themeColor="text1"/>
          <w:lang w:val="fr-FR"/>
        </w:rPr>
        <w:t>. Dans le cas de la compétence internationale, il n</w:t>
      </w:r>
      <w:r w:rsidR="00BB76F1">
        <w:rPr>
          <w:color w:val="000000" w:themeColor="text1"/>
          <w:lang w:val="fr-FR"/>
        </w:rPr>
        <w:t>’</w:t>
      </w:r>
      <w:r w:rsidR="00C7313B" w:rsidRPr="00F02792">
        <w:rPr>
          <w:color w:val="000000" w:themeColor="text1"/>
          <w:lang w:val="fr-FR"/>
        </w:rPr>
        <w:t>y a pas de renvoi</w:t>
      </w:r>
      <w:r w:rsidR="00016E9E" w:rsidRPr="00F02792">
        <w:rPr>
          <w:color w:val="000000" w:themeColor="text1"/>
          <w:lang w:val="fr-FR"/>
        </w:rPr>
        <w:t xml:space="preserve"> et l</w:t>
      </w:r>
      <w:r w:rsidR="00BB76F1">
        <w:rPr>
          <w:color w:val="000000" w:themeColor="text1"/>
          <w:lang w:val="fr-FR"/>
        </w:rPr>
        <w:t>’</w:t>
      </w:r>
      <w:r w:rsidR="00016E9E" w:rsidRPr="00F02792">
        <w:rPr>
          <w:color w:val="000000" w:themeColor="text1"/>
          <w:lang w:val="fr-FR"/>
        </w:rPr>
        <w:t xml:space="preserve">instance prend fin </w:t>
      </w:r>
      <w:r w:rsidR="00010133" w:rsidRPr="00F02792">
        <w:rPr>
          <w:color w:val="000000" w:themeColor="text1"/>
          <w:lang w:val="fr-FR"/>
        </w:rPr>
        <w:t>à char</w:t>
      </w:r>
      <w:r w:rsidR="00FE5187" w:rsidRPr="00F02792">
        <w:rPr>
          <w:color w:val="000000" w:themeColor="text1"/>
          <w:lang w:val="fr-FR"/>
        </w:rPr>
        <w:t>g</w:t>
      </w:r>
      <w:r w:rsidR="00010133" w:rsidRPr="00F02792">
        <w:rPr>
          <w:color w:val="000000" w:themeColor="text1"/>
          <w:lang w:val="fr-FR"/>
        </w:rPr>
        <w:t xml:space="preserve">e </w:t>
      </w:r>
      <w:r w:rsidR="00CC58D6" w:rsidRPr="00F02792">
        <w:rPr>
          <w:color w:val="000000" w:themeColor="text1"/>
          <w:lang w:val="fr-FR"/>
        </w:rPr>
        <w:t xml:space="preserve">du </w:t>
      </w:r>
      <w:r w:rsidR="00FE5187" w:rsidRPr="00F02792">
        <w:t>demandeur d</w:t>
      </w:r>
      <w:r w:rsidR="00BB76F1">
        <w:t>’</w:t>
      </w:r>
      <w:r w:rsidR="00FE5187" w:rsidRPr="00F02792">
        <w:t>introduire une nouvelle instance devant le juge compétent</w:t>
      </w:r>
      <w:r w:rsidR="00C7313B" w:rsidRPr="00F02792">
        <w:rPr>
          <w:color w:val="000000" w:themeColor="text1"/>
          <w:lang w:val="fr-FR"/>
        </w:rPr>
        <w:t xml:space="preserve">. </w:t>
      </w:r>
      <w:r w:rsidR="00BF406A" w:rsidRPr="00F02792">
        <w:rPr>
          <w:color w:val="000000" w:themeColor="text1"/>
          <w:lang w:val="fr-FR"/>
        </w:rPr>
        <w:t>C</w:t>
      </w:r>
      <w:r w:rsidR="00BB76F1">
        <w:rPr>
          <w:color w:val="000000" w:themeColor="text1"/>
          <w:lang w:val="fr-FR"/>
        </w:rPr>
        <w:t>’</w:t>
      </w:r>
      <w:r w:rsidR="00BF406A" w:rsidRPr="00F02792">
        <w:rPr>
          <w:color w:val="000000" w:themeColor="text1"/>
          <w:lang w:val="fr-FR"/>
        </w:rPr>
        <w:t xml:space="preserve">était en tout cas </w:t>
      </w:r>
      <w:r w:rsidR="00BE303F" w:rsidRPr="00F02792">
        <w:rPr>
          <w:color w:val="000000" w:themeColor="text1"/>
          <w:lang w:val="fr-FR"/>
        </w:rPr>
        <w:t>la solution traditionnelle</w:t>
      </w:r>
      <w:r w:rsidR="00016E9E" w:rsidRPr="00F02792">
        <w:rPr>
          <w:color w:val="000000" w:themeColor="text1"/>
          <w:lang w:val="fr-FR"/>
        </w:rPr>
        <w:t xml:space="preserve">. </w:t>
      </w:r>
    </w:p>
    <w:p w14:paraId="3BA52F4F" w14:textId="77777777" w:rsidR="004419A0" w:rsidRPr="00F02792" w:rsidRDefault="004419A0" w:rsidP="00C7313B">
      <w:pPr>
        <w:spacing w:line="276" w:lineRule="auto"/>
        <w:jc w:val="both"/>
        <w:rPr>
          <w:rFonts w:eastAsiaTheme="minorHAnsi"/>
          <w:lang w:val="fr-FR"/>
        </w:rPr>
      </w:pPr>
    </w:p>
    <w:p w14:paraId="0C462B3F" w14:textId="000FE1C7" w:rsidR="00AC178D" w:rsidRPr="00F02792" w:rsidRDefault="003A5E7A" w:rsidP="00AC178D">
      <w:pPr>
        <w:spacing w:line="276" w:lineRule="auto"/>
        <w:jc w:val="both"/>
        <w:rPr>
          <w:b/>
          <w:bCs/>
          <w:color w:val="FF0000"/>
          <w:lang w:val="fr-FR"/>
        </w:rPr>
      </w:pPr>
      <w:r w:rsidRPr="00F02792">
        <w:rPr>
          <w:lang w:val="fr-FR"/>
        </w:rPr>
        <w:t>En effet, si</w:t>
      </w:r>
      <w:r w:rsidR="00AC178D" w:rsidRPr="00F02792">
        <w:rPr>
          <w:lang w:val="fr-FR"/>
        </w:rPr>
        <w:t xml:space="preserve"> le renvoi n</w:t>
      </w:r>
      <w:r w:rsidR="00BB76F1">
        <w:rPr>
          <w:lang w:val="fr-FR"/>
        </w:rPr>
        <w:t>’</w:t>
      </w:r>
      <w:r w:rsidR="00AC178D" w:rsidRPr="00F02792">
        <w:rPr>
          <w:lang w:val="fr-FR"/>
        </w:rPr>
        <w:t>est pas (encore) admis en matière internationale</w:t>
      </w:r>
      <w:r w:rsidR="0091786F" w:rsidRPr="00F02792">
        <w:rPr>
          <w:lang w:val="fr-FR"/>
        </w:rPr>
        <w:t xml:space="preserve"> </w:t>
      </w:r>
      <w:r w:rsidR="00AC178D" w:rsidRPr="00F02792">
        <w:rPr>
          <w:lang w:val="fr-FR"/>
        </w:rPr>
        <w:t>(sauf en matière de responsabilité parentale</w:t>
      </w:r>
      <w:r w:rsidR="00AC178D" w:rsidRPr="00F02792">
        <w:rPr>
          <w:rStyle w:val="Appelnotedebasdep"/>
          <w:lang w:val="fr-FR"/>
        </w:rPr>
        <w:footnoteReference w:id="77"/>
      </w:r>
      <w:r w:rsidR="00AC178D" w:rsidRPr="00F02792">
        <w:rPr>
          <w:lang w:val="fr-FR"/>
        </w:rPr>
        <w:t>), un mouvement tend à se dessiner en ce sens par le truchement de l</w:t>
      </w:r>
      <w:r w:rsidR="00BB76F1">
        <w:rPr>
          <w:lang w:val="fr-FR"/>
        </w:rPr>
        <w:t>’</w:t>
      </w:r>
      <w:r w:rsidR="00AC178D" w:rsidRPr="00F02792">
        <w:rPr>
          <w:lang w:val="fr-FR"/>
        </w:rPr>
        <w:t>autorité de chose jugée du jugement d</w:t>
      </w:r>
      <w:r w:rsidR="00BB76F1">
        <w:rPr>
          <w:lang w:val="fr-FR"/>
        </w:rPr>
        <w:t>’</w:t>
      </w:r>
      <w:r w:rsidR="00AC178D" w:rsidRPr="00F02792">
        <w:rPr>
          <w:lang w:val="fr-FR"/>
        </w:rPr>
        <w:t>incompétence.</w:t>
      </w:r>
      <w:r w:rsidR="008C1623" w:rsidRPr="00F02792">
        <w:rPr>
          <w:lang w:val="fr-FR"/>
        </w:rPr>
        <w:t xml:space="preserve"> </w:t>
      </w:r>
      <w:r w:rsidR="00AC178D" w:rsidRPr="00F02792">
        <w:rPr>
          <w:lang w:val="fr-FR"/>
        </w:rPr>
        <w:t xml:space="preserve">Sur ce point, </w:t>
      </w:r>
      <w:r w:rsidR="00090E8C" w:rsidRPr="00F02792">
        <w:rPr>
          <w:lang w:val="fr-FR"/>
        </w:rPr>
        <w:t>à tout le moins dans le cadre européen</w:t>
      </w:r>
      <w:r w:rsidR="00B92334" w:rsidRPr="00F02792">
        <w:rPr>
          <w:lang w:val="fr-FR"/>
        </w:rPr>
        <w:t>,</w:t>
      </w:r>
      <w:r w:rsidR="00090E8C" w:rsidRPr="00F02792">
        <w:rPr>
          <w:lang w:val="fr-FR"/>
        </w:rPr>
        <w:t xml:space="preserve"> </w:t>
      </w:r>
      <w:r w:rsidR="00AC178D" w:rsidRPr="00F02792">
        <w:rPr>
          <w:lang w:val="fr-FR"/>
        </w:rPr>
        <w:t>on rappellera l</w:t>
      </w:r>
      <w:r w:rsidR="00BB76F1">
        <w:rPr>
          <w:lang w:val="fr-FR"/>
        </w:rPr>
        <w:t>’</w:t>
      </w:r>
      <w:r w:rsidR="00AC178D" w:rsidRPr="00F02792">
        <w:rPr>
          <w:lang w:val="fr-FR"/>
        </w:rPr>
        <w:t xml:space="preserve">important arrêt </w:t>
      </w:r>
      <w:r w:rsidR="00AC178D" w:rsidRPr="00F02792">
        <w:rPr>
          <w:i/>
          <w:iCs/>
          <w:lang w:val="fr-FR"/>
        </w:rPr>
        <w:t>Gothaer</w:t>
      </w:r>
      <w:r w:rsidR="00AC178D" w:rsidRPr="00F02792">
        <w:rPr>
          <w:lang w:val="fr-FR"/>
        </w:rPr>
        <w:t xml:space="preserve"> de la Cour de justice </w:t>
      </w:r>
      <w:r w:rsidR="00A839F8" w:rsidRPr="00F02792">
        <w:rPr>
          <w:lang w:val="fr-FR"/>
        </w:rPr>
        <w:t>de l</w:t>
      </w:r>
      <w:r w:rsidR="00BB76F1">
        <w:rPr>
          <w:lang w:val="fr-FR"/>
        </w:rPr>
        <w:t>’</w:t>
      </w:r>
      <w:r w:rsidR="00A839F8" w:rsidRPr="00F02792">
        <w:rPr>
          <w:lang w:val="fr-FR"/>
        </w:rPr>
        <w:t xml:space="preserve">Union européenne </w:t>
      </w:r>
      <w:r w:rsidR="00AC178D" w:rsidRPr="00F02792">
        <w:rPr>
          <w:lang w:val="fr-FR"/>
        </w:rPr>
        <w:t>qui a jugé qu</w:t>
      </w:r>
      <w:r w:rsidR="00BB76F1">
        <w:rPr>
          <w:lang w:val="fr-FR"/>
        </w:rPr>
        <w:t>’</w:t>
      </w:r>
      <w:r w:rsidR="00AC178D" w:rsidRPr="00F02792">
        <w:rPr>
          <w:lang w:val="fr-FR"/>
        </w:rPr>
        <w:t>une décision d</w:t>
      </w:r>
      <w:r w:rsidR="00BB76F1">
        <w:rPr>
          <w:lang w:val="fr-FR"/>
        </w:rPr>
        <w:t>’</w:t>
      </w:r>
      <w:r w:rsidR="00AC178D" w:rsidRPr="00F02792">
        <w:rPr>
          <w:lang w:val="fr-FR"/>
        </w:rPr>
        <w:t>incompétence prise par une juridiction nationale sur le fondement d</w:t>
      </w:r>
      <w:r w:rsidR="00BB76F1">
        <w:rPr>
          <w:lang w:val="fr-FR"/>
        </w:rPr>
        <w:t>’</w:t>
      </w:r>
      <w:r w:rsidR="00AC178D" w:rsidRPr="00F02792">
        <w:rPr>
          <w:lang w:val="fr-FR"/>
        </w:rPr>
        <w:t>une clause attributive de juridiction doit être reconnue dans les autres Etats membres</w:t>
      </w:r>
      <w:r w:rsidR="00AC178D" w:rsidRPr="00F02792">
        <w:rPr>
          <w:rStyle w:val="Appelnotedebasdep"/>
          <w:lang w:val="fr-FR"/>
        </w:rPr>
        <w:footnoteReference w:id="78"/>
      </w:r>
      <w:r w:rsidR="00AC178D" w:rsidRPr="00F02792">
        <w:rPr>
          <w:lang w:val="fr-FR"/>
        </w:rPr>
        <w:t>. Cet arrêt marque l</w:t>
      </w:r>
      <w:r w:rsidR="00BB76F1">
        <w:rPr>
          <w:lang w:val="fr-FR"/>
        </w:rPr>
        <w:t>’</w:t>
      </w:r>
      <w:r w:rsidR="00AC178D" w:rsidRPr="00F02792">
        <w:rPr>
          <w:lang w:val="fr-FR"/>
        </w:rPr>
        <w:t xml:space="preserve">intégration des décisions de compétence au titre de celles </w:t>
      </w:r>
      <w:r w:rsidR="00AC178D" w:rsidRPr="00F02792">
        <w:rPr>
          <w:lang w:val="fr-FR"/>
        </w:rPr>
        <w:lastRenderedPageBreak/>
        <w:t>pouvant circuler au sein de l</w:t>
      </w:r>
      <w:r w:rsidR="00BB76F1">
        <w:rPr>
          <w:lang w:val="fr-FR"/>
        </w:rPr>
        <w:t>’</w:t>
      </w:r>
      <w:r w:rsidR="00AC178D" w:rsidRPr="00F02792">
        <w:rPr>
          <w:lang w:val="fr-FR"/>
        </w:rPr>
        <w:t>Union européenne</w:t>
      </w:r>
      <w:r w:rsidR="00AC178D" w:rsidRPr="00F02792">
        <w:rPr>
          <w:rStyle w:val="Appelnotedebasdep"/>
          <w:lang w:val="fr-FR"/>
        </w:rPr>
        <w:footnoteReference w:id="79"/>
      </w:r>
      <w:r w:rsidR="00AC178D" w:rsidRPr="00F02792">
        <w:rPr>
          <w:lang w:val="fr-FR"/>
        </w:rPr>
        <w:t>. L</w:t>
      </w:r>
      <w:r w:rsidR="00BB76F1">
        <w:rPr>
          <w:lang w:val="fr-FR"/>
        </w:rPr>
        <w:t>’</w:t>
      </w:r>
      <w:r w:rsidR="00AC178D" w:rsidRPr="00F02792">
        <w:rPr>
          <w:lang w:val="fr-FR"/>
        </w:rPr>
        <w:t>autorité d</w:t>
      </w:r>
      <w:r w:rsidR="00BB76F1">
        <w:rPr>
          <w:lang w:val="fr-FR"/>
        </w:rPr>
        <w:t>’</w:t>
      </w:r>
      <w:r w:rsidR="00AC178D" w:rsidRPr="00F02792">
        <w:rPr>
          <w:lang w:val="fr-FR"/>
        </w:rPr>
        <w:t>une décision étrangère d</w:t>
      </w:r>
      <w:r w:rsidR="00BB76F1">
        <w:rPr>
          <w:lang w:val="fr-FR"/>
        </w:rPr>
        <w:t>’</w:t>
      </w:r>
      <w:r w:rsidR="00AC178D" w:rsidRPr="00F02792">
        <w:rPr>
          <w:lang w:val="fr-FR"/>
        </w:rPr>
        <w:t>incompétence sur le juge national suscite d</w:t>
      </w:r>
      <w:r w:rsidR="00BB76F1">
        <w:rPr>
          <w:lang w:val="fr-FR"/>
        </w:rPr>
        <w:t>’</w:t>
      </w:r>
      <w:r w:rsidR="00AC178D" w:rsidRPr="00F02792">
        <w:rPr>
          <w:lang w:val="fr-FR"/>
        </w:rPr>
        <w:t>importantes questions qui dépassent le cadre de cet article mais constitue une évolution majeure en matière de compétence internationale tant dans le cadre européen</w:t>
      </w:r>
      <w:r w:rsidR="00AC178D" w:rsidRPr="00F02792">
        <w:rPr>
          <w:rStyle w:val="Appelnotedebasdep"/>
          <w:lang w:val="fr-FR"/>
        </w:rPr>
        <w:footnoteReference w:id="80"/>
      </w:r>
      <w:r w:rsidR="00AC178D" w:rsidRPr="00F02792">
        <w:rPr>
          <w:lang w:val="fr-FR"/>
        </w:rPr>
        <w:t>, qu</w:t>
      </w:r>
      <w:r w:rsidR="00BB76F1">
        <w:rPr>
          <w:lang w:val="fr-FR"/>
        </w:rPr>
        <w:t>’</w:t>
      </w:r>
      <w:r w:rsidR="00AC178D" w:rsidRPr="00F02792">
        <w:rPr>
          <w:lang w:val="fr-FR"/>
        </w:rPr>
        <w:t>au-delà</w:t>
      </w:r>
      <w:r w:rsidR="00AC178D" w:rsidRPr="00F02792">
        <w:rPr>
          <w:rStyle w:val="Appelnotedebasdep"/>
          <w:lang w:val="fr-FR"/>
        </w:rPr>
        <w:footnoteReference w:id="81"/>
      </w:r>
      <w:r w:rsidR="00AC178D" w:rsidRPr="00F02792">
        <w:rPr>
          <w:lang w:val="fr-FR"/>
        </w:rPr>
        <w:t xml:space="preserve">. </w:t>
      </w:r>
    </w:p>
    <w:p w14:paraId="7AF5D09F" w14:textId="77777777" w:rsidR="00AC178D" w:rsidRPr="00F02792" w:rsidRDefault="00AC178D" w:rsidP="00AC178D">
      <w:pPr>
        <w:spacing w:line="276" w:lineRule="auto"/>
        <w:jc w:val="both"/>
        <w:rPr>
          <w:lang w:val="fr-FR"/>
        </w:rPr>
      </w:pPr>
    </w:p>
    <w:p w14:paraId="578C3D37" w14:textId="33038345" w:rsidR="00A8438C" w:rsidRPr="00F02792" w:rsidRDefault="00AC178D" w:rsidP="00AC178D">
      <w:pPr>
        <w:spacing w:line="276" w:lineRule="auto"/>
        <w:jc w:val="both"/>
        <w:rPr>
          <w:color w:val="000000"/>
          <w:lang w:val="fr-FR"/>
        </w:rPr>
      </w:pPr>
      <w:r w:rsidRPr="00F02792">
        <w:rPr>
          <w:lang w:val="fr-FR"/>
        </w:rPr>
        <w:t>Sans consacrer de renvoi à l</w:t>
      </w:r>
      <w:r w:rsidR="00BB76F1">
        <w:rPr>
          <w:lang w:val="fr-FR"/>
        </w:rPr>
        <w:t>’</w:t>
      </w:r>
      <w:r w:rsidRPr="00F02792">
        <w:rPr>
          <w:lang w:val="fr-FR"/>
        </w:rPr>
        <w:t>international</w:t>
      </w:r>
      <w:r w:rsidR="00876AE7" w:rsidRPr="00F02792">
        <w:rPr>
          <w:rStyle w:val="Appelnotedebasdep"/>
          <w:lang w:val="fr-FR"/>
        </w:rPr>
        <w:footnoteReference w:id="82"/>
      </w:r>
      <w:r w:rsidRPr="00F02792">
        <w:rPr>
          <w:lang w:val="fr-FR"/>
        </w:rPr>
        <w:t>, la Cour de cassation française estime que, même en matière internationale, le déclinatoire de compétence doit être motivé et indiquer la juridiction étrangère compétente</w:t>
      </w:r>
      <w:r w:rsidRPr="00F02792">
        <w:rPr>
          <w:rStyle w:val="Appelnotedebasdep"/>
          <w:lang w:val="fr-FR"/>
        </w:rPr>
        <w:footnoteReference w:id="83"/>
      </w:r>
      <w:r w:rsidRPr="00F02792">
        <w:rPr>
          <w:lang w:val="fr-FR"/>
        </w:rPr>
        <w:t>. Elle a jugé dans un arrêt du 27 janvier 2021 que l</w:t>
      </w:r>
      <w:r w:rsidR="00BB76F1">
        <w:rPr>
          <w:lang w:val="fr-FR"/>
        </w:rPr>
        <w:t>’</w:t>
      </w:r>
      <w:r w:rsidRPr="00F02792">
        <w:rPr>
          <w:lang w:val="fr-FR"/>
        </w:rPr>
        <w:t xml:space="preserve">article 75 </w:t>
      </w:r>
      <w:r w:rsidRPr="00F02792">
        <w:rPr>
          <w:color w:val="000000"/>
        </w:rPr>
        <w:t>du Code de procédure civile</w:t>
      </w:r>
      <w:r w:rsidRPr="00F02792">
        <w:rPr>
          <w:color w:val="000000"/>
          <w:lang w:val="fr-FR"/>
        </w:rPr>
        <w:t xml:space="preserve"> français </w:t>
      </w:r>
      <w:r w:rsidRPr="00F02792">
        <w:rPr>
          <w:lang w:val="fr-FR"/>
        </w:rPr>
        <w:t>a</w:t>
      </w:r>
      <w:r w:rsidRPr="00F02792">
        <w:rPr>
          <w:color w:val="000000"/>
        </w:rPr>
        <w:t>pplicable en matière internationale</w:t>
      </w:r>
      <w:r w:rsidRPr="00F02792">
        <w:rPr>
          <w:color w:val="000000"/>
          <w:lang w:val="fr-FR"/>
        </w:rPr>
        <w:t xml:space="preserve"> </w:t>
      </w:r>
      <w:r w:rsidRPr="00F02792">
        <w:rPr>
          <w:color w:val="000000"/>
        </w:rPr>
        <w:t>oblige l</w:t>
      </w:r>
      <w:r w:rsidR="00BB76F1">
        <w:rPr>
          <w:color w:val="000000"/>
        </w:rPr>
        <w:t>’</w:t>
      </w:r>
      <w:r w:rsidRPr="00F02792">
        <w:rPr>
          <w:color w:val="000000"/>
        </w:rPr>
        <w:t>auteur de l</w:t>
      </w:r>
      <w:r w:rsidR="00BB76F1">
        <w:rPr>
          <w:color w:val="000000"/>
        </w:rPr>
        <w:t>’</w:t>
      </w:r>
      <w:r w:rsidRPr="00F02792">
        <w:rPr>
          <w:color w:val="000000"/>
        </w:rPr>
        <w:t>exception d</w:t>
      </w:r>
      <w:r w:rsidR="00BB76F1">
        <w:rPr>
          <w:color w:val="000000"/>
        </w:rPr>
        <w:t>’</w:t>
      </w:r>
      <w:r w:rsidRPr="00F02792">
        <w:rPr>
          <w:color w:val="000000"/>
        </w:rPr>
        <w:t xml:space="preserve">incompétence à désigner le juge étranger compétent </w:t>
      </w:r>
      <w:r w:rsidRPr="00F02792">
        <w:rPr>
          <w:color w:val="000000"/>
          <w:lang w:val="fr-FR"/>
        </w:rPr>
        <w:t>et que, e</w:t>
      </w:r>
      <w:r w:rsidRPr="00F02792">
        <w:rPr>
          <w:color w:val="000000"/>
        </w:rPr>
        <w:t>n cas d</w:t>
      </w:r>
      <w:r w:rsidR="00BB76F1">
        <w:rPr>
          <w:color w:val="000000"/>
        </w:rPr>
        <w:t>’</w:t>
      </w:r>
      <w:r w:rsidRPr="00F02792">
        <w:rPr>
          <w:color w:val="000000"/>
        </w:rPr>
        <w:t>option de compétence entre deux juridictions relevant d</w:t>
      </w:r>
      <w:r w:rsidR="00BB76F1">
        <w:rPr>
          <w:color w:val="000000"/>
        </w:rPr>
        <w:t>’</w:t>
      </w:r>
      <w:r w:rsidRPr="00F02792">
        <w:rPr>
          <w:color w:val="000000"/>
        </w:rPr>
        <w:t>un même État, il satisfait à son obligation dès lors qu</w:t>
      </w:r>
      <w:r w:rsidR="00BB76F1">
        <w:rPr>
          <w:color w:val="000000"/>
        </w:rPr>
        <w:t>’</w:t>
      </w:r>
      <w:r w:rsidRPr="00F02792">
        <w:rPr>
          <w:color w:val="000000"/>
        </w:rPr>
        <w:t>il désigne les juridictions de cet État</w:t>
      </w:r>
      <w:r w:rsidRPr="00F02792">
        <w:rPr>
          <w:rStyle w:val="Appelnotedebasdep"/>
          <w:color w:val="000000"/>
        </w:rPr>
        <w:footnoteReference w:id="84"/>
      </w:r>
      <w:r w:rsidRPr="00F02792">
        <w:rPr>
          <w:color w:val="000000"/>
        </w:rPr>
        <w:t>.</w:t>
      </w:r>
      <w:r w:rsidRPr="00F02792">
        <w:rPr>
          <w:color w:val="000000"/>
          <w:lang w:val="fr-FR"/>
        </w:rPr>
        <w:t xml:space="preserve"> Tout en la critiquant, Dominique Foussard pose de</w:t>
      </w:r>
      <w:r w:rsidR="00FD7BB3" w:rsidRPr="00F02792">
        <w:rPr>
          <w:color w:val="000000"/>
          <w:lang w:val="fr-FR"/>
        </w:rPr>
        <w:t>s</w:t>
      </w:r>
      <w:r w:rsidRPr="00F02792">
        <w:rPr>
          <w:color w:val="000000"/>
          <w:lang w:val="fr-FR"/>
        </w:rPr>
        <w:t xml:space="preserve"> questions qui démontrent que cette jurisprudence marque sans doute un tournant en matière de compétence internationale : « </w:t>
      </w:r>
      <w:r w:rsidRPr="00F02792">
        <w:rPr>
          <w:color w:val="000000"/>
        </w:rPr>
        <w:t xml:space="preserve">Peut-on </w:t>
      </w:r>
      <w:r w:rsidRPr="00F02792">
        <w:rPr>
          <w:color w:val="000000"/>
          <w:lang w:val="fr-FR"/>
        </w:rPr>
        <w:t>[…]</w:t>
      </w:r>
      <w:r w:rsidRPr="00F02792">
        <w:rPr>
          <w:color w:val="000000"/>
        </w:rPr>
        <w:t xml:space="preserve"> imaginer que la désignation du juge étranger présente un intérêt dans la perspective de l</w:t>
      </w:r>
      <w:r w:rsidR="00BB76F1">
        <w:rPr>
          <w:color w:val="000000"/>
        </w:rPr>
        <w:t>’</w:t>
      </w:r>
      <w:r w:rsidRPr="00F02792">
        <w:rPr>
          <w:color w:val="000000"/>
        </w:rPr>
        <w:t>instance à venir devant le juge étranger ? N</w:t>
      </w:r>
      <w:r w:rsidR="00BB76F1">
        <w:rPr>
          <w:color w:val="000000"/>
        </w:rPr>
        <w:t>’</w:t>
      </w:r>
      <w:r w:rsidRPr="00F02792">
        <w:rPr>
          <w:color w:val="000000"/>
        </w:rPr>
        <w:t>est-elle pas de nature à prévenir un nouveau débat sur la compétence, à y couper court en tout cas ?</w:t>
      </w:r>
      <w:r w:rsidRPr="00F02792">
        <w:rPr>
          <w:color w:val="000000"/>
          <w:lang w:val="fr-FR"/>
        </w:rPr>
        <w:t> »</w:t>
      </w:r>
      <w:r w:rsidRPr="00F02792">
        <w:rPr>
          <w:rStyle w:val="Appelnotedebasdep"/>
          <w:color w:val="000000"/>
          <w:lang w:val="fr-FR"/>
        </w:rPr>
        <w:footnoteReference w:id="85"/>
      </w:r>
      <w:r w:rsidRPr="00F02792">
        <w:rPr>
          <w:color w:val="000000"/>
          <w:lang w:val="fr-FR"/>
        </w:rPr>
        <w:t>. Bien que cette solution n</w:t>
      </w:r>
      <w:r w:rsidR="003546EF" w:rsidRPr="00F02792">
        <w:rPr>
          <w:color w:val="000000"/>
          <w:lang w:val="fr-FR"/>
        </w:rPr>
        <w:t xml:space="preserve">e soit </w:t>
      </w:r>
      <w:r w:rsidRPr="00F02792">
        <w:rPr>
          <w:color w:val="000000"/>
          <w:lang w:val="fr-FR"/>
        </w:rPr>
        <w:t>pas entièrement consacrée, elle semble se dessiner comme un nouvel élément de l</w:t>
      </w:r>
      <w:r w:rsidR="00BB76F1">
        <w:rPr>
          <w:color w:val="000000"/>
          <w:lang w:val="fr-FR"/>
        </w:rPr>
        <w:t>’</w:t>
      </w:r>
      <w:r w:rsidRPr="00F02792">
        <w:rPr>
          <w:color w:val="000000"/>
          <w:lang w:val="fr-FR"/>
        </w:rPr>
        <w:t>espace de justice intégré européen</w:t>
      </w:r>
      <w:r w:rsidRPr="00F02792">
        <w:rPr>
          <w:rStyle w:val="Appelnotedebasdep"/>
          <w:lang w:val="fr-FR"/>
        </w:rPr>
        <w:footnoteReference w:id="86"/>
      </w:r>
      <w:r w:rsidRPr="00F02792">
        <w:rPr>
          <w:color w:val="000000"/>
          <w:lang w:val="fr-FR"/>
        </w:rPr>
        <w:t xml:space="preserve">. </w:t>
      </w:r>
    </w:p>
    <w:p w14:paraId="5C226CEF" w14:textId="77777777" w:rsidR="00A8438C" w:rsidRPr="00F02792" w:rsidRDefault="00A8438C" w:rsidP="00AC178D">
      <w:pPr>
        <w:spacing w:line="276" w:lineRule="auto"/>
        <w:jc w:val="both"/>
        <w:rPr>
          <w:color w:val="000000"/>
          <w:lang w:val="fr-FR"/>
        </w:rPr>
      </w:pPr>
    </w:p>
    <w:p w14:paraId="43516191" w14:textId="54F410B6" w:rsidR="00AC178D" w:rsidRPr="00F02792" w:rsidRDefault="00AC178D" w:rsidP="00AC178D">
      <w:pPr>
        <w:spacing w:line="276" w:lineRule="auto"/>
        <w:jc w:val="both"/>
        <w:rPr>
          <w:color w:val="000000" w:themeColor="text1"/>
        </w:rPr>
      </w:pPr>
      <w:r w:rsidRPr="00F02792">
        <w:rPr>
          <w:color w:val="000000"/>
          <w:lang w:val="fr-FR"/>
        </w:rPr>
        <w:t>Pour corroborer cette thèse qui est la sienne, François Mailhé fait remarquer que «</w:t>
      </w:r>
      <w:r w:rsidR="008C1623" w:rsidRPr="00F02792">
        <w:rPr>
          <w:color w:val="000000"/>
          <w:lang w:val="fr-FR"/>
        </w:rPr>
        <w:t xml:space="preserve"> </w:t>
      </w:r>
      <w:r w:rsidRPr="00F02792">
        <w:t>ce que l</w:t>
      </w:r>
      <w:r w:rsidR="00BB76F1">
        <w:t>’</w:t>
      </w:r>
      <w:r w:rsidRPr="00F02792">
        <w:t>on fait à l</w:t>
      </w:r>
      <w:r w:rsidR="00BB76F1">
        <w:t>’</w:t>
      </w:r>
      <w:r w:rsidRPr="00F02792">
        <w:t>intérieur d</w:t>
      </w:r>
      <w:r w:rsidR="00BB76F1">
        <w:t>’</w:t>
      </w:r>
      <w:r w:rsidRPr="00F02792">
        <w:t>un État du fait de l</w:t>
      </w:r>
      <w:r w:rsidR="00BB76F1">
        <w:t>’</w:t>
      </w:r>
      <w:r w:rsidRPr="00F02792">
        <w:t>unité du droit de la compétence doit pouvoir se faire entre États</w:t>
      </w:r>
      <w:r w:rsidRPr="00F02792">
        <w:rPr>
          <w:color w:val="000000" w:themeColor="text1"/>
        </w:rPr>
        <w:t xml:space="preserve"> dès lors que la situation juridique est identique »</w:t>
      </w:r>
      <w:r w:rsidRPr="00F02792">
        <w:rPr>
          <w:rStyle w:val="Appelnotedebasdep"/>
          <w:color w:val="000000" w:themeColor="text1"/>
        </w:rPr>
        <w:footnoteReference w:id="87"/>
      </w:r>
      <w:r w:rsidRPr="00F02792">
        <w:rPr>
          <w:color w:val="000000" w:themeColor="text1"/>
        </w:rPr>
        <w:t>. Espérons pour le Luxembourg qu</w:t>
      </w:r>
      <w:r w:rsidR="00BB76F1">
        <w:rPr>
          <w:color w:val="000000" w:themeColor="text1"/>
        </w:rPr>
        <w:t>’</w:t>
      </w:r>
      <w:r w:rsidRPr="00F02792">
        <w:rPr>
          <w:color w:val="000000" w:themeColor="text1"/>
        </w:rPr>
        <w:t>une telle évolution au niveau international permette enfin un véritable renvoi au niveau national !</w:t>
      </w:r>
    </w:p>
    <w:p w14:paraId="47F4F748" w14:textId="1BBF59D4" w:rsidR="00AC178D" w:rsidRPr="00F02792" w:rsidRDefault="00AC178D" w:rsidP="00AC178D">
      <w:pPr>
        <w:spacing w:line="276" w:lineRule="auto"/>
        <w:jc w:val="both"/>
        <w:rPr>
          <w:b/>
          <w:bCs/>
          <w:color w:val="000000" w:themeColor="text1"/>
          <w:lang w:val="fr-FR"/>
        </w:rPr>
      </w:pPr>
    </w:p>
    <w:p w14:paraId="16E5D73C" w14:textId="006BD0BC" w:rsidR="00AC178D" w:rsidRPr="00F02792" w:rsidRDefault="00AC178D" w:rsidP="00AC178D">
      <w:pPr>
        <w:spacing w:line="276" w:lineRule="auto"/>
        <w:jc w:val="both"/>
        <w:rPr>
          <w:color w:val="000000" w:themeColor="text1"/>
          <w:lang w:val="fr-FR"/>
        </w:rPr>
      </w:pPr>
      <w:r w:rsidRPr="00F02792">
        <w:rPr>
          <w:b/>
          <w:bCs/>
          <w:color w:val="000000" w:themeColor="text1"/>
          <w:lang w:val="fr-FR"/>
        </w:rPr>
        <w:t xml:space="preserve">IV. Pour </w:t>
      </w:r>
      <w:r w:rsidR="004C43C0" w:rsidRPr="00F02792">
        <w:rPr>
          <w:b/>
          <w:bCs/>
          <w:color w:val="000000" w:themeColor="text1"/>
          <w:lang w:val="fr-FR"/>
        </w:rPr>
        <w:t xml:space="preserve">un renvoi et </w:t>
      </w:r>
      <w:r w:rsidRPr="00F02792">
        <w:rPr>
          <w:b/>
          <w:bCs/>
          <w:color w:val="000000" w:themeColor="text1"/>
          <w:lang w:val="fr-FR"/>
        </w:rPr>
        <w:t>de</w:t>
      </w:r>
      <w:r w:rsidR="009C263C" w:rsidRPr="00F02792">
        <w:rPr>
          <w:b/>
          <w:bCs/>
          <w:color w:val="000000" w:themeColor="text1"/>
          <w:lang w:val="fr-FR"/>
        </w:rPr>
        <w:t xml:space="preserve"> meilleures</w:t>
      </w:r>
      <w:r w:rsidRPr="00F02792">
        <w:rPr>
          <w:b/>
          <w:bCs/>
          <w:color w:val="000000" w:themeColor="text1"/>
          <w:lang w:val="fr-FR"/>
        </w:rPr>
        <w:t xml:space="preserve"> règles de répartition devant les juridictions luxembourgeoises</w:t>
      </w:r>
    </w:p>
    <w:p w14:paraId="70D24DAD" w14:textId="77777777" w:rsidR="00353727" w:rsidRPr="00F02792" w:rsidRDefault="00353727" w:rsidP="00423110">
      <w:pPr>
        <w:spacing w:line="276" w:lineRule="auto"/>
        <w:jc w:val="both"/>
        <w:rPr>
          <w:lang w:val="fr-FR"/>
        </w:rPr>
      </w:pPr>
    </w:p>
    <w:p w14:paraId="0A77F120" w14:textId="0099FF47" w:rsidR="00353727" w:rsidRPr="00F02792" w:rsidRDefault="00353727" w:rsidP="00423110">
      <w:pPr>
        <w:spacing w:line="276" w:lineRule="auto"/>
        <w:jc w:val="both"/>
        <w:rPr>
          <w:b/>
          <w:bCs/>
          <w:lang w:val="fr-FR"/>
        </w:rPr>
      </w:pPr>
      <w:r w:rsidRPr="00F02792">
        <w:rPr>
          <w:b/>
          <w:bCs/>
          <w:lang w:val="fr-FR"/>
        </w:rPr>
        <w:t>A. Pour le renvoi</w:t>
      </w:r>
    </w:p>
    <w:p w14:paraId="2EE2F6AC" w14:textId="77777777" w:rsidR="00353727" w:rsidRPr="00F02792" w:rsidRDefault="00353727" w:rsidP="00423110">
      <w:pPr>
        <w:spacing w:line="276" w:lineRule="auto"/>
        <w:jc w:val="both"/>
        <w:rPr>
          <w:b/>
          <w:bCs/>
          <w:lang w:val="fr-FR"/>
        </w:rPr>
      </w:pPr>
    </w:p>
    <w:p w14:paraId="00E13A45" w14:textId="0D511D4E" w:rsidR="00423110" w:rsidRPr="00F02792" w:rsidRDefault="00423110" w:rsidP="00423110">
      <w:pPr>
        <w:spacing w:line="276" w:lineRule="auto"/>
        <w:jc w:val="both"/>
        <w:rPr>
          <w:lang w:val="fr-FR"/>
        </w:rPr>
      </w:pPr>
      <w:r w:rsidRPr="00F02792">
        <w:rPr>
          <w:lang w:val="fr-FR"/>
        </w:rPr>
        <w:t>Si l</w:t>
      </w:r>
      <w:r w:rsidR="00BB76F1">
        <w:rPr>
          <w:lang w:val="fr-FR"/>
        </w:rPr>
        <w:t>’</w:t>
      </w:r>
      <w:r w:rsidRPr="00F02792">
        <w:rPr>
          <w:lang w:val="fr-FR"/>
        </w:rPr>
        <w:t>on s</w:t>
      </w:r>
      <w:r w:rsidR="00BB76F1">
        <w:rPr>
          <w:lang w:val="fr-FR"/>
        </w:rPr>
        <w:t>’</w:t>
      </w:r>
      <w:r w:rsidRPr="00F02792">
        <w:rPr>
          <w:lang w:val="fr-FR"/>
        </w:rPr>
        <w:t>en tient à l</w:t>
      </w:r>
      <w:r w:rsidR="00BB76F1">
        <w:rPr>
          <w:lang w:val="fr-FR"/>
        </w:rPr>
        <w:t>’</w:t>
      </w:r>
      <w:r w:rsidRPr="00F02792">
        <w:rPr>
          <w:lang w:val="fr-FR"/>
        </w:rPr>
        <w:t>état du droit positif, le droit judiciaire luxembourgeois ne conna</w:t>
      </w:r>
      <w:r w:rsidR="003339C9" w:rsidRPr="00F02792">
        <w:rPr>
          <w:lang w:val="fr-FR"/>
        </w:rPr>
        <w:t>î</w:t>
      </w:r>
      <w:r w:rsidRPr="00F02792">
        <w:rPr>
          <w:lang w:val="fr-FR"/>
        </w:rPr>
        <w:t>t pas d</w:t>
      </w:r>
      <w:r w:rsidR="00BB76F1">
        <w:rPr>
          <w:lang w:val="fr-FR"/>
        </w:rPr>
        <w:t>’</w:t>
      </w:r>
      <w:r w:rsidRPr="00F02792">
        <w:rPr>
          <w:lang w:val="fr-FR"/>
        </w:rPr>
        <w:t>exception d</w:t>
      </w:r>
      <w:r w:rsidR="00BB76F1">
        <w:rPr>
          <w:lang w:val="fr-FR"/>
        </w:rPr>
        <w:t>’</w:t>
      </w:r>
      <w:r w:rsidRPr="00F02792">
        <w:rPr>
          <w:lang w:val="fr-FR"/>
        </w:rPr>
        <w:t>incompétence puisque celle-ci est érigée en irrecevabilité obligeant une partie à agir à nouveau</w:t>
      </w:r>
      <w:r w:rsidR="007A620B" w:rsidRPr="00F02792">
        <w:rPr>
          <w:rStyle w:val="Appelnotedebasdep"/>
          <w:lang w:val="fr-FR"/>
        </w:rPr>
        <w:footnoteReference w:id="88"/>
      </w:r>
      <w:r w:rsidRPr="00F02792">
        <w:rPr>
          <w:lang w:val="fr-FR"/>
        </w:rPr>
        <w:t>. Il para</w:t>
      </w:r>
      <w:r w:rsidR="006D2CBC" w:rsidRPr="00F02792">
        <w:rPr>
          <w:lang w:val="fr-FR"/>
        </w:rPr>
        <w:t>î</w:t>
      </w:r>
      <w:r w:rsidRPr="00F02792">
        <w:rPr>
          <w:lang w:val="fr-FR"/>
        </w:rPr>
        <w:t>t souhaitable d</w:t>
      </w:r>
      <w:r w:rsidR="00BB76F1">
        <w:rPr>
          <w:lang w:val="fr-FR"/>
        </w:rPr>
        <w:t>’</w:t>
      </w:r>
      <w:r w:rsidRPr="00F02792">
        <w:rPr>
          <w:lang w:val="fr-FR"/>
        </w:rPr>
        <w:t>admettre un véritable renvoi conformément aux termes du NCPC et en particulier des articles 2</w:t>
      </w:r>
      <w:r w:rsidR="005739A1" w:rsidRPr="00F02792">
        <w:rPr>
          <w:lang w:val="fr-FR"/>
        </w:rPr>
        <w:t>5</w:t>
      </w:r>
      <w:r w:rsidRPr="00F02792">
        <w:rPr>
          <w:lang w:val="fr-FR"/>
        </w:rPr>
        <w:t>9 et 2</w:t>
      </w:r>
      <w:r w:rsidR="008E074F" w:rsidRPr="00F02792">
        <w:rPr>
          <w:lang w:val="fr-FR"/>
        </w:rPr>
        <w:t>6</w:t>
      </w:r>
      <w:r w:rsidRPr="00F02792">
        <w:rPr>
          <w:lang w:val="fr-FR"/>
        </w:rPr>
        <w:t>1. Il s</w:t>
      </w:r>
      <w:r w:rsidR="00BB76F1">
        <w:rPr>
          <w:lang w:val="fr-FR"/>
        </w:rPr>
        <w:t>’</w:t>
      </w:r>
      <w:r w:rsidRPr="00F02792">
        <w:rPr>
          <w:lang w:val="fr-FR"/>
        </w:rPr>
        <w:t xml:space="preserve">agirait de mettre fin à une pratique </w:t>
      </w:r>
      <w:r w:rsidRPr="00F02792">
        <w:rPr>
          <w:i/>
          <w:iCs/>
          <w:lang w:val="fr-FR"/>
        </w:rPr>
        <w:t>contra legem</w:t>
      </w:r>
      <w:r w:rsidRPr="00F02792">
        <w:rPr>
          <w:lang w:val="fr-FR"/>
        </w:rPr>
        <w:t xml:space="preserve"> et d</w:t>
      </w:r>
      <w:r w:rsidR="00BB76F1">
        <w:rPr>
          <w:lang w:val="fr-FR"/>
        </w:rPr>
        <w:t>’</w:t>
      </w:r>
      <w:r w:rsidRPr="00F02792">
        <w:rPr>
          <w:lang w:val="fr-FR"/>
        </w:rPr>
        <w:t>une simple application de la loi</w:t>
      </w:r>
      <w:r w:rsidR="008438E6" w:rsidRPr="00F02792">
        <w:rPr>
          <w:rStyle w:val="Appelnotedebasdep"/>
          <w:lang w:val="fr-FR"/>
        </w:rPr>
        <w:footnoteReference w:id="89"/>
      </w:r>
      <w:r w:rsidRPr="00F02792">
        <w:rPr>
          <w:lang w:val="fr-FR"/>
        </w:rPr>
        <w:t xml:space="preserve">. </w:t>
      </w:r>
      <w:r w:rsidR="00EA3477" w:rsidRPr="00F02792">
        <w:rPr>
          <w:lang w:val="fr-FR"/>
        </w:rPr>
        <w:t>Rappelons</w:t>
      </w:r>
      <w:r w:rsidRPr="00F02792">
        <w:rPr>
          <w:lang w:val="fr-FR"/>
        </w:rPr>
        <w:t xml:space="preserve"> que l</w:t>
      </w:r>
      <w:r w:rsidR="00BB76F1">
        <w:rPr>
          <w:lang w:val="fr-FR"/>
        </w:rPr>
        <w:t>’</w:t>
      </w:r>
      <w:r w:rsidRPr="00F02792">
        <w:rPr>
          <w:lang w:val="fr-FR"/>
        </w:rPr>
        <w:t>article 2246 du Code civil prévoit que « la citation en justice, donnée même devant un juge incompétent, interrompt la prescription ». Que l</w:t>
      </w:r>
      <w:r w:rsidR="00BB76F1">
        <w:rPr>
          <w:lang w:val="fr-FR"/>
        </w:rPr>
        <w:t>’</w:t>
      </w:r>
      <w:r w:rsidRPr="00F02792">
        <w:rPr>
          <w:lang w:val="fr-FR"/>
        </w:rPr>
        <w:t>article 2246 distingue l</w:t>
      </w:r>
      <w:r w:rsidR="00BB76F1">
        <w:rPr>
          <w:lang w:val="fr-FR"/>
        </w:rPr>
        <w:t>’</w:t>
      </w:r>
      <w:r w:rsidRPr="00F02792">
        <w:rPr>
          <w:lang w:val="fr-FR"/>
        </w:rPr>
        <w:t>incompétence des autres moyens de défense du point de vue de la prescription n</w:t>
      </w:r>
      <w:r w:rsidR="00BB76F1">
        <w:rPr>
          <w:lang w:val="fr-FR"/>
        </w:rPr>
        <w:t>’</w:t>
      </w:r>
      <w:r w:rsidRPr="00F02792">
        <w:rPr>
          <w:lang w:val="fr-FR"/>
        </w:rPr>
        <w:t>est pas neutre. Comme l</w:t>
      </w:r>
      <w:r w:rsidR="00BB76F1">
        <w:rPr>
          <w:lang w:val="fr-FR"/>
        </w:rPr>
        <w:t>’</w:t>
      </w:r>
      <w:r w:rsidRPr="00F02792">
        <w:rPr>
          <w:lang w:val="fr-FR"/>
        </w:rPr>
        <w:t>a souligné Vincent Bolard, « les exceptions d</w:t>
      </w:r>
      <w:r w:rsidR="00BB76F1">
        <w:rPr>
          <w:lang w:val="fr-FR"/>
        </w:rPr>
        <w:t>’</w:t>
      </w:r>
      <w:r w:rsidRPr="00F02792">
        <w:rPr>
          <w:lang w:val="fr-FR"/>
        </w:rPr>
        <w:t>incompétence sanctionnent […] une irrégularité procédurale de la demande ou de la défense qui n</w:t>
      </w:r>
      <w:r w:rsidR="00BB76F1">
        <w:rPr>
          <w:lang w:val="fr-FR"/>
        </w:rPr>
        <w:t>’</w:t>
      </w:r>
      <w:r w:rsidRPr="00F02792">
        <w:rPr>
          <w:lang w:val="fr-FR"/>
        </w:rPr>
        <w:t>a pas été adressée au bon juge : l</w:t>
      </w:r>
      <w:r w:rsidR="00BB76F1">
        <w:rPr>
          <w:lang w:val="fr-FR"/>
        </w:rPr>
        <w:t>’</w:t>
      </w:r>
      <w:r w:rsidRPr="00F02792">
        <w:rPr>
          <w:lang w:val="fr-FR"/>
        </w:rPr>
        <w:t>organe juridictionnel destinataire de la manifestation de la volonté n</w:t>
      </w:r>
      <w:r w:rsidR="00BB76F1">
        <w:rPr>
          <w:lang w:val="fr-FR"/>
        </w:rPr>
        <w:t>’</w:t>
      </w:r>
      <w:r w:rsidRPr="00F02792">
        <w:rPr>
          <w:lang w:val="fr-FR"/>
        </w:rPr>
        <w:t>est pas le bon. […] Mais il ne s</w:t>
      </w:r>
      <w:r w:rsidR="00BB76F1">
        <w:rPr>
          <w:lang w:val="fr-FR"/>
        </w:rPr>
        <w:t>’</w:t>
      </w:r>
      <w:r w:rsidRPr="00F02792">
        <w:rPr>
          <w:lang w:val="fr-FR"/>
        </w:rPr>
        <w:t>agit pas d</w:t>
      </w:r>
      <w:r w:rsidR="00BB76F1">
        <w:rPr>
          <w:lang w:val="fr-FR"/>
        </w:rPr>
        <w:t>’</w:t>
      </w:r>
      <w:r w:rsidRPr="00F02792">
        <w:rPr>
          <w:lang w:val="fr-FR"/>
        </w:rPr>
        <w:t xml:space="preserve">une irrégularité grave et structurelle du </w:t>
      </w:r>
      <w:r w:rsidRPr="00F02792">
        <w:rPr>
          <w:i/>
          <w:iCs/>
          <w:lang w:val="fr-FR"/>
        </w:rPr>
        <w:t>negotium</w:t>
      </w:r>
      <w:r w:rsidRPr="00F02792">
        <w:rPr>
          <w:lang w:val="fr-FR"/>
        </w:rPr>
        <w:t xml:space="preserve"> qui le rendrait nécessairement invalide »</w:t>
      </w:r>
      <w:r w:rsidRPr="00F02792">
        <w:rPr>
          <w:rStyle w:val="Appelnotedebasdep"/>
          <w:lang w:val="fr-FR"/>
        </w:rPr>
        <w:footnoteReference w:id="90"/>
      </w:r>
      <w:r w:rsidRPr="00F02792">
        <w:rPr>
          <w:lang w:val="fr-FR"/>
        </w:rPr>
        <w:t xml:space="preserve">. On soulignera que le nouvel article 212 NCPC qui donne compétence au juge de la mise en état pour statuer sur </w:t>
      </w:r>
      <w:r w:rsidRPr="00F02792">
        <w:rPr>
          <w:i/>
          <w:iCs/>
          <w:lang w:val="fr-FR"/>
        </w:rPr>
        <w:t>les moyens d</w:t>
      </w:r>
      <w:r w:rsidR="00BB76F1">
        <w:rPr>
          <w:i/>
          <w:iCs/>
          <w:lang w:val="fr-FR"/>
        </w:rPr>
        <w:t>’</w:t>
      </w:r>
      <w:r w:rsidRPr="00F02792">
        <w:rPr>
          <w:i/>
          <w:iCs/>
          <w:lang w:val="fr-FR"/>
        </w:rPr>
        <w:t>incompétence</w:t>
      </w:r>
      <w:r w:rsidRPr="00F02792">
        <w:rPr>
          <w:lang w:val="fr-FR"/>
        </w:rPr>
        <w:t xml:space="preserve"> va dans un sens analogue. En outre du point de vue de la bonne administration de la justice il serait bien plus efficace que l</w:t>
      </w:r>
      <w:r w:rsidR="00BB76F1">
        <w:rPr>
          <w:lang w:val="fr-FR"/>
        </w:rPr>
        <w:t>’</w:t>
      </w:r>
      <w:r w:rsidRPr="00F02792">
        <w:rPr>
          <w:lang w:val="fr-FR"/>
        </w:rPr>
        <w:t>ordonnance du juge de la mise en état statuant sur la compétence renvoie -au sens de saisir- la juridiction compétente. C</w:t>
      </w:r>
      <w:r w:rsidR="00BB76F1">
        <w:rPr>
          <w:lang w:val="fr-FR"/>
        </w:rPr>
        <w:t>’</w:t>
      </w:r>
      <w:r w:rsidRPr="00F02792">
        <w:rPr>
          <w:lang w:val="fr-FR"/>
        </w:rPr>
        <w:t>est l</w:t>
      </w:r>
      <w:r w:rsidR="00BB76F1">
        <w:rPr>
          <w:lang w:val="fr-FR"/>
        </w:rPr>
        <w:t>’</w:t>
      </w:r>
      <w:r w:rsidRPr="00F02792">
        <w:rPr>
          <w:lang w:val="fr-FR"/>
        </w:rPr>
        <w:t>intérêt même d</w:t>
      </w:r>
      <w:r w:rsidR="00BB76F1">
        <w:rPr>
          <w:lang w:val="fr-FR"/>
        </w:rPr>
        <w:t>’</w:t>
      </w:r>
      <w:r w:rsidRPr="00F02792">
        <w:rPr>
          <w:lang w:val="fr-FR"/>
        </w:rPr>
        <w:t>un juge de la mise en état : mettre l</w:t>
      </w:r>
      <w:r w:rsidR="00BB76F1">
        <w:rPr>
          <w:lang w:val="fr-FR"/>
        </w:rPr>
        <w:t>’</w:t>
      </w:r>
      <w:r w:rsidRPr="00F02792">
        <w:rPr>
          <w:lang w:val="fr-FR"/>
        </w:rPr>
        <w:t>affaire en état d</w:t>
      </w:r>
      <w:r w:rsidR="00BB76F1">
        <w:rPr>
          <w:lang w:val="fr-FR"/>
        </w:rPr>
        <w:t>’</w:t>
      </w:r>
      <w:r w:rsidRPr="00F02792">
        <w:rPr>
          <w:lang w:val="fr-FR"/>
        </w:rPr>
        <w:t>être jugée devant le bon juge</w:t>
      </w:r>
      <w:r w:rsidR="00546BE5" w:rsidRPr="00F02792">
        <w:rPr>
          <w:lang w:val="fr-FR"/>
        </w:rPr>
        <w:t>. La mise en place d</w:t>
      </w:r>
      <w:r w:rsidR="00BB76F1">
        <w:rPr>
          <w:lang w:val="fr-FR"/>
        </w:rPr>
        <w:t>’</w:t>
      </w:r>
      <w:r w:rsidR="00546BE5" w:rsidRPr="00F02792">
        <w:rPr>
          <w:lang w:val="fr-FR"/>
        </w:rPr>
        <w:t xml:space="preserve">un système </w:t>
      </w:r>
      <w:r w:rsidR="00C15D91" w:rsidRPr="00F02792">
        <w:rPr>
          <w:lang w:val="fr-FR"/>
        </w:rPr>
        <w:t xml:space="preserve">de transfert de dossier </w:t>
      </w:r>
      <w:r w:rsidR="00DE061F" w:rsidRPr="00F02792">
        <w:rPr>
          <w:lang w:val="fr-FR"/>
        </w:rPr>
        <w:t>de greffe à greffe</w:t>
      </w:r>
      <w:r w:rsidR="00FD2BC6" w:rsidRPr="00F02792">
        <w:rPr>
          <w:lang w:val="fr-FR"/>
        </w:rPr>
        <w:t xml:space="preserve"> para</w:t>
      </w:r>
      <w:r w:rsidR="00023F8C" w:rsidRPr="00F02792">
        <w:rPr>
          <w:lang w:val="fr-FR"/>
        </w:rPr>
        <w:t>î</w:t>
      </w:r>
      <w:r w:rsidR="00FD2BC6" w:rsidRPr="00F02792">
        <w:rPr>
          <w:lang w:val="fr-FR"/>
        </w:rPr>
        <w:t xml:space="preserve">t </w:t>
      </w:r>
      <w:r w:rsidR="003051AE" w:rsidRPr="00F02792">
        <w:rPr>
          <w:lang w:val="fr-FR"/>
        </w:rPr>
        <w:t xml:space="preserve">simple. </w:t>
      </w:r>
    </w:p>
    <w:p w14:paraId="5B852622" w14:textId="77777777" w:rsidR="00423110" w:rsidRPr="00F02792" w:rsidRDefault="00423110" w:rsidP="00423110">
      <w:pPr>
        <w:spacing w:line="276" w:lineRule="auto"/>
        <w:jc w:val="both"/>
        <w:rPr>
          <w:lang w:val="fr-FR"/>
        </w:rPr>
      </w:pPr>
    </w:p>
    <w:p w14:paraId="1E14C19E" w14:textId="78410B0E" w:rsidR="00423110" w:rsidRPr="00F02792" w:rsidRDefault="00423110" w:rsidP="00423110">
      <w:pPr>
        <w:spacing w:line="276" w:lineRule="auto"/>
        <w:jc w:val="both"/>
        <w:rPr>
          <w:color w:val="000000" w:themeColor="text1"/>
        </w:rPr>
      </w:pPr>
      <w:r w:rsidRPr="00F02792">
        <w:rPr>
          <w:lang w:val="fr-FR"/>
        </w:rPr>
        <w:lastRenderedPageBreak/>
        <w:t>Une évolution en faveur d</w:t>
      </w:r>
      <w:r w:rsidR="00BB76F1">
        <w:rPr>
          <w:lang w:val="fr-FR"/>
        </w:rPr>
        <w:t>’</w:t>
      </w:r>
      <w:r w:rsidRPr="00F02792">
        <w:rPr>
          <w:lang w:val="fr-FR"/>
        </w:rPr>
        <w:t>un véritable renvoi aurait aussi un effet bénéfique quant à l</w:t>
      </w:r>
      <w:r w:rsidR="00BB76F1">
        <w:rPr>
          <w:lang w:val="fr-FR"/>
        </w:rPr>
        <w:t>’</w:t>
      </w:r>
      <w:r w:rsidRPr="00F02792">
        <w:rPr>
          <w:lang w:val="fr-FR"/>
        </w:rPr>
        <w:t>appel</w:t>
      </w:r>
      <w:r w:rsidR="00E55859" w:rsidRPr="00F02792">
        <w:rPr>
          <w:lang w:val="fr-FR"/>
        </w:rPr>
        <w:t xml:space="preserve"> en évitant </w:t>
      </w:r>
      <w:r w:rsidR="00EF01C9" w:rsidRPr="00F02792">
        <w:rPr>
          <w:lang w:val="fr-FR"/>
        </w:rPr>
        <w:t xml:space="preserve">un appel </w:t>
      </w:r>
      <w:r w:rsidR="00911391" w:rsidRPr="00F02792">
        <w:rPr>
          <w:lang w:val="fr-FR"/>
        </w:rPr>
        <w:t>immédiat</w:t>
      </w:r>
      <w:r w:rsidR="002F146F" w:rsidRPr="00F02792">
        <w:rPr>
          <w:lang w:val="fr-FR"/>
        </w:rPr>
        <w:t xml:space="preserve"> et en rendant l</w:t>
      </w:r>
      <w:r w:rsidR="00E74D42" w:rsidRPr="00F02792">
        <w:rPr>
          <w:lang w:val="fr-FR"/>
        </w:rPr>
        <w:t>e recours plus prévisible.</w:t>
      </w:r>
      <w:r w:rsidR="002F146F" w:rsidRPr="00F02792">
        <w:rPr>
          <w:lang w:val="fr-FR"/>
        </w:rPr>
        <w:t xml:space="preserve"> </w:t>
      </w:r>
      <w:r w:rsidRPr="00F02792">
        <w:rPr>
          <w:lang w:val="fr-FR"/>
        </w:rPr>
        <w:t>En effet</w:t>
      </w:r>
      <w:r w:rsidR="00246305" w:rsidRPr="00F02792">
        <w:rPr>
          <w:lang w:val="fr-FR"/>
        </w:rPr>
        <w:t>, en l</w:t>
      </w:r>
      <w:r w:rsidR="00BB76F1">
        <w:rPr>
          <w:lang w:val="fr-FR"/>
        </w:rPr>
        <w:t>’</w:t>
      </w:r>
      <w:r w:rsidR="00246305" w:rsidRPr="00F02792">
        <w:rPr>
          <w:lang w:val="fr-FR"/>
        </w:rPr>
        <w:t xml:space="preserve">état </w:t>
      </w:r>
      <w:r w:rsidR="00451EBE" w:rsidRPr="00F02792">
        <w:rPr>
          <w:lang w:val="fr-FR"/>
        </w:rPr>
        <w:t>actuel du droit,</w:t>
      </w:r>
      <w:r w:rsidRPr="00F02792">
        <w:rPr>
          <w:lang w:val="fr-FR"/>
        </w:rPr>
        <w:t xml:space="preserve"> qu</w:t>
      </w:r>
      <w:r w:rsidR="00BB76F1">
        <w:rPr>
          <w:lang w:val="fr-FR"/>
        </w:rPr>
        <w:t>’</w:t>
      </w:r>
      <w:r w:rsidRPr="00F02792">
        <w:rPr>
          <w:lang w:val="fr-FR"/>
        </w:rPr>
        <w:t>il s</w:t>
      </w:r>
      <w:r w:rsidR="00BB76F1">
        <w:rPr>
          <w:lang w:val="fr-FR"/>
        </w:rPr>
        <w:t>’</w:t>
      </w:r>
      <w:r w:rsidRPr="00F02792">
        <w:rPr>
          <w:lang w:val="fr-FR"/>
        </w:rPr>
        <w:t>agisse de l</w:t>
      </w:r>
      <w:r w:rsidR="00BB76F1">
        <w:rPr>
          <w:lang w:val="fr-FR"/>
        </w:rPr>
        <w:t>’</w:t>
      </w:r>
      <w:r w:rsidRPr="00F02792">
        <w:rPr>
          <w:lang w:val="fr-FR"/>
        </w:rPr>
        <w:t>article 217 alinéa 3, de l</w:t>
      </w:r>
      <w:r w:rsidR="00BB76F1">
        <w:rPr>
          <w:lang w:val="fr-FR"/>
        </w:rPr>
        <w:t>’</w:t>
      </w:r>
      <w:r w:rsidRPr="00F02792">
        <w:rPr>
          <w:lang w:val="fr-FR"/>
        </w:rPr>
        <w:t>article 579 alinéa 2 ou de l</w:t>
      </w:r>
      <w:r w:rsidR="00BB76F1">
        <w:rPr>
          <w:lang w:val="fr-FR"/>
        </w:rPr>
        <w:t>’</w:t>
      </w:r>
      <w:r w:rsidRPr="00F02792">
        <w:rPr>
          <w:lang w:val="fr-FR"/>
        </w:rPr>
        <w:t>article 582 NCPC un appel immédiat est ouvert à l</w:t>
      </w:r>
      <w:r w:rsidR="00BB76F1">
        <w:rPr>
          <w:lang w:val="fr-FR"/>
        </w:rPr>
        <w:t>’</w:t>
      </w:r>
      <w:r w:rsidRPr="00F02792">
        <w:rPr>
          <w:lang w:val="fr-FR"/>
        </w:rPr>
        <w:t>encontre de toute décision d</w:t>
      </w:r>
      <w:r w:rsidR="00BB76F1">
        <w:rPr>
          <w:lang w:val="fr-FR"/>
        </w:rPr>
        <w:t>’</w:t>
      </w:r>
      <w:r w:rsidRPr="00F02792">
        <w:rPr>
          <w:lang w:val="fr-FR"/>
        </w:rPr>
        <w:t>incompétence puisque celle-ci met fin à l</w:t>
      </w:r>
      <w:r w:rsidR="00BB76F1">
        <w:rPr>
          <w:lang w:val="fr-FR"/>
        </w:rPr>
        <w:t>’</w:t>
      </w:r>
      <w:r w:rsidRPr="00F02792">
        <w:rPr>
          <w:lang w:val="fr-FR"/>
        </w:rPr>
        <w:t>instance. L</w:t>
      </w:r>
      <w:r w:rsidR="00BB76F1">
        <w:rPr>
          <w:lang w:val="fr-FR"/>
        </w:rPr>
        <w:t>’</w:t>
      </w:r>
      <w:r w:rsidRPr="00F02792">
        <w:rPr>
          <w:lang w:val="fr-FR"/>
        </w:rPr>
        <w:t>article 582 NCPC dispose à cet effet que « lorsqu</w:t>
      </w:r>
      <w:r w:rsidR="00BB76F1">
        <w:rPr>
          <w:lang w:val="fr-FR"/>
        </w:rPr>
        <w:t>’</w:t>
      </w:r>
      <w:r w:rsidRPr="00F02792">
        <w:rPr>
          <w:lang w:val="fr-FR"/>
        </w:rPr>
        <w:t>il s</w:t>
      </w:r>
      <w:r w:rsidR="00BB76F1">
        <w:rPr>
          <w:lang w:val="fr-FR"/>
        </w:rPr>
        <w:t>’</w:t>
      </w:r>
      <w:r w:rsidRPr="00F02792">
        <w:rPr>
          <w:lang w:val="fr-FR"/>
        </w:rPr>
        <w:t>agira d</w:t>
      </w:r>
      <w:r w:rsidR="00BB76F1">
        <w:rPr>
          <w:lang w:val="fr-FR"/>
        </w:rPr>
        <w:t>’</w:t>
      </w:r>
      <w:r w:rsidRPr="00F02792">
        <w:rPr>
          <w:lang w:val="fr-FR"/>
        </w:rPr>
        <w:t>incompétence, l</w:t>
      </w:r>
      <w:r w:rsidR="00BB76F1">
        <w:rPr>
          <w:lang w:val="fr-FR"/>
        </w:rPr>
        <w:t>’</w:t>
      </w:r>
      <w:r w:rsidRPr="00F02792">
        <w:rPr>
          <w:lang w:val="fr-FR"/>
        </w:rPr>
        <w:t>appel sera recevable, encore que le jugement ait été qualifié en dernier ressort »</w:t>
      </w:r>
      <w:r w:rsidRPr="00F02792">
        <w:rPr>
          <w:rStyle w:val="Appelnotedebasdep"/>
          <w:lang w:val="fr-FR"/>
        </w:rPr>
        <w:footnoteReference w:id="91"/>
      </w:r>
      <w:r w:rsidRPr="00F02792">
        <w:rPr>
          <w:lang w:val="fr-FR"/>
        </w:rPr>
        <w:t>. La jurisprudence en déduit que « les juges d</w:t>
      </w:r>
      <w:r w:rsidR="00BB76F1">
        <w:rPr>
          <w:lang w:val="fr-FR"/>
        </w:rPr>
        <w:t>’</w:t>
      </w:r>
      <w:r w:rsidRPr="00F02792">
        <w:rPr>
          <w:lang w:val="fr-FR"/>
        </w:rPr>
        <w:t>appel qui sont saisis d</w:t>
      </w:r>
      <w:r w:rsidR="00BB76F1">
        <w:rPr>
          <w:lang w:val="fr-FR"/>
        </w:rPr>
        <w:t>’</w:t>
      </w:r>
      <w:r w:rsidRPr="00F02792">
        <w:rPr>
          <w:lang w:val="fr-FR"/>
        </w:rPr>
        <w:t>un appel général contre un jugement ayant statué à la fois sur une exception d</w:t>
      </w:r>
      <w:r w:rsidR="00BB76F1">
        <w:rPr>
          <w:lang w:val="fr-FR"/>
        </w:rPr>
        <w:t>’</w:t>
      </w:r>
      <w:r w:rsidRPr="00F02792">
        <w:rPr>
          <w:lang w:val="fr-FR"/>
        </w:rPr>
        <w:t>incompétence et sur le fond dans un litige dont la valeur est inférieure au taux d</w:t>
      </w:r>
      <w:r w:rsidR="00BB76F1">
        <w:rPr>
          <w:lang w:val="fr-FR"/>
        </w:rPr>
        <w:t>’</w:t>
      </w:r>
      <w:r w:rsidRPr="00F02792">
        <w:rPr>
          <w:lang w:val="fr-FR"/>
        </w:rPr>
        <w:t>appel, doivent se borner à connaître du seul déclinatoire de compétence, sans pouvoir examiner le litige sous d</w:t>
      </w:r>
      <w:r w:rsidR="00BB76F1">
        <w:rPr>
          <w:lang w:val="fr-FR"/>
        </w:rPr>
        <w:t>’</w:t>
      </w:r>
      <w:r w:rsidRPr="00F02792">
        <w:rPr>
          <w:lang w:val="fr-FR"/>
        </w:rPr>
        <w:t xml:space="preserve">autres rapports, en la forme ou au fond, leur </w:t>
      </w:r>
      <w:r w:rsidRPr="00F02792">
        <w:rPr>
          <w:color w:val="000000" w:themeColor="text1"/>
          <w:lang w:val="fr-FR"/>
        </w:rPr>
        <w:t>incompétence à cet égard étant absolue et devant être suppléée d</w:t>
      </w:r>
      <w:r w:rsidR="00BB76F1">
        <w:rPr>
          <w:color w:val="000000" w:themeColor="text1"/>
          <w:lang w:val="fr-FR"/>
        </w:rPr>
        <w:t>’</w:t>
      </w:r>
      <w:r w:rsidRPr="00F02792">
        <w:rPr>
          <w:color w:val="000000" w:themeColor="text1"/>
          <w:lang w:val="fr-FR"/>
        </w:rPr>
        <w:t>office »</w:t>
      </w:r>
      <w:r w:rsidRPr="00F02792">
        <w:rPr>
          <w:rStyle w:val="Appelnotedebasdep"/>
          <w:color w:val="000000" w:themeColor="text1"/>
          <w:lang w:val="fr-FR"/>
        </w:rPr>
        <w:footnoteReference w:id="92"/>
      </w:r>
      <w:r w:rsidRPr="00F02792">
        <w:rPr>
          <w:color w:val="000000" w:themeColor="text1"/>
          <w:lang w:val="fr-FR"/>
        </w:rPr>
        <w:t xml:space="preserve">. </w:t>
      </w:r>
      <w:r w:rsidR="00513369" w:rsidRPr="00F02792">
        <w:rPr>
          <w:color w:val="000000" w:themeColor="text1"/>
          <w:shd w:val="clear" w:color="auto" w:fill="FFFFFF"/>
        </w:rPr>
        <w:t xml:space="preserve">La jurisprudence reste </w:t>
      </w:r>
      <w:r w:rsidR="00EE4FFC" w:rsidRPr="00F02792">
        <w:rPr>
          <w:color w:val="000000" w:themeColor="text1"/>
          <w:shd w:val="clear" w:color="auto" w:fill="FFFFFF"/>
        </w:rPr>
        <w:t xml:space="preserve">cependant </w:t>
      </w:r>
      <w:r w:rsidR="00753A9E" w:rsidRPr="00F02792">
        <w:rPr>
          <w:color w:val="000000" w:themeColor="text1"/>
          <w:shd w:val="clear" w:color="auto" w:fill="FFFFFF"/>
        </w:rPr>
        <w:t xml:space="preserve">difficile </w:t>
      </w:r>
      <w:r w:rsidR="00D976A4" w:rsidRPr="00F02792">
        <w:rPr>
          <w:color w:val="000000" w:themeColor="text1"/>
          <w:shd w:val="clear" w:color="auto" w:fill="FFFFFF"/>
        </w:rPr>
        <w:t>à comprendre. C</w:t>
      </w:r>
      <w:r w:rsidRPr="00F02792">
        <w:rPr>
          <w:color w:val="000000" w:themeColor="text1"/>
          <w:shd w:val="clear" w:color="auto" w:fill="FFFFFF"/>
        </w:rPr>
        <w:t>omme l</w:t>
      </w:r>
      <w:r w:rsidR="00BB76F1">
        <w:rPr>
          <w:color w:val="000000" w:themeColor="text1"/>
          <w:shd w:val="clear" w:color="auto" w:fill="FFFFFF"/>
        </w:rPr>
        <w:t>’</w:t>
      </w:r>
      <w:r w:rsidRPr="00F02792">
        <w:rPr>
          <w:color w:val="000000" w:themeColor="text1"/>
          <w:shd w:val="clear" w:color="auto" w:fill="FFFFFF"/>
        </w:rPr>
        <w:t>a relevé Thierry Hoscheit, l</w:t>
      </w:r>
      <w:r w:rsidR="00BB76F1">
        <w:rPr>
          <w:color w:val="000000" w:themeColor="text1"/>
          <w:shd w:val="clear" w:color="auto" w:fill="FFFFFF"/>
        </w:rPr>
        <w:t>’</w:t>
      </w:r>
      <w:r w:rsidRPr="00F02792">
        <w:rPr>
          <w:color w:val="000000" w:themeColor="text1"/>
          <w:shd w:val="clear" w:color="auto" w:fill="FFFFFF"/>
        </w:rPr>
        <w:t>appel a été déclaré recevable contre certaines « décisions qui statuent uniquement sur une exception d</w:t>
      </w:r>
      <w:r w:rsidR="00BB76F1">
        <w:rPr>
          <w:color w:val="000000" w:themeColor="text1"/>
          <w:shd w:val="clear" w:color="auto" w:fill="FFFFFF"/>
        </w:rPr>
        <w:t>’</w:t>
      </w:r>
      <w:r w:rsidRPr="00F02792">
        <w:rPr>
          <w:color w:val="000000" w:themeColor="text1"/>
        </w:rPr>
        <w:t>incompétence</w:t>
      </w:r>
      <w:r w:rsidRPr="00F02792">
        <w:rPr>
          <w:color w:val="000000" w:themeColor="text1"/>
          <w:shd w:val="clear" w:color="auto" w:fill="FFFFFF"/>
        </w:rPr>
        <w:t> en la rejetant et refixent les débats au fond (Cour d</w:t>
      </w:r>
      <w:r w:rsidR="00BB76F1">
        <w:rPr>
          <w:color w:val="000000" w:themeColor="text1"/>
          <w:shd w:val="clear" w:color="auto" w:fill="FFFFFF"/>
        </w:rPr>
        <w:t>’</w:t>
      </w:r>
      <w:r w:rsidRPr="00F02792">
        <w:rPr>
          <w:color w:val="000000" w:themeColor="text1"/>
          <w:shd w:val="clear" w:color="auto" w:fill="FFFFFF"/>
        </w:rPr>
        <w:t>appel, 24 octobre 2001, n</w:t>
      </w:r>
      <w:r w:rsidRPr="00F02792">
        <w:rPr>
          <w:color w:val="000000" w:themeColor="text1"/>
          <w:vertAlign w:val="superscript"/>
        </w:rPr>
        <w:t>o</w:t>
      </w:r>
      <w:r w:rsidRPr="00F02792">
        <w:rPr>
          <w:color w:val="000000" w:themeColor="text1"/>
          <w:shd w:val="clear" w:color="auto" w:fill="FFFFFF"/>
        </w:rPr>
        <w:t> 24985 du rôle). En présence de la disposition spécifique de l</w:t>
      </w:r>
      <w:r w:rsidR="00BB76F1">
        <w:rPr>
          <w:color w:val="000000" w:themeColor="text1"/>
          <w:shd w:val="clear" w:color="auto" w:fill="FFFFFF"/>
        </w:rPr>
        <w:t>’</w:t>
      </w:r>
      <w:r w:rsidRPr="00F02792">
        <w:rPr>
          <w:color w:val="000000" w:themeColor="text1"/>
          <w:shd w:val="clear" w:color="auto" w:fill="FFFFFF"/>
        </w:rPr>
        <w:t>article 582, qui ouvre expressément la voie de l</w:t>
      </w:r>
      <w:r w:rsidR="00BB76F1">
        <w:rPr>
          <w:color w:val="000000" w:themeColor="text1"/>
          <w:shd w:val="clear" w:color="auto" w:fill="FFFFFF"/>
        </w:rPr>
        <w:t>’</w:t>
      </w:r>
      <w:r w:rsidRPr="00F02792">
        <w:rPr>
          <w:color w:val="000000" w:themeColor="text1"/>
          <w:shd w:val="clear" w:color="auto" w:fill="FFFFFF"/>
        </w:rPr>
        <w:t>appel en cas d</w:t>
      </w:r>
      <w:r w:rsidR="00BB76F1">
        <w:rPr>
          <w:color w:val="000000" w:themeColor="text1"/>
          <w:shd w:val="clear" w:color="auto" w:fill="FFFFFF"/>
        </w:rPr>
        <w:t>’</w:t>
      </w:r>
      <w:r w:rsidRPr="00F02792">
        <w:rPr>
          <w:color w:val="000000" w:themeColor="text1"/>
          <w:shd w:val="clear" w:color="auto" w:fill="FFFFFF"/>
        </w:rPr>
        <w:t>admission d</w:t>
      </w:r>
      <w:r w:rsidR="00BB76F1">
        <w:rPr>
          <w:color w:val="000000" w:themeColor="text1"/>
          <w:shd w:val="clear" w:color="auto" w:fill="FFFFFF"/>
        </w:rPr>
        <w:t>’</w:t>
      </w:r>
      <w:r w:rsidRPr="00F02792">
        <w:rPr>
          <w:color w:val="000000" w:themeColor="text1"/>
          <w:shd w:val="clear" w:color="auto" w:fill="FFFFFF"/>
        </w:rPr>
        <w:t>une exception d</w:t>
      </w:r>
      <w:r w:rsidR="00BB76F1">
        <w:rPr>
          <w:color w:val="000000" w:themeColor="text1"/>
          <w:shd w:val="clear" w:color="auto" w:fill="FFFFFF"/>
        </w:rPr>
        <w:t>’</w:t>
      </w:r>
      <w:r w:rsidRPr="00F02792">
        <w:rPr>
          <w:color w:val="000000" w:themeColor="text1"/>
        </w:rPr>
        <w:t>incompétence</w:t>
      </w:r>
      <w:r w:rsidRPr="00F02792">
        <w:rPr>
          <w:color w:val="000000" w:themeColor="text1"/>
          <w:shd w:val="clear" w:color="auto" w:fill="FFFFFF"/>
        </w:rPr>
        <w:t>, et des dispositions de l</w:t>
      </w:r>
      <w:r w:rsidR="00BB76F1">
        <w:rPr>
          <w:color w:val="000000" w:themeColor="text1"/>
          <w:shd w:val="clear" w:color="auto" w:fill="FFFFFF"/>
        </w:rPr>
        <w:t>’</w:t>
      </w:r>
      <w:r w:rsidRPr="00F02792">
        <w:rPr>
          <w:color w:val="000000" w:themeColor="text1"/>
          <w:shd w:val="clear" w:color="auto" w:fill="FFFFFF"/>
        </w:rPr>
        <w:t>article 579, alinéa 2, qui admettent l</w:t>
      </w:r>
      <w:r w:rsidR="00BB76F1">
        <w:rPr>
          <w:color w:val="000000" w:themeColor="text1"/>
          <w:shd w:val="clear" w:color="auto" w:fill="FFFFFF"/>
        </w:rPr>
        <w:t>’</w:t>
      </w:r>
      <w:r w:rsidRPr="00F02792">
        <w:rPr>
          <w:color w:val="000000" w:themeColor="text1"/>
          <w:shd w:val="clear" w:color="auto" w:fill="FFFFFF"/>
        </w:rPr>
        <w:t>appel contre les jugements qui ne statuent pas sur le fond mais mettent fin au litige, il nous semble toutefois que le jugement qui rejette l</w:t>
      </w:r>
      <w:r w:rsidR="00BB76F1">
        <w:rPr>
          <w:color w:val="000000" w:themeColor="text1"/>
          <w:shd w:val="clear" w:color="auto" w:fill="FFFFFF"/>
        </w:rPr>
        <w:t>’</w:t>
      </w:r>
      <w:r w:rsidRPr="00F02792">
        <w:rPr>
          <w:color w:val="000000" w:themeColor="text1"/>
          <w:shd w:val="clear" w:color="auto" w:fill="FFFFFF"/>
        </w:rPr>
        <w:t>exception d</w:t>
      </w:r>
      <w:r w:rsidR="00BB76F1">
        <w:rPr>
          <w:color w:val="000000" w:themeColor="text1"/>
          <w:shd w:val="clear" w:color="auto" w:fill="FFFFFF"/>
        </w:rPr>
        <w:t>’</w:t>
      </w:r>
      <w:r w:rsidRPr="00F02792">
        <w:rPr>
          <w:color w:val="000000" w:themeColor="text1"/>
        </w:rPr>
        <w:t>incompétence</w:t>
      </w:r>
      <w:r w:rsidRPr="00F02792">
        <w:rPr>
          <w:color w:val="000000" w:themeColor="text1"/>
          <w:shd w:val="clear" w:color="auto" w:fill="FFFFFF"/>
        </w:rPr>
        <w:t> ne soit pas susceptible d</w:t>
      </w:r>
      <w:r w:rsidR="00BB76F1">
        <w:rPr>
          <w:color w:val="000000" w:themeColor="text1"/>
          <w:shd w:val="clear" w:color="auto" w:fill="FFFFFF"/>
        </w:rPr>
        <w:t>’</w:t>
      </w:r>
      <w:r w:rsidRPr="00F02792">
        <w:rPr>
          <w:color w:val="000000" w:themeColor="text1"/>
          <w:shd w:val="clear" w:color="auto" w:fill="FFFFFF"/>
        </w:rPr>
        <w:t>appel immédiat. C</w:t>
      </w:r>
      <w:r w:rsidR="00BB76F1">
        <w:rPr>
          <w:color w:val="000000" w:themeColor="text1"/>
          <w:shd w:val="clear" w:color="auto" w:fill="FFFFFF"/>
        </w:rPr>
        <w:t>’</w:t>
      </w:r>
      <w:r w:rsidRPr="00F02792">
        <w:rPr>
          <w:color w:val="000000" w:themeColor="text1"/>
          <w:shd w:val="clear" w:color="auto" w:fill="FFFFFF"/>
        </w:rPr>
        <w:t>est en ce sens que la Cour a statué dans une autre affaire (Cour d</w:t>
      </w:r>
      <w:r w:rsidR="00BB76F1">
        <w:rPr>
          <w:color w:val="000000" w:themeColor="text1"/>
          <w:shd w:val="clear" w:color="auto" w:fill="FFFFFF"/>
        </w:rPr>
        <w:t>’</w:t>
      </w:r>
      <w:r w:rsidRPr="00F02792">
        <w:rPr>
          <w:color w:val="000000" w:themeColor="text1"/>
          <w:shd w:val="clear" w:color="auto" w:fill="FFFFFF"/>
        </w:rPr>
        <w:t>appel, 24 octobre 2007, n</w:t>
      </w:r>
      <w:r w:rsidRPr="00F02792">
        <w:rPr>
          <w:color w:val="000000" w:themeColor="text1"/>
          <w:vertAlign w:val="superscript"/>
        </w:rPr>
        <w:t>o</w:t>
      </w:r>
      <w:r w:rsidRPr="00F02792">
        <w:rPr>
          <w:color w:val="000000" w:themeColor="text1"/>
          <w:shd w:val="clear" w:color="auto" w:fill="FFFFFF"/>
        </w:rPr>
        <w:t> 31069 du rôle), et que la Cour de cassation a décidé qu</w:t>
      </w:r>
      <w:r w:rsidR="00BB76F1">
        <w:rPr>
          <w:color w:val="000000" w:themeColor="text1"/>
          <w:shd w:val="clear" w:color="auto" w:fill="FFFFFF"/>
        </w:rPr>
        <w:t>’</w:t>
      </w:r>
      <w:r w:rsidRPr="00F02792">
        <w:rPr>
          <w:color w:val="000000" w:themeColor="text1"/>
          <w:shd w:val="clear" w:color="auto" w:fill="FFFFFF"/>
        </w:rPr>
        <w:t>un arrêt ayant infirmé une décision d</w:t>
      </w:r>
      <w:r w:rsidR="00BB76F1">
        <w:rPr>
          <w:color w:val="000000" w:themeColor="text1"/>
          <w:shd w:val="clear" w:color="auto" w:fill="FFFFFF"/>
        </w:rPr>
        <w:t>’</w:t>
      </w:r>
      <w:r w:rsidRPr="00F02792">
        <w:rPr>
          <w:color w:val="000000" w:themeColor="text1"/>
        </w:rPr>
        <w:t>incompétence</w:t>
      </w:r>
      <w:r w:rsidRPr="00F02792">
        <w:rPr>
          <w:color w:val="000000" w:themeColor="text1"/>
          <w:shd w:val="clear" w:color="auto" w:fill="FFFFFF"/>
        </w:rPr>
        <w:t> de première instance et renvoyé l</w:t>
      </w:r>
      <w:r w:rsidR="00BB76F1">
        <w:rPr>
          <w:color w:val="000000" w:themeColor="text1"/>
          <w:shd w:val="clear" w:color="auto" w:fill="FFFFFF"/>
        </w:rPr>
        <w:t>’</w:t>
      </w:r>
      <w:r w:rsidRPr="00F02792">
        <w:rPr>
          <w:color w:val="000000" w:themeColor="text1"/>
          <w:shd w:val="clear" w:color="auto" w:fill="FFFFFF"/>
        </w:rPr>
        <w:t>affaire devant le premier juge ne peut pas faire l</w:t>
      </w:r>
      <w:r w:rsidR="00BB76F1">
        <w:rPr>
          <w:color w:val="000000" w:themeColor="text1"/>
          <w:shd w:val="clear" w:color="auto" w:fill="FFFFFF"/>
        </w:rPr>
        <w:t>’</w:t>
      </w:r>
      <w:r w:rsidRPr="00F02792">
        <w:rPr>
          <w:color w:val="000000" w:themeColor="text1"/>
          <w:shd w:val="clear" w:color="auto" w:fill="FFFFFF"/>
        </w:rPr>
        <w:t>objet d</w:t>
      </w:r>
      <w:r w:rsidR="00BB76F1">
        <w:rPr>
          <w:color w:val="000000" w:themeColor="text1"/>
          <w:shd w:val="clear" w:color="auto" w:fill="FFFFFF"/>
        </w:rPr>
        <w:t>’</w:t>
      </w:r>
      <w:r w:rsidRPr="00F02792">
        <w:rPr>
          <w:color w:val="000000" w:themeColor="text1"/>
          <w:shd w:val="clear" w:color="auto" w:fill="FFFFFF"/>
        </w:rPr>
        <w:t>un pourvoi en cassation (Cass., 3 juillet 2008, arrêt n</w:t>
      </w:r>
      <w:r w:rsidRPr="00F02792">
        <w:rPr>
          <w:color w:val="000000" w:themeColor="text1"/>
          <w:vertAlign w:val="superscript"/>
        </w:rPr>
        <w:t>o</w:t>
      </w:r>
      <w:r w:rsidRPr="00F02792">
        <w:rPr>
          <w:color w:val="000000" w:themeColor="text1"/>
          <w:shd w:val="clear" w:color="auto" w:fill="FFFFFF"/>
        </w:rPr>
        <w:t> 43/08) »</w:t>
      </w:r>
      <w:r w:rsidRPr="00F02792">
        <w:rPr>
          <w:rStyle w:val="Appelnotedebasdep"/>
          <w:color w:val="000000" w:themeColor="text1"/>
          <w:shd w:val="clear" w:color="auto" w:fill="FFFFFF"/>
        </w:rPr>
        <w:footnoteReference w:id="93"/>
      </w:r>
      <w:r w:rsidRPr="00F02792">
        <w:rPr>
          <w:color w:val="000000" w:themeColor="text1"/>
          <w:shd w:val="clear" w:color="auto" w:fill="FFFFFF"/>
        </w:rPr>
        <w:t>.</w:t>
      </w:r>
      <w:r w:rsidRPr="00F02792">
        <w:rPr>
          <w:color w:val="000000" w:themeColor="text1"/>
        </w:rPr>
        <w:t xml:space="preserve"> </w:t>
      </w:r>
      <w:r w:rsidR="00B43520" w:rsidRPr="00F02792">
        <w:rPr>
          <w:color w:val="000000" w:themeColor="text1"/>
        </w:rPr>
        <w:t>Plus récemment il a été jugé qu</w:t>
      </w:r>
      <w:r w:rsidR="00BB76F1">
        <w:rPr>
          <w:color w:val="000000" w:themeColor="text1"/>
        </w:rPr>
        <w:t>’</w:t>
      </w:r>
      <w:r w:rsidR="00E46F23" w:rsidRPr="00F02792">
        <w:rPr>
          <w:color w:val="000000" w:themeColor="text1"/>
        </w:rPr>
        <w:t xml:space="preserve">une </w:t>
      </w:r>
      <w:r w:rsidR="00456CDD" w:rsidRPr="00F02792">
        <w:rPr>
          <w:color w:val="000000" w:themeColor="text1"/>
        </w:rPr>
        <w:t xml:space="preserve">décision </w:t>
      </w:r>
      <w:r w:rsidR="001F5161" w:rsidRPr="00F02792">
        <w:rPr>
          <w:color w:val="000000" w:themeColor="text1"/>
        </w:rPr>
        <w:t xml:space="preserve">dans laquelle </w:t>
      </w:r>
      <w:r w:rsidR="007029EB" w:rsidRPr="00F02792">
        <w:rPr>
          <w:color w:val="000000" w:themeColor="text1"/>
        </w:rPr>
        <w:t xml:space="preserve">le </w:t>
      </w:r>
      <w:r w:rsidR="00004BCB" w:rsidRPr="00F02792">
        <w:rPr>
          <w:color w:val="000000" w:themeColor="text1"/>
        </w:rPr>
        <w:t>tribunal retient sa compétence</w:t>
      </w:r>
      <w:r w:rsidR="008E7CB6" w:rsidRPr="00F02792">
        <w:rPr>
          <w:color w:val="000000" w:themeColor="text1"/>
        </w:rPr>
        <w:t xml:space="preserve"> et </w:t>
      </w:r>
      <w:r w:rsidR="00911A69" w:rsidRPr="00F02792">
        <w:rPr>
          <w:color w:val="000000" w:themeColor="text1"/>
        </w:rPr>
        <w:t xml:space="preserve">fixe la continuation des débats </w:t>
      </w:r>
      <w:r w:rsidR="0076634D" w:rsidRPr="00F02792">
        <w:rPr>
          <w:color w:val="000000" w:themeColor="text1"/>
        </w:rPr>
        <w:t>n</w:t>
      </w:r>
      <w:r w:rsidR="00BB76F1">
        <w:rPr>
          <w:color w:val="000000" w:themeColor="text1"/>
        </w:rPr>
        <w:t>’</w:t>
      </w:r>
      <w:r w:rsidR="0076634D" w:rsidRPr="00F02792">
        <w:rPr>
          <w:color w:val="000000" w:themeColor="text1"/>
        </w:rPr>
        <w:t>est pas appelable</w:t>
      </w:r>
      <w:r w:rsidR="003C700B" w:rsidRPr="00F02792">
        <w:rPr>
          <w:rStyle w:val="Appelnotedebasdep"/>
          <w:color w:val="000000" w:themeColor="text1"/>
        </w:rPr>
        <w:footnoteReference w:id="94"/>
      </w:r>
      <w:r w:rsidR="0076634D" w:rsidRPr="00F02792">
        <w:rPr>
          <w:color w:val="000000" w:themeColor="text1"/>
        </w:rPr>
        <w:t>.</w:t>
      </w:r>
      <w:r w:rsidR="00AB51A8" w:rsidRPr="00F02792">
        <w:rPr>
          <w:color w:val="000000" w:themeColor="text1"/>
        </w:rPr>
        <w:t xml:space="preserve"> </w:t>
      </w:r>
      <w:r w:rsidR="00777F86" w:rsidRPr="00F02792">
        <w:rPr>
          <w:color w:val="000000" w:themeColor="text1"/>
        </w:rPr>
        <w:t>L</w:t>
      </w:r>
      <w:r w:rsidR="00BB76F1">
        <w:rPr>
          <w:color w:val="000000" w:themeColor="text1"/>
        </w:rPr>
        <w:t>’</w:t>
      </w:r>
      <w:r w:rsidR="00777F86" w:rsidRPr="00F02792">
        <w:rPr>
          <w:color w:val="000000" w:themeColor="text1"/>
        </w:rPr>
        <w:t xml:space="preserve">interprétation des articles 579 et 582 </w:t>
      </w:r>
      <w:r w:rsidR="001F7EB7" w:rsidRPr="00F02792">
        <w:rPr>
          <w:color w:val="000000" w:themeColor="text1"/>
        </w:rPr>
        <w:t>n</w:t>
      </w:r>
      <w:r w:rsidR="00BB76F1">
        <w:rPr>
          <w:color w:val="000000" w:themeColor="text1"/>
        </w:rPr>
        <w:t>’</w:t>
      </w:r>
      <w:r w:rsidR="001F7EB7" w:rsidRPr="00F02792">
        <w:rPr>
          <w:color w:val="000000" w:themeColor="text1"/>
        </w:rPr>
        <w:t xml:space="preserve">emporte pas conviction : soit </w:t>
      </w:r>
      <w:r w:rsidR="00337021" w:rsidRPr="00F02792">
        <w:rPr>
          <w:color w:val="000000" w:themeColor="text1"/>
        </w:rPr>
        <w:t>l</w:t>
      </w:r>
      <w:r w:rsidR="00BB76F1">
        <w:rPr>
          <w:color w:val="000000" w:themeColor="text1"/>
        </w:rPr>
        <w:t>’</w:t>
      </w:r>
      <w:r w:rsidR="00337021" w:rsidRPr="00F02792">
        <w:rPr>
          <w:color w:val="000000" w:themeColor="text1"/>
        </w:rPr>
        <w:t xml:space="preserve">incident de compétence </w:t>
      </w:r>
      <w:r w:rsidR="008303BA" w:rsidRPr="00F02792">
        <w:rPr>
          <w:color w:val="000000" w:themeColor="text1"/>
        </w:rPr>
        <w:t>parce qu</w:t>
      </w:r>
      <w:r w:rsidR="00BB76F1">
        <w:rPr>
          <w:color w:val="000000" w:themeColor="text1"/>
        </w:rPr>
        <w:t>’</w:t>
      </w:r>
      <w:r w:rsidR="008303BA" w:rsidRPr="00F02792">
        <w:rPr>
          <w:color w:val="000000" w:themeColor="text1"/>
        </w:rPr>
        <w:t xml:space="preserve">il </w:t>
      </w:r>
      <w:r w:rsidR="006959CB" w:rsidRPr="00F02792">
        <w:rPr>
          <w:color w:val="000000" w:themeColor="text1"/>
        </w:rPr>
        <w:t xml:space="preserve">est susceptible de mettre </w:t>
      </w:r>
      <w:r w:rsidR="00814063" w:rsidRPr="00F02792">
        <w:rPr>
          <w:color w:val="000000" w:themeColor="text1"/>
        </w:rPr>
        <w:t xml:space="preserve">fin </w:t>
      </w:r>
      <w:r w:rsidR="001433D0" w:rsidRPr="00F02792">
        <w:rPr>
          <w:color w:val="000000" w:themeColor="text1"/>
        </w:rPr>
        <w:t>à l</w:t>
      </w:r>
      <w:r w:rsidR="00BB76F1">
        <w:rPr>
          <w:color w:val="000000" w:themeColor="text1"/>
        </w:rPr>
        <w:t>’</w:t>
      </w:r>
      <w:r w:rsidR="001433D0" w:rsidRPr="00F02792">
        <w:rPr>
          <w:color w:val="000000" w:themeColor="text1"/>
        </w:rPr>
        <w:t xml:space="preserve">instance est </w:t>
      </w:r>
      <w:r w:rsidR="009127E2" w:rsidRPr="00F02792">
        <w:rPr>
          <w:color w:val="000000" w:themeColor="text1"/>
        </w:rPr>
        <w:t>toujours appela</w:t>
      </w:r>
      <w:r w:rsidR="00A51E25" w:rsidRPr="00F02792">
        <w:rPr>
          <w:color w:val="000000" w:themeColor="text1"/>
        </w:rPr>
        <w:t>ble</w:t>
      </w:r>
      <w:r w:rsidR="00F64376" w:rsidRPr="00F02792">
        <w:rPr>
          <w:color w:val="000000" w:themeColor="text1"/>
        </w:rPr>
        <w:t xml:space="preserve"> et en cela la jurisp</w:t>
      </w:r>
      <w:r w:rsidR="002D1741" w:rsidRPr="00F02792">
        <w:rPr>
          <w:color w:val="000000" w:themeColor="text1"/>
        </w:rPr>
        <w:t>rudence manque de cohérence</w:t>
      </w:r>
      <w:r w:rsidR="00294459" w:rsidRPr="00F02792">
        <w:rPr>
          <w:color w:val="000000" w:themeColor="text1"/>
        </w:rPr>
        <w:t xml:space="preserve"> en jug</w:t>
      </w:r>
      <w:r w:rsidR="00803B9B" w:rsidRPr="00F02792">
        <w:rPr>
          <w:color w:val="000000" w:themeColor="text1"/>
        </w:rPr>
        <w:t xml:space="preserve">eant </w:t>
      </w:r>
      <w:r w:rsidR="00955194" w:rsidRPr="00F02792">
        <w:rPr>
          <w:color w:val="000000" w:themeColor="text1"/>
        </w:rPr>
        <w:t xml:space="preserve">que les décisions </w:t>
      </w:r>
      <w:r w:rsidR="00B416A5" w:rsidRPr="00F02792">
        <w:rPr>
          <w:color w:val="000000" w:themeColor="text1"/>
        </w:rPr>
        <w:t xml:space="preserve">qui retiennent la compétence ne sont pas appelables. Soit </w:t>
      </w:r>
      <w:r w:rsidR="00AE76D5" w:rsidRPr="00F02792">
        <w:rPr>
          <w:color w:val="000000" w:themeColor="text1"/>
        </w:rPr>
        <w:t>et c</w:t>
      </w:r>
      <w:r w:rsidR="00BB76F1">
        <w:rPr>
          <w:color w:val="000000" w:themeColor="text1"/>
        </w:rPr>
        <w:t>’</w:t>
      </w:r>
      <w:r w:rsidR="00AE76D5" w:rsidRPr="00F02792">
        <w:rPr>
          <w:color w:val="000000" w:themeColor="text1"/>
        </w:rPr>
        <w:t xml:space="preserve">est </w:t>
      </w:r>
      <w:r w:rsidR="00BD2C10" w:rsidRPr="00F02792">
        <w:rPr>
          <w:color w:val="000000" w:themeColor="text1"/>
        </w:rPr>
        <w:t xml:space="preserve">la thèse que nous </w:t>
      </w:r>
      <w:r w:rsidR="005037BC" w:rsidRPr="00F02792">
        <w:rPr>
          <w:color w:val="000000" w:themeColor="text1"/>
        </w:rPr>
        <w:t>aimerions défendre, l</w:t>
      </w:r>
      <w:r w:rsidR="00BB76F1">
        <w:rPr>
          <w:color w:val="000000" w:themeColor="text1"/>
        </w:rPr>
        <w:t>’</w:t>
      </w:r>
      <w:r w:rsidR="005037BC" w:rsidRPr="00F02792">
        <w:rPr>
          <w:color w:val="000000" w:themeColor="text1"/>
        </w:rPr>
        <w:t>incident de compétence (interne)</w:t>
      </w:r>
      <w:r w:rsidR="004D3897" w:rsidRPr="00F02792">
        <w:rPr>
          <w:color w:val="000000" w:themeColor="text1"/>
        </w:rPr>
        <w:t xml:space="preserve"> contrairement </w:t>
      </w:r>
      <w:r w:rsidR="005B4DFA" w:rsidRPr="00F02792">
        <w:rPr>
          <w:color w:val="000000" w:themeColor="text1"/>
        </w:rPr>
        <w:t>à l</w:t>
      </w:r>
      <w:r w:rsidR="00BB76F1">
        <w:rPr>
          <w:color w:val="000000" w:themeColor="text1"/>
        </w:rPr>
        <w:t>’</w:t>
      </w:r>
      <w:r w:rsidR="005B4DFA" w:rsidRPr="00F02792">
        <w:rPr>
          <w:color w:val="000000" w:themeColor="text1"/>
        </w:rPr>
        <w:t xml:space="preserve">incident de juridiction </w:t>
      </w:r>
      <w:r w:rsidR="002F7873" w:rsidRPr="00F02792">
        <w:rPr>
          <w:color w:val="000000" w:themeColor="text1"/>
        </w:rPr>
        <w:t xml:space="preserve">(compétence internationale) </w:t>
      </w:r>
      <w:r w:rsidR="00054D0E" w:rsidRPr="00F02792">
        <w:rPr>
          <w:color w:val="000000" w:themeColor="text1"/>
        </w:rPr>
        <w:t xml:space="preserve">devant entraîner </w:t>
      </w:r>
      <w:r w:rsidR="009535F6" w:rsidRPr="00F02792">
        <w:rPr>
          <w:color w:val="000000" w:themeColor="text1"/>
        </w:rPr>
        <w:t xml:space="preserve">un renvoi </w:t>
      </w:r>
      <w:r w:rsidR="00B63A0A" w:rsidRPr="00F02792">
        <w:rPr>
          <w:color w:val="000000" w:themeColor="text1"/>
        </w:rPr>
        <w:t>devant la juridiction compétente</w:t>
      </w:r>
      <w:r w:rsidR="004D2284" w:rsidRPr="00F02792">
        <w:rPr>
          <w:color w:val="000000" w:themeColor="text1"/>
        </w:rPr>
        <w:t xml:space="preserve"> ne devrait pas être </w:t>
      </w:r>
      <w:r w:rsidR="00DF7714" w:rsidRPr="00F02792">
        <w:rPr>
          <w:color w:val="000000" w:themeColor="text1"/>
        </w:rPr>
        <w:t xml:space="preserve">susceptible </w:t>
      </w:r>
      <w:r w:rsidR="00E350E0" w:rsidRPr="00F02792">
        <w:rPr>
          <w:color w:val="000000" w:themeColor="text1"/>
        </w:rPr>
        <w:t>d</w:t>
      </w:r>
      <w:r w:rsidR="00BB76F1">
        <w:rPr>
          <w:color w:val="000000" w:themeColor="text1"/>
        </w:rPr>
        <w:t>’</w:t>
      </w:r>
      <w:r w:rsidR="00E350E0" w:rsidRPr="00F02792">
        <w:rPr>
          <w:color w:val="000000" w:themeColor="text1"/>
        </w:rPr>
        <w:t>appel</w:t>
      </w:r>
      <w:r w:rsidR="008B7F71" w:rsidRPr="00F02792">
        <w:rPr>
          <w:color w:val="000000" w:themeColor="text1"/>
        </w:rPr>
        <w:t xml:space="preserve"> immédiat mais seulement d</w:t>
      </w:r>
      <w:r w:rsidR="00BB76F1">
        <w:rPr>
          <w:color w:val="000000" w:themeColor="text1"/>
        </w:rPr>
        <w:t>’</w:t>
      </w:r>
      <w:r w:rsidR="008B7F71" w:rsidRPr="00F02792">
        <w:rPr>
          <w:color w:val="000000" w:themeColor="text1"/>
        </w:rPr>
        <w:t xml:space="preserve">un appel </w:t>
      </w:r>
      <w:r w:rsidR="00AD0628" w:rsidRPr="00F02792">
        <w:rPr>
          <w:color w:val="000000" w:themeColor="text1"/>
        </w:rPr>
        <w:t>différé</w:t>
      </w:r>
      <w:r w:rsidR="00910CB2" w:rsidRPr="00F02792">
        <w:rPr>
          <w:color w:val="000000" w:themeColor="text1"/>
        </w:rPr>
        <w:t xml:space="preserve"> avec le jugement au fond</w:t>
      </w:r>
      <w:r w:rsidR="008F609F" w:rsidRPr="00F02792">
        <w:rPr>
          <w:color w:val="000000" w:themeColor="text1"/>
        </w:rPr>
        <w:t xml:space="preserve">. </w:t>
      </w:r>
      <w:r w:rsidRPr="00F02792">
        <w:rPr>
          <w:lang w:val="fr-FR"/>
        </w:rPr>
        <w:t>L</w:t>
      </w:r>
      <w:r w:rsidR="00BB76F1">
        <w:rPr>
          <w:lang w:val="fr-FR"/>
        </w:rPr>
        <w:t>’</w:t>
      </w:r>
      <w:r w:rsidRPr="00F02792">
        <w:rPr>
          <w:lang w:val="fr-FR"/>
        </w:rPr>
        <w:t>instauration d</w:t>
      </w:r>
      <w:r w:rsidR="00BB76F1">
        <w:rPr>
          <w:lang w:val="fr-FR"/>
        </w:rPr>
        <w:t>’</w:t>
      </w:r>
      <w:r w:rsidRPr="00F02792">
        <w:rPr>
          <w:lang w:val="fr-FR"/>
        </w:rPr>
        <w:t>un appel différé par l</w:t>
      </w:r>
      <w:r w:rsidR="00BB76F1">
        <w:rPr>
          <w:lang w:val="fr-FR"/>
        </w:rPr>
        <w:t>’</w:t>
      </w:r>
      <w:r w:rsidRPr="00F02792">
        <w:rPr>
          <w:lang w:val="fr-FR"/>
        </w:rPr>
        <w:t xml:space="preserve">article 1050 alinéa 2 du Code judiciaire belge </w:t>
      </w:r>
      <w:r w:rsidR="00051C56" w:rsidRPr="00F02792">
        <w:rPr>
          <w:lang w:val="fr-FR"/>
        </w:rPr>
        <w:t>semble en effet gage</w:t>
      </w:r>
      <w:r w:rsidRPr="00F02792">
        <w:rPr>
          <w:lang w:val="fr-FR"/>
        </w:rPr>
        <w:t xml:space="preserve"> d</w:t>
      </w:r>
      <w:r w:rsidR="00BB76F1">
        <w:rPr>
          <w:lang w:val="fr-FR"/>
        </w:rPr>
        <w:t>’</w:t>
      </w:r>
      <w:r w:rsidRPr="00F02792">
        <w:rPr>
          <w:lang w:val="fr-FR"/>
        </w:rPr>
        <w:t>efficacité</w:t>
      </w:r>
      <w:r w:rsidR="00D6066D" w:rsidRPr="00F02792">
        <w:rPr>
          <w:lang w:val="fr-FR"/>
        </w:rPr>
        <w:t xml:space="preserve"> pour les incidents </w:t>
      </w:r>
      <w:r w:rsidR="004F38BA" w:rsidRPr="00F02792">
        <w:rPr>
          <w:lang w:val="fr-FR"/>
        </w:rPr>
        <w:t>de compétence</w:t>
      </w:r>
      <w:r w:rsidR="008C65D7" w:rsidRPr="00F02792">
        <w:rPr>
          <w:lang w:val="fr-FR"/>
        </w:rPr>
        <w:t>.</w:t>
      </w:r>
      <w:r w:rsidR="00BB76F1">
        <w:rPr>
          <w:lang w:val="fr-FR"/>
        </w:rPr>
        <w:t xml:space="preserve"> </w:t>
      </w:r>
    </w:p>
    <w:p w14:paraId="1D54927B" w14:textId="680BD3D2" w:rsidR="00423110" w:rsidRPr="00F02792" w:rsidRDefault="008C65D7" w:rsidP="00423110">
      <w:pPr>
        <w:spacing w:line="276" w:lineRule="auto"/>
        <w:jc w:val="both"/>
      </w:pPr>
      <w:r w:rsidRPr="00F02792">
        <w:rPr>
          <w:color w:val="000000" w:themeColor="text1"/>
          <w:lang w:val="fr-FR"/>
        </w:rPr>
        <w:lastRenderedPageBreak/>
        <w:t>On ajoutera</w:t>
      </w:r>
      <w:r w:rsidR="009E4A90" w:rsidRPr="00F02792">
        <w:rPr>
          <w:color w:val="000000" w:themeColor="text1"/>
          <w:lang w:val="fr-FR"/>
        </w:rPr>
        <w:t>, toujours sur l</w:t>
      </w:r>
      <w:r w:rsidR="00BB76F1">
        <w:rPr>
          <w:color w:val="000000" w:themeColor="text1"/>
          <w:lang w:val="fr-FR"/>
        </w:rPr>
        <w:t>’</w:t>
      </w:r>
      <w:r w:rsidR="009E4A90" w:rsidRPr="00F02792">
        <w:rPr>
          <w:color w:val="000000" w:themeColor="text1"/>
          <w:lang w:val="fr-FR"/>
        </w:rPr>
        <w:t>appel,</w:t>
      </w:r>
      <w:r w:rsidR="00BB76F1">
        <w:rPr>
          <w:color w:val="000000" w:themeColor="text1"/>
          <w:lang w:val="fr-FR"/>
        </w:rPr>
        <w:t xml:space="preserve"> </w:t>
      </w:r>
      <w:r w:rsidRPr="00F02792">
        <w:rPr>
          <w:color w:val="000000" w:themeColor="text1"/>
          <w:lang w:val="fr-FR"/>
        </w:rPr>
        <w:t>que</w:t>
      </w:r>
      <w:r w:rsidR="00574596" w:rsidRPr="00F02792">
        <w:rPr>
          <w:color w:val="000000" w:themeColor="text1"/>
          <w:lang w:val="fr-FR"/>
        </w:rPr>
        <w:t>, en droit luxembourgeois,</w:t>
      </w:r>
      <w:r w:rsidRPr="00F02792">
        <w:rPr>
          <w:color w:val="000000" w:themeColor="text1"/>
          <w:lang w:val="fr-FR"/>
        </w:rPr>
        <w:t xml:space="preserve"> « l</w:t>
      </w:r>
      <w:r w:rsidR="00BB76F1">
        <w:rPr>
          <w:color w:val="000000" w:themeColor="text1"/>
          <w:lang w:val="fr-FR"/>
        </w:rPr>
        <w:t>’</w:t>
      </w:r>
      <w:r w:rsidRPr="00F02792">
        <w:rPr>
          <w:color w:val="000000" w:themeColor="text1"/>
          <w:lang w:val="fr-FR"/>
        </w:rPr>
        <w:t>appel n</w:t>
      </w:r>
      <w:r w:rsidR="00BB76F1">
        <w:rPr>
          <w:color w:val="000000" w:themeColor="text1"/>
          <w:lang w:val="fr-FR"/>
        </w:rPr>
        <w:t>’</w:t>
      </w:r>
      <w:r w:rsidRPr="00F02792">
        <w:rPr>
          <w:color w:val="000000" w:themeColor="text1"/>
          <w:lang w:val="fr-FR"/>
        </w:rPr>
        <w:t>est pas dévolutif du fond lorsqu</w:t>
      </w:r>
      <w:r w:rsidR="00BB76F1">
        <w:rPr>
          <w:color w:val="000000" w:themeColor="text1"/>
          <w:lang w:val="fr-FR"/>
        </w:rPr>
        <w:t>’</w:t>
      </w:r>
      <w:r w:rsidRPr="00F02792">
        <w:rPr>
          <w:color w:val="000000" w:themeColor="text1"/>
          <w:lang w:val="fr-FR"/>
        </w:rPr>
        <w:t>il résulte des termes de l</w:t>
      </w:r>
      <w:r w:rsidR="00BB76F1">
        <w:rPr>
          <w:color w:val="000000" w:themeColor="text1"/>
          <w:lang w:val="fr-FR"/>
        </w:rPr>
        <w:t>’</w:t>
      </w:r>
      <w:r w:rsidRPr="00F02792">
        <w:rPr>
          <w:color w:val="000000" w:themeColor="text1"/>
          <w:lang w:val="fr-FR"/>
        </w:rPr>
        <w:t>acte d</w:t>
      </w:r>
      <w:r w:rsidR="00BB76F1">
        <w:rPr>
          <w:color w:val="000000" w:themeColor="text1"/>
          <w:lang w:val="fr-FR"/>
        </w:rPr>
        <w:t>’</w:t>
      </w:r>
      <w:r w:rsidRPr="00F02792">
        <w:rPr>
          <w:color w:val="000000" w:themeColor="text1"/>
          <w:lang w:val="fr-FR"/>
        </w:rPr>
        <w:t>appel combinés avec les conclusions de l</w:t>
      </w:r>
      <w:r w:rsidR="00BB76F1">
        <w:rPr>
          <w:color w:val="000000" w:themeColor="text1"/>
          <w:lang w:val="fr-FR"/>
        </w:rPr>
        <w:t>’</w:t>
      </w:r>
      <w:r w:rsidRPr="00F02792">
        <w:rPr>
          <w:color w:val="000000" w:themeColor="text1"/>
          <w:lang w:val="fr-FR"/>
        </w:rPr>
        <w:t>appelant à l</w:t>
      </w:r>
      <w:r w:rsidR="00BB76F1">
        <w:rPr>
          <w:color w:val="000000" w:themeColor="text1"/>
          <w:lang w:val="fr-FR"/>
        </w:rPr>
        <w:t>’</w:t>
      </w:r>
      <w:r w:rsidRPr="00F02792">
        <w:rPr>
          <w:color w:val="000000" w:themeColor="text1"/>
          <w:lang w:val="fr-FR"/>
        </w:rPr>
        <w:t>audience que le juge d</w:t>
      </w:r>
      <w:r w:rsidR="00BB76F1">
        <w:rPr>
          <w:color w:val="000000" w:themeColor="text1"/>
          <w:lang w:val="fr-FR"/>
        </w:rPr>
        <w:t>’</w:t>
      </w:r>
      <w:r w:rsidRPr="00F02792">
        <w:rPr>
          <w:color w:val="000000" w:themeColor="text1"/>
          <w:lang w:val="fr-FR"/>
        </w:rPr>
        <w:t>appel n</w:t>
      </w:r>
      <w:r w:rsidR="00BB76F1">
        <w:rPr>
          <w:color w:val="000000" w:themeColor="text1"/>
          <w:lang w:val="fr-FR"/>
        </w:rPr>
        <w:t>’</w:t>
      </w:r>
      <w:r w:rsidRPr="00F02792">
        <w:rPr>
          <w:color w:val="000000" w:themeColor="text1"/>
          <w:lang w:val="fr-FR"/>
        </w:rPr>
        <w:t xml:space="preserve">a été saisi par </w:t>
      </w:r>
      <w:r w:rsidRPr="00F02792">
        <w:rPr>
          <w:lang w:val="fr-FR"/>
        </w:rPr>
        <w:t>celui-ci que du moyen tiré de l</w:t>
      </w:r>
      <w:r w:rsidR="00BB76F1">
        <w:rPr>
          <w:lang w:val="fr-FR"/>
        </w:rPr>
        <w:t>’</w:t>
      </w:r>
      <w:r w:rsidRPr="00F02792">
        <w:rPr>
          <w:lang w:val="fr-FR"/>
        </w:rPr>
        <w:t>incompétence du premier juge »</w:t>
      </w:r>
      <w:r w:rsidRPr="00F02792">
        <w:rPr>
          <w:rStyle w:val="Appelnotedebasdep"/>
          <w:lang w:val="fr-FR"/>
        </w:rPr>
        <w:footnoteReference w:id="95"/>
      </w:r>
      <w:r w:rsidRPr="00F02792">
        <w:rPr>
          <w:lang w:val="fr-FR"/>
        </w:rPr>
        <w:t>. En matière de compétence, la Cour d</w:t>
      </w:r>
      <w:r w:rsidR="00BB76F1">
        <w:rPr>
          <w:lang w:val="fr-FR"/>
        </w:rPr>
        <w:t>’</w:t>
      </w:r>
      <w:r w:rsidRPr="00F02792">
        <w:rPr>
          <w:lang w:val="fr-FR"/>
        </w:rPr>
        <w:t>appel n</w:t>
      </w:r>
      <w:r w:rsidR="00BB76F1">
        <w:rPr>
          <w:lang w:val="fr-FR"/>
        </w:rPr>
        <w:t>’</w:t>
      </w:r>
      <w:r w:rsidRPr="00F02792">
        <w:rPr>
          <w:lang w:val="fr-FR"/>
        </w:rPr>
        <w:t>hésite pas à « renvoyer » sans évoquer : « </w:t>
      </w:r>
      <w:r w:rsidRPr="00F02792">
        <w:t>la décision attaquée n</w:t>
      </w:r>
      <w:r w:rsidR="00BB76F1">
        <w:t>’</w:t>
      </w:r>
      <w:r w:rsidRPr="00F02792">
        <w:t xml:space="preserve">a tranché dans son dispositif que le seul moyen de la compétence </w:t>
      </w:r>
      <w:r w:rsidRPr="00F02792">
        <w:rPr>
          <w:i/>
          <w:iCs/>
        </w:rPr>
        <w:t xml:space="preserve">ratione materiae </w:t>
      </w:r>
      <w:r w:rsidRPr="00F02792">
        <w:t>du tribunal saisi. Dès lors, les juges de première instance n</w:t>
      </w:r>
      <w:r w:rsidR="00BB76F1">
        <w:t>’</w:t>
      </w:r>
      <w:r w:rsidRPr="00F02792">
        <w:t>ont pas épuisé leur compétence en ce qui concerne le fond de la demande. Il y a dès lors lieu dans l</w:t>
      </w:r>
      <w:r w:rsidR="00BB76F1">
        <w:t>’</w:t>
      </w:r>
      <w:r w:rsidRPr="00F02792">
        <w:t>intérêt d</w:t>
      </w:r>
      <w:r w:rsidR="00BB76F1">
        <w:t>’</w:t>
      </w:r>
      <w:r w:rsidRPr="00F02792">
        <w:t>une bonne administration de la justice et afin de respecter le principe du double degré de juridiction, de renvoyer le dossier en prosécution de cause devant le tribunal autrement composé »</w:t>
      </w:r>
      <w:r w:rsidRPr="00F02792">
        <w:rPr>
          <w:rStyle w:val="Appelnotedebasdep"/>
        </w:rPr>
        <w:footnoteReference w:id="96"/>
      </w:r>
      <w:r w:rsidRPr="00F02792">
        <w:t>.</w:t>
      </w:r>
      <w:r w:rsidR="00216547" w:rsidRPr="00F02792">
        <w:t xml:space="preserve"> </w:t>
      </w:r>
      <w:r w:rsidR="0055430B" w:rsidRPr="00F02792">
        <w:t>Le</w:t>
      </w:r>
      <w:r w:rsidR="006E4346" w:rsidRPr="00F02792">
        <w:t xml:space="preserve"> renvoi à la juridiction compétente</w:t>
      </w:r>
      <w:r w:rsidR="000D365F" w:rsidRPr="00F02792">
        <w:t xml:space="preserve"> </w:t>
      </w:r>
      <w:r w:rsidR="00435472" w:rsidRPr="00F02792">
        <w:t xml:space="preserve">par la juridiction </w:t>
      </w:r>
      <w:r w:rsidR="00B60E78" w:rsidRPr="00F02792">
        <w:t xml:space="preserve">incompétente </w:t>
      </w:r>
      <w:r w:rsidR="000D365F" w:rsidRPr="00F02792">
        <w:t xml:space="preserve">nous </w:t>
      </w:r>
      <w:r w:rsidR="00DB6619" w:rsidRPr="00F02792">
        <w:t>para</w:t>
      </w:r>
      <w:r w:rsidR="002A3F9C" w:rsidRPr="00F02792">
        <w:t xml:space="preserve">ît </w:t>
      </w:r>
      <w:r w:rsidR="00D453ED" w:rsidRPr="00F02792">
        <w:t xml:space="preserve">définitivement préférable au renvoi </w:t>
      </w:r>
      <w:r w:rsidR="00225A8B" w:rsidRPr="00F02792">
        <w:t>hiérarchique</w:t>
      </w:r>
      <w:r w:rsidR="00225A8B" w:rsidRPr="00F02792">
        <w:t>.</w:t>
      </w:r>
    </w:p>
    <w:p w14:paraId="7623151C" w14:textId="77777777" w:rsidR="009E4A90" w:rsidRPr="00F02792" w:rsidRDefault="009E4A90" w:rsidP="00423110">
      <w:pPr>
        <w:spacing w:line="276" w:lineRule="auto"/>
        <w:jc w:val="both"/>
        <w:rPr>
          <w:lang w:val="fr-FR"/>
        </w:rPr>
      </w:pPr>
    </w:p>
    <w:p w14:paraId="326A5D70" w14:textId="544A0F07" w:rsidR="003412B7" w:rsidRPr="00F02792" w:rsidRDefault="00423110" w:rsidP="003412B7">
      <w:pPr>
        <w:spacing w:line="276" w:lineRule="auto"/>
        <w:jc w:val="both"/>
        <w:rPr>
          <w:lang w:val="fr-FR"/>
        </w:rPr>
      </w:pPr>
      <w:r w:rsidRPr="00F02792">
        <w:rPr>
          <w:lang w:val="fr-FR"/>
        </w:rPr>
        <w:t>Mais allons plus loi</w:t>
      </w:r>
      <w:r w:rsidR="00E50A76" w:rsidRPr="00F02792">
        <w:rPr>
          <w:lang w:val="fr-FR"/>
        </w:rPr>
        <w:t xml:space="preserve">n, au-delà </w:t>
      </w:r>
      <w:r w:rsidR="0027054D" w:rsidRPr="00F02792">
        <w:rPr>
          <w:lang w:val="fr-FR"/>
        </w:rPr>
        <w:t>du renvoi</w:t>
      </w:r>
    </w:p>
    <w:p w14:paraId="382F6A3E" w14:textId="0E0B992E" w:rsidR="00414E66" w:rsidRPr="00F02792" w:rsidRDefault="00414E66" w:rsidP="003412B7">
      <w:pPr>
        <w:spacing w:line="276" w:lineRule="auto"/>
        <w:jc w:val="both"/>
        <w:rPr>
          <w:lang w:val="fr-FR"/>
        </w:rPr>
      </w:pPr>
    </w:p>
    <w:p w14:paraId="6E002637" w14:textId="37591C9C" w:rsidR="00414E66" w:rsidRPr="00F02792" w:rsidRDefault="00414E66" w:rsidP="003412B7">
      <w:pPr>
        <w:spacing w:line="276" w:lineRule="auto"/>
        <w:jc w:val="both"/>
        <w:rPr>
          <w:b/>
          <w:bCs/>
          <w:color w:val="0070C0"/>
          <w:lang w:val="fr-FR"/>
        </w:rPr>
      </w:pPr>
      <w:r w:rsidRPr="00F02792">
        <w:rPr>
          <w:b/>
          <w:bCs/>
          <w:lang w:val="fr-FR"/>
        </w:rPr>
        <w:t xml:space="preserve">B. </w:t>
      </w:r>
      <w:r w:rsidR="009D58F3" w:rsidRPr="00F02792">
        <w:rPr>
          <w:b/>
          <w:bCs/>
          <w:lang w:val="fr-FR"/>
        </w:rPr>
        <w:t>Pour de</w:t>
      </w:r>
      <w:r w:rsidR="00774ADB" w:rsidRPr="00F02792">
        <w:rPr>
          <w:b/>
          <w:bCs/>
          <w:lang w:val="fr-FR"/>
        </w:rPr>
        <w:t xml:space="preserve"> meilleures règles de répartition</w:t>
      </w:r>
    </w:p>
    <w:p w14:paraId="5084487B" w14:textId="358F4DEE" w:rsidR="00423110" w:rsidRPr="00F02792" w:rsidRDefault="00423110" w:rsidP="00423110">
      <w:pPr>
        <w:spacing w:line="276" w:lineRule="auto"/>
        <w:jc w:val="both"/>
        <w:rPr>
          <w:color w:val="000000" w:themeColor="text1"/>
        </w:rPr>
      </w:pPr>
    </w:p>
    <w:p w14:paraId="45C29FB4" w14:textId="0D61FC28" w:rsidR="007F07D8" w:rsidRPr="00F02792" w:rsidRDefault="00140744" w:rsidP="004526FC">
      <w:pPr>
        <w:pStyle w:val="Sansinterligne"/>
        <w:rPr>
          <w:color w:val="000000" w:themeColor="text1"/>
        </w:rPr>
      </w:pPr>
      <w:r w:rsidRPr="00F02792">
        <w:rPr>
          <w:color w:val="000000" w:themeColor="text1"/>
        </w:rPr>
        <w:t>« Le jeu des règles de compétence constitue, pour tous les acteurs de la vie judiciaire, une formidable perte d</w:t>
      </w:r>
      <w:r w:rsidR="00BB76F1">
        <w:rPr>
          <w:color w:val="000000" w:themeColor="text1"/>
        </w:rPr>
        <w:t>’</w:t>
      </w:r>
      <w:r w:rsidRPr="00F02792">
        <w:rPr>
          <w:color w:val="000000" w:themeColor="text1"/>
        </w:rPr>
        <w:t>énergie que rien ne justifie »</w:t>
      </w:r>
      <w:r w:rsidRPr="00F02792">
        <w:rPr>
          <w:rStyle w:val="Appelnotedebasdep"/>
          <w:color w:val="000000" w:themeColor="text1"/>
        </w:rPr>
        <w:footnoteReference w:id="97"/>
      </w:r>
      <w:r w:rsidRPr="00F02792">
        <w:rPr>
          <w:color w:val="000000" w:themeColor="text1"/>
        </w:rPr>
        <w:t>.</w:t>
      </w:r>
      <w:r w:rsidR="000A405D" w:rsidRPr="00F02792">
        <w:rPr>
          <w:color w:val="000000" w:themeColor="text1"/>
        </w:rPr>
        <w:t xml:space="preserve"> </w:t>
      </w:r>
      <w:r w:rsidR="00AC178D" w:rsidRPr="00F02792">
        <w:rPr>
          <w:color w:val="000000" w:themeColor="text1"/>
        </w:rPr>
        <w:t>Héron et Thierry Le Bars estiment à cet effet que l</w:t>
      </w:r>
      <w:r w:rsidR="00BB76F1">
        <w:rPr>
          <w:color w:val="000000" w:themeColor="text1"/>
        </w:rPr>
        <w:t>’</w:t>
      </w:r>
      <w:r w:rsidR="00AC178D" w:rsidRPr="00F02792">
        <w:rPr>
          <w:color w:val="000000" w:themeColor="text1"/>
        </w:rPr>
        <w:t>« on pourrait très bien concevoir qu</w:t>
      </w:r>
      <w:r w:rsidR="00BB76F1">
        <w:rPr>
          <w:color w:val="000000" w:themeColor="text1"/>
        </w:rPr>
        <w:t>’</w:t>
      </w:r>
      <w:r w:rsidR="00AC178D" w:rsidRPr="00F02792">
        <w:rPr>
          <w:color w:val="000000" w:themeColor="text1"/>
        </w:rPr>
        <w:t>il n</w:t>
      </w:r>
      <w:r w:rsidR="00BB76F1">
        <w:rPr>
          <w:color w:val="000000" w:themeColor="text1"/>
        </w:rPr>
        <w:t>’</w:t>
      </w:r>
      <w:r w:rsidR="00AC178D" w:rsidRPr="00F02792">
        <w:rPr>
          <w:color w:val="000000" w:themeColor="text1"/>
        </w:rPr>
        <w:t>existe en France qu</w:t>
      </w:r>
      <w:r w:rsidR="00BB76F1">
        <w:rPr>
          <w:color w:val="000000" w:themeColor="text1"/>
        </w:rPr>
        <w:t>’</w:t>
      </w:r>
      <w:r w:rsidR="00AC178D" w:rsidRPr="00F02792">
        <w:rPr>
          <w:color w:val="000000" w:themeColor="text1"/>
        </w:rPr>
        <w:t>une seule sorte de juridictions du premier degré. Le contentieux serait réparti en interne, entre différentes chambres, comme cela se fait devant les cours d</w:t>
      </w:r>
      <w:r w:rsidR="00BB76F1">
        <w:rPr>
          <w:color w:val="000000" w:themeColor="text1"/>
        </w:rPr>
        <w:t>’</w:t>
      </w:r>
      <w:r w:rsidR="00AC178D" w:rsidRPr="00F02792">
        <w:rPr>
          <w:color w:val="000000" w:themeColor="text1"/>
        </w:rPr>
        <w:t>appel ou la Cour de cassation »</w:t>
      </w:r>
      <w:r w:rsidR="00AC178D" w:rsidRPr="00F02792">
        <w:rPr>
          <w:rStyle w:val="Appelnotedebasdep"/>
          <w:color w:val="000000" w:themeColor="text1"/>
        </w:rPr>
        <w:footnoteReference w:id="98"/>
      </w:r>
      <w:r w:rsidR="00AC178D" w:rsidRPr="00F02792">
        <w:rPr>
          <w:color w:val="000000" w:themeColor="text1"/>
        </w:rPr>
        <w:t xml:space="preserve">. </w:t>
      </w:r>
      <w:r w:rsidR="008F28CC" w:rsidRPr="00F02792">
        <w:rPr>
          <w:color w:val="000000" w:themeColor="text1"/>
        </w:rPr>
        <w:t>Les propositions allant dans le sens d</w:t>
      </w:r>
      <w:r w:rsidR="00BB76F1">
        <w:rPr>
          <w:color w:val="000000" w:themeColor="text1"/>
        </w:rPr>
        <w:t>’</w:t>
      </w:r>
      <w:r w:rsidR="008F28CC" w:rsidRPr="00F02792">
        <w:rPr>
          <w:color w:val="000000" w:themeColor="text1"/>
        </w:rPr>
        <w:t>une simplification des règles de compétence se multiplient</w:t>
      </w:r>
      <w:r w:rsidR="007F07D8" w:rsidRPr="00F02792">
        <w:rPr>
          <w:color w:val="000000" w:themeColor="text1"/>
        </w:rPr>
        <w:t xml:space="preserve"> comme en témoigne la réforme française mettant en place le Tribunal judiciaire qui vise </w:t>
      </w:r>
      <w:r w:rsidR="007F07D8" w:rsidRPr="00F02792">
        <w:rPr>
          <w:color w:val="000000"/>
          <w:shd w:val="clear" w:color="auto" w:fill="FFFFFF"/>
        </w:rPr>
        <w:t>à « unifier la compétence civile au sein d</w:t>
      </w:r>
      <w:r w:rsidR="00BB76F1">
        <w:rPr>
          <w:color w:val="000000"/>
          <w:shd w:val="clear" w:color="auto" w:fill="FFFFFF"/>
        </w:rPr>
        <w:t>’</w:t>
      </w:r>
      <w:r w:rsidR="007F07D8" w:rsidRPr="00F02792">
        <w:rPr>
          <w:color w:val="000000"/>
          <w:shd w:val="clear" w:color="auto" w:fill="FFFFFF"/>
        </w:rPr>
        <w:t>une même juridiction »</w:t>
      </w:r>
      <w:r w:rsidR="007F07D8" w:rsidRPr="00F02792">
        <w:rPr>
          <w:rStyle w:val="Appelnotedebasdep"/>
          <w:color w:val="000000" w:themeColor="text1"/>
        </w:rPr>
        <w:footnoteReference w:id="99"/>
      </w:r>
      <w:r w:rsidR="007F07D8" w:rsidRPr="00F02792">
        <w:rPr>
          <w:color w:val="000000"/>
          <w:shd w:val="clear" w:color="auto" w:fill="FFFFFF"/>
        </w:rPr>
        <w:t xml:space="preserve">. On rappellera </w:t>
      </w:r>
      <w:r w:rsidR="004526FC" w:rsidRPr="00F02792">
        <w:rPr>
          <w:color w:val="000000"/>
          <w:shd w:val="clear" w:color="auto" w:fill="FFFFFF"/>
        </w:rPr>
        <w:t>également</w:t>
      </w:r>
      <w:r w:rsidR="004526FC" w:rsidRPr="00F02792">
        <w:rPr>
          <w:color w:val="000000" w:themeColor="text1"/>
        </w:rPr>
        <w:t xml:space="preserve"> le souhait du Commissaire Royal Van Reepinghen créer une juridiction unique. Dans le projet à l</w:t>
      </w:r>
      <w:r w:rsidR="00BB76F1">
        <w:rPr>
          <w:color w:val="000000" w:themeColor="text1"/>
        </w:rPr>
        <w:t>’</w:t>
      </w:r>
      <w:r w:rsidR="004526FC" w:rsidRPr="00F02792">
        <w:rPr>
          <w:color w:val="000000" w:themeColor="text1"/>
        </w:rPr>
        <w:t>origine du Code judiciaire belge, le Tribunal d</w:t>
      </w:r>
      <w:r w:rsidR="00BB76F1">
        <w:rPr>
          <w:color w:val="000000" w:themeColor="text1"/>
        </w:rPr>
        <w:t>’</w:t>
      </w:r>
      <w:r w:rsidR="004526FC" w:rsidRPr="00F02792">
        <w:rPr>
          <w:color w:val="000000" w:themeColor="text1"/>
        </w:rPr>
        <w:t>arrondissement avait été conçu comme juridiction unique de première instance regroupant en son sein les tribunaux de première instance, les tribunaux de commerce et les tribunaux du travail. Dans ce projet, le Tribunal d</w:t>
      </w:r>
      <w:r w:rsidR="00BB76F1">
        <w:rPr>
          <w:color w:val="000000" w:themeColor="text1"/>
        </w:rPr>
        <w:t>’</w:t>
      </w:r>
      <w:r w:rsidR="004526FC" w:rsidRPr="00F02792">
        <w:rPr>
          <w:color w:val="000000" w:themeColor="text1"/>
        </w:rPr>
        <w:t xml:space="preserve">arrondissement aurait dû chapeauter ces trois « sections » regroupées en son sein en se chargeant de la répartition des affaires entre elles. La charge de la détermination de la juridiction compétente devait ainsi </w:t>
      </w:r>
      <w:r w:rsidR="004526FC" w:rsidRPr="00F02792">
        <w:rPr>
          <w:color w:val="000000" w:themeColor="text1"/>
        </w:rPr>
        <w:lastRenderedPageBreak/>
        <w:t>revenir au Tribunal d</w:t>
      </w:r>
      <w:r w:rsidR="00BB76F1">
        <w:rPr>
          <w:color w:val="000000" w:themeColor="text1"/>
        </w:rPr>
        <w:t>’</w:t>
      </w:r>
      <w:r w:rsidR="004526FC" w:rsidRPr="00F02792">
        <w:rPr>
          <w:color w:val="000000" w:themeColor="text1"/>
        </w:rPr>
        <w:t>arrondissement et non plus aux parties, évacuant ainsi tout le contentieux des incidents de compétence. Le Parlement a refusé ce projet et l</w:t>
      </w:r>
      <w:r w:rsidR="00BB76F1">
        <w:rPr>
          <w:color w:val="000000" w:themeColor="text1"/>
        </w:rPr>
        <w:t>’</w:t>
      </w:r>
      <w:r w:rsidR="004526FC" w:rsidRPr="00F02792">
        <w:rPr>
          <w:color w:val="000000" w:themeColor="text1"/>
        </w:rPr>
        <w:t>autonomie des trois juridictions a été maintenue</w:t>
      </w:r>
      <w:r w:rsidR="004526FC" w:rsidRPr="00F02792">
        <w:rPr>
          <w:rStyle w:val="Appelnotedebasdep"/>
          <w:color w:val="000000" w:themeColor="text1"/>
        </w:rPr>
        <w:footnoteReference w:id="100"/>
      </w:r>
      <w:r w:rsidR="004526FC" w:rsidRPr="00F02792">
        <w:rPr>
          <w:color w:val="000000" w:themeColor="text1"/>
        </w:rPr>
        <w:t>.</w:t>
      </w:r>
    </w:p>
    <w:p w14:paraId="5A5EAED0" w14:textId="77777777" w:rsidR="008F28CC" w:rsidRPr="00F02792" w:rsidRDefault="008F28CC" w:rsidP="00AC178D">
      <w:pPr>
        <w:pStyle w:val="Sansinterligne"/>
        <w:rPr>
          <w:color w:val="000000" w:themeColor="text1"/>
        </w:rPr>
      </w:pPr>
    </w:p>
    <w:p w14:paraId="59E4FE28" w14:textId="149D417E" w:rsidR="00AC178D" w:rsidRPr="00F02792" w:rsidRDefault="00AC178D" w:rsidP="00AC178D">
      <w:pPr>
        <w:pStyle w:val="Sansinterligne"/>
        <w:rPr>
          <w:color w:val="000000" w:themeColor="text1"/>
        </w:rPr>
      </w:pPr>
      <w:r w:rsidRPr="00F02792">
        <w:rPr>
          <w:color w:val="000000" w:themeColor="text1"/>
        </w:rPr>
        <w:t>La mise en place d</w:t>
      </w:r>
      <w:r w:rsidR="00BB76F1">
        <w:rPr>
          <w:color w:val="000000" w:themeColor="text1"/>
        </w:rPr>
        <w:t>’</w:t>
      </w:r>
      <w:r w:rsidRPr="00F02792">
        <w:rPr>
          <w:color w:val="000000" w:themeColor="text1"/>
        </w:rPr>
        <w:t>un « guichet unique » auprès d</w:t>
      </w:r>
      <w:r w:rsidR="00BB76F1">
        <w:rPr>
          <w:color w:val="000000" w:themeColor="text1"/>
        </w:rPr>
        <w:t>’</w:t>
      </w:r>
      <w:r w:rsidRPr="00F02792">
        <w:rPr>
          <w:color w:val="000000" w:themeColor="text1"/>
        </w:rPr>
        <w:t xml:space="preserve">une seule institution chargée de répartir les affaires tant sur le plan matériel que territorial paraît </w:t>
      </w:r>
      <w:r w:rsidR="005F6239" w:rsidRPr="00F02792">
        <w:rPr>
          <w:color w:val="000000" w:themeColor="text1"/>
        </w:rPr>
        <w:t>très prospectif tant les juridic</w:t>
      </w:r>
      <w:r w:rsidR="003B559F" w:rsidRPr="00F02792">
        <w:rPr>
          <w:color w:val="000000" w:themeColor="text1"/>
        </w:rPr>
        <w:t xml:space="preserve">tions luxembourgeoises semblent attachées </w:t>
      </w:r>
      <w:r w:rsidR="009900EC" w:rsidRPr="00F02792">
        <w:rPr>
          <w:color w:val="000000" w:themeColor="text1"/>
        </w:rPr>
        <w:t xml:space="preserve">à leur </w:t>
      </w:r>
      <w:r w:rsidR="0070513B" w:rsidRPr="00F02792">
        <w:rPr>
          <w:color w:val="000000" w:themeColor="text1"/>
        </w:rPr>
        <w:t>autonomie</w:t>
      </w:r>
      <w:r w:rsidRPr="00F02792">
        <w:rPr>
          <w:color w:val="000000" w:themeColor="text1"/>
        </w:rPr>
        <w:t>. Elle aurait pourtant le mérite de simplifier et d</w:t>
      </w:r>
      <w:r w:rsidR="00BB76F1">
        <w:rPr>
          <w:color w:val="000000" w:themeColor="text1"/>
        </w:rPr>
        <w:t>’</w:t>
      </w:r>
      <w:r w:rsidRPr="00F02792">
        <w:rPr>
          <w:color w:val="000000" w:themeColor="text1"/>
        </w:rPr>
        <w:t>accélérer l</w:t>
      </w:r>
      <w:r w:rsidR="00BB76F1">
        <w:rPr>
          <w:color w:val="000000" w:themeColor="text1"/>
        </w:rPr>
        <w:t>’</w:t>
      </w:r>
      <w:r w:rsidRPr="00F02792">
        <w:rPr>
          <w:color w:val="000000" w:themeColor="text1"/>
        </w:rPr>
        <w:t xml:space="preserve">accès au juge. Le Luxembourg compte tenu de sa taille et du nombre limité de juridictions pourrait être </w:t>
      </w:r>
      <w:r w:rsidR="00B2124F" w:rsidRPr="00F02792">
        <w:rPr>
          <w:color w:val="000000" w:themeColor="text1"/>
        </w:rPr>
        <w:t>un modèle en matière de simplification de l</w:t>
      </w:r>
      <w:r w:rsidR="00BB76F1">
        <w:rPr>
          <w:color w:val="000000" w:themeColor="text1"/>
        </w:rPr>
        <w:t>’</w:t>
      </w:r>
      <w:r w:rsidR="00B2124F" w:rsidRPr="00F02792">
        <w:rPr>
          <w:color w:val="000000" w:themeColor="text1"/>
        </w:rPr>
        <w:t xml:space="preserve">accès </w:t>
      </w:r>
      <w:r w:rsidR="008A2259" w:rsidRPr="00F02792">
        <w:rPr>
          <w:color w:val="000000" w:themeColor="text1"/>
        </w:rPr>
        <w:t>au juge</w:t>
      </w:r>
      <w:r w:rsidRPr="00F02792">
        <w:rPr>
          <w:color w:val="000000" w:themeColor="text1"/>
        </w:rPr>
        <w:t xml:space="preserve">. La spécialisation des juridictions tout comme la carte judiciaire ne subiraient aucune modification. </w:t>
      </w:r>
      <w:r w:rsidR="000B7F90" w:rsidRPr="00F02792">
        <w:rPr>
          <w:color w:val="000000" w:themeColor="text1"/>
        </w:rPr>
        <w:t>L</w:t>
      </w:r>
      <w:r w:rsidR="009E05D1" w:rsidRPr="00F02792">
        <w:rPr>
          <w:color w:val="000000" w:themeColor="text1"/>
        </w:rPr>
        <w:t>a</w:t>
      </w:r>
      <w:r w:rsidRPr="00F02792">
        <w:rPr>
          <w:color w:val="000000" w:themeColor="text1"/>
        </w:rPr>
        <w:t xml:space="preserve"> disparition des incidents de compétence </w:t>
      </w:r>
      <w:r w:rsidR="008C67B7" w:rsidRPr="00F02792">
        <w:rPr>
          <w:color w:val="000000" w:themeColor="text1"/>
        </w:rPr>
        <w:t>devrait</w:t>
      </w:r>
      <w:r w:rsidR="00942E8E" w:rsidRPr="00F02792">
        <w:rPr>
          <w:color w:val="000000" w:themeColor="text1"/>
        </w:rPr>
        <w:t xml:space="preserve"> suffire </w:t>
      </w:r>
      <w:r w:rsidRPr="00F02792">
        <w:rPr>
          <w:color w:val="000000" w:themeColor="text1"/>
        </w:rPr>
        <w:t>à compenser la création d</w:t>
      </w:r>
      <w:r w:rsidR="00BB76F1">
        <w:rPr>
          <w:color w:val="000000" w:themeColor="text1"/>
        </w:rPr>
        <w:t>’</w:t>
      </w:r>
      <w:r w:rsidRPr="00F02792">
        <w:rPr>
          <w:color w:val="000000" w:themeColor="text1"/>
        </w:rPr>
        <w:t>un guichet unique </w:t>
      </w:r>
      <w:r w:rsidR="00F218F3" w:rsidRPr="00F02792">
        <w:rPr>
          <w:color w:val="000000" w:themeColor="text1"/>
        </w:rPr>
        <w:t xml:space="preserve">car </w:t>
      </w:r>
      <w:r w:rsidRPr="00F02792">
        <w:rPr>
          <w:color w:val="000000" w:themeColor="text1"/>
        </w:rPr>
        <w:t>la mobilisation des juges de première d</w:t>
      </w:r>
      <w:r w:rsidR="00BB76F1">
        <w:rPr>
          <w:color w:val="000000" w:themeColor="text1"/>
        </w:rPr>
        <w:t>’</w:t>
      </w:r>
      <w:r w:rsidRPr="00F02792">
        <w:rPr>
          <w:color w:val="000000" w:themeColor="text1"/>
        </w:rPr>
        <w:t>instance et souvent d</w:t>
      </w:r>
      <w:r w:rsidR="00BB76F1">
        <w:rPr>
          <w:color w:val="000000" w:themeColor="text1"/>
        </w:rPr>
        <w:t>’</w:t>
      </w:r>
      <w:r w:rsidRPr="00F02792">
        <w:rPr>
          <w:color w:val="000000" w:themeColor="text1"/>
        </w:rPr>
        <w:t>appel pour résoudre le contentieux parasitaire lié à la compétence constitu</w:t>
      </w:r>
      <w:r w:rsidR="00203287" w:rsidRPr="00F02792">
        <w:rPr>
          <w:color w:val="000000" w:themeColor="text1"/>
        </w:rPr>
        <w:t>e</w:t>
      </w:r>
      <w:r w:rsidRPr="00F02792">
        <w:rPr>
          <w:color w:val="000000" w:themeColor="text1"/>
        </w:rPr>
        <w:t xml:space="preserve"> un coût</w:t>
      </w:r>
      <w:r w:rsidR="00E87A6D" w:rsidRPr="00F02792">
        <w:rPr>
          <w:color w:val="000000" w:themeColor="text1"/>
        </w:rPr>
        <w:t xml:space="preserve"> </w:t>
      </w:r>
      <w:r w:rsidRPr="00F02792">
        <w:rPr>
          <w:color w:val="000000" w:themeColor="text1"/>
        </w:rPr>
        <w:t>non négligeable</w:t>
      </w:r>
      <w:r w:rsidR="006C4211" w:rsidRPr="00F02792">
        <w:rPr>
          <w:color w:val="000000" w:themeColor="text1"/>
        </w:rPr>
        <w:t xml:space="preserve"> pour l</w:t>
      </w:r>
      <w:r w:rsidR="00BB76F1">
        <w:rPr>
          <w:color w:val="000000" w:themeColor="text1"/>
        </w:rPr>
        <w:t>’</w:t>
      </w:r>
      <w:r w:rsidR="006C4211" w:rsidRPr="00F02792">
        <w:rPr>
          <w:color w:val="000000" w:themeColor="text1"/>
        </w:rPr>
        <w:t xml:space="preserve">appareil </w:t>
      </w:r>
      <w:r w:rsidR="005C6CEE" w:rsidRPr="00F02792">
        <w:rPr>
          <w:color w:val="000000" w:themeColor="text1"/>
        </w:rPr>
        <w:t>judiciaire luxembourgeois</w:t>
      </w:r>
      <w:r w:rsidR="00773E45" w:rsidRPr="00F02792">
        <w:rPr>
          <w:color w:val="000000" w:themeColor="text1"/>
        </w:rPr>
        <w:t xml:space="preserve"> et ce au préjudice </w:t>
      </w:r>
      <w:r w:rsidR="00FE62F7" w:rsidRPr="00F02792">
        <w:rPr>
          <w:color w:val="000000" w:themeColor="text1"/>
        </w:rPr>
        <w:t>des justiciables</w:t>
      </w:r>
      <w:r w:rsidR="00772776" w:rsidRPr="00F02792">
        <w:rPr>
          <w:color w:val="000000" w:themeColor="text1"/>
        </w:rPr>
        <w:t xml:space="preserve">. </w:t>
      </w:r>
    </w:p>
    <w:p w14:paraId="260A4D61" w14:textId="18C1993B" w:rsidR="00F073D6" w:rsidRPr="00F02792" w:rsidRDefault="00F073D6" w:rsidP="006C2194">
      <w:pPr>
        <w:spacing w:line="276" w:lineRule="auto"/>
        <w:jc w:val="both"/>
        <w:rPr>
          <w:lang w:val="fr-FR"/>
        </w:rPr>
      </w:pPr>
    </w:p>
    <w:p w14:paraId="0EA35151" w14:textId="77777777" w:rsidR="007B2B23" w:rsidRPr="00F02792" w:rsidRDefault="007B2B23" w:rsidP="006C2194">
      <w:pPr>
        <w:spacing w:line="276" w:lineRule="auto"/>
        <w:jc w:val="both"/>
        <w:rPr>
          <w:lang w:val="fr-FR"/>
        </w:rPr>
      </w:pPr>
    </w:p>
    <w:sectPr w:rsidR="007B2B23" w:rsidRPr="00F02792" w:rsidSect="00AC3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FDA44" w14:textId="77777777" w:rsidR="00153EA8" w:rsidRDefault="00153EA8" w:rsidP="00B77B52">
      <w:r>
        <w:separator/>
      </w:r>
    </w:p>
  </w:endnote>
  <w:endnote w:type="continuationSeparator" w:id="0">
    <w:p w14:paraId="42AD8E0C" w14:textId="77777777" w:rsidR="00153EA8" w:rsidRDefault="00153EA8" w:rsidP="00B7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D9BB" w14:textId="77777777" w:rsidR="00153EA8" w:rsidRDefault="00153EA8" w:rsidP="00B77B52">
      <w:r>
        <w:separator/>
      </w:r>
    </w:p>
  </w:footnote>
  <w:footnote w:type="continuationSeparator" w:id="0">
    <w:p w14:paraId="0D419204" w14:textId="77777777" w:rsidR="00153EA8" w:rsidRDefault="00153EA8" w:rsidP="00B77B52">
      <w:r>
        <w:continuationSeparator/>
      </w:r>
    </w:p>
  </w:footnote>
  <w:footnote w:id="1">
    <w:p w14:paraId="4AD99370" w14:textId="1327DB40" w:rsidR="003F2548" w:rsidRPr="00187D76" w:rsidRDefault="003F2548"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00885562" w:rsidRPr="00187D76">
        <w:rPr>
          <w:smallCaps/>
          <w:color w:val="000000" w:themeColor="text1"/>
          <w:sz w:val="20"/>
          <w:szCs w:val="20"/>
        </w:rPr>
        <w:t>Th.</w:t>
      </w:r>
      <w:r w:rsidR="00885562" w:rsidRPr="00187D76">
        <w:rPr>
          <w:color w:val="000000" w:themeColor="text1"/>
          <w:sz w:val="20"/>
          <w:szCs w:val="20"/>
        </w:rPr>
        <w:t xml:space="preserve"> </w:t>
      </w:r>
      <w:r w:rsidR="00885562" w:rsidRPr="00187D76">
        <w:rPr>
          <w:smallCaps/>
          <w:color w:val="000000" w:themeColor="text1"/>
          <w:sz w:val="20"/>
          <w:szCs w:val="20"/>
        </w:rPr>
        <w:t>Hoscheit</w:t>
      </w:r>
      <w:r w:rsidR="00885562" w:rsidRPr="00187D76">
        <w:rPr>
          <w:color w:val="000000" w:themeColor="text1"/>
          <w:sz w:val="20"/>
          <w:szCs w:val="20"/>
        </w:rPr>
        <w:t xml:space="preserve">, </w:t>
      </w:r>
      <w:r w:rsidR="00885562" w:rsidRPr="00187D76">
        <w:rPr>
          <w:i/>
          <w:color w:val="000000" w:themeColor="text1"/>
          <w:sz w:val="20"/>
          <w:szCs w:val="20"/>
        </w:rPr>
        <w:t>Le droit judiciaire au Grand-Duché de Luxembourg</w:t>
      </w:r>
      <w:r w:rsidR="00885562" w:rsidRPr="00187D76">
        <w:rPr>
          <w:color w:val="000000" w:themeColor="text1"/>
          <w:sz w:val="20"/>
          <w:szCs w:val="20"/>
        </w:rPr>
        <w:t>, 2</w:t>
      </w:r>
      <w:r w:rsidR="00885562" w:rsidRPr="00187D76">
        <w:rPr>
          <w:color w:val="000000" w:themeColor="text1"/>
          <w:sz w:val="20"/>
          <w:szCs w:val="20"/>
          <w:vertAlign w:val="superscript"/>
        </w:rPr>
        <w:t>nde</w:t>
      </w:r>
      <w:r w:rsidR="00885562" w:rsidRPr="00187D76">
        <w:rPr>
          <w:color w:val="000000" w:themeColor="text1"/>
          <w:sz w:val="20"/>
          <w:szCs w:val="20"/>
        </w:rPr>
        <w:t xml:space="preserve"> éd., Bauler, 2019</w:t>
      </w:r>
      <w:r w:rsidRPr="00187D76">
        <w:rPr>
          <w:color w:val="000000" w:themeColor="text1"/>
          <w:sz w:val="20"/>
          <w:szCs w:val="20"/>
        </w:rPr>
        <w:t xml:space="preserve">, n° </w:t>
      </w:r>
      <w:r w:rsidR="00921AC0" w:rsidRPr="00187D76">
        <w:rPr>
          <w:color w:val="000000" w:themeColor="text1"/>
          <w:sz w:val="20"/>
          <w:szCs w:val="20"/>
        </w:rPr>
        <w:t>871</w:t>
      </w:r>
      <w:r w:rsidRPr="00187D76">
        <w:rPr>
          <w:color w:val="000000" w:themeColor="text1"/>
          <w:sz w:val="20"/>
          <w:szCs w:val="20"/>
        </w:rPr>
        <w:t xml:space="preserve">. Voy. CA, 23 février 2011, n° 35959 cité en note. </w:t>
      </w:r>
    </w:p>
  </w:footnote>
  <w:footnote w:id="2">
    <w:p w14:paraId="2E360593" w14:textId="43FB490C" w:rsidR="008656BD" w:rsidRPr="00187D76" w:rsidRDefault="008656BD" w:rsidP="00187D76">
      <w:pPr>
        <w:pStyle w:val="Sansinterligne"/>
        <w:spacing w:line="240" w:lineRule="auto"/>
        <w:rPr>
          <w:color w:val="000000" w:themeColor="text1"/>
          <w:sz w:val="20"/>
          <w:szCs w:val="20"/>
        </w:rPr>
      </w:pPr>
      <w:r w:rsidRPr="00187D76">
        <w:rPr>
          <w:rStyle w:val="Appelnotedebasdep"/>
          <w:sz w:val="20"/>
          <w:szCs w:val="20"/>
        </w:rPr>
        <w:footnoteRef/>
      </w:r>
      <w:r w:rsidRPr="00187D76">
        <w:rPr>
          <w:sz w:val="20"/>
          <w:szCs w:val="20"/>
        </w:rPr>
        <w:t xml:space="preserve"> Une autre explication tiendrait à l</w:t>
      </w:r>
      <w:r w:rsidR="00BB76F1">
        <w:rPr>
          <w:sz w:val="20"/>
          <w:szCs w:val="20"/>
        </w:rPr>
        <w:t>’</w:t>
      </w:r>
      <w:r w:rsidRPr="00187D76">
        <w:rPr>
          <w:sz w:val="20"/>
          <w:szCs w:val="20"/>
        </w:rPr>
        <w:t>absence de mécanisme de renvoi.</w:t>
      </w:r>
      <w:r w:rsidR="00502596" w:rsidRPr="00187D76">
        <w:rPr>
          <w:sz w:val="20"/>
          <w:szCs w:val="20"/>
        </w:rPr>
        <w:t xml:space="preserve"> </w:t>
      </w:r>
      <w:r w:rsidR="00BC5BB7" w:rsidRPr="00187D76">
        <w:rPr>
          <w:sz w:val="20"/>
          <w:szCs w:val="20"/>
        </w:rPr>
        <w:t>Pourtant il existe d</w:t>
      </w:r>
      <w:r w:rsidR="00BB76F1">
        <w:rPr>
          <w:sz w:val="20"/>
          <w:szCs w:val="20"/>
        </w:rPr>
        <w:t>’</w:t>
      </w:r>
      <w:r w:rsidR="00BC5BB7" w:rsidRPr="00187D76">
        <w:rPr>
          <w:sz w:val="20"/>
          <w:szCs w:val="20"/>
        </w:rPr>
        <w:t xml:space="preserve">autres </w:t>
      </w:r>
      <w:r w:rsidR="00BC5BB7" w:rsidRPr="00187D76">
        <w:rPr>
          <w:color w:val="000000" w:themeColor="text1"/>
          <w:sz w:val="20"/>
          <w:szCs w:val="20"/>
        </w:rPr>
        <w:t xml:space="preserve">types </w:t>
      </w:r>
      <w:r w:rsidR="00502596" w:rsidRPr="00187D76">
        <w:rPr>
          <w:color w:val="000000" w:themeColor="text1"/>
          <w:sz w:val="20"/>
          <w:szCs w:val="20"/>
        </w:rPr>
        <w:t>de « renvoi » </w:t>
      </w:r>
      <w:r w:rsidR="007C23EB" w:rsidRPr="00187D76">
        <w:rPr>
          <w:color w:val="000000" w:themeColor="text1"/>
          <w:sz w:val="20"/>
          <w:szCs w:val="20"/>
        </w:rPr>
        <w:t xml:space="preserve">qui </w:t>
      </w:r>
      <w:r w:rsidR="00A16875" w:rsidRPr="00187D76">
        <w:rPr>
          <w:color w:val="000000" w:themeColor="text1"/>
          <w:sz w:val="20"/>
          <w:szCs w:val="20"/>
        </w:rPr>
        <w:t xml:space="preserve">ne semble </w:t>
      </w:r>
      <w:r w:rsidR="00F5437B" w:rsidRPr="00187D76">
        <w:rPr>
          <w:color w:val="000000" w:themeColor="text1"/>
          <w:sz w:val="20"/>
          <w:szCs w:val="20"/>
        </w:rPr>
        <w:t xml:space="preserve">pas soulever </w:t>
      </w:r>
      <w:r w:rsidR="00BD6ECA" w:rsidRPr="00187D76">
        <w:rPr>
          <w:color w:val="000000" w:themeColor="text1"/>
          <w:sz w:val="20"/>
          <w:szCs w:val="20"/>
        </w:rPr>
        <w:t xml:space="preserve">de </w:t>
      </w:r>
      <w:r w:rsidR="00F2759D" w:rsidRPr="00187D76">
        <w:rPr>
          <w:color w:val="000000" w:themeColor="text1"/>
          <w:sz w:val="20"/>
          <w:szCs w:val="20"/>
        </w:rPr>
        <w:t>difficultés</w:t>
      </w:r>
      <w:r w:rsidR="008D37C9" w:rsidRPr="00187D76">
        <w:rPr>
          <w:color w:val="000000" w:themeColor="text1"/>
          <w:sz w:val="20"/>
          <w:szCs w:val="20"/>
        </w:rPr>
        <w:t xml:space="preserve"> : renvois préjudiciels, </w:t>
      </w:r>
      <w:r w:rsidR="002478B3" w:rsidRPr="00187D76">
        <w:rPr>
          <w:color w:val="000000" w:themeColor="text1"/>
          <w:sz w:val="20"/>
          <w:szCs w:val="20"/>
        </w:rPr>
        <w:t xml:space="preserve">renvoi après </w:t>
      </w:r>
      <w:r w:rsidR="000F045D" w:rsidRPr="00187D76">
        <w:rPr>
          <w:color w:val="000000" w:themeColor="text1"/>
          <w:sz w:val="20"/>
          <w:szCs w:val="20"/>
        </w:rPr>
        <w:t>cassation</w:t>
      </w:r>
      <w:r w:rsidR="00684B01" w:rsidRPr="00187D76">
        <w:rPr>
          <w:color w:val="000000" w:themeColor="text1"/>
          <w:sz w:val="20"/>
          <w:szCs w:val="20"/>
        </w:rPr>
        <w:t xml:space="preserve">, </w:t>
      </w:r>
      <w:r w:rsidR="00C1389A" w:rsidRPr="00187D76">
        <w:rPr>
          <w:color w:val="000000" w:themeColor="text1"/>
          <w:sz w:val="20"/>
          <w:szCs w:val="20"/>
        </w:rPr>
        <w:t>… il y a même</w:t>
      </w:r>
      <w:r w:rsidR="00A74276" w:rsidRPr="00187D76">
        <w:rPr>
          <w:color w:val="000000" w:themeColor="text1"/>
          <w:sz w:val="20"/>
          <w:szCs w:val="20"/>
        </w:rPr>
        <w:t xml:space="preserve"> eu un renvoi à la juridiction administrative, même s</w:t>
      </w:r>
      <w:r w:rsidR="00BB76F1">
        <w:rPr>
          <w:color w:val="000000" w:themeColor="text1"/>
          <w:sz w:val="20"/>
          <w:szCs w:val="20"/>
        </w:rPr>
        <w:t>’</w:t>
      </w:r>
      <w:r w:rsidR="00A74276" w:rsidRPr="00187D76">
        <w:rPr>
          <w:color w:val="000000" w:themeColor="text1"/>
          <w:sz w:val="20"/>
          <w:szCs w:val="20"/>
        </w:rPr>
        <w:t xml:space="preserve">il faut admettre </w:t>
      </w:r>
      <w:r w:rsidR="007B0419" w:rsidRPr="00187D76">
        <w:rPr>
          <w:color w:val="000000" w:themeColor="text1"/>
          <w:sz w:val="20"/>
          <w:szCs w:val="20"/>
        </w:rPr>
        <w:t>qu</w:t>
      </w:r>
      <w:r w:rsidR="009C38EC" w:rsidRPr="00187D76">
        <w:rPr>
          <w:color w:val="000000" w:themeColor="text1"/>
          <w:sz w:val="20"/>
          <w:szCs w:val="20"/>
        </w:rPr>
        <w:t>e sur le point également de l</w:t>
      </w:r>
      <w:r w:rsidR="00BB76F1">
        <w:rPr>
          <w:color w:val="000000" w:themeColor="text1"/>
          <w:sz w:val="20"/>
          <w:szCs w:val="20"/>
        </w:rPr>
        <w:t>’</w:t>
      </w:r>
      <w:r w:rsidR="009C38EC" w:rsidRPr="00187D76">
        <w:rPr>
          <w:color w:val="000000" w:themeColor="text1"/>
          <w:sz w:val="20"/>
          <w:szCs w:val="20"/>
        </w:rPr>
        <w:t xml:space="preserve">exception </w:t>
      </w:r>
      <w:r w:rsidR="00994469" w:rsidRPr="00187D76">
        <w:rPr>
          <w:color w:val="000000" w:themeColor="text1"/>
          <w:sz w:val="20"/>
          <w:szCs w:val="20"/>
        </w:rPr>
        <w:t>d</w:t>
      </w:r>
      <w:r w:rsidR="00BB76F1">
        <w:rPr>
          <w:color w:val="000000" w:themeColor="text1"/>
          <w:sz w:val="20"/>
          <w:szCs w:val="20"/>
        </w:rPr>
        <w:t>’</w:t>
      </w:r>
      <w:r w:rsidR="00994469" w:rsidRPr="00187D76">
        <w:rPr>
          <w:color w:val="000000" w:themeColor="text1"/>
          <w:sz w:val="20"/>
          <w:szCs w:val="20"/>
        </w:rPr>
        <w:t xml:space="preserve">illégalité, </w:t>
      </w:r>
      <w:r w:rsidR="00DD356B" w:rsidRPr="00187D76">
        <w:rPr>
          <w:color w:val="000000" w:themeColor="text1"/>
          <w:sz w:val="20"/>
          <w:szCs w:val="20"/>
        </w:rPr>
        <w:t xml:space="preserve">le renvoi </w:t>
      </w:r>
      <w:r w:rsidR="0050595A" w:rsidRPr="00187D76">
        <w:rPr>
          <w:color w:val="000000" w:themeColor="text1"/>
          <w:sz w:val="20"/>
          <w:szCs w:val="20"/>
        </w:rPr>
        <w:t xml:space="preserve">fait </w:t>
      </w:r>
      <w:r w:rsidR="00D5650D" w:rsidRPr="00187D76">
        <w:rPr>
          <w:color w:val="000000" w:themeColor="text1"/>
          <w:sz w:val="20"/>
          <w:szCs w:val="20"/>
        </w:rPr>
        <w:t>défaut</w:t>
      </w:r>
      <w:r w:rsidR="00BF3D3C" w:rsidRPr="00187D76">
        <w:rPr>
          <w:color w:val="000000" w:themeColor="text1"/>
          <w:sz w:val="20"/>
          <w:szCs w:val="20"/>
        </w:rPr>
        <w:t>, voy. V.</w:t>
      </w:r>
      <w:r w:rsidR="00BF3D3C" w:rsidRPr="00187D76">
        <w:rPr>
          <w:smallCaps/>
          <w:sz w:val="20"/>
          <w:szCs w:val="20"/>
        </w:rPr>
        <w:t xml:space="preserve">Bolard &amp; S. Menetrey, </w:t>
      </w:r>
      <w:r w:rsidR="00BF3D3C" w:rsidRPr="00187D76">
        <w:rPr>
          <w:rFonts w:eastAsia="Times New Roman"/>
          <w:sz w:val="20"/>
          <w:szCs w:val="20"/>
          <w:lang w:eastAsia="fr-FR"/>
        </w:rPr>
        <w:t>« L</w:t>
      </w:r>
      <w:r w:rsidR="00BB76F1">
        <w:rPr>
          <w:rFonts w:eastAsia="Times New Roman"/>
          <w:sz w:val="20"/>
          <w:szCs w:val="20"/>
          <w:lang w:eastAsia="fr-FR"/>
        </w:rPr>
        <w:t>’</w:t>
      </w:r>
      <w:r w:rsidR="00BF3D3C" w:rsidRPr="00187D76">
        <w:rPr>
          <w:rFonts w:eastAsia="Times New Roman"/>
          <w:sz w:val="20"/>
          <w:szCs w:val="20"/>
          <w:lang w:eastAsia="fr-FR"/>
        </w:rPr>
        <w:t>exception d</w:t>
      </w:r>
      <w:r w:rsidR="00BB76F1">
        <w:rPr>
          <w:rFonts w:eastAsia="Times New Roman"/>
          <w:sz w:val="20"/>
          <w:szCs w:val="20"/>
          <w:lang w:eastAsia="fr-FR"/>
        </w:rPr>
        <w:t>’</w:t>
      </w:r>
      <w:r w:rsidR="00BF3D3C" w:rsidRPr="00187D76">
        <w:rPr>
          <w:rFonts w:eastAsia="Times New Roman"/>
          <w:sz w:val="20"/>
          <w:szCs w:val="20"/>
          <w:lang w:eastAsia="fr-FR"/>
        </w:rPr>
        <w:t>illégalité des actes administratifs individuels devant le juge judiciaire à l</w:t>
      </w:r>
      <w:r w:rsidR="00BB76F1">
        <w:rPr>
          <w:rFonts w:eastAsia="Times New Roman"/>
          <w:sz w:val="20"/>
          <w:szCs w:val="20"/>
          <w:lang w:eastAsia="fr-FR"/>
        </w:rPr>
        <w:t>’</w:t>
      </w:r>
      <w:r w:rsidR="00BF3D3C" w:rsidRPr="00187D76">
        <w:rPr>
          <w:rFonts w:eastAsia="Times New Roman"/>
          <w:sz w:val="20"/>
          <w:szCs w:val="20"/>
          <w:lang w:eastAsia="fr-FR"/>
        </w:rPr>
        <w:t>épreuve du droit processuel »,</w:t>
      </w:r>
      <w:r w:rsidR="00BB76F1">
        <w:rPr>
          <w:sz w:val="20"/>
          <w:szCs w:val="20"/>
        </w:rPr>
        <w:t xml:space="preserve"> </w:t>
      </w:r>
      <w:r w:rsidR="00BF3D3C" w:rsidRPr="00187D76">
        <w:rPr>
          <w:i/>
          <w:iCs/>
          <w:sz w:val="20"/>
          <w:szCs w:val="20"/>
        </w:rPr>
        <w:t>Pas.</w:t>
      </w:r>
      <w:r w:rsidR="00BF3D3C" w:rsidRPr="00187D76">
        <w:rPr>
          <w:sz w:val="20"/>
          <w:szCs w:val="20"/>
        </w:rPr>
        <w:t>, t. 40, 2021, p. 2.</w:t>
      </w:r>
    </w:p>
  </w:footnote>
  <w:footnote w:id="3">
    <w:p w14:paraId="074BE84F" w14:textId="7816B6E1" w:rsidR="006E4A73" w:rsidRPr="00187D76" w:rsidRDefault="006E4A73"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001D2798" w:rsidRPr="00187D76">
        <w:rPr>
          <w:smallCaps/>
          <w:color w:val="000000" w:themeColor="text1"/>
          <w:sz w:val="20"/>
          <w:szCs w:val="20"/>
        </w:rPr>
        <w:t>Th.</w:t>
      </w:r>
      <w:r w:rsidR="001D2798" w:rsidRPr="00187D76">
        <w:rPr>
          <w:color w:val="000000" w:themeColor="text1"/>
          <w:sz w:val="20"/>
          <w:szCs w:val="20"/>
        </w:rPr>
        <w:t xml:space="preserve"> </w:t>
      </w:r>
      <w:r w:rsidR="001D2798" w:rsidRPr="00187D76">
        <w:rPr>
          <w:smallCaps/>
          <w:color w:val="000000" w:themeColor="text1"/>
          <w:sz w:val="20"/>
          <w:szCs w:val="20"/>
        </w:rPr>
        <w:t>Hoscheit</w:t>
      </w:r>
      <w:r w:rsidRPr="00187D76">
        <w:rPr>
          <w:rFonts w:eastAsia="Times New Roman"/>
          <w:color w:val="000000" w:themeColor="text1"/>
          <w:sz w:val="20"/>
          <w:szCs w:val="20"/>
          <w:shd w:val="clear" w:color="auto" w:fill="FFFFFF"/>
          <w:lang w:eastAsia="fr-FR"/>
        </w:rPr>
        <w:t>, « La juridiction du président du tribunal d</w:t>
      </w:r>
      <w:r w:rsidR="00BB76F1">
        <w:rPr>
          <w:rFonts w:eastAsia="Times New Roman"/>
          <w:color w:val="000000" w:themeColor="text1"/>
          <w:sz w:val="20"/>
          <w:szCs w:val="20"/>
          <w:shd w:val="clear" w:color="auto" w:fill="FFFFFF"/>
          <w:lang w:eastAsia="fr-FR"/>
        </w:rPr>
        <w:t>’</w:t>
      </w:r>
      <w:r w:rsidRPr="00187D76">
        <w:rPr>
          <w:rFonts w:eastAsia="Times New Roman"/>
          <w:color w:val="000000" w:themeColor="text1"/>
          <w:sz w:val="20"/>
          <w:szCs w:val="20"/>
          <w:shd w:val="clear" w:color="auto" w:fill="FFFFFF"/>
          <w:lang w:eastAsia="fr-FR"/>
        </w:rPr>
        <w:t>arrondissement : actualités et perspectives », </w:t>
      </w:r>
      <w:r w:rsidRPr="00187D76">
        <w:rPr>
          <w:rFonts w:eastAsia="Times New Roman"/>
          <w:i/>
          <w:iCs/>
          <w:color w:val="000000" w:themeColor="text1"/>
          <w:sz w:val="20"/>
          <w:szCs w:val="20"/>
          <w:lang w:eastAsia="fr-FR"/>
        </w:rPr>
        <w:t>J.T.L.</w:t>
      </w:r>
      <w:r w:rsidRPr="00187D76">
        <w:rPr>
          <w:rFonts w:eastAsia="Times New Roman"/>
          <w:color w:val="000000" w:themeColor="text1"/>
          <w:sz w:val="20"/>
          <w:szCs w:val="20"/>
          <w:shd w:val="clear" w:color="auto" w:fill="FFFFFF"/>
          <w:lang w:eastAsia="fr-FR"/>
        </w:rPr>
        <w:t>, 2015/4, n° 40, p. 97, par. 3.</w:t>
      </w:r>
    </w:p>
  </w:footnote>
  <w:footnote w:id="4">
    <w:p w14:paraId="39B7CEF5" w14:textId="42E990D5"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00921AC0" w:rsidRPr="00187D76">
        <w:rPr>
          <w:smallCaps/>
          <w:color w:val="000000" w:themeColor="text1"/>
          <w:sz w:val="20"/>
          <w:szCs w:val="20"/>
        </w:rPr>
        <w:t>Th.</w:t>
      </w:r>
      <w:r w:rsidR="00921AC0" w:rsidRPr="00187D76">
        <w:rPr>
          <w:color w:val="000000" w:themeColor="text1"/>
          <w:sz w:val="20"/>
          <w:szCs w:val="20"/>
        </w:rPr>
        <w:t xml:space="preserve"> </w:t>
      </w:r>
      <w:r w:rsidR="00921AC0" w:rsidRPr="00187D76">
        <w:rPr>
          <w:smallCaps/>
          <w:color w:val="000000" w:themeColor="text1"/>
          <w:sz w:val="20"/>
          <w:szCs w:val="20"/>
        </w:rPr>
        <w:t>Hoscheit</w:t>
      </w:r>
      <w:r w:rsidR="00921AC0" w:rsidRPr="00187D76">
        <w:rPr>
          <w:color w:val="000000" w:themeColor="text1"/>
          <w:sz w:val="20"/>
          <w:szCs w:val="20"/>
        </w:rPr>
        <w:t xml:space="preserve">, </w:t>
      </w:r>
      <w:r w:rsidR="00921AC0" w:rsidRPr="00187D76">
        <w:rPr>
          <w:i/>
          <w:color w:val="000000" w:themeColor="text1"/>
          <w:sz w:val="20"/>
          <w:szCs w:val="20"/>
        </w:rPr>
        <w:t>Le droit judiciaire au Grand-Duché de Luxembour</w:t>
      </w:r>
      <w:r w:rsidR="008F708F" w:rsidRPr="00187D76">
        <w:rPr>
          <w:i/>
          <w:color w:val="000000" w:themeColor="text1"/>
          <w:sz w:val="20"/>
          <w:szCs w:val="20"/>
        </w:rPr>
        <w:t>g</w:t>
      </w:r>
      <w:r w:rsidR="00921AC0" w:rsidRPr="00187D76">
        <w:rPr>
          <w:color w:val="000000" w:themeColor="text1"/>
          <w:sz w:val="20"/>
          <w:szCs w:val="20"/>
        </w:rPr>
        <w:t xml:space="preserve">, </w:t>
      </w:r>
      <w:r w:rsidR="00FB4ACD" w:rsidRPr="00187D76">
        <w:rPr>
          <w:color w:val="000000" w:themeColor="text1"/>
          <w:sz w:val="20"/>
          <w:szCs w:val="20"/>
        </w:rPr>
        <w:t>2</w:t>
      </w:r>
      <w:r w:rsidR="00FB4ACD" w:rsidRPr="00187D76">
        <w:rPr>
          <w:color w:val="000000" w:themeColor="text1"/>
          <w:sz w:val="20"/>
          <w:szCs w:val="20"/>
          <w:vertAlign w:val="superscript"/>
        </w:rPr>
        <w:t>nde</w:t>
      </w:r>
      <w:r w:rsidR="00FB4ACD" w:rsidRPr="00187D76">
        <w:rPr>
          <w:color w:val="000000" w:themeColor="text1"/>
          <w:sz w:val="20"/>
          <w:szCs w:val="20"/>
        </w:rPr>
        <w:t xml:space="preserve"> éd., </w:t>
      </w:r>
      <w:r w:rsidR="00BD258D" w:rsidRPr="00187D76">
        <w:rPr>
          <w:color w:val="000000" w:themeColor="text1"/>
          <w:sz w:val="20"/>
          <w:szCs w:val="20"/>
        </w:rPr>
        <w:t xml:space="preserve">Bauler, 2019, </w:t>
      </w:r>
      <w:r w:rsidR="00921AC0" w:rsidRPr="00187D76">
        <w:rPr>
          <w:color w:val="000000" w:themeColor="text1"/>
          <w:sz w:val="20"/>
          <w:szCs w:val="20"/>
        </w:rPr>
        <w:t>n° 871.</w:t>
      </w:r>
    </w:p>
  </w:footnote>
  <w:footnote w:id="5">
    <w:p w14:paraId="5CAF95D7" w14:textId="1D7752C4" w:rsidR="00CB06D6" w:rsidRPr="00187D76" w:rsidRDefault="00CB06D6" w:rsidP="00187D76">
      <w:pPr>
        <w:pStyle w:val="Notedebasdepage"/>
        <w:jc w:val="both"/>
        <w:rPr>
          <w:lang w:val="fr-FR"/>
        </w:rPr>
      </w:pPr>
      <w:r w:rsidRPr="00187D76">
        <w:rPr>
          <w:rStyle w:val="Appelnotedebasdep"/>
        </w:rPr>
        <w:footnoteRef/>
      </w:r>
      <w:r w:rsidRPr="00187D76">
        <w:t xml:space="preserve"> </w:t>
      </w:r>
      <w:r w:rsidRPr="00187D76">
        <w:rPr>
          <w:color w:val="000000" w:themeColor="text1"/>
        </w:rPr>
        <w:t xml:space="preserve">J. </w:t>
      </w:r>
      <w:r w:rsidRPr="00187D76">
        <w:rPr>
          <w:smallCaps/>
          <w:color w:val="000000" w:themeColor="text1"/>
        </w:rPr>
        <w:t>Neuen</w:t>
      </w:r>
      <w:r w:rsidRPr="00187D76">
        <w:rPr>
          <w:color w:val="000000" w:themeColor="text1"/>
        </w:rPr>
        <w:t xml:space="preserve">, « Modernisation de la procédure civile contentieuse », </w:t>
      </w:r>
      <w:r w:rsidRPr="00187D76">
        <w:rPr>
          <w:i/>
          <w:color w:val="000000" w:themeColor="text1"/>
        </w:rPr>
        <w:t>Bulletin du Cercle François Laurent</w:t>
      </w:r>
      <w:r w:rsidRPr="00187D76">
        <w:rPr>
          <w:color w:val="000000" w:themeColor="text1"/>
        </w:rPr>
        <w:t>, 1961-1965, t. II, p. 349.</w:t>
      </w:r>
    </w:p>
  </w:footnote>
  <w:footnote w:id="6">
    <w:p w14:paraId="5B8B6831" w14:textId="77777777"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Les exemples sont infinis voy. JPL, 14 février 2019, Rép. Fisc. N°19. </w:t>
      </w:r>
    </w:p>
  </w:footnote>
  <w:footnote w:id="7">
    <w:p w14:paraId="0E28FBD1" w14:textId="1A6A5BE1" w:rsidR="00C7313B" w:rsidRPr="00187D76" w:rsidRDefault="00C7313B" w:rsidP="00187D76">
      <w:pPr>
        <w:pStyle w:val="Sansinterligne"/>
        <w:spacing w:line="240" w:lineRule="auto"/>
        <w:rPr>
          <w:color w:val="000000" w:themeColor="text1"/>
          <w:sz w:val="20"/>
          <w:szCs w:val="20"/>
          <w:lang w:val="fr-LU"/>
        </w:rPr>
      </w:pPr>
      <w:r w:rsidRPr="00187D76">
        <w:rPr>
          <w:rStyle w:val="Appelnotedebasdep"/>
          <w:color w:val="000000" w:themeColor="text1"/>
          <w:sz w:val="20"/>
          <w:szCs w:val="20"/>
        </w:rPr>
        <w:footnoteRef/>
      </w:r>
      <w:r w:rsidRPr="00187D76">
        <w:rPr>
          <w:color w:val="000000" w:themeColor="text1"/>
          <w:sz w:val="20"/>
          <w:szCs w:val="20"/>
        </w:rPr>
        <w:t xml:space="preserve"> Décret n° 58- 1289 du 22 décembre 1958</w:t>
      </w:r>
      <w:r w:rsidR="00F569D1" w:rsidRPr="00187D76">
        <w:rPr>
          <w:color w:val="000000" w:themeColor="text1"/>
          <w:sz w:val="20"/>
          <w:szCs w:val="20"/>
        </w:rPr>
        <w:t>.</w:t>
      </w:r>
    </w:p>
  </w:footnote>
  <w:footnote w:id="8">
    <w:p w14:paraId="55513680" w14:textId="77777777"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rFonts w:eastAsia="Times New Roman"/>
          <w:color w:val="000000" w:themeColor="text1"/>
          <w:sz w:val="20"/>
          <w:szCs w:val="20"/>
          <w:lang w:eastAsia="fr-FR"/>
        </w:rPr>
        <w:t xml:space="preserve">Voy. R. </w:t>
      </w:r>
      <w:r w:rsidRPr="00187D76">
        <w:rPr>
          <w:rFonts w:eastAsia="Times New Roman"/>
          <w:smallCaps/>
          <w:color w:val="000000" w:themeColor="text1"/>
          <w:sz w:val="20"/>
          <w:szCs w:val="20"/>
          <w:lang w:eastAsia="fr-FR"/>
        </w:rPr>
        <w:t>Lindon,</w:t>
      </w:r>
      <w:r w:rsidRPr="00187D76">
        <w:rPr>
          <w:rFonts w:eastAsia="Times New Roman"/>
          <w:color w:val="000000" w:themeColor="text1"/>
          <w:sz w:val="20"/>
          <w:szCs w:val="20"/>
          <w:lang w:eastAsia="fr-FR"/>
        </w:rPr>
        <w:t xml:space="preserve"> « Les modifications du Code de procédure civile en matière de conflits de compétence », </w:t>
      </w:r>
      <w:r w:rsidRPr="00187D76">
        <w:rPr>
          <w:rFonts w:eastAsia="Times New Roman"/>
          <w:i/>
          <w:iCs/>
          <w:color w:val="000000" w:themeColor="text1"/>
          <w:sz w:val="20"/>
          <w:szCs w:val="20"/>
          <w:lang w:eastAsia="fr-FR"/>
        </w:rPr>
        <w:t xml:space="preserve">JCP </w:t>
      </w:r>
      <w:r w:rsidRPr="00187D76">
        <w:rPr>
          <w:rFonts w:eastAsia="Times New Roman"/>
          <w:color w:val="000000" w:themeColor="text1"/>
          <w:sz w:val="20"/>
          <w:szCs w:val="20"/>
          <w:lang w:eastAsia="fr-FR"/>
        </w:rPr>
        <w:t>1959, I, 1468.</w:t>
      </w:r>
    </w:p>
  </w:footnote>
  <w:footnote w:id="9">
    <w:p w14:paraId="27A4A178" w14:textId="3EFCD8F6"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F</w:t>
      </w:r>
      <w:r w:rsidRPr="00187D76">
        <w:rPr>
          <w:rFonts w:eastAsia="Times New Roman"/>
          <w:color w:val="000000" w:themeColor="text1"/>
          <w:sz w:val="20"/>
          <w:szCs w:val="20"/>
          <w:lang w:eastAsia="fr-FR"/>
        </w:rPr>
        <w:t>.</w:t>
      </w:r>
      <w:r w:rsidR="008C1623" w:rsidRPr="00187D76">
        <w:rPr>
          <w:rFonts w:eastAsia="Times New Roman"/>
          <w:color w:val="000000" w:themeColor="text1"/>
          <w:sz w:val="20"/>
          <w:szCs w:val="20"/>
          <w:lang w:eastAsia="fr-FR"/>
        </w:rPr>
        <w:t xml:space="preserve"> </w:t>
      </w:r>
      <w:r w:rsidRPr="00187D76">
        <w:rPr>
          <w:rFonts w:eastAsia="Times New Roman"/>
          <w:smallCaps/>
          <w:color w:val="000000" w:themeColor="text1"/>
          <w:sz w:val="20"/>
          <w:szCs w:val="20"/>
          <w:lang w:eastAsia="fr-FR"/>
        </w:rPr>
        <w:t>Mailhé</w:t>
      </w:r>
      <w:r w:rsidRPr="00187D76">
        <w:rPr>
          <w:rFonts w:eastAsia="Times New Roman"/>
          <w:color w:val="000000" w:themeColor="text1"/>
          <w:sz w:val="20"/>
          <w:szCs w:val="20"/>
          <w:shd w:val="clear" w:color="auto" w:fill="FFFFFF"/>
          <w:lang w:eastAsia="fr-FR"/>
        </w:rPr>
        <w:t>, </w:t>
      </w:r>
      <w:r w:rsidRPr="00187D76">
        <w:rPr>
          <w:rFonts w:eastAsia="Times New Roman"/>
          <w:i/>
          <w:iCs/>
          <w:color w:val="000000" w:themeColor="text1"/>
          <w:sz w:val="20"/>
          <w:szCs w:val="20"/>
          <w:lang w:eastAsia="fr-FR"/>
        </w:rPr>
        <w:t>L</w:t>
      </w:r>
      <w:r w:rsidR="00BB76F1">
        <w:rPr>
          <w:rFonts w:eastAsia="Times New Roman"/>
          <w:i/>
          <w:iCs/>
          <w:color w:val="000000" w:themeColor="text1"/>
          <w:sz w:val="20"/>
          <w:szCs w:val="20"/>
          <w:lang w:eastAsia="fr-FR"/>
        </w:rPr>
        <w:t>’</w:t>
      </w:r>
      <w:r w:rsidRPr="00187D76">
        <w:rPr>
          <w:rFonts w:eastAsia="Times New Roman"/>
          <w:i/>
          <w:iCs/>
          <w:color w:val="000000" w:themeColor="text1"/>
          <w:sz w:val="20"/>
          <w:szCs w:val="20"/>
          <w:lang w:eastAsia="fr-FR"/>
        </w:rPr>
        <w:t>organisation de la concurrence internationale des juridictions : la compétence face à la mondialisation économique</w:t>
      </w:r>
      <w:r w:rsidRPr="00187D76">
        <w:rPr>
          <w:rFonts w:eastAsia="Times New Roman"/>
          <w:color w:val="000000" w:themeColor="text1"/>
          <w:sz w:val="20"/>
          <w:szCs w:val="20"/>
          <w:shd w:val="clear" w:color="auto" w:fill="FFFFFF"/>
          <w:lang w:eastAsia="fr-FR"/>
        </w:rPr>
        <w:t>, thèse Paris II, décembre 2013, n° 405.</w:t>
      </w:r>
    </w:p>
  </w:footnote>
  <w:footnote w:id="10">
    <w:p w14:paraId="24B7C551" w14:textId="244C0170" w:rsidR="006A1E21" w:rsidRPr="00187D76" w:rsidRDefault="006A1E21" w:rsidP="00187D76">
      <w:pPr>
        <w:pStyle w:val="Notedebasdepage"/>
        <w:jc w:val="both"/>
        <w:rPr>
          <w:lang w:val="fr-FR"/>
        </w:rPr>
      </w:pPr>
      <w:r w:rsidRPr="00187D76">
        <w:rPr>
          <w:rStyle w:val="Appelnotedebasdep"/>
        </w:rPr>
        <w:footnoteRef/>
      </w:r>
      <w:r w:rsidRPr="00187D76">
        <w:t xml:space="preserve"> </w:t>
      </w:r>
      <w:r w:rsidR="00267AEF" w:rsidRPr="00187D76">
        <w:t xml:space="preserve">CA, 25 avril 2019, </w:t>
      </w:r>
      <w:r w:rsidR="009E1718" w:rsidRPr="00187D76">
        <w:t xml:space="preserve">arrêt n°53/19-III-TRAV, n° CAL-2018-00019 du rôle. </w:t>
      </w:r>
      <w:r w:rsidRPr="00187D76">
        <w:rPr>
          <w:lang w:val="fr-FR"/>
        </w:rPr>
        <w:t>Il</w:t>
      </w:r>
      <w:r w:rsidR="00B67605" w:rsidRPr="00187D76">
        <w:rPr>
          <w:lang w:val="fr-FR"/>
        </w:rPr>
        <w:t xml:space="preserve"> était en réalité </w:t>
      </w:r>
      <w:r w:rsidR="000C1E8B" w:rsidRPr="00187D76">
        <w:rPr>
          <w:lang w:val="fr-FR"/>
        </w:rPr>
        <w:t xml:space="preserve">ici question de savoir si la litispendance pouvait être invoquée ou non, mais il est très intéressant de voir </w:t>
      </w:r>
      <w:r w:rsidR="003227B6" w:rsidRPr="00187D76">
        <w:rPr>
          <w:lang w:val="fr-FR"/>
        </w:rPr>
        <w:t xml:space="preserve">que </w:t>
      </w:r>
      <w:r w:rsidR="00F4153F" w:rsidRPr="00187D76">
        <w:rPr>
          <w:lang w:val="fr-FR"/>
        </w:rPr>
        <w:t xml:space="preserve">le renvoi </w:t>
      </w:r>
      <w:r w:rsidR="009829CE" w:rsidRPr="00187D76">
        <w:rPr>
          <w:lang w:val="fr-FR"/>
        </w:rPr>
        <w:t xml:space="preserve">jouerait </w:t>
      </w:r>
      <w:r w:rsidR="00D91FA2" w:rsidRPr="00187D76">
        <w:rPr>
          <w:lang w:val="fr-FR"/>
        </w:rPr>
        <w:t>pour</w:t>
      </w:r>
      <w:r w:rsidR="009829CE" w:rsidRPr="00187D76">
        <w:rPr>
          <w:lang w:val="fr-FR"/>
        </w:rPr>
        <w:t xml:space="preserve"> la</w:t>
      </w:r>
      <w:r w:rsidR="00D91FA2" w:rsidRPr="00187D76">
        <w:rPr>
          <w:lang w:val="fr-FR"/>
        </w:rPr>
        <w:t xml:space="preserve"> litispendance </w:t>
      </w:r>
      <w:r w:rsidR="009829CE" w:rsidRPr="00187D76">
        <w:rPr>
          <w:lang w:val="fr-FR"/>
        </w:rPr>
        <w:t>mais pas pour l</w:t>
      </w:r>
      <w:r w:rsidR="00BB76F1">
        <w:rPr>
          <w:lang w:val="fr-FR"/>
        </w:rPr>
        <w:t>’</w:t>
      </w:r>
      <w:r w:rsidR="009829CE" w:rsidRPr="00187D76">
        <w:rPr>
          <w:lang w:val="fr-FR"/>
        </w:rPr>
        <w:t>incompétence.</w:t>
      </w:r>
    </w:p>
  </w:footnote>
  <w:footnote w:id="11">
    <w:p w14:paraId="71D351AE" w14:textId="77777777" w:rsidR="00C7313B" w:rsidRPr="00187D76" w:rsidRDefault="00C7313B" w:rsidP="00187D76">
      <w:pPr>
        <w:pStyle w:val="Sansinterligne"/>
        <w:spacing w:line="240" w:lineRule="auto"/>
        <w:rPr>
          <w:rFonts w:eastAsia="Times New Roman"/>
          <w:color w:val="000000" w:themeColor="text1"/>
          <w:sz w:val="20"/>
          <w:szCs w:val="20"/>
          <w:lang w:val="fr-LU" w:eastAsia="fr-FR"/>
        </w:rPr>
      </w:pPr>
      <w:r w:rsidRPr="00187D76">
        <w:rPr>
          <w:rStyle w:val="Appelnotedebasdep"/>
          <w:color w:val="000000" w:themeColor="text1"/>
          <w:sz w:val="20"/>
          <w:szCs w:val="20"/>
        </w:rPr>
        <w:footnoteRef/>
      </w:r>
      <w:r w:rsidRPr="00187D76">
        <w:rPr>
          <w:color w:val="000000" w:themeColor="text1"/>
          <w:sz w:val="20"/>
          <w:szCs w:val="20"/>
        </w:rPr>
        <w:t xml:space="preserve"> Voy. not. Cass,, 16 mars 2000 , </w:t>
      </w:r>
      <w:r w:rsidRPr="00187D76">
        <w:rPr>
          <w:i/>
          <w:iCs/>
          <w:color w:val="000000" w:themeColor="text1"/>
          <w:sz w:val="20"/>
          <w:szCs w:val="20"/>
        </w:rPr>
        <w:t>Pas.</w:t>
      </w:r>
      <w:r w:rsidRPr="00187D76">
        <w:rPr>
          <w:color w:val="000000" w:themeColor="text1"/>
          <w:sz w:val="20"/>
          <w:szCs w:val="20"/>
        </w:rPr>
        <w:t>, t. 31, p. 383, CA, 16 mars 2011, n° 35823 du rôle ; CA, 28 avril 2010, n°35539 du rôle ; TAL, 20 décembre 2017, Jugement commercial 2017/TAL/CH15/1451, n°</w:t>
      </w:r>
      <w:r w:rsidRPr="00187D76">
        <w:rPr>
          <w:rFonts w:eastAsia="Times New Roman"/>
          <w:color w:val="000000" w:themeColor="text1"/>
          <w:sz w:val="20"/>
          <w:szCs w:val="20"/>
          <w:lang w:eastAsia="fr-FR"/>
        </w:rPr>
        <w:t xml:space="preserve">160333 du rôle ; </w:t>
      </w:r>
    </w:p>
  </w:footnote>
  <w:footnote w:id="12">
    <w:p w14:paraId="52F17F4A" w14:textId="77777777"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rFonts w:eastAsia="Times New Roman"/>
          <w:smallCaps/>
          <w:color w:val="000000" w:themeColor="text1"/>
          <w:sz w:val="20"/>
          <w:szCs w:val="20"/>
          <w:lang w:eastAsia="fr-FR"/>
        </w:rPr>
        <w:t>Th. Hoscheit</w:t>
      </w:r>
      <w:r w:rsidRPr="00187D76">
        <w:rPr>
          <w:rFonts w:eastAsia="Times New Roman"/>
          <w:color w:val="000000" w:themeColor="text1"/>
          <w:sz w:val="20"/>
          <w:szCs w:val="20"/>
          <w:lang w:eastAsia="fr-FR"/>
        </w:rPr>
        <w:t xml:space="preserve">, </w:t>
      </w:r>
      <w:r w:rsidRPr="00187D76">
        <w:rPr>
          <w:rFonts w:eastAsia="Times New Roman"/>
          <w:color w:val="000000" w:themeColor="text1"/>
          <w:sz w:val="20"/>
          <w:szCs w:val="20"/>
          <w:shd w:val="clear" w:color="auto" w:fill="FFFFFF"/>
          <w:lang w:eastAsia="fr-FR"/>
        </w:rPr>
        <w:t>« Observations », </w:t>
      </w:r>
      <w:r w:rsidRPr="00187D76">
        <w:rPr>
          <w:rFonts w:eastAsia="Times New Roman"/>
          <w:i/>
          <w:iCs/>
          <w:color w:val="000000" w:themeColor="text1"/>
          <w:sz w:val="20"/>
          <w:szCs w:val="20"/>
          <w:lang w:eastAsia="fr-FR"/>
        </w:rPr>
        <w:t>J.T.L.</w:t>
      </w:r>
      <w:r w:rsidRPr="00187D76">
        <w:rPr>
          <w:rFonts w:eastAsia="Times New Roman"/>
          <w:color w:val="000000" w:themeColor="text1"/>
          <w:sz w:val="20"/>
          <w:szCs w:val="20"/>
          <w:shd w:val="clear" w:color="auto" w:fill="FFFFFF"/>
          <w:lang w:eastAsia="fr-FR"/>
        </w:rPr>
        <w:t xml:space="preserve">, 2014/1, n° 31, p. 26. </w:t>
      </w:r>
    </w:p>
  </w:footnote>
  <w:footnote w:id="13">
    <w:p w14:paraId="15AD161F" w14:textId="77777777" w:rsidR="00C7313B" w:rsidRPr="00187D76" w:rsidRDefault="00C7313B" w:rsidP="00187D76">
      <w:pPr>
        <w:pStyle w:val="Sansinterligne"/>
        <w:spacing w:line="240" w:lineRule="auto"/>
        <w:rPr>
          <w:rFonts w:eastAsia="Times New Roman"/>
          <w:color w:val="000000" w:themeColor="text1"/>
          <w:sz w:val="20"/>
          <w:szCs w:val="20"/>
          <w:lang w:val="fr-LU" w:eastAsia="fr-FR"/>
        </w:rPr>
      </w:pPr>
      <w:r w:rsidRPr="00187D76">
        <w:rPr>
          <w:rStyle w:val="Appelnotedebasdep"/>
          <w:color w:val="000000" w:themeColor="text1"/>
          <w:sz w:val="20"/>
          <w:szCs w:val="20"/>
        </w:rPr>
        <w:footnoteRef/>
      </w:r>
      <w:r w:rsidRPr="00187D76">
        <w:rPr>
          <w:color w:val="000000" w:themeColor="text1"/>
          <w:sz w:val="20"/>
          <w:szCs w:val="20"/>
        </w:rPr>
        <w:t xml:space="preserve"> Les conflits négatifs se rencontrent davantage en matière pénale avec des règlements de juge à la clef (voy. récemment, Cass. 8 juillet 2021, n°115/2021 pénal n° CAS-2021-00063) mais ils ne sont pas exclus en matière civile voy. </w:t>
      </w:r>
      <w:r w:rsidRPr="00187D76">
        <w:rPr>
          <w:rFonts w:eastAsia="Times New Roman"/>
          <w:color w:val="000000" w:themeColor="text1"/>
          <w:sz w:val="20"/>
          <w:szCs w:val="20"/>
          <w:lang w:eastAsia="fr-FR"/>
        </w:rPr>
        <w:t>TAL (juge des tutelles), 15 juillet 2013 et CA, 11 décembre 2013</w:t>
      </w:r>
      <w:r w:rsidRPr="00187D76">
        <w:rPr>
          <w:rFonts w:eastAsia="Times New Roman"/>
          <w:i/>
          <w:iCs/>
          <w:color w:val="000000" w:themeColor="text1"/>
          <w:sz w:val="20"/>
          <w:szCs w:val="20"/>
          <w:lang w:eastAsia="fr-FR"/>
        </w:rPr>
        <w:t xml:space="preserve"> JTL, </w:t>
      </w:r>
      <w:r w:rsidRPr="00187D76">
        <w:rPr>
          <w:rFonts w:eastAsia="Times New Roman"/>
          <w:color w:val="000000" w:themeColor="text1"/>
          <w:sz w:val="20"/>
          <w:szCs w:val="20"/>
          <w:lang w:eastAsia="fr-FR"/>
        </w:rPr>
        <w:t xml:space="preserve">2014/1, n° 31 - 5 février 2014 avec les observations de </w:t>
      </w:r>
      <w:r w:rsidRPr="00187D76">
        <w:rPr>
          <w:rFonts w:eastAsia="Times New Roman"/>
          <w:smallCaps/>
          <w:color w:val="000000" w:themeColor="text1"/>
          <w:sz w:val="20"/>
          <w:szCs w:val="20"/>
          <w:lang w:eastAsia="fr-FR"/>
        </w:rPr>
        <w:t>Th. Hoscheit</w:t>
      </w:r>
      <w:r w:rsidRPr="00187D76">
        <w:rPr>
          <w:rFonts w:eastAsia="Times New Roman"/>
          <w:color w:val="000000" w:themeColor="text1"/>
          <w:sz w:val="20"/>
          <w:szCs w:val="20"/>
          <w:lang w:eastAsia="fr-FR"/>
        </w:rPr>
        <w:t xml:space="preserve">, </w:t>
      </w:r>
      <w:r w:rsidRPr="00187D76">
        <w:rPr>
          <w:rFonts w:eastAsia="Times New Roman"/>
          <w:color w:val="000000" w:themeColor="text1"/>
          <w:sz w:val="20"/>
          <w:szCs w:val="20"/>
          <w:shd w:val="clear" w:color="auto" w:fill="FFFFFF"/>
          <w:lang w:eastAsia="fr-FR"/>
        </w:rPr>
        <w:t>« Observations », </w:t>
      </w:r>
      <w:r w:rsidRPr="00187D76">
        <w:rPr>
          <w:rFonts w:eastAsia="Times New Roman"/>
          <w:i/>
          <w:iCs/>
          <w:color w:val="000000" w:themeColor="text1"/>
          <w:sz w:val="20"/>
          <w:szCs w:val="20"/>
          <w:lang w:eastAsia="fr-FR"/>
        </w:rPr>
        <w:t>J.T.L.</w:t>
      </w:r>
      <w:r w:rsidRPr="00187D76">
        <w:rPr>
          <w:rFonts w:eastAsia="Times New Roman"/>
          <w:color w:val="000000" w:themeColor="text1"/>
          <w:sz w:val="20"/>
          <w:szCs w:val="20"/>
          <w:shd w:val="clear" w:color="auto" w:fill="FFFFFF"/>
          <w:lang w:eastAsia="fr-FR"/>
        </w:rPr>
        <w:t>, 2014/1, n° 31, p. 25-28.</w:t>
      </w:r>
    </w:p>
  </w:footnote>
  <w:footnote w:id="14">
    <w:p w14:paraId="2C366DBE" w14:textId="77777777"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CA, 28 avril 2010, n°35539 du rôle.</w:t>
      </w:r>
    </w:p>
  </w:footnote>
  <w:footnote w:id="15">
    <w:p w14:paraId="3F1CDAA1" w14:textId="77777777"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CA, 28 avril 2010, n°35539 du rôle, p. 3. </w:t>
      </w:r>
    </w:p>
  </w:footnote>
  <w:footnote w:id="16">
    <w:p w14:paraId="50FC2CB4" w14:textId="59C8E0EC"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00E02CBD" w:rsidRPr="00187D76">
        <w:rPr>
          <w:i/>
          <w:iCs/>
          <w:color w:val="000000" w:themeColor="text1"/>
          <w:sz w:val="20"/>
          <w:szCs w:val="20"/>
        </w:rPr>
        <w:t>Ibid.</w:t>
      </w:r>
      <w:r w:rsidRPr="00187D76">
        <w:rPr>
          <w:color w:val="000000" w:themeColor="text1"/>
          <w:sz w:val="20"/>
          <w:szCs w:val="20"/>
        </w:rPr>
        <w:t>, p. 4.</w:t>
      </w:r>
    </w:p>
  </w:footnote>
  <w:footnote w:id="17">
    <w:p w14:paraId="754BC38A" w14:textId="1AD8B5D1"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00E02CBD" w:rsidRPr="00187D76">
        <w:rPr>
          <w:i/>
          <w:iCs/>
          <w:color w:val="000000" w:themeColor="text1"/>
          <w:sz w:val="20"/>
          <w:szCs w:val="20"/>
        </w:rPr>
        <w:t>Ibid.</w:t>
      </w:r>
      <w:r w:rsidR="00E02CBD" w:rsidRPr="00187D76">
        <w:rPr>
          <w:color w:val="000000" w:themeColor="text1"/>
          <w:sz w:val="20"/>
          <w:szCs w:val="20"/>
        </w:rPr>
        <w:t xml:space="preserve">, </w:t>
      </w:r>
      <w:r w:rsidRPr="00187D76">
        <w:rPr>
          <w:color w:val="000000" w:themeColor="text1"/>
          <w:sz w:val="20"/>
          <w:szCs w:val="20"/>
        </w:rPr>
        <w:t>p. 4.</w:t>
      </w:r>
    </w:p>
  </w:footnote>
  <w:footnote w:id="18">
    <w:p w14:paraId="31576C54" w14:textId="638869CE" w:rsidR="00CF6E55" w:rsidRPr="00187D76" w:rsidRDefault="00CF6E55" w:rsidP="00187D76">
      <w:pPr>
        <w:pStyle w:val="Notedebasdepage"/>
        <w:jc w:val="both"/>
        <w:rPr>
          <w:lang w:val="fr-FR"/>
        </w:rPr>
      </w:pPr>
      <w:r w:rsidRPr="00187D76">
        <w:rPr>
          <w:rStyle w:val="Appelnotedebasdep"/>
        </w:rPr>
        <w:footnoteRef/>
      </w:r>
      <w:r w:rsidRPr="00187D76">
        <w:t xml:space="preserve"> </w:t>
      </w:r>
      <w:r w:rsidRPr="00187D76">
        <w:rPr>
          <w:lang w:val="fr-FR"/>
        </w:rPr>
        <w:t xml:space="preserve">Voy. pour une incompétence territoriale du tribunal du travail, not. CA, 16 octobre 2014, n°40214 du rôle ; </w:t>
      </w:r>
      <w:r w:rsidR="002004FD" w:rsidRPr="00187D76">
        <w:rPr>
          <w:lang w:val="fr-FR"/>
        </w:rPr>
        <w:t xml:space="preserve">CA, </w:t>
      </w:r>
      <w:r w:rsidR="006D3FDF" w:rsidRPr="00187D76">
        <w:rPr>
          <w:lang w:val="fr-FR"/>
        </w:rPr>
        <w:t xml:space="preserve">25 février 2021, </w:t>
      </w:r>
      <w:r w:rsidR="0088341C" w:rsidRPr="00187D76">
        <w:rPr>
          <w:lang w:val="fr-FR"/>
        </w:rPr>
        <w:t>arrêt n°</w:t>
      </w:r>
      <w:r w:rsidR="00F7341F" w:rsidRPr="00187D76">
        <w:rPr>
          <w:lang w:val="fr-FR"/>
        </w:rPr>
        <w:t xml:space="preserve"> 18/21-III-TRAV, n° CAM-2020-00433 du rôle ; </w:t>
      </w:r>
      <w:r w:rsidRPr="00187D76">
        <w:rPr>
          <w:lang w:val="fr-FR"/>
        </w:rPr>
        <w:t xml:space="preserve">comp. CA, 24 juin 2021, arrêt n°66/21-III-TRAV, n° CAL-2020-00189 du rôle. </w:t>
      </w:r>
    </w:p>
  </w:footnote>
  <w:footnote w:id="19">
    <w:p w14:paraId="16AE2CDA" w14:textId="22C10A8E" w:rsidR="00CF6E55" w:rsidRPr="00187D76" w:rsidRDefault="00CF6E55" w:rsidP="00187D76">
      <w:pPr>
        <w:pStyle w:val="Notedebasdepage"/>
        <w:jc w:val="both"/>
        <w:rPr>
          <w:lang w:val="fr-FR"/>
        </w:rPr>
      </w:pPr>
      <w:r w:rsidRPr="00187D76">
        <w:rPr>
          <w:rStyle w:val="Appelnotedebasdep"/>
        </w:rPr>
        <w:footnoteRef/>
      </w:r>
      <w:r w:rsidRPr="00187D76">
        <w:t xml:space="preserve"> </w:t>
      </w:r>
      <w:r w:rsidRPr="00187D76">
        <w:rPr>
          <w:lang w:val="fr-FR"/>
        </w:rPr>
        <w:t xml:space="preserve">Voy. </w:t>
      </w:r>
      <w:r w:rsidRPr="00187D76">
        <w:rPr>
          <w:i/>
          <w:iCs/>
          <w:lang w:val="fr-FR"/>
        </w:rPr>
        <w:t xml:space="preserve">infra </w:t>
      </w:r>
      <w:r w:rsidRPr="00187D76">
        <w:rPr>
          <w:lang w:val="fr-FR"/>
        </w:rPr>
        <w:t>I.B.</w:t>
      </w:r>
    </w:p>
  </w:footnote>
  <w:footnote w:id="20">
    <w:p w14:paraId="0B6EB563" w14:textId="0D029E4C" w:rsidR="002B3860" w:rsidRPr="00187D76" w:rsidRDefault="002B3860" w:rsidP="00187D76">
      <w:pPr>
        <w:pStyle w:val="Notedebasdepage"/>
        <w:jc w:val="both"/>
        <w:rPr>
          <w:lang w:val="fr-FR"/>
        </w:rPr>
      </w:pPr>
      <w:r w:rsidRPr="00187D76">
        <w:rPr>
          <w:rStyle w:val="Appelnotedebasdep"/>
        </w:rPr>
        <w:footnoteRef/>
      </w:r>
      <w:r w:rsidRPr="00187D76">
        <w:t xml:space="preserve"> </w:t>
      </w:r>
      <w:r w:rsidRPr="00187D76">
        <w:rPr>
          <w:lang w:val="fr-FR"/>
        </w:rPr>
        <w:t>CA, 21 janvier 2021,</w:t>
      </w:r>
      <w:r w:rsidR="00137885" w:rsidRPr="00187D76">
        <w:rPr>
          <w:lang w:val="fr-FR"/>
        </w:rPr>
        <w:t xml:space="preserve"> arrêt n°6/21</w:t>
      </w:r>
      <w:r w:rsidR="00854C29" w:rsidRPr="00187D76">
        <w:rPr>
          <w:lang w:val="fr-FR"/>
        </w:rPr>
        <w:t>-III-TRAV</w:t>
      </w:r>
      <w:r w:rsidR="00D60E39" w:rsidRPr="00187D76">
        <w:rPr>
          <w:lang w:val="fr-FR"/>
        </w:rPr>
        <w:t xml:space="preserve">, n° CAL-2019-01057 du rôle. </w:t>
      </w:r>
    </w:p>
  </w:footnote>
  <w:footnote w:id="21">
    <w:p w14:paraId="76997047" w14:textId="77777777"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rFonts w:eastAsia="Times New Roman"/>
          <w:color w:val="000000" w:themeColor="text1"/>
          <w:sz w:val="20"/>
          <w:szCs w:val="20"/>
          <w:lang w:eastAsia="fr-FR"/>
        </w:rPr>
        <w:t>TAL (juge des tutelles), 15 juillet 2013 et CA, 11 décembre 2013</w:t>
      </w:r>
      <w:r w:rsidRPr="00187D76">
        <w:rPr>
          <w:rFonts w:eastAsia="Times New Roman"/>
          <w:i/>
          <w:iCs/>
          <w:color w:val="000000" w:themeColor="text1"/>
          <w:sz w:val="20"/>
          <w:szCs w:val="20"/>
          <w:lang w:eastAsia="fr-FR"/>
        </w:rPr>
        <w:t xml:space="preserve"> JTL, </w:t>
      </w:r>
      <w:r w:rsidRPr="00187D76">
        <w:rPr>
          <w:rFonts w:eastAsia="Times New Roman"/>
          <w:color w:val="000000" w:themeColor="text1"/>
          <w:sz w:val="20"/>
          <w:szCs w:val="20"/>
          <w:lang w:eastAsia="fr-FR"/>
        </w:rPr>
        <w:t xml:space="preserve">2014/1, n° 31 - 5 février 2014 </w:t>
      </w:r>
      <w:r w:rsidRPr="00187D76">
        <w:rPr>
          <w:rFonts w:eastAsia="Times New Roman"/>
          <w:smallCaps/>
          <w:color w:val="000000" w:themeColor="text1"/>
          <w:sz w:val="20"/>
          <w:szCs w:val="20"/>
          <w:lang w:eastAsia="fr-FR"/>
        </w:rPr>
        <w:t>Th.</w:t>
      </w:r>
      <w:r w:rsidRPr="00187D76">
        <w:rPr>
          <w:rFonts w:eastAsia="Times New Roman"/>
          <w:color w:val="000000" w:themeColor="text1"/>
          <w:sz w:val="20"/>
          <w:szCs w:val="20"/>
          <w:lang w:eastAsia="fr-FR"/>
        </w:rPr>
        <w:t xml:space="preserve"> </w:t>
      </w:r>
      <w:r w:rsidRPr="00187D76">
        <w:rPr>
          <w:rFonts w:eastAsia="Times New Roman"/>
          <w:smallCaps/>
          <w:color w:val="000000" w:themeColor="text1"/>
          <w:sz w:val="20"/>
          <w:szCs w:val="20"/>
          <w:lang w:eastAsia="fr-FR"/>
        </w:rPr>
        <w:t>Hoscheit</w:t>
      </w:r>
      <w:r w:rsidRPr="00187D76">
        <w:rPr>
          <w:rFonts w:eastAsia="Times New Roman"/>
          <w:color w:val="000000" w:themeColor="text1"/>
          <w:sz w:val="20"/>
          <w:szCs w:val="20"/>
          <w:lang w:eastAsia="fr-FR"/>
        </w:rPr>
        <w:t xml:space="preserve">, </w:t>
      </w:r>
      <w:r w:rsidRPr="00187D76">
        <w:rPr>
          <w:rFonts w:eastAsia="Times New Roman"/>
          <w:color w:val="000000" w:themeColor="text1"/>
          <w:sz w:val="20"/>
          <w:szCs w:val="20"/>
          <w:shd w:val="clear" w:color="auto" w:fill="FFFFFF"/>
          <w:lang w:eastAsia="fr-FR"/>
        </w:rPr>
        <w:t>« Observations », </w:t>
      </w:r>
      <w:r w:rsidRPr="00187D76">
        <w:rPr>
          <w:rFonts w:eastAsia="Times New Roman"/>
          <w:i/>
          <w:iCs/>
          <w:color w:val="000000" w:themeColor="text1"/>
          <w:sz w:val="20"/>
          <w:szCs w:val="20"/>
          <w:lang w:eastAsia="fr-FR"/>
        </w:rPr>
        <w:t>J.T.L.</w:t>
      </w:r>
      <w:r w:rsidRPr="00187D76">
        <w:rPr>
          <w:rFonts w:eastAsia="Times New Roman"/>
          <w:color w:val="000000" w:themeColor="text1"/>
          <w:sz w:val="20"/>
          <w:szCs w:val="20"/>
          <w:shd w:val="clear" w:color="auto" w:fill="FFFFFF"/>
          <w:lang w:eastAsia="fr-FR"/>
        </w:rPr>
        <w:t>, 2014/1, n° 31, p. 25-28.</w:t>
      </w:r>
    </w:p>
  </w:footnote>
  <w:footnote w:id="22">
    <w:p w14:paraId="77754A67" w14:textId="77777777" w:rsidR="00C7313B" w:rsidRPr="00187D76" w:rsidRDefault="00C7313B" w:rsidP="00187D76">
      <w:pPr>
        <w:pStyle w:val="Sansinterligne"/>
        <w:spacing w:line="240" w:lineRule="auto"/>
        <w:rPr>
          <w:i/>
          <w:iCs/>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i/>
          <w:iCs/>
          <w:color w:val="000000" w:themeColor="text1"/>
          <w:sz w:val="20"/>
          <w:szCs w:val="20"/>
        </w:rPr>
        <w:t xml:space="preserve">Ibid. </w:t>
      </w:r>
    </w:p>
  </w:footnote>
  <w:footnote w:id="23">
    <w:p w14:paraId="4B24E0BF" w14:textId="33C2AD97" w:rsidR="009277D1" w:rsidRPr="00187D76" w:rsidRDefault="009277D1" w:rsidP="00187D76">
      <w:pPr>
        <w:pStyle w:val="Notedebasdepage"/>
        <w:jc w:val="both"/>
        <w:rPr>
          <w:lang w:val="fr-FR"/>
        </w:rPr>
      </w:pPr>
      <w:r w:rsidRPr="00187D76">
        <w:rPr>
          <w:rStyle w:val="Appelnotedebasdep"/>
        </w:rPr>
        <w:footnoteRef/>
      </w:r>
      <w:r w:rsidRPr="00187D76">
        <w:t xml:space="preserve"> </w:t>
      </w:r>
      <w:r w:rsidRPr="00187D76">
        <w:rPr>
          <w:smallCaps/>
          <w:color w:val="000000" w:themeColor="text1"/>
        </w:rPr>
        <w:t>Th.</w:t>
      </w:r>
      <w:r w:rsidRPr="00187D76">
        <w:rPr>
          <w:color w:val="000000" w:themeColor="text1"/>
        </w:rPr>
        <w:t xml:space="preserve"> </w:t>
      </w:r>
      <w:r w:rsidRPr="00187D76">
        <w:rPr>
          <w:smallCaps/>
          <w:color w:val="000000" w:themeColor="text1"/>
        </w:rPr>
        <w:t>Hoscheit</w:t>
      </w:r>
      <w:r w:rsidRPr="00187D76">
        <w:rPr>
          <w:color w:val="000000" w:themeColor="text1"/>
        </w:rPr>
        <w:t xml:space="preserve">, </w:t>
      </w:r>
      <w:r w:rsidR="007431F5" w:rsidRPr="00187D76">
        <w:rPr>
          <w:smallCaps/>
          <w:color w:val="000000" w:themeColor="text1"/>
        </w:rPr>
        <w:t>« C</w:t>
      </w:r>
      <w:r w:rsidR="007431F5" w:rsidRPr="00187D76">
        <w:rPr>
          <w:color w:val="000000" w:themeColor="text1"/>
        </w:rPr>
        <w:t xml:space="preserve">ompétences et incompétences du juge aux affaires familiales », in </w:t>
      </w:r>
      <w:r w:rsidR="007431F5" w:rsidRPr="00187D76">
        <w:rPr>
          <w:i/>
          <w:iCs/>
          <w:color w:val="000000" w:themeColor="text1"/>
        </w:rPr>
        <w:t>La réforme du divorce et de l</w:t>
      </w:r>
      <w:r w:rsidR="00BB76F1">
        <w:rPr>
          <w:i/>
          <w:iCs/>
          <w:color w:val="000000" w:themeColor="text1"/>
        </w:rPr>
        <w:t>’</w:t>
      </w:r>
      <w:r w:rsidR="007431F5" w:rsidRPr="00187D76">
        <w:rPr>
          <w:i/>
          <w:iCs/>
          <w:color w:val="000000" w:themeColor="text1"/>
        </w:rPr>
        <w:t>autorité parentale</w:t>
      </w:r>
      <w:r w:rsidR="007431F5" w:rsidRPr="00187D76">
        <w:rPr>
          <w:color w:val="000000" w:themeColor="text1"/>
        </w:rPr>
        <w:t xml:space="preserve">, </w:t>
      </w:r>
      <w:r w:rsidR="00AC74E4" w:rsidRPr="00187D76">
        <w:rPr>
          <w:color w:val="000000" w:themeColor="text1"/>
        </w:rPr>
        <w:t>Legitech, 2019, p. 12.</w:t>
      </w:r>
    </w:p>
  </w:footnote>
  <w:footnote w:id="24">
    <w:p w14:paraId="69B43FEF" w14:textId="2A975266"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Voy. « Examen des décisions prises en application de la loi du 27 juin 2018 portant réforme du divorce et de l</w:t>
      </w:r>
      <w:r w:rsidR="00BB76F1">
        <w:rPr>
          <w:color w:val="000000" w:themeColor="text1"/>
          <w:sz w:val="20"/>
          <w:szCs w:val="20"/>
        </w:rPr>
        <w:t>’</w:t>
      </w:r>
      <w:r w:rsidRPr="00187D76">
        <w:rPr>
          <w:color w:val="000000" w:themeColor="text1"/>
          <w:sz w:val="20"/>
          <w:szCs w:val="20"/>
        </w:rPr>
        <w:t xml:space="preserve">autorité parentale et instituant le JAF », </w:t>
      </w:r>
      <w:r w:rsidRPr="00187D76">
        <w:rPr>
          <w:i/>
          <w:iCs/>
          <w:color w:val="000000" w:themeColor="text1"/>
          <w:sz w:val="20"/>
          <w:szCs w:val="20"/>
        </w:rPr>
        <w:t>JTL</w:t>
      </w:r>
      <w:r w:rsidRPr="00187D76">
        <w:rPr>
          <w:color w:val="000000" w:themeColor="text1"/>
          <w:sz w:val="20"/>
          <w:szCs w:val="20"/>
        </w:rPr>
        <w:t xml:space="preserve">, 2019, p. 139. </w:t>
      </w:r>
    </w:p>
  </w:footnote>
  <w:footnote w:id="25">
    <w:p w14:paraId="4C654763" w14:textId="2D85C365"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L</w:t>
      </w:r>
      <w:r w:rsidR="00BB76F1">
        <w:rPr>
          <w:color w:val="000000" w:themeColor="text1"/>
          <w:sz w:val="20"/>
          <w:szCs w:val="20"/>
        </w:rPr>
        <w:t>’</w:t>
      </w:r>
      <w:r w:rsidRPr="00187D76">
        <w:rPr>
          <w:color w:val="000000" w:themeColor="text1"/>
          <w:sz w:val="20"/>
          <w:szCs w:val="20"/>
        </w:rPr>
        <w:t>article 1007-2 sur la compétence territoriale traite bien de celle du Tribunal d</w:t>
      </w:r>
      <w:r w:rsidR="00BB76F1">
        <w:rPr>
          <w:color w:val="000000" w:themeColor="text1"/>
          <w:sz w:val="20"/>
          <w:szCs w:val="20"/>
        </w:rPr>
        <w:t>’</w:t>
      </w:r>
      <w:r w:rsidRPr="00187D76">
        <w:rPr>
          <w:color w:val="000000" w:themeColor="text1"/>
          <w:sz w:val="20"/>
          <w:szCs w:val="20"/>
        </w:rPr>
        <w:t>arrondissement non du JAF. De même toutes les dispositions relatives à la saisine ne concernent par le JAF mais le Tribunal qui est saisi à la requête des parties.</w:t>
      </w:r>
    </w:p>
  </w:footnote>
  <w:footnote w:id="26">
    <w:p w14:paraId="647085BE" w14:textId="110DC52F"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smallCaps/>
          <w:color w:val="000000" w:themeColor="text1"/>
          <w:sz w:val="20"/>
          <w:szCs w:val="20"/>
        </w:rPr>
        <w:t>Th. Hoscheit</w:t>
      </w:r>
      <w:r w:rsidR="00DE3A8E" w:rsidRPr="00187D76">
        <w:rPr>
          <w:smallCaps/>
          <w:color w:val="000000" w:themeColor="text1"/>
          <w:sz w:val="20"/>
          <w:szCs w:val="20"/>
        </w:rPr>
        <w:t xml:space="preserve">, </w:t>
      </w:r>
      <w:r w:rsidR="00A24DBB" w:rsidRPr="00187D76">
        <w:rPr>
          <w:smallCaps/>
          <w:color w:val="000000" w:themeColor="text1"/>
          <w:sz w:val="20"/>
          <w:szCs w:val="20"/>
        </w:rPr>
        <w:t>« C</w:t>
      </w:r>
      <w:r w:rsidR="00A24DBB" w:rsidRPr="00187D76">
        <w:rPr>
          <w:color w:val="000000" w:themeColor="text1"/>
          <w:sz w:val="20"/>
          <w:szCs w:val="20"/>
        </w:rPr>
        <w:t xml:space="preserve">ompétences et incompétences du juge aux affaires familiales », in </w:t>
      </w:r>
      <w:r w:rsidR="00A24DBB" w:rsidRPr="00187D76">
        <w:rPr>
          <w:i/>
          <w:iCs/>
          <w:color w:val="000000" w:themeColor="text1"/>
          <w:sz w:val="20"/>
          <w:szCs w:val="20"/>
        </w:rPr>
        <w:t>La réforme du divorce et de l</w:t>
      </w:r>
      <w:r w:rsidR="00BB76F1">
        <w:rPr>
          <w:i/>
          <w:iCs/>
          <w:color w:val="000000" w:themeColor="text1"/>
          <w:sz w:val="20"/>
          <w:szCs w:val="20"/>
        </w:rPr>
        <w:t>’</w:t>
      </w:r>
      <w:r w:rsidR="00A24DBB" w:rsidRPr="00187D76">
        <w:rPr>
          <w:i/>
          <w:iCs/>
          <w:color w:val="000000" w:themeColor="text1"/>
          <w:sz w:val="20"/>
          <w:szCs w:val="20"/>
        </w:rPr>
        <w:t>autorité parentale</w:t>
      </w:r>
      <w:r w:rsidR="00A24DBB" w:rsidRPr="00187D76">
        <w:rPr>
          <w:color w:val="000000" w:themeColor="text1"/>
          <w:sz w:val="20"/>
          <w:szCs w:val="20"/>
        </w:rPr>
        <w:t xml:space="preserve">, Legitech, 2019, p. 12 et </w:t>
      </w:r>
      <w:r w:rsidRPr="00187D76">
        <w:rPr>
          <w:smallCaps/>
          <w:color w:val="000000" w:themeColor="text1"/>
          <w:sz w:val="20"/>
          <w:szCs w:val="20"/>
        </w:rPr>
        <w:t>S. Menetrey</w:t>
      </w:r>
      <w:r w:rsidRPr="00187D76">
        <w:rPr>
          <w:color w:val="000000" w:themeColor="text1"/>
          <w:sz w:val="20"/>
          <w:szCs w:val="20"/>
        </w:rPr>
        <w:t xml:space="preserve">, </w:t>
      </w:r>
      <w:r w:rsidR="005B23E2" w:rsidRPr="00187D76">
        <w:rPr>
          <w:color w:val="000000" w:themeColor="text1"/>
          <w:sz w:val="20"/>
          <w:szCs w:val="20"/>
        </w:rPr>
        <w:t>« Des procédures devant le juge aux affaires familiales</w:t>
      </w:r>
      <w:r w:rsidR="00066AFA" w:rsidRPr="00187D76">
        <w:rPr>
          <w:color w:val="000000" w:themeColor="text1"/>
          <w:sz w:val="20"/>
          <w:szCs w:val="20"/>
        </w:rPr>
        <w:t xml:space="preserve"> et de la procédure de divorce en particulier</w:t>
      </w:r>
      <w:r w:rsidR="006739E3" w:rsidRPr="00187D76">
        <w:rPr>
          <w:color w:val="000000" w:themeColor="text1"/>
          <w:sz w:val="20"/>
          <w:szCs w:val="20"/>
        </w:rPr>
        <w:t xml:space="preserve"> », </w:t>
      </w:r>
      <w:r w:rsidR="00066AFA" w:rsidRPr="00187D76">
        <w:rPr>
          <w:color w:val="000000" w:themeColor="text1"/>
          <w:sz w:val="20"/>
          <w:szCs w:val="20"/>
        </w:rPr>
        <w:t xml:space="preserve">in </w:t>
      </w:r>
      <w:r w:rsidR="00066AFA" w:rsidRPr="00187D76">
        <w:rPr>
          <w:i/>
          <w:iCs/>
          <w:color w:val="000000" w:themeColor="text1"/>
          <w:sz w:val="20"/>
          <w:szCs w:val="20"/>
        </w:rPr>
        <w:t>La réforme du divorce et de l</w:t>
      </w:r>
      <w:r w:rsidR="00BB76F1">
        <w:rPr>
          <w:i/>
          <w:iCs/>
          <w:color w:val="000000" w:themeColor="text1"/>
          <w:sz w:val="20"/>
          <w:szCs w:val="20"/>
        </w:rPr>
        <w:t>’</w:t>
      </w:r>
      <w:r w:rsidR="00066AFA" w:rsidRPr="00187D76">
        <w:rPr>
          <w:i/>
          <w:iCs/>
          <w:color w:val="000000" w:themeColor="text1"/>
          <w:sz w:val="20"/>
          <w:szCs w:val="20"/>
        </w:rPr>
        <w:t>autorité parentale</w:t>
      </w:r>
      <w:r w:rsidR="00066AFA" w:rsidRPr="00187D76">
        <w:rPr>
          <w:color w:val="000000" w:themeColor="text1"/>
          <w:sz w:val="20"/>
          <w:szCs w:val="20"/>
        </w:rPr>
        <w:t xml:space="preserve">, Legitech, 2019, p. </w:t>
      </w:r>
      <w:r w:rsidR="00A12669" w:rsidRPr="00187D76">
        <w:rPr>
          <w:color w:val="000000" w:themeColor="text1"/>
          <w:sz w:val="20"/>
          <w:szCs w:val="20"/>
        </w:rPr>
        <w:t>49.</w:t>
      </w:r>
    </w:p>
  </w:footnote>
  <w:footnote w:id="27">
    <w:p w14:paraId="6DCC1CE4" w14:textId="6C437D8B" w:rsidR="00B220F4" w:rsidRPr="00187D76" w:rsidRDefault="00B220F4" w:rsidP="00187D76">
      <w:pPr>
        <w:pStyle w:val="Notedebasdepage"/>
        <w:jc w:val="both"/>
        <w:rPr>
          <w:lang w:val="fr-FR"/>
        </w:rPr>
      </w:pPr>
      <w:r w:rsidRPr="00187D76">
        <w:rPr>
          <w:rStyle w:val="Appelnotedebasdep"/>
        </w:rPr>
        <w:footnoteRef/>
      </w:r>
      <w:r w:rsidRPr="00187D76">
        <w:t xml:space="preserve"> </w:t>
      </w:r>
      <w:r w:rsidRPr="00187D76">
        <w:rPr>
          <w:smallCaps/>
          <w:color w:val="000000" w:themeColor="text1"/>
        </w:rPr>
        <w:t>Th.</w:t>
      </w:r>
      <w:r w:rsidRPr="00187D76">
        <w:rPr>
          <w:color w:val="000000" w:themeColor="text1"/>
        </w:rPr>
        <w:t xml:space="preserve"> </w:t>
      </w:r>
      <w:r w:rsidRPr="00187D76">
        <w:rPr>
          <w:smallCaps/>
          <w:color w:val="000000" w:themeColor="text1"/>
        </w:rPr>
        <w:t>Hoscheit</w:t>
      </w:r>
      <w:r w:rsidRPr="00187D76">
        <w:rPr>
          <w:color w:val="000000" w:themeColor="text1"/>
        </w:rPr>
        <w:t xml:space="preserve">, </w:t>
      </w:r>
      <w:r w:rsidRPr="00187D76">
        <w:rPr>
          <w:smallCaps/>
          <w:color w:val="000000" w:themeColor="text1"/>
        </w:rPr>
        <w:t>« C</w:t>
      </w:r>
      <w:r w:rsidRPr="00187D76">
        <w:rPr>
          <w:color w:val="000000" w:themeColor="text1"/>
        </w:rPr>
        <w:t xml:space="preserve">ompétences et incompétences du juge aux affaires familiales », in </w:t>
      </w:r>
      <w:r w:rsidRPr="00187D76">
        <w:rPr>
          <w:i/>
          <w:iCs/>
          <w:color w:val="000000" w:themeColor="text1"/>
        </w:rPr>
        <w:t>La réforme du divorce et de l</w:t>
      </w:r>
      <w:r w:rsidR="00BB76F1">
        <w:rPr>
          <w:i/>
          <w:iCs/>
          <w:color w:val="000000" w:themeColor="text1"/>
        </w:rPr>
        <w:t>’</w:t>
      </w:r>
      <w:r w:rsidRPr="00187D76">
        <w:rPr>
          <w:i/>
          <w:iCs/>
          <w:color w:val="000000" w:themeColor="text1"/>
        </w:rPr>
        <w:t>autorité parentale</w:t>
      </w:r>
      <w:r w:rsidRPr="00187D76">
        <w:rPr>
          <w:color w:val="000000" w:themeColor="text1"/>
        </w:rPr>
        <w:t>, Legitech, 2019, p. 12.</w:t>
      </w:r>
    </w:p>
  </w:footnote>
  <w:footnote w:id="28">
    <w:p w14:paraId="4AB71048" w14:textId="28CADBD7" w:rsidR="003641AA" w:rsidRPr="00187D76" w:rsidRDefault="003641AA" w:rsidP="00187D76">
      <w:pPr>
        <w:pStyle w:val="Notedebasdepage"/>
        <w:jc w:val="both"/>
        <w:rPr>
          <w:lang w:val="fr-FR"/>
        </w:rPr>
      </w:pPr>
      <w:r w:rsidRPr="00187D76">
        <w:rPr>
          <w:rStyle w:val="Appelnotedebasdep"/>
        </w:rPr>
        <w:footnoteRef/>
      </w:r>
      <w:r w:rsidRPr="00187D76">
        <w:t xml:space="preserve"> </w:t>
      </w:r>
      <w:r w:rsidRPr="00187D76">
        <w:rPr>
          <w:i/>
          <w:iCs/>
          <w:lang w:val="fr-FR"/>
        </w:rPr>
        <w:t>Ibid.</w:t>
      </w:r>
      <w:r w:rsidRPr="00187D76">
        <w:rPr>
          <w:lang w:val="fr-FR"/>
        </w:rPr>
        <w:t xml:space="preserve"> p. 13.</w:t>
      </w:r>
    </w:p>
  </w:footnote>
  <w:footnote w:id="29">
    <w:p w14:paraId="4C4E63AB" w14:textId="3FC1C80A" w:rsidR="0067608A" w:rsidRPr="00187D76" w:rsidRDefault="0067608A" w:rsidP="00187D76">
      <w:pPr>
        <w:pStyle w:val="Notedebasdepage"/>
        <w:jc w:val="both"/>
        <w:rPr>
          <w:lang w:val="fr-FR"/>
        </w:rPr>
      </w:pPr>
      <w:r w:rsidRPr="00187D76">
        <w:rPr>
          <w:rStyle w:val="Appelnotedebasdep"/>
        </w:rPr>
        <w:footnoteRef/>
      </w:r>
      <w:r w:rsidRPr="00187D76">
        <w:t xml:space="preserve"> </w:t>
      </w:r>
      <w:r w:rsidR="00C220BC" w:rsidRPr="00187D76">
        <w:rPr>
          <w:lang w:val="fr-FR"/>
        </w:rPr>
        <w:t xml:space="preserve">CA, </w:t>
      </w:r>
      <w:r w:rsidR="00AC7ACE" w:rsidRPr="00187D76">
        <w:rPr>
          <w:lang w:val="fr-FR"/>
        </w:rPr>
        <w:t xml:space="preserve">15 juillet 2020, </w:t>
      </w:r>
      <w:r w:rsidR="009556C0" w:rsidRPr="00187D76">
        <w:rPr>
          <w:lang w:val="fr-FR"/>
        </w:rPr>
        <w:t xml:space="preserve">arrêt n°182/20-I-CIV (aff. fam.), n°CAL-2020-00166 du rôle. </w:t>
      </w:r>
      <w:r w:rsidR="00FA0735" w:rsidRPr="00187D76">
        <w:rPr>
          <w:lang w:val="fr-FR"/>
        </w:rPr>
        <w:t xml:space="preserve">Idem CA, </w:t>
      </w:r>
      <w:r w:rsidR="00C95F73" w:rsidRPr="00187D76">
        <w:rPr>
          <w:lang w:val="fr-FR"/>
        </w:rPr>
        <w:t xml:space="preserve">27 mai 2020, </w:t>
      </w:r>
      <w:r w:rsidR="00567DC8" w:rsidRPr="00187D76">
        <w:rPr>
          <w:lang w:val="fr-FR"/>
        </w:rPr>
        <w:t>arrêt n° 111/20-I-DIV(aff. fam.), n°CAL-20</w:t>
      </w:r>
      <w:r w:rsidR="007F7E7B" w:rsidRPr="00187D76">
        <w:rPr>
          <w:lang w:val="fr-FR"/>
        </w:rPr>
        <w:t>19</w:t>
      </w:r>
      <w:r w:rsidR="00567DC8" w:rsidRPr="00187D76">
        <w:rPr>
          <w:lang w:val="fr-FR"/>
        </w:rPr>
        <w:t>-001</w:t>
      </w:r>
      <w:r w:rsidR="007F7E7B" w:rsidRPr="00187D76">
        <w:rPr>
          <w:lang w:val="fr-FR"/>
        </w:rPr>
        <w:t>73</w:t>
      </w:r>
      <w:r w:rsidR="00567DC8" w:rsidRPr="00187D76">
        <w:rPr>
          <w:lang w:val="fr-FR"/>
        </w:rPr>
        <w:t xml:space="preserve"> du rôle</w:t>
      </w:r>
    </w:p>
  </w:footnote>
  <w:footnote w:id="30">
    <w:p w14:paraId="1FAFD932" w14:textId="59F21418" w:rsidR="000A1F8F" w:rsidRPr="00187D76" w:rsidRDefault="000A1F8F" w:rsidP="00187D76">
      <w:pPr>
        <w:pStyle w:val="Notedebasdepage"/>
        <w:jc w:val="both"/>
        <w:rPr>
          <w:lang w:val="fr-FR"/>
        </w:rPr>
      </w:pPr>
      <w:r w:rsidRPr="00187D76">
        <w:rPr>
          <w:rStyle w:val="Appelnotedebasdep"/>
        </w:rPr>
        <w:footnoteRef/>
      </w:r>
      <w:r w:rsidRPr="00187D76">
        <w:t xml:space="preserve"> </w:t>
      </w:r>
      <w:r w:rsidRPr="00187D76">
        <w:rPr>
          <w:color w:val="000000" w:themeColor="text1"/>
        </w:rPr>
        <w:t xml:space="preserve">P. </w:t>
      </w:r>
      <w:r w:rsidRPr="00187D76">
        <w:rPr>
          <w:smallCaps/>
          <w:color w:val="000000" w:themeColor="text1"/>
        </w:rPr>
        <w:t xml:space="preserve">Callé, </w:t>
      </w:r>
      <w:r w:rsidRPr="00187D76">
        <w:rPr>
          <w:color w:val="000000" w:themeColor="text1"/>
        </w:rPr>
        <w:t xml:space="preserve">« Incompétence », </w:t>
      </w:r>
      <w:r w:rsidRPr="00187D76">
        <w:rPr>
          <w:i/>
          <w:iCs/>
          <w:color w:val="000000" w:themeColor="text1"/>
        </w:rPr>
        <w:t>Rép. Proc. Civ.</w:t>
      </w:r>
      <w:r w:rsidRPr="00187D76">
        <w:rPr>
          <w:color w:val="000000" w:themeColor="text1"/>
        </w:rPr>
        <w:t>, 2020, n°81.</w:t>
      </w:r>
    </w:p>
  </w:footnote>
  <w:footnote w:id="31">
    <w:p w14:paraId="63D3CCA1" w14:textId="1DBBFB1D" w:rsidR="0097210F" w:rsidRPr="00187D76" w:rsidRDefault="0097210F"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00EC0308" w:rsidRPr="00187D76">
        <w:rPr>
          <w:color w:val="000000" w:themeColor="text1"/>
          <w:sz w:val="20"/>
          <w:szCs w:val="20"/>
        </w:rPr>
        <w:t>« Si la distinction entre les matières civiles et commerciales peut avoir certaines incidences d</w:t>
      </w:r>
      <w:r w:rsidR="00BB76F1">
        <w:rPr>
          <w:color w:val="000000" w:themeColor="text1"/>
          <w:sz w:val="20"/>
          <w:szCs w:val="20"/>
        </w:rPr>
        <w:t>’</w:t>
      </w:r>
      <w:r w:rsidR="00EC0308" w:rsidRPr="00187D76">
        <w:rPr>
          <w:color w:val="000000" w:themeColor="text1"/>
          <w:sz w:val="20"/>
          <w:szCs w:val="20"/>
        </w:rPr>
        <w:t>ordre procédural ou influer sur les règles de preuve, elle ne saurait entraîner aucune conséquence sur le plan de la compétence des différentes chambres du Tribunal d</w:t>
      </w:r>
      <w:r w:rsidR="00BB76F1">
        <w:rPr>
          <w:color w:val="000000" w:themeColor="text1"/>
          <w:sz w:val="20"/>
          <w:szCs w:val="20"/>
        </w:rPr>
        <w:t>’</w:t>
      </w:r>
      <w:r w:rsidR="00EC0308" w:rsidRPr="00187D76">
        <w:rPr>
          <w:color w:val="000000" w:themeColor="text1"/>
          <w:sz w:val="20"/>
          <w:szCs w:val="20"/>
        </w:rPr>
        <w:t xml:space="preserve">arrondissement », CA, 15 février 1978, </w:t>
      </w:r>
      <w:r w:rsidR="00EC0308" w:rsidRPr="00187D76">
        <w:rPr>
          <w:i/>
          <w:color w:val="000000" w:themeColor="text1"/>
          <w:sz w:val="20"/>
          <w:szCs w:val="20"/>
        </w:rPr>
        <w:t>Pas.</w:t>
      </w:r>
      <w:r w:rsidR="00EC0308" w:rsidRPr="00187D76">
        <w:rPr>
          <w:color w:val="000000" w:themeColor="text1"/>
          <w:sz w:val="20"/>
          <w:szCs w:val="20"/>
        </w:rPr>
        <w:t xml:space="preserve"> 24, p. 122 ; </w:t>
      </w:r>
      <w:r w:rsidRPr="00187D76">
        <w:rPr>
          <w:color w:val="000000" w:themeColor="text1"/>
          <w:sz w:val="20"/>
          <w:szCs w:val="20"/>
        </w:rPr>
        <w:t xml:space="preserve">CA, 22 juin 1976, </w:t>
      </w:r>
      <w:r w:rsidRPr="00187D76">
        <w:rPr>
          <w:i/>
          <w:color w:val="000000" w:themeColor="text1"/>
          <w:sz w:val="20"/>
          <w:szCs w:val="20"/>
        </w:rPr>
        <w:t>Pas.</w:t>
      </w:r>
      <w:r w:rsidRPr="00187D76">
        <w:rPr>
          <w:color w:val="000000" w:themeColor="text1"/>
          <w:sz w:val="20"/>
          <w:szCs w:val="20"/>
        </w:rPr>
        <w:t xml:space="preserve"> 23, p. 363, cité </w:t>
      </w:r>
      <w:r w:rsidRPr="00187D76">
        <w:rPr>
          <w:i/>
          <w:color w:val="000000" w:themeColor="text1"/>
          <w:sz w:val="20"/>
          <w:szCs w:val="20"/>
        </w:rPr>
        <w:t>in</w:t>
      </w:r>
      <w:r w:rsidRPr="00187D76">
        <w:rPr>
          <w:color w:val="000000" w:themeColor="text1"/>
          <w:sz w:val="20"/>
          <w:szCs w:val="20"/>
        </w:rPr>
        <w:t xml:space="preserve"> </w:t>
      </w:r>
      <w:r w:rsidR="007155FE" w:rsidRPr="00187D76">
        <w:rPr>
          <w:smallCaps/>
          <w:color w:val="000000" w:themeColor="text1"/>
          <w:sz w:val="20"/>
          <w:szCs w:val="20"/>
        </w:rPr>
        <w:t>Th.</w:t>
      </w:r>
      <w:r w:rsidR="007155FE" w:rsidRPr="00187D76">
        <w:rPr>
          <w:color w:val="000000" w:themeColor="text1"/>
          <w:sz w:val="20"/>
          <w:szCs w:val="20"/>
        </w:rPr>
        <w:t xml:space="preserve"> </w:t>
      </w:r>
      <w:r w:rsidR="007155FE" w:rsidRPr="00187D76">
        <w:rPr>
          <w:smallCaps/>
          <w:color w:val="000000" w:themeColor="text1"/>
          <w:sz w:val="20"/>
          <w:szCs w:val="20"/>
        </w:rPr>
        <w:t>Hoscheit</w:t>
      </w:r>
      <w:r w:rsidR="007155FE" w:rsidRPr="00187D76">
        <w:rPr>
          <w:color w:val="000000" w:themeColor="text1"/>
          <w:sz w:val="20"/>
          <w:szCs w:val="20"/>
        </w:rPr>
        <w:t xml:space="preserve">, </w:t>
      </w:r>
      <w:r w:rsidR="007155FE" w:rsidRPr="00187D76">
        <w:rPr>
          <w:i/>
          <w:color w:val="000000" w:themeColor="text1"/>
          <w:sz w:val="20"/>
          <w:szCs w:val="20"/>
        </w:rPr>
        <w:t>Le droit judiciaire au Grand-Duché de Luxembourg</w:t>
      </w:r>
      <w:r w:rsidR="007155FE" w:rsidRPr="00187D76">
        <w:rPr>
          <w:color w:val="000000" w:themeColor="text1"/>
          <w:sz w:val="20"/>
          <w:szCs w:val="20"/>
        </w:rPr>
        <w:t>, 2</w:t>
      </w:r>
      <w:r w:rsidR="007155FE" w:rsidRPr="00187D76">
        <w:rPr>
          <w:color w:val="000000" w:themeColor="text1"/>
          <w:sz w:val="20"/>
          <w:szCs w:val="20"/>
          <w:vertAlign w:val="superscript"/>
        </w:rPr>
        <w:t>nde</w:t>
      </w:r>
      <w:r w:rsidR="007155FE" w:rsidRPr="00187D76">
        <w:rPr>
          <w:color w:val="000000" w:themeColor="text1"/>
          <w:sz w:val="20"/>
          <w:szCs w:val="20"/>
        </w:rPr>
        <w:t xml:space="preserve"> éd., Bauler, 2019, </w:t>
      </w:r>
      <w:r w:rsidRPr="00187D76">
        <w:rPr>
          <w:color w:val="000000" w:themeColor="text1"/>
          <w:sz w:val="20"/>
          <w:szCs w:val="20"/>
        </w:rPr>
        <w:t>n°1</w:t>
      </w:r>
      <w:r w:rsidR="00A75346" w:rsidRPr="00187D76">
        <w:rPr>
          <w:color w:val="000000" w:themeColor="text1"/>
          <w:sz w:val="20"/>
          <w:szCs w:val="20"/>
        </w:rPr>
        <w:t>38</w:t>
      </w:r>
      <w:r w:rsidRPr="00187D76">
        <w:rPr>
          <w:color w:val="000000" w:themeColor="text1"/>
          <w:sz w:val="20"/>
          <w:szCs w:val="20"/>
        </w:rPr>
        <w:t>.</w:t>
      </w:r>
      <w:r w:rsidR="00AB51A8" w:rsidRPr="00187D76">
        <w:rPr>
          <w:color w:val="000000" w:themeColor="text1"/>
          <w:sz w:val="20"/>
          <w:szCs w:val="20"/>
        </w:rPr>
        <w:t xml:space="preserve"> </w:t>
      </w:r>
    </w:p>
  </w:footnote>
  <w:footnote w:id="32">
    <w:p w14:paraId="72A5F42D" w14:textId="48DD69B1" w:rsidR="0017085A" w:rsidRPr="00187D76" w:rsidRDefault="0017085A"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sz w:val="20"/>
          <w:szCs w:val="20"/>
        </w:rPr>
        <w:t>Il est d</w:t>
      </w:r>
      <w:r w:rsidR="00BB76F1">
        <w:rPr>
          <w:sz w:val="20"/>
          <w:szCs w:val="20"/>
        </w:rPr>
        <w:t>’</w:t>
      </w:r>
      <w:r w:rsidRPr="00187D76">
        <w:rPr>
          <w:sz w:val="20"/>
          <w:szCs w:val="20"/>
        </w:rPr>
        <w:t>ailleurs prévu une autre forme de renvoi puisque le JAF, qui statue en principe comme juge unique, peut décider soit d</w:t>
      </w:r>
      <w:r w:rsidR="00BB76F1">
        <w:rPr>
          <w:sz w:val="20"/>
          <w:szCs w:val="20"/>
        </w:rPr>
        <w:t>’</w:t>
      </w:r>
      <w:r w:rsidRPr="00187D76">
        <w:rPr>
          <w:sz w:val="20"/>
          <w:szCs w:val="20"/>
        </w:rPr>
        <w:t>office soit sur demande d</w:t>
      </w:r>
      <w:r w:rsidR="00BB76F1">
        <w:rPr>
          <w:sz w:val="20"/>
          <w:szCs w:val="20"/>
        </w:rPr>
        <w:t>’</w:t>
      </w:r>
      <w:r w:rsidRPr="00187D76">
        <w:rPr>
          <w:sz w:val="20"/>
          <w:szCs w:val="20"/>
        </w:rPr>
        <w:t xml:space="preserve">une des parties </w:t>
      </w:r>
      <w:r w:rsidRPr="00187D76">
        <w:rPr>
          <w:i/>
          <w:iCs/>
          <w:sz w:val="20"/>
          <w:szCs w:val="20"/>
        </w:rPr>
        <w:t>de renvoyer</w:t>
      </w:r>
      <w:r w:rsidRPr="00187D76">
        <w:rPr>
          <w:sz w:val="20"/>
          <w:szCs w:val="20"/>
        </w:rPr>
        <w:t xml:space="preserve"> une affaire auprès d</w:t>
      </w:r>
      <w:r w:rsidR="00BB76F1">
        <w:rPr>
          <w:sz w:val="20"/>
          <w:szCs w:val="20"/>
        </w:rPr>
        <w:t>’</w:t>
      </w:r>
      <w:r w:rsidRPr="00187D76">
        <w:rPr>
          <w:sz w:val="20"/>
          <w:szCs w:val="20"/>
        </w:rPr>
        <w:t>une chambre civile du tribunal d</w:t>
      </w:r>
      <w:r w:rsidR="00BB76F1">
        <w:rPr>
          <w:sz w:val="20"/>
          <w:szCs w:val="20"/>
        </w:rPr>
        <w:t>’</w:t>
      </w:r>
      <w:r w:rsidRPr="00187D76">
        <w:rPr>
          <w:sz w:val="20"/>
          <w:szCs w:val="20"/>
        </w:rPr>
        <w:t>arrondissement, composée donc de trois juges dont au moins un est juge aux affaires familiales. Ce renvoi exceptionnel peut avoir lieu lorsque l</w:t>
      </w:r>
      <w:r w:rsidR="00BB76F1">
        <w:rPr>
          <w:sz w:val="20"/>
          <w:szCs w:val="20"/>
        </w:rPr>
        <w:t>’</w:t>
      </w:r>
      <w:r w:rsidRPr="00187D76">
        <w:rPr>
          <w:sz w:val="20"/>
          <w:szCs w:val="20"/>
        </w:rPr>
        <w:t>affaire présente une complexité particulière ou si une question juridique de principe qui n</w:t>
      </w:r>
      <w:r w:rsidR="00BB76F1">
        <w:rPr>
          <w:sz w:val="20"/>
          <w:szCs w:val="20"/>
        </w:rPr>
        <w:t>’</w:t>
      </w:r>
      <w:r w:rsidRPr="00187D76">
        <w:rPr>
          <w:sz w:val="20"/>
          <w:szCs w:val="20"/>
        </w:rPr>
        <w:t>a pas encore été jugée antérieurement se pose conformément à l</w:t>
      </w:r>
      <w:r w:rsidR="00BB76F1">
        <w:rPr>
          <w:sz w:val="20"/>
          <w:szCs w:val="20"/>
        </w:rPr>
        <w:t>’</w:t>
      </w:r>
      <w:r w:rsidRPr="00187D76">
        <w:rPr>
          <w:sz w:val="20"/>
          <w:szCs w:val="20"/>
        </w:rPr>
        <w:t>article 1007-7 NCPC</w:t>
      </w:r>
      <w:r w:rsidR="00C755EA">
        <w:rPr>
          <w:sz w:val="20"/>
          <w:szCs w:val="20"/>
        </w:rPr>
        <w:t>.</w:t>
      </w:r>
      <w:r w:rsidRPr="00187D76">
        <w:rPr>
          <w:sz w:val="20"/>
          <w:szCs w:val="20"/>
        </w:rPr>
        <w:t xml:space="preserve"> </w:t>
      </w:r>
      <w:r w:rsidRPr="00187D76">
        <w:rPr>
          <w:color w:val="000000" w:themeColor="text1"/>
          <w:sz w:val="20"/>
          <w:szCs w:val="20"/>
        </w:rPr>
        <w:t>Le renvoi de l</w:t>
      </w:r>
      <w:r w:rsidR="00BB76F1">
        <w:rPr>
          <w:color w:val="000000" w:themeColor="text1"/>
          <w:sz w:val="20"/>
          <w:szCs w:val="20"/>
        </w:rPr>
        <w:t>’</w:t>
      </w:r>
      <w:r w:rsidRPr="00187D76">
        <w:rPr>
          <w:color w:val="000000" w:themeColor="text1"/>
          <w:sz w:val="20"/>
          <w:szCs w:val="20"/>
        </w:rPr>
        <w:t>affaire devant une composition collégiale par le juge lui-même est expressément prévu par l</w:t>
      </w:r>
      <w:r w:rsidR="00BB76F1">
        <w:rPr>
          <w:color w:val="000000" w:themeColor="text1"/>
          <w:sz w:val="20"/>
          <w:szCs w:val="20"/>
        </w:rPr>
        <w:t>’</w:t>
      </w:r>
      <w:r w:rsidRPr="00187D76">
        <w:rPr>
          <w:color w:val="000000" w:themeColor="text1"/>
          <w:sz w:val="20"/>
          <w:szCs w:val="20"/>
        </w:rPr>
        <w:t>article 1007-16 dans le cas du divorce par consentement mutuel lorsqu</w:t>
      </w:r>
      <w:r w:rsidR="00BB76F1">
        <w:rPr>
          <w:color w:val="000000" w:themeColor="text1"/>
          <w:sz w:val="20"/>
          <w:szCs w:val="20"/>
        </w:rPr>
        <w:t>’</w:t>
      </w:r>
      <w:r w:rsidR="005D5351" w:rsidRPr="00187D76">
        <w:rPr>
          <w:color w:val="000000" w:themeColor="text1"/>
          <w:sz w:val="20"/>
          <w:szCs w:val="20"/>
        </w:rPr>
        <w:t>u</w:t>
      </w:r>
      <w:r w:rsidRPr="00187D76">
        <w:rPr>
          <w:color w:val="000000" w:themeColor="text1"/>
          <w:sz w:val="20"/>
          <w:szCs w:val="20"/>
        </w:rPr>
        <w:t>ne deuxième convention est présentée par les parties et que le JAF estime qu</w:t>
      </w:r>
      <w:r w:rsidR="00BB76F1">
        <w:rPr>
          <w:color w:val="000000" w:themeColor="text1"/>
          <w:sz w:val="20"/>
          <w:szCs w:val="20"/>
        </w:rPr>
        <w:t>’</w:t>
      </w:r>
      <w:r w:rsidRPr="00187D76">
        <w:rPr>
          <w:color w:val="000000" w:themeColor="text1"/>
          <w:sz w:val="20"/>
          <w:szCs w:val="20"/>
        </w:rPr>
        <w:t>elle contient toujours des clauses contraires aux intérêts de l</w:t>
      </w:r>
      <w:r w:rsidR="00BB76F1">
        <w:rPr>
          <w:color w:val="000000" w:themeColor="text1"/>
          <w:sz w:val="20"/>
          <w:szCs w:val="20"/>
        </w:rPr>
        <w:t>’</w:t>
      </w:r>
      <w:r w:rsidRPr="00187D76">
        <w:rPr>
          <w:color w:val="000000" w:themeColor="text1"/>
          <w:sz w:val="20"/>
          <w:szCs w:val="20"/>
        </w:rPr>
        <w:t>enfant ou de l</w:t>
      </w:r>
      <w:r w:rsidR="00BB76F1">
        <w:rPr>
          <w:color w:val="000000" w:themeColor="text1"/>
          <w:sz w:val="20"/>
          <w:szCs w:val="20"/>
        </w:rPr>
        <w:t>’</w:t>
      </w:r>
      <w:r w:rsidRPr="00187D76">
        <w:rPr>
          <w:color w:val="000000" w:themeColor="text1"/>
          <w:sz w:val="20"/>
          <w:szCs w:val="20"/>
        </w:rPr>
        <w:t>un des conjoints.</w:t>
      </w:r>
    </w:p>
  </w:footnote>
  <w:footnote w:id="33">
    <w:p w14:paraId="75B77CE4" w14:textId="78732925" w:rsidR="001E1043" w:rsidRPr="00187D76" w:rsidRDefault="001E1043" w:rsidP="00187D76">
      <w:pPr>
        <w:pStyle w:val="Notedebasdepage"/>
        <w:jc w:val="both"/>
        <w:rPr>
          <w:lang w:val="fr-FR"/>
        </w:rPr>
      </w:pPr>
      <w:r w:rsidRPr="00187D76">
        <w:rPr>
          <w:rStyle w:val="Appelnotedebasdep"/>
        </w:rPr>
        <w:footnoteRef/>
      </w:r>
      <w:r w:rsidRPr="00187D76">
        <w:t xml:space="preserve"> </w:t>
      </w:r>
      <w:r w:rsidR="002337B0" w:rsidRPr="00187D76">
        <w:rPr>
          <w:lang w:val="fr-FR"/>
        </w:rPr>
        <w:t xml:space="preserve">CA, 26 avril 2001, n°24842 du rôle cité par </w:t>
      </w:r>
      <w:r w:rsidR="0072005B" w:rsidRPr="00187D76">
        <w:rPr>
          <w:lang w:val="fr-FR"/>
        </w:rPr>
        <w:t xml:space="preserve">CA, 12 mai </w:t>
      </w:r>
      <w:r w:rsidR="007A30A8" w:rsidRPr="00187D76">
        <w:rPr>
          <w:lang w:val="fr-FR"/>
        </w:rPr>
        <w:t xml:space="preserve">2011, </w:t>
      </w:r>
      <w:r w:rsidR="00D6456A" w:rsidRPr="00187D76">
        <w:rPr>
          <w:lang w:val="fr-FR"/>
        </w:rPr>
        <w:t>n°33998 du rôle</w:t>
      </w:r>
      <w:r w:rsidR="00C01536" w:rsidRPr="00187D76">
        <w:rPr>
          <w:lang w:val="fr-FR"/>
        </w:rPr>
        <w:t xml:space="preserve"> qui statue </w:t>
      </w:r>
      <w:r w:rsidR="00B85C0B" w:rsidRPr="00187D76">
        <w:rPr>
          <w:lang w:val="fr-FR"/>
        </w:rPr>
        <w:t>dans le même sens</w:t>
      </w:r>
      <w:r w:rsidR="000249B9" w:rsidRPr="00187D76">
        <w:rPr>
          <w:lang w:val="fr-FR"/>
        </w:rPr>
        <w:t xml:space="preserve"> considérant même </w:t>
      </w:r>
      <w:r w:rsidR="00ED2EFB" w:rsidRPr="00187D76">
        <w:rPr>
          <w:lang w:val="fr-FR"/>
        </w:rPr>
        <w:t>qu</w:t>
      </w:r>
      <w:r w:rsidR="00BB76F1">
        <w:rPr>
          <w:lang w:val="fr-FR"/>
        </w:rPr>
        <w:t>’</w:t>
      </w:r>
      <w:r w:rsidR="00ED2EFB" w:rsidRPr="00187D76">
        <w:rPr>
          <w:lang w:val="fr-FR"/>
        </w:rPr>
        <w:t>il s</w:t>
      </w:r>
      <w:r w:rsidR="00BB76F1">
        <w:rPr>
          <w:lang w:val="fr-FR"/>
        </w:rPr>
        <w:t>’</w:t>
      </w:r>
      <w:r w:rsidR="00ED2EFB" w:rsidRPr="00187D76">
        <w:rPr>
          <w:lang w:val="fr-FR"/>
        </w:rPr>
        <w:t>agit d</w:t>
      </w:r>
      <w:r w:rsidR="00BB76F1">
        <w:rPr>
          <w:lang w:val="fr-FR"/>
        </w:rPr>
        <w:t>’</w:t>
      </w:r>
      <w:r w:rsidR="00ED2EFB" w:rsidRPr="00187D76">
        <w:rPr>
          <w:lang w:val="fr-FR"/>
        </w:rPr>
        <w:t>une compétence d</w:t>
      </w:r>
      <w:r w:rsidR="00BB76F1">
        <w:rPr>
          <w:lang w:val="fr-FR"/>
        </w:rPr>
        <w:t>’</w:t>
      </w:r>
      <w:r w:rsidR="00ED2EFB" w:rsidRPr="00187D76">
        <w:rPr>
          <w:lang w:val="fr-FR"/>
        </w:rPr>
        <w:t>ordre public pouvant être soulevée en tout état de cause.</w:t>
      </w:r>
      <w:r w:rsidR="00985AAF" w:rsidRPr="00187D76">
        <w:rPr>
          <w:lang w:val="fr-FR"/>
        </w:rPr>
        <w:t xml:space="preserve"> Voy. article 56 </w:t>
      </w:r>
      <w:r w:rsidR="00985AAF" w:rsidRPr="00187D76">
        <w:rPr>
          <w:color w:val="000000" w:themeColor="text1"/>
        </w:rPr>
        <w:t>de la Loi sur l</w:t>
      </w:r>
      <w:r w:rsidR="00BB76F1">
        <w:rPr>
          <w:color w:val="000000" w:themeColor="text1"/>
        </w:rPr>
        <w:t>’</w:t>
      </w:r>
      <w:r w:rsidR="00985AAF" w:rsidRPr="00187D76">
        <w:rPr>
          <w:color w:val="000000" w:themeColor="text1"/>
        </w:rPr>
        <w:t>Organisation judiciaire.</w:t>
      </w:r>
    </w:p>
  </w:footnote>
  <w:footnote w:id="34">
    <w:p w14:paraId="1ABDA9EB" w14:textId="16043B6A" w:rsidR="0050153B" w:rsidRPr="00187D76" w:rsidRDefault="0050153B" w:rsidP="00187D76">
      <w:pPr>
        <w:pStyle w:val="Notedebasdepage"/>
        <w:jc w:val="both"/>
        <w:rPr>
          <w:lang w:val="fr-FR"/>
        </w:rPr>
      </w:pPr>
      <w:r w:rsidRPr="00187D76">
        <w:rPr>
          <w:rStyle w:val="Appelnotedebasdep"/>
        </w:rPr>
        <w:footnoteRef/>
      </w:r>
      <w:r w:rsidRPr="00187D76">
        <w:t xml:space="preserve"> </w:t>
      </w:r>
      <w:r w:rsidRPr="00187D76">
        <w:rPr>
          <w:lang w:val="fr-FR"/>
        </w:rPr>
        <w:t xml:space="preserve">CA , 22 juillet 2020, </w:t>
      </w:r>
      <w:r w:rsidR="00B527F9" w:rsidRPr="00187D76">
        <w:rPr>
          <w:lang w:val="fr-FR"/>
        </w:rPr>
        <w:t>arrêt n°118/20</w:t>
      </w:r>
      <w:r w:rsidR="00554F7F" w:rsidRPr="00187D76">
        <w:rPr>
          <w:lang w:val="fr-FR"/>
        </w:rPr>
        <w:t xml:space="preserve">-VII-REF, n°CAL-2020-00496 du rôle. </w:t>
      </w:r>
    </w:p>
  </w:footnote>
  <w:footnote w:id="35">
    <w:p w14:paraId="39D08D83" w14:textId="2C3CC74A" w:rsidR="008E593F" w:rsidRPr="00187D76" w:rsidRDefault="008E593F" w:rsidP="00187D76">
      <w:pPr>
        <w:pStyle w:val="Notedebasdepage"/>
        <w:jc w:val="both"/>
        <w:rPr>
          <w:i/>
          <w:iCs/>
          <w:lang w:val="fr-FR"/>
        </w:rPr>
      </w:pPr>
      <w:r w:rsidRPr="00187D76">
        <w:rPr>
          <w:rStyle w:val="Appelnotedebasdep"/>
        </w:rPr>
        <w:footnoteRef/>
      </w:r>
      <w:r w:rsidRPr="00187D76">
        <w:t xml:space="preserve"> </w:t>
      </w:r>
      <w:r w:rsidRPr="00187D76">
        <w:rPr>
          <w:i/>
          <w:iCs/>
          <w:lang w:val="fr-FR"/>
        </w:rPr>
        <w:t>Ibid.</w:t>
      </w:r>
    </w:p>
  </w:footnote>
  <w:footnote w:id="36">
    <w:p w14:paraId="1A225848" w14:textId="5D01009F" w:rsidR="009F444A" w:rsidRPr="00187D76" w:rsidRDefault="009F444A"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00AB68A5" w:rsidRPr="00187D76">
        <w:rPr>
          <w:smallCaps/>
          <w:color w:val="000000" w:themeColor="text1"/>
          <w:sz w:val="20"/>
          <w:szCs w:val="20"/>
        </w:rPr>
        <w:t>Th. Hoscheit</w:t>
      </w:r>
      <w:r w:rsidR="00AB68A5" w:rsidRPr="00187D76">
        <w:rPr>
          <w:color w:val="000000" w:themeColor="text1"/>
          <w:sz w:val="20"/>
          <w:szCs w:val="20"/>
          <w:shd w:val="clear" w:color="auto" w:fill="FFFFFF"/>
        </w:rPr>
        <w:t>, « La juridiction du président du tribunal d</w:t>
      </w:r>
      <w:r w:rsidR="00BB76F1">
        <w:rPr>
          <w:color w:val="000000" w:themeColor="text1"/>
          <w:sz w:val="20"/>
          <w:szCs w:val="20"/>
          <w:shd w:val="clear" w:color="auto" w:fill="FFFFFF"/>
        </w:rPr>
        <w:t>’</w:t>
      </w:r>
      <w:r w:rsidR="00AB68A5" w:rsidRPr="00187D76">
        <w:rPr>
          <w:color w:val="000000" w:themeColor="text1"/>
          <w:sz w:val="20"/>
          <w:szCs w:val="20"/>
          <w:shd w:val="clear" w:color="auto" w:fill="FFFFFF"/>
        </w:rPr>
        <w:t>arrondissement : actualités et perspectives », </w:t>
      </w:r>
      <w:r w:rsidR="00AB68A5" w:rsidRPr="00187D76">
        <w:rPr>
          <w:i/>
          <w:iCs/>
          <w:color w:val="000000" w:themeColor="text1"/>
          <w:sz w:val="20"/>
          <w:szCs w:val="20"/>
        </w:rPr>
        <w:t>J.T.L.</w:t>
      </w:r>
      <w:r w:rsidR="00AB68A5" w:rsidRPr="00187D76">
        <w:rPr>
          <w:color w:val="000000" w:themeColor="text1"/>
          <w:sz w:val="20"/>
          <w:szCs w:val="20"/>
          <w:shd w:val="clear" w:color="auto" w:fill="FFFFFF"/>
        </w:rPr>
        <w:t>, 2015/4, n° 40, p. 97.</w:t>
      </w:r>
    </w:p>
  </w:footnote>
  <w:footnote w:id="37">
    <w:p w14:paraId="3F09C759" w14:textId="6F718C28" w:rsidR="000876F5" w:rsidRPr="00187D76" w:rsidRDefault="000876F5" w:rsidP="00187D76">
      <w:pPr>
        <w:pStyle w:val="Notedebasdepage"/>
        <w:jc w:val="both"/>
        <w:rPr>
          <w:lang w:val="fr-FR"/>
        </w:rPr>
      </w:pPr>
      <w:r w:rsidRPr="00187D76">
        <w:rPr>
          <w:rStyle w:val="Appelnotedebasdep"/>
        </w:rPr>
        <w:footnoteRef/>
      </w:r>
      <w:r w:rsidRPr="00187D76">
        <w:t xml:space="preserve"> </w:t>
      </w:r>
      <w:r w:rsidRPr="00187D76">
        <w:rPr>
          <w:color w:val="000000" w:themeColor="text1"/>
        </w:rPr>
        <w:t>Thierry Hoscheit considère que le pouvoir juridictionnel « caractérise l</w:t>
      </w:r>
      <w:r w:rsidR="00BB76F1">
        <w:rPr>
          <w:color w:val="000000" w:themeColor="text1"/>
        </w:rPr>
        <w:t>’</w:t>
      </w:r>
      <w:r w:rsidRPr="00187D76">
        <w:rPr>
          <w:color w:val="000000" w:themeColor="text1"/>
        </w:rPr>
        <w:t>étendue et la profondeur avec lesquelles une juridiction est amenée et autorisée à examiner un litige qui lui est soumis. Ce pouvoir est essentiellement de deux degré</w:t>
      </w:r>
      <w:r w:rsidR="000C6786">
        <w:rPr>
          <w:color w:val="000000" w:themeColor="text1"/>
        </w:rPr>
        <w:t>s</w:t>
      </w:r>
      <w:r w:rsidRPr="00187D76">
        <w:rPr>
          <w:color w:val="000000" w:themeColor="text1"/>
        </w:rPr>
        <w:t> : soit la juridiction examine le litige au fond, en adoptant une décision qui examine et décide tous les aspects du litige, avec autorité de chose jugée au fond ; soit la juridiction examine le litige avec des pouvoirs restreints, sans pouvoir examiner tous les aspects, ou du moins sans pouvoir les toiser de façon définitive, et sans que sa décision s</w:t>
      </w:r>
      <w:r w:rsidR="00BB76F1">
        <w:rPr>
          <w:color w:val="000000" w:themeColor="text1"/>
        </w:rPr>
        <w:t>’</w:t>
      </w:r>
      <w:r w:rsidRPr="00187D76">
        <w:rPr>
          <w:color w:val="000000" w:themeColor="text1"/>
        </w:rPr>
        <w:t>impose nécessairement à d</w:t>
      </w:r>
      <w:r w:rsidR="00BB76F1">
        <w:rPr>
          <w:color w:val="000000" w:themeColor="text1"/>
        </w:rPr>
        <w:t>’</w:t>
      </w:r>
      <w:r w:rsidRPr="00187D76">
        <w:rPr>
          <w:color w:val="000000" w:themeColor="text1"/>
        </w:rPr>
        <w:t xml:space="preserve">autres juges. On oppose ainsi le pouvoir de statuer au fond et le pouvoir de statuer en référé », </w:t>
      </w:r>
      <w:r w:rsidR="00723037" w:rsidRPr="00187D76">
        <w:rPr>
          <w:smallCaps/>
          <w:color w:val="000000" w:themeColor="text1"/>
        </w:rPr>
        <w:t xml:space="preserve">Th. </w:t>
      </w:r>
      <w:r w:rsidRPr="00187D76">
        <w:rPr>
          <w:smallCaps/>
          <w:color w:val="000000" w:themeColor="text1"/>
        </w:rPr>
        <w:t>Hoscheit</w:t>
      </w:r>
      <w:r w:rsidRPr="00187D76">
        <w:rPr>
          <w:color w:val="000000" w:themeColor="text1"/>
          <w:shd w:val="clear" w:color="auto" w:fill="FFFFFF"/>
        </w:rPr>
        <w:t>, « La juridiction du président du tribunal d</w:t>
      </w:r>
      <w:r w:rsidR="00BB76F1">
        <w:rPr>
          <w:color w:val="000000" w:themeColor="text1"/>
          <w:shd w:val="clear" w:color="auto" w:fill="FFFFFF"/>
        </w:rPr>
        <w:t>’</w:t>
      </w:r>
      <w:r w:rsidRPr="00187D76">
        <w:rPr>
          <w:color w:val="000000" w:themeColor="text1"/>
          <w:shd w:val="clear" w:color="auto" w:fill="FFFFFF"/>
        </w:rPr>
        <w:t>arrondissement : actualités et perspectives », </w:t>
      </w:r>
      <w:r w:rsidRPr="00187D76">
        <w:rPr>
          <w:i/>
          <w:iCs/>
          <w:color w:val="000000" w:themeColor="text1"/>
        </w:rPr>
        <w:t>J.T.L.</w:t>
      </w:r>
      <w:r w:rsidRPr="00187D76">
        <w:rPr>
          <w:color w:val="000000" w:themeColor="text1"/>
          <w:shd w:val="clear" w:color="auto" w:fill="FFFFFF"/>
        </w:rPr>
        <w:t>, 2015/4, n° 40, p. 97, par. 4.</w:t>
      </w:r>
    </w:p>
  </w:footnote>
  <w:footnote w:id="38">
    <w:p w14:paraId="1C3D2D79" w14:textId="77777777" w:rsidR="00CA18D3" w:rsidRPr="00187D76" w:rsidRDefault="00CA18D3"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P. </w:t>
      </w:r>
      <w:r w:rsidRPr="00187D76">
        <w:rPr>
          <w:smallCaps/>
          <w:color w:val="000000" w:themeColor="text1"/>
          <w:sz w:val="20"/>
          <w:szCs w:val="20"/>
        </w:rPr>
        <w:t xml:space="preserve">Callé, </w:t>
      </w:r>
      <w:r w:rsidRPr="00187D76">
        <w:rPr>
          <w:color w:val="000000" w:themeColor="text1"/>
          <w:sz w:val="20"/>
          <w:szCs w:val="20"/>
        </w:rPr>
        <w:t xml:space="preserve">« Incompétence », </w:t>
      </w:r>
      <w:r w:rsidRPr="00187D76">
        <w:rPr>
          <w:i/>
          <w:iCs/>
          <w:color w:val="000000" w:themeColor="text1"/>
          <w:sz w:val="20"/>
          <w:szCs w:val="20"/>
        </w:rPr>
        <w:t>Rép. Proc. Civ.</w:t>
      </w:r>
      <w:r w:rsidRPr="00187D76">
        <w:rPr>
          <w:color w:val="000000" w:themeColor="text1"/>
          <w:sz w:val="20"/>
          <w:szCs w:val="20"/>
        </w:rPr>
        <w:t>, 2020, n° 5.</w:t>
      </w:r>
    </w:p>
  </w:footnote>
  <w:footnote w:id="39">
    <w:p w14:paraId="72063925" w14:textId="77777777" w:rsidR="00CA18D3" w:rsidRPr="00187D76" w:rsidRDefault="00CA18D3"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CA, 6 juin 2019, Arrêt n° 19/19 – VII – REF, n° CAL-2018- 00591 du rôle.</w:t>
      </w:r>
    </w:p>
  </w:footnote>
  <w:footnote w:id="40">
    <w:p w14:paraId="73CB3780" w14:textId="0A8598A3" w:rsidR="00CA18D3" w:rsidRPr="00187D76" w:rsidRDefault="00CA18D3" w:rsidP="00187D76">
      <w:pPr>
        <w:pStyle w:val="Sansinterligne"/>
        <w:spacing w:line="240" w:lineRule="auto"/>
        <w:rPr>
          <w:rFonts w:eastAsia="Times New Roman"/>
          <w:color w:val="000000" w:themeColor="text1"/>
          <w:sz w:val="20"/>
          <w:szCs w:val="20"/>
          <w:lang w:val="fr-LU" w:eastAsia="fr-FR"/>
        </w:rPr>
      </w:pPr>
      <w:r w:rsidRPr="00187D76">
        <w:rPr>
          <w:rStyle w:val="Appelnotedebasdep"/>
          <w:color w:val="000000" w:themeColor="text1"/>
          <w:sz w:val="20"/>
          <w:szCs w:val="20"/>
        </w:rPr>
        <w:footnoteRef/>
      </w:r>
      <w:r w:rsidRPr="00187D76">
        <w:rPr>
          <w:color w:val="000000" w:themeColor="text1"/>
          <w:sz w:val="20"/>
          <w:szCs w:val="20"/>
        </w:rPr>
        <w:t xml:space="preserve"> </w:t>
      </w:r>
      <w:r w:rsidR="00723037" w:rsidRPr="00187D76">
        <w:rPr>
          <w:smallCaps/>
          <w:color w:val="000000" w:themeColor="text1"/>
          <w:sz w:val="20"/>
          <w:szCs w:val="20"/>
        </w:rPr>
        <w:t xml:space="preserve">Th. </w:t>
      </w:r>
      <w:r w:rsidRPr="00187D76">
        <w:rPr>
          <w:rFonts w:eastAsia="Times New Roman"/>
          <w:smallCaps/>
          <w:color w:val="000000" w:themeColor="text1"/>
          <w:sz w:val="20"/>
          <w:szCs w:val="20"/>
          <w:lang w:eastAsia="fr-FR"/>
        </w:rPr>
        <w:t>Hoscheit</w:t>
      </w:r>
      <w:r w:rsidRPr="00187D76">
        <w:rPr>
          <w:rFonts w:eastAsia="Times New Roman"/>
          <w:color w:val="000000" w:themeColor="text1"/>
          <w:sz w:val="20"/>
          <w:szCs w:val="20"/>
          <w:shd w:val="clear" w:color="auto" w:fill="FFFFFF"/>
          <w:lang w:eastAsia="fr-FR"/>
        </w:rPr>
        <w:t>, « La juridiction du président du tribunal d</w:t>
      </w:r>
      <w:r w:rsidR="00BB76F1">
        <w:rPr>
          <w:rFonts w:eastAsia="Times New Roman"/>
          <w:color w:val="000000" w:themeColor="text1"/>
          <w:sz w:val="20"/>
          <w:szCs w:val="20"/>
          <w:shd w:val="clear" w:color="auto" w:fill="FFFFFF"/>
          <w:lang w:eastAsia="fr-FR"/>
        </w:rPr>
        <w:t>’</w:t>
      </w:r>
      <w:r w:rsidRPr="00187D76">
        <w:rPr>
          <w:rFonts w:eastAsia="Times New Roman"/>
          <w:color w:val="000000" w:themeColor="text1"/>
          <w:sz w:val="20"/>
          <w:szCs w:val="20"/>
          <w:shd w:val="clear" w:color="auto" w:fill="FFFFFF"/>
          <w:lang w:eastAsia="fr-FR"/>
        </w:rPr>
        <w:t>arrondissement : actualités et perspectives », </w:t>
      </w:r>
      <w:r w:rsidRPr="00187D76">
        <w:rPr>
          <w:rFonts w:eastAsia="Times New Roman"/>
          <w:i/>
          <w:iCs/>
          <w:color w:val="000000" w:themeColor="text1"/>
          <w:sz w:val="20"/>
          <w:szCs w:val="20"/>
          <w:lang w:eastAsia="fr-FR"/>
        </w:rPr>
        <w:t>J.T.L.</w:t>
      </w:r>
      <w:r w:rsidRPr="00187D76">
        <w:rPr>
          <w:rFonts w:eastAsia="Times New Roman"/>
          <w:color w:val="000000" w:themeColor="text1"/>
          <w:sz w:val="20"/>
          <w:szCs w:val="20"/>
          <w:shd w:val="clear" w:color="auto" w:fill="FFFFFF"/>
          <w:lang w:eastAsia="fr-FR"/>
        </w:rPr>
        <w:t>, 2015/4, n° 40, p. 97-107.</w:t>
      </w:r>
    </w:p>
  </w:footnote>
  <w:footnote w:id="41">
    <w:p w14:paraId="6D4F795E" w14:textId="312B5286" w:rsidR="00670E84" w:rsidRPr="00187D76" w:rsidRDefault="00670E84"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Sur les immunités de juridiction voy. not. CA, 23 janvier 2019, Arrêt N° 8/19 – VII – CIV, n° CAL-2018-00008 du rôle ; CA, 19 octobre 2017, Arrêt N° 97/17 - III – TRAV, n° 41000 du rôle</w:t>
      </w:r>
      <w:r w:rsidR="00101359" w:rsidRPr="00187D76">
        <w:rPr>
          <w:color w:val="000000" w:themeColor="text1"/>
          <w:sz w:val="20"/>
          <w:szCs w:val="20"/>
        </w:rPr>
        <w:t xml:space="preserve"> qui déclare irrecevable </w:t>
      </w:r>
      <w:r w:rsidR="007A73F4" w:rsidRPr="00187D76">
        <w:rPr>
          <w:color w:val="000000" w:themeColor="text1"/>
          <w:sz w:val="20"/>
          <w:szCs w:val="20"/>
        </w:rPr>
        <w:t xml:space="preserve">la demande introduite </w:t>
      </w:r>
      <w:r w:rsidR="000F3814" w:rsidRPr="00187D76">
        <w:rPr>
          <w:color w:val="000000" w:themeColor="text1"/>
          <w:sz w:val="20"/>
          <w:szCs w:val="20"/>
        </w:rPr>
        <w:t xml:space="preserve">contre </w:t>
      </w:r>
      <w:r w:rsidR="00F5017B" w:rsidRPr="00187D76">
        <w:rPr>
          <w:color w:val="000000" w:themeColor="text1"/>
          <w:sz w:val="20"/>
          <w:szCs w:val="20"/>
        </w:rPr>
        <w:t>l</w:t>
      </w:r>
      <w:r w:rsidR="00BB76F1">
        <w:rPr>
          <w:color w:val="000000" w:themeColor="text1"/>
          <w:sz w:val="20"/>
          <w:szCs w:val="20"/>
        </w:rPr>
        <w:t>’</w:t>
      </w:r>
      <w:r w:rsidR="00F5017B" w:rsidRPr="00187D76">
        <w:rPr>
          <w:color w:val="000000" w:themeColor="text1"/>
          <w:sz w:val="20"/>
          <w:szCs w:val="20"/>
        </w:rPr>
        <w:t xml:space="preserve">ancien Ambassadeur </w:t>
      </w:r>
      <w:r w:rsidR="008346A0" w:rsidRPr="00187D76">
        <w:rPr>
          <w:color w:val="000000" w:themeColor="text1"/>
          <w:sz w:val="20"/>
          <w:szCs w:val="20"/>
        </w:rPr>
        <w:t>des Etats-Unis d</w:t>
      </w:r>
      <w:r w:rsidR="00BB76F1">
        <w:rPr>
          <w:color w:val="000000" w:themeColor="text1"/>
          <w:sz w:val="20"/>
          <w:szCs w:val="20"/>
        </w:rPr>
        <w:t>’</w:t>
      </w:r>
      <w:r w:rsidR="008346A0" w:rsidRPr="00187D76">
        <w:rPr>
          <w:color w:val="000000" w:themeColor="text1"/>
          <w:sz w:val="20"/>
          <w:szCs w:val="20"/>
        </w:rPr>
        <w:t xml:space="preserve">Amérique </w:t>
      </w:r>
      <w:r w:rsidR="00B01C99" w:rsidRPr="00187D76">
        <w:rPr>
          <w:color w:val="000000" w:themeColor="text1"/>
          <w:sz w:val="20"/>
          <w:szCs w:val="20"/>
        </w:rPr>
        <w:t>au Luxembourg.</w:t>
      </w:r>
    </w:p>
  </w:footnote>
  <w:footnote w:id="42">
    <w:p w14:paraId="561D1B77" w14:textId="77777777" w:rsidR="00CA18D3" w:rsidRPr="00187D76" w:rsidRDefault="00CA18D3"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Article 1251-5 (2) NCPC.</w:t>
      </w:r>
    </w:p>
  </w:footnote>
  <w:footnote w:id="43">
    <w:p w14:paraId="35B388B6" w14:textId="0EB7EB8C" w:rsidR="00CA18D3" w:rsidRPr="00187D76" w:rsidRDefault="00CA18D3"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La solution serait différente dans le cas d</w:t>
      </w:r>
      <w:r w:rsidR="00BB76F1">
        <w:rPr>
          <w:color w:val="000000" w:themeColor="text1"/>
          <w:sz w:val="20"/>
          <w:szCs w:val="20"/>
        </w:rPr>
        <w:t>’</w:t>
      </w:r>
      <w:r w:rsidRPr="00187D76">
        <w:rPr>
          <w:color w:val="000000" w:themeColor="text1"/>
          <w:sz w:val="20"/>
          <w:szCs w:val="20"/>
        </w:rPr>
        <w:t>une clause dite « méd-arb », car dans ce cas, la clause tout en prévoyant un recours préalable à la médiation prévoit surtout la compétence du tribunal arbitral, Tribunal d</w:t>
      </w:r>
      <w:r w:rsidR="00BB76F1">
        <w:rPr>
          <w:color w:val="000000" w:themeColor="text1"/>
          <w:sz w:val="20"/>
          <w:szCs w:val="20"/>
        </w:rPr>
        <w:t>’</w:t>
      </w:r>
      <w:r w:rsidRPr="00187D76">
        <w:rPr>
          <w:color w:val="000000" w:themeColor="text1"/>
          <w:sz w:val="20"/>
          <w:szCs w:val="20"/>
        </w:rPr>
        <w:t>Arrondissement de Luxembourg (2</w:t>
      </w:r>
      <w:r w:rsidRPr="00187D76">
        <w:rPr>
          <w:color w:val="000000" w:themeColor="text1"/>
          <w:sz w:val="20"/>
          <w:szCs w:val="20"/>
          <w:vertAlign w:val="superscript"/>
        </w:rPr>
        <w:t>ème</w:t>
      </w:r>
      <w:r w:rsidRPr="00187D76">
        <w:rPr>
          <w:color w:val="000000" w:themeColor="text1"/>
          <w:sz w:val="20"/>
          <w:szCs w:val="20"/>
        </w:rPr>
        <w:t xml:space="preserve"> chambre), 22 juin 2012, </w:t>
      </w:r>
      <w:r w:rsidRPr="00187D76">
        <w:rPr>
          <w:i/>
          <w:color w:val="000000" w:themeColor="text1"/>
          <w:sz w:val="20"/>
          <w:szCs w:val="20"/>
        </w:rPr>
        <w:t>JTL n°27</w:t>
      </w:r>
      <w:r w:rsidRPr="00187D76">
        <w:rPr>
          <w:color w:val="000000" w:themeColor="text1"/>
          <w:sz w:val="20"/>
          <w:szCs w:val="20"/>
        </w:rPr>
        <w:t>, 03/2013, p. 87, obs. J. Kayser.</w:t>
      </w:r>
    </w:p>
  </w:footnote>
  <w:footnote w:id="44">
    <w:p w14:paraId="439077D9" w14:textId="46E5D462" w:rsidR="00CA18D3" w:rsidRPr="00187D76" w:rsidRDefault="00CA18D3"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Les moyens de défense manquent cruellement de précision en droit luxembourgeois et cette nouvelle disposition en témoigne. La jurisprudence (antérieure à la loi de 2012) est extrêmement pauvre et assez peu claire quant à la qualification de l</w:t>
      </w:r>
      <w:r w:rsidR="00BB76F1">
        <w:rPr>
          <w:color w:val="000000" w:themeColor="text1"/>
          <w:sz w:val="20"/>
          <w:szCs w:val="20"/>
        </w:rPr>
        <w:t>’</w:t>
      </w:r>
      <w:r w:rsidRPr="00187D76">
        <w:rPr>
          <w:color w:val="000000" w:themeColor="text1"/>
          <w:sz w:val="20"/>
          <w:szCs w:val="20"/>
        </w:rPr>
        <w:t>obstacle procédural à l</w:t>
      </w:r>
      <w:r w:rsidR="00BB76F1">
        <w:rPr>
          <w:color w:val="000000" w:themeColor="text1"/>
          <w:sz w:val="20"/>
          <w:szCs w:val="20"/>
        </w:rPr>
        <w:t>’</w:t>
      </w:r>
      <w:r w:rsidRPr="00187D76">
        <w:rPr>
          <w:color w:val="000000" w:themeColor="text1"/>
          <w:sz w:val="20"/>
          <w:szCs w:val="20"/>
        </w:rPr>
        <w:t>exercice du pouvoir juridictionnel du fait de la présence d</w:t>
      </w:r>
      <w:r w:rsidR="00BB76F1">
        <w:rPr>
          <w:color w:val="000000" w:themeColor="text1"/>
          <w:sz w:val="20"/>
          <w:szCs w:val="20"/>
        </w:rPr>
        <w:t>’</w:t>
      </w:r>
      <w:r w:rsidRPr="00187D76">
        <w:rPr>
          <w:color w:val="000000" w:themeColor="text1"/>
          <w:sz w:val="20"/>
          <w:szCs w:val="20"/>
        </w:rPr>
        <w:t>une clause de médiation, voir Tribunal d</w:t>
      </w:r>
      <w:r w:rsidR="00BB76F1">
        <w:rPr>
          <w:color w:val="000000" w:themeColor="text1"/>
          <w:sz w:val="20"/>
          <w:szCs w:val="20"/>
        </w:rPr>
        <w:t>’</w:t>
      </w:r>
      <w:r w:rsidRPr="00187D76">
        <w:rPr>
          <w:color w:val="000000" w:themeColor="text1"/>
          <w:sz w:val="20"/>
          <w:szCs w:val="20"/>
        </w:rPr>
        <w:t>arrondissement de Luxembourg, 15 novembre 2006, n°1419/2006, judoc 99862836.</w:t>
      </w:r>
    </w:p>
  </w:footnote>
  <w:footnote w:id="45">
    <w:p w14:paraId="40BA064A" w14:textId="3E81AC23" w:rsidR="005D0BAE" w:rsidRPr="00187D76" w:rsidRDefault="005D0BAE" w:rsidP="00187D76">
      <w:pPr>
        <w:pStyle w:val="Notedebasdepage"/>
        <w:jc w:val="both"/>
        <w:rPr>
          <w:lang w:val="fr-FR"/>
        </w:rPr>
      </w:pPr>
      <w:r w:rsidRPr="00187D76">
        <w:rPr>
          <w:rStyle w:val="Appelnotedebasdep"/>
        </w:rPr>
        <w:footnoteRef/>
      </w:r>
      <w:r w:rsidRPr="00187D76">
        <w:t xml:space="preserve"> </w:t>
      </w:r>
      <w:r w:rsidRPr="00187D76">
        <w:rPr>
          <w:lang w:val="fr-FR"/>
        </w:rPr>
        <w:t xml:space="preserve">Sur la confusion voy. CJUE, 6 octobre 2021, C-581/20, </w:t>
      </w:r>
      <w:r w:rsidRPr="00187D76">
        <w:rPr>
          <w:i/>
          <w:iCs/>
          <w:lang w:val="fr-FR"/>
        </w:rPr>
        <w:t>TOTO Spa</w:t>
      </w:r>
      <w:r w:rsidRPr="00187D76">
        <w:rPr>
          <w:lang w:val="fr-FR"/>
        </w:rPr>
        <w:t>.</w:t>
      </w:r>
    </w:p>
  </w:footnote>
  <w:footnote w:id="46">
    <w:p w14:paraId="660CD805" w14:textId="62828775" w:rsidR="00AF3676" w:rsidRPr="00187D76" w:rsidRDefault="00AF3676" w:rsidP="00187D76">
      <w:pPr>
        <w:pStyle w:val="Sansinterligne"/>
        <w:spacing w:line="240" w:lineRule="auto"/>
        <w:rPr>
          <w:color w:val="000000" w:themeColor="text1"/>
          <w:sz w:val="20"/>
          <w:szCs w:val="20"/>
          <w:highlight w:val="yellow"/>
        </w:rPr>
      </w:pPr>
      <w:r w:rsidRPr="00187D76">
        <w:rPr>
          <w:rStyle w:val="Appelnotedebasdep"/>
          <w:color w:val="000000" w:themeColor="text1"/>
          <w:sz w:val="20"/>
          <w:szCs w:val="20"/>
        </w:rPr>
        <w:footnoteRef/>
      </w:r>
      <w:r w:rsidRPr="00187D76">
        <w:rPr>
          <w:color w:val="000000" w:themeColor="text1"/>
          <w:sz w:val="20"/>
          <w:szCs w:val="20"/>
        </w:rPr>
        <w:t xml:space="preserve"> </w:t>
      </w:r>
      <w:r w:rsidR="00885562" w:rsidRPr="00187D76">
        <w:rPr>
          <w:smallCaps/>
          <w:color w:val="000000" w:themeColor="text1"/>
          <w:sz w:val="20"/>
          <w:szCs w:val="20"/>
        </w:rPr>
        <w:t>Th.</w:t>
      </w:r>
      <w:r w:rsidR="00885562" w:rsidRPr="00187D76">
        <w:rPr>
          <w:color w:val="000000" w:themeColor="text1"/>
          <w:sz w:val="20"/>
          <w:szCs w:val="20"/>
        </w:rPr>
        <w:t xml:space="preserve"> </w:t>
      </w:r>
      <w:r w:rsidR="00885562" w:rsidRPr="00187D76">
        <w:rPr>
          <w:smallCaps/>
          <w:color w:val="000000" w:themeColor="text1"/>
          <w:sz w:val="20"/>
          <w:szCs w:val="20"/>
        </w:rPr>
        <w:t>Hoscheit</w:t>
      </w:r>
      <w:r w:rsidR="00885562" w:rsidRPr="00187D76">
        <w:rPr>
          <w:color w:val="000000" w:themeColor="text1"/>
          <w:sz w:val="20"/>
          <w:szCs w:val="20"/>
        </w:rPr>
        <w:t xml:space="preserve">, </w:t>
      </w:r>
      <w:r w:rsidR="00885562" w:rsidRPr="00187D76">
        <w:rPr>
          <w:i/>
          <w:color w:val="000000" w:themeColor="text1"/>
          <w:sz w:val="20"/>
          <w:szCs w:val="20"/>
        </w:rPr>
        <w:t>Le droit judiciaire au Grand-Duché de Luxembourg</w:t>
      </w:r>
      <w:r w:rsidR="00885562" w:rsidRPr="00187D76">
        <w:rPr>
          <w:color w:val="000000" w:themeColor="text1"/>
          <w:sz w:val="20"/>
          <w:szCs w:val="20"/>
        </w:rPr>
        <w:t>, 2</w:t>
      </w:r>
      <w:r w:rsidR="00885562" w:rsidRPr="00187D76">
        <w:rPr>
          <w:color w:val="000000" w:themeColor="text1"/>
          <w:sz w:val="20"/>
          <w:szCs w:val="20"/>
          <w:vertAlign w:val="superscript"/>
        </w:rPr>
        <w:t>nde</w:t>
      </w:r>
      <w:r w:rsidR="00885562" w:rsidRPr="00187D76">
        <w:rPr>
          <w:color w:val="000000" w:themeColor="text1"/>
          <w:sz w:val="20"/>
          <w:szCs w:val="20"/>
        </w:rPr>
        <w:t xml:space="preserve"> éd., Bauler, 2019, </w:t>
      </w:r>
      <w:r w:rsidRPr="00187D76">
        <w:rPr>
          <w:color w:val="000000" w:themeColor="text1"/>
          <w:sz w:val="20"/>
          <w:szCs w:val="20"/>
        </w:rPr>
        <w:t>n°786.</w:t>
      </w:r>
    </w:p>
  </w:footnote>
  <w:footnote w:id="47">
    <w:p w14:paraId="1C8B0C2D" w14:textId="74869056" w:rsidR="001523E4" w:rsidRPr="00187D76" w:rsidRDefault="001523E4"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Ex. en droit allemand : « § 281 Z.P.O Verweisung bei Unzuständigkeit (1) Ist auf Grund der Vorschriften über die örtliche oder sachliche Zuständigkeit der Gerichte die Unzuständigkeit des Gerichts auszusprechen, so hat das angegangene Gericht, sofern das zuständige Gericht bestimmt werden kann, auf Antrag des Klägers durch Beschluss sich für unzuständig zu erklären und den Rechtsstreit an das zuständige Gericht zu verweisen. Sind mehrere Gerichte zuständig, so erfolgt die Verweisung an das vom Kläger gewählte Gericht. (2) Anträge und Erklärungen zur Zuständigkeit des Gerichts können vor dem Urkundsbeamten der Geschäftsstelle abgegeben werden. Der Beschluss ist unanfechtbar. Der Rechtsstreit wird bei dem im Beschluss bezeichneten Gericht mit Eingang der Akten anhängig. Der Beschluss ist für dieses Gericht bindend », (traduction libre: « (1) Si, au regard des règles sur la compétence territoriale et matérielle des juridictions, l</w:t>
      </w:r>
      <w:r w:rsidR="00BB76F1">
        <w:rPr>
          <w:color w:val="000000" w:themeColor="text1"/>
          <w:sz w:val="20"/>
          <w:szCs w:val="20"/>
        </w:rPr>
        <w:t>’</w:t>
      </w:r>
      <w:r w:rsidRPr="00187D76">
        <w:rPr>
          <w:color w:val="000000" w:themeColor="text1"/>
          <w:sz w:val="20"/>
          <w:szCs w:val="20"/>
        </w:rPr>
        <w:t>incompétence du tribunal doit être prononcée, et à la condition qu</w:t>
      </w:r>
      <w:r w:rsidR="00BB76F1">
        <w:rPr>
          <w:color w:val="000000" w:themeColor="text1"/>
          <w:sz w:val="20"/>
          <w:szCs w:val="20"/>
        </w:rPr>
        <w:t>’</w:t>
      </w:r>
      <w:r w:rsidRPr="00187D76">
        <w:rPr>
          <w:color w:val="000000" w:themeColor="text1"/>
          <w:sz w:val="20"/>
          <w:szCs w:val="20"/>
        </w:rPr>
        <w:t>il soit possible de déterminer la juridiction compétente, la juridiction devant laquelle l</w:t>
      </w:r>
      <w:r w:rsidR="00BB76F1">
        <w:rPr>
          <w:color w:val="000000" w:themeColor="text1"/>
          <w:sz w:val="20"/>
          <w:szCs w:val="20"/>
        </w:rPr>
        <w:t>’</w:t>
      </w:r>
      <w:r w:rsidRPr="00187D76">
        <w:rPr>
          <w:color w:val="000000" w:themeColor="text1"/>
          <w:sz w:val="20"/>
          <w:szCs w:val="20"/>
        </w:rPr>
        <w:t>action a été initialement portée doit déclarer, à la requête du demandeur, qu</w:t>
      </w:r>
      <w:r w:rsidR="00BB76F1">
        <w:rPr>
          <w:color w:val="000000" w:themeColor="text1"/>
          <w:sz w:val="20"/>
          <w:szCs w:val="20"/>
        </w:rPr>
        <w:t>’</w:t>
      </w:r>
      <w:r w:rsidRPr="00187D76">
        <w:rPr>
          <w:color w:val="000000" w:themeColor="text1"/>
          <w:sz w:val="20"/>
          <w:szCs w:val="20"/>
        </w:rPr>
        <w:t>elle n</w:t>
      </w:r>
      <w:r w:rsidR="00BB76F1">
        <w:rPr>
          <w:color w:val="000000" w:themeColor="text1"/>
          <w:sz w:val="20"/>
          <w:szCs w:val="20"/>
        </w:rPr>
        <w:t>’</w:t>
      </w:r>
      <w:r w:rsidRPr="00187D76">
        <w:rPr>
          <w:color w:val="000000" w:themeColor="text1"/>
          <w:sz w:val="20"/>
          <w:szCs w:val="20"/>
        </w:rPr>
        <w:t>est pas compétente et renvoyer le litige à la juridiction compétente. Si plusieurs cours sont compétentes, le litige devra être renvoyé à la juridiction désignée par le demandeur. (2) Les requêtes et déclarations concernant la compétence de la juridiction peuvent être déposées auprès du greffier en charge du rôle de la juridiction. L</w:t>
      </w:r>
      <w:r w:rsidR="00BB76F1">
        <w:rPr>
          <w:color w:val="000000" w:themeColor="text1"/>
          <w:sz w:val="20"/>
          <w:szCs w:val="20"/>
        </w:rPr>
        <w:t>’</w:t>
      </w:r>
      <w:r w:rsidRPr="00187D76">
        <w:rPr>
          <w:color w:val="000000" w:themeColor="text1"/>
          <w:sz w:val="20"/>
          <w:szCs w:val="20"/>
        </w:rPr>
        <w:t>ordonnance de la juridiction est rendue en dernier recours. L</w:t>
      </w:r>
      <w:r w:rsidR="00BB76F1">
        <w:rPr>
          <w:color w:val="000000" w:themeColor="text1"/>
          <w:sz w:val="20"/>
          <w:szCs w:val="20"/>
        </w:rPr>
        <w:t>’</w:t>
      </w:r>
      <w:r w:rsidRPr="00187D76">
        <w:rPr>
          <w:color w:val="000000" w:themeColor="text1"/>
          <w:sz w:val="20"/>
          <w:szCs w:val="20"/>
        </w:rPr>
        <w:t>instance sera alors pendante devant la juridiction désignée dans l</w:t>
      </w:r>
      <w:r w:rsidR="00BB76F1">
        <w:rPr>
          <w:color w:val="000000" w:themeColor="text1"/>
          <w:sz w:val="20"/>
          <w:szCs w:val="20"/>
        </w:rPr>
        <w:t>’</w:t>
      </w:r>
      <w:r w:rsidRPr="00187D76">
        <w:rPr>
          <w:color w:val="000000" w:themeColor="text1"/>
          <w:sz w:val="20"/>
          <w:szCs w:val="20"/>
        </w:rPr>
        <w:t>ordonnance dès réception du dossier. L</w:t>
      </w:r>
      <w:r w:rsidR="00BB76F1">
        <w:rPr>
          <w:color w:val="000000" w:themeColor="text1"/>
          <w:sz w:val="20"/>
          <w:szCs w:val="20"/>
        </w:rPr>
        <w:t>’</w:t>
      </w:r>
      <w:r w:rsidRPr="00187D76">
        <w:rPr>
          <w:color w:val="000000" w:themeColor="text1"/>
          <w:sz w:val="20"/>
          <w:szCs w:val="20"/>
        </w:rPr>
        <w:t>ordonnance sera obligatoire pour cette juridiction. [...] »).</w:t>
      </w:r>
    </w:p>
    <w:p w14:paraId="1D5EDBC3" w14:textId="0C0D263D" w:rsidR="001523E4" w:rsidRPr="00187D76" w:rsidRDefault="001523E4" w:rsidP="00187D76">
      <w:pPr>
        <w:pStyle w:val="Sansinterligne"/>
        <w:spacing w:line="240" w:lineRule="auto"/>
        <w:rPr>
          <w:color w:val="000000" w:themeColor="text1"/>
          <w:sz w:val="20"/>
          <w:szCs w:val="20"/>
        </w:rPr>
      </w:pPr>
      <w:r w:rsidRPr="00187D76">
        <w:rPr>
          <w:color w:val="000000" w:themeColor="text1"/>
          <w:sz w:val="20"/>
          <w:szCs w:val="20"/>
        </w:rPr>
        <w:t>En droit italien : Art. 44 du codice di procedura civile : « L</w:t>
      </w:r>
      <w:r w:rsidR="00BB76F1">
        <w:rPr>
          <w:color w:val="000000" w:themeColor="text1"/>
          <w:sz w:val="20"/>
          <w:szCs w:val="20"/>
        </w:rPr>
        <w:t>’</w:t>
      </w:r>
      <w:r w:rsidRPr="00187D76">
        <w:rPr>
          <w:color w:val="000000" w:themeColor="text1"/>
          <w:sz w:val="20"/>
          <w:szCs w:val="20"/>
        </w:rPr>
        <w:t>ordonnance qui, en vertu des articles 39 et 40, déclare l</w:t>
      </w:r>
      <w:r w:rsidR="00BB76F1">
        <w:rPr>
          <w:color w:val="000000" w:themeColor="text1"/>
          <w:sz w:val="20"/>
          <w:szCs w:val="20"/>
        </w:rPr>
        <w:t>’</w:t>
      </w:r>
      <w:r w:rsidRPr="00187D76">
        <w:rPr>
          <w:color w:val="000000" w:themeColor="text1"/>
          <w:sz w:val="20"/>
          <w:szCs w:val="20"/>
        </w:rPr>
        <w:t>incompétence du juge qui la prononce, si elle n</w:t>
      </w:r>
      <w:r w:rsidR="00BB76F1">
        <w:rPr>
          <w:color w:val="000000" w:themeColor="text1"/>
          <w:sz w:val="20"/>
          <w:szCs w:val="20"/>
        </w:rPr>
        <w:t>’</w:t>
      </w:r>
      <w:r w:rsidRPr="00187D76">
        <w:rPr>
          <w:color w:val="000000" w:themeColor="text1"/>
          <w:sz w:val="20"/>
          <w:szCs w:val="20"/>
        </w:rPr>
        <w:t>est pas réformée par voie de recours, rend incontestable l</w:t>
      </w:r>
      <w:r w:rsidR="00BB76F1">
        <w:rPr>
          <w:color w:val="000000" w:themeColor="text1"/>
          <w:sz w:val="20"/>
          <w:szCs w:val="20"/>
        </w:rPr>
        <w:t>’</w:t>
      </w:r>
      <w:r w:rsidRPr="00187D76">
        <w:rPr>
          <w:color w:val="000000" w:themeColor="text1"/>
          <w:sz w:val="20"/>
          <w:szCs w:val="20"/>
        </w:rPr>
        <w:t>incompétence qui y est déclarée et la compétence du juge qui y est indiquée si le litige est repris dans les termes de l</w:t>
      </w:r>
      <w:r w:rsidR="00BB76F1">
        <w:rPr>
          <w:color w:val="000000" w:themeColor="text1"/>
          <w:sz w:val="20"/>
          <w:szCs w:val="20"/>
        </w:rPr>
        <w:t>’</w:t>
      </w:r>
      <w:r w:rsidRPr="00187D76">
        <w:rPr>
          <w:color w:val="000000" w:themeColor="text1"/>
          <w:sz w:val="20"/>
          <w:szCs w:val="20"/>
        </w:rPr>
        <w:t>article 50 [délai, essentiellement], sauf s</w:t>
      </w:r>
      <w:r w:rsidR="00BB76F1">
        <w:rPr>
          <w:color w:val="000000" w:themeColor="text1"/>
          <w:sz w:val="20"/>
          <w:szCs w:val="20"/>
        </w:rPr>
        <w:t>’</w:t>
      </w:r>
      <w:r w:rsidRPr="00187D76">
        <w:rPr>
          <w:color w:val="000000" w:themeColor="text1"/>
          <w:sz w:val="20"/>
          <w:szCs w:val="20"/>
        </w:rPr>
        <w:t>il s</w:t>
      </w:r>
      <w:r w:rsidR="00BB76F1">
        <w:rPr>
          <w:color w:val="000000" w:themeColor="text1"/>
          <w:sz w:val="20"/>
          <w:szCs w:val="20"/>
        </w:rPr>
        <w:t>’</w:t>
      </w:r>
      <w:r w:rsidRPr="00187D76">
        <w:rPr>
          <w:color w:val="000000" w:themeColor="text1"/>
          <w:sz w:val="20"/>
          <w:szCs w:val="20"/>
        </w:rPr>
        <w:t>agit de compétence matérielle ou de la compétence territoriale prévue à l</w:t>
      </w:r>
      <w:r w:rsidR="00BB76F1">
        <w:rPr>
          <w:color w:val="000000" w:themeColor="text1"/>
          <w:sz w:val="20"/>
          <w:szCs w:val="20"/>
        </w:rPr>
        <w:t>’</w:t>
      </w:r>
      <w:r w:rsidRPr="00187D76">
        <w:rPr>
          <w:color w:val="000000" w:themeColor="text1"/>
          <w:sz w:val="20"/>
          <w:szCs w:val="20"/>
        </w:rPr>
        <w:t>article 28 [prorogation de for] » (« La ordinanza che, anche a norma degli articoli 39 e 40 , dichiara l</w:t>
      </w:r>
      <w:r w:rsidR="00BB76F1">
        <w:rPr>
          <w:color w:val="000000" w:themeColor="text1"/>
          <w:sz w:val="20"/>
          <w:szCs w:val="20"/>
        </w:rPr>
        <w:t>’</w:t>
      </w:r>
      <w:r w:rsidRPr="00187D76">
        <w:rPr>
          <w:color w:val="000000" w:themeColor="text1"/>
          <w:sz w:val="20"/>
          <w:szCs w:val="20"/>
        </w:rPr>
        <w:t>incompetenza del giudice che l</w:t>
      </w:r>
      <w:r w:rsidR="00BB76F1">
        <w:rPr>
          <w:color w:val="000000" w:themeColor="text1"/>
          <w:sz w:val="20"/>
          <w:szCs w:val="20"/>
        </w:rPr>
        <w:t>’</w:t>
      </w:r>
      <w:r w:rsidRPr="00187D76">
        <w:rPr>
          <w:color w:val="000000" w:themeColor="text1"/>
          <w:sz w:val="20"/>
          <w:szCs w:val="20"/>
        </w:rPr>
        <w:t>ha pronunciata, se non è impugnata con l</w:t>
      </w:r>
      <w:r w:rsidR="00BB76F1">
        <w:rPr>
          <w:color w:val="000000" w:themeColor="text1"/>
          <w:sz w:val="20"/>
          <w:szCs w:val="20"/>
        </w:rPr>
        <w:t>’</w:t>
      </w:r>
      <w:r w:rsidRPr="00187D76">
        <w:rPr>
          <w:color w:val="000000" w:themeColor="text1"/>
          <w:sz w:val="20"/>
          <w:szCs w:val="20"/>
        </w:rPr>
        <w:t xml:space="preserve"> istanza di regolamento , rende incontestabile l</w:t>
      </w:r>
      <w:r w:rsidR="00BB76F1">
        <w:rPr>
          <w:color w:val="000000" w:themeColor="text1"/>
          <w:sz w:val="20"/>
          <w:szCs w:val="20"/>
        </w:rPr>
        <w:t>’</w:t>
      </w:r>
      <w:r w:rsidRPr="00187D76">
        <w:rPr>
          <w:color w:val="000000" w:themeColor="text1"/>
          <w:sz w:val="20"/>
          <w:szCs w:val="20"/>
        </w:rPr>
        <w:t>incompetenza dichiarata e la competenza del giudice in essa indicato se la causa è riassunta nei termini di cui all</w:t>
      </w:r>
      <w:r w:rsidR="00BB76F1">
        <w:rPr>
          <w:color w:val="000000" w:themeColor="text1"/>
          <w:sz w:val="20"/>
          <w:szCs w:val="20"/>
        </w:rPr>
        <w:t>’</w:t>
      </w:r>
      <w:r w:rsidRPr="00187D76">
        <w:rPr>
          <w:color w:val="000000" w:themeColor="text1"/>
          <w:sz w:val="20"/>
          <w:szCs w:val="20"/>
        </w:rPr>
        <w:t>articolo 50, salvche si tratti di incompetenza per materia o di incompetenza per territorio nei casi previsti nell</w:t>
      </w:r>
      <w:r w:rsidR="00BB76F1">
        <w:rPr>
          <w:color w:val="000000" w:themeColor="text1"/>
          <w:sz w:val="20"/>
          <w:szCs w:val="20"/>
        </w:rPr>
        <w:t>’</w:t>
      </w:r>
      <w:r w:rsidRPr="00187D76">
        <w:rPr>
          <w:color w:val="000000" w:themeColor="text1"/>
          <w:sz w:val="20"/>
          <w:szCs w:val="20"/>
        </w:rPr>
        <w:t xml:space="preserve">articolo 28 ») </w:t>
      </w:r>
    </w:p>
    <w:p w14:paraId="5B219145" w14:textId="76BA8D78" w:rsidR="001523E4" w:rsidRPr="00187D76" w:rsidRDefault="001523E4" w:rsidP="00187D76">
      <w:pPr>
        <w:pStyle w:val="Sansinterligne"/>
        <w:spacing w:line="240" w:lineRule="auto"/>
        <w:rPr>
          <w:color w:val="000000" w:themeColor="text1"/>
          <w:sz w:val="20"/>
          <w:szCs w:val="20"/>
          <w:lang w:val="fr-LU"/>
        </w:rPr>
      </w:pPr>
      <w:r w:rsidRPr="00187D76">
        <w:rPr>
          <w:color w:val="000000" w:themeColor="text1"/>
          <w:sz w:val="20"/>
          <w:szCs w:val="20"/>
        </w:rPr>
        <w:t>En droit espagnol, l</w:t>
      </w:r>
      <w:r w:rsidR="00BB76F1">
        <w:rPr>
          <w:color w:val="000000" w:themeColor="text1"/>
          <w:sz w:val="20"/>
          <w:szCs w:val="20"/>
        </w:rPr>
        <w:t>’</w:t>
      </w:r>
      <w:r w:rsidRPr="00187D76">
        <w:rPr>
          <w:color w:val="000000" w:themeColor="text1"/>
          <w:sz w:val="20"/>
          <w:szCs w:val="20"/>
        </w:rPr>
        <w:t>article 60-1 de la Ley de Enjuiciamiento Civil : « Si la décision de dessaisissement d</w:t>
      </w:r>
      <w:r w:rsidR="00BB76F1">
        <w:rPr>
          <w:color w:val="000000" w:themeColor="text1"/>
          <w:sz w:val="20"/>
          <w:szCs w:val="20"/>
        </w:rPr>
        <w:t>’</w:t>
      </w:r>
      <w:r w:rsidRPr="00187D76">
        <w:rPr>
          <w:color w:val="000000" w:themeColor="text1"/>
          <w:sz w:val="20"/>
          <w:szCs w:val="20"/>
        </w:rPr>
        <w:t>un tribunal pour défaut de compétence territoriale est décidée en vertu d</w:t>
      </w:r>
      <w:r w:rsidR="00BB76F1">
        <w:rPr>
          <w:color w:val="000000" w:themeColor="text1"/>
          <w:sz w:val="20"/>
          <w:szCs w:val="20"/>
        </w:rPr>
        <w:t>’</w:t>
      </w:r>
      <w:r w:rsidRPr="00187D76">
        <w:rPr>
          <w:color w:val="000000" w:themeColor="text1"/>
          <w:sz w:val="20"/>
          <w:szCs w:val="20"/>
        </w:rPr>
        <w:t>un déclinatoire ou après audition de toutes les parties, le tribunal auquel sont renvoyées les actions est celui qui est désigné et il ne peut soulever d</w:t>
      </w:r>
      <w:r w:rsidR="00BB76F1">
        <w:rPr>
          <w:color w:val="000000" w:themeColor="text1"/>
          <w:sz w:val="20"/>
          <w:szCs w:val="20"/>
        </w:rPr>
        <w:t>’</w:t>
      </w:r>
      <w:r w:rsidRPr="00187D76">
        <w:rPr>
          <w:color w:val="000000" w:themeColor="text1"/>
          <w:sz w:val="20"/>
          <w:szCs w:val="20"/>
        </w:rPr>
        <w:t>office son défaut de compétence territoriale » (« Si la decisión de inhibición de un tribunal por falta de competencia territorial se hubiere adoptado en virtud de declinatoria o con audiencia de todas las partes, el tribunal al que se remitieren las actuaciones estará a lo decidido y no podrá declarar de oficio su falta de competencia territorial ») » F</w:t>
      </w:r>
      <w:r w:rsidRPr="00187D76">
        <w:rPr>
          <w:rFonts w:eastAsia="Times New Roman"/>
          <w:color w:val="000000" w:themeColor="text1"/>
          <w:sz w:val="20"/>
          <w:szCs w:val="20"/>
          <w:lang w:eastAsia="fr-FR"/>
        </w:rPr>
        <w:t xml:space="preserve">. </w:t>
      </w:r>
      <w:r w:rsidRPr="00187D76">
        <w:rPr>
          <w:rFonts w:eastAsia="Times New Roman"/>
          <w:smallCaps/>
          <w:color w:val="000000" w:themeColor="text1"/>
          <w:sz w:val="20"/>
          <w:szCs w:val="20"/>
          <w:lang w:eastAsia="fr-FR"/>
        </w:rPr>
        <w:t>Mailhé</w:t>
      </w:r>
      <w:r w:rsidRPr="00187D76">
        <w:rPr>
          <w:rFonts w:eastAsia="Times New Roman"/>
          <w:color w:val="000000" w:themeColor="text1"/>
          <w:sz w:val="20"/>
          <w:szCs w:val="20"/>
          <w:shd w:val="clear" w:color="auto" w:fill="FFFFFF"/>
          <w:lang w:eastAsia="fr-FR"/>
        </w:rPr>
        <w:t>, </w:t>
      </w:r>
      <w:r w:rsidRPr="00187D76">
        <w:rPr>
          <w:rFonts w:eastAsia="Times New Roman"/>
          <w:i/>
          <w:iCs/>
          <w:color w:val="000000" w:themeColor="text1"/>
          <w:sz w:val="20"/>
          <w:szCs w:val="20"/>
          <w:lang w:eastAsia="fr-FR"/>
        </w:rPr>
        <w:t>L</w:t>
      </w:r>
      <w:r w:rsidR="00BB76F1">
        <w:rPr>
          <w:rFonts w:eastAsia="Times New Roman"/>
          <w:i/>
          <w:iCs/>
          <w:color w:val="000000" w:themeColor="text1"/>
          <w:sz w:val="20"/>
          <w:szCs w:val="20"/>
          <w:lang w:eastAsia="fr-FR"/>
        </w:rPr>
        <w:t>’</w:t>
      </w:r>
      <w:r w:rsidRPr="00187D76">
        <w:rPr>
          <w:rFonts w:eastAsia="Times New Roman"/>
          <w:i/>
          <w:iCs/>
          <w:color w:val="000000" w:themeColor="text1"/>
          <w:sz w:val="20"/>
          <w:szCs w:val="20"/>
          <w:lang w:eastAsia="fr-FR"/>
        </w:rPr>
        <w:t>organisation de la concurrence internationale des juridictions : la compétence face à la mondialisation économique</w:t>
      </w:r>
      <w:r w:rsidRPr="00187D76">
        <w:rPr>
          <w:rFonts w:eastAsia="Times New Roman"/>
          <w:color w:val="000000" w:themeColor="text1"/>
          <w:sz w:val="20"/>
          <w:szCs w:val="20"/>
          <w:shd w:val="clear" w:color="auto" w:fill="FFFFFF"/>
          <w:lang w:eastAsia="fr-FR"/>
        </w:rPr>
        <w:t>, thèse Paris II, décembre 2013, n</w:t>
      </w:r>
      <w:r w:rsidRPr="00187D76">
        <w:rPr>
          <w:color w:val="000000" w:themeColor="text1"/>
          <w:sz w:val="20"/>
          <w:szCs w:val="20"/>
          <w:shd w:val="clear" w:color="auto" w:fill="FFFFFF"/>
        </w:rPr>
        <w:t>bp 1538 et 1539.</w:t>
      </w:r>
    </w:p>
  </w:footnote>
  <w:footnote w:id="48">
    <w:p w14:paraId="16C98FEB" w14:textId="77777777" w:rsidR="00C700E4" w:rsidRPr="00187D76" w:rsidRDefault="00C700E4"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J. </w:t>
      </w:r>
      <w:r w:rsidRPr="00187D76">
        <w:rPr>
          <w:smallCaps/>
          <w:color w:val="000000" w:themeColor="text1"/>
          <w:sz w:val="20"/>
          <w:szCs w:val="20"/>
        </w:rPr>
        <w:t>Englebert &amp; X. Taton</w:t>
      </w:r>
      <w:r w:rsidRPr="00187D76">
        <w:rPr>
          <w:color w:val="000000" w:themeColor="text1"/>
          <w:sz w:val="20"/>
          <w:szCs w:val="20"/>
        </w:rPr>
        <w:t xml:space="preserve">, </w:t>
      </w:r>
      <w:r w:rsidRPr="00187D76">
        <w:rPr>
          <w:i/>
          <w:color w:val="000000" w:themeColor="text1"/>
          <w:sz w:val="20"/>
          <w:szCs w:val="20"/>
        </w:rPr>
        <w:t>Droit du procès civil</w:t>
      </w:r>
      <w:r w:rsidRPr="00187D76">
        <w:rPr>
          <w:color w:val="000000" w:themeColor="text1"/>
          <w:sz w:val="20"/>
          <w:szCs w:val="20"/>
        </w:rPr>
        <w:t>, vol. 1, Bruxelles, Anthémis, 2018, p. 215.Trois hypothèses principales peuvent être distinguées :</w:t>
      </w:r>
      <w:r w:rsidRPr="00187D76">
        <w:rPr>
          <w:color w:val="000000" w:themeColor="text1"/>
          <w:sz w:val="20"/>
          <w:szCs w:val="20"/>
        </w:rPr>
        <w:tab/>
      </w:r>
    </w:p>
    <w:p w14:paraId="4DA2D8D3" w14:textId="5D1FB62F" w:rsidR="00C700E4" w:rsidRPr="00187D76" w:rsidRDefault="00C700E4" w:rsidP="00187D76">
      <w:pPr>
        <w:pStyle w:val="Sansinterligne"/>
        <w:spacing w:line="240" w:lineRule="auto"/>
        <w:rPr>
          <w:color w:val="000000" w:themeColor="text1"/>
          <w:sz w:val="20"/>
          <w:szCs w:val="20"/>
        </w:rPr>
      </w:pPr>
      <w:r w:rsidRPr="00187D76">
        <w:rPr>
          <w:color w:val="000000" w:themeColor="text1"/>
          <w:sz w:val="20"/>
          <w:szCs w:val="20"/>
        </w:rPr>
        <w:t>-</w:t>
      </w:r>
      <w:r w:rsidRPr="00187D76">
        <w:rPr>
          <w:color w:val="000000" w:themeColor="text1"/>
          <w:sz w:val="20"/>
          <w:szCs w:val="20"/>
        </w:rPr>
        <w:tab/>
        <w:t>il est soutenu que la matière litigieuse relève des attributions soit d</w:t>
      </w:r>
      <w:r w:rsidR="00BB76F1">
        <w:rPr>
          <w:color w:val="000000" w:themeColor="text1"/>
          <w:sz w:val="20"/>
          <w:szCs w:val="20"/>
        </w:rPr>
        <w:t>’</w:t>
      </w:r>
      <w:r w:rsidRPr="00187D76">
        <w:rPr>
          <w:color w:val="000000" w:themeColor="text1"/>
          <w:sz w:val="20"/>
          <w:szCs w:val="20"/>
        </w:rPr>
        <w:t>un autre pouvoir que le pouvoir judiciaire, soit d</w:t>
      </w:r>
      <w:r w:rsidR="00BB76F1">
        <w:rPr>
          <w:color w:val="000000" w:themeColor="text1"/>
          <w:sz w:val="20"/>
          <w:szCs w:val="20"/>
        </w:rPr>
        <w:t>’</w:t>
      </w:r>
      <w:r w:rsidRPr="00187D76">
        <w:rPr>
          <w:color w:val="000000" w:themeColor="text1"/>
          <w:sz w:val="20"/>
          <w:szCs w:val="20"/>
        </w:rPr>
        <w:t>un autre juge que le juge judiciaire (par ex. juridiction administrative, tel le Conseil d</w:t>
      </w:r>
      <w:r w:rsidR="00BB76F1">
        <w:rPr>
          <w:color w:val="000000" w:themeColor="text1"/>
          <w:sz w:val="20"/>
          <w:szCs w:val="20"/>
        </w:rPr>
        <w:t>’</w:t>
      </w:r>
      <w:r w:rsidRPr="00187D76">
        <w:rPr>
          <w:color w:val="000000" w:themeColor="text1"/>
          <w:sz w:val="20"/>
          <w:szCs w:val="20"/>
        </w:rPr>
        <w:t>Etat : le cas typique est celui du référé administratif.</w:t>
      </w:r>
    </w:p>
    <w:p w14:paraId="7B65082A" w14:textId="77777777" w:rsidR="00C700E4" w:rsidRPr="00187D76" w:rsidRDefault="00C700E4" w:rsidP="00187D76">
      <w:pPr>
        <w:pStyle w:val="Sansinterligne"/>
        <w:spacing w:line="240" w:lineRule="auto"/>
        <w:rPr>
          <w:color w:val="000000" w:themeColor="text1"/>
          <w:sz w:val="20"/>
          <w:szCs w:val="20"/>
        </w:rPr>
      </w:pPr>
      <w:r w:rsidRPr="00187D76">
        <w:rPr>
          <w:color w:val="000000" w:themeColor="text1"/>
          <w:sz w:val="20"/>
          <w:szCs w:val="20"/>
        </w:rPr>
        <w:t>-</w:t>
      </w:r>
      <w:r w:rsidRPr="00187D76">
        <w:rPr>
          <w:color w:val="000000" w:themeColor="text1"/>
          <w:sz w:val="20"/>
          <w:szCs w:val="20"/>
        </w:rPr>
        <w:tab/>
        <w:t>il est soutenu que le litige est à soumettre à arbitrage (art. 568, al. 3 ; 590, al. 2 et 1682, CJ) ;</w:t>
      </w:r>
    </w:p>
    <w:p w14:paraId="6DF73A93" w14:textId="5EDC5E24" w:rsidR="00C700E4" w:rsidRPr="00187D76" w:rsidRDefault="00C700E4" w:rsidP="00187D76">
      <w:pPr>
        <w:pStyle w:val="Sansinterligne"/>
        <w:spacing w:line="240" w:lineRule="auto"/>
        <w:rPr>
          <w:color w:val="000000" w:themeColor="text1"/>
          <w:sz w:val="20"/>
          <w:szCs w:val="20"/>
        </w:rPr>
      </w:pPr>
      <w:r w:rsidRPr="00187D76">
        <w:rPr>
          <w:color w:val="000000" w:themeColor="text1"/>
          <w:sz w:val="20"/>
          <w:szCs w:val="20"/>
        </w:rPr>
        <w:t>-</w:t>
      </w:r>
      <w:r w:rsidRPr="00187D76">
        <w:rPr>
          <w:color w:val="000000" w:themeColor="text1"/>
          <w:sz w:val="20"/>
          <w:szCs w:val="20"/>
        </w:rPr>
        <w:tab/>
        <w:t>il est soutenu que le litige ne peut, à raison d</w:t>
      </w:r>
      <w:r w:rsidR="00BB76F1">
        <w:rPr>
          <w:color w:val="000000" w:themeColor="text1"/>
          <w:sz w:val="20"/>
          <w:szCs w:val="20"/>
        </w:rPr>
        <w:t>’</w:t>
      </w:r>
      <w:r w:rsidRPr="00187D76">
        <w:rPr>
          <w:color w:val="000000" w:themeColor="text1"/>
          <w:sz w:val="20"/>
          <w:szCs w:val="20"/>
        </w:rPr>
        <w:t>un élément d</w:t>
      </w:r>
      <w:r w:rsidR="00BB76F1">
        <w:rPr>
          <w:color w:val="000000" w:themeColor="text1"/>
          <w:sz w:val="20"/>
          <w:szCs w:val="20"/>
        </w:rPr>
        <w:t>’</w:t>
      </w:r>
      <w:r w:rsidRPr="00187D76">
        <w:rPr>
          <w:color w:val="000000" w:themeColor="text1"/>
          <w:sz w:val="20"/>
          <w:szCs w:val="20"/>
        </w:rPr>
        <w:t>extranéité, revenir au juge national (voy. principalement le Règlement (CE) 1215/2012 du 1 décembre 2012 concernant la compétence judiciaire, la reconnaissance et l</w:t>
      </w:r>
      <w:r w:rsidR="00BB76F1">
        <w:rPr>
          <w:color w:val="000000" w:themeColor="text1"/>
          <w:sz w:val="20"/>
          <w:szCs w:val="20"/>
        </w:rPr>
        <w:t>’</w:t>
      </w:r>
      <w:r w:rsidRPr="00187D76">
        <w:rPr>
          <w:color w:val="000000" w:themeColor="text1"/>
          <w:sz w:val="20"/>
          <w:szCs w:val="20"/>
        </w:rPr>
        <w:t>exécution des décisions en matière civile et commerciale (dit « Règlement Bruxelles I</w:t>
      </w:r>
      <w:r w:rsidRPr="00187D76">
        <w:rPr>
          <w:i/>
          <w:color w:val="000000" w:themeColor="text1"/>
          <w:sz w:val="20"/>
          <w:szCs w:val="20"/>
        </w:rPr>
        <w:t>bis</w:t>
      </w:r>
      <w:r w:rsidRPr="00187D76">
        <w:rPr>
          <w:color w:val="000000" w:themeColor="text1"/>
          <w:sz w:val="20"/>
          <w:szCs w:val="20"/>
        </w:rPr>
        <w:t xml:space="preserve"> » (vig. 10 janvier 2015, ici spéc. art. 26-28 ; </w:t>
      </w:r>
      <w:r w:rsidRPr="00187D76">
        <w:rPr>
          <w:i/>
          <w:color w:val="000000" w:themeColor="text1"/>
          <w:sz w:val="20"/>
          <w:szCs w:val="20"/>
        </w:rPr>
        <w:t>adde</w:t>
      </w:r>
      <w:r w:rsidRPr="00187D76">
        <w:rPr>
          <w:color w:val="000000" w:themeColor="text1"/>
          <w:sz w:val="20"/>
          <w:szCs w:val="20"/>
        </w:rPr>
        <w:t xml:space="preserve"> le Règlement (CE) 2201/2003 du Conseil du 27 novembre 2003 relatif à la compétence, la reconnaissance et l</w:t>
      </w:r>
      <w:r w:rsidR="00BB76F1">
        <w:rPr>
          <w:color w:val="000000" w:themeColor="text1"/>
          <w:sz w:val="20"/>
          <w:szCs w:val="20"/>
        </w:rPr>
        <w:t>’</w:t>
      </w:r>
      <w:r w:rsidRPr="00187D76">
        <w:rPr>
          <w:color w:val="000000" w:themeColor="text1"/>
          <w:sz w:val="20"/>
          <w:szCs w:val="20"/>
        </w:rPr>
        <w:t>exécution des décisions en matière matrimoniale et en matière de responsabilité parentale (dit « Règlement Bruxelles II</w:t>
      </w:r>
      <w:r w:rsidRPr="00187D76">
        <w:rPr>
          <w:i/>
          <w:color w:val="000000" w:themeColor="text1"/>
          <w:sz w:val="20"/>
          <w:szCs w:val="20"/>
        </w:rPr>
        <w:t>bis</w:t>
      </w:r>
      <w:r w:rsidRPr="00187D76">
        <w:rPr>
          <w:color w:val="000000" w:themeColor="text1"/>
          <w:sz w:val="20"/>
          <w:szCs w:val="20"/>
        </w:rPr>
        <w:t>), ici spéc. art. 17).</w:t>
      </w:r>
    </w:p>
  </w:footnote>
  <w:footnote w:id="49">
    <w:p w14:paraId="408F1B67" w14:textId="77777777" w:rsidR="00C700E4" w:rsidRPr="00187D76" w:rsidRDefault="00C700E4"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J. </w:t>
      </w:r>
      <w:r w:rsidRPr="00187D76">
        <w:rPr>
          <w:smallCaps/>
          <w:color w:val="000000" w:themeColor="text1"/>
          <w:sz w:val="20"/>
          <w:szCs w:val="20"/>
        </w:rPr>
        <w:t>Englebert &amp; X. Taton</w:t>
      </w:r>
      <w:r w:rsidRPr="00187D76">
        <w:rPr>
          <w:color w:val="000000" w:themeColor="text1"/>
          <w:sz w:val="20"/>
          <w:szCs w:val="20"/>
        </w:rPr>
        <w:t xml:space="preserve">, </w:t>
      </w:r>
      <w:r w:rsidRPr="00187D76">
        <w:rPr>
          <w:i/>
          <w:color w:val="000000" w:themeColor="text1"/>
          <w:sz w:val="20"/>
          <w:szCs w:val="20"/>
        </w:rPr>
        <w:t>Droit du procès civil</w:t>
      </w:r>
      <w:r w:rsidRPr="00187D76">
        <w:rPr>
          <w:color w:val="000000" w:themeColor="text1"/>
          <w:sz w:val="20"/>
          <w:szCs w:val="20"/>
        </w:rPr>
        <w:t>, vol. 1, Bruxelles, Anthémis, 2018, p. 215.</w:t>
      </w:r>
    </w:p>
  </w:footnote>
  <w:footnote w:id="50">
    <w:p w14:paraId="4D1B1DF3" w14:textId="22FFF4D4" w:rsidR="00C700E4" w:rsidRPr="00187D76" w:rsidRDefault="00C700E4"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00821EE1" w:rsidRPr="00187D76">
        <w:rPr>
          <w:i/>
          <w:iCs/>
          <w:color w:val="000000" w:themeColor="text1"/>
          <w:sz w:val="20"/>
          <w:szCs w:val="20"/>
        </w:rPr>
        <w:t>Ibid.</w:t>
      </w:r>
    </w:p>
  </w:footnote>
  <w:footnote w:id="51">
    <w:p w14:paraId="1D1EAD7B" w14:textId="3971B620" w:rsidR="007B7FA7" w:rsidRPr="00187D76" w:rsidRDefault="007B7FA7" w:rsidP="00187D76">
      <w:pPr>
        <w:jc w:val="both"/>
        <w:rPr>
          <w:sz w:val="20"/>
          <w:szCs w:val="20"/>
        </w:rPr>
      </w:pPr>
      <w:r w:rsidRPr="00187D76">
        <w:rPr>
          <w:rStyle w:val="Appelnotedebasdep"/>
          <w:sz w:val="20"/>
          <w:szCs w:val="20"/>
        </w:rPr>
        <w:footnoteRef/>
      </w:r>
      <w:r w:rsidRPr="00187D76">
        <w:rPr>
          <w:sz w:val="20"/>
          <w:szCs w:val="20"/>
        </w:rPr>
        <w:t xml:space="preserve"> </w:t>
      </w:r>
      <w:r w:rsidRPr="00187D76">
        <w:rPr>
          <w:sz w:val="20"/>
          <w:szCs w:val="20"/>
          <w:lang w:val="fr-FR"/>
        </w:rPr>
        <w:t xml:space="preserve">G. </w:t>
      </w:r>
      <w:r w:rsidRPr="00187D76">
        <w:rPr>
          <w:smallCaps/>
          <w:sz w:val="20"/>
          <w:szCs w:val="20"/>
          <w:lang w:val="fr-FR"/>
        </w:rPr>
        <w:t>Closset-Marchal, « D</w:t>
      </w:r>
      <w:r w:rsidRPr="00187D76">
        <w:rPr>
          <w:sz w:val="20"/>
          <w:szCs w:val="20"/>
          <w:lang w:val="fr-FR"/>
        </w:rPr>
        <w:t xml:space="preserve">éclinatoires </w:t>
      </w:r>
      <w:r w:rsidR="000B25D7" w:rsidRPr="00187D76">
        <w:rPr>
          <w:sz w:val="20"/>
          <w:szCs w:val="20"/>
          <w:lang w:val="fr-FR"/>
        </w:rPr>
        <w:t>et exceptions assimilées »,</w:t>
      </w:r>
      <w:r w:rsidR="00BE4E2A" w:rsidRPr="00187D76">
        <w:rPr>
          <w:sz w:val="20"/>
          <w:szCs w:val="20"/>
          <w:lang w:val="fr-FR"/>
        </w:rPr>
        <w:t xml:space="preserve"> </w:t>
      </w:r>
      <w:r w:rsidR="00BE4E2A" w:rsidRPr="00187D76">
        <w:rPr>
          <w:color w:val="000000"/>
          <w:sz w:val="20"/>
          <w:szCs w:val="20"/>
          <w:shd w:val="clear" w:color="auto" w:fill="FFFFFF"/>
        </w:rPr>
        <w:t>in</w:t>
      </w:r>
      <w:r w:rsidR="00BE4E2A" w:rsidRPr="00187D76">
        <w:rPr>
          <w:rStyle w:val="apple-converted-space"/>
          <w:color w:val="000000"/>
          <w:sz w:val="20"/>
          <w:szCs w:val="20"/>
          <w:shd w:val="clear" w:color="auto" w:fill="FFFFFF"/>
        </w:rPr>
        <w:t> </w:t>
      </w:r>
      <w:r w:rsidR="00BE4E2A" w:rsidRPr="00187D76">
        <w:rPr>
          <w:i/>
          <w:iCs/>
          <w:color w:val="000000"/>
          <w:sz w:val="20"/>
          <w:szCs w:val="20"/>
        </w:rPr>
        <w:t>Les défenses en droit judiciaire</w:t>
      </w:r>
      <w:r w:rsidR="00BE4E2A" w:rsidRPr="00187D76">
        <w:rPr>
          <w:color w:val="000000"/>
          <w:sz w:val="20"/>
          <w:szCs w:val="20"/>
          <w:shd w:val="clear" w:color="auto" w:fill="FFFFFF"/>
        </w:rPr>
        <w:t>, 1</w:t>
      </w:r>
      <w:r w:rsidR="00BE4E2A" w:rsidRPr="00187D76">
        <w:rPr>
          <w:color w:val="000000"/>
          <w:sz w:val="20"/>
          <w:szCs w:val="20"/>
          <w:vertAlign w:val="superscript"/>
        </w:rPr>
        <w:t>e</w:t>
      </w:r>
      <w:r w:rsidR="00BE4E2A" w:rsidRPr="00187D76">
        <w:rPr>
          <w:rStyle w:val="apple-converted-space"/>
          <w:color w:val="000000"/>
          <w:sz w:val="20"/>
          <w:szCs w:val="20"/>
          <w:shd w:val="clear" w:color="auto" w:fill="FFFFFF"/>
        </w:rPr>
        <w:t> </w:t>
      </w:r>
      <w:r w:rsidR="00BE4E2A" w:rsidRPr="00187D76">
        <w:rPr>
          <w:color w:val="000000"/>
          <w:sz w:val="20"/>
          <w:szCs w:val="20"/>
          <w:shd w:val="clear" w:color="auto" w:fill="FFFFFF"/>
        </w:rPr>
        <w:t xml:space="preserve">édition, Bruxelles, Larcier, 2010, </w:t>
      </w:r>
      <w:r w:rsidR="002939C6" w:rsidRPr="00187D76">
        <w:rPr>
          <w:sz w:val="20"/>
          <w:szCs w:val="20"/>
          <w:lang w:val="fr-FR"/>
        </w:rPr>
        <w:t>p. 6</w:t>
      </w:r>
      <w:r w:rsidR="007B2DB1" w:rsidRPr="00187D76">
        <w:rPr>
          <w:sz w:val="20"/>
          <w:szCs w:val="20"/>
          <w:lang w:val="fr-FR"/>
        </w:rPr>
        <w:t>3</w:t>
      </w:r>
      <w:r w:rsidR="002939C6" w:rsidRPr="00187D76">
        <w:rPr>
          <w:sz w:val="20"/>
          <w:szCs w:val="20"/>
          <w:lang w:val="fr-FR"/>
        </w:rPr>
        <w:t>.</w:t>
      </w:r>
    </w:p>
  </w:footnote>
  <w:footnote w:id="52">
    <w:p w14:paraId="0D859C06" w14:textId="01DDB7CE" w:rsidR="00610A84" w:rsidRPr="00187D76" w:rsidRDefault="00610A84" w:rsidP="00187D76">
      <w:pPr>
        <w:pStyle w:val="Notedebasdepage"/>
        <w:jc w:val="both"/>
        <w:rPr>
          <w:lang w:val="fr-FR"/>
        </w:rPr>
      </w:pPr>
      <w:r w:rsidRPr="00187D76">
        <w:rPr>
          <w:rStyle w:val="Appelnotedebasdep"/>
        </w:rPr>
        <w:footnoteRef/>
      </w:r>
      <w:r w:rsidRPr="00187D76">
        <w:t xml:space="preserve"> </w:t>
      </w:r>
      <w:r w:rsidR="00E069E7" w:rsidRPr="00187D76">
        <w:t xml:space="preserve">Voy. </w:t>
      </w:r>
      <w:r w:rsidRPr="00187D76">
        <w:rPr>
          <w:smallCaps/>
          <w:color w:val="000000" w:themeColor="text1"/>
        </w:rPr>
        <w:t>H. Boularbah</w:t>
      </w:r>
      <w:r w:rsidRPr="00187D76">
        <w:rPr>
          <w:color w:val="000000" w:themeColor="text1"/>
        </w:rPr>
        <w:t xml:space="preserve">, « Le jugement statuant sur un déclinatoire de juridiction des cours et tribunaux belges est-il une décision rendue sur la compétence au sens des articles 1050 et 1055 du Code judiciaire ? », </w:t>
      </w:r>
      <w:r w:rsidRPr="00187D76">
        <w:rPr>
          <w:i/>
          <w:iCs/>
          <w:color w:val="000000" w:themeColor="text1"/>
        </w:rPr>
        <w:t>JT</w:t>
      </w:r>
      <w:r w:rsidRPr="00187D76">
        <w:rPr>
          <w:color w:val="000000" w:themeColor="text1"/>
        </w:rPr>
        <w:t>, 2003, p. 8.</w:t>
      </w:r>
    </w:p>
  </w:footnote>
  <w:footnote w:id="53">
    <w:p w14:paraId="0333182F" w14:textId="6234E4E3" w:rsidR="00583DB8" w:rsidRPr="00187D76" w:rsidRDefault="00583DB8" w:rsidP="00187D76">
      <w:pPr>
        <w:pStyle w:val="Notedebasdepage"/>
        <w:jc w:val="both"/>
        <w:rPr>
          <w:lang w:val="fr-FR"/>
        </w:rPr>
      </w:pPr>
      <w:r w:rsidRPr="00187D76">
        <w:rPr>
          <w:rStyle w:val="Appelnotedebasdep"/>
        </w:rPr>
        <w:footnoteRef/>
      </w:r>
      <w:r w:rsidRPr="00187D76">
        <w:t xml:space="preserve"> </w:t>
      </w:r>
      <w:r w:rsidRPr="00187D76">
        <w:rPr>
          <w:lang w:val="fr-FR"/>
        </w:rPr>
        <w:t xml:space="preserve">G. </w:t>
      </w:r>
      <w:r w:rsidRPr="00187D76">
        <w:rPr>
          <w:smallCaps/>
          <w:lang w:val="fr-FR"/>
        </w:rPr>
        <w:t>Closset-Marchal, « D</w:t>
      </w:r>
      <w:r w:rsidRPr="00187D76">
        <w:rPr>
          <w:lang w:val="fr-FR"/>
        </w:rPr>
        <w:t>éclinatoires et exceptions assimilées »,</w:t>
      </w:r>
      <w:r w:rsidR="00BE274B" w:rsidRPr="00187D76">
        <w:rPr>
          <w:lang w:val="fr-FR"/>
        </w:rPr>
        <w:t xml:space="preserve"> </w:t>
      </w:r>
      <w:r w:rsidR="00BE274B" w:rsidRPr="00187D76">
        <w:rPr>
          <w:color w:val="000000"/>
          <w:shd w:val="clear" w:color="auto" w:fill="FFFFFF"/>
        </w:rPr>
        <w:t>in</w:t>
      </w:r>
      <w:r w:rsidR="00BE274B" w:rsidRPr="00187D76">
        <w:rPr>
          <w:rStyle w:val="apple-converted-space"/>
          <w:color w:val="000000"/>
          <w:shd w:val="clear" w:color="auto" w:fill="FFFFFF"/>
        </w:rPr>
        <w:t> </w:t>
      </w:r>
      <w:r w:rsidR="00BE274B" w:rsidRPr="00187D76">
        <w:rPr>
          <w:i/>
          <w:iCs/>
          <w:color w:val="000000"/>
        </w:rPr>
        <w:t>Les défenses en droit judiciaire</w:t>
      </w:r>
      <w:r w:rsidR="00BE274B" w:rsidRPr="00187D76">
        <w:rPr>
          <w:color w:val="000000"/>
          <w:shd w:val="clear" w:color="auto" w:fill="FFFFFF"/>
        </w:rPr>
        <w:t>, 1</w:t>
      </w:r>
      <w:r w:rsidR="00BE274B" w:rsidRPr="00187D76">
        <w:rPr>
          <w:color w:val="000000"/>
          <w:vertAlign w:val="superscript"/>
        </w:rPr>
        <w:t>e</w:t>
      </w:r>
      <w:r w:rsidR="00BE274B" w:rsidRPr="00187D76">
        <w:rPr>
          <w:rStyle w:val="apple-converted-space"/>
          <w:color w:val="000000"/>
          <w:shd w:val="clear" w:color="auto" w:fill="FFFFFF"/>
        </w:rPr>
        <w:t> </w:t>
      </w:r>
      <w:r w:rsidR="00BE274B" w:rsidRPr="00187D76">
        <w:rPr>
          <w:color w:val="000000"/>
          <w:shd w:val="clear" w:color="auto" w:fill="FFFFFF"/>
        </w:rPr>
        <w:t xml:space="preserve">édition, Bruxelles, Larcier, 2010, </w:t>
      </w:r>
      <w:r w:rsidRPr="00187D76">
        <w:rPr>
          <w:lang w:val="fr-FR"/>
        </w:rPr>
        <w:t>p. 6</w:t>
      </w:r>
      <w:r w:rsidR="00A43A0D" w:rsidRPr="00187D76">
        <w:rPr>
          <w:lang w:val="fr-FR"/>
        </w:rPr>
        <w:t>4.</w:t>
      </w:r>
    </w:p>
  </w:footnote>
  <w:footnote w:id="54">
    <w:p w14:paraId="418A082A" w14:textId="5C9CABE5" w:rsidR="00822E87" w:rsidRPr="00187D76" w:rsidRDefault="00822E87" w:rsidP="00187D76">
      <w:pPr>
        <w:pStyle w:val="Notedebasdepage"/>
        <w:jc w:val="both"/>
        <w:rPr>
          <w:color w:val="000000" w:themeColor="text1"/>
          <w:lang w:val="fr-FR"/>
        </w:rPr>
      </w:pPr>
      <w:r w:rsidRPr="00187D76">
        <w:rPr>
          <w:rStyle w:val="Appelnotedebasdep"/>
          <w:color w:val="000000" w:themeColor="text1"/>
          <w:lang w:val="fr-FR"/>
        </w:rPr>
        <w:footnoteRef/>
      </w:r>
      <w:r w:rsidRPr="00187D76">
        <w:rPr>
          <w:color w:val="000000" w:themeColor="text1"/>
          <w:lang w:val="fr-FR"/>
        </w:rPr>
        <w:t xml:space="preserve"> En cas de non-respect de l</w:t>
      </w:r>
      <w:r w:rsidR="00BB76F1">
        <w:rPr>
          <w:color w:val="000000" w:themeColor="text1"/>
          <w:lang w:val="fr-FR"/>
        </w:rPr>
        <w:t>’</w:t>
      </w:r>
      <w:r w:rsidRPr="00187D76">
        <w:rPr>
          <w:color w:val="000000" w:themeColor="text1"/>
          <w:lang w:val="fr-FR"/>
        </w:rPr>
        <w:t>article 855</w:t>
      </w:r>
      <w:r w:rsidR="00DD0D67" w:rsidRPr="00187D76">
        <w:rPr>
          <w:color w:val="000000" w:themeColor="text1"/>
          <w:lang w:val="fr-FR"/>
        </w:rPr>
        <w:t xml:space="preserve"> du Code judiciaire</w:t>
      </w:r>
      <w:r w:rsidRPr="00187D76">
        <w:rPr>
          <w:color w:val="000000" w:themeColor="text1"/>
          <w:lang w:val="fr-FR"/>
        </w:rPr>
        <w:t>, le déclinatoire n</w:t>
      </w:r>
      <w:r w:rsidR="00BB76F1">
        <w:rPr>
          <w:color w:val="000000" w:themeColor="text1"/>
          <w:lang w:val="fr-FR"/>
        </w:rPr>
        <w:t>’</w:t>
      </w:r>
      <w:r w:rsidRPr="00187D76">
        <w:rPr>
          <w:color w:val="000000" w:themeColor="text1"/>
          <w:lang w:val="fr-FR"/>
        </w:rPr>
        <w:t xml:space="preserve">est pas recevable : Com. Hainaut (div. Mons), 13 mai 2014, </w:t>
      </w:r>
      <w:r w:rsidRPr="00187D76">
        <w:rPr>
          <w:i/>
          <w:color w:val="000000" w:themeColor="text1"/>
          <w:lang w:val="fr-FR"/>
        </w:rPr>
        <w:t>J.T</w:t>
      </w:r>
      <w:r w:rsidRPr="00187D76">
        <w:rPr>
          <w:color w:val="000000" w:themeColor="text1"/>
          <w:lang w:val="fr-FR"/>
        </w:rPr>
        <w:t>., 2014, p. 433.</w:t>
      </w:r>
    </w:p>
  </w:footnote>
  <w:footnote w:id="55">
    <w:p w14:paraId="2820615A" w14:textId="292428AE" w:rsidR="0092042F" w:rsidRPr="00187D76" w:rsidRDefault="0092042F" w:rsidP="00187D76">
      <w:pPr>
        <w:jc w:val="both"/>
        <w:rPr>
          <w:color w:val="000000" w:themeColor="text1"/>
          <w:sz w:val="20"/>
          <w:szCs w:val="20"/>
          <w:lang w:val="fr-FR"/>
        </w:rPr>
      </w:pPr>
      <w:r w:rsidRPr="00187D76">
        <w:rPr>
          <w:rStyle w:val="Appelnotedebasdep"/>
          <w:sz w:val="20"/>
          <w:szCs w:val="20"/>
        </w:rPr>
        <w:footnoteRef/>
      </w:r>
      <w:r w:rsidRPr="00187D76">
        <w:rPr>
          <w:sz w:val="20"/>
          <w:szCs w:val="20"/>
        </w:rPr>
        <w:t xml:space="preserve"> </w:t>
      </w:r>
      <w:r w:rsidR="007F0F8D" w:rsidRPr="00187D76">
        <w:rPr>
          <w:color w:val="000000" w:themeColor="text1"/>
          <w:sz w:val="20"/>
          <w:szCs w:val="20"/>
          <w:lang w:val="fr-FR"/>
        </w:rPr>
        <w:t>A</w:t>
      </w:r>
      <w:r w:rsidRPr="00187D76">
        <w:rPr>
          <w:color w:val="000000" w:themeColor="text1"/>
          <w:sz w:val="20"/>
          <w:szCs w:val="20"/>
          <w:lang w:val="fr-FR"/>
        </w:rPr>
        <w:t>rticle 640 du Code judiciaire</w:t>
      </w:r>
      <w:r w:rsidR="0091021C" w:rsidRPr="00187D76">
        <w:rPr>
          <w:color w:val="000000" w:themeColor="text1"/>
          <w:sz w:val="20"/>
          <w:szCs w:val="20"/>
          <w:lang w:val="fr-FR"/>
        </w:rPr>
        <w:t>.</w:t>
      </w:r>
    </w:p>
  </w:footnote>
  <w:footnote w:id="56">
    <w:p w14:paraId="57303F0F" w14:textId="2539F14C" w:rsidR="00781286" w:rsidRPr="00187D76" w:rsidRDefault="00781286"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A. </w:t>
      </w:r>
      <w:r w:rsidRPr="00187D76">
        <w:rPr>
          <w:smallCaps/>
          <w:color w:val="000000" w:themeColor="text1"/>
          <w:sz w:val="20"/>
          <w:szCs w:val="20"/>
        </w:rPr>
        <w:t>Fettweis</w:t>
      </w:r>
      <w:r w:rsidRPr="00187D76">
        <w:rPr>
          <w:color w:val="000000" w:themeColor="text1"/>
          <w:sz w:val="20"/>
          <w:szCs w:val="20"/>
        </w:rPr>
        <w:t>, « Précis de droit judiciaire »,</w:t>
      </w:r>
      <w:r w:rsidR="006641E8" w:rsidRPr="00187D76">
        <w:rPr>
          <w:color w:val="000000" w:themeColor="text1"/>
          <w:sz w:val="20"/>
          <w:szCs w:val="20"/>
        </w:rPr>
        <w:t xml:space="preserve"> Larcier, 1971,</w:t>
      </w:r>
      <w:r w:rsidRPr="00187D76">
        <w:rPr>
          <w:color w:val="000000" w:themeColor="text1"/>
          <w:sz w:val="20"/>
          <w:szCs w:val="20"/>
        </w:rPr>
        <w:t xml:space="preserve"> p. 46.</w:t>
      </w:r>
    </w:p>
  </w:footnote>
  <w:footnote w:id="57">
    <w:p w14:paraId="0C7B24D0" w14:textId="11F0E1E7" w:rsidR="00CE67BB" w:rsidRPr="00187D76" w:rsidRDefault="00CE67BB" w:rsidP="00187D76">
      <w:pPr>
        <w:pStyle w:val="Notedebasdepage"/>
        <w:jc w:val="both"/>
        <w:rPr>
          <w:lang w:val="fr-FR"/>
        </w:rPr>
      </w:pPr>
      <w:r w:rsidRPr="00187D76">
        <w:rPr>
          <w:rStyle w:val="Appelnotedebasdep"/>
        </w:rPr>
        <w:footnoteRef/>
      </w:r>
      <w:r w:rsidRPr="00187D76">
        <w:t xml:space="preserve"> </w:t>
      </w:r>
      <w:r w:rsidRPr="00187D76">
        <w:rPr>
          <w:lang w:val="fr-FR"/>
        </w:rPr>
        <w:t xml:space="preserve">G. </w:t>
      </w:r>
      <w:r w:rsidRPr="00187D76">
        <w:rPr>
          <w:smallCaps/>
          <w:lang w:val="fr-FR"/>
        </w:rPr>
        <w:t>Closset-Marchal, « D</w:t>
      </w:r>
      <w:r w:rsidRPr="00187D76">
        <w:rPr>
          <w:lang w:val="fr-FR"/>
        </w:rPr>
        <w:t xml:space="preserve">éclinatoires et exceptions assimilées », </w:t>
      </w:r>
      <w:r w:rsidR="00BE274B" w:rsidRPr="00187D76">
        <w:rPr>
          <w:color w:val="000000"/>
          <w:shd w:val="clear" w:color="auto" w:fill="FFFFFF"/>
        </w:rPr>
        <w:t>in</w:t>
      </w:r>
      <w:r w:rsidR="00BE274B" w:rsidRPr="00187D76">
        <w:rPr>
          <w:rStyle w:val="apple-converted-space"/>
          <w:color w:val="000000"/>
          <w:shd w:val="clear" w:color="auto" w:fill="FFFFFF"/>
        </w:rPr>
        <w:t> </w:t>
      </w:r>
      <w:r w:rsidR="00BE274B" w:rsidRPr="00187D76">
        <w:rPr>
          <w:i/>
          <w:iCs/>
          <w:color w:val="000000"/>
        </w:rPr>
        <w:t>Les défenses en droit judiciaire</w:t>
      </w:r>
      <w:r w:rsidR="00BE274B" w:rsidRPr="00187D76">
        <w:rPr>
          <w:color w:val="000000"/>
          <w:shd w:val="clear" w:color="auto" w:fill="FFFFFF"/>
        </w:rPr>
        <w:t>, 1</w:t>
      </w:r>
      <w:r w:rsidR="00BE274B" w:rsidRPr="00187D76">
        <w:rPr>
          <w:color w:val="000000"/>
          <w:vertAlign w:val="superscript"/>
        </w:rPr>
        <w:t>e</w:t>
      </w:r>
      <w:r w:rsidR="00BE274B" w:rsidRPr="00187D76">
        <w:rPr>
          <w:rStyle w:val="apple-converted-space"/>
          <w:color w:val="000000"/>
          <w:shd w:val="clear" w:color="auto" w:fill="FFFFFF"/>
        </w:rPr>
        <w:t> </w:t>
      </w:r>
      <w:r w:rsidR="00BE274B" w:rsidRPr="00187D76">
        <w:rPr>
          <w:color w:val="000000"/>
          <w:shd w:val="clear" w:color="auto" w:fill="FFFFFF"/>
        </w:rPr>
        <w:t xml:space="preserve">édition, Bruxelles, Larcier, 2010, </w:t>
      </w:r>
      <w:r w:rsidRPr="00187D76">
        <w:rPr>
          <w:lang w:val="fr-FR"/>
        </w:rPr>
        <w:t>p. 70.</w:t>
      </w:r>
    </w:p>
  </w:footnote>
  <w:footnote w:id="58">
    <w:p w14:paraId="2458E3D2" w14:textId="08CE1D22" w:rsidR="00C700E4" w:rsidRPr="00187D76" w:rsidRDefault="00C700E4"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color w:val="000000" w:themeColor="text1"/>
          <w:sz w:val="20"/>
          <w:szCs w:val="20"/>
          <w:lang w:val="fr-LU" w:eastAsia="fr-FR"/>
        </w:rPr>
        <w:t>L. </w:t>
      </w:r>
      <w:r w:rsidR="00A442B4" w:rsidRPr="00187D76">
        <w:rPr>
          <w:smallCaps/>
          <w:color w:val="000000" w:themeColor="text1"/>
          <w:sz w:val="20"/>
          <w:szCs w:val="20"/>
          <w:lang w:eastAsia="fr-FR"/>
        </w:rPr>
        <w:t>Cadiet</w:t>
      </w:r>
      <w:r w:rsidR="00A442B4" w:rsidRPr="00187D76">
        <w:rPr>
          <w:color w:val="000000" w:themeColor="text1"/>
          <w:sz w:val="20"/>
          <w:szCs w:val="20"/>
          <w:lang w:eastAsia="fr-FR"/>
        </w:rPr>
        <w:t xml:space="preserve"> &amp; E. </w:t>
      </w:r>
      <w:r w:rsidR="00A442B4" w:rsidRPr="00187D76">
        <w:rPr>
          <w:smallCaps/>
          <w:color w:val="000000" w:themeColor="text1"/>
          <w:sz w:val="20"/>
          <w:szCs w:val="20"/>
          <w:lang w:eastAsia="fr-FR"/>
        </w:rPr>
        <w:t>Jeuland</w:t>
      </w:r>
      <w:r w:rsidRPr="00187D76">
        <w:rPr>
          <w:color w:val="000000" w:themeColor="text1"/>
          <w:sz w:val="20"/>
          <w:szCs w:val="20"/>
          <w:lang w:val="fr-LU" w:eastAsia="fr-FR"/>
        </w:rPr>
        <w:t xml:space="preserve">, </w:t>
      </w:r>
      <w:r w:rsidRPr="00187D76">
        <w:rPr>
          <w:i/>
          <w:iCs/>
          <w:color w:val="000000" w:themeColor="text1"/>
          <w:sz w:val="20"/>
          <w:szCs w:val="20"/>
          <w:lang w:val="fr-LU" w:eastAsia="fr-FR"/>
        </w:rPr>
        <w:t>Droit judiciaire privé</w:t>
      </w:r>
      <w:r w:rsidRPr="00187D76">
        <w:rPr>
          <w:color w:val="000000" w:themeColor="text1"/>
          <w:sz w:val="20"/>
          <w:szCs w:val="20"/>
          <w:lang w:val="fr-LU" w:eastAsia="fr-FR"/>
        </w:rPr>
        <w:t>, 1</w:t>
      </w:r>
      <w:r w:rsidRPr="00187D76">
        <w:rPr>
          <w:color w:val="000000" w:themeColor="text1"/>
          <w:sz w:val="20"/>
          <w:szCs w:val="20"/>
          <w:lang w:eastAsia="fr-FR"/>
        </w:rPr>
        <w:t>0</w:t>
      </w:r>
      <w:r w:rsidR="00F0632E" w:rsidRPr="00187D76">
        <w:rPr>
          <w:color w:val="000000" w:themeColor="text1"/>
          <w:sz w:val="20"/>
          <w:szCs w:val="20"/>
          <w:vertAlign w:val="superscript"/>
          <w:lang w:eastAsia="fr-FR"/>
        </w:rPr>
        <w:t>ème</w:t>
      </w:r>
      <w:r w:rsidR="00F0632E" w:rsidRPr="00187D76">
        <w:rPr>
          <w:color w:val="000000" w:themeColor="text1"/>
          <w:sz w:val="20"/>
          <w:szCs w:val="20"/>
          <w:lang w:eastAsia="fr-FR"/>
        </w:rPr>
        <w:t xml:space="preserve"> </w:t>
      </w:r>
      <w:r w:rsidRPr="00187D76">
        <w:rPr>
          <w:color w:val="000000" w:themeColor="text1"/>
          <w:sz w:val="20"/>
          <w:szCs w:val="20"/>
          <w:lang w:val="fr-LU" w:eastAsia="fr-FR"/>
        </w:rPr>
        <w:t xml:space="preserve">éd., 2017, LexisNexis, </w:t>
      </w:r>
      <w:r w:rsidRPr="00187D76">
        <w:rPr>
          <w:color w:val="000000" w:themeColor="text1"/>
          <w:sz w:val="20"/>
          <w:szCs w:val="20"/>
          <w:lang w:eastAsia="fr-FR"/>
        </w:rPr>
        <w:t>n°</w:t>
      </w:r>
      <w:r w:rsidRPr="00187D76">
        <w:rPr>
          <w:color w:val="000000" w:themeColor="text1"/>
          <w:sz w:val="20"/>
          <w:szCs w:val="20"/>
          <w:lang w:val="fr-LU" w:eastAsia="fr-FR"/>
        </w:rPr>
        <w:t>445</w:t>
      </w:r>
      <w:r w:rsidRPr="00187D76">
        <w:rPr>
          <w:color w:val="000000" w:themeColor="text1"/>
          <w:sz w:val="20"/>
          <w:szCs w:val="20"/>
          <w:lang w:eastAsia="fr-FR"/>
        </w:rPr>
        <w:t>.</w:t>
      </w:r>
    </w:p>
  </w:footnote>
  <w:footnote w:id="59">
    <w:p w14:paraId="6519C4BA" w14:textId="74AB25DB" w:rsidR="00AE2F20" w:rsidRPr="00187D76" w:rsidRDefault="00AE2F20" w:rsidP="00187D76">
      <w:pPr>
        <w:jc w:val="both"/>
        <w:rPr>
          <w:sz w:val="20"/>
          <w:szCs w:val="20"/>
        </w:rPr>
      </w:pPr>
      <w:r w:rsidRPr="00187D76">
        <w:rPr>
          <w:rStyle w:val="Appelnotedebasdep"/>
          <w:sz w:val="20"/>
          <w:szCs w:val="20"/>
        </w:rPr>
        <w:footnoteRef/>
      </w:r>
      <w:r w:rsidRPr="00187D76">
        <w:rPr>
          <w:sz w:val="20"/>
          <w:szCs w:val="20"/>
        </w:rPr>
        <w:t xml:space="preserve"> Article 123 CPC FR : « </w:t>
      </w:r>
      <w:r w:rsidRPr="00187D76">
        <w:rPr>
          <w:color w:val="000000"/>
          <w:sz w:val="20"/>
          <w:szCs w:val="20"/>
          <w:shd w:val="clear" w:color="auto" w:fill="FFFFFF"/>
        </w:rPr>
        <w:t>Les fins de non-recevoir peuvent être proposées en tout état de cause, à moins qu</w:t>
      </w:r>
      <w:r w:rsidR="00BB76F1">
        <w:rPr>
          <w:color w:val="000000"/>
          <w:sz w:val="20"/>
          <w:szCs w:val="20"/>
          <w:shd w:val="clear" w:color="auto" w:fill="FFFFFF"/>
        </w:rPr>
        <w:t>’</w:t>
      </w:r>
      <w:r w:rsidRPr="00187D76">
        <w:rPr>
          <w:color w:val="000000"/>
          <w:sz w:val="20"/>
          <w:szCs w:val="20"/>
          <w:shd w:val="clear" w:color="auto" w:fill="FFFFFF"/>
        </w:rPr>
        <w:t xml:space="preserve">il en soit disposé autrement et sauf la possibilité pour le juge de condamner à des dommages-intérêts ceux qui se seraient abstenus, dans une intention dilatoire, de les soulever plus tôt ». </w:t>
      </w:r>
    </w:p>
  </w:footnote>
  <w:footnote w:id="60">
    <w:p w14:paraId="6D332482" w14:textId="44A5E319" w:rsidR="00F249E2" w:rsidRPr="00187D76" w:rsidRDefault="00F249E2" w:rsidP="00187D76">
      <w:pPr>
        <w:pStyle w:val="Notedebasdepage"/>
        <w:jc w:val="both"/>
        <w:rPr>
          <w:lang w:val="fr-FR"/>
        </w:rPr>
      </w:pPr>
      <w:r w:rsidRPr="00187D76">
        <w:rPr>
          <w:rStyle w:val="Appelnotedebasdep"/>
        </w:rPr>
        <w:footnoteRef/>
      </w:r>
      <w:r w:rsidRPr="00187D76">
        <w:t xml:space="preserve"> </w:t>
      </w:r>
      <w:r w:rsidRPr="00187D76">
        <w:rPr>
          <w:color w:val="000000" w:themeColor="text1"/>
        </w:rPr>
        <w:t xml:space="preserve">S. </w:t>
      </w:r>
      <w:r w:rsidRPr="00187D76">
        <w:rPr>
          <w:smallCaps/>
          <w:color w:val="000000" w:themeColor="text1"/>
        </w:rPr>
        <w:t>Guinchard</w:t>
      </w:r>
      <w:r w:rsidRPr="00187D76">
        <w:rPr>
          <w:color w:val="000000" w:themeColor="text1"/>
        </w:rPr>
        <w:t xml:space="preserve">, « Fins de non-recevoir », </w:t>
      </w:r>
      <w:r w:rsidRPr="00187D76">
        <w:rPr>
          <w:i/>
          <w:iCs/>
          <w:color w:val="000000" w:themeColor="text1"/>
        </w:rPr>
        <w:t>Droit et pratique de la procédure civile</w:t>
      </w:r>
      <w:r w:rsidRPr="00187D76">
        <w:rPr>
          <w:color w:val="000000" w:themeColor="text1"/>
        </w:rPr>
        <w:t>, Dalloz, 2019, n°293.02.</w:t>
      </w:r>
    </w:p>
  </w:footnote>
  <w:footnote w:id="61">
    <w:p w14:paraId="62A2C0DC" w14:textId="0D599F7F" w:rsidR="00CD11C3" w:rsidRPr="00187D76" w:rsidRDefault="00CD11C3" w:rsidP="00187D76">
      <w:pPr>
        <w:pStyle w:val="Notedebasdepage"/>
        <w:jc w:val="both"/>
        <w:rPr>
          <w:lang w:val="fr-FR"/>
        </w:rPr>
      </w:pPr>
      <w:r w:rsidRPr="00187D76">
        <w:rPr>
          <w:rStyle w:val="Appelnotedebasdep"/>
        </w:rPr>
        <w:footnoteRef/>
      </w:r>
      <w:r w:rsidRPr="00187D76">
        <w:t xml:space="preserve"> </w:t>
      </w:r>
      <w:r w:rsidRPr="00187D76">
        <w:rPr>
          <w:i/>
          <w:iCs/>
          <w:lang w:val="fr-FR"/>
        </w:rPr>
        <w:t>Ibid.</w:t>
      </w:r>
      <w:r w:rsidRPr="00187D76">
        <w:rPr>
          <w:lang w:val="fr-FR"/>
        </w:rPr>
        <w:t xml:space="preserve">, </w:t>
      </w:r>
      <w:r w:rsidR="000054EF" w:rsidRPr="00187D76">
        <w:rPr>
          <w:lang w:val="fr-FR"/>
        </w:rPr>
        <w:t xml:space="preserve">n° 293.02. </w:t>
      </w:r>
    </w:p>
  </w:footnote>
  <w:footnote w:id="62">
    <w:p w14:paraId="0128C264" w14:textId="77777777" w:rsidR="00C700E4" w:rsidRPr="00187D76" w:rsidRDefault="00C700E4"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L. </w:t>
      </w:r>
      <w:r w:rsidRPr="00187D76">
        <w:rPr>
          <w:smallCaps/>
          <w:color w:val="000000" w:themeColor="text1"/>
          <w:sz w:val="20"/>
          <w:szCs w:val="20"/>
        </w:rPr>
        <w:t xml:space="preserve">Cadiet </w:t>
      </w:r>
      <w:r w:rsidRPr="00187D76">
        <w:rPr>
          <w:color w:val="000000" w:themeColor="text1"/>
          <w:sz w:val="20"/>
          <w:szCs w:val="20"/>
        </w:rPr>
        <w:t xml:space="preserve">et </w:t>
      </w:r>
      <w:r w:rsidRPr="00187D76">
        <w:rPr>
          <w:smallCaps/>
          <w:color w:val="000000" w:themeColor="text1"/>
          <w:sz w:val="20"/>
          <w:szCs w:val="20"/>
        </w:rPr>
        <w:t xml:space="preserve">E. Jeuland, </w:t>
      </w:r>
      <w:r w:rsidRPr="00187D76">
        <w:rPr>
          <w:i/>
          <w:color w:val="000000" w:themeColor="text1"/>
          <w:sz w:val="20"/>
          <w:szCs w:val="20"/>
        </w:rPr>
        <w:t>Droit judiciaire privé</w:t>
      </w:r>
      <w:r w:rsidRPr="00187D76">
        <w:rPr>
          <w:color w:val="000000" w:themeColor="text1"/>
          <w:sz w:val="20"/>
          <w:szCs w:val="20"/>
        </w:rPr>
        <w:t>, 8</w:t>
      </w:r>
      <w:r w:rsidRPr="00187D76">
        <w:rPr>
          <w:color w:val="000000" w:themeColor="text1"/>
          <w:sz w:val="20"/>
          <w:szCs w:val="20"/>
          <w:vertAlign w:val="superscript"/>
        </w:rPr>
        <w:t>ème</w:t>
      </w:r>
      <w:r w:rsidRPr="00187D76">
        <w:rPr>
          <w:color w:val="000000" w:themeColor="text1"/>
          <w:sz w:val="20"/>
          <w:szCs w:val="20"/>
        </w:rPr>
        <w:t xml:space="preserve"> éd., Paris, Litec, 2013, n° 106. </w:t>
      </w:r>
    </w:p>
  </w:footnote>
  <w:footnote w:id="63">
    <w:p w14:paraId="13B6144D" w14:textId="03B930E8" w:rsidR="00C700E4" w:rsidRPr="00187D76" w:rsidRDefault="00C700E4"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P. </w:t>
      </w:r>
      <w:r w:rsidRPr="00187D76">
        <w:rPr>
          <w:smallCaps/>
          <w:color w:val="000000" w:themeColor="text1"/>
          <w:sz w:val="20"/>
          <w:szCs w:val="20"/>
        </w:rPr>
        <w:t xml:space="preserve">Callé, </w:t>
      </w:r>
      <w:r w:rsidRPr="00187D76">
        <w:rPr>
          <w:color w:val="000000" w:themeColor="text1"/>
          <w:sz w:val="20"/>
          <w:szCs w:val="20"/>
        </w:rPr>
        <w:t xml:space="preserve">« Incompétence », </w:t>
      </w:r>
      <w:r w:rsidRPr="00187D76">
        <w:rPr>
          <w:i/>
          <w:iCs/>
          <w:color w:val="000000" w:themeColor="text1"/>
          <w:sz w:val="20"/>
          <w:szCs w:val="20"/>
        </w:rPr>
        <w:t>Rép. Proc. Civ.</w:t>
      </w:r>
      <w:r w:rsidRPr="00187D76">
        <w:rPr>
          <w:color w:val="000000" w:themeColor="text1"/>
          <w:sz w:val="20"/>
          <w:szCs w:val="20"/>
        </w:rPr>
        <w:t xml:space="preserve">, 2020, n° 3 qui renvoie sur </w:t>
      </w:r>
      <w:r w:rsidRPr="00187D76">
        <w:rPr>
          <w:color w:val="000000" w:themeColor="text1"/>
          <w:sz w:val="20"/>
          <w:szCs w:val="20"/>
          <w:lang w:val="fr-LU" w:eastAsia="fr-FR"/>
        </w:rPr>
        <w:t>sur la distinction entre l</w:t>
      </w:r>
      <w:r w:rsidR="00BB76F1">
        <w:rPr>
          <w:color w:val="000000" w:themeColor="text1"/>
          <w:sz w:val="20"/>
          <w:szCs w:val="20"/>
          <w:lang w:val="fr-LU" w:eastAsia="fr-FR"/>
        </w:rPr>
        <w:t>’</w:t>
      </w:r>
      <w:r w:rsidRPr="00187D76">
        <w:rPr>
          <w:color w:val="000000" w:themeColor="text1"/>
          <w:sz w:val="20"/>
          <w:szCs w:val="20"/>
          <w:lang w:val="fr-LU" w:eastAsia="fr-FR"/>
        </w:rPr>
        <w:t>irrecevabilité et l</w:t>
      </w:r>
      <w:r w:rsidR="00BB76F1">
        <w:rPr>
          <w:color w:val="000000" w:themeColor="text1"/>
          <w:sz w:val="20"/>
          <w:szCs w:val="20"/>
          <w:lang w:val="fr-LU" w:eastAsia="fr-FR"/>
        </w:rPr>
        <w:t>’</w:t>
      </w:r>
      <w:r w:rsidRPr="00187D76">
        <w:rPr>
          <w:color w:val="000000" w:themeColor="text1"/>
          <w:sz w:val="20"/>
          <w:szCs w:val="20"/>
          <w:lang w:val="fr-LU" w:eastAsia="fr-FR"/>
        </w:rPr>
        <w:t xml:space="preserve">incompétence, </w:t>
      </w:r>
      <w:r w:rsidRPr="00187D76">
        <w:rPr>
          <w:rStyle w:val="CORPUSanyCharacter"/>
          <w:rFonts w:ascii="Times New Roman" w:hAnsi="Times New Roman" w:cs="Times New Roman"/>
          <w:color w:val="000000" w:themeColor="text1"/>
          <w:sz w:val="20"/>
          <w:szCs w:val="20"/>
          <w:lang w:val="fr-LU" w:eastAsia="fr-FR"/>
        </w:rPr>
        <w:t xml:space="preserve">Ph. THÉRY, </w:t>
      </w:r>
      <w:r w:rsidRPr="00187D76">
        <w:rPr>
          <w:rStyle w:val="CORPUSanyCharacter"/>
          <w:rFonts w:ascii="Times New Roman" w:hAnsi="Times New Roman" w:cs="Times New Roman"/>
          <w:i/>
          <w:iCs/>
          <w:color w:val="000000" w:themeColor="text1"/>
          <w:sz w:val="20"/>
          <w:szCs w:val="20"/>
          <w:lang w:val="fr-LU" w:eastAsia="fr-FR"/>
        </w:rPr>
        <w:t>Pouvoir juridictionnel et compétence. Étude de droit international privé</w:t>
      </w:r>
      <w:r w:rsidRPr="00187D76">
        <w:rPr>
          <w:rStyle w:val="CORPUSanyCharacter"/>
          <w:rFonts w:ascii="Times New Roman" w:hAnsi="Times New Roman" w:cs="Times New Roman"/>
          <w:color w:val="000000" w:themeColor="text1"/>
          <w:sz w:val="20"/>
          <w:szCs w:val="20"/>
          <w:lang w:val="fr-LU" w:eastAsia="fr-FR"/>
        </w:rPr>
        <w:t>, thèse, Paris II, 1981</w:t>
      </w:r>
      <w:r w:rsidRPr="00187D76">
        <w:rPr>
          <w:rStyle w:val="CORPUSanyCharacter"/>
          <w:rFonts w:ascii="Times New Roman" w:hAnsi="Times New Roman" w:cs="Times New Roman"/>
          <w:color w:val="000000" w:themeColor="text1"/>
          <w:sz w:val="20"/>
          <w:szCs w:val="20"/>
          <w:lang w:eastAsia="fr-FR"/>
        </w:rPr>
        <w:t xml:space="preserve">, </w:t>
      </w:r>
      <w:r w:rsidR="00F87FAC" w:rsidRPr="00187D76">
        <w:rPr>
          <w:rStyle w:val="CORPUSanyCharacter"/>
          <w:rFonts w:ascii="Times New Roman" w:hAnsi="Times New Roman" w:cs="Times New Roman"/>
          <w:color w:val="000000" w:themeColor="text1"/>
          <w:sz w:val="20"/>
          <w:szCs w:val="20"/>
          <w:lang w:eastAsia="fr-FR"/>
        </w:rPr>
        <w:t xml:space="preserve">not. </w:t>
      </w:r>
      <w:r w:rsidRPr="00187D76">
        <w:rPr>
          <w:color w:val="000000" w:themeColor="text1"/>
          <w:sz w:val="20"/>
          <w:szCs w:val="20"/>
          <w:lang w:val="fr-LU" w:eastAsia="fr-FR"/>
        </w:rPr>
        <w:t>p. 128.</w:t>
      </w:r>
    </w:p>
  </w:footnote>
  <w:footnote w:id="64">
    <w:p w14:paraId="43DD2E90" w14:textId="77777777" w:rsidR="00B50C5C" w:rsidRPr="00187D76" w:rsidRDefault="00B50C5C"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P. </w:t>
      </w:r>
      <w:r w:rsidRPr="00187D76">
        <w:rPr>
          <w:smallCaps/>
          <w:color w:val="000000" w:themeColor="text1"/>
          <w:sz w:val="20"/>
          <w:szCs w:val="20"/>
        </w:rPr>
        <w:t xml:space="preserve">Callé, </w:t>
      </w:r>
      <w:r w:rsidRPr="00187D76">
        <w:rPr>
          <w:color w:val="000000" w:themeColor="text1"/>
          <w:sz w:val="20"/>
          <w:szCs w:val="20"/>
        </w:rPr>
        <w:t xml:space="preserve">« Incompétence », </w:t>
      </w:r>
      <w:r w:rsidRPr="00187D76">
        <w:rPr>
          <w:i/>
          <w:iCs/>
          <w:color w:val="000000" w:themeColor="text1"/>
          <w:sz w:val="20"/>
          <w:szCs w:val="20"/>
        </w:rPr>
        <w:t>Rép. Proc. Civ.</w:t>
      </w:r>
      <w:r w:rsidRPr="00187D76">
        <w:rPr>
          <w:color w:val="000000" w:themeColor="text1"/>
          <w:sz w:val="20"/>
          <w:szCs w:val="20"/>
        </w:rPr>
        <w:t>, 2020, n° 79.</w:t>
      </w:r>
    </w:p>
  </w:footnote>
  <w:footnote w:id="65">
    <w:p w14:paraId="175010AC" w14:textId="77777777" w:rsidR="00B50C5C" w:rsidRPr="00187D76" w:rsidRDefault="00B50C5C"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i/>
          <w:iCs/>
          <w:color w:val="000000" w:themeColor="text1"/>
          <w:sz w:val="20"/>
          <w:szCs w:val="20"/>
        </w:rPr>
        <w:t xml:space="preserve">Ibid. </w:t>
      </w:r>
      <w:r w:rsidRPr="00187D76">
        <w:rPr>
          <w:color w:val="000000" w:themeColor="text1"/>
          <w:sz w:val="20"/>
          <w:szCs w:val="20"/>
        </w:rPr>
        <w:t xml:space="preserve">renvoyant à </w:t>
      </w:r>
      <w:r w:rsidRPr="00187D76">
        <w:rPr>
          <w:color w:val="000000" w:themeColor="text1"/>
          <w:sz w:val="20"/>
          <w:szCs w:val="20"/>
          <w:lang w:val="fr-LU" w:eastAsia="fr-FR"/>
        </w:rPr>
        <w:t>Civ. </w:t>
      </w:r>
      <w:r w:rsidRPr="00187D76">
        <w:rPr>
          <w:color w:val="000000" w:themeColor="text1"/>
          <w:sz w:val="20"/>
          <w:szCs w:val="20"/>
          <w:lang w:eastAsia="fr-FR"/>
        </w:rPr>
        <w:t>2</w:t>
      </w:r>
      <w:r w:rsidRPr="00187D76">
        <w:rPr>
          <w:color w:val="000000" w:themeColor="text1"/>
          <w:sz w:val="20"/>
          <w:szCs w:val="20"/>
          <w:vertAlign w:val="superscript"/>
          <w:lang w:eastAsia="fr-FR"/>
        </w:rPr>
        <w:t>ème</w:t>
      </w:r>
      <w:r w:rsidRPr="00187D76">
        <w:rPr>
          <w:color w:val="000000" w:themeColor="text1"/>
          <w:sz w:val="20"/>
          <w:szCs w:val="20"/>
          <w:lang w:eastAsia="fr-FR"/>
        </w:rPr>
        <w:t xml:space="preserve"> (FR), </w:t>
      </w:r>
      <w:r w:rsidRPr="00187D76">
        <w:rPr>
          <w:color w:val="000000" w:themeColor="text1"/>
          <w:sz w:val="20"/>
          <w:szCs w:val="20"/>
          <w:lang w:val="fr-LU" w:eastAsia="fr-FR"/>
        </w:rPr>
        <w:t>19 mars 2009, n</w:t>
      </w:r>
      <w:r w:rsidRPr="00187D76">
        <w:rPr>
          <w:rStyle w:val="CORPUSanyCharacter"/>
          <w:rFonts w:ascii="Times New Roman" w:hAnsi="Times New Roman" w:cs="Times New Roman"/>
          <w:color w:val="000000" w:themeColor="text1"/>
          <w:sz w:val="20"/>
          <w:szCs w:val="20"/>
          <w:vertAlign w:val="superscript"/>
          <w:lang w:val="fr-LU" w:eastAsia="fr-FR"/>
        </w:rPr>
        <w:t>o</w:t>
      </w:r>
      <w:r w:rsidRPr="00187D76">
        <w:rPr>
          <w:color w:val="000000" w:themeColor="text1"/>
          <w:sz w:val="20"/>
          <w:szCs w:val="20"/>
          <w:lang w:val="fr-LU" w:eastAsia="fr-FR"/>
        </w:rPr>
        <w:t> </w:t>
      </w:r>
      <w:r w:rsidRPr="00187D76">
        <w:rPr>
          <w:rStyle w:val="CORPUSanyCharacter"/>
          <w:rFonts w:ascii="Times New Roman" w:hAnsi="Times New Roman" w:cs="Times New Roman"/>
          <w:color w:val="000000" w:themeColor="text1"/>
          <w:sz w:val="20"/>
          <w:szCs w:val="20"/>
          <w:lang w:val="fr-LU" w:eastAsia="fr-FR"/>
        </w:rPr>
        <w:t>08-12.814 </w:t>
      </w:r>
      <w:r w:rsidRPr="00187D76">
        <w:rPr>
          <w:color w:val="000000" w:themeColor="text1"/>
          <w:sz w:val="20"/>
          <w:szCs w:val="20"/>
          <w:lang w:val="fr-LU" w:eastAsia="fr-FR"/>
        </w:rPr>
        <w:t xml:space="preserve">, Bull. civ. II, </w:t>
      </w:r>
      <w:r w:rsidRPr="00187D76">
        <w:rPr>
          <w:color w:val="000000" w:themeColor="text1"/>
          <w:sz w:val="20"/>
          <w:szCs w:val="20"/>
          <w:lang w:eastAsia="fr-FR"/>
        </w:rPr>
        <w:t>n°77.</w:t>
      </w:r>
    </w:p>
  </w:footnote>
  <w:footnote w:id="66">
    <w:p w14:paraId="759C5F76" w14:textId="77777777" w:rsidR="00B50C5C" w:rsidRPr="00187D76" w:rsidRDefault="00B50C5C"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Voy. Article 82 CPC FR, P. </w:t>
      </w:r>
      <w:r w:rsidRPr="00187D76">
        <w:rPr>
          <w:smallCaps/>
          <w:color w:val="000000" w:themeColor="text1"/>
          <w:sz w:val="20"/>
          <w:szCs w:val="20"/>
        </w:rPr>
        <w:t xml:space="preserve">Callé, </w:t>
      </w:r>
      <w:r w:rsidRPr="00187D76">
        <w:rPr>
          <w:color w:val="000000" w:themeColor="text1"/>
          <w:sz w:val="20"/>
          <w:szCs w:val="20"/>
        </w:rPr>
        <w:t xml:space="preserve">« Incompétence », </w:t>
      </w:r>
      <w:r w:rsidRPr="00187D76">
        <w:rPr>
          <w:i/>
          <w:iCs/>
          <w:color w:val="000000" w:themeColor="text1"/>
          <w:sz w:val="20"/>
          <w:szCs w:val="20"/>
        </w:rPr>
        <w:t>Rép. Proc. Civ.</w:t>
      </w:r>
      <w:r w:rsidRPr="00187D76">
        <w:rPr>
          <w:color w:val="000000" w:themeColor="text1"/>
          <w:sz w:val="20"/>
          <w:szCs w:val="20"/>
        </w:rPr>
        <w:t>, 2020, n° 79.</w:t>
      </w:r>
    </w:p>
  </w:footnote>
  <w:footnote w:id="67">
    <w:p w14:paraId="4B359AA0" w14:textId="77777777" w:rsidR="00C700E4" w:rsidRPr="00187D76" w:rsidRDefault="00C700E4"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P. </w:t>
      </w:r>
      <w:r w:rsidRPr="00187D76">
        <w:rPr>
          <w:smallCaps/>
          <w:color w:val="000000" w:themeColor="text1"/>
          <w:sz w:val="20"/>
          <w:szCs w:val="20"/>
        </w:rPr>
        <w:t xml:space="preserve">Callé, </w:t>
      </w:r>
      <w:r w:rsidRPr="00187D76">
        <w:rPr>
          <w:color w:val="000000" w:themeColor="text1"/>
          <w:sz w:val="20"/>
          <w:szCs w:val="20"/>
        </w:rPr>
        <w:t xml:space="preserve">« Incompétence », </w:t>
      </w:r>
      <w:r w:rsidRPr="00187D76">
        <w:rPr>
          <w:i/>
          <w:iCs/>
          <w:color w:val="000000" w:themeColor="text1"/>
          <w:sz w:val="20"/>
          <w:szCs w:val="20"/>
        </w:rPr>
        <w:t>Rép. Proc. Civ.</w:t>
      </w:r>
      <w:r w:rsidRPr="00187D76">
        <w:rPr>
          <w:color w:val="000000" w:themeColor="text1"/>
          <w:sz w:val="20"/>
          <w:szCs w:val="20"/>
        </w:rPr>
        <w:t>, 2020, n° 2.</w:t>
      </w:r>
    </w:p>
  </w:footnote>
  <w:footnote w:id="68">
    <w:p w14:paraId="6279CA7F" w14:textId="77777777" w:rsidR="00C700E4" w:rsidRPr="00187D76" w:rsidRDefault="00C700E4"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P. </w:t>
      </w:r>
      <w:r w:rsidRPr="00187D76">
        <w:rPr>
          <w:smallCaps/>
          <w:color w:val="000000" w:themeColor="text1"/>
          <w:sz w:val="20"/>
          <w:szCs w:val="20"/>
        </w:rPr>
        <w:t xml:space="preserve">Callé, </w:t>
      </w:r>
      <w:r w:rsidRPr="00187D76">
        <w:rPr>
          <w:color w:val="000000" w:themeColor="text1"/>
          <w:sz w:val="20"/>
          <w:szCs w:val="20"/>
        </w:rPr>
        <w:t xml:space="preserve">« Incompétence », </w:t>
      </w:r>
      <w:r w:rsidRPr="00187D76">
        <w:rPr>
          <w:i/>
          <w:iCs/>
          <w:color w:val="000000" w:themeColor="text1"/>
          <w:sz w:val="20"/>
          <w:szCs w:val="20"/>
        </w:rPr>
        <w:t>Rép. Proc. Civ.</w:t>
      </w:r>
      <w:r w:rsidRPr="00187D76">
        <w:rPr>
          <w:color w:val="000000" w:themeColor="text1"/>
          <w:sz w:val="20"/>
          <w:szCs w:val="20"/>
        </w:rPr>
        <w:t>, 2020, n° 81.</w:t>
      </w:r>
    </w:p>
  </w:footnote>
  <w:footnote w:id="69">
    <w:p w14:paraId="63226117" w14:textId="1255C699" w:rsidR="003E23AB" w:rsidRPr="00187D76" w:rsidRDefault="003E23AB" w:rsidP="00187D76">
      <w:pPr>
        <w:pStyle w:val="Notedebasdepage"/>
        <w:jc w:val="both"/>
        <w:rPr>
          <w:lang w:val="fr-FR"/>
        </w:rPr>
      </w:pPr>
      <w:r w:rsidRPr="00187D76">
        <w:rPr>
          <w:rStyle w:val="Appelnotedebasdep"/>
        </w:rPr>
        <w:footnoteRef/>
      </w:r>
      <w:r w:rsidRPr="00187D76">
        <w:t xml:space="preserve"> </w:t>
      </w:r>
      <w:r w:rsidRPr="00187D76">
        <w:rPr>
          <w:lang w:val="fr-FR"/>
        </w:rPr>
        <w:t xml:space="preserve">Tout comme le droit luxembourgeois ne distingue </w:t>
      </w:r>
      <w:r w:rsidR="00300412" w:rsidRPr="00187D76">
        <w:rPr>
          <w:lang w:val="fr-FR"/>
        </w:rPr>
        <w:t xml:space="preserve">pas </w:t>
      </w:r>
      <w:r w:rsidR="00491583" w:rsidRPr="00187D76">
        <w:rPr>
          <w:lang w:val="fr-FR"/>
        </w:rPr>
        <w:t xml:space="preserve">entre les </w:t>
      </w:r>
      <w:r w:rsidR="00FB220F" w:rsidRPr="00187D76">
        <w:rPr>
          <w:lang w:val="fr-FR"/>
        </w:rPr>
        <w:t xml:space="preserve">incompétences </w:t>
      </w:r>
      <w:r w:rsidR="006F42B7" w:rsidRPr="00187D76">
        <w:rPr>
          <w:lang w:val="fr-FR"/>
        </w:rPr>
        <w:t xml:space="preserve">nationales et internationales, il ne distingue </w:t>
      </w:r>
      <w:r w:rsidR="002B7A05" w:rsidRPr="00187D76">
        <w:rPr>
          <w:lang w:val="fr-FR"/>
        </w:rPr>
        <w:t xml:space="preserve">pas non plus les incompétences </w:t>
      </w:r>
      <w:r w:rsidR="00FA703A" w:rsidRPr="00187D76">
        <w:rPr>
          <w:lang w:val="fr-FR"/>
        </w:rPr>
        <w:t xml:space="preserve">des juridictions </w:t>
      </w:r>
      <w:r w:rsidR="00E8111A" w:rsidRPr="00187D76">
        <w:rPr>
          <w:lang w:val="fr-FR"/>
        </w:rPr>
        <w:t>de l</w:t>
      </w:r>
      <w:r w:rsidR="00BB76F1">
        <w:rPr>
          <w:lang w:val="fr-FR"/>
        </w:rPr>
        <w:t>’</w:t>
      </w:r>
      <w:r w:rsidR="00E8111A" w:rsidRPr="00187D76">
        <w:rPr>
          <w:lang w:val="fr-FR"/>
        </w:rPr>
        <w:t xml:space="preserve">ordre judiciaire </w:t>
      </w:r>
      <w:r w:rsidR="00B20D97" w:rsidRPr="00187D76">
        <w:rPr>
          <w:lang w:val="fr-FR"/>
        </w:rPr>
        <w:t xml:space="preserve">au profit </w:t>
      </w:r>
      <w:r w:rsidR="00C809D6" w:rsidRPr="00187D76">
        <w:rPr>
          <w:lang w:val="fr-FR"/>
        </w:rPr>
        <w:t>des juridictions de l</w:t>
      </w:r>
      <w:r w:rsidR="00BB76F1">
        <w:rPr>
          <w:lang w:val="fr-FR"/>
        </w:rPr>
        <w:t>’</w:t>
      </w:r>
      <w:r w:rsidR="00C809D6" w:rsidRPr="00187D76">
        <w:rPr>
          <w:lang w:val="fr-FR"/>
        </w:rPr>
        <w:t xml:space="preserve">ordre </w:t>
      </w:r>
      <w:r w:rsidR="001933D1" w:rsidRPr="00187D76">
        <w:rPr>
          <w:lang w:val="fr-FR"/>
        </w:rPr>
        <w:t xml:space="preserve">administratif, voy. </w:t>
      </w:r>
      <w:r w:rsidR="00946987" w:rsidRPr="00187D76">
        <w:rPr>
          <w:lang w:val="fr-FR"/>
        </w:rPr>
        <w:t>Cass., 22 avril 2021, n°65</w:t>
      </w:r>
      <w:r w:rsidR="003748BD" w:rsidRPr="00187D76">
        <w:rPr>
          <w:lang w:val="fr-FR"/>
        </w:rPr>
        <w:t>/2021, n° CAS-2020-00070.</w:t>
      </w:r>
    </w:p>
  </w:footnote>
  <w:footnote w:id="70">
    <w:p w14:paraId="555BC20B" w14:textId="322832BC"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color w:val="000000" w:themeColor="text1"/>
          <w:sz w:val="20"/>
          <w:szCs w:val="20"/>
          <w:lang w:val="fr-LU" w:eastAsia="fr-FR"/>
        </w:rPr>
        <w:t>P. </w:t>
      </w:r>
      <w:r w:rsidRPr="00187D76">
        <w:rPr>
          <w:smallCaps/>
          <w:color w:val="000000" w:themeColor="text1"/>
          <w:sz w:val="20"/>
          <w:szCs w:val="20"/>
          <w:lang w:eastAsia="fr-FR"/>
        </w:rPr>
        <w:t>Mayer</w:t>
      </w:r>
      <w:r w:rsidRPr="00187D76">
        <w:rPr>
          <w:color w:val="000000" w:themeColor="text1"/>
          <w:sz w:val="20"/>
          <w:szCs w:val="20"/>
          <w:lang w:val="fr-LU" w:eastAsia="fr-FR"/>
        </w:rPr>
        <w:t xml:space="preserve">, </w:t>
      </w:r>
      <w:r w:rsidRPr="00187D76">
        <w:rPr>
          <w:color w:val="000000" w:themeColor="text1"/>
          <w:sz w:val="20"/>
          <w:szCs w:val="20"/>
          <w:lang w:eastAsia="fr-FR"/>
        </w:rPr>
        <w:t>« </w:t>
      </w:r>
      <w:r w:rsidRPr="00187D76">
        <w:rPr>
          <w:color w:val="000000" w:themeColor="text1"/>
          <w:sz w:val="20"/>
          <w:szCs w:val="20"/>
          <w:lang w:val="fr-LU" w:eastAsia="fr-FR"/>
        </w:rPr>
        <w:t>Droit international privé et droit international public sous l</w:t>
      </w:r>
      <w:r w:rsidR="00BB76F1">
        <w:rPr>
          <w:color w:val="000000" w:themeColor="text1"/>
          <w:sz w:val="20"/>
          <w:szCs w:val="20"/>
          <w:lang w:val="fr-LU" w:eastAsia="fr-FR"/>
        </w:rPr>
        <w:t>’</w:t>
      </w:r>
      <w:r w:rsidRPr="00187D76">
        <w:rPr>
          <w:color w:val="000000" w:themeColor="text1"/>
          <w:sz w:val="20"/>
          <w:szCs w:val="20"/>
          <w:lang w:val="fr-LU" w:eastAsia="fr-FR"/>
        </w:rPr>
        <w:t>angle de la notion de compétence</w:t>
      </w:r>
      <w:r w:rsidRPr="00187D76">
        <w:rPr>
          <w:color w:val="000000" w:themeColor="text1"/>
          <w:sz w:val="20"/>
          <w:szCs w:val="20"/>
          <w:lang w:eastAsia="fr-FR"/>
        </w:rPr>
        <w:t> »</w:t>
      </w:r>
      <w:r w:rsidRPr="00187D76">
        <w:rPr>
          <w:color w:val="000000" w:themeColor="text1"/>
          <w:sz w:val="20"/>
          <w:szCs w:val="20"/>
          <w:lang w:val="fr-LU" w:eastAsia="fr-FR"/>
        </w:rPr>
        <w:t xml:space="preserve">, </w:t>
      </w:r>
      <w:r w:rsidRPr="00187D76">
        <w:rPr>
          <w:i/>
          <w:iCs/>
          <w:color w:val="000000" w:themeColor="text1"/>
          <w:sz w:val="20"/>
          <w:szCs w:val="20"/>
          <w:lang w:val="fr-LU" w:eastAsia="fr-FR"/>
        </w:rPr>
        <w:t>R</w:t>
      </w:r>
      <w:r w:rsidRPr="00187D76">
        <w:rPr>
          <w:i/>
          <w:iCs/>
          <w:color w:val="000000" w:themeColor="text1"/>
          <w:sz w:val="20"/>
          <w:szCs w:val="20"/>
          <w:lang w:eastAsia="fr-FR"/>
        </w:rPr>
        <w:t>CDIP</w:t>
      </w:r>
      <w:r w:rsidRPr="00187D76">
        <w:rPr>
          <w:color w:val="000000" w:themeColor="text1"/>
          <w:sz w:val="20"/>
          <w:szCs w:val="20"/>
          <w:lang w:eastAsia="fr-FR"/>
        </w:rPr>
        <w:t>,</w:t>
      </w:r>
      <w:r w:rsidRPr="00187D76">
        <w:rPr>
          <w:color w:val="000000" w:themeColor="text1"/>
          <w:sz w:val="20"/>
          <w:szCs w:val="20"/>
          <w:lang w:val="fr-LU" w:eastAsia="fr-FR"/>
        </w:rPr>
        <w:t>1979</w:t>
      </w:r>
      <w:r w:rsidRPr="00187D76">
        <w:rPr>
          <w:color w:val="000000" w:themeColor="text1"/>
          <w:sz w:val="20"/>
          <w:szCs w:val="20"/>
          <w:lang w:eastAsia="fr-FR"/>
        </w:rPr>
        <w:t>, n°</w:t>
      </w:r>
      <w:r w:rsidRPr="00187D76">
        <w:rPr>
          <w:color w:val="000000" w:themeColor="text1"/>
          <w:sz w:val="20"/>
          <w:szCs w:val="20"/>
          <w:lang w:val="fr-LU" w:eastAsia="fr-FR"/>
        </w:rPr>
        <w:t>12, p. 15</w:t>
      </w:r>
      <w:r w:rsidRPr="00187D76">
        <w:rPr>
          <w:color w:val="000000" w:themeColor="text1"/>
          <w:sz w:val="20"/>
          <w:szCs w:val="20"/>
          <w:lang w:eastAsia="fr-FR"/>
        </w:rPr>
        <w:t xml:space="preserve">. </w:t>
      </w:r>
    </w:p>
  </w:footnote>
  <w:footnote w:id="71">
    <w:p w14:paraId="3C300B98" w14:textId="77777777"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S. </w:t>
      </w:r>
      <w:r w:rsidRPr="00187D76">
        <w:rPr>
          <w:smallCaps/>
          <w:color w:val="000000" w:themeColor="text1"/>
          <w:sz w:val="20"/>
          <w:szCs w:val="20"/>
        </w:rPr>
        <w:t>Guinchard</w:t>
      </w:r>
      <w:r w:rsidRPr="00187D76">
        <w:rPr>
          <w:color w:val="000000" w:themeColor="text1"/>
          <w:sz w:val="20"/>
          <w:szCs w:val="20"/>
        </w:rPr>
        <w:t xml:space="preserve">, « Fins de non-recevoir », </w:t>
      </w:r>
      <w:r w:rsidRPr="00187D76">
        <w:rPr>
          <w:i/>
          <w:iCs/>
          <w:color w:val="000000" w:themeColor="text1"/>
          <w:sz w:val="20"/>
          <w:szCs w:val="20"/>
        </w:rPr>
        <w:t>Droit et pratique de la procédure civile</w:t>
      </w:r>
      <w:r w:rsidRPr="00187D76">
        <w:rPr>
          <w:color w:val="000000" w:themeColor="text1"/>
          <w:sz w:val="20"/>
          <w:szCs w:val="20"/>
        </w:rPr>
        <w:t>, Dalloz, 2019, n°293.91.</w:t>
      </w:r>
    </w:p>
  </w:footnote>
  <w:footnote w:id="72">
    <w:p w14:paraId="1A3999C4" w14:textId="6D1437D9" w:rsidR="00C7313B" w:rsidRPr="00187D76" w:rsidRDefault="00C7313B" w:rsidP="00187D76">
      <w:pPr>
        <w:pStyle w:val="Sansinterligne"/>
        <w:spacing w:line="240" w:lineRule="auto"/>
        <w:rPr>
          <w:rFonts w:eastAsia="Times New Roman"/>
          <w:color w:val="000000" w:themeColor="text1"/>
          <w:sz w:val="20"/>
          <w:szCs w:val="20"/>
          <w:lang w:val="fr-LU" w:eastAsia="fr-FR"/>
        </w:rPr>
      </w:pPr>
      <w:r w:rsidRPr="00187D76">
        <w:rPr>
          <w:rStyle w:val="Appelnotedebasdep"/>
          <w:color w:val="000000" w:themeColor="text1"/>
          <w:sz w:val="20"/>
          <w:szCs w:val="20"/>
        </w:rPr>
        <w:footnoteRef/>
      </w:r>
      <w:r w:rsidRPr="00187D76">
        <w:rPr>
          <w:color w:val="000000" w:themeColor="text1"/>
          <w:sz w:val="20"/>
          <w:szCs w:val="20"/>
        </w:rPr>
        <w:t xml:space="preserve"> En ce sens voy. not. </w:t>
      </w:r>
      <w:r w:rsidRPr="00187D76">
        <w:rPr>
          <w:rFonts w:eastAsia="Times New Roman"/>
          <w:color w:val="000000" w:themeColor="text1"/>
          <w:sz w:val="20"/>
          <w:szCs w:val="20"/>
          <w:lang w:eastAsia="fr-FR"/>
        </w:rPr>
        <w:t>F.</w:t>
      </w:r>
      <w:r w:rsidR="008C1623" w:rsidRPr="00187D76">
        <w:rPr>
          <w:rFonts w:eastAsia="Times New Roman"/>
          <w:color w:val="000000" w:themeColor="text1"/>
          <w:sz w:val="20"/>
          <w:szCs w:val="20"/>
          <w:lang w:eastAsia="fr-FR"/>
        </w:rPr>
        <w:t xml:space="preserve"> </w:t>
      </w:r>
      <w:r w:rsidRPr="00187D76">
        <w:rPr>
          <w:rFonts w:eastAsia="Times New Roman"/>
          <w:smallCaps/>
          <w:color w:val="000000" w:themeColor="text1"/>
          <w:sz w:val="20"/>
          <w:szCs w:val="20"/>
          <w:lang w:eastAsia="fr-FR"/>
        </w:rPr>
        <w:t>Mailhé</w:t>
      </w:r>
      <w:r w:rsidRPr="00187D76">
        <w:rPr>
          <w:rFonts w:eastAsia="Times New Roman"/>
          <w:color w:val="000000" w:themeColor="text1"/>
          <w:sz w:val="20"/>
          <w:szCs w:val="20"/>
          <w:shd w:val="clear" w:color="auto" w:fill="FFFFFF"/>
          <w:lang w:eastAsia="fr-FR"/>
        </w:rPr>
        <w:t>, </w:t>
      </w:r>
      <w:r w:rsidRPr="00187D76">
        <w:rPr>
          <w:rFonts w:eastAsia="Times New Roman"/>
          <w:i/>
          <w:iCs/>
          <w:color w:val="000000" w:themeColor="text1"/>
          <w:sz w:val="20"/>
          <w:szCs w:val="20"/>
          <w:lang w:eastAsia="fr-FR"/>
        </w:rPr>
        <w:t>L</w:t>
      </w:r>
      <w:r w:rsidR="00BB76F1">
        <w:rPr>
          <w:rFonts w:eastAsia="Times New Roman"/>
          <w:i/>
          <w:iCs/>
          <w:color w:val="000000" w:themeColor="text1"/>
          <w:sz w:val="20"/>
          <w:szCs w:val="20"/>
          <w:lang w:eastAsia="fr-FR"/>
        </w:rPr>
        <w:t>’</w:t>
      </w:r>
      <w:r w:rsidRPr="00187D76">
        <w:rPr>
          <w:rFonts w:eastAsia="Times New Roman"/>
          <w:i/>
          <w:iCs/>
          <w:color w:val="000000" w:themeColor="text1"/>
          <w:sz w:val="20"/>
          <w:szCs w:val="20"/>
          <w:lang w:eastAsia="fr-FR"/>
        </w:rPr>
        <w:t>organisation de la concurrence internationale des juridictions : la compétence face à la mondialisation économique</w:t>
      </w:r>
      <w:r w:rsidRPr="00187D76">
        <w:rPr>
          <w:rFonts w:eastAsia="Times New Roman"/>
          <w:color w:val="000000" w:themeColor="text1"/>
          <w:sz w:val="20"/>
          <w:szCs w:val="20"/>
          <w:shd w:val="clear" w:color="auto" w:fill="FFFFFF"/>
          <w:lang w:eastAsia="fr-FR"/>
        </w:rPr>
        <w:t>, Economica, 2016, Recherches juridiques.</w:t>
      </w:r>
    </w:p>
  </w:footnote>
  <w:footnote w:id="73">
    <w:p w14:paraId="2ECCBBFC" w14:textId="563A31BD"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Pour la France, voy. not. </w:t>
      </w:r>
      <w:r w:rsidRPr="00187D76">
        <w:rPr>
          <w:color w:val="000000" w:themeColor="text1"/>
          <w:sz w:val="20"/>
          <w:szCs w:val="20"/>
          <w:lang w:val="fr-LU" w:eastAsia="fr-FR"/>
        </w:rPr>
        <w:t>Civ. </w:t>
      </w:r>
      <w:r w:rsidRPr="00187D76">
        <w:rPr>
          <w:color w:val="000000" w:themeColor="text1"/>
          <w:sz w:val="20"/>
          <w:szCs w:val="20"/>
          <w:lang w:eastAsia="fr-FR"/>
        </w:rPr>
        <w:t>1</w:t>
      </w:r>
      <w:r w:rsidRPr="00187D76">
        <w:rPr>
          <w:color w:val="000000" w:themeColor="text1"/>
          <w:sz w:val="20"/>
          <w:szCs w:val="20"/>
          <w:vertAlign w:val="superscript"/>
          <w:lang w:eastAsia="fr-FR"/>
        </w:rPr>
        <w:t>ère</w:t>
      </w:r>
      <w:r w:rsidRPr="00187D76">
        <w:rPr>
          <w:color w:val="000000" w:themeColor="text1"/>
          <w:sz w:val="20"/>
          <w:szCs w:val="20"/>
          <w:lang w:val="fr-LU" w:eastAsia="fr-FR"/>
        </w:rPr>
        <w:t xml:space="preserve">, 23 mai 2012, </w:t>
      </w:r>
      <w:r w:rsidRPr="00187D76">
        <w:rPr>
          <w:color w:val="000000" w:themeColor="text1"/>
          <w:sz w:val="20"/>
          <w:szCs w:val="20"/>
          <w:lang w:eastAsia="fr-FR"/>
        </w:rPr>
        <w:t>n</w:t>
      </w:r>
      <w:r w:rsidR="005A0291" w:rsidRPr="00187D76">
        <w:rPr>
          <w:color w:val="000000" w:themeColor="text1"/>
          <w:sz w:val="20"/>
          <w:szCs w:val="20"/>
          <w:lang w:eastAsia="fr-FR"/>
        </w:rPr>
        <w:t>°</w:t>
      </w:r>
      <w:r w:rsidRPr="00187D76">
        <w:rPr>
          <w:rStyle w:val="CORPUSanyCharacter"/>
          <w:rFonts w:ascii="Times New Roman" w:hAnsi="Times New Roman" w:cs="Times New Roman"/>
          <w:color w:val="000000" w:themeColor="text1"/>
          <w:sz w:val="20"/>
          <w:szCs w:val="20"/>
          <w:lang w:val="fr-LU" w:eastAsia="fr-FR"/>
        </w:rPr>
        <w:t>10-26.188</w:t>
      </w:r>
      <w:r w:rsidR="008C1623" w:rsidRPr="00187D76">
        <w:rPr>
          <w:rStyle w:val="CORPUSanyCharacter"/>
          <w:rFonts w:ascii="Times New Roman" w:hAnsi="Times New Roman" w:cs="Times New Roman"/>
          <w:color w:val="000000" w:themeColor="text1"/>
          <w:sz w:val="20"/>
          <w:szCs w:val="20"/>
          <w:lang w:val="fr-LU" w:eastAsia="fr-FR"/>
        </w:rPr>
        <w:t xml:space="preserve"> </w:t>
      </w:r>
      <w:r w:rsidRPr="00187D76">
        <w:rPr>
          <w:color w:val="000000" w:themeColor="text1"/>
          <w:sz w:val="20"/>
          <w:szCs w:val="20"/>
          <w:lang w:val="fr-LU" w:eastAsia="fr-FR"/>
        </w:rPr>
        <w:t xml:space="preserve">Bull. civ. I, </w:t>
      </w:r>
      <w:r w:rsidRPr="00187D76">
        <w:rPr>
          <w:color w:val="000000" w:themeColor="text1"/>
          <w:sz w:val="20"/>
          <w:szCs w:val="20"/>
          <w:lang w:eastAsia="fr-FR"/>
        </w:rPr>
        <w:t>n°</w:t>
      </w:r>
      <w:r w:rsidRPr="00187D76">
        <w:rPr>
          <w:color w:val="000000" w:themeColor="text1"/>
          <w:sz w:val="20"/>
          <w:szCs w:val="20"/>
          <w:lang w:val="fr-LU" w:eastAsia="fr-FR"/>
        </w:rPr>
        <w:t xml:space="preserve">110 ; </w:t>
      </w:r>
      <w:r w:rsidRPr="00187D76">
        <w:rPr>
          <w:rStyle w:val="CORPUSanyCharacter"/>
          <w:rFonts w:ascii="Times New Roman" w:hAnsi="Times New Roman" w:cs="Times New Roman"/>
          <w:i/>
          <w:iCs/>
          <w:color w:val="000000" w:themeColor="text1"/>
          <w:sz w:val="20"/>
          <w:szCs w:val="20"/>
          <w:lang w:val="fr-LU" w:eastAsia="fr-FR"/>
        </w:rPr>
        <w:t xml:space="preserve">RTD civ. </w:t>
      </w:r>
      <w:r w:rsidRPr="00187D76">
        <w:rPr>
          <w:rStyle w:val="CORPUSanyCharacter"/>
          <w:rFonts w:ascii="Times New Roman" w:hAnsi="Times New Roman" w:cs="Times New Roman"/>
          <w:color w:val="000000" w:themeColor="text1"/>
          <w:sz w:val="20"/>
          <w:szCs w:val="20"/>
          <w:lang w:val="fr-LU" w:eastAsia="fr-FR"/>
        </w:rPr>
        <w:t>2012. 566, obs. Ph. Théry </w:t>
      </w:r>
      <w:r w:rsidRPr="00187D76">
        <w:rPr>
          <w:color w:val="000000" w:themeColor="text1"/>
          <w:sz w:val="20"/>
          <w:szCs w:val="20"/>
          <w:lang w:val="fr-LU" w:eastAsia="fr-FR"/>
        </w:rPr>
        <w:t>jugeant que la contestation de la compétence internationale du juge français constituait une exception de procédure entrant dans les prévisions de l</w:t>
      </w:r>
      <w:r w:rsidR="00BB76F1">
        <w:rPr>
          <w:color w:val="000000" w:themeColor="text1"/>
          <w:sz w:val="20"/>
          <w:szCs w:val="20"/>
          <w:lang w:val="fr-LU" w:eastAsia="fr-FR"/>
        </w:rPr>
        <w:t>’</w:t>
      </w:r>
      <w:r w:rsidRPr="00187D76">
        <w:rPr>
          <w:color w:val="000000" w:themeColor="text1"/>
          <w:sz w:val="20"/>
          <w:szCs w:val="20"/>
          <w:lang w:val="fr-LU" w:eastAsia="fr-FR"/>
        </w:rPr>
        <w:t>art. 74 du C. pr. civ. et non une fin de non-recevoir</w:t>
      </w:r>
      <w:r w:rsidRPr="00187D76">
        <w:rPr>
          <w:color w:val="000000" w:themeColor="text1"/>
          <w:sz w:val="20"/>
          <w:szCs w:val="20"/>
          <w:lang w:eastAsia="fr-FR"/>
        </w:rPr>
        <w:t xml:space="preserve"> cité par </w:t>
      </w:r>
      <w:r w:rsidRPr="00187D76">
        <w:rPr>
          <w:color w:val="000000" w:themeColor="text1"/>
          <w:sz w:val="20"/>
          <w:szCs w:val="20"/>
        </w:rPr>
        <w:t xml:space="preserve">P. </w:t>
      </w:r>
      <w:r w:rsidRPr="00187D76">
        <w:rPr>
          <w:smallCaps/>
          <w:color w:val="000000" w:themeColor="text1"/>
          <w:sz w:val="20"/>
          <w:szCs w:val="20"/>
        </w:rPr>
        <w:t xml:space="preserve">Callé, </w:t>
      </w:r>
      <w:r w:rsidRPr="00187D76">
        <w:rPr>
          <w:color w:val="000000" w:themeColor="text1"/>
          <w:sz w:val="20"/>
          <w:szCs w:val="20"/>
        </w:rPr>
        <w:t xml:space="preserve">« Incompétence », </w:t>
      </w:r>
      <w:r w:rsidRPr="00187D76">
        <w:rPr>
          <w:i/>
          <w:iCs/>
          <w:color w:val="000000" w:themeColor="text1"/>
          <w:sz w:val="20"/>
          <w:szCs w:val="20"/>
        </w:rPr>
        <w:t>Rép. Proc. Civ.</w:t>
      </w:r>
      <w:r w:rsidRPr="00187D76">
        <w:rPr>
          <w:color w:val="000000" w:themeColor="text1"/>
          <w:sz w:val="20"/>
          <w:szCs w:val="20"/>
        </w:rPr>
        <w:t>, 2020, n° 7.</w:t>
      </w:r>
    </w:p>
  </w:footnote>
  <w:footnote w:id="74">
    <w:p w14:paraId="7F548CD5" w14:textId="77777777"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S. </w:t>
      </w:r>
      <w:r w:rsidRPr="00187D76">
        <w:rPr>
          <w:smallCaps/>
          <w:color w:val="000000" w:themeColor="text1"/>
          <w:sz w:val="20"/>
          <w:szCs w:val="20"/>
        </w:rPr>
        <w:t>Guinchard</w:t>
      </w:r>
      <w:r w:rsidRPr="00187D76">
        <w:rPr>
          <w:color w:val="000000" w:themeColor="text1"/>
          <w:sz w:val="20"/>
          <w:szCs w:val="20"/>
        </w:rPr>
        <w:t xml:space="preserve">, « Fins de non-recevoir », </w:t>
      </w:r>
      <w:r w:rsidRPr="00187D76">
        <w:rPr>
          <w:i/>
          <w:iCs/>
          <w:color w:val="000000" w:themeColor="text1"/>
          <w:sz w:val="20"/>
          <w:szCs w:val="20"/>
        </w:rPr>
        <w:t>Droit et pratique de la procédure civile</w:t>
      </w:r>
      <w:r w:rsidRPr="00187D76">
        <w:rPr>
          <w:color w:val="000000" w:themeColor="text1"/>
          <w:sz w:val="20"/>
          <w:szCs w:val="20"/>
        </w:rPr>
        <w:t xml:space="preserve">, Dalloz, 2019, n°293.91. </w:t>
      </w:r>
    </w:p>
  </w:footnote>
  <w:footnote w:id="75">
    <w:p w14:paraId="7D5F58F2" w14:textId="77777777"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Voy. la contribution de </w:t>
      </w:r>
      <w:r w:rsidRPr="00187D76">
        <w:rPr>
          <w:color w:val="000000" w:themeColor="text1"/>
          <w:sz w:val="20"/>
          <w:szCs w:val="20"/>
          <w:lang w:val="fr-LU" w:eastAsia="fr-FR"/>
        </w:rPr>
        <w:t>P. </w:t>
      </w:r>
      <w:r w:rsidRPr="00187D76">
        <w:rPr>
          <w:smallCaps/>
          <w:color w:val="000000" w:themeColor="text1"/>
          <w:sz w:val="20"/>
          <w:szCs w:val="20"/>
          <w:lang w:eastAsia="fr-FR"/>
        </w:rPr>
        <w:t>Mayer</w:t>
      </w:r>
      <w:r w:rsidRPr="00187D76">
        <w:rPr>
          <w:color w:val="000000" w:themeColor="text1"/>
          <w:sz w:val="20"/>
          <w:szCs w:val="20"/>
          <w:lang w:eastAsia="fr-FR"/>
        </w:rPr>
        <w:t xml:space="preserve"> dans cette Revue.</w:t>
      </w:r>
    </w:p>
  </w:footnote>
  <w:footnote w:id="76">
    <w:p w14:paraId="4DE432C0" w14:textId="77777777" w:rsidR="00C7313B" w:rsidRPr="00187D76" w:rsidRDefault="00C7313B"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smallCaps/>
          <w:color w:val="000000" w:themeColor="text1"/>
          <w:sz w:val="20"/>
          <w:szCs w:val="20"/>
        </w:rPr>
        <w:t>H. Boularbah</w:t>
      </w:r>
      <w:r w:rsidRPr="00187D76">
        <w:rPr>
          <w:color w:val="000000" w:themeColor="text1"/>
          <w:sz w:val="20"/>
          <w:szCs w:val="20"/>
        </w:rPr>
        <w:t xml:space="preserve">, « Le jugement statuant sur un déclinatoire de juridiction des cours et tribunaux belges est-il une décision rendue sur la compétence au sens des articles 1050 et 1055 du Code judiciaire ? », </w:t>
      </w:r>
      <w:r w:rsidRPr="00187D76">
        <w:rPr>
          <w:i/>
          <w:iCs/>
          <w:color w:val="000000" w:themeColor="text1"/>
          <w:sz w:val="20"/>
          <w:szCs w:val="20"/>
        </w:rPr>
        <w:t>JT</w:t>
      </w:r>
      <w:r w:rsidRPr="00187D76">
        <w:rPr>
          <w:color w:val="000000" w:themeColor="text1"/>
          <w:sz w:val="20"/>
          <w:szCs w:val="20"/>
        </w:rPr>
        <w:t>, 2003, p. 8.</w:t>
      </w:r>
    </w:p>
  </w:footnote>
  <w:footnote w:id="77">
    <w:p w14:paraId="085ECD66" w14:textId="52D2E31F" w:rsidR="00AC178D" w:rsidRPr="00187D76" w:rsidRDefault="00AC178D"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color w:val="000000" w:themeColor="text1"/>
          <w:sz w:val="20"/>
          <w:szCs w:val="20"/>
          <w:shd w:val="clear" w:color="auto" w:fill="FFFFFF"/>
        </w:rPr>
        <w:t xml:space="preserve">Art. 15 du Règlement (CE) n° 2101/2003 du 27 novembre 2003 relatif à la matière matrimoniale et à la responsabilité parentale qui prévoit le renvoi </w:t>
      </w:r>
      <w:r w:rsidRPr="00187D76">
        <w:rPr>
          <w:color w:val="000000" w:themeColor="text1"/>
          <w:sz w:val="20"/>
          <w:szCs w:val="20"/>
          <w:lang w:val="fr-LU" w:eastAsia="fr-FR"/>
        </w:rPr>
        <w:t>d</w:t>
      </w:r>
      <w:r w:rsidR="00BB76F1">
        <w:rPr>
          <w:color w:val="000000" w:themeColor="text1"/>
          <w:sz w:val="20"/>
          <w:szCs w:val="20"/>
          <w:lang w:val="fr-LU" w:eastAsia="fr-FR"/>
        </w:rPr>
        <w:t>’</w:t>
      </w:r>
      <w:r w:rsidRPr="00187D76">
        <w:rPr>
          <w:color w:val="000000" w:themeColor="text1"/>
          <w:sz w:val="20"/>
          <w:szCs w:val="20"/>
          <w:lang w:val="fr-LU" w:eastAsia="fr-FR"/>
        </w:rPr>
        <w:t>une juridiction à une autre en matière de responsabilité parentale</w:t>
      </w:r>
      <w:r w:rsidRPr="00187D76">
        <w:rPr>
          <w:color w:val="000000" w:themeColor="text1"/>
          <w:sz w:val="20"/>
          <w:szCs w:val="20"/>
          <w:lang w:eastAsia="fr-FR"/>
        </w:rPr>
        <w:t>.</w:t>
      </w:r>
    </w:p>
  </w:footnote>
  <w:footnote w:id="78">
    <w:p w14:paraId="20DD18AA" w14:textId="77777777" w:rsidR="00AC178D" w:rsidRPr="00187D76" w:rsidRDefault="00AC178D" w:rsidP="00187D76">
      <w:pPr>
        <w:pStyle w:val="Sansinterligne"/>
        <w:spacing w:line="240" w:lineRule="auto"/>
        <w:rPr>
          <w:i/>
          <w:iCs/>
          <w:color w:val="000000" w:themeColor="text1"/>
          <w:sz w:val="20"/>
          <w:szCs w:val="20"/>
          <w:lang w:val="fr-LU"/>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color w:val="000000" w:themeColor="text1"/>
          <w:sz w:val="20"/>
          <w:szCs w:val="20"/>
          <w:shd w:val="clear" w:color="auto" w:fill="FFFFFF"/>
        </w:rPr>
        <w:t xml:space="preserve">CJUE, 15 novembre 2012, aff. C-456/11, </w:t>
      </w:r>
      <w:r w:rsidRPr="00187D76">
        <w:rPr>
          <w:i/>
          <w:iCs/>
          <w:color w:val="000000" w:themeColor="text1"/>
          <w:sz w:val="20"/>
          <w:szCs w:val="20"/>
          <w:shd w:val="clear" w:color="auto" w:fill="FFFFFF"/>
        </w:rPr>
        <w:t>Gothaer.</w:t>
      </w:r>
    </w:p>
  </w:footnote>
  <w:footnote w:id="79">
    <w:p w14:paraId="5D07ED79" w14:textId="47010655" w:rsidR="00AC178D" w:rsidRPr="00187D76" w:rsidRDefault="00AC178D"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rFonts w:eastAsia="Times New Roman"/>
          <w:color w:val="000000" w:themeColor="text1"/>
          <w:sz w:val="20"/>
          <w:szCs w:val="20"/>
          <w:lang w:eastAsia="fr-FR"/>
        </w:rPr>
        <w:t>« D</w:t>
      </w:r>
      <w:r w:rsidR="00BB76F1">
        <w:rPr>
          <w:rFonts w:eastAsia="Times New Roman"/>
          <w:color w:val="000000" w:themeColor="text1"/>
          <w:sz w:val="20"/>
          <w:szCs w:val="20"/>
          <w:lang w:eastAsia="fr-FR"/>
        </w:rPr>
        <w:t>’</w:t>
      </w:r>
      <w:r w:rsidRPr="00187D76">
        <w:rPr>
          <w:rFonts w:eastAsia="Times New Roman"/>
          <w:color w:val="000000" w:themeColor="text1"/>
          <w:sz w:val="20"/>
          <w:szCs w:val="20"/>
          <w:lang w:eastAsia="fr-FR"/>
        </w:rPr>
        <w:t>une part il ne semble pas qu</w:t>
      </w:r>
      <w:r w:rsidR="00BB76F1">
        <w:rPr>
          <w:rFonts w:eastAsia="Times New Roman"/>
          <w:color w:val="000000" w:themeColor="text1"/>
          <w:sz w:val="20"/>
          <w:szCs w:val="20"/>
          <w:lang w:eastAsia="fr-FR"/>
        </w:rPr>
        <w:t>’</w:t>
      </w:r>
      <w:r w:rsidRPr="00187D76">
        <w:rPr>
          <w:rFonts w:eastAsia="Times New Roman"/>
          <w:color w:val="000000" w:themeColor="text1"/>
          <w:sz w:val="20"/>
          <w:szCs w:val="20"/>
          <w:lang w:eastAsia="fr-FR"/>
        </w:rPr>
        <w:t>il faille limiter la solution aux seules décisions qui portent sur une clause attributive de juridiction. La distinction essentielle de ces dernières avec celles portant sur l</w:t>
      </w:r>
      <w:r w:rsidR="00BB76F1">
        <w:rPr>
          <w:rFonts w:eastAsia="Times New Roman"/>
          <w:color w:val="000000" w:themeColor="text1"/>
          <w:sz w:val="20"/>
          <w:szCs w:val="20"/>
          <w:lang w:eastAsia="fr-FR"/>
        </w:rPr>
        <w:t>’</w:t>
      </w:r>
      <w:r w:rsidRPr="00187D76">
        <w:rPr>
          <w:rFonts w:eastAsia="Times New Roman"/>
          <w:color w:val="000000" w:themeColor="text1"/>
          <w:sz w:val="20"/>
          <w:szCs w:val="20"/>
          <w:lang w:eastAsia="fr-FR"/>
        </w:rPr>
        <w:t>application d</w:t>
      </w:r>
      <w:r w:rsidR="00BB76F1">
        <w:rPr>
          <w:rFonts w:eastAsia="Times New Roman"/>
          <w:color w:val="000000" w:themeColor="text1"/>
          <w:sz w:val="20"/>
          <w:szCs w:val="20"/>
          <w:lang w:eastAsia="fr-FR"/>
        </w:rPr>
        <w:t>’</w:t>
      </w:r>
      <w:r w:rsidRPr="00187D76">
        <w:rPr>
          <w:rFonts w:eastAsia="Times New Roman"/>
          <w:color w:val="000000" w:themeColor="text1"/>
          <w:sz w:val="20"/>
          <w:szCs w:val="20"/>
          <w:lang w:eastAsia="fr-FR"/>
        </w:rPr>
        <w:t>une règle de rattachement est en effet que les unes pourraient être qualifiées de substantielles l</w:t>
      </w:r>
      <w:r w:rsidR="00214695">
        <w:rPr>
          <w:rFonts w:eastAsia="Times New Roman"/>
          <w:color w:val="000000" w:themeColor="text1"/>
          <w:sz w:val="20"/>
          <w:szCs w:val="20"/>
          <w:lang w:eastAsia="fr-FR"/>
        </w:rPr>
        <w:t>à où</w:t>
      </w:r>
      <w:r w:rsidRPr="00187D76">
        <w:rPr>
          <w:rFonts w:eastAsia="Times New Roman"/>
          <w:color w:val="000000" w:themeColor="text1"/>
          <w:sz w:val="20"/>
          <w:szCs w:val="20"/>
          <w:lang w:eastAsia="fr-FR"/>
        </w:rPr>
        <w:t xml:space="preserve"> les autres sont très clairement des décisions de procédure. Or c</w:t>
      </w:r>
      <w:r w:rsidR="00BB76F1">
        <w:rPr>
          <w:rFonts w:eastAsia="Times New Roman"/>
          <w:color w:val="000000" w:themeColor="text1"/>
          <w:sz w:val="20"/>
          <w:szCs w:val="20"/>
          <w:lang w:eastAsia="fr-FR"/>
        </w:rPr>
        <w:t>’</w:t>
      </w:r>
      <w:r w:rsidRPr="00187D76">
        <w:rPr>
          <w:rFonts w:eastAsia="Times New Roman"/>
          <w:color w:val="000000" w:themeColor="text1"/>
          <w:sz w:val="20"/>
          <w:szCs w:val="20"/>
          <w:lang w:eastAsia="fr-FR"/>
        </w:rPr>
        <w:t xml:space="preserve">est précisément le premier point que la </w:t>
      </w:r>
      <w:r w:rsidR="009D6D3B">
        <w:rPr>
          <w:rFonts w:eastAsia="Times New Roman"/>
          <w:color w:val="000000" w:themeColor="text1"/>
          <w:sz w:val="20"/>
          <w:szCs w:val="20"/>
          <w:lang w:eastAsia="fr-FR"/>
        </w:rPr>
        <w:t>C</w:t>
      </w:r>
      <w:r w:rsidRPr="00187D76">
        <w:rPr>
          <w:rFonts w:eastAsia="Times New Roman"/>
          <w:color w:val="000000" w:themeColor="text1"/>
          <w:sz w:val="20"/>
          <w:szCs w:val="20"/>
          <w:lang w:eastAsia="fr-FR"/>
        </w:rPr>
        <w:t>our de justice s</w:t>
      </w:r>
      <w:r w:rsidR="00BB76F1">
        <w:rPr>
          <w:rFonts w:eastAsia="Times New Roman"/>
          <w:color w:val="000000" w:themeColor="text1"/>
          <w:sz w:val="20"/>
          <w:szCs w:val="20"/>
          <w:lang w:eastAsia="fr-FR"/>
        </w:rPr>
        <w:t>’</w:t>
      </w:r>
      <w:r w:rsidRPr="00187D76">
        <w:rPr>
          <w:rFonts w:eastAsia="Times New Roman"/>
          <w:color w:val="000000" w:themeColor="text1"/>
          <w:sz w:val="20"/>
          <w:szCs w:val="20"/>
          <w:lang w:eastAsia="fr-FR"/>
        </w:rPr>
        <w:t>est attachée à balayer :</w:t>
      </w:r>
      <w:r w:rsidR="008C1623" w:rsidRPr="00187D76">
        <w:rPr>
          <w:rFonts w:eastAsia="Times New Roman"/>
          <w:color w:val="000000" w:themeColor="text1"/>
          <w:sz w:val="20"/>
          <w:szCs w:val="20"/>
          <w:lang w:eastAsia="fr-FR"/>
        </w:rPr>
        <w:t xml:space="preserve"> </w:t>
      </w:r>
      <w:r w:rsidRPr="00187D76">
        <w:rPr>
          <w:rFonts w:eastAsia="Times New Roman"/>
          <w:color w:val="000000" w:themeColor="text1"/>
          <w:sz w:val="20"/>
          <w:szCs w:val="20"/>
          <w:lang w:eastAsia="fr-FR"/>
        </w:rPr>
        <w:t>toutes les décisions sont aptes à la reconnaissance. D</w:t>
      </w:r>
      <w:r w:rsidR="00BB76F1">
        <w:rPr>
          <w:rFonts w:eastAsia="Times New Roman"/>
          <w:color w:val="000000" w:themeColor="text1"/>
          <w:sz w:val="20"/>
          <w:szCs w:val="20"/>
          <w:lang w:eastAsia="fr-FR"/>
        </w:rPr>
        <w:t>’</w:t>
      </w:r>
      <w:r w:rsidRPr="00187D76">
        <w:rPr>
          <w:rFonts w:eastAsia="Times New Roman"/>
          <w:color w:val="000000" w:themeColor="text1"/>
          <w:sz w:val="20"/>
          <w:szCs w:val="20"/>
          <w:lang w:eastAsia="fr-FR"/>
        </w:rPr>
        <w:t>autre part limiter cette jurisprudence aux seules décisions portant sur l</w:t>
      </w:r>
      <w:r w:rsidR="00BB76F1">
        <w:rPr>
          <w:rFonts w:eastAsia="Times New Roman"/>
          <w:color w:val="000000" w:themeColor="text1"/>
          <w:sz w:val="20"/>
          <w:szCs w:val="20"/>
          <w:lang w:eastAsia="fr-FR"/>
        </w:rPr>
        <w:t>’</w:t>
      </w:r>
      <w:r w:rsidRPr="00187D76">
        <w:rPr>
          <w:rFonts w:eastAsia="Times New Roman"/>
          <w:color w:val="000000" w:themeColor="text1"/>
          <w:sz w:val="20"/>
          <w:szCs w:val="20"/>
          <w:lang w:eastAsia="fr-FR"/>
        </w:rPr>
        <w:t>application du système de compétences de Bruxelles serait une erreur : la clause attributive en question dans l</w:t>
      </w:r>
      <w:r w:rsidR="00BB76F1">
        <w:rPr>
          <w:rFonts w:eastAsia="Times New Roman"/>
          <w:color w:val="000000" w:themeColor="text1"/>
          <w:sz w:val="20"/>
          <w:szCs w:val="20"/>
          <w:lang w:eastAsia="fr-FR"/>
        </w:rPr>
        <w:t>’</w:t>
      </w:r>
      <w:r w:rsidRPr="00187D76">
        <w:rPr>
          <w:rFonts w:eastAsia="Times New Roman"/>
          <w:color w:val="000000" w:themeColor="text1"/>
          <w:sz w:val="20"/>
          <w:szCs w:val="20"/>
          <w:lang w:eastAsia="fr-FR"/>
        </w:rPr>
        <w:t>espèce n</w:t>
      </w:r>
      <w:r w:rsidR="00BB76F1">
        <w:rPr>
          <w:rFonts w:eastAsia="Times New Roman"/>
          <w:color w:val="000000" w:themeColor="text1"/>
          <w:sz w:val="20"/>
          <w:szCs w:val="20"/>
          <w:lang w:eastAsia="fr-FR"/>
        </w:rPr>
        <w:t>’</w:t>
      </w:r>
      <w:r w:rsidRPr="00187D76">
        <w:rPr>
          <w:rFonts w:eastAsia="Times New Roman"/>
          <w:color w:val="000000" w:themeColor="text1"/>
          <w:sz w:val="20"/>
          <w:szCs w:val="20"/>
          <w:lang w:eastAsia="fr-FR"/>
        </w:rPr>
        <w:t>était pas régie par ce système mais par celui de la convention de Lugano »</w:t>
      </w:r>
      <w:r w:rsidRPr="00187D76">
        <w:rPr>
          <w:color w:val="000000" w:themeColor="text1"/>
          <w:sz w:val="20"/>
          <w:szCs w:val="20"/>
        </w:rPr>
        <w:t>, F</w:t>
      </w:r>
      <w:r w:rsidRPr="00187D76">
        <w:rPr>
          <w:rFonts w:eastAsia="Times New Roman"/>
          <w:color w:val="000000" w:themeColor="text1"/>
          <w:sz w:val="20"/>
          <w:szCs w:val="20"/>
          <w:lang w:eastAsia="fr-FR"/>
        </w:rPr>
        <w:t>.</w:t>
      </w:r>
      <w:r w:rsidR="008C1623" w:rsidRPr="00187D76">
        <w:rPr>
          <w:rFonts w:eastAsia="Times New Roman"/>
          <w:color w:val="000000" w:themeColor="text1"/>
          <w:sz w:val="20"/>
          <w:szCs w:val="20"/>
          <w:lang w:eastAsia="fr-FR"/>
        </w:rPr>
        <w:t xml:space="preserve"> </w:t>
      </w:r>
      <w:r w:rsidRPr="00187D76">
        <w:rPr>
          <w:rFonts w:eastAsia="Times New Roman"/>
          <w:smallCaps/>
          <w:color w:val="000000" w:themeColor="text1"/>
          <w:sz w:val="20"/>
          <w:szCs w:val="20"/>
          <w:lang w:eastAsia="fr-FR"/>
        </w:rPr>
        <w:t>Mailhé</w:t>
      </w:r>
      <w:r w:rsidRPr="00187D76">
        <w:rPr>
          <w:rFonts w:eastAsia="Times New Roman"/>
          <w:color w:val="000000" w:themeColor="text1"/>
          <w:sz w:val="20"/>
          <w:szCs w:val="20"/>
          <w:shd w:val="clear" w:color="auto" w:fill="FFFFFF"/>
          <w:lang w:eastAsia="fr-FR"/>
        </w:rPr>
        <w:t>, </w:t>
      </w:r>
      <w:r w:rsidRPr="00187D76">
        <w:rPr>
          <w:rFonts w:eastAsia="Times New Roman"/>
          <w:i/>
          <w:iCs/>
          <w:color w:val="000000" w:themeColor="text1"/>
          <w:sz w:val="20"/>
          <w:szCs w:val="20"/>
          <w:lang w:eastAsia="fr-FR"/>
        </w:rPr>
        <w:t>L</w:t>
      </w:r>
      <w:r w:rsidR="00BB76F1">
        <w:rPr>
          <w:rFonts w:eastAsia="Times New Roman"/>
          <w:i/>
          <w:iCs/>
          <w:color w:val="000000" w:themeColor="text1"/>
          <w:sz w:val="20"/>
          <w:szCs w:val="20"/>
          <w:lang w:eastAsia="fr-FR"/>
        </w:rPr>
        <w:t>’</w:t>
      </w:r>
      <w:r w:rsidRPr="00187D76">
        <w:rPr>
          <w:rFonts w:eastAsia="Times New Roman"/>
          <w:i/>
          <w:iCs/>
          <w:color w:val="000000" w:themeColor="text1"/>
          <w:sz w:val="20"/>
          <w:szCs w:val="20"/>
          <w:lang w:eastAsia="fr-FR"/>
        </w:rPr>
        <w:t>organisation de la concurrence internationale des juridictions : la compétence face à la mondialisation économique</w:t>
      </w:r>
      <w:r w:rsidRPr="00187D76">
        <w:rPr>
          <w:rFonts w:eastAsia="Times New Roman"/>
          <w:color w:val="000000" w:themeColor="text1"/>
          <w:sz w:val="20"/>
          <w:szCs w:val="20"/>
          <w:shd w:val="clear" w:color="auto" w:fill="FFFFFF"/>
          <w:lang w:eastAsia="fr-FR"/>
        </w:rPr>
        <w:t xml:space="preserve">, thèse Paris II, décembre 2013, n° 668. </w:t>
      </w:r>
    </w:p>
  </w:footnote>
  <w:footnote w:id="80">
    <w:p w14:paraId="142E323F" w14:textId="55146361" w:rsidR="00AC178D" w:rsidRPr="00187D76" w:rsidRDefault="00AC178D"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Voy. la thèse de François Mailhé précitée, </w:t>
      </w:r>
      <w:r w:rsidRPr="00187D76">
        <w:rPr>
          <w:color w:val="000000" w:themeColor="text1"/>
          <w:sz w:val="20"/>
          <w:szCs w:val="20"/>
          <w:lang w:eastAsia="fr-FR"/>
        </w:rPr>
        <w:t>qui démontre</w:t>
      </w:r>
      <w:r w:rsidRPr="00187D76">
        <w:rPr>
          <w:color w:val="000000" w:themeColor="text1"/>
          <w:sz w:val="20"/>
          <w:szCs w:val="20"/>
          <w:lang w:val="fr-LU" w:eastAsia="fr-FR"/>
        </w:rPr>
        <w:t xml:space="preserve"> qu</w:t>
      </w:r>
      <w:r w:rsidR="00BB76F1">
        <w:rPr>
          <w:color w:val="000000" w:themeColor="text1"/>
          <w:sz w:val="20"/>
          <w:szCs w:val="20"/>
          <w:lang w:val="fr-LU" w:eastAsia="fr-FR"/>
        </w:rPr>
        <w:t>’</w:t>
      </w:r>
      <w:r w:rsidRPr="00187D76">
        <w:rPr>
          <w:color w:val="000000" w:themeColor="text1"/>
          <w:sz w:val="20"/>
          <w:szCs w:val="20"/>
          <w:lang w:val="fr-LU" w:eastAsia="fr-FR"/>
        </w:rPr>
        <w:t xml:space="preserve">en présence </w:t>
      </w:r>
      <w:r w:rsidRPr="00187D76">
        <w:rPr>
          <w:color w:val="000000" w:themeColor="text1"/>
          <w:sz w:val="20"/>
          <w:szCs w:val="20"/>
          <w:lang w:eastAsia="fr-FR"/>
        </w:rPr>
        <w:t>d</w:t>
      </w:r>
      <w:r w:rsidR="00BB76F1">
        <w:rPr>
          <w:color w:val="000000" w:themeColor="text1"/>
          <w:sz w:val="20"/>
          <w:szCs w:val="20"/>
          <w:lang w:eastAsia="fr-FR"/>
        </w:rPr>
        <w:t>’</w:t>
      </w:r>
      <w:r w:rsidRPr="00187D76">
        <w:rPr>
          <w:color w:val="000000" w:themeColor="text1"/>
          <w:sz w:val="20"/>
          <w:szCs w:val="20"/>
          <w:lang w:eastAsia="fr-FR"/>
        </w:rPr>
        <w:t>un instrument tel que le Règlement Bruxelles I bis</w:t>
      </w:r>
      <w:r w:rsidRPr="00187D76">
        <w:rPr>
          <w:color w:val="000000" w:themeColor="text1"/>
          <w:sz w:val="20"/>
          <w:szCs w:val="20"/>
          <w:lang w:val="fr-LU" w:eastAsia="fr-FR"/>
        </w:rPr>
        <w:t xml:space="preserve">, il </w:t>
      </w:r>
      <w:r w:rsidRPr="00187D76">
        <w:rPr>
          <w:color w:val="000000" w:themeColor="text1"/>
          <w:sz w:val="20"/>
          <w:szCs w:val="20"/>
          <w:lang w:eastAsia="fr-FR"/>
        </w:rPr>
        <w:t xml:space="preserve">faut </w:t>
      </w:r>
      <w:r w:rsidRPr="00187D76">
        <w:rPr>
          <w:color w:val="000000" w:themeColor="text1"/>
          <w:sz w:val="20"/>
          <w:szCs w:val="20"/>
          <w:lang w:val="fr-LU" w:eastAsia="fr-FR"/>
        </w:rPr>
        <w:t>admettre que le juge puisse se prononcer sur la compétence de son homologue étranger.</w:t>
      </w:r>
    </w:p>
  </w:footnote>
  <w:footnote w:id="81">
    <w:p w14:paraId="4B4A54F5" w14:textId="087A6880" w:rsidR="00AC178D" w:rsidRPr="00187D76" w:rsidRDefault="00AC178D"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color w:val="000000" w:themeColor="text1"/>
          <w:sz w:val="20"/>
          <w:szCs w:val="20"/>
          <w:lang w:eastAsia="fr-FR"/>
        </w:rPr>
        <w:t xml:space="preserve">Voy. </w:t>
      </w:r>
      <w:r w:rsidRPr="00187D76">
        <w:rPr>
          <w:color w:val="000000" w:themeColor="text1"/>
          <w:sz w:val="20"/>
          <w:szCs w:val="20"/>
          <w:lang w:val="fr-LU" w:eastAsia="fr-FR"/>
        </w:rPr>
        <w:t>l</w:t>
      </w:r>
      <w:r w:rsidR="00BB76F1">
        <w:rPr>
          <w:color w:val="000000" w:themeColor="text1"/>
          <w:sz w:val="20"/>
          <w:szCs w:val="20"/>
          <w:lang w:val="fr-LU" w:eastAsia="fr-FR"/>
        </w:rPr>
        <w:t>’</w:t>
      </w:r>
      <w:r w:rsidRPr="00187D76">
        <w:rPr>
          <w:color w:val="000000" w:themeColor="text1"/>
          <w:sz w:val="20"/>
          <w:szCs w:val="20"/>
          <w:lang w:val="fr-LU" w:eastAsia="fr-FR"/>
        </w:rPr>
        <w:t>article 8 de la Convention du 30 juin 2005 sur les accords d</w:t>
      </w:r>
      <w:r w:rsidR="00BB76F1">
        <w:rPr>
          <w:color w:val="000000" w:themeColor="text1"/>
          <w:sz w:val="20"/>
          <w:szCs w:val="20"/>
          <w:lang w:val="fr-LU" w:eastAsia="fr-FR"/>
        </w:rPr>
        <w:t>’</w:t>
      </w:r>
      <w:r w:rsidRPr="00187D76">
        <w:rPr>
          <w:color w:val="000000" w:themeColor="text1"/>
          <w:sz w:val="20"/>
          <w:szCs w:val="20"/>
          <w:lang w:val="fr-LU" w:eastAsia="fr-FR"/>
        </w:rPr>
        <w:t>élection de for.</w:t>
      </w:r>
    </w:p>
  </w:footnote>
  <w:footnote w:id="82">
    <w:p w14:paraId="36794F8A" w14:textId="3F68E89C" w:rsidR="00876AE7" w:rsidRPr="00187D76" w:rsidRDefault="00876AE7" w:rsidP="00187D76">
      <w:pPr>
        <w:pStyle w:val="Sansinterligne"/>
        <w:spacing w:line="240" w:lineRule="auto"/>
        <w:rPr>
          <w:rFonts w:eastAsia="Times New Roman"/>
          <w:color w:val="000000" w:themeColor="text1"/>
          <w:sz w:val="20"/>
          <w:szCs w:val="20"/>
          <w:lang w:val="fr-LU" w:eastAsia="fr-FR"/>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sz w:val="20"/>
          <w:szCs w:val="20"/>
        </w:rPr>
        <w:t>Un juge ne saurait désigner la juridiction étrangère compétente ni lier celle-ci par sa décision</w:t>
      </w:r>
      <w:r w:rsidRPr="00187D76">
        <w:rPr>
          <w:color w:val="000000" w:themeColor="text1"/>
          <w:sz w:val="20"/>
          <w:szCs w:val="20"/>
          <w:shd w:val="clear" w:color="auto" w:fill="FFFFFF"/>
        </w:rPr>
        <w:t>, voy. Civ. 1</w:t>
      </w:r>
      <w:r w:rsidRPr="00187D76">
        <w:rPr>
          <w:color w:val="000000" w:themeColor="text1"/>
          <w:sz w:val="20"/>
          <w:szCs w:val="20"/>
          <w:vertAlign w:val="superscript"/>
        </w:rPr>
        <w:t>re</w:t>
      </w:r>
      <w:r w:rsidRPr="00187D76">
        <w:rPr>
          <w:color w:val="000000" w:themeColor="text1"/>
          <w:sz w:val="20"/>
          <w:szCs w:val="20"/>
          <w:shd w:val="clear" w:color="auto" w:fill="FFFFFF"/>
        </w:rPr>
        <w:t>, 29 janvier 2020, n° 18-24.591, Rev. crit. DIP 2020. 495, note H. Gaudemet-Tallon</w:t>
      </w:r>
      <w:r w:rsidRPr="00187D76">
        <w:rPr>
          <w:rStyle w:val="apple-converted-space"/>
          <w:color w:val="000000" w:themeColor="text1"/>
          <w:sz w:val="20"/>
          <w:szCs w:val="20"/>
          <w:shd w:val="clear" w:color="auto" w:fill="FFFFFF"/>
        </w:rPr>
        <w:t> </w:t>
      </w:r>
      <w:r w:rsidRPr="00187D76">
        <w:rPr>
          <w:color w:val="000000" w:themeColor="text1"/>
          <w:sz w:val="20"/>
          <w:szCs w:val="20"/>
          <w:shd w:val="clear" w:color="auto" w:fill="FFFFFF"/>
        </w:rPr>
        <w:t>; Civ. 1</w:t>
      </w:r>
      <w:r w:rsidRPr="00187D76">
        <w:rPr>
          <w:color w:val="000000" w:themeColor="text1"/>
          <w:sz w:val="20"/>
          <w:szCs w:val="20"/>
          <w:vertAlign w:val="superscript"/>
        </w:rPr>
        <w:t>re</w:t>
      </w:r>
      <w:r w:rsidRPr="00187D76">
        <w:rPr>
          <w:color w:val="000000" w:themeColor="text1"/>
          <w:sz w:val="20"/>
          <w:szCs w:val="20"/>
          <w:shd w:val="clear" w:color="auto" w:fill="FFFFFF"/>
        </w:rPr>
        <w:t>, 14 avr. 2021, n° 19-24.773 Bull. I ; D. 2021. 798; Civ. 1</w:t>
      </w:r>
      <w:r w:rsidRPr="00187D76">
        <w:rPr>
          <w:color w:val="000000" w:themeColor="text1"/>
          <w:sz w:val="20"/>
          <w:szCs w:val="20"/>
          <w:vertAlign w:val="superscript"/>
        </w:rPr>
        <w:t>re</w:t>
      </w:r>
      <w:r w:rsidRPr="00187D76">
        <w:rPr>
          <w:color w:val="000000" w:themeColor="text1"/>
          <w:sz w:val="20"/>
          <w:szCs w:val="20"/>
          <w:shd w:val="clear" w:color="auto" w:fill="FFFFFF"/>
        </w:rPr>
        <w:t>, 12 mai 2021, n° 19-24.229</w:t>
      </w:r>
      <w:r w:rsidRPr="00187D76">
        <w:rPr>
          <w:color w:val="000000" w:themeColor="text1"/>
          <w:sz w:val="20"/>
          <w:szCs w:val="20"/>
        </w:rPr>
        <w:t xml:space="preserve">, </w:t>
      </w:r>
      <w:r w:rsidRPr="00187D76">
        <w:rPr>
          <w:rFonts w:eastAsia="Times New Roman"/>
          <w:color w:val="000000" w:themeColor="text1"/>
          <w:sz w:val="20"/>
          <w:szCs w:val="20"/>
          <w:lang w:eastAsia="fr-FR"/>
        </w:rPr>
        <w:t>cité</w:t>
      </w:r>
      <w:r w:rsidRPr="00187D76">
        <w:rPr>
          <w:color w:val="000000" w:themeColor="text1"/>
          <w:sz w:val="20"/>
          <w:szCs w:val="20"/>
        </w:rPr>
        <w:t>s</w:t>
      </w:r>
      <w:r w:rsidRPr="00187D76">
        <w:rPr>
          <w:rFonts w:eastAsia="Times New Roman"/>
          <w:color w:val="000000" w:themeColor="text1"/>
          <w:sz w:val="20"/>
          <w:szCs w:val="20"/>
          <w:lang w:eastAsia="fr-FR"/>
        </w:rPr>
        <w:t xml:space="preserve"> par </w:t>
      </w:r>
      <w:r w:rsidRPr="00187D76">
        <w:rPr>
          <w:smallCaps/>
          <w:color w:val="000000" w:themeColor="text1"/>
          <w:sz w:val="20"/>
          <w:szCs w:val="20"/>
          <w:lang w:val="fr-LU" w:eastAsia="fr-FR"/>
        </w:rPr>
        <w:t xml:space="preserve">D. </w:t>
      </w:r>
      <w:r w:rsidRPr="00187D76">
        <w:rPr>
          <w:smallCaps/>
          <w:color w:val="000000" w:themeColor="text1"/>
          <w:sz w:val="20"/>
          <w:szCs w:val="20"/>
          <w:lang w:eastAsia="fr-FR"/>
        </w:rPr>
        <w:t>Foussard,</w:t>
      </w:r>
      <w:r w:rsidRPr="00187D76">
        <w:rPr>
          <w:color w:val="000000" w:themeColor="text1"/>
          <w:sz w:val="20"/>
          <w:szCs w:val="20"/>
          <w:lang w:eastAsia="fr-FR"/>
        </w:rPr>
        <w:t xml:space="preserve"> « </w:t>
      </w:r>
      <w:r w:rsidRPr="00187D76">
        <w:rPr>
          <w:color w:val="000000" w:themeColor="text1"/>
          <w:sz w:val="20"/>
          <w:szCs w:val="20"/>
          <w:lang w:val="fr-LU" w:eastAsia="fr-FR"/>
        </w:rPr>
        <w:t>À propos de l</w:t>
      </w:r>
      <w:r w:rsidR="00BB76F1">
        <w:rPr>
          <w:color w:val="000000" w:themeColor="text1"/>
          <w:sz w:val="20"/>
          <w:szCs w:val="20"/>
          <w:lang w:val="fr-LU" w:eastAsia="fr-FR"/>
        </w:rPr>
        <w:t>’</w:t>
      </w:r>
      <w:r w:rsidRPr="00187D76">
        <w:rPr>
          <w:color w:val="000000" w:themeColor="text1"/>
          <w:sz w:val="20"/>
          <w:szCs w:val="20"/>
          <w:lang w:val="fr-LU" w:eastAsia="fr-FR"/>
        </w:rPr>
        <w:t>exception d</w:t>
      </w:r>
      <w:r w:rsidR="00BB76F1">
        <w:rPr>
          <w:color w:val="000000" w:themeColor="text1"/>
          <w:sz w:val="20"/>
          <w:szCs w:val="20"/>
          <w:lang w:val="fr-LU" w:eastAsia="fr-FR"/>
        </w:rPr>
        <w:t>’</w:t>
      </w:r>
      <w:r w:rsidRPr="00187D76">
        <w:rPr>
          <w:color w:val="000000" w:themeColor="text1"/>
          <w:sz w:val="20"/>
          <w:szCs w:val="20"/>
          <w:lang w:val="fr-LU" w:eastAsia="fr-FR"/>
        </w:rPr>
        <w:t>incompétence en matière internationale : obligation pour l</w:t>
      </w:r>
      <w:r w:rsidR="00BB76F1">
        <w:rPr>
          <w:color w:val="000000" w:themeColor="text1"/>
          <w:sz w:val="20"/>
          <w:szCs w:val="20"/>
          <w:lang w:val="fr-LU" w:eastAsia="fr-FR"/>
        </w:rPr>
        <w:t>’</w:t>
      </w:r>
      <w:r w:rsidRPr="00187D76">
        <w:rPr>
          <w:color w:val="000000" w:themeColor="text1"/>
          <w:sz w:val="20"/>
          <w:szCs w:val="20"/>
          <w:lang w:val="fr-LU" w:eastAsia="fr-FR"/>
        </w:rPr>
        <w:t>auteur de l</w:t>
      </w:r>
      <w:r w:rsidR="00BB76F1">
        <w:rPr>
          <w:color w:val="000000" w:themeColor="text1"/>
          <w:sz w:val="20"/>
          <w:szCs w:val="20"/>
          <w:lang w:val="fr-LU" w:eastAsia="fr-FR"/>
        </w:rPr>
        <w:t>’</w:t>
      </w:r>
      <w:r w:rsidRPr="00187D76">
        <w:rPr>
          <w:color w:val="000000" w:themeColor="text1"/>
          <w:sz w:val="20"/>
          <w:szCs w:val="20"/>
          <w:lang w:val="fr-LU" w:eastAsia="fr-FR"/>
        </w:rPr>
        <w:t>exception de désigner le juge étranger compétent</w:t>
      </w:r>
      <w:r w:rsidRPr="00187D76">
        <w:rPr>
          <w:color w:val="000000" w:themeColor="text1"/>
          <w:sz w:val="20"/>
          <w:szCs w:val="20"/>
          <w:lang w:eastAsia="fr-FR"/>
        </w:rPr>
        <w:t xml:space="preserve"> », </w:t>
      </w:r>
      <w:r w:rsidRPr="00187D76">
        <w:rPr>
          <w:i/>
          <w:iCs/>
          <w:color w:val="000000" w:themeColor="text1"/>
          <w:sz w:val="20"/>
          <w:szCs w:val="20"/>
          <w:lang w:eastAsia="fr-FR"/>
        </w:rPr>
        <w:t>RCDIP</w:t>
      </w:r>
      <w:r w:rsidRPr="00187D76">
        <w:rPr>
          <w:color w:val="000000" w:themeColor="text1"/>
          <w:sz w:val="20"/>
          <w:szCs w:val="20"/>
          <w:lang w:eastAsia="fr-FR"/>
        </w:rPr>
        <w:t>,</w:t>
      </w:r>
      <w:r w:rsidRPr="00187D76">
        <w:rPr>
          <w:color w:val="000000" w:themeColor="text1"/>
          <w:sz w:val="20"/>
          <w:szCs w:val="20"/>
          <w:lang w:val="fr-LU" w:eastAsia="fr-FR"/>
        </w:rPr>
        <w:t xml:space="preserve"> 2021 p.639</w:t>
      </w:r>
      <w:r w:rsidRPr="00187D76">
        <w:rPr>
          <w:color w:val="000000" w:themeColor="text1"/>
          <w:sz w:val="20"/>
          <w:szCs w:val="20"/>
          <w:lang w:eastAsia="fr-FR"/>
        </w:rPr>
        <w:t>, note 4.</w:t>
      </w:r>
    </w:p>
  </w:footnote>
  <w:footnote w:id="83">
    <w:p w14:paraId="7DAA0C13" w14:textId="5EF7A1EC" w:rsidR="00AC178D" w:rsidRPr="00187D76" w:rsidRDefault="00AC178D" w:rsidP="00187D76">
      <w:pPr>
        <w:pStyle w:val="Sansinterligne"/>
        <w:spacing w:line="240" w:lineRule="auto"/>
        <w:rPr>
          <w:rFonts w:eastAsia="Times New Roman"/>
          <w:color w:val="000000" w:themeColor="text1"/>
          <w:sz w:val="20"/>
          <w:szCs w:val="20"/>
          <w:lang w:eastAsia="fr-FR"/>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rFonts w:eastAsia="Times New Roman"/>
          <w:color w:val="000000" w:themeColor="text1"/>
          <w:sz w:val="20"/>
          <w:szCs w:val="20"/>
          <w:shd w:val="clear" w:color="auto" w:fill="FFFFFF"/>
          <w:lang w:eastAsia="fr-FR"/>
        </w:rPr>
        <w:t>Civ. 2</w:t>
      </w:r>
      <w:r w:rsidRPr="00187D76">
        <w:rPr>
          <w:rFonts w:eastAsia="Times New Roman"/>
          <w:color w:val="000000" w:themeColor="text1"/>
          <w:sz w:val="20"/>
          <w:szCs w:val="20"/>
          <w:vertAlign w:val="superscript"/>
          <w:lang w:eastAsia="fr-FR"/>
        </w:rPr>
        <w:t>e</w:t>
      </w:r>
      <w:r w:rsidRPr="00187D76">
        <w:rPr>
          <w:rFonts w:eastAsia="Times New Roman"/>
          <w:color w:val="000000" w:themeColor="text1"/>
          <w:sz w:val="20"/>
          <w:szCs w:val="20"/>
          <w:shd w:val="clear" w:color="auto" w:fill="FFFFFF"/>
          <w:lang w:eastAsia="fr-FR"/>
        </w:rPr>
        <w:t>, 12 déc. 1973, n° 72-14.643, Bull. II, n° 330, Rev. crit. DIP 1974. 527, note M. S-D. L</w:t>
      </w:r>
      <w:r w:rsidR="00BB76F1">
        <w:rPr>
          <w:rFonts w:eastAsia="Times New Roman"/>
          <w:color w:val="000000" w:themeColor="text1"/>
          <w:sz w:val="20"/>
          <w:szCs w:val="20"/>
          <w:shd w:val="clear" w:color="auto" w:fill="FFFFFF"/>
          <w:lang w:eastAsia="fr-FR"/>
        </w:rPr>
        <w:t>’</w:t>
      </w:r>
      <w:r w:rsidRPr="00187D76">
        <w:rPr>
          <w:rFonts w:eastAsia="Times New Roman"/>
          <w:color w:val="000000" w:themeColor="text1"/>
          <w:sz w:val="20"/>
          <w:szCs w:val="20"/>
          <w:shd w:val="clear" w:color="auto" w:fill="FFFFFF"/>
          <w:lang w:eastAsia="fr-FR"/>
        </w:rPr>
        <w:t>arrêt énonce : « ...</w:t>
      </w:r>
      <w:r w:rsidRPr="00187D76">
        <w:rPr>
          <w:rFonts w:eastAsia="Times New Roman"/>
          <w:i/>
          <w:iCs/>
          <w:color w:val="000000" w:themeColor="text1"/>
          <w:sz w:val="20"/>
          <w:szCs w:val="20"/>
          <w:lang w:eastAsia="fr-FR"/>
        </w:rPr>
        <w:t>l</w:t>
      </w:r>
      <w:r w:rsidR="00BB76F1">
        <w:rPr>
          <w:rFonts w:eastAsia="Times New Roman"/>
          <w:i/>
          <w:iCs/>
          <w:color w:val="000000" w:themeColor="text1"/>
          <w:sz w:val="20"/>
          <w:szCs w:val="20"/>
          <w:lang w:eastAsia="fr-FR"/>
        </w:rPr>
        <w:t>’</w:t>
      </w:r>
      <w:r w:rsidRPr="00187D76">
        <w:rPr>
          <w:rFonts w:eastAsia="Times New Roman"/>
          <w:i/>
          <w:iCs/>
          <w:color w:val="000000" w:themeColor="text1"/>
          <w:sz w:val="20"/>
          <w:szCs w:val="20"/>
          <w:lang w:eastAsia="fr-FR"/>
        </w:rPr>
        <w:t>impossibilité où se trouvait effectivement la juridiction saisie... de procéder, en application de l</w:t>
      </w:r>
      <w:r w:rsidR="00BB76F1">
        <w:rPr>
          <w:rFonts w:eastAsia="Times New Roman"/>
          <w:i/>
          <w:iCs/>
          <w:color w:val="000000" w:themeColor="text1"/>
          <w:sz w:val="20"/>
          <w:szCs w:val="20"/>
          <w:lang w:eastAsia="fr-FR"/>
        </w:rPr>
        <w:t>’</w:t>
      </w:r>
      <w:r w:rsidRPr="00187D76">
        <w:rPr>
          <w:rFonts w:eastAsia="Times New Roman"/>
          <w:i/>
          <w:iCs/>
          <w:color w:val="000000" w:themeColor="text1"/>
          <w:sz w:val="20"/>
          <w:szCs w:val="20"/>
          <w:lang w:eastAsia="fr-FR"/>
        </w:rPr>
        <w:t>alinéa 4 de l</w:t>
      </w:r>
      <w:r w:rsidR="00BB76F1">
        <w:rPr>
          <w:rFonts w:eastAsia="Times New Roman"/>
          <w:i/>
          <w:iCs/>
          <w:color w:val="000000" w:themeColor="text1"/>
          <w:sz w:val="20"/>
          <w:szCs w:val="20"/>
          <w:lang w:eastAsia="fr-FR"/>
        </w:rPr>
        <w:t>’</w:t>
      </w:r>
      <w:r w:rsidRPr="00187D76">
        <w:rPr>
          <w:rFonts w:eastAsia="Times New Roman"/>
          <w:i/>
          <w:iCs/>
          <w:color w:val="000000" w:themeColor="text1"/>
          <w:sz w:val="20"/>
          <w:szCs w:val="20"/>
          <w:lang w:eastAsia="fr-FR"/>
        </w:rPr>
        <w:t>article susvisé, à la désignation impérative d</w:t>
      </w:r>
      <w:r w:rsidR="00BB76F1">
        <w:rPr>
          <w:rFonts w:eastAsia="Times New Roman"/>
          <w:i/>
          <w:iCs/>
          <w:color w:val="000000" w:themeColor="text1"/>
          <w:sz w:val="20"/>
          <w:szCs w:val="20"/>
          <w:lang w:eastAsia="fr-FR"/>
        </w:rPr>
        <w:t>’</w:t>
      </w:r>
      <w:r w:rsidRPr="00187D76">
        <w:rPr>
          <w:rFonts w:eastAsia="Times New Roman"/>
          <w:i/>
          <w:iCs/>
          <w:color w:val="000000" w:themeColor="text1"/>
          <w:sz w:val="20"/>
          <w:szCs w:val="20"/>
          <w:lang w:eastAsia="fr-FR"/>
        </w:rPr>
        <w:t>une juridiction étrangère résultait de la délimitation des souverainetés respectives, et non d</w:t>
      </w:r>
      <w:r w:rsidR="00BB76F1">
        <w:rPr>
          <w:rFonts w:eastAsia="Times New Roman"/>
          <w:i/>
          <w:iCs/>
          <w:color w:val="000000" w:themeColor="text1"/>
          <w:sz w:val="20"/>
          <w:szCs w:val="20"/>
          <w:lang w:eastAsia="fr-FR"/>
        </w:rPr>
        <w:t>’</w:t>
      </w:r>
      <w:r w:rsidRPr="00187D76">
        <w:rPr>
          <w:rFonts w:eastAsia="Times New Roman"/>
          <w:i/>
          <w:iCs/>
          <w:color w:val="000000" w:themeColor="text1"/>
          <w:sz w:val="20"/>
          <w:szCs w:val="20"/>
          <w:lang w:eastAsia="fr-FR"/>
        </w:rPr>
        <w:t>une disposition des lois de procédure et, de ce fait, n</w:t>
      </w:r>
      <w:r w:rsidR="00BB76F1">
        <w:rPr>
          <w:rFonts w:eastAsia="Times New Roman"/>
          <w:i/>
          <w:iCs/>
          <w:color w:val="000000" w:themeColor="text1"/>
          <w:sz w:val="20"/>
          <w:szCs w:val="20"/>
          <w:lang w:eastAsia="fr-FR"/>
        </w:rPr>
        <w:t>’</w:t>
      </w:r>
      <w:r w:rsidRPr="00187D76">
        <w:rPr>
          <w:rFonts w:eastAsia="Times New Roman"/>
          <w:i/>
          <w:iCs/>
          <w:color w:val="000000" w:themeColor="text1"/>
          <w:sz w:val="20"/>
          <w:szCs w:val="20"/>
          <w:lang w:eastAsia="fr-FR"/>
        </w:rPr>
        <w:t>était pas de nature à faire écarter l</w:t>
      </w:r>
      <w:r w:rsidR="00BB76F1">
        <w:rPr>
          <w:rFonts w:eastAsia="Times New Roman"/>
          <w:i/>
          <w:iCs/>
          <w:color w:val="000000" w:themeColor="text1"/>
          <w:sz w:val="20"/>
          <w:szCs w:val="20"/>
          <w:lang w:eastAsia="fr-FR"/>
        </w:rPr>
        <w:t>’</w:t>
      </w:r>
      <w:r w:rsidRPr="00187D76">
        <w:rPr>
          <w:rFonts w:eastAsia="Times New Roman"/>
          <w:i/>
          <w:iCs/>
          <w:color w:val="000000" w:themeColor="text1"/>
          <w:sz w:val="20"/>
          <w:szCs w:val="20"/>
          <w:lang w:eastAsia="fr-FR"/>
        </w:rPr>
        <w:t>application des autres dispositions du texte susvisé »</w:t>
      </w:r>
      <w:r w:rsidRPr="00187D76">
        <w:rPr>
          <w:rFonts w:eastAsia="Times New Roman"/>
          <w:color w:val="000000" w:themeColor="text1"/>
          <w:sz w:val="20"/>
          <w:szCs w:val="20"/>
          <w:lang w:eastAsia="fr-FR"/>
        </w:rPr>
        <w:t xml:space="preserve">, cité par </w:t>
      </w:r>
      <w:r w:rsidRPr="00187D76">
        <w:rPr>
          <w:smallCaps/>
          <w:color w:val="000000" w:themeColor="text1"/>
          <w:sz w:val="20"/>
          <w:szCs w:val="20"/>
          <w:lang w:val="fr-LU" w:eastAsia="fr-FR"/>
        </w:rPr>
        <w:t xml:space="preserve">D. </w:t>
      </w:r>
      <w:r w:rsidRPr="00187D76">
        <w:rPr>
          <w:smallCaps/>
          <w:color w:val="000000" w:themeColor="text1"/>
          <w:sz w:val="20"/>
          <w:szCs w:val="20"/>
          <w:lang w:eastAsia="fr-FR"/>
        </w:rPr>
        <w:t>Foussard,</w:t>
      </w:r>
      <w:r w:rsidRPr="00187D76">
        <w:rPr>
          <w:color w:val="000000" w:themeColor="text1"/>
          <w:sz w:val="20"/>
          <w:szCs w:val="20"/>
          <w:lang w:eastAsia="fr-FR"/>
        </w:rPr>
        <w:t xml:space="preserve"> « </w:t>
      </w:r>
      <w:r w:rsidRPr="00187D76">
        <w:rPr>
          <w:color w:val="000000" w:themeColor="text1"/>
          <w:sz w:val="20"/>
          <w:szCs w:val="20"/>
          <w:lang w:val="fr-LU" w:eastAsia="fr-FR"/>
        </w:rPr>
        <w:t>À propos de l</w:t>
      </w:r>
      <w:r w:rsidR="00BB76F1">
        <w:rPr>
          <w:color w:val="000000" w:themeColor="text1"/>
          <w:sz w:val="20"/>
          <w:szCs w:val="20"/>
          <w:lang w:val="fr-LU" w:eastAsia="fr-FR"/>
        </w:rPr>
        <w:t>’</w:t>
      </w:r>
      <w:r w:rsidRPr="00187D76">
        <w:rPr>
          <w:color w:val="000000" w:themeColor="text1"/>
          <w:sz w:val="20"/>
          <w:szCs w:val="20"/>
          <w:lang w:val="fr-LU" w:eastAsia="fr-FR"/>
        </w:rPr>
        <w:t>exception d</w:t>
      </w:r>
      <w:r w:rsidR="00BB76F1">
        <w:rPr>
          <w:color w:val="000000" w:themeColor="text1"/>
          <w:sz w:val="20"/>
          <w:szCs w:val="20"/>
          <w:lang w:val="fr-LU" w:eastAsia="fr-FR"/>
        </w:rPr>
        <w:t>’</w:t>
      </w:r>
      <w:r w:rsidRPr="00187D76">
        <w:rPr>
          <w:color w:val="000000" w:themeColor="text1"/>
          <w:sz w:val="20"/>
          <w:szCs w:val="20"/>
          <w:lang w:val="fr-LU" w:eastAsia="fr-FR"/>
        </w:rPr>
        <w:t>incompétence en matière internationale : obligation pour l</w:t>
      </w:r>
      <w:r w:rsidR="00BB76F1">
        <w:rPr>
          <w:color w:val="000000" w:themeColor="text1"/>
          <w:sz w:val="20"/>
          <w:szCs w:val="20"/>
          <w:lang w:val="fr-LU" w:eastAsia="fr-FR"/>
        </w:rPr>
        <w:t>’</w:t>
      </w:r>
      <w:r w:rsidRPr="00187D76">
        <w:rPr>
          <w:color w:val="000000" w:themeColor="text1"/>
          <w:sz w:val="20"/>
          <w:szCs w:val="20"/>
          <w:lang w:val="fr-LU" w:eastAsia="fr-FR"/>
        </w:rPr>
        <w:t>auteur de l</w:t>
      </w:r>
      <w:r w:rsidR="00BB76F1">
        <w:rPr>
          <w:color w:val="000000" w:themeColor="text1"/>
          <w:sz w:val="20"/>
          <w:szCs w:val="20"/>
          <w:lang w:val="fr-LU" w:eastAsia="fr-FR"/>
        </w:rPr>
        <w:t>’</w:t>
      </w:r>
      <w:r w:rsidRPr="00187D76">
        <w:rPr>
          <w:color w:val="000000" w:themeColor="text1"/>
          <w:sz w:val="20"/>
          <w:szCs w:val="20"/>
          <w:lang w:val="fr-LU" w:eastAsia="fr-FR"/>
        </w:rPr>
        <w:t>exception de désigner le juge étranger compétent</w:t>
      </w:r>
      <w:r w:rsidRPr="00187D76">
        <w:rPr>
          <w:color w:val="000000" w:themeColor="text1"/>
          <w:sz w:val="20"/>
          <w:szCs w:val="20"/>
          <w:lang w:eastAsia="fr-FR"/>
        </w:rPr>
        <w:t xml:space="preserve"> », </w:t>
      </w:r>
      <w:r w:rsidRPr="00187D76">
        <w:rPr>
          <w:i/>
          <w:iCs/>
          <w:color w:val="000000" w:themeColor="text1"/>
          <w:sz w:val="20"/>
          <w:szCs w:val="20"/>
          <w:lang w:eastAsia="fr-FR"/>
        </w:rPr>
        <w:t>RCDIP</w:t>
      </w:r>
      <w:r w:rsidRPr="00187D76">
        <w:rPr>
          <w:color w:val="000000" w:themeColor="text1"/>
          <w:sz w:val="20"/>
          <w:szCs w:val="20"/>
          <w:lang w:eastAsia="fr-FR"/>
        </w:rPr>
        <w:t>,</w:t>
      </w:r>
      <w:r w:rsidRPr="00187D76">
        <w:rPr>
          <w:color w:val="000000" w:themeColor="text1"/>
          <w:sz w:val="20"/>
          <w:szCs w:val="20"/>
          <w:lang w:val="fr-LU" w:eastAsia="fr-FR"/>
        </w:rPr>
        <w:t xml:space="preserve"> 2021 p.639</w:t>
      </w:r>
      <w:r w:rsidRPr="00187D76">
        <w:rPr>
          <w:color w:val="000000" w:themeColor="text1"/>
          <w:sz w:val="20"/>
          <w:szCs w:val="20"/>
          <w:lang w:eastAsia="fr-FR"/>
        </w:rPr>
        <w:t>, note 4.</w:t>
      </w:r>
    </w:p>
  </w:footnote>
  <w:footnote w:id="84">
    <w:p w14:paraId="7F9E2345" w14:textId="7EBD5E90" w:rsidR="00AC178D" w:rsidRPr="00187D76" w:rsidRDefault="00AC178D" w:rsidP="00187D76">
      <w:pPr>
        <w:pStyle w:val="Sansinterligne"/>
        <w:spacing w:line="240" w:lineRule="auto"/>
        <w:rPr>
          <w:b/>
          <w:bCs/>
          <w:color w:val="000000" w:themeColor="text1"/>
          <w:sz w:val="20"/>
          <w:szCs w:val="20"/>
          <w:lang w:eastAsia="fr-FR"/>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color w:val="000000" w:themeColor="text1"/>
          <w:sz w:val="20"/>
          <w:szCs w:val="20"/>
          <w:lang w:val="fr-LU" w:eastAsia="fr-FR"/>
        </w:rPr>
        <w:t>Civ. 1</w:t>
      </w:r>
      <w:r w:rsidRPr="00187D76">
        <w:rPr>
          <w:color w:val="000000" w:themeColor="text1"/>
          <w:sz w:val="20"/>
          <w:szCs w:val="20"/>
          <w:vertAlign w:val="superscript"/>
          <w:lang w:val="fr-LU" w:eastAsia="fr-FR"/>
        </w:rPr>
        <w:t>re</w:t>
      </w:r>
      <w:r w:rsidRPr="00187D76">
        <w:rPr>
          <w:color w:val="000000" w:themeColor="text1"/>
          <w:sz w:val="20"/>
          <w:szCs w:val="20"/>
          <w:lang w:val="fr-LU" w:eastAsia="fr-FR"/>
        </w:rPr>
        <w:t xml:space="preserve">, 27 janvier 2021, n° 19-23.461, </w:t>
      </w:r>
      <w:r w:rsidRPr="00187D76">
        <w:rPr>
          <w:smallCaps/>
          <w:color w:val="000000" w:themeColor="text1"/>
          <w:sz w:val="20"/>
          <w:szCs w:val="20"/>
          <w:lang w:val="fr-LU" w:eastAsia="fr-FR"/>
        </w:rPr>
        <w:t xml:space="preserve">D. </w:t>
      </w:r>
      <w:r w:rsidRPr="00187D76">
        <w:rPr>
          <w:smallCaps/>
          <w:color w:val="000000" w:themeColor="text1"/>
          <w:sz w:val="20"/>
          <w:szCs w:val="20"/>
          <w:lang w:eastAsia="fr-FR"/>
        </w:rPr>
        <w:t>Foussard,</w:t>
      </w:r>
      <w:r w:rsidRPr="00187D76">
        <w:rPr>
          <w:color w:val="000000" w:themeColor="text1"/>
          <w:sz w:val="20"/>
          <w:szCs w:val="20"/>
          <w:lang w:eastAsia="fr-FR"/>
        </w:rPr>
        <w:t xml:space="preserve"> « </w:t>
      </w:r>
      <w:r w:rsidRPr="00187D76">
        <w:rPr>
          <w:color w:val="000000" w:themeColor="text1"/>
          <w:sz w:val="20"/>
          <w:szCs w:val="20"/>
          <w:lang w:val="fr-LU" w:eastAsia="fr-FR"/>
        </w:rPr>
        <w:t>À propos de l</w:t>
      </w:r>
      <w:r w:rsidR="00BB76F1">
        <w:rPr>
          <w:color w:val="000000" w:themeColor="text1"/>
          <w:sz w:val="20"/>
          <w:szCs w:val="20"/>
          <w:lang w:val="fr-LU" w:eastAsia="fr-FR"/>
        </w:rPr>
        <w:t>’</w:t>
      </w:r>
      <w:r w:rsidRPr="00187D76">
        <w:rPr>
          <w:color w:val="000000" w:themeColor="text1"/>
          <w:sz w:val="20"/>
          <w:szCs w:val="20"/>
          <w:lang w:val="fr-LU" w:eastAsia="fr-FR"/>
        </w:rPr>
        <w:t>exception d</w:t>
      </w:r>
      <w:r w:rsidR="00BB76F1">
        <w:rPr>
          <w:color w:val="000000" w:themeColor="text1"/>
          <w:sz w:val="20"/>
          <w:szCs w:val="20"/>
          <w:lang w:val="fr-LU" w:eastAsia="fr-FR"/>
        </w:rPr>
        <w:t>’</w:t>
      </w:r>
      <w:r w:rsidRPr="00187D76">
        <w:rPr>
          <w:color w:val="000000" w:themeColor="text1"/>
          <w:sz w:val="20"/>
          <w:szCs w:val="20"/>
          <w:lang w:val="fr-LU" w:eastAsia="fr-FR"/>
        </w:rPr>
        <w:t>incompétence en matière internationale : obligation pour l</w:t>
      </w:r>
      <w:r w:rsidR="00BB76F1">
        <w:rPr>
          <w:color w:val="000000" w:themeColor="text1"/>
          <w:sz w:val="20"/>
          <w:szCs w:val="20"/>
          <w:lang w:val="fr-LU" w:eastAsia="fr-FR"/>
        </w:rPr>
        <w:t>’</w:t>
      </w:r>
      <w:r w:rsidRPr="00187D76">
        <w:rPr>
          <w:color w:val="000000" w:themeColor="text1"/>
          <w:sz w:val="20"/>
          <w:szCs w:val="20"/>
          <w:lang w:val="fr-LU" w:eastAsia="fr-FR"/>
        </w:rPr>
        <w:t>auteur de l</w:t>
      </w:r>
      <w:r w:rsidR="00BB76F1">
        <w:rPr>
          <w:color w:val="000000" w:themeColor="text1"/>
          <w:sz w:val="20"/>
          <w:szCs w:val="20"/>
          <w:lang w:val="fr-LU" w:eastAsia="fr-FR"/>
        </w:rPr>
        <w:t>’</w:t>
      </w:r>
      <w:r w:rsidRPr="00187D76">
        <w:rPr>
          <w:color w:val="000000" w:themeColor="text1"/>
          <w:sz w:val="20"/>
          <w:szCs w:val="20"/>
          <w:lang w:val="fr-LU" w:eastAsia="fr-FR"/>
        </w:rPr>
        <w:t>exception de désigner le juge étranger compétent</w:t>
      </w:r>
      <w:r w:rsidRPr="00187D76">
        <w:rPr>
          <w:color w:val="000000" w:themeColor="text1"/>
          <w:sz w:val="20"/>
          <w:szCs w:val="20"/>
          <w:lang w:eastAsia="fr-FR"/>
        </w:rPr>
        <w:t xml:space="preserve"> », </w:t>
      </w:r>
      <w:r w:rsidRPr="00187D76">
        <w:rPr>
          <w:i/>
          <w:iCs/>
          <w:color w:val="000000" w:themeColor="text1"/>
          <w:sz w:val="20"/>
          <w:szCs w:val="20"/>
          <w:lang w:eastAsia="fr-FR"/>
        </w:rPr>
        <w:t>RCDIP</w:t>
      </w:r>
      <w:r w:rsidRPr="00187D76">
        <w:rPr>
          <w:color w:val="000000" w:themeColor="text1"/>
          <w:sz w:val="20"/>
          <w:szCs w:val="20"/>
          <w:lang w:eastAsia="fr-FR"/>
        </w:rPr>
        <w:t>,</w:t>
      </w:r>
      <w:r w:rsidRPr="00187D76">
        <w:rPr>
          <w:color w:val="000000" w:themeColor="text1"/>
          <w:sz w:val="20"/>
          <w:szCs w:val="20"/>
          <w:lang w:val="fr-LU" w:eastAsia="fr-FR"/>
        </w:rPr>
        <w:t xml:space="preserve"> 2021 p.639 ; Gaz. Pal. 30 mars 2021, p. 23, note M. Barba ; Procédures, avril 2021, n° 93, p. 11, obs. Y. Strickler ; D. actu, 9 février 2021, note F. Mélin ; JCP 2021, p. 591, obs. E. Jeuland ; JCP 2021, n° 461, p. 807, note F. Mailhé</w:t>
      </w:r>
      <w:r w:rsidRPr="00187D76">
        <w:rPr>
          <w:color w:val="000000" w:themeColor="text1"/>
          <w:sz w:val="20"/>
          <w:szCs w:val="20"/>
          <w:lang w:eastAsia="fr-FR"/>
        </w:rPr>
        <w:t>.</w:t>
      </w:r>
    </w:p>
  </w:footnote>
  <w:footnote w:id="85">
    <w:p w14:paraId="70BBFD55" w14:textId="314655D9" w:rsidR="00AC178D" w:rsidRPr="00187D76" w:rsidRDefault="00AC178D" w:rsidP="00187D76">
      <w:pPr>
        <w:pStyle w:val="Sansinterligne"/>
        <w:spacing w:line="240" w:lineRule="auto"/>
        <w:rPr>
          <w:sz w:val="20"/>
          <w:szCs w:val="20"/>
        </w:rPr>
      </w:pPr>
      <w:r w:rsidRPr="00187D76">
        <w:rPr>
          <w:rStyle w:val="Appelnotedebasdep"/>
          <w:color w:val="000000" w:themeColor="text1"/>
          <w:sz w:val="20"/>
          <w:szCs w:val="20"/>
        </w:rPr>
        <w:footnoteRef/>
      </w:r>
      <w:r w:rsidRPr="00187D76">
        <w:rPr>
          <w:sz w:val="20"/>
          <w:szCs w:val="20"/>
        </w:rPr>
        <w:t xml:space="preserve"> </w:t>
      </w:r>
      <w:r w:rsidRPr="00187D76">
        <w:rPr>
          <w:smallCaps/>
          <w:sz w:val="20"/>
          <w:szCs w:val="20"/>
        </w:rPr>
        <w:t>D. Foussard,</w:t>
      </w:r>
      <w:r w:rsidRPr="00187D76">
        <w:rPr>
          <w:sz w:val="20"/>
          <w:szCs w:val="20"/>
        </w:rPr>
        <w:t xml:space="preserve"> « À propos de l</w:t>
      </w:r>
      <w:r w:rsidR="00BB76F1">
        <w:rPr>
          <w:sz w:val="20"/>
          <w:szCs w:val="20"/>
        </w:rPr>
        <w:t>’</w:t>
      </w:r>
      <w:r w:rsidRPr="00187D76">
        <w:rPr>
          <w:sz w:val="20"/>
          <w:szCs w:val="20"/>
        </w:rPr>
        <w:t>exception d</w:t>
      </w:r>
      <w:r w:rsidR="00BB76F1">
        <w:rPr>
          <w:sz w:val="20"/>
          <w:szCs w:val="20"/>
        </w:rPr>
        <w:t>’</w:t>
      </w:r>
      <w:r w:rsidRPr="00187D76">
        <w:rPr>
          <w:sz w:val="20"/>
          <w:szCs w:val="20"/>
        </w:rPr>
        <w:t>incompétence en matière internationale : obligation pour l</w:t>
      </w:r>
      <w:r w:rsidR="00BB76F1">
        <w:rPr>
          <w:sz w:val="20"/>
          <w:szCs w:val="20"/>
        </w:rPr>
        <w:t>’</w:t>
      </w:r>
      <w:r w:rsidRPr="00187D76">
        <w:rPr>
          <w:sz w:val="20"/>
          <w:szCs w:val="20"/>
        </w:rPr>
        <w:t>auteur de l</w:t>
      </w:r>
      <w:r w:rsidR="00BB76F1">
        <w:rPr>
          <w:sz w:val="20"/>
          <w:szCs w:val="20"/>
        </w:rPr>
        <w:t>’</w:t>
      </w:r>
      <w:r w:rsidRPr="00187D76">
        <w:rPr>
          <w:sz w:val="20"/>
          <w:szCs w:val="20"/>
        </w:rPr>
        <w:t xml:space="preserve">exception de désigner le juge étranger compétent », </w:t>
      </w:r>
      <w:r w:rsidRPr="00187D76">
        <w:rPr>
          <w:i/>
          <w:iCs/>
          <w:sz w:val="20"/>
          <w:szCs w:val="20"/>
        </w:rPr>
        <w:t>RCDIP</w:t>
      </w:r>
      <w:r w:rsidRPr="00187D76">
        <w:rPr>
          <w:sz w:val="20"/>
          <w:szCs w:val="20"/>
        </w:rPr>
        <w:t>, 2021 p.639.</w:t>
      </w:r>
    </w:p>
  </w:footnote>
  <w:footnote w:id="86">
    <w:p w14:paraId="76F29C0A" w14:textId="599C8EB7" w:rsidR="00AC178D" w:rsidRPr="00187D76" w:rsidRDefault="00AC178D" w:rsidP="00187D76">
      <w:pPr>
        <w:pStyle w:val="Sansinterligne"/>
        <w:spacing w:line="240" w:lineRule="auto"/>
        <w:rPr>
          <w:sz w:val="20"/>
          <w:szCs w:val="20"/>
        </w:rPr>
      </w:pPr>
      <w:r w:rsidRPr="00187D76">
        <w:rPr>
          <w:rStyle w:val="Appelnotedebasdep"/>
          <w:color w:val="000000" w:themeColor="text1"/>
          <w:sz w:val="20"/>
          <w:szCs w:val="20"/>
        </w:rPr>
        <w:footnoteRef/>
      </w:r>
      <w:r w:rsidRPr="00187D76">
        <w:rPr>
          <w:sz w:val="20"/>
          <w:szCs w:val="20"/>
        </w:rPr>
        <w:t xml:space="preserve"> « Refuser de tenir compte de l</w:t>
      </w:r>
      <w:r w:rsidR="00BB76F1">
        <w:rPr>
          <w:sz w:val="20"/>
          <w:szCs w:val="20"/>
        </w:rPr>
        <w:t>’</w:t>
      </w:r>
      <w:r w:rsidRPr="00187D76">
        <w:rPr>
          <w:sz w:val="20"/>
          <w:szCs w:val="20"/>
        </w:rPr>
        <w:t>interprétation donnée à une règle uniforme dans un État partenaire contrevient à l</w:t>
      </w:r>
      <w:r w:rsidR="00BB76F1">
        <w:rPr>
          <w:sz w:val="20"/>
          <w:szCs w:val="20"/>
        </w:rPr>
        <w:t>’</w:t>
      </w:r>
      <w:r w:rsidRPr="00187D76">
        <w:rPr>
          <w:sz w:val="20"/>
          <w:szCs w:val="20"/>
        </w:rPr>
        <w:t>esprit de la règle et de l</w:t>
      </w:r>
      <w:r w:rsidR="00BB76F1">
        <w:rPr>
          <w:sz w:val="20"/>
          <w:szCs w:val="20"/>
        </w:rPr>
        <w:t>’</w:t>
      </w:r>
      <w:r w:rsidRPr="00187D76">
        <w:rPr>
          <w:sz w:val="20"/>
          <w:szCs w:val="20"/>
        </w:rPr>
        <w:t>instrument international qui l</w:t>
      </w:r>
      <w:r w:rsidR="00BB76F1">
        <w:rPr>
          <w:sz w:val="20"/>
          <w:szCs w:val="20"/>
        </w:rPr>
        <w:t>’</w:t>
      </w:r>
      <w:r w:rsidRPr="00187D76">
        <w:rPr>
          <w:sz w:val="20"/>
          <w:szCs w:val="20"/>
        </w:rPr>
        <w:t>a posée. Prétendre qu</w:t>
      </w:r>
      <w:r w:rsidR="00BB76F1">
        <w:rPr>
          <w:sz w:val="20"/>
          <w:szCs w:val="20"/>
        </w:rPr>
        <w:t>’</w:t>
      </w:r>
      <w:r w:rsidRPr="00187D76">
        <w:rPr>
          <w:sz w:val="20"/>
          <w:szCs w:val="20"/>
        </w:rPr>
        <w:t>une règle de compétence bilatérale transnationale, qui désigne en l</w:t>
      </w:r>
      <w:r w:rsidR="00BB76F1">
        <w:rPr>
          <w:sz w:val="20"/>
          <w:szCs w:val="20"/>
        </w:rPr>
        <w:t>’</w:t>
      </w:r>
      <w:r w:rsidRPr="00187D76">
        <w:rPr>
          <w:sz w:val="20"/>
          <w:szCs w:val="20"/>
        </w:rPr>
        <w:t>espèce un juge étranger partenaire, ne peut être interprétée que comme une règle unilatérale, dans le sens d</w:t>
      </w:r>
      <w:r w:rsidR="00BB76F1">
        <w:rPr>
          <w:sz w:val="20"/>
          <w:szCs w:val="20"/>
        </w:rPr>
        <w:t>’</w:t>
      </w:r>
      <w:r w:rsidRPr="00187D76">
        <w:rPr>
          <w:sz w:val="20"/>
          <w:szCs w:val="20"/>
        </w:rPr>
        <w:t>une simple incompétence du juge français, contrevient encore à l</w:t>
      </w:r>
      <w:r w:rsidR="00BB76F1">
        <w:rPr>
          <w:sz w:val="20"/>
          <w:szCs w:val="20"/>
        </w:rPr>
        <w:t>’</w:t>
      </w:r>
      <w:r w:rsidRPr="00187D76">
        <w:rPr>
          <w:sz w:val="20"/>
          <w:szCs w:val="20"/>
        </w:rPr>
        <w:t>esprit de la règle mais aussi à sa lettre, puisque l</w:t>
      </w:r>
      <w:r w:rsidR="00BB76F1">
        <w:rPr>
          <w:sz w:val="20"/>
          <w:szCs w:val="20"/>
        </w:rPr>
        <w:t>’</w:t>
      </w:r>
      <w:r w:rsidRPr="00187D76">
        <w:rPr>
          <w:sz w:val="20"/>
          <w:szCs w:val="20"/>
        </w:rPr>
        <w:t>on ne l</w:t>
      </w:r>
      <w:r w:rsidR="00BB76F1">
        <w:rPr>
          <w:sz w:val="20"/>
          <w:szCs w:val="20"/>
        </w:rPr>
        <w:t>’</w:t>
      </w:r>
      <w:r w:rsidRPr="00187D76">
        <w:rPr>
          <w:sz w:val="20"/>
          <w:szCs w:val="20"/>
        </w:rPr>
        <w:t>applique alors que de manière tronquée », F</w:t>
      </w:r>
      <w:r w:rsidRPr="00187D76">
        <w:rPr>
          <w:rFonts w:eastAsia="Times New Roman"/>
          <w:sz w:val="20"/>
          <w:szCs w:val="20"/>
          <w:lang w:eastAsia="fr-FR"/>
        </w:rPr>
        <w:t xml:space="preserve">. </w:t>
      </w:r>
      <w:r w:rsidRPr="00187D76">
        <w:rPr>
          <w:rFonts w:eastAsia="Times New Roman"/>
          <w:smallCaps/>
          <w:sz w:val="20"/>
          <w:szCs w:val="20"/>
          <w:lang w:eastAsia="fr-FR"/>
        </w:rPr>
        <w:t>Mailhé</w:t>
      </w:r>
      <w:r w:rsidRPr="00187D76">
        <w:rPr>
          <w:rFonts w:eastAsia="Times New Roman"/>
          <w:sz w:val="20"/>
          <w:szCs w:val="20"/>
          <w:shd w:val="clear" w:color="auto" w:fill="FFFFFF"/>
          <w:lang w:eastAsia="fr-FR"/>
        </w:rPr>
        <w:t>, </w:t>
      </w:r>
      <w:r w:rsidRPr="00187D76">
        <w:rPr>
          <w:rFonts w:eastAsia="Times New Roman"/>
          <w:i/>
          <w:iCs/>
          <w:sz w:val="20"/>
          <w:szCs w:val="20"/>
          <w:lang w:eastAsia="fr-FR"/>
        </w:rPr>
        <w:t>L</w:t>
      </w:r>
      <w:r w:rsidR="00BB76F1">
        <w:rPr>
          <w:rFonts w:eastAsia="Times New Roman"/>
          <w:i/>
          <w:iCs/>
          <w:sz w:val="20"/>
          <w:szCs w:val="20"/>
          <w:lang w:eastAsia="fr-FR"/>
        </w:rPr>
        <w:t>’</w:t>
      </w:r>
      <w:r w:rsidRPr="00187D76">
        <w:rPr>
          <w:rFonts w:eastAsia="Times New Roman"/>
          <w:i/>
          <w:iCs/>
          <w:sz w:val="20"/>
          <w:szCs w:val="20"/>
          <w:lang w:eastAsia="fr-FR"/>
        </w:rPr>
        <w:t>organisation de la concurrence internationale des juridictions : la compétence face à la mondialisation économique</w:t>
      </w:r>
      <w:r w:rsidRPr="00187D76">
        <w:rPr>
          <w:rFonts w:eastAsia="Times New Roman"/>
          <w:sz w:val="20"/>
          <w:szCs w:val="20"/>
          <w:shd w:val="clear" w:color="auto" w:fill="FFFFFF"/>
          <w:lang w:eastAsia="fr-FR"/>
        </w:rPr>
        <w:t>, thèse Paris II, décembre 2013, n° 6</w:t>
      </w:r>
      <w:r w:rsidRPr="00187D76">
        <w:rPr>
          <w:sz w:val="20"/>
          <w:szCs w:val="20"/>
          <w:shd w:val="clear" w:color="auto" w:fill="FFFFFF"/>
        </w:rPr>
        <w:t>99.</w:t>
      </w:r>
    </w:p>
  </w:footnote>
  <w:footnote w:id="87">
    <w:p w14:paraId="545916B4" w14:textId="586C8A1A" w:rsidR="00AC178D" w:rsidRPr="00187D76" w:rsidRDefault="00AC178D" w:rsidP="00187D76">
      <w:pPr>
        <w:pStyle w:val="Sansinterligne"/>
        <w:spacing w:line="240" w:lineRule="auto"/>
        <w:rPr>
          <w:sz w:val="20"/>
          <w:szCs w:val="20"/>
        </w:rPr>
      </w:pPr>
      <w:r w:rsidRPr="00187D76">
        <w:rPr>
          <w:rStyle w:val="Appelnotedebasdep"/>
          <w:color w:val="000000" w:themeColor="text1"/>
          <w:sz w:val="20"/>
          <w:szCs w:val="20"/>
        </w:rPr>
        <w:footnoteRef/>
      </w:r>
      <w:r w:rsidRPr="00187D76">
        <w:rPr>
          <w:sz w:val="20"/>
          <w:szCs w:val="20"/>
        </w:rPr>
        <w:t xml:space="preserve"> F</w:t>
      </w:r>
      <w:r w:rsidRPr="00187D76">
        <w:rPr>
          <w:rFonts w:eastAsia="Times New Roman"/>
          <w:sz w:val="20"/>
          <w:szCs w:val="20"/>
          <w:lang w:eastAsia="fr-FR"/>
        </w:rPr>
        <w:t xml:space="preserve">. </w:t>
      </w:r>
      <w:r w:rsidRPr="00187D76">
        <w:rPr>
          <w:rFonts w:eastAsia="Times New Roman"/>
          <w:smallCaps/>
          <w:sz w:val="20"/>
          <w:szCs w:val="20"/>
          <w:lang w:eastAsia="fr-FR"/>
        </w:rPr>
        <w:t>Mailhé</w:t>
      </w:r>
      <w:r w:rsidRPr="00187D76">
        <w:rPr>
          <w:rFonts w:eastAsia="Times New Roman"/>
          <w:sz w:val="20"/>
          <w:szCs w:val="20"/>
          <w:shd w:val="clear" w:color="auto" w:fill="FFFFFF"/>
          <w:lang w:eastAsia="fr-FR"/>
        </w:rPr>
        <w:t>, </w:t>
      </w:r>
      <w:r w:rsidRPr="00187D76">
        <w:rPr>
          <w:rFonts w:eastAsia="Times New Roman"/>
          <w:i/>
          <w:iCs/>
          <w:sz w:val="20"/>
          <w:szCs w:val="20"/>
          <w:lang w:eastAsia="fr-FR"/>
        </w:rPr>
        <w:t>L</w:t>
      </w:r>
      <w:r w:rsidR="00BB76F1">
        <w:rPr>
          <w:rFonts w:eastAsia="Times New Roman"/>
          <w:i/>
          <w:iCs/>
          <w:sz w:val="20"/>
          <w:szCs w:val="20"/>
          <w:lang w:eastAsia="fr-FR"/>
        </w:rPr>
        <w:t>’</w:t>
      </w:r>
      <w:r w:rsidRPr="00187D76">
        <w:rPr>
          <w:rFonts w:eastAsia="Times New Roman"/>
          <w:i/>
          <w:iCs/>
          <w:sz w:val="20"/>
          <w:szCs w:val="20"/>
          <w:lang w:eastAsia="fr-FR"/>
        </w:rPr>
        <w:t>organisation de la concurrence internationale des juridictions : la compétence face à la mondialisation économique</w:t>
      </w:r>
      <w:r w:rsidRPr="00187D76">
        <w:rPr>
          <w:rFonts w:eastAsia="Times New Roman"/>
          <w:sz w:val="20"/>
          <w:szCs w:val="20"/>
          <w:shd w:val="clear" w:color="auto" w:fill="FFFFFF"/>
          <w:lang w:eastAsia="fr-FR"/>
        </w:rPr>
        <w:t>, thèse Paris II, décembre 2013, n° 675.</w:t>
      </w:r>
      <w:r w:rsidR="00F81DB2" w:rsidRPr="00187D76">
        <w:rPr>
          <w:rFonts w:eastAsia="Times New Roman"/>
          <w:sz w:val="20"/>
          <w:szCs w:val="20"/>
          <w:shd w:val="clear" w:color="auto" w:fill="FFFFFF"/>
          <w:lang w:eastAsia="fr-FR"/>
        </w:rPr>
        <w:t>s</w:t>
      </w:r>
    </w:p>
  </w:footnote>
  <w:footnote w:id="88">
    <w:p w14:paraId="10A017AC" w14:textId="4C7D9EFD" w:rsidR="007A620B" w:rsidRPr="00187D76" w:rsidRDefault="007A620B" w:rsidP="00187D76">
      <w:pPr>
        <w:autoSpaceDE w:val="0"/>
        <w:autoSpaceDN w:val="0"/>
        <w:adjustRightInd w:val="0"/>
        <w:jc w:val="both"/>
        <w:rPr>
          <w:rFonts w:eastAsiaTheme="minorHAnsi"/>
          <w:sz w:val="20"/>
          <w:szCs w:val="20"/>
          <w:lang w:val="fr-FR" w:eastAsia="en-US"/>
        </w:rPr>
      </w:pPr>
      <w:r w:rsidRPr="00187D76">
        <w:rPr>
          <w:rStyle w:val="Appelnotedebasdep"/>
          <w:sz w:val="20"/>
          <w:szCs w:val="20"/>
        </w:rPr>
        <w:footnoteRef/>
      </w:r>
      <w:r w:rsidRPr="00187D76">
        <w:rPr>
          <w:sz w:val="20"/>
          <w:szCs w:val="20"/>
        </w:rPr>
        <w:t xml:space="preserve"> </w:t>
      </w:r>
      <w:r w:rsidRPr="00187D76">
        <w:rPr>
          <w:sz w:val="20"/>
          <w:szCs w:val="20"/>
          <w:lang w:val="fr-FR"/>
        </w:rPr>
        <w:t xml:space="preserve">Le seul tempérament </w:t>
      </w:r>
      <w:r w:rsidR="001938C0" w:rsidRPr="00187D76">
        <w:rPr>
          <w:sz w:val="20"/>
          <w:szCs w:val="20"/>
          <w:lang w:val="fr-FR"/>
        </w:rPr>
        <w:t xml:space="preserve">à cette absence de renvoi réside </w:t>
      </w:r>
      <w:r w:rsidR="00EC084E" w:rsidRPr="00187D76">
        <w:rPr>
          <w:sz w:val="20"/>
          <w:szCs w:val="20"/>
          <w:lang w:val="fr-FR"/>
        </w:rPr>
        <w:t xml:space="preserve">dans le renvoi préjudiciel </w:t>
      </w:r>
      <w:r w:rsidR="003F052E" w:rsidRPr="00187D76">
        <w:rPr>
          <w:sz w:val="20"/>
          <w:szCs w:val="20"/>
          <w:lang w:val="fr-FR"/>
        </w:rPr>
        <w:t>à la Cour de justice de l</w:t>
      </w:r>
      <w:r w:rsidR="00BB76F1">
        <w:rPr>
          <w:sz w:val="20"/>
          <w:szCs w:val="20"/>
          <w:lang w:val="fr-FR"/>
        </w:rPr>
        <w:t>’</w:t>
      </w:r>
      <w:r w:rsidR="003F052E" w:rsidRPr="00187D76">
        <w:rPr>
          <w:sz w:val="20"/>
          <w:szCs w:val="20"/>
          <w:lang w:val="fr-FR"/>
        </w:rPr>
        <w:t>Union europé</w:t>
      </w:r>
      <w:r w:rsidR="0075290F" w:rsidRPr="00187D76">
        <w:rPr>
          <w:sz w:val="20"/>
          <w:szCs w:val="20"/>
          <w:lang w:val="fr-FR"/>
        </w:rPr>
        <w:t>e</w:t>
      </w:r>
      <w:r w:rsidR="003F052E" w:rsidRPr="00187D76">
        <w:rPr>
          <w:sz w:val="20"/>
          <w:szCs w:val="20"/>
          <w:lang w:val="fr-FR"/>
        </w:rPr>
        <w:t xml:space="preserve">nne, </w:t>
      </w:r>
      <w:r w:rsidR="00772E80" w:rsidRPr="00187D76">
        <w:rPr>
          <w:sz w:val="20"/>
          <w:szCs w:val="20"/>
          <w:lang w:val="fr-FR"/>
        </w:rPr>
        <w:t xml:space="preserve">à la Cour constitutionnelle </w:t>
      </w:r>
      <w:r w:rsidR="00F15341" w:rsidRPr="00187D76">
        <w:rPr>
          <w:sz w:val="20"/>
          <w:szCs w:val="20"/>
          <w:lang w:val="fr-FR"/>
        </w:rPr>
        <w:t xml:space="preserve">et même </w:t>
      </w:r>
      <w:r w:rsidR="00493D80" w:rsidRPr="00187D76">
        <w:rPr>
          <w:sz w:val="20"/>
          <w:szCs w:val="20"/>
          <w:lang w:val="fr-FR"/>
        </w:rPr>
        <w:t xml:space="preserve">au moins une fois </w:t>
      </w:r>
      <w:r w:rsidR="00B6258F" w:rsidRPr="00187D76">
        <w:rPr>
          <w:sz w:val="20"/>
          <w:szCs w:val="20"/>
          <w:lang w:val="fr-FR"/>
        </w:rPr>
        <w:t>à la juridiction administrative</w:t>
      </w:r>
      <w:r w:rsidR="00604A70" w:rsidRPr="00187D76">
        <w:rPr>
          <w:sz w:val="20"/>
          <w:szCs w:val="20"/>
          <w:lang w:val="fr-FR"/>
        </w:rPr>
        <w:t>. « </w:t>
      </w:r>
      <w:r w:rsidR="00604A70" w:rsidRPr="00187D76">
        <w:rPr>
          <w:rFonts w:eastAsiaTheme="minorHAnsi"/>
          <w:sz w:val="20"/>
          <w:szCs w:val="20"/>
          <w:lang w:val="fr-FR" w:eastAsia="en-US"/>
        </w:rPr>
        <w:t>Le renvoi préjudiciel de l</w:t>
      </w:r>
      <w:r w:rsidR="00BB76F1">
        <w:rPr>
          <w:rFonts w:eastAsiaTheme="minorHAnsi"/>
          <w:sz w:val="20"/>
          <w:szCs w:val="20"/>
          <w:lang w:val="fr-FR" w:eastAsia="en-US"/>
        </w:rPr>
        <w:t>’</w:t>
      </w:r>
      <w:r w:rsidR="00604A70" w:rsidRPr="00187D76">
        <w:rPr>
          <w:rFonts w:eastAsiaTheme="minorHAnsi"/>
          <w:sz w:val="20"/>
          <w:szCs w:val="20"/>
          <w:lang w:val="fr-FR" w:eastAsia="en-US"/>
        </w:rPr>
        <w:t>exception d</w:t>
      </w:r>
      <w:r w:rsidR="00BB76F1">
        <w:rPr>
          <w:rFonts w:eastAsiaTheme="minorHAnsi"/>
          <w:sz w:val="20"/>
          <w:szCs w:val="20"/>
          <w:lang w:val="fr-FR" w:eastAsia="en-US"/>
        </w:rPr>
        <w:t>’</w:t>
      </w:r>
      <w:r w:rsidR="00604A70" w:rsidRPr="00187D76">
        <w:rPr>
          <w:rFonts w:eastAsiaTheme="minorHAnsi"/>
          <w:sz w:val="20"/>
          <w:szCs w:val="20"/>
          <w:lang w:val="fr-FR" w:eastAsia="en-US"/>
        </w:rPr>
        <w:t>illégalité d</w:t>
      </w:r>
      <w:r w:rsidR="00BB76F1">
        <w:rPr>
          <w:rFonts w:eastAsiaTheme="minorHAnsi"/>
          <w:sz w:val="20"/>
          <w:szCs w:val="20"/>
          <w:lang w:val="fr-FR" w:eastAsia="en-US"/>
        </w:rPr>
        <w:t>’</w:t>
      </w:r>
      <w:r w:rsidR="00604A70" w:rsidRPr="00187D76">
        <w:rPr>
          <w:rFonts w:eastAsiaTheme="minorHAnsi"/>
          <w:sz w:val="20"/>
          <w:szCs w:val="20"/>
          <w:lang w:val="fr-FR" w:eastAsia="en-US"/>
        </w:rPr>
        <w:t>actes individuels avait été ordonné au moins une fois par un arrêt de la Cour Supérieure de Justice du 17 mai 1972, le Conseil d</w:t>
      </w:r>
      <w:r w:rsidR="00BB76F1">
        <w:rPr>
          <w:rFonts w:eastAsiaTheme="minorHAnsi"/>
          <w:sz w:val="20"/>
          <w:szCs w:val="20"/>
          <w:lang w:val="fr-FR" w:eastAsia="en-US"/>
        </w:rPr>
        <w:t>’</w:t>
      </w:r>
      <w:r w:rsidR="00604A70" w:rsidRPr="00187D76">
        <w:rPr>
          <w:rFonts w:eastAsiaTheme="minorHAnsi"/>
          <w:sz w:val="20"/>
          <w:szCs w:val="20"/>
          <w:lang w:val="fr-FR" w:eastAsia="en-US"/>
        </w:rPr>
        <w:t>Etat ayant accueilli ce renvoi du juge</w:t>
      </w:r>
      <w:r w:rsidR="00F82DFB" w:rsidRPr="00187D76">
        <w:rPr>
          <w:rFonts w:eastAsiaTheme="minorHAnsi"/>
          <w:sz w:val="20"/>
          <w:szCs w:val="20"/>
          <w:lang w:val="fr-FR" w:eastAsia="en-US"/>
        </w:rPr>
        <w:t xml:space="preserve"> </w:t>
      </w:r>
      <w:r w:rsidR="00604A70" w:rsidRPr="00187D76">
        <w:rPr>
          <w:rFonts w:eastAsiaTheme="minorHAnsi"/>
          <w:sz w:val="20"/>
          <w:szCs w:val="20"/>
          <w:lang w:val="fr-FR" w:eastAsia="en-US"/>
        </w:rPr>
        <w:t>judiciaire dans un arrêt du 31 octobre 1974</w:t>
      </w:r>
      <w:r w:rsidR="00F10460" w:rsidRPr="00187D76">
        <w:rPr>
          <w:rFonts w:eastAsiaTheme="minorHAnsi"/>
          <w:sz w:val="20"/>
          <w:szCs w:val="20"/>
          <w:lang w:val="fr-FR" w:eastAsia="en-US"/>
        </w:rPr>
        <w:t xml:space="preserve"> (</w:t>
      </w:r>
      <w:r w:rsidR="00F10460" w:rsidRPr="00187D76">
        <w:rPr>
          <w:sz w:val="20"/>
          <w:szCs w:val="20"/>
          <w:lang w:val="fr-FR"/>
        </w:rPr>
        <w:t>CE, 31 octobre 1974, Bulletin de documentation communale, vol. 15, p. 173),</w:t>
      </w:r>
      <w:r w:rsidR="005C2E69" w:rsidRPr="00187D76">
        <w:rPr>
          <w:sz w:val="20"/>
          <w:szCs w:val="20"/>
          <w:lang w:val="fr-FR"/>
        </w:rPr>
        <w:t xml:space="preserve"> voy. </w:t>
      </w:r>
      <w:r w:rsidR="00AF726F" w:rsidRPr="00187D76">
        <w:rPr>
          <w:sz w:val="20"/>
          <w:szCs w:val="20"/>
          <w:lang w:val="fr-FR"/>
        </w:rPr>
        <w:t xml:space="preserve">V. </w:t>
      </w:r>
      <w:r w:rsidR="00AF726F" w:rsidRPr="00187D76">
        <w:rPr>
          <w:smallCaps/>
          <w:sz w:val="20"/>
          <w:szCs w:val="20"/>
          <w:lang w:val="fr-FR"/>
        </w:rPr>
        <w:t xml:space="preserve">Bolard &amp; S. Menetrey, </w:t>
      </w:r>
      <w:r w:rsidR="00AF726F" w:rsidRPr="00187D76">
        <w:rPr>
          <w:sz w:val="20"/>
          <w:szCs w:val="20"/>
          <w:lang w:val="fr-FR"/>
        </w:rPr>
        <w:t>« L</w:t>
      </w:r>
      <w:r w:rsidR="00BB76F1">
        <w:rPr>
          <w:sz w:val="20"/>
          <w:szCs w:val="20"/>
          <w:lang w:val="fr-FR"/>
        </w:rPr>
        <w:t>’</w:t>
      </w:r>
      <w:r w:rsidR="00AF726F" w:rsidRPr="00187D76">
        <w:rPr>
          <w:sz w:val="20"/>
          <w:szCs w:val="20"/>
          <w:lang w:val="fr-FR"/>
        </w:rPr>
        <w:t>exception d</w:t>
      </w:r>
      <w:r w:rsidR="00BB76F1">
        <w:rPr>
          <w:sz w:val="20"/>
          <w:szCs w:val="20"/>
          <w:lang w:val="fr-FR"/>
        </w:rPr>
        <w:t>’</w:t>
      </w:r>
      <w:r w:rsidR="00AF726F" w:rsidRPr="00187D76">
        <w:rPr>
          <w:sz w:val="20"/>
          <w:szCs w:val="20"/>
          <w:lang w:val="fr-FR"/>
        </w:rPr>
        <w:t>illégalité des actes administratifs individuels devant le juge judiciaire à l</w:t>
      </w:r>
      <w:r w:rsidR="00BB76F1">
        <w:rPr>
          <w:sz w:val="20"/>
          <w:szCs w:val="20"/>
          <w:lang w:val="fr-FR"/>
        </w:rPr>
        <w:t>’</w:t>
      </w:r>
      <w:r w:rsidR="00AF726F" w:rsidRPr="00187D76">
        <w:rPr>
          <w:sz w:val="20"/>
          <w:szCs w:val="20"/>
          <w:lang w:val="fr-FR"/>
        </w:rPr>
        <w:t>épreuve du droit processuel »,</w:t>
      </w:r>
      <w:r w:rsidR="00BB76F1">
        <w:rPr>
          <w:sz w:val="20"/>
          <w:szCs w:val="20"/>
          <w:lang w:val="fr-FR"/>
        </w:rPr>
        <w:t xml:space="preserve"> </w:t>
      </w:r>
      <w:r w:rsidR="00AF726F" w:rsidRPr="00187D76">
        <w:rPr>
          <w:i/>
          <w:iCs/>
          <w:sz w:val="20"/>
          <w:szCs w:val="20"/>
          <w:lang w:val="fr-FR"/>
        </w:rPr>
        <w:t>Pas.</w:t>
      </w:r>
      <w:r w:rsidR="00AF726F" w:rsidRPr="00187D76">
        <w:rPr>
          <w:sz w:val="20"/>
          <w:szCs w:val="20"/>
          <w:lang w:val="fr-FR"/>
        </w:rPr>
        <w:t xml:space="preserve">, t. 40, 2021, p. </w:t>
      </w:r>
      <w:r w:rsidR="003923E9" w:rsidRPr="00187D76">
        <w:rPr>
          <w:sz w:val="20"/>
          <w:szCs w:val="20"/>
          <w:lang w:val="fr-FR"/>
        </w:rPr>
        <w:t>16.</w:t>
      </w:r>
    </w:p>
  </w:footnote>
  <w:footnote w:id="89">
    <w:p w14:paraId="7A563CF7" w14:textId="5AED3E0C" w:rsidR="008438E6" w:rsidRPr="00187D76" w:rsidRDefault="008438E6" w:rsidP="00187D76">
      <w:pPr>
        <w:autoSpaceDE w:val="0"/>
        <w:autoSpaceDN w:val="0"/>
        <w:adjustRightInd w:val="0"/>
        <w:jc w:val="both"/>
        <w:rPr>
          <w:rFonts w:eastAsiaTheme="minorHAnsi"/>
          <w:sz w:val="20"/>
          <w:szCs w:val="20"/>
          <w:lang w:val="fr-FR" w:eastAsia="en-US"/>
        </w:rPr>
      </w:pPr>
      <w:r w:rsidRPr="00187D76">
        <w:rPr>
          <w:rStyle w:val="Appelnotedebasdep"/>
          <w:sz w:val="20"/>
          <w:szCs w:val="20"/>
        </w:rPr>
        <w:footnoteRef/>
      </w:r>
      <w:r w:rsidRPr="00187D76">
        <w:rPr>
          <w:sz w:val="20"/>
          <w:szCs w:val="20"/>
        </w:rPr>
        <w:t xml:space="preserve"> </w:t>
      </w:r>
      <w:r w:rsidRPr="00187D76">
        <w:rPr>
          <w:sz w:val="20"/>
          <w:szCs w:val="20"/>
          <w:lang w:val="fr-FR"/>
        </w:rPr>
        <w:t xml:space="preserve">Comp. </w:t>
      </w:r>
      <w:r w:rsidR="00FF0847" w:rsidRPr="00187D76">
        <w:rPr>
          <w:sz w:val="20"/>
          <w:szCs w:val="20"/>
          <w:lang w:val="fr-FR"/>
        </w:rPr>
        <w:t xml:space="preserve">pour les </w:t>
      </w:r>
      <w:r w:rsidR="00C57B6C">
        <w:rPr>
          <w:sz w:val="20"/>
          <w:szCs w:val="20"/>
          <w:lang w:val="fr-FR"/>
        </w:rPr>
        <w:t>autorités</w:t>
      </w:r>
      <w:r w:rsidR="00FF0847" w:rsidRPr="00187D76">
        <w:rPr>
          <w:sz w:val="20"/>
          <w:szCs w:val="20"/>
          <w:lang w:val="fr-FR"/>
        </w:rPr>
        <w:t xml:space="preserve"> administratives, </w:t>
      </w:r>
      <w:r w:rsidR="00FF0847" w:rsidRPr="00187D76">
        <w:rPr>
          <w:rFonts w:eastAsiaTheme="minorHAnsi"/>
          <w:sz w:val="20"/>
          <w:szCs w:val="20"/>
          <w:lang w:val="fr-FR" w:eastAsia="en-US"/>
        </w:rPr>
        <w:t>a</w:t>
      </w:r>
      <w:r w:rsidRPr="00187D76">
        <w:rPr>
          <w:rFonts w:eastAsiaTheme="minorHAnsi"/>
          <w:sz w:val="20"/>
          <w:szCs w:val="20"/>
          <w:lang w:val="fr-FR" w:eastAsia="en-US"/>
        </w:rPr>
        <w:t>rt</w:t>
      </w:r>
      <w:r w:rsidR="00FF0847" w:rsidRPr="00187D76">
        <w:rPr>
          <w:rFonts w:eastAsiaTheme="minorHAnsi"/>
          <w:sz w:val="20"/>
          <w:szCs w:val="20"/>
          <w:lang w:val="fr-FR" w:eastAsia="en-US"/>
        </w:rPr>
        <w:t>icle</w:t>
      </w:r>
      <w:r w:rsidRPr="00187D76">
        <w:rPr>
          <w:rFonts w:eastAsiaTheme="minorHAnsi"/>
          <w:sz w:val="20"/>
          <w:szCs w:val="20"/>
          <w:lang w:val="fr-FR" w:eastAsia="en-US"/>
        </w:rPr>
        <w:t xml:space="preserve"> </w:t>
      </w:r>
      <w:r w:rsidR="0079668A" w:rsidRPr="00187D76">
        <w:rPr>
          <w:rFonts w:eastAsiaTheme="minorHAnsi"/>
          <w:sz w:val="20"/>
          <w:szCs w:val="20"/>
          <w:lang w:val="fr-FR" w:eastAsia="en-US"/>
        </w:rPr>
        <w:t>1</w:t>
      </w:r>
      <w:r w:rsidR="0079668A" w:rsidRPr="00187D76">
        <w:rPr>
          <w:rFonts w:eastAsiaTheme="minorHAnsi"/>
          <w:sz w:val="20"/>
          <w:szCs w:val="20"/>
          <w:vertAlign w:val="superscript"/>
          <w:lang w:val="fr-FR" w:eastAsia="en-US"/>
        </w:rPr>
        <w:t>er</w:t>
      </w:r>
      <w:r w:rsidR="00BB76F1">
        <w:rPr>
          <w:rFonts w:eastAsiaTheme="minorHAnsi"/>
          <w:sz w:val="20"/>
          <w:szCs w:val="20"/>
          <w:lang w:val="fr-FR" w:eastAsia="en-US"/>
        </w:rPr>
        <w:t xml:space="preserve"> </w:t>
      </w:r>
      <w:r w:rsidRPr="00187D76">
        <w:rPr>
          <w:rFonts w:eastAsiaTheme="minorHAnsi"/>
          <w:sz w:val="20"/>
          <w:szCs w:val="20"/>
          <w:lang w:val="fr-FR" w:eastAsia="en-US"/>
        </w:rPr>
        <w:t>al</w:t>
      </w:r>
      <w:r w:rsidR="0079668A" w:rsidRPr="00187D76">
        <w:rPr>
          <w:rFonts w:eastAsiaTheme="minorHAnsi"/>
          <w:sz w:val="20"/>
          <w:szCs w:val="20"/>
          <w:lang w:val="fr-FR" w:eastAsia="en-US"/>
        </w:rPr>
        <w:t>inéa</w:t>
      </w:r>
      <w:r w:rsidRPr="00187D76">
        <w:rPr>
          <w:rFonts w:eastAsiaTheme="minorHAnsi"/>
          <w:sz w:val="20"/>
          <w:szCs w:val="20"/>
          <w:lang w:val="fr-FR" w:eastAsia="en-US"/>
        </w:rPr>
        <w:t xml:space="preserve"> 2</w:t>
      </w:r>
      <w:r w:rsidR="0079668A" w:rsidRPr="00187D76">
        <w:rPr>
          <w:rFonts w:eastAsiaTheme="minorHAnsi"/>
          <w:sz w:val="20"/>
          <w:szCs w:val="20"/>
          <w:lang w:val="fr-FR" w:eastAsia="en-US"/>
        </w:rPr>
        <w:t xml:space="preserve"> du</w:t>
      </w:r>
      <w:r w:rsidRPr="00187D76">
        <w:rPr>
          <w:rFonts w:eastAsiaTheme="minorHAnsi"/>
          <w:sz w:val="20"/>
          <w:szCs w:val="20"/>
          <w:lang w:val="fr-FR" w:eastAsia="en-US"/>
        </w:rPr>
        <w:t xml:space="preserve"> RGD du 8 juin 1979 « Lorsqu(e) (l</w:t>
      </w:r>
      <w:r w:rsidR="00BB76F1">
        <w:rPr>
          <w:rFonts w:eastAsiaTheme="minorHAnsi"/>
          <w:sz w:val="20"/>
          <w:szCs w:val="20"/>
          <w:lang w:val="fr-FR" w:eastAsia="en-US"/>
        </w:rPr>
        <w:t>’</w:t>
      </w:r>
      <w:r w:rsidRPr="00187D76">
        <w:rPr>
          <w:rFonts w:eastAsiaTheme="minorHAnsi"/>
          <w:sz w:val="20"/>
          <w:szCs w:val="20"/>
          <w:lang w:val="fr-FR" w:eastAsia="en-US"/>
        </w:rPr>
        <w:t>autorité administrative) s</w:t>
      </w:r>
      <w:r w:rsidR="00BB76F1">
        <w:rPr>
          <w:rFonts w:eastAsiaTheme="minorHAnsi"/>
          <w:sz w:val="20"/>
          <w:szCs w:val="20"/>
          <w:lang w:val="fr-FR" w:eastAsia="en-US"/>
        </w:rPr>
        <w:t>’</w:t>
      </w:r>
      <w:r w:rsidRPr="00187D76">
        <w:rPr>
          <w:rFonts w:eastAsiaTheme="minorHAnsi"/>
          <w:sz w:val="20"/>
          <w:szCs w:val="20"/>
          <w:lang w:val="fr-FR" w:eastAsia="en-US"/>
        </w:rPr>
        <w:t>estime incompétemment saisie, elle</w:t>
      </w:r>
      <w:r w:rsidR="00FF0847" w:rsidRPr="00187D76">
        <w:rPr>
          <w:rFonts w:eastAsiaTheme="minorHAnsi"/>
          <w:sz w:val="20"/>
          <w:szCs w:val="20"/>
          <w:lang w:val="fr-FR" w:eastAsia="en-US"/>
        </w:rPr>
        <w:t xml:space="preserve"> </w:t>
      </w:r>
      <w:r w:rsidRPr="00187D76">
        <w:rPr>
          <w:rFonts w:eastAsiaTheme="minorHAnsi"/>
          <w:sz w:val="20"/>
          <w:szCs w:val="20"/>
          <w:lang w:val="fr-FR" w:eastAsia="en-US"/>
        </w:rPr>
        <w:t>transmet sans délai la demande à l</w:t>
      </w:r>
      <w:r w:rsidR="00BB76F1">
        <w:rPr>
          <w:rFonts w:eastAsiaTheme="minorHAnsi"/>
          <w:sz w:val="20"/>
          <w:szCs w:val="20"/>
          <w:lang w:val="fr-FR" w:eastAsia="en-US"/>
        </w:rPr>
        <w:t>’</w:t>
      </w:r>
      <w:r w:rsidRPr="00187D76">
        <w:rPr>
          <w:rFonts w:eastAsiaTheme="minorHAnsi"/>
          <w:sz w:val="20"/>
          <w:szCs w:val="20"/>
          <w:lang w:val="fr-FR" w:eastAsia="en-US"/>
        </w:rPr>
        <w:t>autorité compétente, en en avisant le demandeur ».</w:t>
      </w:r>
    </w:p>
  </w:footnote>
  <w:footnote w:id="90">
    <w:p w14:paraId="7DDD81AE" w14:textId="0FB0160F" w:rsidR="00423110" w:rsidRPr="00187D76" w:rsidRDefault="00423110"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007B128F" w:rsidRPr="00187D76">
        <w:rPr>
          <w:color w:val="000000" w:themeColor="text1"/>
          <w:sz w:val="20"/>
          <w:szCs w:val="20"/>
        </w:rPr>
        <w:t xml:space="preserve">V. </w:t>
      </w:r>
      <w:r w:rsidR="007B128F" w:rsidRPr="00187D76">
        <w:rPr>
          <w:smallCaps/>
          <w:color w:val="000000" w:themeColor="text1"/>
          <w:sz w:val="20"/>
          <w:szCs w:val="20"/>
        </w:rPr>
        <w:t>Bolard</w:t>
      </w:r>
      <w:r w:rsidR="007B128F" w:rsidRPr="00187D76">
        <w:rPr>
          <w:color w:val="000000" w:themeColor="text1"/>
          <w:sz w:val="20"/>
          <w:szCs w:val="20"/>
        </w:rPr>
        <w:t xml:space="preserve">, </w:t>
      </w:r>
      <w:r w:rsidR="009C440D" w:rsidRPr="00187D76">
        <w:rPr>
          <w:color w:val="000000" w:themeColor="text1"/>
          <w:sz w:val="20"/>
          <w:szCs w:val="20"/>
        </w:rPr>
        <w:t>« Le défendeur et l</w:t>
      </w:r>
      <w:r w:rsidR="00BB76F1">
        <w:rPr>
          <w:color w:val="000000" w:themeColor="text1"/>
          <w:sz w:val="20"/>
          <w:szCs w:val="20"/>
        </w:rPr>
        <w:t>’</w:t>
      </w:r>
      <w:r w:rsidR="009C440D" w:rsidRPr="00187D76">
        <w:rPr>
          <w:color w:val="000000" w:themeColor="text1"/>
          <w:sz w:val="20"/>
          <w:szCs w:val="20"/>
        </w:rPr>
        <w:t xml:space="preserve">action », </w:t>
      </w:r>
      <w:r w:rsidR="002D5BD2" w:rsidRPr="00187D76">
        <w:rPr>
          <w:i/>
          <w:iCs/>
          <w:color w:val="000000" w:themeColor="text1"/>
          <w:sz w:val="20"/>
          <w:szCs w:val="20"/>
        </w:rPr>
        <w:t>Revue des Procédures</w:t>
      </w:r>
      <w:r w:rsidR="002D5BD2" w:rsidRPr="00187D76">
        <w:rPr>
          <w:color w:val="000000" w:themeColor="text1"/>
          <w:sz w:val="20"/>
          <w:szCs w:val="20"/>
        </w:rPr>
        <w:t xml:space="preserve">, </w:t>
      </w:r>
      <w:r w:rsidR="0024152C" w:rsidRPr="00187D76">
        <w:rPr>
          <w:color w:val="000000" w:themeColor="text1"/>
          <w:sz w:val="20"/>
          <w:szCs w:val="20"/>
        </w:rPr>
        <w:t xml:space="preserve">2020, </w:t>
      </w:r>
      <w:r w:rsidR="002D5BD2" w:rsidRPr="00187D76">
        <w:rPr>
          <w:color w:val="000000" w:themeColor="text1"/>
          <w:sz w:val="20"/>
          <w:szCs w:val="20"/>
        </w:rPr>
        <w:t>n°1,</w:t>
      </w:r>
      <w:r w:rsidR="00DB5FD3" w:rsidRPr="00187D76">
        <w:rPr>
          <w:color w:val="000000" w:themeColor="text1"/>
          <w:sz w:val="20"/>
          <w:szCs w:val="20"/>
        </w:rPr>
        <w:t xml:space="preserve"> </w:t>
      </w:r>
      <w:r w:rsidR="0068228A" w:rsidRPr="00187D76">
        <w:rPr>
          <w:color w:val="000000" w:themeColor="text1"/>
          <w:sz w:val="20"/>
          <w:szCs w:val="20"/>
        </w:rPr>
        <w:t>p. 15</w:t>
      </w:r>
      <w:r w:rsidR="008511D4" w:rsidRPr="00187D76">
        <w:rPr>
          <w:color w:val="000000" w:themeColor="text1"/>
          <w:sz w:val="20"/>
          <w:szCs w:val="20"/>
        </w:rPr>
        <w:t xml:space="preserve"> ; </w:t>
      </w:r>
      <w:r w:rsidR="008511D4" w:rsidRPr="00187D76">
        <w:rPr>
          <w:sz w:val="20"/>
          <w:szCs w:val="20"/>
        </w:rPr>
        <w:t xml:space="preserve">V. </w:t>
      </w:r>
      <w:r w:rsidR="008511D4" w:rsidRPr="00187D76">
        <w:rPr>
          <w:smallCaps/>
          <w:sz w:val="20"/>
          <w:szCs w:val="20"/>
        </w:rPr>
        <w:t xml:space="preserve">Bolard &amp; S. Menetrey, </w:t>
      </w:r>
      <w:r w:rsidR="008511D4" w:rsidRPr="00187D76">
        <w:rPr>
          <w:rFonts w:eastAsia="Times New Roman"/>
          <w:sz w:val="20"/>
          <w:szCs w:val="20"/>
          <w:lang w:eastAsia="fr-FR"/>
        </w:rPr>
        <w:t>« L</w:t>
      </w:r>
      <w:r w:rsidR="00BB76F1">
        <w:rPr>
          <w:rFonts w:eastAsia="Times New Roman"/>
          <w:sz w:val="20"/>
          <w:szCs w:val="20"/>
          <w:lang w:eastAsia="fr-FR"/>
        </w:rPr>
        <w:t>’</w:t>
      </w:r>
      <w:r w:rsidR="008511D4" w:rsidRPr="00187D76">
        <w:rPr>
          <w:rFonts w:eastAsia="Times New Roman"/>
          <w:sz w:val="20"/>
          <w:szCs w:val="20"/>
          <w:lang w:eastAsia="fr-FR"/>
        </w:rPr>
        <w:t>exception d</w:t>
      </w:r>
      <w:r w:rsidR="00BB76F1">
        <w:rPr>
          <w:rFonts w:eastAsia="Times New Roman"/>
          <w:sz w:val="20"/>
          <w:szCs w:val="20"/>
          <w:lang w:eastAsia="fr-FR"/>
        </w:rPr>
        <w:t>’</w:t>
      </w:r>
      <w:r w:rsidR="008511D4" w:rsidRPr="00187D76">
        <w:rPr>
          <w:rFonts w:eastAsia="Times New Roman"/>
          <w:sz w:val="20"/>
          <w:szCs w:val="20"/>
          <w:lang w:eastAsia="fr-FR"/>
        </w:rPr>
        <w:t>illégalité des actes administratifs individuels devant le juge judiciaire à l</w:t>
      </w:r>
      <w:r w:rsidR="00BB76F1">
        <w:rPr>
          <w:rFonts w:eastAsia="Times New Roman"/>
          <w:sz w:val="20"/>
          <w:szCs w:val="20"/>
          <w:lang w:eastAsia="fr-FR"/>
        </w:rPr>
        <w:t>’</w:t>
      </w:r>
      <w:r w:rsidR="008511D4" w:rsidRPr="00187D76">
        <w:rPr>
          <w:rFonts w:eastAsia="Times New Roman"/>
          <w:sz w:val="20"/>
          <w:szCs w:val="20"/>
          <w:lang w:eastAsia="fr-FR"/>
        </w:rPr>
        <w:t>épreuve du droit processuel »,</w:t>
      </w:r>
      <w:r w:rsidR="00BB76F1">
        <w:rPr>
          <w:sz w:val="20"/>
          <w:szCs w:val="20"/>
        </w:rPr>
        <w:t xml:space="preserve"> </w:t>
      </w:r>
      <w:r w:rsidR="008511D4" w:rsidRPr="00187D76">
        <w:rPr>
          <w:i/>
          <w:iCs/>
          <w:sz w:val="20"/>
          <w:szCs w:val="20"/>
        </w:rPr>
        <w:t>Pas.</w:t>
      </w:r>
      <w:r w:rsidR="008511D4" w:rsidRPr="00187D76">
        <w:rPr>
          <w:sz w:val="20"/>
          <w:szCs w:val="20"/>
        </w:rPr>
        <w:t>, t. 40, 2021, p.</w:t>
      </w:r>
      <w:r w:rsidR="00724409" w:rsidRPr="00187D76">
        <w:rPr>
          <w:sz w:val="20"/>
          <w:szCs w:val="20"/>
        </w:rPr>
        <w:t xml:space="preserve"> 15.</w:t>
      </w:r>
    </w:p>
  </w:footnote>
  <w:footnote w:id="91">
    <w:p w14:paraId="35C4D8BD" w14:textId="21482ECD" w:rsidR="00423110" w:rsidRPr="00187D76" w:rsidRDefault="00423110"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Lorsqu</w:t>
      </w:r>
      <w:r w:rsidR="00BB76F1">
        <w:rPr>
          <w:color w:val="000000" w:themeColor="text1"/>
          <w:sz w:val="20"/>
          <w:szCs w:val="20"/>
        </w:rPr>
        <w:t>’</w:t>
      </w:r>
      <w:r w:rsidRPr="00187D76">
        <w:rPr>
          <w:color w:val="000000" w:themeColor="text1"/>
          <w:sz w:val="20"/>
          <w:szCs w:val="20"/>
        </w:rPr>
        <w:t>un jugement a statué à la fois sur une exception d</w:t>
      </w:r>
      <w:r w:rsidR="00BB76F1">
        <w:rPr>
          <w:color w:val="000000" w:themeColor="text1"/>
          <w:sz w:val="20"/>
          <w:szCs w:val="20"/>
        </w:rPr>
        <w:t>’</w:t>
      </w:r>
      <w:r w:rsidRPr="00187D76">
        <w:rPr>
          <w:color w:val="000000" w:themeColor="text1"/>
          <w:sz w:val="20"/>
          <w:szCs w:val="20"/>
        </w:rPr>
        <w:t>incompétence et sur le fond, la disposition du jugement relative au déclinatoire de compétence est susceptible d</w:t>
      </w:r>
      <w:r w:rsidR="00BB76F1">
        <w:rPr>
          <w:color w:val="000000" w:themeColor="text1"/>
          <w:sz w:val="20"/>
          <w:szCs w:val="20"/>
        </w:rPr>
        <w:t>’</w:t>
      </w:r>
      <w:r w:rsidRPr="00187D76">
        <w:rPr>
          <w:color w:val="000000" w:themeColor="text1"/>
          <w:sz w:val="20"/>
          <w:szCs w:val="20"/>
        </w:rPr>
        <w:t>appel, quelque minime que soit la valeur du litige et alors même que la partie du jugement relative au fond est rendue en dernier ressort et partant non susceptible d</w:t>
      </w:r>
      <w:r w:rsidR="00BB76F1">
        <w:rPr>
          <w:color w:val="000000" w:themeColor="text1"/>
          <w:sz w:val="20"/>
          <w:szCs w:val="20"/>
        </w:rPr>
        <w:t>’</w:t>
      </w:r>
      <w:r w:rsidRPr="00187D76">
        <w:rPr>
          <w:color w:val="000000" w:themeColor="text1"/>
          <w:sz w:val="20"/>
          <w:szCs w:val="20"/>
        </w:rPr>
        <w:t xml:space="preserve">appel. CA, 23 octobre 1957, </w:t>
      </w:r>
      <w:r w:rsidRPr="00187D76">
        <w:rPr>
          <w:i/>
          <w:color w:val="000000" w:themeColor="text1"/>
          <w:sz w:val="20"/>
          <w:szCs w:val="20"/>
        </w:rPr>
        <w:t xml:space="preserve">Pas. </w:t>
      </w:r>
      <w:r w:rsidRPr="00187D76">
        <w:rPr>
          <w:color w:val="000000" w:themeColor="text1"/>
          <w:sz w:val="20"/>
          <w:szCs w:val="20"/>
        </w:rPr>
        <w:t>17, p. 177.</w:t>
      </w:r>
    </w:p>
  </w:footnote>
  <w:footnote w:id="92">
    <w:p w14:paraId="5BBB8D1F" w14:textId="7BFB547A" w:rsidR="00423110" w:rsidRPr="00187D76" w:rsidRDefault="00423110"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CA, 23 octobre 1957, </w:t>
      </w:r>
      <w:r w:rsidRPr="00187D76">
        <w:rPr>
          <w:i/>
          <w:color w:val="000000" w:themeColor="text1"/>
          <w:sz w:val="20"/>
          <w:szCs w:val="20"/>
        </w:rPr>
        <w:t xml:space="preserve">Pas. </w:t>
      </w:r>
      <w:r w:rsidRPr="00187D76">
        <w:rPr>
          <w:color w:val="000000" w:themeColor="text1"/>
          <w:sz w:val="20"/>
          <w:szCs w:val="20"/>
        </w:rPr>
        <w:t xml:space="preserve">17, p. 177 ; CA, 3 juin 1964, </w:t>
      </w:r>
      <w:r w:rsidRPr="00187D76">
        <w:rPr>
          <w:i/>
          <w:color w:val="000000" w:themeColor="text1"/>
          <w:sz w:val="20"/>
          <w:szCs w:val="20"/>
        </w:rPr>
        <w:t xml:space="preserve">Pas. </w:t>
      </w:r>
      <w:r w:rsidRPr="00187D76">
        <w:rPr>
          <w:color w:val="000000" w:themeColor="text1"/>
          <w:sz w:val="20"/>
          <w:szCs w:val="20"/>
        </w:rPr>
        <w:t>19, p. 312.</w:t>
      </w:r>
    </w:p>
  </w:footnote>
  <w:footnote w:id="93">
    <w:p w14:paraId="4521BC86" w14:textId="2EDAA939" w:rsidR="00423110" w:rsidRPr="00187D76" w:rsidRDefault="00423110" w:rsidP="00187D76">
      <w:pPr>
        <w:pStyle w:val="Sansinterligne"/>
        <w:spacing w:line="240" w:lineRule="auto"/>
        <w:rPr>
          <w:rFonts w:eastAsia="Times New Roman"/>
          <w:color w:val="000000" w:themeColor="text1"/>
          <w:sz w:val="20"/>
          <w:szCs w:val="20"/>
          <w:lang w:val="fr-LU" w:eastAsia="fr-FR"/>
        </w:rPr>
      </w:pPr>
      <w:r w:rsidRPr="00187D76">
        <w:rPr>
          <w:rStyle w:val="Appelnotedebasdep"/>
          <w:color w:val="000000" w:themeColor="text1"/>
          <w:sz w:val="20"/>
          <w:szCs w:val="20"/>
        </w:rPr>
        <w:footnoteRef/>
      </w:r>
      <w:r w:rsidRPr="00187D76">
        <w:rPr>
          <w:color w:val="000000" w:themeColor="text1"/>
          <w:sz w:val="20"/>
          <w:szCs w:val="20"/>
        </w:rPr>
        <w:t xml:space="preserve"> </w:t>
      </w:r>
      <w:r w:rsidR="00723037" w:rsidRPr="00187D76">
        <w:rPr>
          <w:smallCaps/>
          <w:color w:val="000000" w:themeColor="text1"/>
          <w:sz w:val="20"/>
          <w:szCs w:val="20"/>
        </w:rPr>
        <w:t xml:space="preserve">Th. </w:t>
      </w:r>
      <w:r w:rsidRPr="00187D76">
        <w:rPr>
          <w:rFonts w:eastAsia="Times New Roman"/>
          <w:smallCaps/>
          <w:color w:val="000000" w:themeColor="text1"/>
          <w:sz w:val="20"/>
          <w:szCs w:val="20"/>
          <w:lang w:eastAsia="fr-FR"/>
        </w:rPr>
        <w:t>Hoscheit</w:t>
      </w:r>
      <w:r w:rsidRPr="00187D76">
        <w:rPr>
          <w:rFonts w:eastAsia="Times New Roman"/>
          <w:smallCaps/>
          <w:color w:val="000000" w:themeColor="text1"/>
          <w:sz w:val="20"/>
          <w:szCs w:val="20"/>
          <w:shd w:val="clear" w:color="auto" w:fill="FFFFFF"/>
          <w:lang w:eastAsia="fr-FR"/>
        </w:rPr>
        <w:t>,</w:t>
      </w:r>
      <w:r w:rsidRPr="00187D76">
        <w:rPr>
          <w:rFonts w:eastAsia="Times New Roman"/>
          <w:color w:val="000000" w:themeColor="text1"/>
          <w:sz w:val="20"/>
          <w:szCs w:val="20"/>
          <w:shd w:val="clear" w:color="auto" w:fill="FFFFFF"/>
          <w:lang w:eastAsia="fr-FR"/>
        </w:rPr>
        <w:t xml:space="preserve"> « Les jugements avant dire droit », </w:t>
      </w:r>
      <w:r w:rsidRPr="00187D76">
        <w:rPr>
          <w:rFonts w:eastAsia="Times New Roman"/>
          <w:i/>
          <w:iCs/>
          <w:color w:val="000000" w:themeColor="text1"/>
          <w:sz w:val="20"/>
          <w:szCs w:val="20"/>
          <w:lang w:eastAsia="fr-FR"/>
        </w:rPr>
        <w:t>J.T.L.</w:t>
      </w:r>
      <w:r w:rsidRPr="00187D76">
        <w:rPr>
          <w:rFonts w:eastAsia="Times New Roman"/>
          <w:color w:val="000000" w:themeColor="text1"/>
          <w:sz w:val="20"/>
          <w:szCs w:val="20"/>
          <w:shd w:val="clear" w:color="auto" w:fill="FFFFFF"/>
          <w:lang w:eastAsia="fr-FR"/>
        </w:rPr>
        <w:t>, 2018/6, n° 60, p. 161-165, note de bas de page 6.</w:t>
      </w:r>
    </w:p>
  </w:footnote>
  <w:footnote w:id="94">
    <w:p w14:paraId="6DBE37C3" w14:textId="647A71FA" w:rsidR="00DC3FD1" w:rsidRPr="00187D76" w:rsidRDefault="003C700B" w:rsidP="00187D76">
      <w:pPr>
        <w:pStyle w:val="Sansinterligne"/>
        <w:spacing w:line="240" w:lineRule="auto"/>
        <w:rPr>
          <w:sz w:val="20"/>
          <w:szCs w:val="20"/>
        </w:rPr>
      </w:pPr>
      <w:r w:rsidRPr="00187D76">
        <w:rPr>
          <w:rStyle w:val="Appelnotedebasdep"/>
          <w:sz w:val="20"/>
          <w:szCs w:val="20"/>
        </w:rPr>
        <w:footnoteRef/>
      </w:r>
      <w:r w:rsidRPr="00187D76">
        <w:rPr>
          <w:sz w:val="20"/>
          <w:szCs w:val="20"/>
        </w:rPr>
        <w:t xml:space="preserve"> CA, </w:t>
      </w:r>
      <w:r w:rsidR="00522559" w:rsidRPr="00187D76">
        <w:rPr>
          <w:sz w:val="20"/>
          <w:szCs w:val="20"/>
        </w:rPr>
        <w:t>17 mai 2018</w:t>
      </w:r>
      <w:r w:rsidR="00DC3FD1" w:rsidRPr="00187D76">
        <w:rPr>
          <w:sz w:val="20"/>
          <w:szCs w:val="20"/>
        </w:rPr>
        <w:t xml:space="preserve">, </w:t>
      </w:r>
      <w:r w:rsidR="0087565A" w:rsidRPr="00187D76">
        <w:rPr>
          <w:sz w:val="20"/>
          <w:szCs w:val="20"/>
        </w:rPr>
        <w:t xml:space="preserve">arrêt N° 82/18 - III – TRAV, </w:t>
      </w:r>
      <w:r w:rsidR="00DC3FD1" w:rsidRPr="00187D76">
        <w:rPr>
          <w:sz w:val="20"/>
          <w:szCs w:val="20"/>
        </w:rPr>
        <w:t>n°43850 du rôle : « le tribunal du travail, en se bornant à retenir sa compétence d</w:t>
      </w:r>
      <w:r w:rsidR="00BB76F1">
        <w:rPr>
          <w:sz w:val="20"/>
          <w:szCs w:val="20"/>
        </w:rPr>
        <w:t>’</w:t>
      </w:r>
      <w:r w:rsidR="00DC3FD1" w:rsidRPr="00187D76">
        <w:rPr>
          <w:sz w:val="20"/>
          <w:szCs w:val="20"/>
        </w:rPr>
        <w:t>attribution et à fixer la continuation des débats, n</w:t>
      </w:r>
      <w:r w:rsidR="00BB76F1">
        <w:rPr>
          <w:sz w:val="20"/>
          <w:szCs w:val="20"/>
        </w:rPr>
        <w:t>’</w:t>
      </w:r>
      <w:r w:rsidR="00DC3FD1" w:rsidRPr="00187D76">
        <w:rPr>
          <w:sz w:val="20"/>
          <w:szCs w:val="20"/>
        </w:rPr>
        <w:t>a pas mis fin à l</w:t>
      </w:r>
      <w:r w:rsidR="00BB76F1">
        <w:rPr>
          <w:sz w:val="20"/>
          <w:szCs w:val="20"/>
        </w:rPr>
        <w:t>’</w:t>
      </w:r>
      <w:r w:rsidR="00DC3FD1" w:rsidRPr="00187D76">
        <w:rPr>
          <w:sz w:val="20"/>
          <w:szCs w:val="20"/>
        </w:rPr>
        <w:t>instance et n</w:t>
      </w:r>
      <w:r w:rsidR="00BB76F1">
        <w:rPr>
          <w:sz w:val="20"/>
          <w:szCs w:val="20"/>
        </w:rPr>
        <w:t>’</w:t>
      </w:r>
      <w:r w:rsidR="00DC3FD1" w:rsidRPr="00187D76">
        <w:rPr>
          <w:sz w:val="20"/>
          <w:szCs w:val="20"/>
        </w:rPr>
        <w:t>a, dans le dispositif de sa décision, rien tranché au principal, à savoir les prétentions de l</w:t>
      </w:r>
      <w:r w:rsidR="00BB76F1">
        <w:rPr>
          <w:sz w:val="20"/>
          <w:szCs w:val="20"/>
        </w:rPr>
        <w:t>’</w:t>
      </w:r>
      <w:r w:rsidR="00DC3FD1" w:rsidRPr="00187D76">
        <w:rPr>
          <w:sz w:val="20"/>
          <w:szCs w:val="20"/>
        </w:rPr>
        <w:t xml:space="preserve">intimé. </w:t>
      </w:r>
    </w:p>
    <w:p w14:paraId="2F7DF157" w14:textId="208BA39A" w:rsidR="003C700B" w:rsidRPr="00187D76" w:rsidRDefault="00DC3FD1" w:rsidP="00187D76">
      <w:pPr>
        <w:pStyle w:val="Sansinterligne"/>
        <w:spacing w:line="240" w:lineRule="auto"/>
        <w:rPr>
          <w:sz w:val="20"/>
          <w:szCs w:val="20"/>
          <w:lang w:val="fr-LU"/>
        </w:rPr>
      </w:pPr>
      <w:r w:rsidRPr="00187D76">
        <w:rPr>
          <w:sz w:val="20"/>
          <w:szCs w:val="20"/>
        </w:rPr>
        <w:t>Il s</w:t>
      </w:r>
      <w:r w:rsidR="00BB76F1">
        <w:rPr>
          <w:sz w:val="20"/>
          <w:szCs w:val="20"/>
        </w:rPr>
        <w:t>’</w:t>
      </w:r>
      <w:r w:rsidRPr="00187D76">
        <w:rPr>
          <w:sz w:val="20"/>
          <w:szCs w:val="20"/>
        </w:rPr>
        <w:t>ensuit que l</w:t>
      </w:r>
      <w:r w:rsidR="00BB76F1">
        <w:rPr>
          <w:sz w:val="20"/>
          <w:szCs w:val="20"/>
        </w:rPr>
        <w:t>’</w:t>
      </w:r>
      <w:r w:rsidRPr="00187D76">
        <w:rPr>
          <w:sz w:val="20"/>
          <w:szCs w:val="20"/>
        </w:rPr>
        <w:t>appel est irrecevable en l</w:t>
      </w:r>
      <w:r w:rsidR="00BB76F1">
        <w:rPr>
          <w:sz w:val="20"/>
          <w:szCs w:val="20"/>
        </w:rPr>
        <w:t>’</w:t>
      </w:r>
      <w:r w:rsidRPr="00187D76">
        <w:rPr>
          <w:sz w:val="20"/>
          <w:szCs w:val="20"/>
        </w:rPr>
        <w:t>état, l</w:t>
      </w:r>
      <w:r w:rsidR="00BB76F1">
        <w:rPr>
          <w:sz w:val="20"/>
          <w:szCs w:val="20"/>
        </w:rPr>
        <w:t>’</w:t>
      </w:r>
      <w:r w:rsidRPr="00187D76">
        <w:rPr>
          <w:sz w:val="20"/>
          <w:szCs w:val="20"/>
        </w:rPr>
        <w:t>article 582 du NCPC invoqué par l</w:t>
      </w:r>
      <w:r w:rsidR="00BB76F1">
        <w:rPr>
          <w:sz w:val="20"/>
          <w:szCs w:val="20"/>
        </w:rPr>
        <w:t>’</w:t>
      </w:r>
      <w:r w:rsidRPr="00187D76">
        <w:rPr>
          <w:sz w:val="20"/>
          <w:szCs w:val="20"/>
        </w:rPr>
        <w:t xml:space="preserve">appelante, qui dispose que </w:t>
      </w:r>
      <w:r w:rsidRPr="00187D76">
        <w:rPr>
          <w:i/>
          <w:iCs/>
          <w:sz w:val="20"/>
          <w:szCs w:val="20"/>
        </w:rPr>
        <w:t>« Lorsqu</w:t>
      </w:r>
      <w:r w:rsidR="00BB76F1">
        <w:rPr>
          <w:i/>
          <w:iCs/>
          <w:sz w:val="20"/>
          <w:szCs w:val="20"/>
        </w:rPr>
        <w:t>’</w:t>
      </w:r>
      <w:r w:rsidRPr="00187D76">
        <w:rPr>
          <w:i/>
          <w:iCs/>
          <w:sz w:val="20"/>
          <w:szCs w:val="20"/>
        </w:rPr>
        <w:t>il s</w:t>
      </w:r>
      <w:r w:rsidR="00BB76F1">
        <w:rPr>
          <w:i/>
          <w:iCs/>
          <w:sz w:val="20"/>
          <w:szCs w:val="20"/>
        </w:rPr>
        <w:t>’</w:t>
      </w:r>
      <w:r w:rsidRPr="00187D76">
        <w:rPr>
          <w:i/>
          <w:iCs/>
          <w:sz w:val="20"/>
          <w:szCs w:val="20"/>
        </w:rPr>
        <w:t>agira d</w:t>
      </w:r>
      <w:r w:rsidR="00BB76F1">
        <w:rPr>
          <w:i/>
          <w:iCs/>
          <w:sz w:val="20"/>
          <w:szCs w:val="20"/>
        </w:rPr>
        <w:t>’</w:t>
      </w:r>
      <w:r w:rsidRPr="00187D76">
        <w:rPr>
          <w:i/>
          <w:iCs/>
          <w:sz w:val="20"/>
          <w:szCs w:val="20"/>
        </w:rPr>
        <w:t>incompétence, l</w:t>
      </w:r>
      <w:r w:rsidR="00BB76F1">
        <w:rPr>
          <w:i/>
          <w:iCs/>
          <w:sz w:val="20"/>
          <w:szCs w:val="20"/>
        </w:rPr>
        <w:t>’</w:t>
      </w:r>
      <w:r w:rsidRPr="00187D76">
        <w:rPr>
          <w:i/>
          <w:iCs/>
          <w:sz w:val="20"/>
          <w:szCs w:val="20"/>
        </w:rPr>
        <w:t xml:space="preserve">appel sera recevable, encore que le jugement ait été qualifié en dernier ressort. » </w:t>
      </w:r>
      <w:r w:rsidRPr="00187D76">
        <w:rPr>
          <w:sz w:val="20"/>
          <w:szCs w:val="20"/>
        </w:rPr>
        <w:t>signifiant uniquement que la disposition relative au déclinatoire de compétence d</w:t>
      </w:r>
      <w:r w:rsidR="00BB76F1">
        <w:rPr>
          <w:sz w:val="20"/>
          <w:szCs w:val="20"/>
        </w:rPr>
        <w:t>’</w:t>
      </w:r>
      <w:r w:rsidRPr="00187D76">
        <w:rPr>
          <w:sz w:val="20"/>
          <w:szCs w:val="20"/>
        </w:rPr>
        <w:t>un jugement rendu en dernier ressort est susceptible d</w:t>
      </w:r>
      <w:r w:rsidR="00BB76F1">
        <w:rPr>
          <w:sz w:val="20"/>
          <w:szCs w:val="20"/>
        </w:rPr>
        <w:t>’</w:t>
      </w:r>
      <w:r w:rsidRPr="00187D76">
        <w:rPr>
          <w:sz w:val="20"/>
          <w:szCs w:val="20"/>
        </w:rPr>
        <w:t>appel, mais ne dérogeant pas à la règle posée par les articles précités quant au moment à partir duquel un jugement est appelable »</w:t>
      </w:r>
    </w:p>
  </w:footnote>
  <w:footnote w:id="95">
    <w:p w14:paraId="34F77BCF" w14:textId="0FF9D789" w:rsidR="008C65D7" w:rsidRPr="00187D76" w:rsidRDefault="008C65D7" w:rsidP="008C65D7">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TAL, 2 juin 1933, </w:t>
      </w:r>
      <w:r w:rsidRPr="00187D76">
        <w:rPr>
          <w:i/>
          <w:color w:val="000000" w:themeColor="text1"/>
          <w:sz w:val="20"/>
          <w:szCs w:val="20"/>
        </w:rPr>
        <w:t xml:space="preserve">Pas. </w:t>
      </w:r>
      <w:r w:rsidRPr="00187D76">
        <w:rPr>
          <w:color w:val="000000" w:themeColor="text1"/>
          <w:sz w:val="20"/>
          <w:szCs w:val="20"/>
        </w:rPr>
        <w:t>13, p. 438. Voy. article 597 NCPC: Lorsqu</w:t>
      </w:r>
      <w:r w:rsidR="00BB76F1">
        <w:rPr>
          <w:color w:val="000000" w:themeColor="text1"/>
          <w:sz w:val="20"/>
          <w:szCs w:val="20"/>
        </w:rPr>
        <w:t>’</w:t>
      </w:r>
      <w:r w:rsidRPr="00187D76">
        <w:rPr>
          <w:color w:val="000000" w:themeColor="text1"/>
          <w:sz w:val="20"/>
          <w:szCs w:val="20"/>
        </w:rPr>
        <w:t>il y aura appel d</w:t>
      </w:r>
      <w:r w:rsidR="00BB76F1">
        <w:rPr>
          <w:color w:val="000000" w:themeColor="text1"/>
          <w:sz w:val="20"/>
          <w:szCs w:val="20"/>
        </w:rPr>
        <w:t>’</w:t>
      </w:r>
      <w:r w:rsidRPr="00187D76">
        <w:rPr>
          <w:color w:val="000000" w:themeColor="text1"/>
          <w:sz w:val="20"/>
          <w:szCs w:val="20"/>
        </w:rPr>
        <w:t>un jugement avant dire droit, si le jugement est infirmé et que la matière soit disposée à recevoir une décision définitive, les cours et autres tribunaux d</w:t>
      </w:r>
      <w:r w:rsidR="00BB76F1">
        <w:rPr>
          <w:color w:val="000000" w:themeColor="text1"/>
          <w:sz w:val="20"/>
          <w:szCs w:val="20"/>
        </w:rPr>
        <w:t>’</w:t>
      </w:r>
      <w:r w:rsidRPr="00187D76">
        <w:rPr>
          <w:color w:val="000000" w:themeColor="text1"/>
          <w:sz w:val="20"/>
          <w:szCs w:val="20"/>
        </w:rPr>
        <w:t>appel pourront statuer en même temps sur le fond définitivement, par un seul et même jugement.</w:t>
      </w:r>
    </w:p>
    <w:p w14:paraId="1555776A" w14:textId="4FFCFBF5" w:rsidR="008C65D7" w:rsidRPr="00187D76" w:rsidRDefault="008C65D7" w:rsidP="008C65D7">
      <w:pPr>
        <w:pStyle w:val="Sansinterligne"/>
        <w:spacing w:line="240" w:lineRule="auto"/>
        <w:rPr>
          <w:color w:val="000000" w:themeColor="text1"/>
          <w:sz w:val="20"/>
          <w:szCs w:val="20"/>
        </w:rPr>
      </w:pPr>
      <w:r w:rsidRPr="00187D76">
        <w:rPr>
          <w:color w:val="000000" w:themeColor="text1"/>
          <w:sz w:val="20"/>
          <w:szCs w:val="20"/>
        </w:rPr>
        <w:t>Il en sera de même dans le cas où les cours et autres tribunaux d</w:t>
      </w:r>
      <w:r w:rsidR="00BB76F1">
        <w:rPr>
          <w:color w:val="000000" w:themeColor="text1"/>
          <w:sz w:val="20"/>
          <w:szCs w:val="20"/>
        </w:rPr>
        <w:t>’</w:t>
      </w:r>
      <w:r w:rsidRPr="00187D76">
        <w:rPr>
          <w:color w:val="000000" w:themeColor="text1"/>
          <w:sz w:val="20"/>
          <w:szCs w:val="20"/>
        </w:rPr>
        <w:t>appel infirmeraient, soit pour vice de forme, soit pour toute autre cause, des jugements définitifs.</w:t>
      </w:r>
    </w:p>
  </w:footnote>
  <w:footnote w:id="96">
    <w:p w14:paraId="0AD2CE5D" w14:textId="77777777" w:rsidR="008C65D7" w:rsidRPr="00187D76" w:rsidRDefault="008C65D7" w:rsidP="008C65D7">
      <w:pPr>
        <w:pStyle w:val="Sansinterligne"/>
        <w:spacing w:line="240" w:lineRule="auto"/>
        <w:rPr>
          <w:color w:val="000000" w:themeColor="text1"/>
          <w:sz w:val="20"/>
          <w:szCs w:val="20"/>
          <w:lang w:val="fr-LU"/>
        </w:rPr>
      </w:pPr>
      <w:r w:rsidRPr="00187D76">
        <w:rPr>
          <w:rStyle w:val="Appelnotedebasdep"/>
          <w:color w:val="000000" w:themeColor="text1"/>
          <w:sz w:val="20"/>
          <w:szCs w:val="20"/>
        </w:rPr>
        <w:footnoteRef/>
      </w:r>
      <w:r w:rsidRPr="00187D76">
        <w:rPr>
          <w:color w:val="000000" w:themeColor="text1"/>
          <w:sz w:val="20"/>
          <w:szCs w:val="20"/>
        </w:rPr>
        <w:t xml:space="preserve"> CA, 12 décembre 2018, Arrêt N° 183/18 – VII – CIV , CAL-2018-00329 du rôle ; CA 19 décembre 2018, </w:t>
      </w:r>
      <w:r w:rsidRPr="00187D76">
        <w:rPr>
          <w:i/>
          <w:iCs/>
          <w:color w:val="000000" w:themeColor="text1"/>
          <w:sz w:val="20"/>
          <w:szCs w:val="20"/>
        </w:rPr>
        <w:t>Pas.</w:t>
      </w:r>
      <w:r w:rsidRPr="00187D76">
        <w:rPr>
          <w:color w:val="000000" w:themeColor="text1"/>
          <w:sz w:val="20"/>
          <w:szCs w:val="20"/>
        </w:rPr>
        <w:t xml:space="preserve">, t. 39, p. 296. </w:t>
      </w:r>
    </w:p>
  </w:footnote>
  <w:footnote w:id="97">
    <w:p w14:paraId="618EC0CF" w14:textId="1B1C9A89" w:rsidR="00140744" w:rsidRPr="00187D76" w:rsidRDefault="00140744"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Pr="00187D76">
        <w:rPr>
          <w:smallCaps/>
          <w:color w:val="000000" w:themeColor="text1"/>
          <w:sz w:val="20"/>
          <w:szCs w:val="20"/>
        </w:rPr>
        <w:t>J</w:t>
      </w:r>
      <w:r w:rsidR="00D27779" w:rsidRPr="00187D76">
        <w:rPr>
          <w:smallCaps/>
          <w:sz w:val="20"/>
          <w:szCs w:val="20"/>
        </w:rPr>
        <w:t xml:space="preserve"> J. Héron &amp; Th. Le Bars</w:t>
      </w:r>
      <w:r w:rsidR="00D27779" w:rsidRPr="00187D76">
        <w:rPr>
          <w:sz w:val="20"/>
          <w:szCs w:val="20"/>
        </w:rPr>
        <w:t xml:space="preserve">, </w:t>
      </w:r>
      <w:r w:rsidR="00D27779" w:rsidRPr="00187D76">
        <w:rPr>
          <w:i/>
          <w:sz w:val="20"/>
          <w:szCs w:val="20"/>
        </w:rPr>
        <w:t>Droit judiciaire privé</w:t>
      </w:r>
      <w:r w:rsidR="00D27779" w:rsidRPr="00187D76">
        <w:rPr>
          <w:sz w:val="20"/>
          <w:szCs w:val="20"/>
        </w:rPr>
        <w:t>, Paris, Montchrestien, 2012</w:t>
      </w:r>
      <w:r w:rsidRPr="00187D76">
        <w:rPr>
          <w:color w:val="000000" w:themeColor="text1"/>
          <w:sz w:val="20"/>
          <w:szCs w:val="20"/>
        </w:rPr>
        <w:t>, n°952.</w:t>
      </w:r>
    </w:p>
  </w:footnote>
  <w:footnote w:id="98">
    <w:p w14:paraId="78C8E6F5" w14:textId="2C15463B" w:rsidR="00AC178D" w:rsidRPr="00187D76" w:rsidRDefault="00AC178D"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w:t>
      </w:r>
      <w:r w:rsidR="00087683" w:rsidRPr="00187D76">
        <w:rPr>
          <w:i/>
          <w:iCs/>
          <w:smallCaps/>
          <w:color w:val="000000" w:themeColor="text1"/>
          <w:sz w:val="20"/>
          <w:szCs w:val="20"/>
        </w:rPr>
        <w:t>I</w:t>
      </w:r>
      <w:r w:rsidR="00087683" w:rsidRPr="00187D76">
        <w:rPr>
          <w:i/>
          <w:iCs/>
          <w:color w:val="000000" w:themeColor="text1"/>
          <w:sz w:val="20"/>
          <w:szCs w:val="20"/>
        </w:rPr>
        <w:t>bid</w:t>
      </w:r>
      <w:r w:rsidRPr="00187D76">
        <w:rPr>
          <w:color w:val="000000" w:themeColor="text1"/>
          <w:sz w:val="20"/>
          <w:szCs w:val="20"/>
        </w:rPr>
        <w:t xml:space="preserve">. Voy. également C. </w:t>
      </w:r>
      <w:r w:rsidRPr="00187D76">
        <w:rPr>
          <w:smallCaps/>
          <w:color w:val="000000" w:themeColor="text1"/>
          <w:sz w:val="20"/>
          <w:szCs w:val="20"/>
        </w:rPr>
        <w:t>Bléry</w:t>
      </w:r>
      <w:r w:rsidRPr="00187D76">
        <w:rPr>
          <w:color w:val="000000" w:themeColor="text1"/>
          <w:sz w:val="20"/>
          <w:szCs w:val="20"/>
        </w:rPr>
        <w:t xml:space="preserve">, « Plaidoyer pour une simplification des règles internes de compétence », </w:t>
      </w:r>
      <w:r w:rsidRPr="00187D76">
        <w:rPr>
          <w:i/>
          <w:color w:val="000000" w:themeColor="text1"/>
          <w:sz w:val="20"/>
          <w:szCs w:val="20"/>
        </w:rPr>
        <w:t>Procédures</w:t>
      </w:r>
      <w:r w:rsidRPr="00187D76">
        <w:rPr>
          <w:color w:val="000000" w:themeColor="text1"/>
          <w:sz w:val="20"/>
          <w:szCs w:val="20"/>
        </w:rPr>
        <w:t>, 2008, étude 3 ; et le rapport Marshall &lt;</w:t>
      </w:r>
      <w:hyperlink r:id="rId1" w:history="1">
        <w:r w:rsidRPr="00187D76">
          <w:rPr>
            <w:rStyle w:val="Lienhypertexte"/>
            <w:color w:val="000000" w:themeColor="text1"/>
            <w:sz w:val="20"/>
            <w:szCs w:val="20"/>
          </w:rPr>
          <w:t>http://www.justice.gouv.fr/publication/rapport_Marshall_2013.pdf</w:t>
        </w:r>
      </w:hyperlink>
      <w:r w:rsidRPr="00187D76">
        <w:rPr>
          <w:color w:val="000000" w:themeColor="text1"/>
          <w:sz w:val="20"/>
          <w:szCs w:val="20"/>
        </w:rPr>
        <w:t xml:space="preserve">&gt;. </w:t>
      </w:r>
    </w:p>
  </w:footnote>
  <w:footnote w:id="99">
    <w:p w14:paraId="01FD7FE4" w14:textId="73E2580D" w:rsidR="007F07D8" w:rsidRPr="00187D76" w:rsidRDefault="007F07D8" w:rsidP="00187D76">
      <w:pPr>
        <w:pStyle w:val="docContentchronTITRE"/>
        <w:spacing w:before="58" w:after="58"/>
        <w:jc w:val="both"/>
        <w:rPr>
          <w:b w:val="0"/>
          <w:bCs w:val="0"/>
          <w:color w:val="000000" w:themeColor="text1"/>
          <w:sz w:val="20"/>
          <w:szCs w:val="20"/>
        </w:rPr>
      </w:pPr>
      <w:r w:rsidRPr="00187D76">
        <w:rPr>
          <w:rStyle w:val="Appelnotedebasdep"/>
          <w:b w:val="0"/>
          <w:bCs w:val="0"/>
          <w:color w:val="000000" w:themeColor="text1"/>
          <w:sz w:val="20"/>
          <w:szCs w:val="20"/>
        </w:rPr>
        <w:footnoteRef/>
      </w:r>
      <w:r w:rsidRPr="00187D76">
        <w:rPr>
          <w:b w:val="0"/>
          <w:bCs w:val="0"/>
          <w:color w:val="000000" w:themeColor="text1"/>
          <w:sz w:val="20"/>
          <w:szCs w:val="20"/>
        </w:rPr>
        <w:t xml:space="preserve"> Exposé des motifs de la </w:t>
      </w:r>
      <w:r w:rsidRPr="00187D76">
        <w:rPr>
          <w:b w:val="0"/>
          <w:bCs w:val="0"/>
          <w:color w:val="000000" w:themeColor="text1"/>
          <w:sz w:val="20"/>
          <w:szCs w:val="20"/>
          <w:shd w:val="clear" w:color="auto" w:fill="FFFFFF"/>
        </w:rPr>
        <w:t>loi n° 2019-222 du 23 mars 2019 de programmation et de réforme pour la justice</w:t>
      </w:r>
      <w:r w:rsidRPr="00187D76">
        <w:rPr>
          <w:b w:val="0"/>
          <w:bCs w:val="0"/>
          <w:color w:val="000000" w:themeColor="text1"/>
          <w:sz w:val="20"/>
          <w:szCs w:val="20"/>
        </w:rPr>
        <w:t xml:space="preserve">, voy. C. </w:t>
      </w:r>
      <w:r w:rsidRPr="00187D76">
        <w:rPr>
          <w:b w:val="0"/>
          <w:bCs w:val="0"/>
          <w:smallCaps/>
          <w:color w:val="000000" w:themeColor="text1"/>
          <w:sz w:val="20"/>
          <w:szCs w:val="20"/>
        </w:rPr>
        <w:t>Blery, « </w:t>
      </w:r>
      <w:r w:rsidRPr="00187D76">
        <w:rPr>
          <w:rStyle w:val="docContentdivFullMarge"/>
          <w:b w:val="0"/>
          <w:bCs w:val="0"/>
          <w:color w:val="000000" w:themeColor="text1"/>
          <w:sz w:val="20"/>
          <w:szCs w:val="20"/>
        </w:rPr>
        <w:t>Compétences du tribunal judiciaire : redistribution des compétences du TGI et du TI</w:t>
      </w:r>
      <w:r w:rsidRPr="00187D76">
        <w:rPr>
          <w:rStyle w:val="docContentdivFullMarge"/>
          <w:b w:val="0"/>
          <w:bCs w:val="0"/>
          <w:color w:val="000000" w:themeColor="text1"/>
          <w:sz w:val="20"/>
          <w:szCs w:val="20"/>
          <w:lang w:val="fr-FR"/>
        </w:rPr>
        <w:t xml:space="preserve"> », </w:t>
      </w:r>
      <w:r w:rsidRPr="00187D76">
        <w:rPr>
          <w:b w:val="0"/>
          <w:bCs w:val="0"/>
          <w:i/>
          <w:iCs/>
          <w:color w:val="000000" w:themeColor="text1"/>
          <w:sz w:val="20"/>
          <w:szCs w:val="20"/>
          <w:shd w:val="clear" w:color="auto" w:fill="FFFFFF"/>
        </w:rPr>
        <w:t>Dalloz actualité</w:t>
      </w:r>
      <w:r w:rsidRPr="00187D76">
        <w:rPr>
          <w:b w:val="0"/>
          <w:bCs w:val="0"/>
          <w:color w:val="000000" w:themeColor="text1"/>
          <w:sz w:val="20"/>
          <w:szCs w:val="20"/>
          <w:shd w:val="clear" w:color="auto" w:fill="FFFFFF"/>
        </w:rPr>
        <w:t>, 7 octobre 2019 </w:t>
      </w:r>
      <w:r w:rsidRPr="00187D76">
        <w:rPr>
          <w:rStyle w:val="apple-converted-space"/>
          <w:b w:val="0"/>
          <w:bCs w:val="0"/>
          <w:color w:val="000000" w:themeColor="text1"/>
          <w:sz w:val="20"/>
          <w:szCs w:val="20"/>
          <w:shd w:val="clear" w:color="auto" w:fill="FFFFFF"/>
        </w:rPr>
        <w:t xml:space="preserve">; </w:t>
      </w:r>
      <w:r w:rsidRPr="00187D76">
        <w:rPr>
          <w:b w:val="0"/>
          <w:bCs w:val="0"/>
          <w:smallCaps/>
          <w:color w:val="000000" w:themeColor="text1"/>
          <w:sz w:val="20"/>
          <w:szCs w:val="20"/>
          <w:shd w:val="clear" w:color="auto" w:fill="FFFFFF"/>
        </w:rPr>
        <w:t>L. Raschel</w:t>
      </w:r>
      <w:r w:rsidRPr="00187D76">
        <w:rPr>
          <w:b w:val="0"/>
          <w:bCs w:val="0"/>
          <w:color w:val="000000" w:themeColor="text1"/>
          <w:sz w:val="20"/>
          <w:szCs w:val="20"/>
          <w:shd w:val="clear" w:color="auto" w:fill="FFFFFF"/>
        </w:rPr>
        <w:t>, « Loi Belloubet – Loi de programmation 2018-2022 et de réforme pour la justice : aspects d</w:t>
      </w:r>
      <w:r w:rsidR="00BB76F1">
        <w:rPr>
          <w:b w:val="0"/>
          <w:bCs w:val="0"/>
          <w:color w:val="000000" w:themeColor="text1"/>
          <w:sz w:val="20"/>
          <w:szCs w:val="20"/>
          <w:shd w:val="clear" w:color="auto" w:fill="FFFFFF"/>
        </w:rPr>
        <w:t>’</w:t>
      </w:r>
      <w:r w:rsidRPr="00187D76">
        <w:rPr>
          <w:b w:val="0"/>
          <w:bCs w:val="0"/>
          <w:color w:val="000000" w:themeColor="text1"/>
          <w:sz w:val="20"/>
          <w:szCs w:val="20"/>
          <w:shd w:val="clear" w:color="auto" w:fill="FFFFFF"/>
        </w:rPr>
        <w:t xml:space="preserve">organisation judiciaire », </w:t>
      </w:r>
      <w:r w:rsidRPr="00187D76">
        <w:rPr>
          <w:b w:val="0"/>
          <w:bCs w:val="0"/>
          <w:i/>
          <w:iCs/>
          <w:color w:val="000000" w:themeColor="text1"/>
          <w:sz w:val="20"/>
          <w:szCs w:val="20"/>
          <w:shd w:val="clear" w:color="auto" w:fill="FFFFFF"/>
        </w:rPr>
        <w:t>Procédures</w:t>
      </w:r>
      <w:r w:rsidRPr="00187D76">
        <w:rPr>
          <w:b w:val="0"/>
          <w:bCs w:val="0"/>
          <w:color w:val="000000" w:themeColor="text1"/>
          <w:sz w:val="20"/>
          <w:szCs w:val="20"/>
          <w:shd w:val="clear" w:color="auto" w:fill="FFFFFF"/>
        </w:rPr>
        <w:t>, 2019, étude 11 ;</w:t>
      </w:r>
      <w:r w:rsidRPr="00187D76">
        <w:rPr>
          <w:b w:val="0"/>
          <w:bCs w:val="0"/>
          <w:smallCaps/>
          <w:color w:val="000000" w:themeColor="text1"/>
          <w:sz w:val="20"/>
          <w:szCs w:val="20"/>
          <w:shd w:val="clear" w:color="auto" w:fill="FFFFFF"/>
        </w:rPr>
        <w:t xml:space="preserve"> M. Guez</w:t>
      </w:r>
      <w:r w:rsidRPr="00187D76">
        <w:rPr>
          <w:b w:val="0"/>
          <w:bCs w:val="0"/>
          <w:color w:val="000000" w:themeColor="text1"/>
          <w:sz w:val="20"/>
          <w:szCs w:val="20"/>
          <w:shd w:val="clear" w:color="auto" w:fill="FFFFFF"/>
        </w:rPr>
        <w:t>, « Le Tribunal judiciaire, naissance d</w:t>
      </w:r>
      <w:r w:rsidR="00BB76F1">
        <w:rPr>
          <w:b w:val="0"/>
          <w:bCs w:val="0"/>
          <w:color w:val="000000" w:themeColor="text1"/>
          <w:sz w:val="20"/>
          <w:szCs w:val="20"/>
          <w:shd w:val="clear" w:color="auto" w:fill="FFFFFF"/>
        </w:rPr>
        <w:t>’</w:t>
      </w:r>
      <w:r w:rsidRPr="00187D76">
        <w:rPr>
          <w:b w:val="0"/>
          <w:bCs w:val="0"/>
          <w:color w:val="000000" w:themeColor="text1"/>
          <w:sz w:val="20"/>
          <w:szCs w:val="20"/>
          <w:shd w:val="clear" w:color="auto" w:fill="FFFFFF"/>
        </w:rPr>
        <w:t xml:space="preserve">une juridiction », </w:t>
      </w:r>
      <w:r w:rsidRPr="00187D76">
        <w:rPr>
          <w:b w:val="0"/>
          <w:bCs w:val="0"/>
          <w:i/>
          <w:iCs/>
          <w:color w:val="000000" w:themeColor="text1"/>
          <w:sz w:val="20"/>
          <w:szCs w:val="20"/>
          <w:shd w:val="clear" w:color="auto" w:fill="FFFFFF"/>
        </w:rPr>
        <w:t>Gaz. Pal</w:t>
      </w:r>
      <w:r w:rsidRPr="00187D76">
        <w:rPr>
          <w:b w:val="0"/>
          <w:bCs w:val="0"/>
          <w:color w:val="000000" w:themeColor="text1"/>
          <w:sz w:val="20"/>
          <w:szCs w:val="20"/>
          <w:shd w:val="clear" w:color="auto" w:fill="FFFFFF"/>
        </w:rPr>
        <w:t xml:space="preserve">. 23 avril 2019, p. 48 ; </w:t>
      </w:r>
      <w:r w:rsidRPr="00187D76">
        <w:rPr>
          <w:b w:val="0"/>
          <w:bCs w:val="0"/>
          <w:smallCaps/>
          <w:color w:val="000000" w:themeColor="text1"/>
          <w:sz w:val="20"/>
          <w:szCs w:val="20"/>
          <w:shd w:val="clear" w:color="auto" w:fill="FFFFFF"/>
        </w:rPr>
        <w:t>C.-S. Pinat</w:t>
      </w:r>
      <w:r w:rsidRPr="00187D76">
        <w:rPr>
          <w:b w:val="0"/>
          <w:bCs w:val="0"/>
          <w:color w:val="000000" w:themeColor="text1"/>
          <w:sz w:val="20"/>
          <w:szCs w:val="20"/>
          <w:shd w:val="clear" w:color="auto" w:fill="FFFFFF"/>
        </w:rPr>
        <w:t xml:space="preserve">, « Loi de réforme de la justice : procédure civile, </w:t>
      </w:r>
      <w:r w:rsidRPr="00187D76">
        <w:rPr>
          <w:b w:val="0"/>
          <w:bCs w:val="0"/>
          <w:i/>
          <w:iCs/>
          <w:color w:val="000000" w:themeColor="text1"/>
          <w:sz w:val="20"/>
          <w:szCs w:val="20"/>
          <w:shd w:val="clear" w:color="auto" w:fill="FFFFFF"/>
        </w:rPr>
        <w:t>Dalloz actualité</w:t>
      </w:r>
      <w:r w:rsidRPr="00187D76">
        <w:rPr>
          <w:b w:val="0"/>
          <w:bCs w:val="0"/>
          <w:color w:val="000000" w:themeColor="text1"/>
          <w:sz w:val="20"/>
          <w:szCs w:val="20"/>
          <w:shd w:val="clear" w:color="auto" w:fill="FFFFFF"/>
        </w:rPr>
        <w:t>, 2 avril 2019</w:t>
      </w:r>
      <w:r w:rsidRPr="00187D76">
        <w:rPr>
          <w:rStyle w:val="apple-converted-space"/>
          <w:b w:val="0"/>
          <w:bCs w:val="0"/>
          <w:color w:val="000000" w:themeColor="text1"/>
          <w:sz w:val="20"/>
          <w:szCs w:val="20"/>
          <w:shd w:val="clear" w:color="auto" w:fill="FFFFFF"/>
        </w:rPr>
        <w:t>.</w:t>
      </w:r>
    </w:p>
  </w:footnote>
  <w:footnote w:id="100">
    <w:p w14:paraId="0023591A" w14:textId="238A5017" w:rsidR="004526FC" w:rsidRPr="00187D76" w:rsidRDefault="004526FC" w:rsidP="00187D76">
      <w:pPr>
        <w:pStyle w:val="Sansinterligne"/>
        <w:spacing w:line="240" w:lineRule="auto"/>
        <w:rPr>
          <w:color w:val="000000" w:themeColor="text1"/>
          <w:sz w:val="20"/>
          <w:szCs w:val="20"/>
        </w:rPr>
      </w:pPr>
      <w:r w:rsidRPr="00187D76">
        <w:rPr>
          <w:rStyle w:val="Appelnotedebasdep"/>
          <w:color w:val="000000" w:themeColor="text1"/>
          <w:sz w:val="20"/>
          <w:szCs w:val="20"/>
        </w:rPr>
        <w:footnoteRef/>
      </w:r>
      <w:r w:rsidRPr="00187D76">
        <w:rPr>
          <w:color w:val="000000" w:themeColor="text1"/>
          <w:sz w:val="20"/>
          <w:szCs w:val="20"/>
        </w:rPr>
        <w:t xml:space="preserve"> Le Tribunal d</w:t>
      </w:r>
      <w:r w:rsidR="00BB76F1">
        <w:rPr>
          <w:color w:val="000000" w:themeColor="text1"/>
          <w:sz w:val="20"/>
          <w:szCs w:val="20"/>
        </w:rPr>
        <w:t>’</w:t>
      </w:r>
      <w:r w:rsidRPr="00187D76">
        <w:rPr>
          <w:color w:val="000000" w:themeColor="text1"/>
          <w:sz w:val="20"/>
          <w:szCs w:val="20"/>
        </w:rPr>
        <w:t>arrondissement est cependant resté ; il est, au sein de chaque arrondissement, constitué par le président du Tribunal de première instance, le président du tribunal de commerce et le président du tribunal de travail. Sa fonction est limitée au règlement des conflits de compétence entre les juridictions du premier degré si les parties ou le juge du fond l</w:t>
      </w:r>
      <w:r w:rsidR="00BB76F1">
        <w:rPr>
          <w:color w:val="000000" w:themeColor="text1"/>
          <w:sz w:val="20"/>
          <w:szCs w:val="20"/>
        </w:rPr>
        <w:t>’</w:t>
      </w:r>
      <w:r w:rsidRPr="00187D76">
        <w:rPr>
          <w:color w:val="000000" w:themeColor="text1"/>
          <w:sz w:val="20"/>
          <w:szCs w:val="20"/>
        </w:rPr>
        <w:t xml:space="preserve">en saisissent, voy. G. </w:t>
      </w:r>
      <w:r w:rsidRPr="00187D76">
        <w:rPr>
          <w:smallCaps/>
          <w:color w:val="000000" w:themeColor="text1"/>
          <w:sz w:val="20"/>
          <w:szCs w:val="20"/>
        </w:rPr>
        <w:t>Closset-Marchal</w:t>
      </w:r>
      <w:r w:rsidRPr="00187D76">
        <w:rPr>
          <w:color w:val="000000" w:themeColor="text1"/>
          <w:sz w:val="20"/>
          <w:szCs w:val="20"/>
        </w:rPr>
        <w:t>, « Le Tribunal d</w:t>
      </w:r>
      <w:r w:rsidR="00BB76F1">
        <w:rPr>
          <w:color w:val="000000" w:themeColor="text1"/>
          <w:sz w:val="20"/>
          <w:szCs w:val="20"/>
        </w:rPr>
        <w:t>’</w:t>
      </w:r>
      <w:r w:rsidRPr="00187D76">
        <w:rPr>
          <w:color w:val="000000" w:themeColor="text1"/>
          <w:sz w:val="20"/>
          <w:szCs w:val="20"/>
        </w:rPr>
        <w:t xml:space="preserve">arrondissement : saisine, pouvoirs et décision », </w:t>
      </w:r>
      <w:r w:rsidRPr="00187D76">
        <w:rPr>
          <w:i/>
          <w:color w:val="000000" w:themeColor="text1"/>
          <w:sz w:val="20"/>
          <w:szCs w:val="20"/>
        </w:rPr>
        <w:t>J.T.,</w:t>
      </w:r>
      <w:r w:rsidRPr="00187D76">
        <w:rPr>
          <w:color w:val="000000" w:themeColor="text1"/>
          <w:sz w:val="20"/>
          <w:szCs w:val="20"/>
        </w:rPr>
        <w:t xml:space="preserve"> 1985, p. 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4E89"/>
    <w:multiLevelType w:val="hybridMultilevel"/>
    <w:tmpl w:val="54D26FBC"/>
    <w:lvl w:ilvl="0" w:tplc="069CD9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FB5DD6"/>
    <w:multiLevelType w:val="hybridMultilevel"/>
    <w:tmpl w:val="8F3A421A"/>
    <w:lvl w:ilvl="0" w:tplc="29CE1FA4">
      <w:start w:val="6"/>
      <w:numFmt w:val="decimal"/>
      <w:lvlText w:val="%1."/>
      <w:lvlJc w:val="left"/>
      <w:pPr>
        <w:ind w:left="120" w:hanging="720"/>
      </w:pPr>
      <w:rPr>
        <w:rFonts w:ascii="Calibri" w:eastAsia="Calibri" w:hAnsi="Calibri" w:hint="default"/>
        <w:b/>
        <w:bCs/>
        <w:sz w:val="22"/>
        <w:szCs w:val="22"/>
      </w:rPr>
    </w:lvl>
    <w:lvl w:ilvl="1" w:tplc="16F2AFE6">
      <w:start w:val="1"/>
      <w:numFmt w:val="bullet"/>
      <w:lvlText w:val="-"/>
      <w:lvlJc w:val="left"/>
      <w:pPr>
        <w:ind w:left="1920" w:hanging="720"/>
      </w:pPr>
      <w:rPr>
        <w:rFonts w:ascii="Cambria" w:eastAsia="Cambria" w:hAnsi="Cambria" w:hint="default"/>
        <w:sz w:val="22"/>
        <w:szCs w:val="22"/>
      </w:rPr>
    </w:lvl>
    <w:lvl w:ilvl="2" w:tplc="8F1E1F2A">
      <w:start w:val="1"/>
      <w:numFmt w:val="bullet"/>
      <w:lvlText w:val="•"/>
      <w:lvlJc w:val="left"/>
      <w:pPr>
        <w:ind w:left="2736" w:hanging="720"/>
      </w:pPr>
      <w:rPr>
        <w:rFonts w:hint="default"/>
      </w:rPr>
    </w:lvl>
    <w:lvl w:ilvl="3" w:tplc="CECE4C76">
      <w:start w:val="1"/>
      <w:numFmt w:val="bullet"/>
      <w:lvlText w:val="•"/>
      <w:lvlJc w:val="left"/>
      <w:pPr>
        <w:ind w:left="3552" w:hanging="720"/>
      </w:pPr>
      <w:rPr>
        <w:rFonts w:hint="default"/>
      </w:rPr>
    </w:lvl>
    <w:lvl w:ilvl="4" w:tplc="C51A314E">
      <w:start w:val="1"/>
      <w:numFmt w:val="bullet"/>
      <w:lvlText w:val="•"/>
      <w:lvlJc w:val="left"/>
      <w:pPr>
        <w:ind w:left="4369" w:hanging="720"/>
      </w:pPr>
      <w:rPr>
        <w:rFonts w:hint="default"/>
      </w:rPr>
    </w:lvl>
    <w:lvl w:ilvl="5" w:tplc="07886638">
      <w:start w:val="1"/>
      <w:numFmt w:val="bullet"/>
      <w:lvlText w:val="•"/>
      <w:lvlJc w:val="left"/>
      <w:pPr>
        <w:ind w:left="5185" w:hanging="720"/>
      </w:pPr>
      <w:rPr>
        <w:rFonts w:hint="default"/>
      </w:rPr>
    </w:lvl>
    <w:lvl w:ilvl="6" w:tplc="FCE8E726">
      <w:start w:val="1"/>
      <w:numFmt w:val="bullet"/>
      <w:lvlText w:val="•"/>
      <w:lvlJc w:val="left"/>
      <w:pPr>
        <w:ind w:left="6001" w:hanging="720"/>
      </w:pPr>
      <w:rPr>
        <w:rFonts w:hint="default"/>
      </w:rPr>
    </w:lvl>
    <w:lvl w:ilvl="7" w:tplc="256C291A">
      <w:start w:val="1"/>
      <w:numFmt w:val="bullet"/>
      <w:lvlText w:val="•"/>
      <w:lvlJc w:val="left"/>
      <w:pPr>
        <w:ind w:left="6817" w:hanging="720"/>
      </w:pPr>
      <w:rPr>
        <w:rFonts w:hint="default"/>
      </w:rPr>
    </w:lvl>
    <w:lvl w:ilvl="8" w:tplc="3D0EA2F0">
      <w:start w:val="1"/>
      <w:numFmt w:val="bullet"/>
      <w:lvlText w:val="•"/>
      <w:lvlJc w:val="left"/>
      <w:pPr>
        <w:ind w:left="7633" w:hanging="720"/>
      </w:pPr>
      <w:rPr>
        <w:rFonts w:hint="default"/>
      </w:rPr>
    </w:lvl>
  </w:abstractNum>
  <w:abstractNum w:abstractNumId="2" w15:restartNumberingAfterBreak="0">
    <w:nsid w:val="26E30CD8"/>
    <w:multiLevelType w:val="hybridMultilevel"/>
    <w:tmpl w:val="FF4E04EE"/>
    <w:lvl w:ilvl="0" w:tplc="8E0CC958">
      <w:start w:val="1"/>
      <w:numFmt w:val="bullet"/>
      <w:lvlText w:val=""/>
      <w:lvlJc w:val="left"/>
      <w:pPr>
        <w:ind w:left="100" w:hanging="550"/>
      </w:pPr>
      <w:rPr>
        <w:rFonts w:ascii="Symbol" w:eastAsia="Symbol" w:hAnsi="Symbol" w:hint="default"/>
        <w:sz w:val="22"/>
        <w:szCs w:val="22"/>
      </w:rPr>
    </w:lvl>
    <w:lvl w:ilvl="1" w:tplc="E8DA71D4">
      <w:start w:val="1"/>
      <w:numFmt w:val="bullet"/>
      <w:lvlText w:val="•"/>
      <w:lvlJc w:val="left"/>
      <w:pPr>
        <w:ind w:left="1015" w:hanging="550"/>
      </w:pPr>
      <w:rPr>
        <w:rFonts w:hint="default"/>
      </w:rPr>
    </w:lvl>
    <w:lvl w:ilvl="2" w:tplc="47EA3B56">
      <w:start w:val="1"/>
      <w:numFmt w:val="bullet"/>
      <w:lvlText w:val="•"/>
      <w:lvlJc w:val="left"/>
      <w:pPr>
        <w:ind w:left="1929" w:hanging="550"/>
      </w:pPr>
      <w:rPr>
        <w:rFonts w:hint="default"/>
      </w:rPr>
    </w:lvl>
    <w:lvl w:ilvl="3" w:tplc="E4FC203C">
      <w:start w:val="1"/>
      <w:numFmt w:val="bullet"/>
      <w:lvlText w:val="•"/>
      <w:lvlJc w:val="left"/>
      <w:pPr>
        <w:ind w:left="2844" w:hanging="550"/>
      </w:pPr>
      <w:rPr>
        <w:rFonts w:hint="default"/>
      </w:rPr>
    </w:lvl>
    <w:lvl w:ilvl="4" w:tplc="05F6007C">
      <w:start w:val="1"/>
      <w:numFmt w:val="bullet"/>
      <w:lvlText w:val="•"/>
      <w:lvlJc w:val="left"/>
      <w:pPr>
        <w:ind w:left="3758" w:hanging="550"/>
      </w:pPr>
      <w:rPr>
        <w:rFonts w:hint="default"/>
      </w:rPr>
    </w:lvl>
    <w:lvl w:ilvl="5" w:tplc="E28254E2">
      <w:start w:val="1"/>
      <w:numFmt w:val="bullet"/>
      <w:lvlText w:val="•"/>
      <w:lvlJc w:val="left"/>
      <w:pPr>
        <w:ind w:left="4673" w:hanging="550"/>
      </w:pPr>
      <w:rPr>
        <w:rFonts w:hint="default"/>
      </w:rPr>
    </w:lvl>
    <w:lvl w:ilvl="6" w:tplc="EF10D634">
      <w:start w:val="1"/>
      <w:numFmt w:val="bullet"/>
      <w:lvlText w:val="•"/>
      <w:lvlJc w:val="left"/>
      <w:pPr>
        <w:ind w:left="5588" w:hanging="550"/>
      </w:pPr>
      <w:rPr>
        <w:rFonts w:hint="default"/>
      </w:rPr>
    </w:lvl>
    <w:lvl w:ilvl="7" w:tplc="3F5C2CAE">
      <w:start w:val="1"/>
      <w:numFmt w:val="bullet"/>
      <w:lvlText w:val="•"/>
      <w:lvlJc w:val="left"/>
      <w:pPr>
        <w:ind w:left="6502" w:hanging="550"/>
      </w:pPr>
      <w:rPr>
        <w:rFonts w:hint="default"/>
      </w:rPr>
    </w:lvl>
    <w:lvl w:ilvl="8" w:tplc="748E0D48">
      <w:start w:val="1"/>
      <w:numFmt w:val="bullet"/>
      <w:lvlText w:val="•"/>
      <w:lvlJc w:val="left"/>
      <w:pPr>
        <w:ind w:left="7417" w:hanging="550"/>
      </w:pPr>
      <w:rPr>
        <w:rFonts w:hint="default"/>
      </w:rPr>
    </w:lvl>
  </w:abstractNum>
  <w:abstractNum w:abstractNumId="3" w15:restartNumberingAfterBreak="0">
    <w:nsid w:val="5B6C0026"/>
    <w:multiLevelType w:val="multilevel"/>
    <w:tmpl w:val="E2D6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1C29C0"/>
    <w:multiLevelType w:val="hybridMultilevel"/>
    <w:tmpl w:val="3D460190"/>
    <w:lvl w:ilvl="0" w:tplc="487AE4E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0E"/>
    <w:rsid w:val="0000000E"/>
    <w:rsid w:val="000000A1"/>
    <w:rsid w:val="00000365"/>
    <w:rsid w:val="0000121F"/>
    <w:rsid w:val="00001729"/>
    <w:rsid w:val="00001733"/>
    <w:rsid w:val="00001854"/>
    <w:rsid w:val="0000283D"/>
    <w:rsid w:val="00002A8A"/>
    <w:rsid w:val="00002F7A"/>
    <w:rsid w:val="000030E1"/>
    <w:rsid w:val="000035AC"/>
    <w:rsid w:val="00003E78"/>
    <w:rsid w:val="00004BCB"/>
    <w:rsid w:val="000054EF"/>
    <w:rsid w:val="0000610A"/>
    <w:rsid w:val="00006E0B"/>
    <w:rsid w:val="000075F8"/>
    <w:rsid w:val="00007636"/>
    <w:rsid w:val="00007F7F"/>
    <w:rsid w:val="00010133"/>
    <w:rsid w:val="0001136F"/>
    <w:rsid w:val="0001187C"/>
    <w:rsid w:val="00012394"/>
    <w:rsid w:val="000123C8"/>
    <w:rsid w:val="00012996"/>
    <w:rsid w:val="00013574"/>
    <w:rsid w:val="000138F6"/>
    <w:rsid w:val="000144B3"/>
    <w:rsid w:val="00014A14"/>
    <w:rsid w:val="0001601F"/>
    <w:rsid w:val="00016E9E"/>
    <w:rsid w:val="00021B34"/>
    <w:rsid w:val="00021E94"/>
    <w:rsid w:val="000227C8"/>
    <w:rsid w:val="00023DCD"/>
    <w:rsid w:val="00023F8C"/>
    <w:rsid w:val="00023FB7"/>
    <w:rsid w:val="000249B9"/>
    <w:rsid w:val="00024BF6"/>
    <w:rsid w:val="00025922"/>
    <w:rsid w:val="000266FD"/>
    <w:rsid w:val="00026DF9"/>
    <w:rsid w:val="000300EF"/>
    <w:rsid w:val="00030842"/>
    <w:rsid w:val="00031131"/>
    <w:rsid w:val="0003185F"/>
    <w:rsid w:val="0003228E"/>
    <w:rsid w:val="0003251B"/>
    <w:rsid w:val="00032C8F"/>
    <w:rsid w:val="00032CE5"/>
    <w:rsid w:val="00034044"/>
    <w:rsid w:val="000341F8"/>
    <w:rsid w:val="00034CD0"/>
    <w:rsid w:val="00034D92"/>
    <w:rsid w:val="00035E8D"/>
    <w:rsid w:val="00036797"/>
    <w:rsid w:val="00036C8D"/>
    <w:rsid w:val="00036D3F"/>
    <w:rsid w:val="00037147"/>
    <w:rsid w:val="0003792D"/>
    <w:rsid w:val="0004171B"/>
    <w:rsid w:val="0004191F"/>
    <w:rsid w:val="00041A17"/>
    <w:rsid w:val="00041B73"/>
    <w:rsid w:val="00042549"/>
    <w:rsid w:val="00042A5F"/>
    <w:rsid w:val="00042D60"/>
    <w:rsid w:val="00042FC9"/>
    <w:rsid w:val="00044B58"/>
    <w:rsid w:val="00044E86"/>
    <w:rsid w:val="000462EB"/>
    <w:rsid w:val="00046772"/>
    <w:rsid w:val="00047760"/>
    <w:rsid w:val="0004793E"/>
    <w:rsid w:val="00047C30"/>
    <w:rsid w:val="000509F9"/>
    <w:rsid w:val="000517D7"/>
    <w:rsid w:val="00051C56"/>
    <w:rsid w:val="000526D8"/>
    <w:rsid w:val="0005328F"/>
    <w:rsid w:val="00053A87"/>
    <w:rsid w:val="000549CE"/>
    <w:rsid w:val="00054D0E"/>
    <w:rsid w:val="00056892"/>
    <w:rsid w:val="00056A76"/>
    <w:rsid w:val="00056C93"/>
    <w:rsid w:val="00060CFE"/>
    <w:rsid w:val="000627CE"/>
    <w:rsid w:val="00062CE0"/>
    <w:rsid w:val="00062D16"/>
    <w:rsid w:val="000633CB"/>
    <w:rsid w:val="00065863"/>
    <w:rsid w:val="000660BF"/>
    <w:rsid w:val="000662AB"/>
    <w:rsid w:val="000662EA"/>
    <w:rsid w:val="000663C5"/>
    <w:rsid w:val="000665CC"/>
    <w:rsid w:val="00066AFA"/>
    <w:rsid w:val="00067148"/>
    <w:rsid w:val="00067B83"/>
    <w:rsid w:val="00067E8A"/>
    <w:rsid w:val="00067FD2"/>
    <w:rsid w:val="000718AA"/>
    <w:rsid w:val="00071ADD"/>
    <w:rsid w:val="00071E6B"/>
    <w:rsid w:val="000736A7"/>
    <w:rsid w:val="0007429C"/>
    <w:rsid w:val="00074537"/>
    <w:rsid w:val="00074A64"/>
    <w:rsid w:val="00075D12"/>
    <w:rsid w:val="00077344"/>
    <w:rsid w:val="00077E2E"/>
    <w:rsid w:val="00080027"/>
    <w:rsid w:val="0008070F"/>
    <w:rsid w:val="00081D7B"/>
    <w:rsid w:val="00081F0E"/>
    <w:rsid w:val="000828F0"/>
    <w:rsid w:val="00083C63"/>
    <w:rsid w:val="00087421"/>
    <w:rsid w:val="00087622"/>
    <w:rsid w:val="00087683"/>
    <w:rsid w:val="000876F5"/>
    <w:rsid w:val="00090386"/>
    <w:rsid w:val="00090662"/>
    <w:rsid w:val="000908F9"/>
    <w:rsid w:val="00090E8C"/>
    <w:rsid w:val="00091126"/>
    <w:rsid w:val="000911DB"/>
    <w:rsid w:val="00091BD0"/>
    <w:rsid w:val="00091E66"/>
    <w:rsid w:val="0009409C"/>
    <w:rsid w:val="00094391"/>
    <w:rsid w:val="0009443B"/>
    <w:rsid w:val="00095C0E"/>
    <w:rsid w:val="00096006"/>
    <w:rsid w:val="00096DC6"/>
    <w:rsid w:val="00096EFB"/>
    <w:rsid w:val="00097128"/>
    <w:rsid w:val="00097350"/>
    <w:rsid w:val="000A1218"/>
    <w:rsid w:val="000A13EB"/>
    <w:rsid w:val="000A16C2"/>
    <w:rsid w:val="000A1DE2"/>
    <w:rsid w:val="000A1F8F"/>
    <w:rsid w:val="000A26C9"/>
    <w:rsid w:val="000A2967"/>
    <w:rsid w:val="000A314F"/>
    <w:rsid w:val="000A36C4"/>
    <w:rsid w:val="000A37EA"/>
    <w:rsid w:val="000A405D"/>
    <w:rsid w:val="000A50C7"/>
    <w:rsid w:val="000A5AAD"/>
    <w:rsid w:val="000A66EB"/>
    <w:rsid w:val="000A7789"/>
    <w:rsid w:val="000A79BD"/>
    <w:rsid w:val="000A7A7C"/>
    <w:rsid w:val="000B0741"/>
    <w:rsid w:val="000B19B2"/>
    <w:rsid w:val="000B244D"/>
    <w:rsid w:val="000B25D7"/>
    <w:rsid w:val="000B350E"/>
    <w:rsid w:val="000B4EBE"/>
    <w:rsid w:val="000B5267"/>
    <w:rsid w:val="000B5C4A"/>
    <w:rsid w:val="000B5D71"/>
    <w:rsid w:val="000B60CA"/>
    <w:rsid w:val="000B6778"/>
    <w:rsid w:val="000B6D6A"/>
    <w:rsid w:val="000B6E86"/>
    <w:rsid w:val="000B7F4F"/>
    <w:rsid w:val="000B7F90"/>
    <w:rsid w:val="000C0120"/>
    <w:rsid w:val="000C1757"/>
    <w:rsid w:val="000C1E8B"/>
    <w:rsid w:val="000C211E"/>
    <w:rsid w:val="000C21B4"/>
    <w:rsid w:val="000C2B3D"/>
    <w:rsid w:val="000C5D72"/>
    <w:rsid w:val="000C6786"/>
    <w:rsid w:val="000C6F8D"/>
    <w:rsid w:val="000C71C2"/>
    <w:rsid w:val="000C733F"/>
    <w:rsid w:val="000C77C5"/>
    <w:rsid w:val="000D1077"/>
    <w:rsid w:val="000D1E55"/>
    <w:rsid w:val="000D28D5"/>
    <w:rsid w:val="000D365F"/>
    <w:rsid w:val="000D386D"/>
    <w:rsid w:val="000D3945"/>
    <w:rsid w:val="000D4AAD"/>
    <w:rsid w:val="000D5355"/>
    <w:rsid w:val="000D5A0E"/>
    <w:rsid w:val="000D68A3"/>
    <w:rsid w:val="000D6C3A"/>
    <w:rsid w:val="000D757B"/>
    <w:rsid w:val="000E0313"/>
    <w:rsid w:val="000E0381"/>
    <w:rsid w:val="000E0BA4"/>
    <w:rsid w:val="000E15CC"/>
    <w:rsid w:val="000E15F5"/>
    <w:rsid w:val="000E18C1"/>
    <w:rsid w:val="000E1B1C"/>
    <w:rsid w:val="000E235E"/>
    <w:rsid w:val="000E2362"/>
    <w:rsid w:val="000E264E"/>
    <w:rsid w:val="000E3F17"/>
    <w:rsid w:val="000E4596"/>
    <w:rsid w:val="000E4873"/>
    <w:rsid w:val="000E4E7C"/>
    <w:rsid w:val="000E5C69"/>
    <w:rsid w:val="000E617A"/>
    <w:rsid w:val="000E662E"/>
    <w:rsid w:val="000E6A94"/>
    <w:rsid w:val="000E6DB8"/>
    <w:rsid w:val="000E7E28"/>
    <w:rsid w:val="000F045D"/>
    <w:rsid w:val="000F0797"/>
    <w:rsid w:val="000F1289"/>
    <w:rsid w:val="000F3215"/>
    <w:rsid w:val="000F366C"/>
    <w:rsid w:val="000F3814"/>
    <w:rsid w:val="000F39BB"/>
    <w:rsid w:val="000F4603"/>
    <w:rsid w:val="000F4BF9"/>
    <w:rsid w:val="000F5EE4"/>
    <w:rsid w:val="000F6408"/>
    <w:rsid w:val="00100055"/>
    <w:rsid w:val="00101359"/>
    <w:rsid w:val="001017FA"/>
    <w:rsid w:val="00101AD5"/>
    <w:rsid w:val="00101C93"/>
    <w:rsid w:val="00101EB3"/>
    <w:rsid w:val="001029A1"/>
    <w:rsid w:val="00102A8C"/>
    <w:rsid w:val="0010415A"/>
    <w:rsid w:val="00104E8D"/>
    <w:rsid w:val="001054E3"/>
    <w:rsid w:val="00105D67"/>
    <w:rsid w:val="00106C3C"/>
    <w:rsid w:val="0011038D"/>
    <w:rsid w:val="001118E1"/>
    <w:rsid w:val="001128FB"/>
    <w:rsid w:val="00112D97"/>
    <w:rsid w:val="00112F78"/>
    <w:rsid w:val="00113595"/>
    <w:rsid w:val="00113AE9"/>
    <w:rsid w:val="00114698"/>
    <w:rsid w:val="001150CB"/>
    <w:rsid w:val="001179D9"/>
    <w:rsid w:val="00120B8F"/>
    <w:rsid w:val="0012284B"/>
    <w:rsid w:val="00122A23"/>
    <w:rsid w:val="00123983"/>
    <w:rsid w:val="00124274"/>
    <w:rsid w:val="001244C9"/>
    <w:rsid w:val="00125440"/>
    <w:rsid w:val="001259D1"/>
    <w:rsid w:val="00126D6C"/>
    <w:rsid w:val="00126FFD"/>
    <w:rsid w:val="00130284"/>
    <w:rsid w:val="00130C66"/>
    <w:rsid w:val="0013102C"/>
    <w:rsid w:val="00131DE8"/>
    <w:rsid w:val="00132F7E"/>
    <w:rsid w:val="00134615"/>
    <w:rsid w:val="00134D57"/>
    <w:rsid w:val="0013523C"/>
    <w:rsid w:val="00135B66"/>
    <w:rsid w:val="00135D64"/>
    <w:rsid w:val="00135E87"/>
    <w:rsid w:val="00136356"/>
    <w:rsid w:val="001369D0"/>
    <w:rsid w:val="00137186"/>
    <w:rsid w:val="00137885"/>
    <w:rsid w:val="00137A11"/>
    <w:rsid w:val="00140744"/>
    <w:rsid w:val="00140E56"/>
    <w:rsid w:val="001412B4"/>
    <w:rsid w:val="00141ABB"/>
    <w:rsid w:val="00141AC5"/>
    <w:rsid w:val="00142674"/>
    <w:rsid w:val="0014291F"/>
    <w:rsid w:val="00142A85"/>
    <w:rsid w:val="00142F88"/>
    <w:rsid w:val="001433D0"/>
    <w:rsid w:val="00145C75"/>
    <w:rsid w:val="00146D12"/>
    <w:rsid w:val="00147C89"/>
    <w:rsid w:val="00150AEC"/>
    <w:rsid w:val="00150CAA"/>
    <w:rsid w:val="00151EAC"/>
    <w:rsid w:val="00151FCB"/>
    <w:rsid w:val="001523E4"/>
    <w:rsid w:val="0015360A"/>
    <w:rsid w:val="00153C48"/>
    <w:rsid w:val="00153E48"/>
    <w:rsid w:val="00153EA8"/>
    <w:rsid w:val="00154199"/>
    <w:rsid w:val="001544FE"/>
    <w:rsid w:val="00154C61"/>
    <w:rsid w:val="0015569A"/>
    <w:rsid w:val="00156EF5"/>
    <w:rsid w:val="0015701E"/>
    <w:rsid w:val="001570FA"/>
    <w:rsid w:val="00157510"/>
    <w:rsid w:val="001604A2"/>
    <w:rsid w:val="00160596"/>
    <w:rsid w:val="001605AD"/>
    <w:rsid w:val="0016240B"/>
    <w:rsid w:val="00163000"/>
    <w:rsid w:val="00163864"/>
    <w:rsid w:val="0016551A"/>
    <w:rsid w:val="00166224"/>
    <w:rsid w:val="00166904"/>
    <w:rsid w:val="00167B45"/>
    <w:rsid w:val="00170134"/>
    <w:rsid w:val="0017078F"/>
    <w:rsid w:val="0017085A"/>
    <w:rsid w:val="00170F75"/>
    <w:rsid w:val="0017223C"/>
    <w:rsid w:val="001724E5"/>
    <w:rsid w:val="001739E1"/>
    <w:rsid w:val="00173E50"/>
    <w:rsid w:val="001743B5"/>
    <w:rsid w:val="00175AA9"/>
    <w:rsid w:val="001764D9"/>
    <w:rsid w:val="00176715"/>
    <w:rsid w:val="001810A3"/>
    <w:rsid w:val="00181518"/>
    <w:rsid w:val="00181A0E"/>
    <w:rsid w:val="00182DA6"/>
    <w:rsid w:val="00183BFB"/>
    <w:rsid w:val="001840E3"/>
    <w:rsid w:val="0018425A"/>
    <w:rsid w:val="00184475"/>
    <w:rsid w:val="00184C43"/>
    <w:rsid w:val="00184D4F"/>
    <w:rsid w:val="00185177"/>
    <w:rsid w:val="00185E71"/>
    <w:rsid w:val="00186C21"/>
    <w:rsid w:val="0018752D"/>
    <w:rsid w:val="00187599"/>
    <w:rsid w:val="00187B5B"/>
    <w:rsid w:val="00187D76"/>
    <w:rsid w:val="00187E2F"/>
    <w:rsid w:val="0019049D"/>
    <w:rsid w:val="00190893"/>
    <w:rsid w:val="00190A99"/>
    <w:rsid w:val="00191D54"/>
    <w:rsid w:val="001920B2"/>
    <w:rsid w:val="001921A9"/>
    <w:rsid w:val="00192331"/>
    <w:rsid w:val="001933D1"/>
    <w:rsid w:val="0019389B"/>
    <w:rsid w:val="001938C0"/>
    <w:rsid w:val="00193F06"/>
    <w:rsid w:val="00193F6D"/>
    <w:rsid w:val="001948CB"/>
    <w:rsid w:val="0019508E"/>
    <w:rsid w:val="0019585B"/>
    <w:rsid w:val="00195F03"/>
    <w:rsid w:val="001960AE"/>
    <w:rsid w:val="00196E66"/>
    <w:rsid w:val="001976E2"/>
    <w:rsid w:val="00197F35"/>
    <w:rsid w:val="001A0A87"/>
    <w:rsid w:val="001A0B86"/>
    <w:rsid w:val="001A0D1C"/>
    <w:rsid w:val="001A19AF"/>
    <w:rsid w:val="001A242D"/>
    <w:rsid w:val="001A2C79"/>
    <w:rsid w:val="001A2C9C"/>
    <w:rsid w:val="001A2D3E"/>
    <w:rsid w:val="001A3EA0"/>
    <w:rsid w:val="001A493F"/>
    <w:rsid w:val="001A497F"/>
    <w:rsid w:val="001A4A2C"/>
    <w:rsid w:val="001A5548"/>
    <w:rsid w:val="001A5997"/>
    <w:rsid w:val="001A7A4B"/>
    <w:rsid w:val="001B1225"/>
    <w:rsid w:val="001B1A4A"/>
    <w:rsid w:val="001B2CC9"/>
    <w:rsid w:val="001B350F"/>
    <w:rsid w:val="001B4C6F"/>
    <w:rsid w:val="001B570A"/>
    <w:rsid w:val="001B57AE"/>
    <w:rsid w:val="001B6248"/>
    <w:rsid w:val="001B6BD2"/>
    <w:rsid w:val="001B6E6B"/>
    <w:rsid w:val="001B7907"/>
    <w:rsid w:val="001C077B"/>
    <w:rsid w:val="001C1139"/>
    <w:rsid w:val="001C17FD"/>
    <w:rsid w:val="001C2C29"/>
    <w:rsid w:val="001C3EEE"/>
    <w:rsid w:val="001C4351"/>
    <w:rsid w:val="001C4ECA"/>
    <w:rsid w:val="001C710F"/>
    <w:rsid w:val="001D0CB6"/>
    <w:rsid w:val="001D160B"/>
    <w:rsid w:val="001D2798"/>
    <w:rsid w:val="001D2CAC"/>
    <w:rsid w:val="001D3492"/>
    <w:rsid w:val="001D368B"/>
    <w:rsid w:val="001D3A8A"/>
    <w:rsid w:val="001D55EF"/>
    <w:rsid w:val="001D64A3"/>
    <w:rsid w:val="001D6E6B"/>
    <w:rsid w:val="001D7A7E"/>
    <w:rsid w:val="001D7C92"/>
    <w:rsid w:val="001E0477"/>
    <w:rsid w:val="001E0826"/>
    <w:rsid w:val="001E0D60"/>
    <w:rsid w:val="001E1043"/>
    <w:rsid w:val="001E10CA"/>
    <w:rsid w:val="001E1FDF"/>
    <w:rsid w:val="001E306C"/>
    <w:rsid w:val="001E3A31"/>
    <w:rsid w:val="001E4317"/>
    <w:rsid w:val="001E4846"/>
    <w:rsid w:val="001E48E2"/>
    <w:rsid w:val="001E4B8B"/>
    <w:rsid w:val="001E5132"/>
    <w:rsid w:val="001E52FD"/>
    <w:rsid w:val="001E54B0"/>
    <w:rsid w:val="001E7696"/>
    <w:rsid w:val="001E792C"/>
    <w:rsid w:val="001E7EE2"/>
    <w:rsid w:val="001F2D73"/>
    <w:rsid w:val="001F3541"/>
    <w:rsid w:val="001F3F57"/>
    <w:rsid w:val="001F4817"/>
    <w:rsid w:val="001F5161"/>
    <w:rsid w:val="001F52A7"/>
    <w:rsid w:val="001F5710"/>
    <w:rsid w:val="001F5F72"/>
    <w:rsid w:val="001F60D5"/>
    <w:rsid w:val="001F6775"/>
    <w:rsid w:val="001F6B25"/>
    <w:rsid w:val="001F7B79"/>
    <w:rsid w:val="001F7EB7"/>
    <w:rsid w:val="002004FD"/>
    <w:rsid w:val="002006B8"/>
    <w:rsid w:val="0020077B"/>
    <w:rsid w:val="00200B7D"/>
    <w:rsid w:val="002019DE"/>
    <w:rsid w:val="00202941"/>
    <w:rsid w:val="00203287"/>
    <w:rsid w:val="00203B4E"/>
    <w:rsid w:val="00203D68"/>
    <w:rsid w:val="00205082"/>
    <w:rsid w:val="00205387"/>
    <w:rsid w:val="002054F7"/>
    <w:rsid w:val="00206CF9"/>
    <w:rsid w:val="0021062F"/>
    <w:rsid w:val="00210D5F"/>
    <w:rsid w:val="00211698"/>
    <w:rsid w:val="00211A2D"/>
    <w:rsid w:val="002134B7"/>
    <w:rsid w:val="00213CE7"/>
    <w:rsid w:val="0021421D"/>
    <w:rsid w:val="00214695"/>
    <w:rsid w:val="002149FF"/>
    <w:rsid w:val="0021542A"/>
    <w:rsid w:val="00215E6F"/>
    <w:rsid w:val="002164DA"/>
    <w:rsid w:val="00216547"/>
    <w:rsid w:val="00216B52"/>
    <w:rsid w:val="00216EB5"/>
    <w:rsid w:val="00217801"/>
    <w:rsid w:val="0022005D"/>
    <w:rsid w:val="0022053C"/>
    <w:rsid w:val="002209A2"/>
    <w:rsid w:val="002215EA"/>
    <w:rsid w:val="002228B9"/>
    <w:rsid w:val="00222B01"/>
    <w:rsid w:val="00223707"/>
    <w:rsid w:val="002240CA"/>
    <w:rsid w:val="002241BD"/>
    <w:rsid w:val="002241BE"/>
    <w:rsid w:val="00224F73"/>
    <w:rsid w:val="002252F4"/>
    <w:rsid w:val="00225A8B"/>
    <w:rsid w:val="00225E8C"/>
    <w:rsid w:val="00226046"/>
    <w:rsid w:val="00231276"/>
    <w:rsid w:val="002314F6"/>
    <w:rsid w:val="00231FA2"/>
    <w:rsid w:val="002329C7"/>
    <w:rsid w:val="002337B0"/>
    <w:rsid w:val="00233E57"/>
    <w:rsid w:val="00236235"/>
    <w:rsid w:val="002364A8"/>
    <w:rsid w:val="002365F2"/>
    <w:rsid w:val="002368A8"/>
    <w:rsid w:val="00237D0A"/>
    <w:rsid w:val="002410D2"/>
    <w:rsid w:val="0024152C"/>
    <w:rsid w:val="00241691"/>
    <w:rsid w:val="00241CA6"/>
    <w:rsid w:val="0024310B"/>
    <w:rsid w:val="002435A5"/>
    <w:rsid w:val="002440D5"/>
    <w:rsid w:val="00246305"/>
    <w:rsid w:val="0024631A"/>
    <w:rsid w:val="00246733"/>
    <w:rsid w:val="00246AE7"/>
    <w:rsid w:val="002478B3"/>
    <w:rsid w:val="00250FA6"/>
    <w:rsid w:val="00251EB1"/>
    <w:rsid w:val="0025268C"/>
    <w:rsid w:val="00252BCA"/>
    <w:rsid w:val="0025334B"/>
    <w:rsid w:val="002541F8"/>
    <w:rsid w:val="002548ED"/>
    <w:rsid w:val="00254913"/>
    <w:rsid w:val="00254D39"/>
    <w:rsid w:val="00256EDB"/>
    <w:rsid w:val="002575FA"/>
    <w:rsid w:val="00260796"/>
    <w:rsid w:val="00260D2A"/>
    <w:rsid w:val="00260E01"/>
    <w:rsid w:val="00261FEB"/>
    <w:rsid w:val="0026223A"/>
    <w:rsid w:val="0026240C"/>
    <w:rsid w:val="002625A4"/>
    <w:rsid w:val="00262FDC"/>
    <w:rsid w:val="00263137"/>
    <w:rsid w:val="00264C80"/>
    <w:rsid w:val="002650E5"/>
    <w:rsid w:val="002675CD"/>
    <w:rsid w:val="00267663"/>
    <w:rsid w:val="0026798D"/>
    <w:rsid w:val="00267AEF"/>
    <w:rsid w:val="0027054D"/>
    <w:rsid w:val="0027085F"/>
    <w:rsid w:val="00270A98"/>
    <w:rsid w:val="00270E7F"/>
    <w:rsid w:val="00270FAA"/>
    <w:rsid w:val="002739AC"/>
    <w:rsid w:val="00273BB5"/>
    <w:rsid w:val="002755D6"/>
    <w:rsid w:val="00275DA5"/>
    <w:rsid w:val="0027600C"/>
    <w:rsid w:val="002778D2"/>
    <w:rsid w:val="00277E4E"/>
    <w:rsid w:val="002805E6"/>
    <w:rsid w:val="00280DEE"/>
    <w:rsid w:val="00280EE9"/>
    <w:rsid w:val="00281180"/>
    <w:rsid w:val="00281618"/>
    <w:rsid w:val="00281973"/>
    <w:rsid w:val="002832A6"/>
    <w:rsid w:val="00283A11"/>
    <w:rsid w:val="00285A34"/>
    <w:rsid w:val="00285F93"/>
    <w:rsid w:val="0028748E"/>
    <w:rsid w:val="002875EE"/>
    <w:rsid w:val="00291102"/>
    <w:rsid w:val="002911B3"/>
    <w:rsid w:val="00292782"/>
    <w:rsid w:val="00293689"/>
    <w:rsid w:val="002939C6"/>
    <w:rsid w:val="00294459"/>
    <w:rsid w:val="00295FD1"/>
    <w:rsid w:val="00296406"/>
    <w:rsid w:val="00297BFC"/>
    <w:rsid w:val="002A0D10"/>
    <w:rsid w:val="002A14E0"/>
    <w:rsid w:val="002A23D7"/>
    <w:rsid w:val="002A2554"/>
    <w:rsid w:val="002A2AF8"/>
    <w:rsid w:val="002A391A"/>
    <w:rsid w:val="002A3BD8"/>
    <w:rsid w:val="002A3F9C"/>
    <w:rsid w:val="002A4885"/>
    <w:rsid w:val="002A4E5A"/>
    <w:rsid w:val="002A4E7D"/>
    <w:rsid w:val="002A5D49"/>
    <w:rsid w:val="002A5ECC"/>
    <w:rsid w:val="002A6356"/>
    <w:rsid w:val="002A64D3"/>
    <w:rsid w:val="002A6FF4"/>
    <w:rsid w:val="002A769D"/>
    <w:rsid w:val="002B0769"/>
    <w:rsid w:val="002B08BD"/>
    <w:rsid w:val="002B3860"/>
    <w:rsid w:val="002B5853"/>
    <w:rsid w:val="002B669D"/>
    <w:rsid w:val="002B7A05"/>
    <w:rsid w:val="002C02A8"/>
    <w:rsid w:val="002C1E33"/>
    <w:rsid w:val="002C1F64"/>
    <w:rsid w:val="002C3224"/>
    <w:rsid w:val="002C3EE2"/>
    <w:rsid w:val="002C492D"/>
    <w:rsid w:val="002C4E62"/>
    <w:rsid w:val="002C5727"/>
    <w:rsid w:val="002C6102"/>
    <w:rsid w:val="002C793A"/>
    <w:rsid w:val="002C7B95"/>
    <w:rsid w:val="002D013A"/>
    <w:rsid w:val="002D073A"/>
    <w:rsid w:val="002D1741"/>
    <w:rsid w:val="002D1E0B"/>
    <w:rsid w:val="002D1ECE"/>
    <w:rsid w:val="002D2252"/>
    <w:rsid w:val="002D31B7"/>
    <w:rsid w:val="002D3A36"/>
    <w:rsid w:val="002D41C3"/>
    <w:rsid w:val="002D4B79"/>
    <w:rsid w:val="002D51C2"/>
    <w:rsid w:val="002D5BD2"/>
    <w:rsid w:val="002D6085"/>
    <w:rsid w:val="002D6B69"/>
    <w:rsid w:val="002D704D"/>
    <w:rsid w:val="002D75BD"/>
    <w:rsid w:val="002D7FB2"/>
    <w:rsid w:val="002E0787"/>
    <w:rsid w:val="002E09CE"/>
    <w:rsid w:val="002E0BF0"/>
    <w:rsid w:val="002E0CB9"/>
    <w:rsid w:val="002E13A8"/>
    <w:rsid w:val="002E2AAD"/>
    <w:rsid w:val="002E3AEC"/>
    <w:rsid w:val="002E541C"/>
    <w:rsid w:val="002E5CBB"/>
    <w:rsid w:val="002E6BB7"/>
    <w:rsid w:val="002E7A3B"/>
    <w:rsid w:val="002F136D"/>
    <w:rsid w:val="002F146F"/>
    <w:rsid w:val="002F176E"/>
    <w:rsid w:val="002F23A6"/>
    <w:rsid w:val="002F4936"/>
    <w:rsid w:val="002F4CAC"/>
    <w:rsid w:val="002F6999"/>
    <w:rsid w:val="002F714C"/>
    <w:rsid w:val="002F760D"/>
    <w:rsid w:val="002F7873"/>
    <w:rsid w:val="002F79ED"/>
    <w:rsid w:val="00300061"/>
    <w:rsid w:val="00300307"/>
    <w:rsid w:val="00300412"/>
    <w:rsid w:val="0030100D"/>
    <w:rsid w:val="00301B46"/>
    <w:rsid w:val="00301B92"/>
    <w:rsid w:val="00302137"/>
    <w:rsid w:val="0030239A"/>
    <w:rsid w:val="003032C4"/>
    <w:rsid w:val="00303725"/>
    <w:rsid w:val="003042DE"/>
    <w:rsid w:val="00304EED"/>
    <w:rsid w:val="00305116"/>
    <w:rsid w:val="0030518F"/>
    <w:rsid w:val="003051AE"/>
    <w:rsid w:val="0031051F"/>
    <w:rsid w:val="0031152B"/>
    <w:rsid w:val="00313264"/>
    <w:rsid w:val="0031363A"/>
    <w:rsid w:val="003137E5"/>
    <w:rsid w:val="00314973"/>
    <w:rsid w:val="00315941"/>
    <w:rsid w:val="003160E4"/>
    <w:rsid w:val="003165AD"/>
    <w:rsid w:val="00316832"/>
    <w:rsid w:val="00317CC3"/>
    <w:rsid w:val="003205FE"/>
    <w:rsid w:val="0032218E"/>
    <w:rsid w:val="003227B6"/>
    <w:rsid w:val="00322F7F"/>
    <w:rsid w:val="00323059"/>
    <w:rsid w:val="00324664"/>
    <w:rsid w:val="00324BFD"/>
    <w:rsid w:val="00325309"/>
    <w:rsid w:val="00325431"/>
    <w:rsid w:val="00325854"/>
    <w:rsid w:val="003258B7"/>
    <w:rsid w:val="00325F66"/>
    <w:rsid w:val="00326962"/>
    <w:rsid w:val="00326CD7"/>
    <w:rsid w:val="00326D2C"/>
    <w:rsid w:val="00327C26"/>
    <w:rsid w:val="0033012F"/>
    <w:rsid w:val="00330B05"/>
    <w:rsid w:val="0033214C"/>
    <w:rsid w:val="003324AC"/>
    <w:rsid w:val="00332805"/>
    <w:rsid w:val="0033280B"/>
    <w:rsid w:val="00332C66"/>
    <w:rsid w:val="00333595"/>
    <w:rsid w:val="003339C9"/>
    <w:rsid w:val="00333EE5"/>
    <w:rsid w:val="00334715"/>
    <w:rsid w:val="00335CCC"/>
    <w:rsid w:val="00336B59"/>
    <w:rsid w:val="00336E92"/>
    <w:rsid w:val="00337021"/>
    <w:rsid w:val="003375F9"/>
    <w:rsid w:val="003412B7"/>
    <w:rsid w:val="00342051"/>
    <w:rsid w:val="00342773"/>
    <w:rsid w:val="00342980"/>
    <w:rsid w:val="00344021"/>
    <w:rsid w:val="00345C6B"/>
    <w:rsid w:val="00346A33"/>
    <w:rsid w:val="00346B42"/>
    <w:rsid w:val="00346E2A"/>
    <w:rsid w:val="00347108"/>
    <w:rsid w:val="00347466"/>
    <w:rsid w:val="00350513"/>
    <w:rsid w:val="003516C5"/>
    <w:rsid w:val="00353727"/>
    <w:rsid w:val="00353D17"/>
    <w:rsid w:val="0035469E"/>
    <w:rsid w:val="003546EF"/>
    <w:rsid w:val="003566B3"/>
    <w:rsid w:val="00356B0F"/>
    <w:rsid w:val="00357F38"/>
    <w:rsid w:val="00361882"/>
    <w:rsid w:val="00362AE1"/>
    <w:rsid w:val="00363297"/>
    <w:rsid w:val="003637DA"/>
    <w:rsid w:val="003641AA"/>
    <w:rsid w:val="00364BB1"/>
    <w:rsid w:val="00364CF9"/>
    <w:rsid w:val="00364E97"/>
    <w:rsid w:val="0036516D"/>
    <w:rsid w:val="00365828"/>
    <w:rsid w:val="00365AE2"/>
    <w:rsid w:val="00365B7A"/>
    <w:rsid w:val="00365C7D"/>
    <w:rsid w:val="003718F9"/>
    <w:rsid w:val="00371CFA"/>
    <w:rsid w:val="00372C95"/>
    <w:rsid w:val="0037330C"/>
    <w:rsid w:val="00373741"/>
    <w:rsid w:val="00374449"/>
    <w:rsid w:val="003748BD"/>
    <w:rsid w:val="00374DF7"/>
    <w:rsid w:val="00374E64"/>
    <w:rsid w:val="00375F2B"/>
    <w:rsid w:val="00376868"/>
    <w:rsid w:val="00377EAD"/>
    <w:rsid w:val="0038111F"/>
    <w:rsid w:val="003818C3"/>
    <w:rsid w:val="003820A6"/>
    <w:rsid w:val="00382558"/>
    <w:rsid w:val="003827D7"/>
    <w:rsid w:val="00382E5B"/>
    <w:rsid w:val="00382EE3"/>
    <w:rsid w:val="0038354C"/>
    <w:rsid w:val="00384542"/>
    <w:rsid w:val="00384A9A"/>
    <w:rsid w:val="00385254"/>
    <w:rsid w:val="0038527D"/>
    <w:rsid w:val="00385CC7"/>
    <w:rsid w:val="00386C88"/>
    <w:rsid w:val="00387956"/>
    <w:rsid w:val="00387C4A"/>
    <w:rsid w:val="00390B02"/>
    <w:rsid w:val="00390F70"/>
    <w:rsid w:val="00391772"/>
    <w:rsid w:val="003923E9"/>
    <w:rsid w:val="00392708"/>
    <w:rsid w:val="00392DFF"/>
    <w:rsid w:val="00393303"/>
    <w:rsid w:val="0039457A"/>
    <w:rsid w:val="00394BAE"/>
    <w:rsid w:val="00394E73"/>
    <w:rsid w:val="003952A2"/>
    <w:rsid w:val="003962D6"/>
    <w:rsid w:val="003975A4"/>
    <w:rsid w:val="003A12CA"/>
    <w:rsid w:val="003A20D3"/>
    <w:rsid w:val="003A29FD"/>
    <w:rsid w:val="003A317E"/>
    <w:rsid w:val="003A43A3"/>
    <w:rsid w:val="003A5E7A"/>
    <w:rsid w:val="003A6043"/>
    <w:rsid w:val="003A6D9E"/>
    <w:rsid w:val="003B09EE"/>
    <w:rsid w:val="003B0A29"/>
    <w:rsid w:val="003B0C95"/>
    <w:rsid w:val="003B0D61"/>
    <w:rsid w:val="003B0DAB"/>
    <w:rsid w:val="003B2AD3"/>
    <w:rsid w:val="003B559F"/>
    <w:rsid w:val="003B6C3A"/>
    <w:rsid w:val="003B79D9"/>
    <w:rsid w:val="003C0331"/>
    <w:rsid w:val="003C2BF5"/>
    <w:rsid w:val="003C2FD8"/>
    <w:rsid w:val="003C30C5"/>
    <w:rsid w:val="003C4077"/>
    <w:rsid w:val="003C460E"/>
    <w:rsid w:val="003C492D"/>
    <w:rsid w:val="003C51A0"/>
    <w:rsid w:val="003C56B9"/>
    <w:rsid w:val="003C5A51"/>
    <w:rsid w:val="003C700B"/>
    <w:rsid w:val="003C72EC"/>
    <w:rsid w:val="003C799A"/>
    <w:rsid w:val="003D26A9"/>
    <w:rsid w:val="003D26EF"/>
    <w:rsid w:val="003D2A70"/>
    <w:rsid w:val="003D2C91"/>
    <w:rsid w:val="003D360D"/>
    <w:rsid w:val="003D369B"/>
    <w:rsid w:val="003D3944"/>
    <w:rsid w:val="003D3D41"/>
    <w:rsid w:val="003D3E8B"/>
    <w:rsid w:val="003D4EE4"/>
    <w:rsid w:val="003D67B1"/>
    <w:rsid w:val="003E008D"/>
    <w:rsid w:val="003E04FD"/>
    <w:rsid w:val="003E0AF1"/>
    <w:rsid w:val="003E0B22"/>
    <w:rsid w:val="003E138A"/>
    <w:rsid w:val="003E1E86"/>
    <w:rsid w:val="003E23AB"/>
    <w:rsid w:val="003E3441"/>
    <w:rsid w:val="003E3CEB"/>
    <w:rsid w:val="003E406C"/>
    <w:rsid w:val="003E4075"/>
    <w:rsid w:val="003E5B3C"/>
    <w:rsid w:val="003E5DD4"/>
    <w:rsid w:val="003E6378"/>
    <w:rsid w:val="003E6654"/>
    <w:rsid w:val="003E7100"/>
    <w:rsid w:val="003E790A"/>
    <w:rsid w:val="003F052E"/>
    <w:rsid w:val="003F0F1A"/>
    <w:rsid w:val="003F2483"/>
    <w:rsid w:val="003F2548"/>
    <w:rsid w:val="003F262F"/>
    <w:rsid w:val="003F2DCB"/>
    <w:rsid w:val="003F379C"/>
    <w:rsid w:val="003F5492"/>
    <w:rsid w:val="003F5912"/>
    <w:rsid w:val="003F69B7"/>
    <w:rsid w:val="003F7843"/>
    <w:rsid w:val="003F7D80"/>
    <w:rsid w:val="0040035B"/>
    <w:rsid w:val="0040038C"/>
    <w:rsid w:val="00400BE6"/>
    <w:rsid w:val="00400D08"/>
    <w:rsid w:val="00401624"/>
    <w:rsid w:val="004021F7"/>
    <w:rsid w:val="00402640"/>
    <w:rsid w:val="00403486"/>
    <w:rsid w:val="0040368A"/>
    <w:rsid w:val="004037C7"/>
    <w:rsid w:val="00403CF7"/>
    <w:rsid w:val="00403E4E"/>
    <w:rsid w:val="00404194"/>
    <w:rsid w:val="0040451C"/>
    <w:rsid w:val="004046BB"/>
    <w:rsid w:val="0040490E"/>
    <w:rsid w:val="00406471"/>
    <w:rsid w:val="00406AD6"/>
    <w:rsid w:val="004070B8"/>
    <w:rsid w:val="004076C7"/>
    <w:rsid w:val="00410592"/>
    <w:rsid w:val="004105E8"/>
    <w:rsid w:val="00412097"/>
    <w:rsid w:val="00412F1B"/>
    <w:rsid w:val="0041436E"/>
    <w:rsid w:val="00414443"/>
    <w:rsid w:val="00414BA0"/>
    <w:rsid w:val="00414E66"/>
    <w:rsid w:val="00416BDF"/>
    <w:rsid w:val="00416FD3"/>
    <w:rsid w:val="00417158"/>
    <w:rsid w:val="00417712"/>
    <w:rsid w:val="00417951"/>
    <w:rsid w:val="00417B7B"/>
    <w:rsid w:val="00420EED"/>
    <w:rsid w:val="004214D1"/>
    <w:rsid w:val="004221AC"/>
    <w:rsid w:val="00423110"/>
    <w:rsid w:val="004236DB"/>
    <w:rsid w:val="00425AC4"/>
    <w:rsid w:val="00426A3B"/>
    <w:rsid w:val="00426D41"/>
    <w:rsid w:val="00427BEF"/>
    <w:rsid w:val="0043167D"/>
    <w:rsid w:val="00431BFB"/>
    <w:rsid w:val="00432A65"/>
    <w:rsid w:val="0043399D"/>
    <w:rsid w:val="00433C54"/>
    <w:rsid w:val="00433D86"/>
    <w:rsid w:val="004342E4"/>
    <w:rsid w:val="00434A8B"/>
    <w:rsid w:val="00434A96"/>
    <w:rsid w:val="00435472"/>
    <w:rsid w:val="004354AE"/>
    <w:rsid w:val="00435D5E"/>
    <w:rsid w:val="00435FFA"/>
    <w:rsid w:val="0043664F"/>
    <w:rsid w:val="00436A81"/>
    <w:rsid w:val="00437AB9"/>
    <w:rsid w:val="00437EBE"/>
    <w:rsid w:val="00440A91"/>
    <w:rsid w:val="004419A0"/>
    <w:rsid w:val="00441B96"/>
    <w:rsid w:val="00441EE3"/>
    <w:rsid w:val="00442D98"/>
    <w:rsid w:val="00443425"/>
    <w:rsid w:val="004436A1"/>
    <w:rsid w:val="004437FE"/>
    <w:rsid w:val="0044578E"/>
    <w:rsid w:val="0044580C"/>
    <w:rsid w:val="00445CCE"/>
    <w:rsid w:val="0044683B"/>
    <w:rsid w:val="0044688B"/>
    <w:rsid w:val="00447DB0"/>
    <w:rsid w:val="004510A0"/>
    <w:rsid w:val="00451185"/>
    <w:rsid w:val="004517F8"/>
    <w:rsid w:val="0045195F"/>
    <w:rsid w:val="00451EBE"/>
    <w:rsid w:val="004526FC"/>
    <w:rsid w:val="00453180"/>
    <w:rsid w:val="004537E0"/>
    <w:rsid w:val="0045518A"/>
    <w:rsid w:val="00456CDD"/>
    <w:rsid w:val="00456E51"/>
    <w:rsid w:val="0045731F"/>
    <w:rsid w:val="0045744B"/>
    <w:rsid w:val="004610D3"/>
    <w:rsid w:val="00461406"/>
    <w:rsid w:val="00463180"/>
    <w:rsid w:val="00463AAF"/>
    <w:rsid w:val="00465C1C"/>
    <w:rsid w:val="00465D59"/>
    <w:rsid w:val="00466407"/>
    <w:rsid w:val="00466800"/>
    <w:rsid w:val="00467BB5"/>
    <w:rsid w:val="00470993"/>
    <w:rsid w:val="00470D5B"/>
    <w:rsid w:val="00470E8E"/>
    <w:rsid w:val="00471562"/>
    <w:rsid w:val="00471CA4"/>
    <w:rsid w:val="00472281"/>
    <w:rsid w:val="00477016"/>
    <w:rsid w:val="00480231"/>
    <w:rsid w:val="00480866"/>
    <w:rsid w:val="00480ED9"/>
    <w:rsid w:val="0048114A"/>
    <w:rsid w:val="004811B2"/>
    <w:rsid w:val="004811C8"/>
    <w:rsid w:val="00482339"/>
    <w:rsid w:val="004824F6"/>
    <w:rsid w:val="00482AF3"/>
    <w:rsid w:val="00482D8D"/>
    <w:rsid w:val="00485720"/>
    <w:rsid w:val="00485B0A"/>
    <w:rsid w:val="00487ED7"/>
    <w:rsid w:val="00487FA2"/>
    <w:rsid w:val="004902EE"/>
    <w:rsid w:val="00490E7E"/>
    <w:rsid w:val="00491583"/>
    <w:rsid w:val="004915F3"/>
    <w:rsid w:val="00491611"/>
    <w:rsid w:val="00491B7F"/>
    <w:rsid w:val="00492069"/>
    <w:rsid w:val="0049221F"/>
    <w:rsid w:val="004927E8"/>
    <w:rsid w:val="0049391A"/>
    <w:rsid w:val="00493D80"/>
    <w:rsid w:val="00493EB9"/>
    <w:rsid w:val="00495022"/>
    <w:rsid w:val="0049512B"/>
    <w:rsid w:val="004961FA"/>
    <w:rsid w:val="004966E0"/>
    <w:rsid w:val="00497AE2"/>
    <w:rsid w:val="004A007E"/>
    <w:rsid w:val="004A052F"/>
    <w:rsid w:val="004A0E8C"/>
    <w:rsid w:val="004A1E0F"/>
    <w:rsid w:val="004A2010"/>
    <w:rsid w:val="004A29F2"/>
    <w:rsid w:val="004A2B48"/>
    <w:rsid w:val="004A2CF9"/>
    <w:rsid w:val="004A3186"/>
    <w:rsid w:val="004A39C4"/>
    <w:rsid w:val="004A43DE"/>
    <w:rsid w:val="004A46FF"/>
    <w:rsid w:val="004A58C4"/>
    <w:rsid w:val="004A64AE"/>
    <w:rsid w:val="004A6932"/>
    <w:rsid w:val="004B0084"/>
    <w:rsid w:val="004B0B7C"/>
    <w:rsid w:val="004B1588"/>
    <w:rsid w:val="004B23F1"/>
    <w:rsid w:val="004B27E2"/>
    <w:rsid w:val="004B2C78"/>
    <w:rsid w:val="004B2D6D"/>
    <w:rsid w:val="004B56A1"/>
    <w:rsid w:val="004B6293"/>
    <w:rsid w:val="004B6675"/>
    <w:rsid w:val="004B7998"/>
    <w:rsid w:val="004B7B88"/>
    <w:rsid w:val="004C0259"/>
    <w:rsid w:val="004C049F"/>
    <w:rsid w:val="004C1EFA"/>
    <w:rsid w:val="004C1F4E"/>
    <w:rsid w:val="004C280C"/>
    <w:rsid w:val="004C3390"/>
    <w:rsid w:val="004C3D9C"/>
    <w:rsid w:val="004C43C0"/>
    <w:rsid w:val="004C4A37"/>
    <w:rsid w:val="004D188B"/>
    <w:rsid w:val="004D2284"/>
    <w:rsid w:val="004D3886"/>
    <w:rsid w:val="004D3897"/>
    <w:rsid w:val="004D39CB"/>
    <w:rsid w:val="004D3B33"/>
    <w:rsid w:val="004D413F"/>
    <w:rsid w:val="004D45FC"/>
    <w:rsid w:val="004D5068"/>
    <w:rsid w:val="004D5813"/>
    <w:rsid w:val="004D5B53"/>
    <w:rsid w:val="004D73B6"/>
    <w:rsid w:val="004E00F1"/>
    <w:rsid w:val="004E043B"/>
    <w:rsid w:val="004E0E2D"/>
    <w:rsid w:val="004E101E"/>
    <w:rsid w:val="004E1CDB"/>
    <w:rsid w:val="004E375A"/>
    <w:rsid w:val="004E4A29"/>
    <w:rsid w:val="004E4BD5"/>
    <w:rsid w:val="004E5EC0"/>
    <w:rsid w:val="004E73B1"/>
    <w:rsid w:val="004F0A75"/>
    <w:rsid w:val="004F171E"/>
    <w:rsid w:val="004F23EC"/>
    <w:rsid w:val="004F2ABB"/>
    <w:rsid w:val="004F2E1F"/>
    <w:rsid w:val="004F38BA"/>
    <w:rsid w:val="004F3F7B"/>
    <w:rsid w:val="004F4D90"/>
    <w:rsid w:val="004F614B"/>
    <w:rsid w:val="004F70CB"/>
    <w:rsid w:val="004F7247"/>
    <w:rsid w:val="004F77D1"/>
    <w:rsid w:val="004F7EAB"/>
    <w:rsid w:val="005005ED"/>
    <w:rsid w:val="0050153B"/>
    <w:rsid w:val="00501641"/>
    <w:rsid w:val="00501686"/>
    <w:rsid w:val="005019C6"/>
    <w:rsid w:val="00501D52"/>
    <w:rsid w:val="00502107"/>
    <w:rsid w:val="00502596"/>
    <w:rsid w:val="005037BC"/>
    <w:rsid w:val="00503A5C"/>
    <w:rsid w:val="00503C15"/>
    <w:rsid w:val="0050595A"/>
    <w:rsid w:val="00505F12"/>
    <w:rsid w:val="005066B1"/>
    <w:rsid w:val="005066DE"/>
    <w:rsid w:val="0051090E"/>
    <w:rsid w:val="005114D9"/>
    <w:rsid w:val="00511C35"/>
    <w:rsid w:val="005120C5"/>
    <w:rsid w:val="00512677"/>
    <w:rsid w:val="00513369"/>
    <w:rsid w:val="00513ACC"/>
    <w:rsid w:val="00514712"/>
    <w:rsid w:val="005147CA"/>
    <w:rsid w:val="00514836"/>
    <w:rsid w:val="00514A41"/>
    <w:rsid w:val="00515E4B"/>
    <w:rsid w:val="00516159"/>
    <w:rsid w:val="00516682"/>
    <w:rsid w:val="00516714"/>
    <w:rsid w:val="00517004"/>
    <w:rsid w:val="0052007A"/>
    <w:rsid w:val="0052111E"/>
    <w:rsid w:val="0052184C"/>
    <w:rsid w:val="00521DB6"/>
    <w:rsid w:val="00521F18"/>
    <w:rsid w:val="00522559"/>
    <w:rsid w:val="0052287B"/>
    <w:rsid w:val="00522B25"/>
    <w:rsid w:val="00522B4A"/>
    <w:rsid w:val="00523763"/>
    <w:rsid w:val="00523CE9"/>
    <w:rsid w:val="00524900"/>
    <w:rsid w:val="00525ACD"/>
    <w:rsid w:val="00527105"/>
    <w:rsid w:val="005278B7"/>
    <w:rsid w:val="00527D31"/>
    <w:rsid w:val="00527D78"/>
    <w:rsid w:val="005325D7"/>
    <w:rsid w:val="00533A4D"/>
    <w:rsid w:val="005355C3"/>
    <w:rsid w:val="005364B2"/>
    <w:rsid w:val="00536E92"/>
    <w:rsid w:val="00540169"/>
    <w:rsid w:val="00540527"/>
    <w:rsid w:val="00541542"/>
    <w:rsid w:val="005438A1"/>
    <w:rsid w:val="00543DA9"/>
    <w:rsid w:val="005442BA"/>
    <w:rsid w:val="005448C3"/>
    <w:rsid w:val="00544D85"/>
    <w:rsid w:val="00546150"/>
    <w:rsid w:val="00546BE5"/>
    <w:rsid w:val="00546E19"/>
    <w:rsid w:val="00546F23"/>
    <w:rsid w:val="005472CF"/>
    <w:rsid w:val="0054791F"/>
    <w:rsid w:val="00550457"/>
    <w:rsid w:val="00550D22"/>
    <w:rsid w:val="00552518"/>
    <w:rsid w:val="00552A26"/>
    <w:rsid w:val="00553641"/>
    <w:rsid w:val="00553D3F"/>
    <w:rsid w:val="00554116"/>
    <w:rsid w:val="0055430B"/>
    <w:rsid w:val="0055490C"/>
    <w:rsid w:val="00554F7F"/>
    <w:rsid w:val="00556F8A"/>
    <w:rsid w:val="00557071"/>
    <w:rsid w:val="00557BBD"/>
    <w:rsid w:val="005603FE"/>
    <w:rsid w:val="00560A0E"/>
    <w:rsid w:val="00560B43"/>
    <w:rsid w:val="00560F4A"/>
    <w:rsid w:val="00561D2A"/>
    <w:rsid w:val="00561FFE"/>
    <w:rsid w:val="005622D8"/>
    <w:rsid w:val="0056235B"/>
    <w:rsid w:val="005628D8"/>
    <w:rsid w:val="00562A94"/>
    <w:rsid w:val="00564728"/>
    <w:rsid w:val="005657D3"/>
    <w:rsid w:val="00566109"/>
    <w:rsid w:val="00566E27"/>
    <w:rsid w:val="005671BC"/>
    <w:rsid w:val="00567D76"/>
    <w:rsid w:val="00567DC8"/>
    <w:rsid w:val="005706EF"/>
    <w:rsid w:val="0057111F"/>
    <w:rsid w:val="0057137C"/>
    <w:rsid w:val="005727D9"/>
    <w:rsid w:val="005728F2"/>
    <w:rsid w:val="00572956"/>
    <w:rsid w:val="005739A1"/>
    <w:rsid w:val="00573A2C"/>
    <w:rsid w:val="00574596"/>
    <w:rsid w:val="00574783"/>
    <w:rsid w:val="00576F00"/>
    <w:rsid w:val="00577184"/>
    <w:rsid w:val="005774DA"/>
    <w:rsid w:val="00581F92"/>
    <w:rsid w:val="00582490"/>
    <w:rsid w:val="00583C68"/>
    <w:rsid w:val="00583DB8"/>
    <w:rsid w:val="00584A36"/>
    <w:rsid w:val="00584C7B"/>
    <w:rsid w:val="0058546D"/>
    <w:rsid w:val="00585C35"/>
    <w:rsid w:val="005870C1"/>
    <w:rsid w:val="005874C6"/>
    <w:rsid w:val="00591D08"/>
    <w:rsid w:val="0059210C"/>
    <w:rsid w:val="0059316B"/>
    <w:rsid w:val="00593C49"/>
    <w:rsid w:val="005957A0"/>
    <w:rsid w:val="00596B44"/>
    <w:rsid w:val="00597AEE"/>
    <w:rsid w:val="005A01D5"/>
    <w:rsid w:val="005A0291"/>
    <w:rsid w:val="005A030A"/>
    <w:rsid w:val="005A0E54"/>
    <w:rsid w:val="005A12C0"/>
    <w:rsid w:val="005A1582"/>
    <w:rsid w:val="005A209B"/>
    <w:rsid w:val="005A27DC"/>
    <w:rsid w:val="005A3EA6"/>
    <w:rsid w:val="005A43ED"/>
    <w:rsid w:val="005A5973"/>
    <w:rsid w:val="005A6844"/>
    <w:rsid w:val="005A7736"/>
    <w:rsid w:val="005A7F62"/>
    <w:rsid w:val="005B0B7F"/>
    <w:rsid w:val="005B1727"/>
    <w:rsid w:val="005B23E2"/>
    <w:rsid w:val="005B38EC"/>
    <w:rsid w:val="005B3CB0"/>
    <w:rsid w:val="005B4DFA"/>
    <w:rsid w:val="005B55D4"/>
    <w:rsid w:val="005B580D"/>
    <w:rsid w:val="005B60C0"/>
    <w:rsid w:val="005B695A"/>
    <w:rsid w:val="005B70E1"/>
    <w:rsid w:val="005B7703"/>
    <w:rsid w:val="005B7B3E"/>
    <w:rsid w:val="005B7B8B"/>
    <w:rsid w:val="005C045D"/>
    <w:rsid w:val="005C0D05"/>
    <w:rsid w:val="005C25A0"/>
    <w:rsid w:val="005C2E69"/>
    <w:rsid w:val="005C3816"/>
    <w:rsid w:val="005C3F4E"/>
    <w:rsid w:val="005C42C3"/>
    <w:rsid w:val="005C42E5"/>
    <w:rsid w:val="005C44EF"/>
    <w:rsid w:val="005C5C23"/>
    <w:rsid w:val="005C5D98"/>
    <w:rsid w:val="005C5E16"/>
    <w:rsid w:val="005C66F6"/>
    <w:rsid w:val="005C6CEE"/>
    <w:rsid w:val="005C76A4"/>
    <w:rsid w:val="005D021B"/>
    <w:rsid w:val="005D03ED"/>
    <w:rsid w:val="005D0BAE"/>
    <w:rsid w:val="005D1F4A"/>
    <w:rsid w:val="005D25A3"/>
    <w:rsid w:val="005D2990"/>
    <w:rsid w:val="005D2C6F"/>
    <w:rsid w:val="005D370C"/>
    <w:rsid w:val="005D39AA"/>
    <w:rsid w:val="005D4019"/>
    <w:rsid w:val="005D4327"/>
    <w:rsid w:val="005D43B7"/>
    <w:rsid w:val="005D5351"/>
    <w:rsid w:val="005D7562"/>
    <w:rsid w:val="005D76D0"/>
    <w:rsid w:val="005D7D93"/>
    <w:rsid w:val="005E0BC2"/>
    <w:rsid w:val="005E2002"/>
    <w:rsid w:val="005E2690"/>
    <w:rsid w:val="005E327D"/>
    <w:rsid w:val="005E3569"/>
    <w:rsid w:val="005E3D6F"/>
    <w:rsid w:val="005E4517"/>
    <w:rsid w:val="005E4983"/>
    <w:rsid w:val="005E74C8"/>
    <w:rsid w:val="005F128D"/>
    <w:rsid w:val="005F13BA"/>
    <w:rsid w:val="005F14E3"/>
    <w:rsid w:val="005F1BE3"/>
    <w:rsid w:val="005F2079"/>
    <w:rsid w:val="005F23C1"/>
    <w:rsid w:val="005F25A8"/>
    <w:rsid w:val="005F332F"/>
    <w:rsid w:val="005F450A"/>
    <w:rsid w:val="005F4BD2"/>
    <w:rsid w:val="005F592B"/>
    <w:rsid w:val="005F5A4E"/>
    <w:rsid w:val="005F6239"/>
    <w:rsid w:val="005F6A6F"/>
    <w:rsid w:val="005F792A"/>
    <w:rsid w:val="005F7DE8"/>
    <w:rsid w:val="005F7FC0"/>
    <w:rsid w:val="00600DAC"/>
    <w:rsid w:val="00601B5C"/>
    <w:rsid w:val="006024ED"/>
    <w:rsid w:val="006026DD"/>
    <w:rsid w:val="006030F1"/>
    <w:rsid w:val="00604812"/>
    <w:rsid w:val="00604850"/>
    <w:rsid w:val="00604A70"/>
    <w:rsid w:val="00605F89"/>
    <w:rsid w:val="006062C1"/>
    <w:rsid w:val="00606BF4"/>
    <w:rsid w:val="00610A11"/>
    <w:rsid w:val="00610A84"/>
    <w:rsid w:val="0061137D"/>
    <w:rsid w:val="006116D1"/>
    <w:rsid w:val="00611969"/>
    <w:rsid w:val="00613A7B"/>
    <w:rsid w:val="00613AF7"/>
    <w:rsid w:val="006148F9"/>
    <w:rsid w:val="00614EFF"/>
    <w:rsid w:val="00615901"/>
    <w:rsid w:val="006177D5"/>
    <w:rsid w:val="006204C3"/>
    <w:rsid w:val="006217B2"/>
    <w:rsid w:val="00621FA5"/>
    <w:rsid w:val="0062272D"/>
    <w:rsid w:val="006231C0"/>
    <w:rsid w:val="00623314"/>
    <w:rsid w:val="00623F1D"/>
    <w:rsid w:val="00624E26"/>
    <w:rsid w:val="006301FD"/>
    <w:rsid w:val="00631B2B"/>
    <w:rsid w:val="00632DEB"/>
    <w:rsid w:val="00633335"/>
    <w:rsid w:val="00633660"/>
    <w:rsid w:val="00633D73"/>
    <w:rsid w:val="006350AE"/>
    <w:rsid w:val="006378C6"/>
    <w:rsid w:val="00637A4D"/>
    <w:rsid w:val="006416E5"/>
    <w:rsid w:val="00641B20"/>
    <w:rsid w:val="00641EB4"/>
    <w:rsid w:val="006421A1"/>
    <w:rsid w:val="0064241B"/>
    <w:rsid w:val="006430DB"/>
    <w:rsid w:val="00644559"/>
    <w:rsid w:val="00645A28"/>
    <w:rsid w:val="006479AF"/>
    <w:rsid w:val="00647A10"/>
    <w:rsid w:val="00647C86"/>
    <w:rsid w:val="006515E9"/>
    <w:rsid w:val="0065255D"/>
    <w:rsid w:val="0065396D"/>
    <w:rsid w:val="00653D3E"/>
    <w:rsid w:val="006544E1"/>
    <w:rsid w:val="00655A52"/>
    <w:rsid w:val="00655BCE"/>
    <w:rsid w:val="00655C9B"/>
    <w:rsid w:val="00655D11"/>
    <w:rsid w:val="00656780"/>
    <w:rsid w:val="00657714"/>
    <w:rsid w:val="00657C0E"/>
    <w:rsid w:val="00657EF7"/>
    <w:rsid w:val="0066039A"/>
    <w:rsid w:val="00660731"/>
    <w:rsid w:val="00660751"/>
    <w:rsid w:val="0066154E"/>
    <w:rsid w:val="00662620"/>
    <w:rsid w:val="006626B5"/>
    <w:rsid w:val="00663414"/>
    <w:rsid w:val="006641E8"/>
    <w:rsid w:val="0066461A"/>
    <w:rsid w:val="006649CF"/>
    <w:rsid w:val="00664D51"/>
    <w:rsid w:val="00665725"/>
    <w:rsid w:val="00666049"/>
    <w:rsid w:val="0066612C"/>
    <w:rsid w:val="006663BB"/>
    <w:rsid w:val="00670232"/>
    <w:rsid w:val="00670296"/>
    <w:rsid w:val="00670764"/>
    <w:rsid w:val="00670DA7"/>
    <w:rsid w:val="00670E84"/>
    <w:rsid w:val="006718CC"/>
    <w:rsid w:val="00671B0B"/>
    <w:rsid w:val="00672B3A"/>
    <w:rsid w:val="00672D75"/>
    <w:rsid w:val="006735D9"/>
    <w:rsid w:val="006737EA"/>
    <w:rsid w:val="006739E3"/>
    <w:rsid w:val="0067608A"/>
    <w:rsid w:val="0067628C"/>
    <w:rsid w:val="0067629D"/>
    <w:rsid w:val="006764F7"/>
    <w:rsid w:val="00676F26"/>
    <w:rsid w:val="0067751D"/>
    <w:rsid w:val="0067785B"/>
    <w:rsid w:val="006779F9"/>
    <w:rsid w:val="00680481"/>
    <w:rsid w:val="00680533"/>
    <w:rsid w:val="006805BB"/>
    <w:rsid w:val="006807AA"/>
    <w:rsid w:val="00681988"/>
    <w:rsid w:val="00681EB1"/>
    <w:rsid w:val="0068228A"/>
    <w:rsid w:val="00682889"/>
    <w:rsid w:val="006829A8"/>
    <w:rsid w:val="00682BF4"/>
    <w:rsid w:val="00682E0D"/>
    <w:rsid w:val="0068425E"/>
    <w:rsid w:val="006843B3"/>
    <w:rsid w:val="00684B01"/>
    <w:rsid w:val="00684CF1"/>
    <w:rsid w:val="006868A6"/>
    <w:rsid w:val="00686D47"/>
    <w:rsid w:val="0068753E"/>
    <w:rsid w:val="0068797A"/>
    <w:rsid w:val="006903AE"/>
    <w:rsid w:val="00690B08"/>
    <w:rsid w:val="006910FA"/>
    <w:rsid w:val="00692378"/>
    <w:rsid w:val="00692854"/>
    <w:rsid w:val="006928FD"/>
    <w:rsid w:val="006932B5"/>
    <w:rsid w:val="0069358B"/>
    <w:rsid w:val="0069390E"/>
    <w:rsid w:val="006946B5"/>
    <w:rsid w:val="00695392"/>
    <w:rsid w:val="00695841"/>
    <w:rsid w:val="006959CB"/>
    <w:rsid w:val="0069659D"/>
    <w:rsid w:val="0069755B"/>
    <w:rsid w:val="006A031F"/>
    <w:rsid w:val="006A0ABA"/>
    <w:rsid w:val="006A1C07"/>
    <w:rsid w:val="006A1E21"/>
    <w:rsid w:val="006A2638"/>
    <w:rsid w:val="006A2A26"/>
    <w:rsid w:val="006A2B61"/>
    <w:rsid w:val="006A3385"/>
    <w:rsid w:val="006A3C4A"/>
    <w:rsid w:val="006A3F3F"/>
    <w:rsid w:val="006A4E41"/>
    <w:rsid w:val="006A5440"/>
    <w:rsid w:val="006A54B7"/>
    <w:rsid w:val="006A656B"/>
    <w:rsid w:val="006A706E"/>
    <w:rsid w:val="006A79DB"/>
    <w:rsid w:val="006B0E96"/>
    <w:rsid w:val="006B2366"/>
    <w:rsid w:val="006B2A69"/>
    <w:rsid w:val="006B34D4"/>
    <w:rsid w:val="006B34FA"/>
    <w:rsid w:val="006B3C4C"/>
    <w:rsid w:val="006B3F66"/>
    <w:rsid w:val="006B44CF"/>
    <w:rsid w:val="006B4520"/>
    <w:rsid w:val="006B4CE2"/>
    <w:rsid w:val="006B5228"/>
    <w:rsid w:val="006B7A90"/>
    <w:rsid w:val="006B7AA6"/>
    <w:rsid w:val="006B7F81"/>
    <w:rsid w:val="006C0276"/>
    <w:rsid w:val="006C0321"/>
    <w:rsid w:val="006C0AA4"/>
    <w:rsid w:val="006C14D0"/>
    <w:rsid w:val="006C1501"/>
    <w:rsid w:val="006C2194"/>
    <w:rsid w:val="006C3FC7"/>
    <w:rsid w:val="006C410F"/>
    <w:rsid w:val="006C4211"/>
    <w:rsid w:val="006C4B8E"/>
    <w:rsid w:val="006C5FBB"/>
    <w:rsid w:val="006C6899"/>
    <w:rsid w:val="006C714B"/>
    <w:rsid w:val="006D0D5C"/>
    <w:rsid w:val="006D1A94"/>
    <w:rsid w:val="006D2CBC"/>
    <w:rsid w:val="006D37C3"/>
    <w:rsid w:val="006D3FDF"/>
    <w:rsid w:val="006D43F2"/>
    <w:rsid w:val="006D5973"/>
    <w:rsid w:val="006D5E80"/>
    <w:rsid w:val="006D6A39"/>
    <w:rsid w:val="006D6DD6"/>
    <w:rsid w:val="006D77DF"/>
    <w:rsid w:val="006D785B"/>
    <w:rsid w:val="006D7A7D"/>
    <w:rsid w:val="006E0217"/>
    <w:rsid w:val="006E11CD"/>
    <w:rsid w:val="006E15F5"/>
    <w:rsid w:val="006E1B6B"/>
    <w:rsid w:val="006E1DBA"/>
    <w:rsid w:val="006E28C8"/>
    <w:rsid w:val="006E3BE6"/>
    <w:rsid w:val="006E40C4"/>
    <w:rsid w:val="006E4346"/>
    <w:rsid w:val="006E4A73"/>
    <w:rsid w:val="006E4BB1"/>
    <w:rsid w:val="006E53C0"/>
    <w:rsid w:val="006E560E"/>
    <w:rsid w:val="006E5CCD"/>
    <w:rsid w:val="006E618A"/>
    <w:rsid w:val="006E63FD"/>
    <w:rsid w:val="006E7103"/>
    <w:rsid w:val="006F06DB"/>
    <w:rsid w:val="006F07B8"/>
    <w:rsid w:val="006F0AA9"/>
    <w:rsid w:val="006F14A7"/>
    <w:rsid w:val="006F2FDD"/>
    <w:rsid w:val="006F429D"/>
    <w:rsid w:val="006F42B7"/>
    <w:rsid w:val="006F6617"/>
    <w:rsid w:val="006F70D0"/>
    <w:rsid w:val="006F7BDF"/>
    <w:rsid w:val="00700346"/>
    <w:rsid w:val="0070042A"/>
    <w:rsid w:val="0070181A"/>
    <w:rsid w:val="007029EB"/>
    <w:rsid w:val="00702D68"/>
    <w:rsid w:val="0070394B"/>
    <w:rsid w:val="007047AE"/>
    <w:rsid w:val="00704B3A"/>
    <w:rsid w:val="0070513B"/>
    <w:rsid w:val="0070525F"/>
    <w:rsid w:val="0070572A"/>
    <w:rsid w:val="00707326"/>
    <w:rsid w:val="0070732F"/>
    <w:rsid w:val="0070742C"/>
    <w:rsid w:val="007075DC"/>
    <w:rsid w:val="00707AFE"/>
    <w:rsid w:val="007108B2"/>
    <w:rsid w:val="00711937"/>
    <w:rsid w:val="00711A12"/>
    <w:rsid w:val="0071239E"/>
    <w:rsid w:val="007129A1"/>
    <w:rsid w:val="0071364D"/>
    <w:rsid w:val="00713EE3"/>
    <w:rsid w:val="00714652"/>
    <w:rsid w:val="00714772"/>
    <w:rsid w:val="007155FE"/>
    <w:rsid w:val="00716B06"/>
    <w:rsid w:val="00716CC3"/>
    <w:rsid w:val="007179E8"/>
    <w:rsid w:val="00717ED2"/>
    <w:rsid w:val="0072005B"/>
    <w:rsid w:val="007208FA"/>
    <w:rsid w:val="00723037"/>
    <w:rsid w:val="0072358D"/>
    <w:rsid w:val="0072414F"/>
    <w:rsid w:val="00724409"/>
    <w:rsid w:val="00724AA4"/>
    <w:rsid w:val="007255F7"/>
    <w:rsid w:val="007258B1"/>
    <w:rsid w:val="00725932"/>
    <w:rsid w:val="00725A15"/>
    <w:rsid w:val="007262C9"/>
    <w:rsid w:val="0072697B"/>
    <w:rsid w:val="00726A1A"/>
    <w:rsid w:val="00726F57"/>
    <w:rsid w:val="007272BB"/>
    <w:rsid w:val="00731046"/>
    <w:rsid w:val="0073187C"/>
    <w:rsid w:val="0073214F"/>
    <w:rsid w:val="00732918"/>
    <w:rsid w:val="00732A25"/>
    <w:rsid w:val="00732CE4"/>
    <w:rsid w:val="00732D1F"/>
    <w:rsid w:val="007331D6"/>
    <w:rsid w:val="007337B3"/>
    <w:rsid w:val="00735D55"/>
    <w:rsid w:val="00736495"/>
    <w:rsid w:val="007367C3"/>
    <w:rsid w:val="0073738D"/>
    <w:rsid w:val="00740D44"/>
    <w:rsid w:val="007410A4"/>
    <w:rsid w:val="00741CFB"/>
    <w:rsid w:val="007421AB"/>
    <w:rsid w:val="0074229D"/>
    <w:rsid w:val="007425CD"/>
    <w:rsid w:val="00742FD4"/>
    <w:rsid w:val="007431F5"/>
    <w:rsid w:val="007446B1"/>
    <w:rsid w:val="00744DF6"/>
    <w:rsid w:val="007460BB"/>
    <w:rsid w:val="00746121"/>
    <w:rsid w:val="007461D4"/>
    <w:rsid w:val="00746933"/>
    <w:rsid w:val="0074742C"/>
    <w:rsid w:val="00747C42"/>
    <w:rsid w:val="00750D29"/>
    <w:rsid w:val="007517D1"/>
    <w:rsid w:val="00752336"/>
    <w:rsid w:val="0075290F"/>
    <w:rsid w:val="00752AA1"/>
    <w:rsid w:val="0075393C"/>
    <w:rsid w:val="00753A9E"/>
    <w:rsid w:val="00753DF8"/>
    <w:rsid w:val="00754F65"/>
    <w:rsid w:val="007562A1"/>
    <w:rsid w:val="007564B2"/>
    <w:rsid w:val="00756DD3"/>
    <w:rsid w:val="00757197"/>
    <w:rsid w:val="00757F77"/>
    <w:rsid w:val="00760214"/>
    <w:rsid w:val="00760E14"/>
    <w:rsid w:val="00761E9F"/>
    <w:rsid w:val="007621A3"/>
    <w:rsid w:val="007621D3"/>
    <w:rsid w:val="00762669"/>
    <w:rsid w:val="007627F6"/>
    <w:rsid w:val="007635AE"/>
    <w:rsid w:val="00763809"/>
    <w:rsid w:val="00764273"/>
    <w:rsid w:val="007648CA"/>
    <w:rsid w:val="00764C1E"/>
    <w:rsid w:val="00764C7C"/>
    <w:rsid w:val="00766256"/>
    <w:rsid w:val="0076634D"/>
    <w:rsid w:val="00766469"/>
    <w:rsid w:val="0076667A"/>
    <w:rsid w:val="00766852"/>
    <w:rsid w:val="00766D9C"/>
    <w:rsid w:val="00766DA5"/>
    <w:rsid w:val="007678C2"/>
    <w:rsid w:val="00770439"/>
    <w:rsid w:val="00770F4C"/>
    <w:rsid w:val="0077104A"/>
    <w:rsid w:val="00771834"/>
    <w:rsid w:val="00772776"/>
    <w:rsid w:val="00772DB3"/>
    <w:rsid w:val="00772E80"/>
    <w:rsid w:val="00772F2D"/>
    <w:rsid w:val="00773297"/>
    <w:rsid w:val="00773E45"/>
    <w:rsid w:val="00773F8A"/>
    <w:rsid w:val="007744C0"/>
    <w:rsid w:val="00774ADB"/>
    <w:rsid w:val="00774C98"/>
    <w:rsid w:val="00775E01"/>
    <w:rsid w:val="007760BE"/>
    <w:rsid w:val="00776C99"/>
    <w:rsid w:val="00776DEE"/>
    <w:rsid w:val="00777C88"/>
    <w:rsid w:val="00777CB9"/>
    <w:rsid w:val="00777F86"/>
    <w:rsid w:val="007803E3"/>
    <w:rsid w:val="00780827"/>
    <w:rsid w:val="00781286"/>
    <w:rsid w:val="00781E25"/>
    <w:rsid w:val="00784935"/>
    <w:rsid w:val="00785212"/>
    <w:rsid w:val="00785599"/>
    <w:rsid w:val="00786FFC"/>
    <w:rsid w:val="00787518"/>
    <w:rsid w:val="007905F9"/>
    <w:rsid w:val="00792DCF"/>
    <w:rsid w:val="00793444"/>
    <w:rsid w:val="00793CE5"/>
    <w:rsid w:val="00794288"/>
    <w:rsid w:val="00795548"/>
    <w:rsid w:val="00795B64"/>
    <w:rsid w:val="007960EA"/>
    <w:rsid w:val="0079668A"/>
    <w:rsid w:val="00797921"/>
    <w:rsid w:val="007A02CE"/>
    <w:rsid w:val="007A0872"/>
    <w:rsid w:val="007A0AE2"/>
    <w:rsid w:val="007A1985"/>
    <w:rsid w:val="007A30A8"/>
    <w:rsid w:val="007A3E46"/>
    <w:rsid w:val="007A4E6E"/>
    <w:rsid w:val="007A52BF"/>
    <w:rsid w:val="007A538F"/>
    <w:rsid w:val="007A620B"/>
    <w:rsid w:val="007A73F4"/>
    <w:rsid w:val="007B0116"/>
    <w:rsid w:val="007B02FE"/>
    <w:rsid w:val="007B0419"/>
    <w:rsid w:val="007B0E09"/>
    <w:rsid w:val="007B1030"/>
    <w:rsid w:val="007B128F"/>
    <w:rsid w:val="007B1A12"/>
    <w:rsid w:val="007B1CF0"/>
    <w:rsid w:val="007B22C2"/>
    <w:rsid w:val="007B2374"/>
    <w:rsid w:val="007B243C"/>
    <w:rsid w:val="007B292E"/>
    <w:rsid w:val="007B2B23"/>
    <w:rsid w:val="007B2C32"/>
    <w:rsid w:val="007B2DB1"/>
    <w:rsid w:val="007B2F75"/>
    <w:rsid w:val="007B4C36"/>
    <w:rsid w:val="007B59C8"/>
    <w:rsid w:val="007B5CA2"/>
    <w:rsid w:val="007B5E18"/>
    <w:rsid w:val="007B5FBF"/>
    <w:rsid w:val="007B74F6"/>
    <w:rsid w:val="007B79E2"/>
    <w:rsid w:val="007B7B70"/>
    <w:rsid w:val="007B7F63"/>
    <w:rsid w:val="007B7FA7"/>
    <w:rsid w:val="007C04A2"/>
    <w:rsid w:val="007C089B"/>
    <w:rsid w:val="007C156D"/>
    <w:rsid w:val="007C1623"/>
    <w:rsid w:val="007C23EB"/>
    <w:rsid w:val="007C29EB"/>
    <w:rsid w:val="007C3316"/>
    <w:rsid w:val="007C357A"/>
    <w:rsid w:val="007C61C9"/>
    <w:rsid w:val="007C6526"/>
    <w:rsid w:val="007D200E"/>
    <w:rsid w:val="007D2C2D"/>
    <w:rsid w:val="007D4B15"/>
    <w:rsid w:val="007D4E0A"/>
    <w:rsid w:val="007D4E5B"/>
    <w:rsid w:val="007D54CA"/>
    <w:rsid w:val="007D574A"/>
    <w:rsid w:val="007D7EAD"/>
    <w:rsid w:val="007E1922"/>
    <w:rsid w:val="007E1CD3"/>
    <w:rsid w:val="007E2143"/>
    <w:rsid w:val="007E2A9C"/>
    <w:rsid w:val="007E2E69"/>
    <w:rsid w:val="007E44F0"/>
    <w:rsid w:val="007E4534"/>
    <w:rsid w:val="007E46FE"/>
    <w:rsid w:val="007E4F3E"/>
    <w:rsid w:val="007E5610"/>
    <w:rsid w:val="007E6A4A"/>
    <w:rsid w:val="007E6E6A"/>
    <w:rsid w:val="007E70A5"/>
    <w:rsid w:val="007E7403"/>
    <w:rsid w:val="007E7A54"/>
    <w:rsid w:val="007F0280"/>
    <w:rsid w:val="007F07D8"/>
    <w:rsid w:val="007F0D4D"/>
    <w:rsid w:val="007F0D71"/>
    <w:rsid w:val="007F0EDC"/>
    <w:rsid w:val="007F0F8D"/>
    <w:rsid w:val="007F2EC6"/>
    <w:rsid w:val="007F2F56"/>
    <w:rsid w:val="007F2FDA"/>
    <w:rsid w:val="007F3233"/>
    <w:rsid w:val="007F4416"/>
    <w:rsid w:val="007F5B10"/>
    <w:rsid w:val="007F5CA1"/>
    <w:rsid w:val="007F6225"/>
    <w:rsid w:val="007F6596"/>
    <w:rsid w:val="007F6716"/>
    <w:rsid w:val="007F6C39"/>
    <w:rsid w:val="007F7253"/>
    <w:rsid w:val="007F7D41"/>
    <w:rsid w:val="007F7E7B"/>
    <w:rsid w:val="008024D0"/>
    <w:rsid w:val="008034D9"/>
    <w:rsid w:val="00803B9B"/>
    <w:rsid w:val="00804539"/>
    <w:rsid w:val="008049E3"/>
    <w:rsid w:val="008057B1"/>
    <w:rsid w:val="00805B08"/>
    <w:rsid w:val="008061A2"/>
    <w:rsid w:val="00806BEC"/>
    <w:rsid w:val="00807E56"/>
    <w:rsid w:val="008104AA"/>
    <w:rsid w:val="00810BED"/>
    <w:rsid w:val="008111FC"/>
    <w:rsid w:val="00812621"/>
    <w:rsid w:val="008133B4"/>
    <w:rsid w:val="00813520"/>
    <w:rsid w:val="00814063"/>
    <w:rsid w:val="008148BB"/>
    <w:rsid w:val="00815861"/>
    <w:rsid w:val="00815AC4"/>
    <w:rsid w:val="00816474"/>
    <w:rsid w:val="00816BB0"/>
    <w:rsid w:val="00817578"/>
    <w:rsid w:val="00817893"/>
    <w:rsid w:val="00820903"/>
    <w:rsid w:val="0082143D"/>
    <w:rsid w:val="00821EE1"/>
    <w:rsid w:val="008222EE"/>
    <w:rsid w:val="008226C1"/>
    <w:rsid w:val="00822E87"/>
    <w:rsid w:val="0082330E"/>
    <w:rsid w:val="00825DBE"/>
    <w:rsid w:val="00826018"/>
    <w:rsid w:val="0082626C"/>
    <w:rsid w:val="008303BA"/>
    <w:rsid w:val="00830668"/>
    <w:rsid w:val="0083281E"/>
    <w:rsid w:val="00833782"/>
    <w:rsid w:val="008346A0"/>
    <w:rsid w:val="008359E5"/>
    <w:rsid w:val="00835B9D"/>
    <w:rsid w:val="00840733"/>
    <w:rsid w:val="00840AE5"/>
    <w:rsid w:val="00840E08"/>
    <w:rsid w:val="00841E2E"/>
    <w:rsid w:val="008430A2"/>
    <w:rsid w:val="008432CC"/>
    <w:rsid w:val="008438E6"/>
    <w:rsid w:val="008443FD"/>
    <w:rsid w:val="008448E9"/>
    <w:rsid w:val="00846347"/>
    <w:rsid w:val="0084747E"/>
    <w:rsid w:val="008479C0"/>
    <w:rsid w:val="00847B90"/>
    <w:rsid w:val="00850512"/>
    <w:rsid w:val="00850B39"/>
    <w:rsid w:val="008511D4"/>
    <w:rsid w:val="00854588"/>
    <w:rsid w:val="00854C29"/>
    <w:rsid w:val="0085573D"/>
    <w:rsid w:val="0085574C"/>
    <w:rsid w:val="0085683B"/>
    <w:rsid w:val="00856CC9"/>
    <w:rsid w:val="00857FF3"/>
    <w:rsid w:val="00860106"/>
    <w:rsid w:val="00861459"/>
    <w:rsid w:val="008615F7"/>
    <w:rsid w:val="0086190D"/>
    <w:rsid w:val="00862133"/>
    <w:rsid w:val="00862AA2"/>
    <w:rsid w:val="0086308A"/>
    <w:rsid w:val="00863ED2"/>
    <w:rsid w:val="00864085"/>
    <w:rsid w:val="008643B5"/>
    <w:rsid w:val="00865464"/>
    <w:rsid w:val="008656BD"/>
    <w:rsid w:val="00865AB6"/>
    <w:rsid w:val="00866759"/>
    <w:rsid w:val="008672BF"/>
    <w:rsid w:val="0087065E"/>
    <w:rsid w:val="00871416"/>
    <w:rsid w:val="00871E4D"/>
    <w:rsid w:val="00871F37"/>
    <w:rsid w:val="00872498"/>
    <w:rsid w:val="0087270A"/>
    <w:rsid w:val="00872B3D"/>
    <w:rsid w:val="00873088"/>
    <w:rsid w:val="00873EE0"/>
    <w:rsid w:val="0087498A"/>
    <w:rsid w:val="0087565A"/>
    <w:rsid w:val="008757BC"/>
    <w:rsid w:val="00875FB5"/>
    <w:rsid w:val="008760D8"/>
    <w:rsid w:val="00876AE7"/>
    <w:rsid w:val="00876FEC"/>
    <w:rsid w:val="0088060B"/>
    <w:rsid w:val="008815D0"/>
    <w:rsid w:val="00881B44"/>
    <w:rsid w:val="008821EA"/>
    <w:rsid w:val="00882FC0"/>
    <w:rsid w:val="0088341C"/>
    <w:rsid w:val="00883D0C"/>
    <w:rsid w:val="008845F5"/>
    <w:rsid w:val="00884645"/>
    <w:rsid w:val="008849C5"/>
    <w:rsid w:val="00885562"/>
    <w:rsid w:val="008855AD"/>
    <w:rsid w:val="00886620"/>
    <w:rsid w:val="00887104"/>
    <w:rsid w:val="008876EC"/>
    <w:rsid w:val="00890A0B"/>
    <w:rsid w:val="00891CE5"/>
    <w:rsid w:val="00891F46"/>
    <w:rsid w:val="0089242F"/>
    <w:rsid w:val="008950C4"/>
    <w:rsid w:val="0089583A"/>
    <w:rsid w:val="008958FB"/>
    <w:rsid w:val="0089617D"/>
    <w:rsid w:val="008A0294"/>
    <w:rsid w:val="008A040E"/>
    <w:rsid w:val="008A16D1"/>
    <w:rsid w:val="008A1D16"/>
    <w:rsid w:val="008A2012"/>
    <w:rsid w:val="008A2259"/>
    <w:rsid w:val="008A2449"/>
    <w:rsid w:val="008A26FD"/>
    <w:rsid w:val="008A2ADA"/>
    <w:rsid w:val="008A32BC"/>
    <w:rsid w:val="008A32DE"/>
    <w:rsid w:val="008A336A"/>
    <w:rsid w:val="008A4D26"/>
    <w:rsid w:val="008A7272"/>
    <w:rsid w:val="008A7614"/>
    <w:rsid w:val="008A7E1E"/>
    <w:rsid w:val="008B1097"/>
    <w:rsid w:val="008B1251"/>
    <w:rsid w:val="008B1724"/>
    <w:rsid w:val="008B31CD"/>
    <w:rsid w:val="008B3B12"/>
    <w:rsid w:val="008B438C"/>
    <w:rsid w:val="008B47E9"/>
    <w:rsid w:val="008B4BA7"/>
    <w:rsid w:val="008B4D26"/>
    <w:rsid w:val="008B4E2B"/>
    <w:rsid w:val="008B5488"/>
    <w:rsid w:val="008B795F"/>
    <w:rsid w:val="008B7E05"/>
    <w:rsid w:val="008B7F71"/>
    <w:rsid w:val="008C06EF"/>
    <w:rsid w:val="008C0DB8"/>
    <w:rsid w:val="008C1623"/>
    <w:rsid w:val="008C1D1C"/>
    <w:rsid w:val="008C2416"/>
    <w:rsid w:val="008C2DA6"/>
    <w:rsid w:val="008C3478"/>
    <w:rsid w:val="008C4B30"/>
    <w:rsid w:val="008C526F"/>
    <w:rsid w:val="008C5B70"/>
    <w:rsid w:val="008C64FA"/>
    <w:rsid w:val="008C65D7"/>
    <w:rsid w:val="008C67B7"/>
    <w:rsid w:val="008C69A7"/>
    <w:rsid w:val="008C6C41"/>
    <w:rsid w:val="008C6D7A"/>
    <w:rsid w:val="008C6E57"/>
    <w:rsid w:val="008C6FA3"/>
    <w:rsid w:val="008C6FD0"/>
    <w:rsid w:val="008C7218"/>
    <w:rsid w:val="008D08A7"/>
    <w:rsid w:val="008D179D"/>
    <w:rsid w:val="008D1CFD"/>
    <w:rsid w:val="008D1FFB"/>
    <w:rsid w:val="008D37C9"/>
    <w:rsid w:val="008D3EA1"/>
    <w:rsid w:val="008D412B"/>
    <w:rsid w:val="008D5A4F"/>
    <w:rsid w:val="008D5CB8"/>
    <w:rsid w:val="008D5E7B"/>
    <w:rsid w:val="008D6D2D"/>
    <w:rsid w:val="008D7F6E"/>
    <w:rsid w:val="008E074F"/>
    <w:rsid w:val="008E0867"/>
    <w:rsid w:val="008E19E3"/>
    <w:rsid w:val="008E4915"/>
    <w:rsid w:val="008E5175"/>
    <w:rsid w:val="008E593F"/>
    <w:rsid w:val="008E5DE6"/>
    <w:rsid w:val="008E5E46"/>
    <w:rsid w:val="008E75BD"/>
    <w:rsid w:val="008E7CB6"/>
    <w:rsid w:val="008E7D6E"/>
    <w:rsid w:val="008E7E82"/>
    <w:rsid w:val="008F0625"/>
    <w:rsid w:val="008F16B7"/>
    <w:rsid w:val="008F28CC"/>
    <w:rsid w:val="008F3A74"/>
    <w:rsid w:val="008F4310"/>
    <w:rsid w:val="008F5044"/>
    <w:rsid w:val="008F5B34"/>
    <w:rsid w:val="008F609F"/>
    <w:rsid w:val="008F6339"/>
    <w:rsid w:val="008F708F"/>
    <w:rsid w:val="009010FE"/>
    <w:rsid w:val="00901C9D"/>
    <w:rsid w:val="00901CD5"/>
    <w:rsid w:val="00902580"/>
    <w:rsid w:val="0090265A"/>
    <w:rsid w:val="00902B13"/>
    <w:rsid w:val="009037D7"/>
    <w:rsid w:val="00904AB8"/>
    <w:rsid w:val="009054FC"/>
    <w:rsid w:val="00905D7C"/>
    <w:rsid w:val="00906A0B"/>
    <w:rsid w:val="00907DEC"/>
    <w:rsid w:val="0091021C"/>
    <w:rsid w:val="00910636"/>
    <w:rsid w:val="00910BE4"/>
    <w:rsid w:val="00910CB2"/>
    <w:rsid w:val="00910DA2"/>
    <w:rsid w:val="00911391"/>
    <w:rsid w:val="00911A69"/>
    <w:rsid w:val="00911D5C"/>
    <w:rsid w:val="00912626"/>
    <w:rsid w:val="00912691"/>
    <w:rsid w:val="009127E2"/>
    <w:rsid w:val="00912D3D"/>
    <w:rsid w:val="009139DB"/>
    <w:rsid w:val="00913B3D"/>
    <w:rsid w:val="009156FC"/>
    <w:rsid w:val="00915B41"/>
    <w:rsid w:val="00915F2D"/>
    <w:rsid w:val="0091613D"/>
    <w:rsid w:val="00916388"/>
    <w:rsid w:val="0091786F"/>
    <w:rsid w:val="0092042F"/>
    <w:rsid w:val="0092043D"/>
    <w:rsid w:val="0092147C"/>
    <w:rsid w:val="00921AC0"/>
    <w:rsid w:val="00922C75"/>
    <w:rsid w:val="00922CC0"/>
    <w:rsid w:val="009248FE"/>
    <w:rsid w:val="00924936"/>
    <w:rsid w:val="00924AA8"/>
    <w:rsid w:val="009254FA"/>
    <w:rsid w:val="00926030"/>
    <w:rsid w:val="00926601"/>
    <w:rsid w:val="00927550"/>
    <w:rsid w:val="009277D1"/>
    <w:rsid w:val="009319BA"/>
    <w:rsid w:val="00932734"/>
    <w:rsid w:val="00933138"/>
    <w:rsid w:val="009341C2"/>
    <w:rsid w:val="00934AA6"/>
    <w:rsid w:val="00935006"/>
    <w:rsid w:val="00935DC4"/>
    <w:rsid w:val="0093724F"/>
    <w:rsid w:val="00937451"/>
    <w:rsid w:val="00937521"/>
    <w:rsid w:val="00937D60"/>
    <w:rsid w:val="009405D4"/>
    <w:rsid w:val="00940825"/>
    <w:rsid w:val="00941B91"/>
    <w:rsid w:val="00942B8B"/>
    <w:rsid w:val="00942E8E"/>
    <w:rsid w:val="0094333F"/>
    <w:rsid w:val="00943802"/>
    <w:rsid w:val="009440F4"/>
    <w:rsid w:val="009443EE"/>
    <w:rsid w:val="00944ABB"/>
    <w:rsid w:val="0094522A"/>
    <w:rsid w:val="00945A76"/>
    <w:rsid w:val="00945C5B"/>
    <w:rsid w:val="0094617F"/>
    <w:rsid w:val="00946987"/>
    <w:rsid w:val="00946D4C"/>
    <w:rsid w:val="00950FCB"/>
    <w:rsid w:val="00951960"/>
    <w:rsid w:val="009535F6"/>
    <w:rsid w:val="009546F4"/>
    <w:rsid w:val="00955194"/>
    <w:rsid w:val="009556C0"/>
    <w:rsid w:val="00956315"/>
    <w:rsid w:val="0095704A"/>
    <w:rsid w:val="0095738A"/>
    <w:rsid w:val="009607AE"/>
    <w:rsid w:val="00960955"/>
    <w:rsid w:val="0096131C"/>
    <w:rsid w:val="0096155D"/>
    <w:rsid w:val="009615CF"/>
    <w:rsid w:val="009623AF"/>
    <w:rsid w:val="00962C37"/>
    <w:rsid w:val="00963911"/>
    <w:rsid w:val="00963C74"/>
    <w:rsid w:val="00964E5A"/>
    <w:rsid w:val="00965DA8"/>
    <w:rsid w:val="00965FAD"/>
    <w:rsid w:val="00966BDF"/>
    <w:rsid w:val="00970347"/>
    <w:rsid w:val="0097181A"/>
    <w:rsid w:val="0097210F"/>
    <w:rsid w:val="00972B62"/>
    <w:rsid w:val="009734BF"/>
    <w:rsid w:val="00973A61"/>
    <w:rsid w:val="00973E50"/>
    <w:rsid w:val="009742A6"/>
    <w:rsid w:val="0097494C"/>
    <w:rsid w:val="00975C1A"/>
    <w:rsid w:val="00975E15"/>
    <w:rsid w:val="0097688A"/>
    <w:rsid w:val="009768CE"/>
    <w:rsid w:val="00976B12"/>
    <w:rsid w:val="00976B1A"/>
    <w:rsid w:val="00981EF3"/>
    <w:rsid w:val="009829CE"/>
    <w:rsid w:val="00982FDF"/>
    <w:rsid w:val="009838FA"/>
    <w:rsid w:val="00983FB2"/>
    <w:rsid w:val="00984868"/>
    <w:rsid w:val="009848E8"/>
    <w:rsid w:val="009851D1"/>
    <w:rsid w:val="009859EA"/>
    <w:rsid w:val="00985AAF"/>
    <w:rsid w:val="0098680E"/>
    <w:rsid w:val="009868E3"/>
    <w:rsid w:val="009900EC"/>
    <w:rsid w:val="0099030F"/>
    <w:rsid w:val="0099062B"/>
    <w:rsid w:val="00990E52"/>
    <w:rsid w:val="00992346"/>
    <w:rsid w:val="0099287B"/>
    <w:rsid w:val="0099287F"/>
    <w:rsid w:val="009931D9"/>
    <w:rsid w:val="00993E52"/>
    <w:rsid w:val="00994469"/>
    <w:rsid w:val="00995341"/>
    <w:rsid w:val="00995E79"/>
    <w:rsid w:val="00997AC2"/>
    <w:rsid w:val="009A0251"/>
    <w:rsid w:val="009A0464"/>
    <w:rsid w:val="009A0819"/>
    <w:rsid w:val="009A25C7"/>
    <w:rsid w:val="009A2838"/>
    <w:rsid w:val="009A2A11"/>
    <w:rsid w:val="009A384A"/>
    <w:rsid w:val="009A5CE6"/>
    <w:rsid w:val="009A6435"/>
    <w:rsid w:val="009A6721"/>
    <w:rsid w:val="009A76EB"/>
    <w:rsid w:val="009A7983"/>
    <w:rsid w:val="009A7B0C"/>
    <w:rsid w:val="009A7C23"/>
    <w:rsid w:val="009A7D88"/>
    <w:rsid w:val="009A7F87"/>
    <w:rsid w:val="009B0041"/>
    <w:rsid w:val="009B092F"/>
    <w:rsid w:val="009B1F3A"/>
    <w:rsid w:val="009B20EE"/>
    <w:rsid w:val="009B234B"/>
    <w:rsid w:val="009B37C9"/>
    <w:rsid w:val="009B37D8"/>
    <w:rsid w:val="009B3A35"/>
    <w:rsid w:val="009B4091"/>
    <w:rsid w:val="009B5BE2"/>
    <w:rsid w:val="009B726F"/>
    <w:rsid w:val="009B7416"/>
    <w:rsid w:val="009C0DDD"/>
    <w:rsid w:val="009C113C"/>
    <w:rsid w:val="009C14B9"/>
    <w:rsid w:val="009C263C"/>
    <w:rsid w:val="009C2975"/>
    <w:rsid w:val="009C328B"/>
    <w:rsid w:val="009C38EC"/>
    <w:rsid w:val="009C3E30"/>
    <w:rsid w:val="009C4038"/>
    <w:rsid w:val="009C440D"/>
    <w:rsid w:val="009C508C"/>
    <w:rsid w:val="009C5154"/>
    <w:rsid w:val="009C5385"/>
    <w:rsid w:val="009C6FF8"/>
    <w:rsid w:val="009D433A"/>
    <w:rsid w:val="009D43CE"/>
    <w:rsid w:val="009D45A1"/>
    <w:rsid w:val="009D514A"/>
    <w:rsid w:val="009D52E7"/>
    <w:rsid w:val="009D57E3"/>
    <w:rsid w:val="009D58F3"/>
    <w:rsid w:val="009D5A47"/>
    <w:rsid w:val="009D6D3B"/>
    <w:rsid w:val="009D76E1"/>
    <w:rsid w:val="009D7C81"/>
    <w:rsid w:val="009E013D"/>
    <w:rsid w:val="009E05D1"/>
    <w:rsid w:val="009E0D52"/>
    <w:rsid w:val="009E0F5A"/>
    <w:rsid w:val="009E1718"/>
    <w:rsid w:val="009E23E6"/>
    <w:rsid w:val="009E29A6"/>
    <w:rsid w:val="009E2BF8"/>
    <w:rsid w:val="009E4118"/>
    <w:rsid w:val="009E4A90"/>
    <w:rsid w:val="009E5169"/>
    <w:rsid w:val="009F0242"/>
    <w:rsid w:val="009F056D"/>
    <w:rsid w:val="009F0700"/>
    <w:rsid w:val="009F091E"/>
    <w:rsid w:val="009F135C"/>
    <w:rsid w:val="009F158E"/>
    <w:rsid w:val="009F1B07"/>
    <w:rsid w:val="009F217B"/>
    <w:rsid w:val="009F2660"/>
    <w:rsid w:val="009F3478"/>
    <w:rsid w:val="009F3A9F"/>
    <w:rsid w:val="009F3DFD"/>
    <w:rsid w:val="009F444A"/>
    <w:rsid w:val="009F4817"/>
    <w:rsid w:val="009F535A"/>
    <w:rsid w:val="009F58C6"/>
    <w:rsid w:val="009F5ED5"/>
    <w:rsid w:val="009F62A4"/>
    <w:rsid w:val="009F6B54"/>
    <w:rsid w:val="00A0040A"/>
    <w:rsid w:val="00A02387"/>
    <w:rsid w:val="00A02B35"/>
    <w:rsid w:val="00A03532"/>
    <w:rsid w:val="00A03533"/>
    <w:rsid w:val="00A05073"/>
    <w:rsid w:val="00A055A2"/>
    <w:rsid w:val="00A05986"/>
    <w:rsid w:val="00A06A5F"/>
    <w:rsid w:val="00A06C13"/>
    <w:rsid w:val="00A06E36"/>
    <w:rsid w:val="00A07931"/>
    <w:rsid w:val="00A1038D"/>
    <w:rsid w:val="00A104FB"/>
    <w:rsid w:val="00A108ED"/>
    <w:rsid w:val="00A11435"/>
    <w:rsid w:val="00A114E1"/>
    <w:rsid w:val="00A11BCF"/>
    <w:rsid w:val="00A11CDA"/>
    <w:rsid w:val="00A1218B"/>
    <w:rsid w:val="00A12669"/>
    <w:rsid w:val="00A13847"/>
    <w:rsid w:val="00A13A91"/>
    <w:rsid w:val="00A13C75"/>
    <w:rsid w:val="00A14477"/>
    <w:rsid w:val="00A14B48"/>
    <w:rsid w:val="00A14DFA"/>
    <w:rsid w:val="00A1618D"/>
    <w:rsid w:val="00A16536"/>
    <w:rsid w:val="00A16875"/>
    <w:rsid w:val="00A16D63"/>
    <w:rsid w:val="00A20979"/>
    <w:rsid w:val="00A2157D"/>
    <w:rsid w:val="00A22AF5"/>
    <w:rsid w:val="00A22BEC"/>
    <w:rsid w:val="00A22F1A"/>
    <w:rsid w:val="00A23580"/>
    <w:rsid w:val="00A235B4"/>
    <w:rsid w:val="00A23A23"/>
    <w:rsid w:val="00A23BD4"/>
    <w:rsid w:val="00A23FE5"/>
    <w:rsid w:val="00A24DBB"/>
    <w:rsid w:val="00A257F3"/>
    <w:rsid w:val="00A26724"/>
    <w:rsid w:val="00A26E72"/>
    <w:rsid w:val="00A27363"/>
    <w:rsid w:val="00A2771B"/>
    <w:rsid w:val="00A30462"/>
    <w:rsid w:val="00A31132"/>
    <w:rsid w:val="00A311A2"/>
    <w:rsid w:val="00A320D1"/>
    <w:rsid w:val="00A324D2"/>
    <w:rsid w:val="00A3252A"/>
    <w:rsid w:val="00A37219"/>
    <w:rsid w:val="00A376FD"/>
    <w:rsid w:val="00A37AC0"/>
    <w:rsid w:val="00A4028E"/>
    <w:rsid w:val="00A411A7"/>
    <w:rsid w:val="00A414F4"/>
    <w:rsid w:val="00A41D2D"/>
    <w:rsid w:val="00A421AE"/>
    <w:rsid w:val="00A4298D"/>
    <w:rsid w:val="00A43024"/>
    <w:rsid w:val="00A437EF"/>
    <w:rsid w:val="00A43A0D"/>
    <w:rsid w:val="00A4401F"/>
    <w:rsid w:val="00A440F1"/>
    <w:rsid w:val="00A442B4"/>
    <w:rsid w:val="00A44485"/>
    <w:rsid w:val="00A44CDE"/>
    <w:rsid w:val="00A44EC9"/>
    <w:rsid w:val="00A451AE"/>
    <w:rsid w:val="00A457F6"/>
    <w:rsid w:val="00A468BE"/>
    <w:rsid w:val="00A46A9A"/>
    <w:rsid w:val="00A505C3"/>
    <w:rsid w:val="00A516B7"/>
    <w:rsid w:val="00A51AFB"/>
    <w:rsid w:val="00A51E25"/>
    <w:rsid w:val="00A5206F"/>
    <w:rsid w:val="00A52D82"/>
    <w:rsid w:val="00A5462E"/>
    <w:rsid w:val="00A54E9B"/>
    <w:rsid w:val="00A556C5"/>
    <w:rsid w:val="00A57FD4"/>
    <w:rsid w:val="00A60D19"/>
    <w:rsid w:val="00A60F65"/>
    <w:rsid w:val="00A61CC5"/>
    <w:rsid w:val="00A62526"/>
    <w:rsid w:val="00A637CF"/>
    <w:rsid w:val="00A645AA"/>
    <w:rsid w:val="00A647C3"/>
    <w:rsid w:val="00A64ACA"/>
    <w:rsid w:val="00A64B67"/>
    <w:rsid w:val="00A655D2"/>
    <w:rsid w:val="00A65F4A"/>
    <w:rsid w:val="00A66B9A"/>
    <w:rsid w:val="00A66E44"/>
    <w:rsid w:val="00A70F2E"/>
    <w:rsid w:val="00A72BB6"/>
    <w:rsid w:val="00A74261"/>
    <w:rsid w:val="00A74276"/>
    <w:rsid w:val="00A75346"/>
    <w:rsid w:val="00A764E8"/>
    <w:rsid w:val="00A76580"/>
    <w:rsid w:val="00A77024"/>
    <w:rsid w:val="00A809B8"/>
    <w:rsid w:val="00A8153A"/>
    <w:rsid w:val="00A81E07"/>
    <w:rsid w:val="00A83612"/>
    <w:rsid w:val="00A839F8"/>
    <w:rsid w:val="00A8438C"/>
    <w:rsid w:val="00A84C3C"/>
    <w:rsid w:val="00A84DE9"/>
    <w:rsid w:val="00A86589"/>
    <w:rsid w:val="00A86CAB"/>
    <w:rsid w:val="00A8772F"/>
    <w:rsid w:val="00A90606"/>
    <w:rsid w:val="00A90D2D"/>
    <w:rsid w:val="00A90F66"/>
    <w:rsid w:val="00A92583"/>
    <w:rsid w:val="00A92D2A"/>
    <w:rsid w:val="00A931B1"/>
    <w:rsid w:val="00A943F8"/>
    <w:rsid w:val="00A94AFA"/>
    <w:rsid w:val="00A9534C"/>
    <w:rsid w:val="00A958D4"/>
    <w:rsid w:val="00A96934"/>
    <w:rsid w:val="00A97AE4"/>
    <w:rsid w:val="00AA0953"/>
    <w:rsid w:val="00AA3D17"/>
    <w:rsid w:val="00AA4A69"/>
    <w:rsid w:val="00AA5B94"/>
    <w:rsid w:val="00AA6B5C"/>
    <w:rsid w:val="00AA6DA3"/>
    <w:rsid w:val="00AA6E5C"/>
    <w:rsid w:val="00AA78F8"/>
    <w:rsid w:val="00AB1D70"/>
    <w:rsid w:val="00AB252C"/>
    <w:rsid w:val="00AB271F"/>
    <w:rsid w:val="00AB3036"/>
    <w:rsid w:val="00AB310C"/>
    <w:rsid w:val="00AB3622"/>
    <w:rsid w:val="00AB44DF"/>
    <w:rsid w:val="00AB4C69"/>
    <w:rsid w:val="00AB51A8"/>
    <w:rsid w:val="00AB548C"/>
    <w:rsid w:val="00AB57FC"/>
    <w:rsid w:val="00AB68A5"/>
    <w:rsid w:val="00AB719C"/>
    <w:rsid w:val="00AC08E0"/>
    <w:rsid w:val="00AC0DA1"/>
    <w:rsid w:val="00AC1198"/>
    <w:rsid w:val="00AC178D"/>
    <w:rsid w:val="00AC3463"/>
    <w:rsid w:val="00AC3CB4"/>
    <w:rsid w:val="00AC3D11"/>
    <w:rsid w:val="00AC5FAF"/>
    <w:rsid w:val="00AC661B"/>
    <w:rsid w:val="00AC69CD"/>
    <w:rsid w:val="00AC74E4"/>
    <w:rsid w:val="00AC7ACE"/>
    <w:rsid w:val="00AD0628"/>
    <w:rsid w:val="00AD0BF4"/>
    <w:rsid w:val="00AD1253"/>
    <w:rsid w:val="00AD396F"/>
    <w:rsid w:val="00AD5287"/>
    <w:rsid w:val="00AD59F5"/>
    <w:rsid w:val="00AD6356"/>
    <w:rsid w:val="00AD77CC"/>
    <w:rsid w:val="00AD782F"/>
    <w:rsid w:val="00AD7839"/>
    <w:rsid w:val="00AE20DE"/>
    <w:rsid w:val="00AE2813"/>
    <w:rsid w:val="00AE2F20"/>
    <w:rsid w:val="00AE36C3"/>
    <w:rsid w:val="00AE3CAA"/>
    <w:rsid w:val="00AE48A0"/>
    <w:rsid w:val="00AE4B47"/>
    <w:rsid w:val="00AE4C62"/>
    <w:rsid w:val="00AE569C"/>
    <w:rsid w:val="00AE71CA"/>
    <w:rsid w:val="00AE76D5"/>
    <w:rsid w:val="00AE7A98"/>
    <w:rsid w:val="00AF0091"/>
    <w:rsid w:val="00AF0C8A"/>
    <w:rsid w:val="00AF1922"/>
    <w:rsid w:val="00AF1948"/>
    <w:rsid w:val="00AF2572"/>
    <w:rsid w:val="00AF26AB"/>
    <w:rsid w:val="00AF335F"/>
    <w:rsid w:val="00AF3676"/>
    <w:rsid w:val="00AF40EF"/>
    <w:rsid w:val="00AF42AE"/>
    <w:rsid w:val="00AF5C52"/>
    <w:rsid w:val="00AF6A58"/>
    <w:rsid w:val="00AF7122"/>
    <w:rsid w:val="00AF726F"/>
    <w:rsid w:val="00AF775B"/>
    <w:rsid w:val="00B001A1"/>
    <w:rsid w:val="00B00466"/>
    <w:rsid w:val="00B0058A"/>
    <w:rsid w:val="00B010F4"/>
    <w:rsid w:val="00B01503"/>
    <w:rsid w:val="00B01AA1"/>
    <w:rsid w:val="00B01C99"/>
    <w:rsid w:val="00B01DD0"/>
    <w:rsid w:val="00B025F5"/>
    <w:rsid w:val="00B02DD6"/>
    <w:rsid w:val="00B02E0D"/>
    <w:rsid w:val="00B0349C"/>
    <w:rsid w:val="00B03B41"/>
    <w:rsid w:val="00B04A9E"/>
    <w:rsid w:val="00B04FA5"/>
    <w:rsid w:val="00B05143"/>
    <w:rsid w:val="00B0529A"/>
    <w:rsid w:val="00B0588D"/>
    <w:rsid w:val="00B05BB4"/>
    <w:rsid w:val="00B05CEF"/>
    <w:rsid w:val="00B060B9"/>
    <w:rsid w:val="00B0612E"/>
    <w:rsid w:val="00B06A5B"/>
    <w:rsid w:val="00B06D9C"/>
    <w:rsid w:val="00B071B4"/>
    <w:rsid w:val="00B101F1"/>
    <w:rsid w:val="00B111DB"/>
    <w:rsid w:val="00B1202D"/>
    <w:rsid w:val="00B1206A"/>
    <w:rsid w:val="00B12112"/>
    <w:rsid w:val="00B121F9"/>
    <w:rsid w:val="00B12C6A"/>
    <w:rsid w:val="00B12CF5"/>
    <w:rsid w:val="00B13812"/>
    <w:rsid w:val="00B14A50"/>
    <w:rsid w:val="00B152D7"/>
    <w:rsid w:val="00B16CF9"/>
    <w:rsid w:val="00B16FD9"/>
    <w:rsid w:val="00B17B7A"/>
    <w:rsid w:val="00B203CA"/>
    <w:rsid w:val="00B20D78"/>
    <w:rsid w:val="00B20D97"/>
    <w:rsid w:val="00B2124F"/>
    <w:rsid w:val="00B21808"/>
    <w:rsid w:val="00B220F4"/>
    <w:rsid w:val="00B23034"/>
    <w:rsid w:val="00B230A7"/>
    <w:rsid w:val="00B24B86"/>
    <w:rsid w:val="00B25BF9"/>
    <w:rsid w:val="00B26611"/>
    <w:rsid w:val="00B3154C"/>
    <w:rsid w:val="00B32A8D"/>
    <w:rsid w:val="00B32FEC"/>
    <w:rsid w:val="00B33608"/>
    <w:rsid w:val="00B34048"/>
    <w:rsid w:val="00B342ED"/>
    <w:rsid w:val="00B348D5"/>
    <w:rsid w:val="00B3544F"/>
    <w:rsid w:val="00B35580"/>
    <w:rsid w:val="00B36663"/>
    <w:rsid w:val="00B375DF"/>
    <w:rsid w:val="00B416A5"/>
    <w:rsid w:val="00B41961"/>
    <w:rsid w:val="00B41B36"/>
    <w:rsid w:val="00B4205C"/>
    <w:rsid w:val="00B43520"/>
    <w:rsid w:val="00B43AD0"/>
    <w:rsid w:val="00B43CB3"/>
    <w:rsid w:val="00B440F3"/>
    <w:rsid w:val="00B446EE"/>
    <w:rsid w:val="00B454DD"/>
    <w:rsid w:val="00B45A32"/>
    <w:rsid w:val="00B45E67"/>
    <w:rsid w:val="00B45FB3"/>
    <w:rsid w:val="00B45FC5"/>
    <w:rsid w:val="00B46171"/>
    <w:rsid w:val="00B46626"/>
    <w:rsid w:val="00B47A41"/>
    <w:rsid w:val="00B50C5C"/>
    <w:rsid w:val="00B50E40"/>
    <w:rsid w:val="00B50F65"/>
    <w:rsid w:val="00B51BEB"/>
    <w:rsid w:val="00B5220C"/>
    <w:rsid w:val="00B527F9"/>
    <w:rsid w:val="00B52F13"/>
    <w:rsid w:val="00B53119"/>
    <w:rsid w:val="00B56A44"/>
    <w:rsid w:val="00B56F00"/>
    <w:rsid w:val="00B56F8D"/>
    <w:rsid w:val="00B5726F"/>
    <w:rsid w:val="00B600B7"/>
    <w:rsid w:val="00B609E9"/>
    <w:rsid w:val="00B60DC1"/>
    <w:rsid w:val="00B60E78"/>
    <w:rsid w:val="00B6242C"/>
    <w:rsid w:val="00B6258F"/>
    <w:rsid w:val="00B628AD"/>
    <w:rsid w:val="00B62B73"/>
    <w:rsid w:val="00B63A0A"/>
    <w:rsid w:val="00B64224"/>
    <w:rsid w:val="00B64378"/>
    <w:rsid w:val="00B656C6"/>
    <w:rsid w:val="00B659BC"/>
    <w:rsid w:val="00B66C2A"/>
    <w:rsid w:val="00B672C2"/>
    <w:rsid w:val="00B67605"/>
    <w:rsid w:val="00B67A59"/>
    <w:rsid w:val="00B70C8D"/>
    <w:rsid w:val="00B71007"/>
    <w:rsid w:val="00B71762"/>
    <w:rsid w:val="00B72BBF"/>
    <w:rsid w:val="00B73C40"/>
    <w:rsid w:val="00B7468A"/>
    <w:rsid w:val="00B746BF"/>
    <w:rsid w:val="00B7513A"/>
    <w:rsid w:val="00B75219"/>
    <w:rsid w:val="00B75724"/>
    <w:rsid w:val="00B75766"/>
    <w:rsid w:val="00B75DBC"/>
    <w:rsid w:val="00B77B52"/>
    <w:rsid w:val="00B80457"/>
    <w:rsid w:val="00B8404C"/>
    <w:rsid w:val="00B842B4"/>
    <w:rsid w:val="00B842B5"/>
    <w:rsid w:val="00B84B82"/>
    <w:rsid w:val="00B84D36"/>
    <w:rsid w:val="00B852F4"/>
    <w:rsid w:val="00B85C0B"/>
    <w:rsid w:val="00B860FB"/>
    <w:rsid w:val="00B87399"/>
    <w:rsid w:val="00B87DE4"/>
    <w:rsid w:val="00B90232"/>
    <w:rsid w:val="00B904E9"/>
    <w:rsid w:val="00B9206B"/>
    <w:rsid w:val="00B92334"/>
    <w:rsid w:val="00B93CF0"/>
    <w:rsid w:val="00B93DBD"/>
    <w:rsid w:val="00B95C87"/>
    <w:rsid w:val="00B96215"/>
    <w:rsid w:val="00B963D6"/>
    <w:rsid w:val="00B97902"/>
    <w:rsid w:val="00B97ACE"/>
    <w:rsid w:val="00BA152D"/>
    <w:rsid w:val="00BA1EB9"/>
    <w:rsid w:val="00BA26A5"/>
    <w:rsid w:val="00BA29A2"/>
    <w:rsid w:val="00BA3491"/>
    <w:rsid w:val="00BA3A68"/>
    <w:rsid w:val="00BA3C9D"/>
    <w:rsid w:val="00BA43AD"/>
    <w:rsid w:val="00BA4691"/>
    <w:rsid w:val="00BA5768"/>
    <w:rsid w:val="00BA7152"/>
    <w:rsid w:val="00BA74BD"/>
    <w:rsid w:val="00BA7EF9"/>
    <w:rsid w:val="00BB0BDC"/>
    <w:rsid w:val="00BB1457"/>
    <w:rsid w:val="00BB15F3"/>
    <w:rsid w:val="00BB2633"/>
    <w:rsid w:val="00BB377D"/>
    <w:rsid w:val="00BB4562"/>
    <w:rsid w:val="00BB6517"/>
    <w:rsid w:val="00BB686F"/>
    <w:rsid w:val="00BB734F"/>
    <w:rsid w:val="00BB744B"/>
    <w:rsid w:val="00BB76F1"/>
    <w:rsid w:val="00BB7E6E"/>
    <w:rsid w:val="00BC03F8"/>
    <w:rsid w:val="00BC07A9"/>
    <w:rsid w:val="00BC0FB4"/>
    <w:rsid w:val="00BC10E9"/>
    <w:rsid w:val="00BC11AB"/>
    <w:rsid w:val="00BC34E1"/>
    <w:rsid w:val="00BC3C13"/>
    <w:rsid w:val="00BC5388"/>
    <w:rsid w:val="00BC5BB7"/>
    <w:rsid w:val="00BC6465"/>
    <w:rsid w:val="00BC7945"/>
    <w:rsid w:val="00BD0554"/>
    <w:rsid w:val="00BD07D0"/>
    <w:rsid w:val="00BD09BB"/>
    <w:rsid w:val="00BD1415"/>
    <w:rsid w:val="00BD172C"/>
    <w:rsid w:val="00BD1E7C"/>
    <w:rsid w:val="00BD206E"/>
    <w:rsid w:val="00BD258D"/>
    <w:rsid w:val="00BD273A"/>
    <w:rsid w:val="00BD2C10"/>
    <w:rsid w:val="00BD3B16"/>
    <w:rsid w:val="00BD3CAC"/>
    <w:rsid w:val="00BD42A3"/>
    <w:rsid w:val="00BD4833"/>
    <w:rsid w:val="00BD5486"/>
    <w:rsid w:val="00BD55FB"/>
    <w:rsid w:val="00BD6A3A"/>
    <w:rsid w:val="00BD6ECA"/>
    <w:rsid w:val="00BD7297"/>
    <w:rsid w:val="00BD749E"/>
    <w:rsid w:val="00BD771D"/>
    <w:rsid w:val="00BD7C87"/>
    <w:rsid w:val="00BE058D"/>
    <w:rsid w:val="00BE0F06"/>
    <w:rsid w:val="00BE13BC"/>
    <w:rsid w:val="00BE2452"/>
    <w:rsid w:val="00BE274B"/>
    <w:rsid w:val="00BE28BC"/>
    <w:rsid w:val="00BE303F"/>
    <w:rsid w:val="00BE397A"/>
    <w:rsid w:val="00BE3E49"/>
    <w:rsid w:val="00BE490A"/>
    <w:rsid w:val="00BE4E2A"/>
    <w:rsid w:val="00BE6FB0"/>
    <w:rsid w:val="00BE70DE"/>
    <w:rsid w:val="00BE7D6B"/>
    <w:rsid w:val="00BF1064"/>
    <w:rsid w:val="00BF11A5"/>
    <w:rsid w:val="00BF13D0"/>
    <w:rsid w:val="00BF1867"/>
    <w:rsid w:val="00BF19B2"/>
    <w:rsid w:val="00BF3145"/>
    <w:rsid w:val="00BF3D3C"/>
    <w:rsid w:val="00BF406A"/>
    <w:rsid w:val="00BF5E8A"/>
    <w:rsid w:val="00BF6474"/>
    <w:rsid w:val="00BF6A05"/>
    <w:rsid w:val="00BF6EE9"/>
    <w:rsid w:val="00BF75DF"/>
    <w:rsid w:val="00C0079B"/>
    <w:rsid w:val="00C00D2B"/>
    <w:rsid w:val="00C01188"/>
    <w:rsid w:val="00C01536"/>
    <w:rsid w:val="00C016F4"/>
    <w:rsid w:val="00C01E2C"/>
    <w:rsid w:val="00C0225F"/>
    <w:rsid w:val="00C02F46"/>
    <w:rsid w:val="00C03A64"/>
    <w:rsid w:val="00C03E41"/>
    <w:rsid w:val="00C04DD2"/>
    <w:rsid w:val="00C0564F"/>
    <w:rsid w:val="00C05B98"/>
    <w:rsid w:val="00C07B61"/>
    <w:rsid w:val="00C1071C"/>
    <w:rsid w:val="00C10825"/>
    <w:rsid w:val="00C108D2"/>
    <w:rsid w:val="00C1100D"/>
    <w:rsid w:val="00C11378"/>
    <w:rsid w:val="00C1171C"/>
    <w:rsid w:val="00C11DAB"/>
    <w:rsid w:val="00C12581"/>
    <w:rsid w:val="00C137AE"/>
    <w:rsid w:val="00C1389A"/>
    <w:rsid w:val="00C1390A"/>
    <w:rsid w:val="00C150B8"/>
    <w:rsid w:val="00C15389"/>
    <w:rsid w:val="00C15D91"/>
    <w:rsid w:val="00C16F53"/>
    <w:rsid w:val="00C17BA2"/>
    <w:rsid w:val="00C2018E"/>
    <w:rsid w:val="00C21111"/>
    <w:rsid w:val="00C220BC"/>
    <w:rsid w:val="00C22621"/>
    <w:rsid w:val="00C22B66"/>
    <w:rsid w:val="00C23F19"/>
    <w:rsid w:val="00C240AF"/>
    <w:rsid w:val="00C2586A"/>
    <w:rsid w:val="00C25DE4"/>
    <w:rsid w:val="00C26B0C"/>
    <w:rsid w:val="00C306CD"/>
    <w:rsid w:val="00C31513"/>
    <w:rsid w:val="00C31AF1"/>
    <w:rsid w:val="00C34F9F"/>
    <w:rsid w:val="00C350BD"/>
    <w:rsid w:val="00C3532F"/>
    <w:rsid w:val="00C354E2"/>
    <w:rsid w:val="00C36C9C"/>
    <w:rsid w:val="00C405C2"/>
    <w:rsid w:val="00C406A8"/>
    <w:rsid w:val="00C4261F"/>
    <w:rsid w:val="00C43C78"/>
    <w:rsid w:val="00C43CE8"/>
    <w:rsid w:val="00C44EEA"/>
    <w:rsid w:val="00C45EB8"/>
    <w:rsid w:val="00C463FD"/>
    <w:rsid w:val="00C46B35"/>
    <w:rsid w:val="00C47665"/>
    <w:rsid w:val="00C47D71"/>
    <w:rsid w:val="00C5143C"/>
    <w:rsid w:val="00C51A65"/>
    <w:rsid w:val="00C51D9D"/>
    <w:rsid w:val="00C52669"/>
    <w:rsid w:val="00C5363F"/>
    <w:rsid w:val="00C545E9"/>
    <w:rsid w:val="00C546D6"/>
    <w:rsid w:val="00C55509"/>
    <w:rsid w:val="00C5562C"/>
    <w:rsid w:val="00C57845"/>
    <w:rsid w:val="00C57B6C"/>
    <w:rsid w:val="00C622EC"/>
    <w:rsid w:val="00C6272D"/>
    <w:rsid w:val="00C62B42"/>
    <w:rsid w:val="00C62BBA"/>
    <w:rsid w:val="00C63138"/>
    <w:rsid w:val="00C6382A"/>
    <w:rsid w:val="00C63DD4"/>
    <w:rsid w:val="00C66233"/>
    <w:rsid w:val="00C66997"/>
    <w:rsid w:val="00C67C36"/>
    <w:rsid w:val="00C67F99"/>
    <w:rsid w:val="00C700E4"/>
    <w:rsid w:val="00C70FF5"/>
    <w:rsid w:val="00C7223A"/>
    <w:rsid w:val="00C72278"/>
    <w:rsid w:val="00C72902"/>
    <w:rsid w:val="00C72F9E"/>
    <w:rsid w:val="00C7313B"/>
    <w:rsid w:val="00C73EF9"/>
    <w:rsid w:val="00C741F4"/>
    <w:rsid w:val="00C74D7D"/>
    <w:rsid w:val="00C75326"/>
    <w:rsid w:val="00C753CD"/>
    <w:rsid w:val="00C755EA"/>
    <w:rsid w:val="00C75F05"/>
    <w:rsid w:val="00C76022"/>
    <w:rsid w:val="00C77227"/>
    <w:rsid w:val="00C7732F"/>
    <w:rsid w:val="00C80965"/>
    <w:rsid w:val="00C809D6"/>
    <w:rsid w:val="00C81984"/>
    <w:rsid w:val="00C81D8B"/>
    <w:rsid w:val="00C82046"/>
    <w:rsid w:val="00C832D3"/>
    <w:rsid w:val="00C83651"/>
    <w:rsid w:val="00C83F47"/>
    <w:rsid w:val="00C85D1D"/>
    <w:rsid w:val="00C862C0"/>
    <w:rsid w:val="00C86623"/>
    <w:rsid w:val="00C874CA"/>
    <w:rsid w:val="00C87A64"/>
    <w:rsid w:val="00C87D02"/>
    <w:rsid w:val="00C90091"/>
    <w:rsid w:val="00C916B1"/>
    <w:rsid w:val="00C916FC"/>
    <w:rsid w:val="00C918B0"/>
    <w:rsid w:val="00C91B63"/>
    <w:rsid w:val="00C924F4"/>
    <w:rsid w:val="00C929FA"/>
    <w:rsid w:val="00C941FF"/>
    <w:rsid w:val="00C94319"/>
    <w:rsid w:val="00C956B8"/>
    <w:rsid w:val="00C95BD3"/>
    <w:rsid w:val="00C95F73"/>
    <w:rsid w:val="00C961FF"/>
    <w:rsid w:val="00C97FD1"/>
    <w:rsid w:val="00CA18D3"/>
    <w:rsid w:val="00CA193C"/>
    <w:rsid w:val="00CA2080"/>
    <w:rsid w:val="00CA27EE"/>
    <w:rsid w:val="00CA28A5"/>
    <w:rsid w:val="00CA2F83"/>
    <w:rsid w:val="00CA30A1"/>
    <w:rsid w:val="00CA38F4"/>
    <w:rsid w:val="00CA40CF"/>
    <w:rsid w:val="00CA594A"/>
    <w:rsid w:val="00CA676F"/>
    <w:rsid w:val="00CA7055"/>
    <w:rsid w:val="00CA7B03"/>
    <w:rsid w:val="00CB01D7"/>
    <w:rsid w:val="00CB06D6"/>
    <w:rsid w:val="00CB2205"/>
    <w:rsid w:val="00CB353D"/>
    <w:rsid w:val="00CB3D3F"/>
    <w:rsid w:val="00CB554C"/>
    <w:rsid w:val="00CB6038"/>
    <w:rsid w:val="00CB6768"/>
    <w:rsid w:val="00CB67CA"/>
    <w:rsid w:val="00CB6DEB"/>
    <w:rsid w:val="00CB7085"/>
    <w:rsid w:val="00CC1192"/>
    <w:rsid w:val="00CC177E"/>
    <w:rsid w:val="00CC286C"/>
    <w:rsid w:val="00CC2E04"/>
    <w:rsid w:val="00CC3680"/>
    <w:rsid w:val="00CC38C8"/>
    <w:rsid w:val="00CC46ED"/>
    <w:rsid w:val="00CC4C06"/>
    <w:rsid w:val="00CC4F79"/>
    <w:rsid w:val="00CC522F"/>
    <w:rsid w:val="00CC58D6"/>
    <w:rsid w:val="00CC5942"/>
    <w:rsid w:val="00CC5DBB"/>
    <w:rsid w:val="00CC5E20"/>
    <w:rsid w:val="00CC6208"/>
    <w:rsid w:val="00CC6725"/>
    <w:rsid w:val="00CC6F4E"/>
    <w:rsid w:val="00CC749F"/>
    <w:rsid w:val="00CC788E"/>
    <w:rsid w:val="00CD03A0"/>
    <w:rsid w:val="00CD06EC"/>
    <w:rsid w:val="00CD09E4"/>
    <w:rsid w:val="00CD0BE6"/>
    <w:rsid w:val="00CD11C3"/>
    <w:rsid w:val="00CD1C43"/>
    <w:rsid w:val="00CD2517"/>
    <w:rsid w:val="00CD3D33"/>
    <w:rsid w:val="00CD60F2"/>
    <w:rsid w:val="00CD6B36"/>
    <w:rsid w:val="00CD6EE3"/>
    <w:rsid w:val="00CD75A8"/>
    <w:rsid w:val="00CD77AA"/>
    <w:rsid w:val="00CE06EB"/>
    <w:rsid w:val="00CE0DC3"/>
    <w:rsid w:val="00CE259B"/>
    <w:rsid w:val="00CE35D1"/>
    <w:rsid w:val="00CE3861"/>
    <w:rsid w:val="00CE4B33"/>
    <w:rsid w:val="00CE59CF"/>
    <w:rsid w:val="00CE59E2"/>
    <w:rsid w:val="00CE5A82"/>
    <w:rsid w:val="00CE5D1A"/>
    <w:rsid w:val="00CE67BB"/>
    <w:rsid w:val="00CE7144"/>
    <w:rsid w:val="00CE7831"/>
    <w:rsid w:val="00CE7F5D"/>
    <w:rsid w:val="00CF0863"/>
    <w:rsid w:val="00CF2716"/>
    <w:rsid w:val="00CF28F8"/>
    <w:rsid w:val="00CF2930"/>
    <w:rsid w:val="00CF2A36"/>
    <w:rsid w:val="00CF33E8"/>
    <w:rsid w:val="00CF3452"/>
    <w:rsid w:val="00CF46E6"/>
    <w:rsid w:val="00CF6310"/>
    <w:rsid w:val="00CF6E55"/>
    <w:rsid w:val="00CF6F35"/>
    <w:rsid w:val="00CF6FAC"/>
    <w:rsid w:val="00CF7270"/>
    <w:rsid w:val="00CF770D"/>
    <w:rsid w:val="00D00913"/>
    <w:rsid w:val="00D009E8"/>
    <w:rsid w:val="00D00C7E"/>
    <w:rsid w:val="00D018F6"/>
    <w:rsid w:val="00D01B21"/>
    <w:rsid w:val="00D02900"/>
    <w:rsid w:val="00D02B7A"/>
    <w:rsid w:val="00D048E2"/>
    <w:rsid w:val="00D04FD0"/>
    <w:rsid w:val="00D05A50"/>
    <w:rsid w:val="00D05E88"/>
    <w:rsid w:val="00D05EDA"/>
    <w:rsid w:val="00D06D71"/>
    <w:rsid w:val="00D10580"/>
    <w:rsid w:val="00D10B74"/>
    <w:rsid w:val="00D11782"/>
    <w:rsid w:val="00D11F47"/>
    <w:rsid w:val="00D122A5"/>
    <w:rsid w:val="00D12A2D"/>
    <w:rsid w:val="00D13200"/>
    <w:rsid w:val="00D139AE"/>
    <w:rsid w:val="00D13E0F"/>
    <w:rsid w:val="00D14227"/>
    <w:rsid w:val="00D14521"/>
    <w:rsid w:val="00D149EC"/>
    <w:rsid w:val="00D1541F"/>
    <w:rsid w:val="00D158ED"/>
    <w:rsid w:val="00D15AB1"/>
    <w:rsid w:val="00D161DD"/>
    <w:rsid w:val="00D175DB"/>
    <w:rsid w:val="00D1770F"/>
    <w:rsid w:val="00D20127"/>
    <w:rsid w:val="00D2018F"/>
    <w:rsid w:val="00D222A5"/>
    <w:rsid w:val="00D230F2"/>
    <w:rsid w:val="00D2332D"/>
    <w:rsid w:val="00D235A9"/>
    <w:rsid w:val="00D24254"/>
    <w:rsid w:val="00D25106"/>
    <w:rsid w:val="00D2557B"/>
    <w:rsid w:val="00D25AAA"/>
    <w:rsid w:val="00D26853"/>
    <w:rsid w:val="00D26C5A"/>
    <w:rsid w:val="00D27779"/>
    <w:rsid w:val="00D30E88"/>
    <w:rsid w:val="00D310C5"/>
    <w:rsid w:val="00D31D1C"/>
    <w:rsid w:val="00D321C4"/>
    <w:rsid w:val="00D32B89"/>
    <w:rsid w:val="00D32DC8"/>
    <w:rsid w:val="00D33E0E"/>
    <w:rsid w:val="00D348BA"/>
    <w:rsid w:val="00D3518D"/>
    <w:rsid w:val="00D35631"/>
    <w:rsid w:val="00D369B6"/>
    <w:rsid w:val="00D3756E"/>
    <w:rsid w:val="00D37D8D"/>
    <w:rsid w:val="00D37F6A"/>
    <w:rsid w:val="00D401AA"/>
    <w:rsid w:val="00D404A4"/>
    <w:rsid w:val="00D4080D"/>
    <w:rsid w:val="00D40BAC"/>
    <w:rsid w:val="00D40EBE"/>
    <w:rsid w:val="00D418E9"/>
    <w:rsid w:val="00D41981"/>
    <w:rsid w:val="00D41F99"/>
    <w:rsid w:val="00D43811"/>
    <w:rsid w:val="00D448B4"/>
    <w:rsid w:val="00D4517D"/>
    <w:rsid w:val="00D453ED"/>
    <w:rsid w:val="00D46377"/>
    <w:rsid w:val="00D466EE"/>
    <w:rsid w:val="00D46A87"/>
    <w:rsid w:val="00D470D7"/>
    <w:rsid w:val="00D505C9"/>
    <w:rsid w:val="00D509F1"/>
    <w:rsid w:val="00D519F4"/>
    <w:rsid w:val="00D526B5"/>
    <w:rsid w:val="00D52981"/>
    <w:rsid w:val="00D52E04"/>
    <w:rsid w:val="00D53963"/>
    <w:rsid w:val="00D53BB4"/>
    <w:rsid w:val="00D53FE4"/>
    <w:rsid w:val="00D55F62"/>
    <w:rsid w:val="00D56138"/>
    <w:rsid w:val="00D5650D"/>
    <w:rsid w:val="00D57C8D"/>
    <w:rsid w:val="00D6035D"/>
    <w:rsid w:val="00D6066D"/>
    <w:rsid w:val="00D60BC4"/>
    <w:rsid w:val="00D60E39"/>
    <w:rsid w:val="00D615AA"/>
    <w:rsid w:val="00D62F5B"/>
    <w:rsid w:val="00D643DD"/>
    <w:rsid w:val="00D64421"/>
    <w:rsid w:val="00D6456A"/>
    <w:rsid w:val="00D646AB"/>
    <w:rsid w:val="00D64DAF"/>
    <w:rsid w:val="00D65AAF"/>
    <w:rsid w:val="00D65F60"/>
    <w:rsid w:val="00D664D1"/>
    <w:rsid w:val="00D67591"/>
    <w:rsid w:val="00D677E8"/>
    <w:rsid w:val="00D70FBC"/>
    <w:rsid w:val="00D71F42"/>
    <w:rsid w:val="00D727CB"/>
    <w:rsid w:val="00D727D7"/>
    <w:rsid w:val="00D72DDE"/>
    <w:rsid w:val="00D732B6"/>
    <w:rsid w:val="00D73306"/>
    <w:rsid w:val="00D7497E"/>
    <w:rsid w:val="00D7580A"/>
    <w:rsid w:val="00D76615"/>
    <w:rsid w:val="00D767BD"/>
    <w:rsid w:val="00D77A42"/>
    <w:rsid w:val="00D80786"/>
    <w:rsid w:val="00D80DD1"/>
    <w:rsid w:val="00D81743"/>
    <w:rsid w:val="00D83300"/>
    <w:rsid w:val="00D84D60"/>
    <w:rsid w:val="00D8517F"/>
    <w:rsid w:val="00D85361"/>
    <w:rsid w:val="00D86D4B"/>
    <w:rsid w:val="00D87542"/>
    <w:rsid w:val="00D90192"/>
    <w:rsid w:val="00D9116B"/>
    <w:rsid w:val="00D91AF5"/>
    <w:rsid w:val="00D91C3C"/>
    <w:rsid w:val="00D91FA2"/>
    <w:rsid w:val="00D923A1"/>
    <w:rsid w:val="00D936E8"/>
    <w:rsid w:val="00D938AB"/>
    <w:rsid w:val="00D941EB"/>
    <w:rsid w:val="00D948CF"/>
    <w:rsid w:val="00D95388"/>
    <w:rsid w:val="00D962F0"/>
    <w:rsid w:val="00D970F5"/>
    <w:rsid w:val="00D9739B"/>
    <w:rsid w:val="00D976A4"/>
    <w:rsid w:val="00D9790F"/>
    <w:rsid w:val="00D97998"/>
    <w:rsid w:val="00DA09DE"/>
    <w:rsid w:val="00DA18F6"/>
    <w:rsid w:val="00DA1E41"/>
    <w:rsid w:val="00DA3AC6"/>
    <w:rsid w:val="00DA3AFF"/>
    <w:rsid w:val="00DA4613"/>
    <w:rsid w:val="00DA4E51"/>
    <w:rsid w:val="00DA5318"/>
    <w:rsid w:val="00DA646E"/>
    <w:rsid w:val="00DA6F38"/>
    <w:rsid w:val="00DA7904"/>
    <w:rsid w:val="00DA7AAC"/>
    <w:rsid w:val="00DA7FFC"/>
    <w:rsid w:val="00DB0286"/>
    <w:rsid w:val="00DB1115"/>
    <w:rsid w:val="00DB212F"/>
    <w:rsid w:val="00DB2A7F"/>
    <w:rsid w:val="00DB2D00"/>
    <w:rsid w:val="00DB322A"/>
    <w:rsid w:val="00DB3303"/>
    <w:rsid w:val="00DB37F3"/>
    <w:rsid w:val="00DB3E87"/>
    <w:rsid w:val="00DB5FD3"/>
    <w:rsid w:val="00DB616D"/>
    <w:rsid w:val="00DB61E0"/>
    <w:rsid w:val="00DB6619"/>
    <w:rsid w:val="00DB7BE1"/>
    <w:rsid w:val="00DC16DA"/>
    <w:rsid w:val="00DC1DC0"/>
    <w:rsid w:val="00DC236C"/>
    <w:rsid w:val="00DC2BC9"/>
    <w:rsid w:val="00DC3FD1"/>
    <w:rsid w:val="00DC4B55"/>
    <w:rsid w:val="00DC5510"/>
    <w:rsid w:val="00DC5B81"/>
    <w:rsid w:val="00DC644F"/>
    <w:rsid w:val="00DC75AB"/>
    <w:rsid w:val="00DC7F04"/>
    <w:rsid w:val="00DD0D67"/>
    <w:rsid w:val="00DD0DF9"/>
    <w:rsid w:val="00DD188C"/>
    <w:rsid w:val="00DD356B"/>
    <w:rsid w:val="00DD3879"/>
    <w:rsid w:val="00DD3AA7"/>
    <w:rsid w:val="00DD5130"/>
    <w:rsid w:val="00DD5882"/>
    <w:rsid w:val="00DD5FDA"/>
    <w:rsid w:val="00DD64BF"/>
    <w:rsid w:val="00DD7A8A"/>
    <w:rsid w:val="00DE04B2"/>
    <w:rsid w:val="00DE061F"/>
    <w:rsid w:val="00DE0DF8"/>
    <w:rsid w:val="00DE1034"/>
    <w:rsid w:val="00DE277E"/>
    <w:rsid w:val="00DE2E5B"/>
    <w:rsid w:val="00DE3A8E"/>
    <w:rsid w:val="00DE3AEE"/>
    <w:rsid w:val="00DE46F8"/>
    <w:rsid w:val="00DE48D7"/>
    <w:rsid w:val="00DE4D9B"/>
    <w:rsid w:val="00DE5B6F"/>
    <w:rsid w:val="00DE6710"/>
    <w:rsid w:val="00DE6739"/>
    <w:rsid w:val="00DE69DB"/>
    <w:rsid w:val="00DE7107"/>
    <w:rsid w:val="00DF0595"/>
    <w:rsid w:val="00DF1092"/>
    <w:rsid w:val="00DF21A4"/>
    <w:rsid w:val="00DF2592"/>
    <w:rsid w:val="00DF3548"/>
    <w:rsid w:val="00DF4AB1"/>
    <w:rsid w:val="00DF50B9"/>
    <w:rsid w:val="00DF5566"/>
    <w:rsid w:val="00DF58CF"/>
    <w:rsid w:val="00DF5AC6"/>
    <w:rsid w:val="00DF6002"/>
    <w:rsid w:val="00DF67D6"/>
    <w:rsid w:val="00DF6DD5"/>
    <w:rsid w:val="00DF73A6"/>
    <w:rsid w:val="00DF7714"/>
    <w:rsid w:val="00DF78FA"/>
    <w:rsid w:val="00E01972"/>
    <w:rsid w:val="00E01A2F"/>
    <w:rsid w:val="00E01FE0"/>
    <w:rsid w:val="00E02518"/>
    <w:rsid w:val="00E026E7"/>
    <w:rsid w:val="00E02CBD"/>
    <w:rsid w:val="00E035A8"/>
    <w:rsid w:val="00E0467F"/>
    <w:rsid w:val="00E05016"/>
    <w:rsid w:val="00E064CD"/>
    <w:rsid w:val="00E064E3"/>
    <w:rsid w:val="00E0675F"/>
    <w:rsid w:val="00E069E7"/>
    <w:rsid w:val="00E07568"/>
    <w:rsid w:val="00E07D24"/>
    <w:rsid w:val="00E106B2"/>
    <w:rsid w:val="00E10E15"/>
    <w:rsid w:val="00E116D0"/>
    <w:rsid w:val="00E11A90"/>
    <w:rsid w:val="00E1328B"/>
    <w:rsid w:val="00E13932"/>
    <w:rsid w:val="00E13C6B"/>
    <w:rsid w:val="00E13F5A"/>
    <w:rsid w:val="00E146E0"/>
    <w:rsid w:val="00E1522A"/>
    <w:rsid w:val="00E15CDF"/>
    <w:rsid w:val="00E15F7F"/>
    <w:rsid w:val="00E16299"/>
    <w:rsid w:val="00E17122"/>
    <w:rsid w:val="00E175BD"/>
    <w:rsid w:val="00E1779F"/>
    <w:rsid w:val="00E17BF7"/>
    <w:rsid w:val="00E214C4"/>
    <w:rsid w:val="00E2404B"/>
    <w:rsid w:val="00E249B1"/>
    <w:rsid w:val="00E2699A"/>
    <w:rsid w:val="00E2731E"/>
    <w:rsid w:val="00E275BA"/>
    <w:rsid w:val="00E30533"/>
    <w:rsid w:val="00E32E08"/>
    <w:rsid w:val="00E33614"/>
    <w:rsid w:val="00E33631"/>
    <w:rsid w:val="00E34BF9"/>
    <w:rsid w:val="00E350E0"/>
    <w:rsid w:val="00E36813"/>
    <w:rsid w:val="00E40077"/>
    <w:rsid w:val="00E40AE5"/>
    <w:rsid w:val="00E41002"/>
    <w:rsid w:val="00E41428"/>
    <w:rsid w:val="00E422AE"/>
    <w:rsid w:val="00E4323E"/>
    <w:rsid w:val="00E43679"/>
    <w:rsid w:val="00E43BB1"/>
    <w:rsid w:val="00E45795"/>
    <w:rsid w:val="00E45B00"/>
    <w:rsid w:val="00E4666A"/>
    <w:rsid w:val="00E4676F"/>
    <w:rsid w:val="00E46F23"/>
    <w:rsid w:val="00E471F9"/>
    <w:rsid w:val="00E4733B"/>
    <w:rsid w:val="00E4743A"/>
    <w:rsid w:val="00E50608"/>
    <w:rsid w:val="00E50A76"/>
    <w:rsid w:val="00E50EBC"/>
    <w:rsid w:val="00E5107D"/>
    <w:rsid w:val="00E51CFC"/>
    <w:rsid w:val="00E52502"/>
    <w:rsid w:val="00E52889"/>
    <w:rsid w:val="00E53037"/>
    <w:rsid w:val="00E54E4F"/>
    <w:rsid w:val="00E54E55"/>
    <w:rsid w:val="00E55859"/>
    <w:rsid w:val="00E55A3B"/>
    <w:rsid w:val="00E55E3E"/>
    <w:rsid w:val="00E5636C"/>
    <w:rsid w:val="00E575C0"/>
    <w:rsid w:val="00E60D1A"/>
    <w:rsid w:val="00E61A74"/>
    <w:rsid w:val="00E6201D"/>
    <w:rsid w:val="00E62332"/>
    <w:rsid w:val="00E6234D"/>
    <w:rsid w:val="00E627A8"/>
    <w:rsid w:val="00E628A4"/>
    <w:rsid w:val="00E62952"/>
    <w:rsid w:val="00E62DD9"/>
    <w:rsid w:val="00E65327"/>
    <w:rsid w:val="00E65B15"/>
    <w:rsid w:val="00E66E67"/>
    <w:rsid w:val="00E672C7"/>
    <w:rsid w:val="00E674C4"/>
    <w:rsid w:val="00E67B17"/>
    <w:rsid w:val="00E70124"/>
    <w:rsid w:val="00E7095A"/>
    <w:rsid w:val="00E71A25"/>
    <w:rsid w:val="00E71B5B"/>
    <w:rsid w:val="00E725C7"/>
    <w:rsid w:val="00E732C1"/>
    <w:rsid w:val="00E73BF2"/>
    <w:rsid w:val="00E73FD8"/>
    <w:rsid w:val="00E741D2"/>
    <w:rsid w:val="00E74D42"/>
    <w:rsid w:val="00E779E9"/>
    <w:rsid w:val="00E8032C"/>
    <w:rsid w:val="00E8111A"/>
    <w:rsid w:val="00E816F9"/>
    <w:rsid w:val="00E81A5B"/>
    <w:rsid w:val="00E83267"/>
    <w:rsid w:val="00E8347E"/>
    <w:rsid w:val="00E83D2E"/>
    <w:rsid w:val="00E85473"/>
    <w:rsid w:val="00E85D92"/>
    <w:rsid w:val="00E876AD"/>
    <w:rsid w:val="00E87A6D"/>
    <w:rsid w:val="00E92820"/>
    <w:rsid w:val="00E92A19"/>
    <w:rsid w:val="00E93381"/>
    <w:rsid w:val="00E93C0C"/>
    <w:rsid w:val="00E96215"/>
    <w:rsid w:val="00E97376"/>
    <w:rsid w:val="00EA0495"/>
    <w:rsid w:val="00EA091D"/>
    <w:rsid w:val="00EA1367"/>
    <w:rsid w:val="00EA2517"/>
    <w:rsid w:val="00EA3474"/>
    <w:rsid w:val="00EA3477"/>
    <w:rsid w:val="00EA3BBE"/>
    <w:rsid w:val="00EA3F43"/>
    <w:rsid w:val="00EA4BE3"/>
    <w:rsid w:val="00EA51A9"/>
    <w:rsid w:val="00EA56A6"/>
    <w:rsid w:val="00EA5F48"/>
    <w:rsid w:val="00EB0729"/>
    <w:rsid w:val="00EB0885"/>
    <w:rsid w:val="00EB219B"/>
    <w:rsid w:val="00EB28F0"/>
    <w:rsid w:val="00EB2ABA"/>
    <w:rsid w:val="00EB2FC1"/>
    <w:rsid w:val="00EB4B48"/>
    <w:rsid w:val="00EB5D66"/>
    <w:rsid w:val="00EB6054"/>
    <w:rsid w:val="00EB6086"/>
    <w:rsid w:val="00EB6291"/>
    <w:rsid w:val="00EB67DE"/>
    <w:rsid w:val="00EB6E6C"/>
    <w:rsid w:val="00EC0308"/>
    <w:rsid w:val="00EC05EC"/>
    <w:rsid w:val="00EC084E"/>
    <w:rsid w:val="00EC134F"/>
    <w:rsid w:val="00EC3EA5"/>
    <w:rsid w:val="00EC6850"/>
    <w:rsid w:val="00EC6DB5"/>
    <w:rsid w:val="00ED1D11"/>
    <w:rsid w:val="00ED21E7"/>
    <w:rsid w:val="00ED2EFB"/>
    <w:rsid w:val="00ED3212"/>
    <w:rsid w:val="00ED3C8C"/>
    <w:rsid w:val="00ED5302"/>
    <w:rsid w:val="00ED6187"/>
    <w:rsid w:val="00ED6888"/>
    <w:rsid w:val="00ED6B47"/>
    <w:rsid w:val="00ED728E"/>
    <w:rsid w:val="00ED7FD8"/>
    <w:rsid w:val="00EE02F5"/>
    <w:rsid w:val="00EE1894"/>
    <w:rsid w:val="00EE195A"/>
    <w:rsid w:val="00EE24A0"/>
    <w:rsid w:val="00EE28CB"/>
    <w:rsid w:val="00EE2BE3"/>
    <w:rsid w:val="00EE38CD"/>
    <w:rsid w:val="00EE3F0D"/>
    <w:rsid w:val="00EE4FFC"/>
    <w:rsid w:val="00EE5181"/>
    <w:rsid w:val="00EE5C29"/>
    <w:rsid w:val="00EE6041"/>
    <w:rsid w:val="00EE62FC"/>
    <w:rsid w:val="00EE7FF5"/>
    <w:rsid w:val="00EF01C9"/>
    <w:rsid w:val="00EF027F"/>
    <w:rsid w:val="00EF1786"/>
    <w:rsid w:val="00EF17D1"/>
    <w:rsid w:val="00EF1FA9"/>
    <w:rsid w:val="00EF2D53"/>
    <w:rsid w:val="00EF407B"/>
    <w:rsid w:val="00EF5833"/>
    <w:rsid w:val="00EF67FD"/>
    <w:rsid w:val="00EF6D45"/>
    <w:rsid w:val="00EF7F3B"/>
    <w:rsid w:val="00F00C12"/>
    <w:rsid w:val="00F01064"/>
    <w:rsid w:val="00F0145A"/>
    <w:rsid w:val="00F02792"/>
    <w:rsid w:val="00F02917"/>
    <w:rsid w:val="00F02D4A"/>
    <w:rsid w:val="00F03DBD"/>
    <w:rsid w:val="00F03DDC"/>
    <w:rsid w:val="00F04D3A"/>
    <w:rsid w:val="00F0616E"/>
    <w:rsid w:val="00F0632E"/>
    <w:rsid w:val="00F073D6"/>
    <w:rsid w:val="00F07723"/>
    <w:rsid w:val="00F078CF"/>
    <w:rsid w:val="00F07ECB"/>
    <w:rsid w:val="00F10460"/>
    <w:rsid w:val="00F10DA1"/>
    <w:rsid w:val="00F114D6"/>
    <w:rsid w:val="00F11E03"/>
    <w:rsid w:val="00F12888"/>
    <w:rsid w:val="00F129BA"/>
    <w:rsid w:val="00F129D9"/>
    <w:rsid w:val="00F12F5B"/>
    <w:rsid w:val="00F141F2"/>
    <w:rsid w:val="00F14E29"/>
    <w:rsid w:val="00F15341"/>
    <w:rsid w:val="00F15E3B"/>
    <w:rsid w:val="00F15F28"/>
    <w:rsid w:val="00F161AA"/>
    <w:rsid w:val="00F1636E"/>
    <w:rsid w:val="00F20404"/>
    <w:rsid w:val="00F20637"/>
    <w:rsid w:val="00F209D0"/>
    <w:rsid w:val="00F211D5"/>
    <w:rsid w:val="00F218F3"/>
    <w:rsid w:val="00F21A18"/>
    <w:rsid w:val="00F2320D"/>
    <w:rsid w:val="00F2353C"/>
    <w:rsid w:val="00F23AD0"/>
    <w:rsid w:val="00F23D70"/>
    <w:rsid w:val="00F249E2"/>
    <w:rsid w:val="00F25089"/>
    <w:rsid w:val="00F266B6"/>
    <w:rsid w:val="00F2759D"/>
    <w:rsid w:val="00F27646"/>
    <w:rsid w:val="00F305B5"/>
    <w:rsid w:val="00F31FFF"/>
    <w:rsid w:val="00F320D4"/>
    <w:rsid w:val="00F32C88"/>
    <w:rsid w:val="00F335D2"/>
    <w:rsid w:val="00F34A23"/>
    <w:rsid w:val="00F35599"/>
    <w:rsid w:val="00F35FB7"/>
    <w:rsid w:val="00F37F94"/>
    <w:rsid w:val="00F40950"/>
    <w:rsid w:val="00F40A52"/>
    <w:rsid w:val="00F40D1B"/>
    <w:rsid w:val="00F4153F"/>
    <w:rsid w:val="00F41682"/>
    <w:rsid w:val="00F41947"/>
    <w:rsid w:val="00F41F4B"/>
    <w:rsid w:val="00F4232A"/>
    <w:rsid w:val="00F44076"/>
    <w:rsid w:val="00F44374"/>
    <w:rsid w:val="00F4483A"/>
    <w:rsid w:val="00F44B22"/>
    <w:rsid w:val="00F45477"/>
    <w:rsid w:val="00F4578F"/>
    <w:rsid w:val="00F459D4"/>
    <w:rsid w:val="00F46193"/>
    <w:rsid w:val="00F46FE5"/>
    <w:rsid w:val="00F47050"/>
    <w:rsid w:val="00F47357"/>
    <w:rsid w:val="00F477EC"/>
    <w:rsid w:val="00F47F16"/>
    <w:rsid w:val="00F5006E"/>
    <w:rsid w:val="00F5017B"/>
    <w:rsid w:val="00F50937"/>
    <w:rsid w:val="00F520FD"/>
    <w:rsid w:val="00F524E6"/>
    <w:rsid w:val="00F5437B"/>
    <w:rsid w:val="00F55E13"/>
    <w:rsid w:val="00F560CB"/>
    <w:rsid w:val="00F5654C"/>
    <w:rsid w:val="00F569D1"/>
    <w:rsid w:val="00F56F1B"/>
    <w:rsid w:val="00F570FE"/>
    <w:rsid w:val="00F57317"/>
    <w:rsid w:val="00F57328"/>
    <w:rsid w:val="00F57394"/>
    <w:rsid w:val="00F609C9"/>
    <w:rsid w:val="00F6109E"/>
    <w:rsid w:val="00F618F0"/>
    <w:rsid w:val="00F62B2B"/>
    <w:rsid w:val="00F633F3"/>
    <w:rsid w:val="00F63BEF"/>
    <w:rsid w:val="00F63FAE"/>
    <w:rsid w:val="00F64376"/>
    <w:rsid w:val="00F651B5"/>
    <w:rsid w:val="00F6576C"/>
    <w:rsid w:val="00F65E2E"/>
    <w:rsid w:val="00F66ECE"/>
    <w:rsid w:val="00F67749"/>
    <w:rsid w:val="00F70F48"/>
    <w:rsid w:val="00F70FD5"/>
    <w:rsid w:val="00F718EC"/>
    <w:rsid w:val="00F71C14"/>
    <w:rsid w:val="00F721B0"/>
    <w:rsid w:val="00F723C5"/>
    <w:rsid w:val="00F72834"/>
    <w:rsid w:val="00F72B8D"/>
    <w:rsid w:val="00F72E0A"/>
    <w:rsid w:val="00F72F38"/>
    <w:rsid w:val="00F7341F"/>
    <w:rsid w:val="00F745CB"/>
    <w:rsid w:val="00F754B3"/>
    <w:rsid w:val="00F76823"/>
    <w:rsid w:val="00F76B8C"/>
    <w:rsid w:val="00F812EF"/>
    <w:rsid w:val="00F81812"/>
    <w:rsid w:val="00F81BAD"/>
    <w:rsid w:val="00F81DB2"/>
    <w:rsid w:val="00F82DFB"/>
    <w:rsid w:val="00F82E85"/>
    <w:rsid w:val="00F82EFA"/>
    <w:rsid w:val="00F82FAD"/>
    <w:rsid w:val="00F83152"/>
    <w:rsid w:val="00F8373E"/>
    <w:rsid w:val="00F84CDC"/>
    <w:rsid w:val="00F84D05"/>
    <w:rsid w:val="00F85CC5"/>
    <w:rsid w:val="00F866DA"/>
    <w:rsid w:val="00F879DC"/>
    <w:rsid w:val="00F87FAC"/>
    <w:rsid w:val="00F92317"/>
    <w:rsid w:val="00F9261C"/>
    <w:rsid w:val="00F92BCF"/>
    <w:rsid w:val="00F93612"/>
    <w:rsid w:val="00F95184"/>
    <w:rsid w:val="00F951D3"/>
    <w:rsid w:val="00F955CE"/>
    <w:rsid w:val="00F9580F"/>
    <w:rsid w:val="00F96811"/>
    <w:rsid w:val="00F96C1F"/>
    <w:rsid w:val="00F96E89"/>
    <w:rsid w:val="00F97968"/>
    <w:rsid w:val="00F97DA8"/>
    <w:rsid w:val="00FA0735"/>
    <w:rsid w:val="00FA1928"/>
    <w:rsid w:val="00FA2315"/>
    <w:rsid w:val="00FA2878"/>
    <w:rsid w:val="00FA2FB6"/>
    <w:rsid w:val="00FA5BD2"/>
    <w:rsid w:val="00FA6C8C"/>
    <w:rsid w:val="00FA6D3B"/>
    <w:rsid w:val="00FA703A"/>
    <w:rsid w:val="00FA721F"/>
    <w:rsid w:val="00FA731F"/>
    <w:rsid w:val="00FB0011"/>
    <w:rsid w:val="00FB220F"/>
    <w:rsid w:val="00FB2C88"/>
    <w:rsid w:val="00FB2D61"/>
    <w:rsid w:val="00FB49E8"/>
    <w:rsid w:val="00FB4ACD"/>
    <w:rsid w:val="00FB5328"/>
    <w:rsid w:val="00FB5358"/>
    <w:rsid w:val="00FB5D37"/>
    <w:rsid w:val="00FB5DAF"/>
    <w:rsid w:val="00FB6B8E"/>
    <w:rsid w:val="00FB6D6F"/>
    <w:rsid w:val="00FB6D74"/>
    <w:rsid w:val="00FB746B"/>
    <w:rsid w:val="00FC09C4"/>
    <w:rsid w:val="00FC0D16"/>
    <w:rsid w:val="00FC0F48"/>
    <w:rsid w:val="00FC1953"/>
    <w:rsid w:val="00FC2AC3"/>
    <w:rsid w:val="00FC2C9E"/>
    <w:rsid w:val="00FC2D9F"/>
    <w:rsid w:val="00FC38A9"/>
    <w:rsid w:val="00FC38DD"/>
    <w:rsid w:val="00FC4534"/>
    <w:rsid w:val="00FC4564"/>
    <w:rsid w:val="00FC665A"/>
    <w:rsid w:val="00FC6E58"/>
    <w:rsid w:val="00FD0EDD"/>
    <w:rsid w:val="00FD12C4"/>
    <w:rsid w:val="00FD13CF"/>
    <w:rsid w:val="00FD2468"/>
    <w:rsid w:val="00FD299F"/>
    <w:rsid w:val="00FD2BC6"/>
    <w:rsid w:val="00FD37F7"/>
    <w:rsid w:val="00FD47CA"/>
    <w:rsid w:val="00FD5480"/>
    <w:rsid w:val="00FD61D3"/>
    <w:rsid w:val="00FD61DF"/>
    <w:rsid w:val="00FD6673"/>
    <w:rsid w:val="00FD7240"/>
    <w:rsid w:val="00FD7BB3"/>
    <w:rsid w:val="00FD7D68"/>
    <w:rsid w:val="00FE01F6"/>
    <w:rsid w:val="00FE0461"/>
    <w:rsid w:val="00FE0861"/>
    <w:rsid w:val="00FE1141"/>
    <w:rsid w:val="00FE17E0"/>
    <w:rsid w:val="00FE25C2"/>
    <w:rsid w:val="00FE2FA4"/>
    <w:rsid w:val="00FE37A8"/>
    <w:rsid w:val="00FE3A2E"/>
    <w:rsid w:val="00FE422D"/>
    <w:rsid w:val="00FE46C2"/>
    <w:rsid w:val="00FE4787"/>
    <w:rsid w:val="00FE491E"/>
    <w:rsid w:val="00FE4C6A"/>
    <w:rsid w:val="00FE50C6"/>
    <w:rsid w:val="00FE5187"/>
    <w:rsid w:val="00FE62F7"/>
    <w:rsid w:val="00FE676B"/>
    <w:rsid w:val="00FE7462"/>
    <w:rsid w:val="00FF07AB"/>
    <w:rsid w:val="00FF0832"/>
    <w:rsid w:val="00FF0847"/>
    <w:rsid w:val="00FF0D15"/>
    <w:rsid w:val="00FF2607"/>
    <w:rsid w:val="00FF2879"/>
    <w:rsid w:val="00FF32B4"/>
    <w:rsid w:val="00FF4441"/>
    <w:rsid w:val="00FF4567"/>
    <w:rsid w:val="00FF47F0"/>
    <w:rsid w:val="00FF4AA8"/>
    <w:rsid w:val="00FF5DCD"/>
    <w:rsid w:val="00FF603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EAA3"/>
  <w15:chartTrackingRefBased/>
  <w15:docId w15:val="{51262095-B6BC-5E43-AC37-D0DF670A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A70"/>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726F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A0495"/>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Znak,Tekst przypisu"/>
    <w:basedOn w:val="Normal"/>
    <w:link w:val="NotedebasdepageCar"/>
    <w:uiPriority w:val="99"/>
    <w:unhideWhenUsed/>
    <w:qFormat/>
    <w:rsid w:val="00B77B52"/>
    <w:rPr>
      <w:sz w:val="20"/>
      <w:szCs w:val="20"/>
    </w:rPr>
  </w:style>
  <w:style w:type="character" w:customStyle="1" w:styleId="NotedebasdepageCar">
    <w:name w:val="Note de bas de page Car"/>
    <w:aliases w:val="Znak Car,Tekst przypisu Car"/>
    <w:basedOn w:val="Policepardfaut"/>
    <w:link w:val="Notedebasdepage"/>
    <w:uiPriority w:val="99"/>
    <w:rsid w:val="00B77B52"/>
    <w:rPr>
      <w:sz w:val="20"/>
      <w:szCs w:val="20"/>
    </w:rPr>
  </w:style>
  <w:style w:type="character" w:styleId="Appelnotedebasdep">
    <w:name w:val="footnote reference"/>
    <w:basedOn w:val="Policepardfaut"/>
    <w:uiPriority w:val="99"/>
    <w:unhideWhenUsed/>
    <w:qFormat/>
    <w:rsid w:val="00B77B52"/>
    <w:rPr>
      <w:vertAlign w:val="superscript"/>
    </w:rPr>
  </w:style>
  <w:style w:type="character" w:customStyle="1" w:styleId="Titre2Car">
    <w:name w:val="Titre 2 Car"/>
    <w:basedOn w:val="Policepardfaut"/>
    <w:link w:val="Titre2"/>
    <w:uiPriority w:val="9"/>
    <w:rsid w:val="00EA0495"/>
    <w:rPr>
      <w:rFonts w:ascii="Times New Roman" w:eastAsia="Times New Roman" w:hAnsi="Times New Roman" w:cs="Times New Roman"/>
      <w:b/>
      <w:bCs/>
      <w:sz w:val="36"/>
      <w:szCs w:val="36"/>
      <w:lang w:eastAsia="fr-FR"/>
    </w:rPr>
  </w:style>
  <w:style w:type="character" w:customStyle="1" w:styleId="apple-converted-space">
    <w:name w:val="apple-converted-space"/>
    <w:basedOn w:val="Policepardfaut"/>
    <w:rsid w:val="00EA0495"/>
  </w:style>
  <w:style w:type="character" w:styleId="lev">
    <w:name w:val="Strong"/>
    <w:basedOn w:val="Policepardfaut"/>
    <w:uiPriority w:val="22"/>
    <w:qFormat/>
    <w:rsid w:val="00FF6032"/>
    <w:rPr>
      <w:b/>
      <w:bCs/>
    </w:rPr>
  </w:style>
  <w:style w:type="paragraph" w:styleId="NormalWeb">
    <w:name w:val="Normal (Web)"/>
    <w:basedOn w:val="Normal"/>
    <w:uiPriority w:val="99"/>
    <w:unhideWhenUsed/>
    <w:rsid w:val="00387C4A"/>
    <w:pPr>
      <w:spacing w:before="100" w:beforeAutospacing="1" w:after="100" w:afterAutospacing="1"/>
    </w:pPr>
  </w:style>
  <w:style w:type="paragraph" w:styleId="Sansinterligne">
    <w:name w:val="No Spacing"/>
    <w:uiPriority w:val="1"/>
    <w:qFormat/>
    <w:rsid w:val="003F2548"/>
    <w:pPr>
      <w:spacing w:line="276" w:lineRule="auto"/>
      <w:jc w:val="both"/>
    </w:pPr>
    <w:rPr>
      <w:rFonts w:ascii="Times New Roman" w:eastAsiaTheme="minorEastAsia" w:hAnsi="Times New Roman" w:cs="Times New Roman"/>
      <w:lang w:val="fr-FR"/>
    </w:rPr>
  </w:style>
  <w:style w:type="paragraph" w:styleId="Paragraphedeliste">
    <w:name w:val="List Paragraph"/>
    <w:basedOn w:val="Normal"/>
    <w:uiPriority w:val="34"/>
    <w:qFormat/>
    <w:rsid w:val="003A6D9E"/>
    <w:pPr>
      <w:ind w:left="720"/>
      <w:contextualSpacing/>
    </w:pPr>
  </w:style>
  <w:style w:type="character" w:customStyle="1" w:styleId="CORPUSanyCharacter">
    <w:name w:val="CORPUS_any Character"/>
    <w:rsid w:val="006807AA"/>
    <w:rPr>
      <w:rFonts w:ascii="Arial" w:eastAsia="Arial" w:hAnsi="Arial" w:cs="Arial"/>
      <w:color w:val="1B1B1B"/>
    </w:rPr>
  </w:style>
  <w:style w:type="paragraph" w:customStyle="1" w:styleId="CORPUSany">
    <w:name w:val="CORPUS_any"/>
    <w:basedOn w:val="Normal"/>
    <w:rsid w:val="00C63DD4"/>
    <w:pPr>
      <w:jc w:val="both"/>
    </w:pPr>
    <w:rPr>
      <w:rFonts w:ascii="Arial" w:eastAsia="Arial" w:hAnsi="Arial" w:cs="Arial"/>
      <w:color w:val="1B1B1B"/>
    </w:rPr>
  </w:style>
  <w:style w:type="character" w:customStyle="1" w:styleId="link-tooltip">
    <w:name w:val="link-tooltip"/>
    <w:basedOn w:val="Policepardfaut"/>
    <w:rsid w:val="00A22BEC"/>
  </w:style>
  <w:style w:type="paragraph" w:customStyle="1" w:styleId="jtltexte">
    <w:name w:val="jtl_texte"/>
    <w:basedOn w:val="Normal"/>
    <w:rsid w:val="0067785B"/>
    <w:pPr>
      <w:spacing w:before="100" w:beforeAutospacing="1" w:after="100" w:afterAutospacing="1"/>
    </w:pPr>
  </w:style>
  <w:style w:type="character" w:customStyle="1" w:styleId="highlightdoc">
    <w:name w:val="highlightdoc"/>
    <w:basedOn w:val="Policepardfaut"/>
    <w:rsid w:val="0067785B"/>
  </w:style>
  <w:style w:type="character" w:customStyle="1" w:styleId="Titre1Car">
    <w:name w:val="Titre 1 Car"/>
    <w:basedOn w:val="Policepardfaut"/>
    <w:link w:val="Titre1"/>
    <w:uiPriority w:val="9"/>
    <w:rsid w:val="00726F57"/>
    <w:rPr>
      <w:rFonts w:asciiTheme="majorHAnsi" w:eastAsiaTheme="majorEastAsia" w:hAnsiTheme="majorHAnsi" w:cstheme="majorBidi"/>
      <w:color w:val="2F5496" w:themeColor="accent1" w:themeShade="BF"/>
      <w:sz w:val="32"/>
      <w:szCs w:val="32"/>
    </w:rPr>
  </w:style>
  <w:style w:type="character" w:customStyle="1" w:styleId="small-caps">
    <w:name w:val="small-caps"/>
    <w:basedOn w:val="Policepardfaut"/>
    <w:rsid w:val="004927E8"/>
  </w:style>
  <w:style w:type="paragraph" w:customStyle="1" w:styleId="richtextp">
    <w:name w:val="richtext_p"/>
    <w:basedOn w:val="Normal"/>
    <w:rsid w:val="005F128D"/>
    <w:pPr>
      <w:spacing w:before="100" w:beforeAutospacing="1" w:after="100" w:afterAutospacing="1"/>
    </w:pPr>
  </w:style>
  <w:style w:type="character" w:styleId="Lienhypertexte">
    <w:name w:val="Hyperlink"/>
    <w:basedOn w:val="Policepardfaut"/>
    <w:uiPriority w:val="99"/>
    <w:unhideWhenUsed/>
    <w:rsid w:val="00E30533"/>
    <w:rPr>
      <w:color w:val="0563C1" w:themeColor="hyperlink"/>
      <w:u w:val="single"/>
    </w:rPr>
  </w:style>
  <w:style w:type="paragraph" w:customStyle="1" w:styleId="docContentchronTITRE">
    <w:name w:val="docContent_chronTITRE"/>
    <w:basedOn w:val="Normal"/>
    <w:rsid w:val="00B659BC"/>
    <w:rPr>
      <w:b/>
      <w:bCs/>
      <w:color w:val="BB1126"/>
      <w:sz w:val="26"/>
      <w:szCs w:val="26"/>
    </w:rPr>
  </w:style>
  <w:style w:type="character" w:customStyle="1" w:styleId="hl">
    <w:name w:val="hl"/>
    <w:basedOn w:val="Policepardfaut"/>
    <w:rsid w:val="006F06DB"/>
  </w:style>
  <w:style w:type="paragraph" w:styleId="Corpsdetexte">
    <w:name w:val="Body Text"/>
    <w:basedOn w:val="Normal"/>
    <w:link w:val="CorpsdetexteCar"/>
    <w:uiPriority w:val="1"/>
    <w:unhideWhenUsed/>
    <w:qFormat/>
    <w:rsid w:val="006E53C0"/>
    <w:pPr>
      <w:spacing w:after="120"/>
    </w:pPr>
    <w:rPr>
      <w:rFonts w:asciiTheme="minorHAnsi" w:eastAsiaTheme="minorEastAsia" w:hAnsiTheme="minorHAnsi" w:cstheme="minorBidi"/>
      <w:lang w:val="en-US" w:eastAsia="en-US"/>
    </w:rPr>
  </w:style>
  <w:style w:type="character" w:customStyle="1" w:styleId="CorpsdetexteCar">
    <w:name w:val="Corps de texte Car"/>
    <w:basedOn w:val="Policepardfaut"/>
    <w:link w:val="Corpsdetexte"/>
    <w:uiPriority w:val="1"/>
    <w:rsid w:val="006E53C0"/>
    <w:rPr>
      <w:rFonts w:eastAsiaTheme="minorEastAsia"/>
      <w:lang w:val="en-US"/>
    </w:rPr>
  </w:style>
  <w:style w:type="character" w:customStyle="1" w:styleId="docContentdivFullMarge">
    <w:name w:val="docContent_divFullMarge"/>
    <w:basedOn w:val="Policepardfaut"/>
    <w:rsid w:val="00F41947"/>
  </w:style>
  <w:style w:type="character" w:styleId="Lienhypertextesuivivisit">
    <w:name w:val="FollowedHyperlink"/>
    <w:basedOn w:val="Policepardfaut"/>
    <w:uiPriority w:val="99"/>
    <w:semiHidden/>
    <w:unhideWhenUsed/>
    <w:rsid w:val="00364C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0843">
      <w:bodyDiv w:val="1"/>
      <w:marLeft w:val="0"/>
      <w:marRight w:val="0"/>
      <w:marTop w:val="0"/>
      <w:marBottom w:val="0"/>
      <w:divBdr>
        <w:top w:val="none" w:sz="0" w:space="0" w:color="auto"/>
        <w:left w:val="none" w:sz="0" w:space="0" w:color="auto"/>
        <w:bottom w:val="none" w:sz="0" w:space="0" w:color="auto"/>
        <w:right w:val="none" w:sz="0" w:space="0" w:color="auto"/>
      </w:divBdr>
    </w:div>
    <w:div w:id="128085824">
      <w:bodyDiv w:val="1"/>
      <w:marLeft w:val="0"/>
      <w:marRight w:val="0"/>
      <w:marTop w:val="0"/>
      <w:marBottom w:val="0"/>
      <w:divBdr>
        <w:top w:val="none" w:sz="0" w:space="0" w:color="auto"/>
        <w:left w:val="none" w:sz="0" w:space="0" w:color="auto"/>
        <w:bottom w:val="none" w:sz="0" w:space="0" w:color="auto"/>
        <w:right w:val="none" w:sz="0" w:space="0" w:color="auto"/>
      </w:divBdr>
    </w:div>
    <w:div w:id="168716183">
      <w:bodyDiv w:val="1"/>
      <w:marLeft w:val="0"/>
      <w:marRight w:val="0"/>
      <w:marTop w:val="0"/>
      <w:marBottom w:val="0"/>
      <w:divBdr>
        <w:top w:val="none" w:sz="0" w:space="0" w:color="auto"/>
        <w:left w:val="none" w:sz="0" w:space="0" w:color="auto"/>
        <w:bottom w:val="none" w:sz="0" w:space="0" w:color="auto"/>
        <w:right w:val="none" w:sz="0" w:space="0" w:color="auto"/>
      </w:divBdr>
      <w:divsChild>
        <w:div w:id="722677884">
          <w:marLeft w:val="0"/>
          <w:marRight w:val="0"/>
          <w:marTop w:val="0"/>
          <w:marBottom w:val="0"/>
          <w:divBdr>
            <w:top w:val="none" w:sz="0" w:space="0" w:color="auto"/>
            <w:left w:val="none" w:sz="0" w:space="0" w:color="auto"/>
            <w:bottom w:val="none" w:sz="0" w:space="0" w:color="auto"/>
            <w:right w:val="none" w:sz="0" w:space="0" w:color="auto"/>
          </w:divBdr>
          <w:divsChild>
            <w:div w:id="1367485778">
              <w:marLeft w:val="0"/>
              <w:marRight w:val="0"/>
              <w:marTop w:val="0"/>
              <w:marBottom w:val="0"/>
              <w:divBdr>
                <w:top w:val="none" w:sz="0" w:space="0" w:color="auto"/>
                <w:left w:val="none" w:sz="0" w:space="0" w:color="auto"/>
                <w:bottom w:val="none" w:sz="0" w:space="0" w:color="auto"/>
                <w:right w:val="none" w:sz="0" w:space="0" w:color="auto"/>
              </w:divBdr>
              <w:divsChild>
                <w:div w:id="1957372902">
                  <w:marLeft w:val="0"/>
                  <w:marRight w:val="0"/>
                  <w:marTop w:val="0"/>
                  <w:marBottom w:val="0"/>
                  <w:divBdr>
                    <w:top w:val="none" w:sz="0" w:space="0" w:color="auto"/>
                    <w:left w:val="none" w:sz="0" w:space="0" w:color="auto"/>
                    <w:bottom w:val="none" w:sz="0" w:space="0" w:color="auto"/>
                    <w:right w:val="none" w:sz="0" w:space="0" w:color="auto"/>
                  </w:divBdr>
                </w:div>
              </w:divsChild>
            </w:div>
            <w:div w:id="238759316">
              <w:marLeft w:val="0"/>
              <w:marRight w:val="0"/>
              <w:marTop w:val="0"/>
              <w:marBottom w:val="0"/>
              <w:divBdr>
                <w:top w:val="none" w:sz="0" w:space="0" w:color="auto"/>
                <w:left w:val="none" w:sz="0" w:space="0" w:color="auto"/>
                <w:bottom w:val="none" w:sz="0" w:space="0" w:color="auto"/>
                <w:right w:val="none" w:sz="0" w:space="0" w:color="auto"/>
              </w:divBdr>
              <w:divsChild>
                <w:div w:id="73682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29162">
      <w:bodyDiv w:val="1"/>
      <w:marLeft w:val="0"/>
      <w:marRight w:val="0"/>
      <w:marTop w:val="0"/>
      <w:marBottom w:val="0"/>
      <w:divBdr>
        <w:top w:val="none" w:sz="0" w:space="0" w:color="auto"/>
        <w:left w:val="none" w:sz="0" w:space="0" w:color="auto"/>
        <w:bottom w:val="none" w:sz="0" w:space="0" w:color="auto"/>
        <w:right w:val="none" w:sz="0" w:space="0" w:color="auto"/>
      </w:divBdr>
    </w:div>
    <w:div w:id="271131017">
      <w:bodyDiv w:val="1"/>
      <w:marLeft w:val="0"/>
      <w:marRight w:val="0"/>
      <w:marTop w:val="0"/>
      <w:marBottom w:val="0"/>
      <w:divBdr>
        <w:top w:val="none" w:sz="0" w:space="0" w:color="auto"/>
        <w:left w:val="none" w:sz="0" w:space="0" w:color="auto"/>
        <w:bottom w:val="none" w:sz="0" w:space="0" w:color="auto"/>
        <w:right w:val="none" w:sz="0" w:space="0" w:color="auto"/>
      </w:divBdr>
    </w:div>
    <w:div w:id="337386787">
      <w:bodyDiv w:val="1"/>
      <w:marLeft w:val="0"/>
      <w:marRight w:val="0"/>
      <w:marTop w:val="0"/>
      <w:marBottom w:val="0"/>
      <w:divBdr>
        <w:top w:val="none" w:sz="0" w:space="0" w:color="auto"/>
        <w:left w:val="none" w:sz="0" w:space="0" w:color="auto"/>
        <w:bottom w:val="none" w:sz="0" w:space="0" w:color="auto"/>
        <w:right w:val="none" w:sz="0" w:space="0" w:color="auto"/>
      </w:divBdr>
      <w:divsChild>
        <w:div w:id="830102625">
          <w:marLeft w:val="0"/>
          <w:marRight w:val="0"/>
          <w:marTop w:val="0"/>
          <w:marBottom w:val="0"/>
          <w:divBdr>
            <w:top w:val="none" w:sz="0" w:space="0" w:color="auto"/>
            <w:left w:val="none" w:sz="0" w:space="0" w:color="auto"/>
            <w:bottom w:val="none" w:sz="0" w:space="0" w:color="auto"/>
            <w:right w:val="none" w:sz="0" w:space="0" w:color="auto"/>
          </w:divBdr>
          <w:divsChild>
            <w:div w:id="655958583">
              <w:marLeft w:val="0"/>
              <w:marRight w:val="0"/>
              <w:marTop w:val="0"/>
              <w:marBottom w:val="0"/>
              <w:divBdr>
                <w:top w:val="none" w:sz="0" w:space="0" w:color="auto"/>
                <w:left w:val="none" w:sz="0" w:space="0" w:color="auto"/>
                <w:bottom w:val="none" w:sz="0" w:space="0" w:color="auto"/>
                <w:right w:val="none" w:sz="0" w:space="0" w:color="auto"/>
              </w:divBdr>
              <w:divsChild>
                <w:div w:id="1148084735">
                  <w:marLeft w:val="0"/>
                  <w:marRight w:val="0"/>
                  <w:marTop w:val="0"/>
                  <w:marBottom w:val="0"/>
                  <w:divBdr>
                    <w:top w:val="none" w:sz="0" w:space="0" w:color="auto"/>
                    <w:left w:val="none" w:sz="0" w:space="0" w:color="auto"/>
                    <w:bottom w:val="none" w:sz="0" w:space="0" w:color="auto"/>
                    <w:right w:val="none" w:sz="0" w:space="0" w:color="auto"/>
                  </w:divBdr>
                </w:div>
              </w:divsChild>
            </w:div>
            <w:div w:id="1425107581">
              <w:marLeft w:val="0"/>
              <w:marRight w:val="0"/>
              <w:marTop w:val="0"/>
              <w:marBottom w:val="0"/>
              <w:divBdr>
                <w:top w:val="none" w:sz="0" w:space="0" w:color="auto"/>
                <w:left w:val="none" w:sz="0" w:space="0" w:color="auto"/>
                <w:bottom w:val="none" w:sz="0" w:space="0" w:color="auto"/>
                <w:right w:val="none" w:sz="0" w:space="0" w:color="auto"/>
              </w:divBdr>
              <w:divsChild>
                <w:div w:id="974990411">
                  <w:marLeft w:val="0"/>
                  <w:marRight w:val="0"/>
                  <w:marTop w:val="0"/>
                  <w:marBottom w:val="0"/>
                  <w:divBdr>
                    <w:top w:val="none" w:sz="0" w:space="0" w:color="auto"/>
                    <w:left w:val="none" w:sz="0" w:space="0" w:color="auto"/>
                    <w:bottom w:val="none" w:sz="0" w:space="0" w:color="auto"/>
                    <w:right w:val="none" w:sz="0" w:space="0" w:color="auto"/>
                  </w:divBdr>
                </w:div>
              </w:divsChild>
            </w:div>
            <w:div w:id="1952009443">
              <w:marLeft w:val="0"/>
              <w:marRight w:val="0"/>
              <w:marTop w:val="0"/>
              <w:marBottom w:val="0"/>
              <w:divBdr>
                <w:top w:val="none" w:sz="0" w:space="0" w:color="auto"/>
                <w:left w:val="none" w:sz="0" w:space="0" w:color="auto"/>
                <w:bottom w:val="none" w:sz="0" w:space="0" w:color="auto"/>
                <w:right w:val="none" w:sz="0" w:space="0" w:color="auto"/>
              </w:divBdr>
              <w:divsChild>
                <w:div w:id="14095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3330">
          <w:marLeft w:val="0"/>
          <w:marRight w:val="0"/>
          <w:marTop w:val="0"/>
          <w:marBottom w:val="0"/>
          <w:divBdr>
            <w:top w:val="none" w:sz="0" w:space="0" w:color="auto"/>
            <w:left w:val="none" w:sz="0" w:space="0" w:color="auto"/>
            <w:bottom w:val="none" w:sz="0" w:space="0" w:color="auto"/>
            <w:right w:val="none" w:sz="0" w:space="0" w:color="auto"/>
          </w:divBdr>
          <w:divsChild>
            <w:div w:id="313218315">
              <w:marLeft w:val="0"/>
              <w:marRight w:val="0"/>
              <w:marTop w:val="0"/>
              <w:marBottom w:val="0"/>
              <w:divBdr>
                <w:top w:val="none" w:sz="0" w:space="0" w:color="auto"/>
                <w:left w:val="none" w:sz="0" w:space="0" w:color="auto"/>
                <w:bottom w:val="none" w:sz="0" w:space="0" w:color="auto"/>
                <w:right w:val="none" w:sz="0" w:space="0" w:color="auto"/>
              </w:divBdr>
              <w:divsChild>
                <w:div w:id="71782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2895">
      <w:bodyDiv w:val="1"/>
      <w:marLeft w:val="0"/>
      <w:marRight w:val="0"/>
      <w:marTop w:val="0"/>
      <w:marBottom w:val="0"/>
      <w:divBdr>
        <w:top w:val="none" w:sz="0" w:space="0" w:color="auto"/>
        <w:left w:val="none" w:sz="0" w:space="0" w:color="auto"/>
        <w:bottom w:val="none" w:sz="0" w:space="0" w:color="auto"/>
        <w:right w:val="none" w:sz="0" w:space="0" w:color="auto"/>
      </w:divBdr>
    </w:div>
    <w:div w:id="342125713">
      <w:bodyDiv w:val="1"/>
      <w:marLeft w:val="0"/>
      <w:marRight w:val="0"/>
      <w:marTop w:val="0"/>
      <w:marBottom w:val="0"/>
      <w:divBdr>
        <w:top w:val="none" w:sz="0" w:space="0" w:color="auto"/>
        <w:left w:val="none" w:sz="0" w:space="0" w:color="auto"/>
        <w:bottom w:val="none" w:sz="0" w:space="0" w:color="auto"/>
        <w:right w:val="none" w:sz="0" w:space="0" w:color="auto"/>
      </w:divBdr>
    </w:div>
    <w:div w:id="347802113">
      <w:bodyDiv w:val="1"/>
      <w:marLeft w:val="0"/>
      <w:marRight w:val="0"/>
      <w:marTop w:val="0"/>
      <w:marBottom w:val="0"/>
      <w:divBdr>
        <w:top w:val="none" w:sz="0" w:space="0" w:color="auto"/>
        <w:left w:val="none" w:sz="0" w:space="0" w:color="auto"/>
        <w:bottom w:val="none" w:sz="0" w:space="0" w:color="auto"/>
        <w:right w:val="none" w:sz="0" w:space="0" w:color="auto"/>
      </w:divBdr>
      <w:divsChild>
        <w:div w:id="407659124">
          <w:marLeft w:val="0"/>
          <w:marRight w:val="0"/>
          <w:marTop w:val="0"/>
          <w:marBottom w:val="0"/>
          <w:divBdr>
            <w:top w:val="none" w:sz="0" w:space="0" w:color="auto"/>
            <w:left w:val="none" w:sz="0" w:space="0" w:color="auto"/>
            <w:bottom w:val="none" w:sz="0" w:space="0" w:color="auto"/>
            <w:right w:val="none" w:sz="0" w:space="0" w:color="auto"/>
          </w:divBdr>
          <w:divsChild>
            <w:div w:id="1254244624">
              <w:marLeft w:val="0"/>
              <w:marRight w:val="0"/>
              <w:marTop w:val="0"/>
              <w:marBottom w:val="0"/>
              <w:divBdr>
                <w:top w:val="none" w:sz="0" w:space="0" w:color="auto"/>
                <w:left w:val="none" w:sz="0" w:space="0" w:color="auto"/>
                <w:bottom w:val="none" w:sz="0" w:space="0" w:color="auto"/>
                <w:right w:val="none" w:sz="0" w:space="0" w:color="auto"/>
              </w:divBdr>
              <w:divsChild>
                <w:div w:id="4574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48939">
      <w:bodyDiv w:val="1"/>
      <w:marLeft w:val="0"/>
      <w:marRight w:val="0"/>
      <w:marTop w:val="0"/>
      <w:marBottom w:val="0"/>
      <w:divBdr>
        <w:top w:val="none" w:sz="0" w:space="0" w:color="auto"/>
        <w:left w:val="none" w:sz="0" w:space="0" w:color="auto"/>
        <w:bottom w:val="none" w:sz="0" w:space="0" w:color="auto"/>
        <w:right w:val="none" w:sz="0" w:space="0" w:color="auto"/>
      </w:divBdr>
    </w:div>
    <w:div w:id="400297310">
      <w:bodyDiv w:val="1"/>
      <w:marLeft w:val="0"/>
      <w:marRight w:val="0"/>
      <w:marTop w:val="0"/>
      <w:marBottom w:val="0"/>
      <w:divBdr>
        <w:top w:val="none" w:sz="0" w:space="0" w:color="auto"/>
        <w:left w:val="none" w:sz="0" w:space="0" w:color="auto"/>
        <w:bottom w:val="none" w:sz="0" w:space="0" w:color="auto"/>
        <w:right w:val="none" w:sz="0" w:space="0" w:color="auto"/>
      </w:divBdr>
      <w:divsChild>
        <w:div w:id="446508302">
          <w:marLeft w:val="0"/>
          <w:marRight w:val="0"/>
          <w:marTop w:val="0"/>
          <w:marBottom w:val="0"/>
          <w:divBdr>
            <w:top w:val="none" w:sz="0" w:space="0" w:color="auto"/>
            <w:left w:val="none" w:sz="0" w:space="0" w:color="auto"/>
            <w:bottom w:val="none" w:sz="0" w:space="0" w:color="auto"/>
            <w:right w:val="none" w:sz="0" w:space="0" w:color="auto"/>
          </w:divBdr>
          <w:divsChild>
            <w:div w:id="1539779361">
              <w:marLeft w:val="0"/>
              <w:marRight w:val="0"/>
              <w:marTop w:val="0"/>
              <w:marBottom w:val="0"/>
              <w:divBdr>
                <w:top w:val="none" w:sz="0" w:space="0" w:color="auto"/>
                <w:left w:val="none" w:sz="0" w:space="0" w:color="auto"/>
                <w:bottom w:val="none" w:sz="0" w:space="0" w:color="auto"/>
                <w:right w:val="none" w:sz="0" w:space="0" w:color="auto"/>
              </w:divBdr>
              <w:divsChild>
                <w:div w:id="639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86359">
      <w:bodyDiv w:val="1"/>
      <w:marLeft w:val="0"/>
      <w:marRight w:val="0"/>
      <w:marTop w:val="0"/>
      <w:marBottom w:val="0"/>
      <w:divBdr>
        <w:top w:val="none" w:sz="0" w:space="0" w:color="auto"/>
        <w:left w:val="none" w:sz="0" w:space="0" w:color="auto"/>
        <w:bottom w:val="none" w:sz="0" w:space="0" w:color="auto"/>
        <w:right w:val="none" w:sz="0" w:space="0" w:color="auto"/>
      </w:divBdr>
    </w:div>
    <w:div w:id="455418699">
      <w:bodyDiv w:val="1"/>
      <w:marLeft w:val="0"/>
      <w:marRight w:val="0"/>
      <w:marTop w:val="0"/>
      <w:marBottom w:val="0"/>
      <w:divBdr>
        <w:top w:val="none" w:sz="0" w:space="0" w:color="auto"/>
        <w:left w:val="none" w:sz="0" w:space="0" w:color="auto"/>
        <w:bottom w:val="none" w:sz="0" w:space="0" w:color="auto"/>
        <w:right w:val="none" w:sz="0" w:space="0" w:color="auto"/>
      </w:divBdr>
    </w:div>
    <w:div w:id="487018426">
      <w:bodyDiv w:val="1"/>
      <w:marLeft w:val="0"/>
      <w:marRight w:val="0"/>
      <w:marTop w:val="0"/>
      <w:marBottom w:val="0"/>
      <w:divBdr>
        <w:top w:val="none" w:sz="0" w:space="0" w:color="auto"/>
        <w:left w:val="none" w:sz="0" w:space="0" w:color="auto"/>
        <w:bottom w:val="none" w:sz="0" w:space="0" w:color="auto"/>
        <w:right w:val="none" w:sz="0" w:space="0" w:color="auto"/>
      </w:divBdr>
    </w:div>
    <w:div w:id="523832154">
      <w:bodyDiv w:val="1"/>
      <w:marLeft w:val="0"/>
      <w:marRight w:val="0"/>
      <w:marTop w:val="0"/>
      <w:marBottom w:val="0"/>
      <w:divBdr>
        <w:top w:val="none" w:sz="0" w:space="0" w:color="auto"/>
        <w:left w:val="none" w:sz="0" w:space="0" w:color="auto"/>
        <w:bottom w:val="none" w:sz="0" w:space="0" w:color="auto"/>
        <w:right w:val="none" w:sz="0" w:space="0" w:color="auto"/>
      </w:divBdr>
      <w:divsChild>
        <w:div w:id="1527449284">
          <w:marLeft w:val="0"/>
          <w:marRight w:val="0"/>
          <w:marTop w:val="0"/>
          <w:marBottom w:val="0"/>
          <w:divBdr>
            <w:top w:val="none" w:sz="0" w:space="0" w:color="auto"/>
            <w:left w:val="none" w:sz="0" w:space="0" w:color="auto"/>
            <w:bottom w:val="none" w:sz="0" w:space="0" w:color="auto"/>
            <w:right w:val="none" w:sz="0" w:space="0" w:color="auto"/>
          </w:divBdr>
          <w:divsChild>
            <w:div w:id="1085953336">
              <w:marLeft w:val="0"/>
              <w:marRight w:val="0"/>
              <w:marTop w:val="0"/>
              <w:marBottom w:val="0"/>
              <w:divBdr>
                <w:top w:val="none" w:sz="0" w:space="0" w:color="auto"/>
                <w:left w:val="none" w:sz="0" w:space="0" w:color="auto"/>
                <w:bottom w:val="none" w:sz="0" w:space="0" w:color="auto"/>
                <w:right w:val="none" w:sz="0" w:space="0" w:color="auto"/>
              </w:divBdr>
              <w:divsChild>
                <w:div w:id="8225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34643">
      <w:bodyDiv w:val="1"/>
      <w:marLeft w:val="0"/>
      <w:marRight w:val="0"/>
      <w:marTop w:val="0"/>
      <w:marBottom w:val="0"/>
      <w:divBdr>
        <w:top w:val="none" w:sz="0" w:space="0" w:color="auto"/>
        <w:left w:val="none" w:sz="0" w:space="0" w:color="auto"/>
        <w:bottom w:val="none" w:sz="0" w:space="0" w:color="auto"/>
        <w:right w:val="none" w:sz="0" w:space="0" w:color="auto"/>
      </w:divBdr>
      <w:divsChild>
        <w:div w:id="337275802">
          <w:marLeft w:val="0"/>
          <w:marRight w:val="0"/>
          <w:marTop w:val="0"/>
          <w:marBottom w:val="0"/>
          <w:divBdr>
            <w:top w:val="none" w:sz="0" w:space="0" w:color="auto"/>
            <w:left w:val="none" w:sz="0" w:space="0" w:color="auto"/>
            <w:bottom w:val="none" w:sz="0" w:space="0" w:color="auto"/>
            <w:right w:val="none" w:sz="0" w:space="0" w:color="auto"/>
          </w:divBdr>
          <w:divsChild>
            <w:div w:id="84962953">
              <w:marLeft w:val="0"/>
              <w:marRight w:val="0"/>
              <w:marTop w:val="0"/>
              <w:marBottom w:val="0"/>
              <w:divBdr>
                <w:top w:val="none" w:sz="0" w:space="0" w:color="auto"/>
                <w:left w:val="none" w:sz="0" w:space="0" w:color="auto"/>
                <w:bottom w:val="none" w:sz="0" w:space="0" w:color="auto"/>
                <w:right w:val="none" w:sz="0" w:space="0" w:color="auto"/>
              </w:divBdr>
              <w:divsChild>
                <w:div w:id="6452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02449">
      <w:bodyDiv w:val="1"/>
      <w:marLeft w:val="0"/>
      <w:marRight w:val="0"/>
      <w:marTop w:val="0"/>
      <w:marBottom w:val="0"/>
      <w:divBdr>
        <w:top w:val="none" w:sz="0" w:space="0" w:color="auto"/>
        <w:left w:val="none" w:sz="0" w:space="0" w:color="auto"/>
        <w:bottom w:val="none" w:sz="0" w:space="0" w:color="auto"/>
        <w:right w:val="none" w:sz="0" w:space="0" w:color="auto"/>
      </w:divBdr>
      <w:divsChild>
        <w:div w:id="957182638">
          <w:marLeft w:val="0"/>
          <w:marRight w:val="0"/>
          <w:marTop w:val="0"/>
          <w:marBottom w:val="0"/>
          <w:divBdr>
            <w:top w:val="none" w:sz="0" w:space="0" w:color="auto"/>
            <w:left w:val="none" w:sz="0" w:space="0" w:color="auto"/>
            <w:bottom w:val="none" w:sz="0" w:space="0" w:color="auto"/>
            <w:right w:val="none" w:sz="0" w:space="0" w:color="auto"/>
          </w:divBdr>
          <w:divsChild>
            <w:div w:id="1136147008">
              <w:marLeft w:val="0"/>
              <w:marRight w:val="0"/>
              <w:marTop w:val="0"/>
              <w:marBottom w:val="0"/>
              <w:divBdr>
                <w:top w:val="none" w:sz="0" w:space="0" w:color="auto"/>
                <w:left w:val="none" w:sz="0" w:space="0" w:color="auto"/>
                <w:bottom w:val="none" w:sz="0" w:space="0" w:color="auto"/>
                <w:right w:val="none" w:sz="0" w:space="0" w:color="auto"/>
              </w:divBdr>
              <w:divsChild>
                <w:div w:id="445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1847">
      <w:bodyDiv w:val="1"/>
      <w:marLeft w:val="0"/>
      <w:marRight w:val="0"/>
      <w:marTop w:val="0"/>
      <w:marBottom w:val="0"/>
      <w:divBdr>
        <w:top w:val="none" w:sz="0" w:space="0" w:color="auto"/>
        <w:left w:val="none" w:sz="0" w:space="0" w:color="auto"/>
        <w:bottom w:val="none" w:sz="0" w:space="0" w:color="auto"/>
        <w:right w:val="none" w:sz="0" w:space="0" w:color="auto"/>
      </w:divBdr>
      <w:divsChild>
        <w:div w:id="259530061">
          <w:marLeft w:val="0"/>
          <w:marRight w:val="0"/>
          <w:marTop w:val="0"/>
          <w:marBottom w:val="0"/>
          <w:divBdr>
            <w:top w:val="none" w:sz="0" w:space="0" w:color="auto"/>
            <w:left w:val="none" w:sz="0" w:space="0" w:color="auto"/>
            <w:bottom w:val="none" w:sz="0" w:space="0" w:color="auto"/>
            <w:right w:val="none" w:sz="0" w:space="0" w:color="auto"/>
          </w:divBdr>
          <w:divsChild>
            <w:div w:id="1746604267">
              <w:marLeft w:val="0"/>
              <w:marRight w:val="0"/>
              <w:marTop w:val="0"/>
              <w:marBottom w:val="0"/>
              <w:divBdr>
                <w:top w:val="none" w:sz="0" w:space="0" w:color="auto"/>
                <w:left w:val="none" w:sz="0" w:space="0" w:color="auto"/>
                <w:bottom w:val="none" w:sz="0" w:space="0" w:color="auto"/>
                <w:right w:val="none" w:sz="0" w:space="0" w:color="auto"/>
              </w:divBdr>
              <w:divsChild>
                <w:div w:id="7682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54847">
      <w:bodyDiv w:val="1"/>
      <w:marLeft w:val="0"/>
      <w:marRight w:val="0"/>
      <w:marTop w:val="0"/>
      <w:marBottom w:val="0"/>
      <w:divBdr>
        <w:top w:val="none" w:sz="0" w:space="0" w:color="auto"/>
        <w:left w:val="none" w:sz="0" w:space="0" w:color="auto"/>
        <w:bottom w:val="none" w:sz="0" w:space="0" w:color="auto"/>
        <w:right w:val="none" w:sz="0" w:space="0" w:color="auto"/>
      </w:divBdr>
      <w:divsChild>
        <w:div w:id="12153381">
          <w:marLeft w:val="0"/>
          <w:marRight w:val="0"/>
          <w:marTop w:val="0"/>
          <w:marBottom w:val="0"/>
          <w:divBdr>
            <w:top w:val="none" w:sz="0" w:space="0" w:color="auto"/>
            <w:left w:val="none" w:sz="0" w:space="0" w:color="auto"/>
            <w:bottom w:val="none" w:sz="0" w:space="0" w:color="auto"/>
            <w:right w:val="none" w:sz="0" w:space="0" w:color="auto"/>
          </w:divBdr>
          <w:divsChild>
            <w:div w:id="1505827662">
              <w:marLeft w:val="0"/>
              <w:marRight w:val="0"/>
              <w:marTop w:val="0"/>
              <w:marBottom w:val="0"/>
              <w:divBdr>
                <w:top w:val="none" w:sz="0" w:space="0" w:color="auto"/>
                <w:left w:val="none" w:sz="0" w:space="0" w:color="auto"/>
                <w:bottom w:val="none" w:sz="0" w:space="0" w:color="auto"/>
                <w:right w:val="none" w:sz="0" w:space="0" w:color="auto"/>
              </w:divBdr>
              <w:divsChild>
                <w:div w:id="88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7112">
      <w:bodyDiv w:val="1"/>
      <w:marLeft w:val="0"/>
      <w:marRight w:val="0"/>
      <w:marTop w:val="0"/>
      <w:marBottom w:val="0"/>
      <w:divBdr>
        <w:top w:val="none" w:sz="0" w:space="0" w:color="auto"/>
        <w:left w:val="none" w:sz="0" w:space="0" w:color="auto"/>
        <w:bottom w:val="none" w:sz="0" w:space="0" w:color="auto"/>
        <w:right w:val="none" w:sz="0" w:space="0" w:color="auto"/>
      </w:divBdr>
    </w:div>
    <w:div w:id="732699818">
      <w:bodyDiv w:val="1"/>
      <w:marLeft w:val="0"/>
      <w:marRight w:val="0"/>
      <w:marTop w:val="0"/>
      <w:marBottom w:val="0"/>
      <w:divBdr>
        <w:top w:val="none" w:sz="0" w:space="0" w:color="auto"/>
        <w:left w:val="none" w:sz="0" w:space="0" w:color="auto"/>
        <w:bottom w:val="none" w:sz="0" w:space="0" w:color="auto"/>
        <w:right w:val="none" w:sz="0" w:space="0" w:color="auto"/>
      </w:divBdr>
    </w:div>
    <w:div w:id="760027075">
      <w:bodyDiv w:val="1"/>
      <w:marLeft w:val="0"/>
      <w:marRight w:val="0"/>
      <w:marTop w:val="0"/>
      <w:marBottom w:val="0"/>
      <w:divBdr>
        <w:top w:val="none" w:sz="0" w:space="0" w:color="auto"/>
        <w:left w:val="none" w:sz="0" w:space="0" w:color="auto"/>
        <w:bottom w:val="none" w:sz="0" w:space="0" w:color="auto"/>
        <w:right w:val="none" w:sz="0" w:space="0" w:color="auto"/>
      </w:divBdr>
    </w:div>
    <w:div w:id="786509818">
      <w:bodyDiv w:val="1"/>
      <w:marLeft w:val="0"/>
      <w:marRight w:val="0"/>
      <w:marTop w:val="0"/>
      <w:marBottom w:val="0"/>
      <w:divBdr>
        <w:top w:val="none" w:sz="0" w:space="0" w:color="auto"/>
        <w:left w:val="none" w:sz="0" w:space="0" w:color="auto"/>
        <w:bottom w:val="none" w:sz="0" w:space="0" w:color="auto"/>
        <w:right w:val="none" w:sz="0" w:space="0" w:color="auto"/>
      </w:divBdr>
      <w:divsChild>
        <w:div w:id="514342320">
          <w:marLeft w:val="0"/>
          <w:marRight w:val="0"/>
          <w:marTop w:val="0"/>
          <w:marBottom w:val="0"/>
          <w:divBdr>
            <w:top w:val="none" w:sz="0" w:space="0" w:color="auto"/>
            <w:left w:val="none" w:sz="0" w:space="0" w:color="auto"/>
            <w:bottom w:val="none" w:sz="0" w:space="0" w:color="auto"/>
            <w:right w:val="none" w:sz="0" w:space="0" w:color="auto"/>
          </w:divBdr>
          <w:divsChild>
            <w:div w:id="1155684632">
              <w:marLeft w:val="0"/>
              <w:marRight w:val="0"/>
              <w:marTop w:val="0"/>
              <w:marBottom w:val="0"/>
              <w:divBdr>
                <w:top w:val="none" w:sz="0" w:space="0" w:color="auto"/>
                <w:left w:val="none" w:sz="0" w:space="0" w:color="auto"/>
                <w:bottom w:val="none" w:sz="0" w:space="0" w:color="auto"/>
                <w:right w:val="none" w:sz="0" w:space="0" w:color="auto"/>
              </w:divBdr>
              <w:divsChild>
                <w:div w:id="20247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93107">
      <w:bodyDiv w:val="1"/>
      <w:marLeft w:val="0"/>
      <w:marRight w:val="0"/>
      <w:marTop w:val="0"/>
      <w:marBottom w:val="0"/>
      <w:divBdr>
        <w:top w:val="none" w:sz="0" w:space="0" w:color="auto"/>
        <w:left w:val="none" w:sz="0" w:space="0" w:color="auto"/>
        <w:bottom w:val="none" w:sz="0" w:space="0" w:color="auto"/>
        <w:right w:val="none" w:sz="0" w:space="0" w:color="auto"/>
      </w:divBdr>
    </w:div>
    <w:div w:id="834497175">
      <w:bodyDiv w:val="1"/>
      <w:marLeft w:val="0"/>
      <w:marRight w:val="0"/>
      <w:marTop w:val="0"/>
      <w:marBottom w:val="0"/>
      <w:divBdr>
        <w:top w:val="none" w:sz="0" w:space="0" w:color="auto"/>
        <w:left w:val="none" w:sz="0" w:space="0" w:color="auto"/>
        <w:bottom w:val="none" w:sz="0" w:space="0" w:color="auto"/>
        <w:right w:val="none" w:sz="0" w:space="0" w:color="auto"/>
      </w:divBdr>
      <w:divsChild>
        <w:div w:id="789279156">
          <w:marLeft w:val="0"/>
          <w:marRight w:val="0"/>
          <w:marTop w:val="0"/>
          <w:marBottom w:val="0"/>
          <w:divBdr>
            <w:top w:val="none" w:sz="0" w:space="0" w:color="auto"/>
            <w:left w:val="none" w:sz="0" w:space="0" w:color="auto"/>
            <w:bottom w:val="none" w:sz="0" w:space="0" w:color="auto"/>
            <w:right w:val="none" w:sz="0" w:space="0" w:color="auto"/>
          </w:divBdr>
          <w:divsChild>
            <w:div w:id="2088384357">
              <w:marLeft w:val="0"/>
              <w:marRight w:val="0"/>
              <w:marTop w:val="0"/>
              <w:marBottom w:val="0"/>
              <w:divBdr>
                <w:top w:val="none" w:sz="0" w:space="0" w:color="auto"/>
                <w:left w:val="none" w:sz="0" w:space="0" w:color="auto"/>
                <w:bottom w:val="none" w:sz="0" w:space="0" w:color="auto"/>
                <w:right w:val="none" w:sz="0" w:space="0" w:color="auto"/>
              </w:divBdr>
              <w:divsChild>
                <w:div w:id="9158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91330">
      <w:bodyDiv w:val="1"/>
      <w:marLeft w:val="0"/>
      <w:marRight w:val="0"/>
      <w:marTop w:val="0"/>
      <w:marBottom w:val="0"/>
      <w:divBdr>
        <w:top w:val="none" w:sz="0" w:space="0" w:color="auto"/>
        <w:left w:val="none" w:sz="0" w:space="0" w:color="auto"/>
        <w:bottom w:val="none" w:sz="0" w:space="0" w:color="auto"/>
        <w:right w:val="none" w:sz="0" w:space="0" w:color="auto"/>
      </w:divBdr>
    </w:div>
    <w:div w:id="874586734">
      <w:bodyDiv w:val="1"/>
      <w:marLeft w:val="0"/>
      <w:marRight w:val="0"/>
      <w:marTop w:val="0"/>
      <w:marBottom w:val="0"/>
      <w:divBdr>
        <w:top w:val="none" w:sz="0" w:space="0" w:color="auto"/>
        <w:left w:val="none" w:sz="0" w:space="0" w:color="auto"/>
        <w:bottom w:val="none" w:sz="0" w:space="0" w:color="auto"/>
        <w:right w:val="none" w:sz="0" w:space="0" w:color="auto"/>
      </w:divBdr>
      <w:divsChild>
        <w:div w:id="1596474941">
          <w:marLeft w:val="0"/>
          <w:marRight w:val="0"/>
          <w:marTop w:val="0"/>
          <w:marBottom w:val="0"/>
          <w:divBdr>
            <w:top w:val="none" w:sz="0" w:space="0" w:color="auto"/>
            <w:left w:val="none" w:sz="0" w:space="0" w:color="auto"/>
            <w:bottom w:val="none" w:sz="0" w:space="0" w:color="auto"/>
            <w:right w:val="none" w:sz="0" w:space="0" w:color="auto"/>
          </w:divBdr>
          <w:divsChild>
            <w:div w:id="947468271">
              <w:marLeft w:val="0"/>
              <w:marRight w:val="0"/>
              <w:marTop w:val="0"/>
              <w:marBottom w:val="0"/>
              <w:divBdr>
                <w:top w:val="none" w:sz="0" w:space="0" w:color="auto"/>
                <w:left w:val="none" w:sz="0" w:space="0" w:color="auto"/>
                <w:bottom w:val="none" w:sz="0" w:space="0" w:color="auto"/>
                <w:right w:val="none" w:sz="0" w:space="0" w:color="auto"/>
              </w:divBdr>
              <w:divsChild>
                <w:div w:id="142727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2573">
      <w:bodyDiv w:val="1"/>
      <w:marLeft w:val="0"/>
      <w:marRight w:val="0"/>
      <w:marTop w:val="0"/>
      <w:marBottom w:val="0"/>
      <w:divBdr>
        <w:top w:val="none" w:sz="0" w:space="0" w:color="auto"/>
        <w:left w:val="none" w:sz="0" w:space="0" w:color="auto"/>
        <w:bottom w:val="none" w:sz="0" w:space="0" w:color="auto"/>
        <w:right w:val="none" w:sz="0" w:space="0" w:color="auto"/>
      </w:divBdr>
    </w:div>
    <w:div w:id="1014646601">
      <w:bodyDiv w:val="1"/>
      <w:marLeft w:val="0"/>
      <w:marRight w:val="0"/>
      <w:marTop w:val="0"/>
      <w:marBottom w:val="0"/>
      <w:divBdr>
        <w:top w:val="none" w:sz="0" w:space="0" w:color="auto"/>
        <w:left w:val="none" w:sz="0" w:space="0" w:color="auto"/>
        <w:bottom w:val="none" w:sz="0" w:space="0" w:color="auto"/>
        <w:right w:val="none" w:sz="0" w:space="0" w:color="auto"/>
      </w:divBdr>
    </w:div>
    <w:div w:id="1145320751">
      <w:bodyDiv w:val="1"/>
      <w:marLeft w:val="0"/>
      <w:marRight w:val="0"/>
      <w:marTop w:val="0"/>
      <w:marBottom w:val="0"/>
      <w:divBdr>
        <w:top w:val="none" w:sz="0" w:space="0" w:color="auto"/>
        <w:left w:val="none" w:sz="0" w:space="0" w:color="auto"/>
        <w:bottom w:val="none" w:sz="0" w:space="0" w:color="auto"/>
        <w:right w:val="none" w:sz="0" w:space="0" w:color="auto"/>
      </w:divBdr>
    </w:div>
    <w:div w:id="1200818444">
      <w:bodyDiv w:val="1"/>
      <w:marLeft w:val="0"/>
      <w:marRight w:val="0"/>
      <w:marTop w:val="0"/>
      <w:marBottom w:val="0"/>
      <w:divBdr>
        <w:top w:val="none" w:sz="0" w:space="0" w:color="auto"/>
        <w:left w:val="none" w:sz="0" w:space="0" w:color="auto"/>
        <w:bottom w:val="none" w:sz="0" w:space="0" w:color="auto"/>
        <w:right w:val="none" w:sz="0" w:space="0" w:color="auto"/>
      </w:divBdr>
      <w:divsChild>
        <w:div w:id="1239637637">
          <w:marLeft w:val="0"/>
          <w:marRight w:val="0"/>
          <w:marTop w:val="0"/>
          <w:marBottom w:val="0"/>
          <w:divBdr>
            <w:top w:val="none" w:sz="0" w:space="0" w:color="auto"/>
            <w:left w:val="none" w:sz="0" w:space="0" w:color="auto"/>
            <w:bottom w:val="none" w:sz="0" w:space="0" w:color="auto"/>
            <w:right w:val="none" w:sz="0" w:space="0" w:color="auto"/>
          </w:divBdr>
          <w:divsChild>
            <w:div w:id="616179737">
              <w:marLeft w:val="0"/>
              <w:marRight w:val="0"/>
              <w:marTop w:val="0"/>
              <w:marBottom w:val="0"/>
              <w:divBdr>
                <w:top w:val="none" w:sz="0" w:space="0" w:color="auto"/>
                <w:left w:val="none" w:sz="0" w:space="0" w:color="auto"/>
                <w:bottom w:val="none" w:sz="0" w:space="0" w:color="auto"/>
                <w:right w:val="none" w:sz="0" w:space="0" w:color="auto"/>
              </w:divBdr>
              <w:divsChild>
                <w:div w:id="9308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0632">
      <w:bodyDiv w:val="1"/>
      <w:marLeft w:val="0"/>
      <w:marRight w:val="0"/>
      <w:marTop w:val="0"/>
      <w:marBottom w:val="0"/>
      <w:divBdr>
        <w:top w:val="none" w:sz="0" w:space="0" w:color="auto"/>
        <w:left w:val="none" w:sz="0" w:space="0" w:color="auto"/>
        <w:bottom w:val="none" w:sz="0" w:space="0" w:color="auto"/>
        <w:right w:val="none" w:sz="0" w:space="0" w:color="auto"/>
      </w:divBdr>
    </w:div>
    <w:div w:id="1350721101">
      <w:bodyDiv w:val="1"/>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sChild>
            <w:div w:id="425660153">
              <w:marLeft w:val="0"/>
              <w:marRight w:val="0"/>
              <w:marTop w:val="0"/>
              <w:marBottom w:val="0"/>
              <w:divBdr>
                <w:top w:val="none" w:sz="0" w:space="0" w:color="auto"/>
                <w:left w:val="none" w:sz="0" w:space="0" w:color="auto"/>
                <w:bottom w:val="none" w:sz="0" w:space="0" w:color="auto"/>
                <w:right w:val="none" w:sz="0" w:space="0" w:color="auto"/>
              </w:divBdr>
              <w:divsChild>
                <w:div w:id="7799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38232">
      <w:bodyDiv w:val="1"/>
      <w:marLeft w:val="0"/>
      <w:marRight w:val="0"/>
      <w:marTop w:val="0"/>
      <w:marBottom w:val="0"/>
      <w:divBdr>
        <w:top w:val="none" w:sz="0" w:space="0" w:color="auto"/>
        <w:left w:val="none" w:sz="0" w:space="0" w:color="auto"/>
        <w:bottom w:val="none" w:sz="0" w:space="0" w:color="auto"/>
        <w:right w:val="none" w:sz="0" w:space="0" w:color="auto"/>
      </w:divBdr>
      <w:divsChild>
        <w:div w:id="427237714">
          <w:marLeft w:val="0"/>
          <w:marRight w:val="0"/>
          <w:marTop w:val="0"/>
          <w:marBottom w:val="0"/>
          <w:divBdr>
            <w:top w:val="none" w:sz="0" w:space="0" w:color="auto"/>
            <w:left w:val="none" w:sz="0" w:space="0" w:color="auto"/>
            <w:bottom w:val="none" w:sz="0" w:space="0" w:color="auto"/>
            <w:right w:val="none" w:sz="0" w:space="0" w:color="auto"/>
          </w:divBdr>
          <w:divsChild>
            <w:div w:id="1933468513">
              <w:marLeft w:val="0"/>
              <w:marRight w:val="0"/>
              <w:marTop w:val="0"/>
              <w:marBottom w:val="0"/>
              <w:divBdr>
                <w:top w:val="none" w:sz="0" w:space="0" w:color="auto"/>
                <w:left w:val="none" w:sz="0" w:space="0" w:color="auto"/>
                <w:bottom w:val="none" w:sz="0" w:space="0" w:color="auto"/>
                <w:right w:val="none" w:sz="0" w:space="0" w:color="auto"/>
              </w:divBdr>
              <w:divsChild>
                <w:div w:id="11484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12290">
      <w:bodyDiv w:val="1"/>
      <w:marLeft w:val="0"/>
      <w:marRight w:val="0"/>
      <w:marTop w:val="0"/>
      <w:marBottom w:val="0"/>
      <w:divBdr>
        <w:top w:val="none" w:sz="0" w:space="0" w:color="auto"/>
        <w:left w:val="none" w:sz="0" w:space="0" w:color="auto"/>
        <w:bottom w:val="none" w:sz="0" w:space="0" w:color="auto"/>
        <w:right w:val="none" w:sz="0" w:space="0" w:color="auto"/>
      </w:divBdr>
      <w:divsChild>
        <w:div w:id="1304314854">
          <w:marLeft w:val="0"/>
          <w:marRight w:val="0"/>
          <w:marTop w:val="0"/>
          <w:marBottom w:val="0"/>
          <w:divBdr>
            <w:top w:val="none" w:sz="0" w:space="0" w:color="auto"/>
            <w:left w:val="none" w:sz="0" w:space="0" w:color="auto"/>
            <w:bottom w:val="none" w:sz="0" w:space="0" w:color="auto"/>
            <w:right w:val="none" w:sz="0" w:space="0" w:color="auto"/>
          </w:divBdr>
          <w:divsChild>
            <w:div w:id="1916165856">
              <w:marLeft w:val="0"/>
              <w:marRight w:val="0"/>
              <w:marTop w:val="0"/>
              <w:marBottom w:val="0"/>
              <w:divBdr>
                <w:top w:val="none" w:sz="0" w:space="0" w:color="auto"/>
                <w:left w:val="none" w:sz="0" w:space="0" w:color="auto"/>
                <w:bottom w:val="none" w:sz="0" w:space="0" w:color="auto"/>
                <w:right w:val="none" w:sz="0" w:space="0" w:color="auto"/>
              </w:divBdr>
              <w:divsChild>
                <w:div w:id="4542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70792">
      <w:bodyDiv w:val="1"/>
      <w:marLeft w:val="0"/>
      <w:marRight w:val="0"/>
      <w:marTop w:val="0"/>
      <w:marBottom w:val="0"/>
      <w:divBdr>
        <w:top w:val="none" w:sz="0" w:space="0" w:color="auto"/>
        <w:left w:val="none" w:sz="0" w:space="0" w:color="auto"/>
        <w:bottom w:val="none" w:sz="0" w:space="0" w:color="auto"/>
        <w:right w:val="none" w:sz="0" w:space="0" w:color="auto"/>
      </w:divBdr>
      <w:divsChild>
        <w:div w:id="1379672165">
          <w:marLeft w:val="0"/>
          <w:marRight w:val="0"/>
          <w:marTop w:val="0"/>
          <w:marBottom w:val="0"/>
          <w:divBdr>
            <w:top w:val="none" w:sz="0" w:space="0" w:color="auto"/>
            <w:left w:val="none" w:sz="0" w:space="0" w:color="auto"/>
            <w:bottom w:val="none" w:sz="0" w:space="0" w:color="auto"/>
            <w:right w:val="none" w:sz="0" w:space="0" w:color="auto"/>
          </w:divBdr>
          <w:divsChild>
            <w:div w:id="1549536292">
              <w:marLeft w:val="0"/>
              <w:marRight w:val="0"/>
              <w:marTop w:val="0"/>
              <w:marBottom w:val="0"/>
              <w:divBdr>
                <w:top w:val="none" w:sz="0" w:space="0" w:color="auto"/>
                <w:left w:val="none" w:sz="0" w:space="0" w:color="auto"/>
                <w:bottom w:val="none" w:sz="0" w:space="0" w:color="auto"/>
                <w:right w:val="none" w:sz="0" w:space="0" w:color="auto"/>
              </w:divBdr>
              <w:divsChild>
                <w:div w:id="1157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94897">
      <w:bodyDiv w:val="1"/>
      <w:marLeft w:val="0"/>
      <w:marRight w:val="0"/>
      <w:marTop w:val="0"/>
      <w:marBottom w:val="0"/>
      <w:divBdr>
        <w:top w:val="none" w:sz="0" w:space="0" w:color="auto"/>
        <w:left w:val="none" w:sz="0" w:space="0" w:color="auto"/>
        <w:bottom w:val="none" w:sz="0" w:space="0" w:color="auto"/>
        <w:right w:val="none" w:sz="0" w:space="0" w:color="auto"/>
      </w:divBdr>
      <w:divsChild>
        <w:div w:id="470709407">
          <w:marLeft w:val="800"/>
          <w:marRight w:val="0"/>
          <w:marTop w:val="0"/>
          <w:marBottom w:val="0"/>
          <w:divBdr>
            <w:top w:val="none" w:sz="0" w:space="0" w:color="auto"/>
            <w:left w:val="none" w:sz="0" w:space="0" w:color="auto"/>
            <w:bottom w:val="none" w:sz="0" w:space="0" w:color="auto"/>
            <w:right w:val="none" w:sz="0" w:space="0" w:color="auto"/>
          </w:divBdr>
          <w:divsChild>
            <w:div w:id="372316633">
              <w:marLeft w:val="0"/>
              <w:marRight w:val="0"/>
              <w:marTop w:val="142"/>
              <w:marBottom w:val="0"/>
              <w:divBdr>
                <w:top w:val="none" w:sz="0" w:space="0" w:color="auto"/>
                <w:left w:val="none" w:sz="0" w:space="0" w:color="auto"/>
                <w:bottom w:val="none" w:sz="0" w:space="0" w:color="auto"/>
                <w:right w:val="none" w:sz="0" w:space="0" w:color="auto"/>
              </w:divBdr>
            </w:div>
          </w:divsChild>
        </w:div>
        <w:div w:id="382758006">
          <w:marLeft w:val="800"/>
          <w:marRight w:val="0"/>
          <w:marTop w:val="0"/>
          <w:marBottom w:val="0"/>
          <w:divBdr>
            <w:top w:val="none" w:sz="0" w:space="0" w:color="auto"/>
            <w:left w:val="none" w:sz="0" w:space="0" w:color="auto"/>
            <w:bottom w:val="none" w:sz="0" w:space="0" w:color="auto"/>
            <w:right w:val="none" w:sz="0" w:space="0" w:color="auto"/>
          </w:divBdr>
          <w:divsChild>
            <w:div w:id="552082304">
              <w:marLeft w:val="0"/>
              <w:marRight w:val="0"/>
              <w:marTop w:val="142"/>
              <w:marBottom w:val="0"/>
              <w:divBdr>
                <w:top w:val="none" w:sz="0" w:space="0" w:color="auto"/>
                <w:left w:val="none" w:sz="0" w:space="0" w:color="auto"/>
                <w:bottom w:val="none" w:sz="0" w:space="0" w:color="auto"/>
                <w:right w:val="none" w:sz="0" w:space="0" w:color="auto"/>
              </w:divBdr>
            </w:div>
          </w:divsChild>
        </w:div>
        <w:div w:id="1051072638">
          <w:marLeft w:val="800"/>
          <w:marRight w:val="0"/>
          <w:marTop w:val="0"/>
          <w:marBottom w:val="0"/>
          <w:divBdr>
            <w:top w:val="none" w:sz="0" w:space="0" w:color="auto"/>
            <w:left w:val="none" w:sz="0" w:space="0" w:color="auto"/>
            <w:bottom w:val="none" w:sz="0" w:space="0" w:color="auto"/>
            <w:right w:val="none" w:sz="0" w:space="0" w:color="auto"/>
          </w:divBdr>
          <w:divsChild>
            <w:div w:id="107630712">
              <w:marLeft w:val="0"/>
              <w:marRight w:val="0"/>
              <w:marTop w:val="142"/>
              <w:marBottom w:val="0"/>
              <w:divBdr>
                <w:top w:val="none" w:sz="0" w:space="0" w:color="auto"/>
                <w:left w:val="none" w:sz="0" w:space="0" w:color="auto"/>
                <w:bottom w:val="none" w:sz="0" w:space="0" w:color="auto"/>
                <w:right w:val="none" w:sz="0" w:space="0" w:color="auto"/>
              </w:divBdr>
            </w:div>
          </w:divsChild>
        </w:div>
        <w:div w:id="998653602">
          <w:marLeft w:val="800"/>
          <w:marRight w:val="0"/>
          <w:marTop w:val="0"/>
          <w:marBottom w:val="0"/>
          <w:divBdr>
            <w:top w:val="none" w:sz="0" w:space="0" w:color="auto"/>
            <w:left w:val="none" w:sz="0" w:space="0" w:color="auto"/>
            <w:bottom w:val="none" w:sz="0" w:space="0" w:color="auto"/>
            <w:right w:val="none" w:sz="0" w:space="0" w:color="auto"/>
          </w:divBdr>
          <w:divsChild>
            <w:div w:id="857701333">
              <w:marLeft w:val="0"/>
              <w:marRight w:val="0"/>
              <w:marTop w:val="142"/>
              <w:marBottom w:val="0"/>
              <w:divBdr>
                <w:top w:val="none" w:sz="0" w:space="0" w:color="auto"/>
                <w:left w:val="none" w:sz="0" w:space="0" w:color="auto"/>
                <w:bottom w:val="none" w:sz="0" w:space="0" w:color="auto"/>
                <w:right w:val="none" w:sz="0" w:space="0" w:color="auto"/>
              </w:divBdr>
            </w:div>
          </w:divsChild>
        </w:div>
        <w:div w:id="1451120332">
          <w:marLeft w:val="800"/>
          <w:marRight w:val="0"/>
          <w:marTop w:val="0"/>
          <w:marBottom w:val="0"/>
          <w:divBdr>
            <w:top w:val="none" w:sz="0" w:space="0" w:color="auto"/>
            <w:left w:val="none" w:sz="0" w:space="0" w:color="auto"/>
            <w:bottom w:val="none" w:sz="0" w:space="0" w:color="auto"/>
            <w:right w:val="none" w:sz="0" w:space="0" w:color="auto"/>
          </w:divBdr>
          <w:divsChild>
            <w:div w:id="1582593992">
              <w:marLeft w:val="0"/>
              <w:marRight w:val="0"/>
              <w:marTop w:val="142"/>
              <w:marBottom w:val="0"/>
              <w:divBdr>
                <w:top w:val="none" w:sz="0" w:space="0" w:color="auto"/>
                <w:left w:val="none" w:sz="0" w:space="0" w:color="auto"/>
                <w:bottom w:val="none" w:sz="0" w:space="0" w:color="auto"/>
                <w:right w:val="none" w:sz="0" w:space="0" w:color="auto"/>
              </w:divBdr>
            </w:div>
          </w:divsChild>
        </w:div>
      </w:divsChild>
    </w:div>
    <w:div w:id="1715151503">
      <w:bodyDiv w:val="1"/>
      <w:marLeft w:val="0"/>
      <w:marRight w:val="0"/>
      <w:marTop w:val="0"/>
      <w:marBottom w:val="0"/>
      <w:divBdr>
        <w:top w:val="none" w:sz="0" w:space="0" w:color="auto"/>
        <w:left w:val="none" w:sz="0" w:space="0" w:color="auto"/>
        <w:bottom w:val="none" w:sz="0" w:space="0" w:color="auto"/>
        <w:right w:val="none" w:sz="0" w:space="0" w:color="auto"/>
      </w:divBdr>
      <w:divsChild>
        <w:div w:id="1552885188">
          <w:marLeft w:val="0"/>
          <w:marRight w:val="0"/>
          <w:marTop w:val="0"/>
          <w:marBottom w:val="0"/>
          <w:divBdr>
            <w:top w:val="none" w:sz="0" w:space="0" w:color="auto"/>
            <w:left w:val="none" w:sz="0" w:space="0" w:color="auto"/>
            <w:bottom w:val="none" w:sz="0" w:space="0" w:color="auto"/>
            <w:right w:val="none" w:sz="0" w:space="0" w:color="auto"/>
          </w:divBdr>
          <w:divsChild>
            <w:div w:id="1446005047">
              <w:marLeft w:val="0"/>
              <w:marRight w:val="0"/>
              <w:marTop w:val="0"/>
              <w:marBottom w:val="0"/>
              <w:divBdr>
                <w:top w:val="none" w:sz="0" w:space="0" w:color="auto"/>
                <w:left w:val="none" w:sz="0" w:space="0" w:color="auto"/>
                <w:bottom w:val="none" w:sz="0" w:space="0" w:color="auto"/>
                <w:right w:val="none" w:sz="0" w:space="0" w:color="auto"/>
              </w:divBdr>
              <w:divsChild>
                <w:div w:id="3271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7310">
      <w:bodyDiv w:val="1"/>
      <w:marLeft w:val="0"/>
      <w:marRight w:val="0"/>
      <w:marTop w:val="0"/>
      <w:marBottom w:val="0"/>
      <w:divBdr>
        <w:top w:val="none" w:sz="0" w:space="0" w:color="auto"/>
        <w:left w:val="none" w:sz="0" w:space="0" w:color="auto"/>
        <w:bottom w:val="none" w:sz="0" w:space="0" w:color="auto"/>
        <w:right w:val="none" w:sz="0" w:space="0" w:color="auto"/>
      </w:divBdr>
      <w:divsChild>
        <w:div w:id="135996431">
          <w:marLeft w:val="0"/>
          <w:marRight w:val="0"/>
          <w:marTop w:val="0"/>
          <w:marBottom w:val="0"/>
          <w:divBdr>
            <w:top w:val="none" w:sz="0" w:space="0" w:color="auto"/>
            <w:left w:val="none" w:sz="0" w:space="0" w:color="auto"/>
            <w:bottom w:val="none" w:sz="0" w:space="0" w:color="auto"/>
            <w:right w:val="none" w:sz="0" w:space="0" w:color="auto"/>
          </w:divBdr>
          <w:divsChild>
            <w:div w:id="1803040001">
              <w:marLeft w:val="0"/>
              <w:marRight w:val="0"/>
              <w:marTop w:val="0"/>
              <w:marBottom w:val="0"/>
              <w:divBdr>
                <w:top w:val="none" w:sz="0" w:space="0" w:color="auto"/>
                <w:left w:val="none" w:sz="0" w:space="0" w:color="auto"/>
                <w:bottom w:val="none" w:sz="0" w:space="0" w:color="auto"/>
                <w:right w:val="none" w:sz="0" w:space="0" w:color="auto"/>
              </w:divBdr>
              <w:divsChild>
                <w:div w:id="70352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01442">
      <w:bodyDiv w:val="1"/>
      <w:marLeft w:val="0"/>
      <w:marRight w:val="0"/>
      <w:marTop w:val="0"/>
      <w:marBottom w:val="0"/>
      <w:divBdr>
        <w:top w:val="none" w:sz="0" w:space="0" w:color="auto"/>
        <w:left w:val="none" w:sz="0" w:space="0" w:color="auto"/>
        <w:bottom w:val="none" w:sz="0" w:space="0" w:color="auto"/>
        <w:right w:val="none" w:sz="0" w:space="0" w:color="auto"/>
      </w:divBdr>
    </w:div>
    <w:div w:id="1884438028">
      <w:bodyDiv w:val="1"/>
      <w:marLeft w:val="0"/>
      <w:marRight w:val="0"/>
      <w:marTop w:val="0"/>
      <w:marBottom w:val="0"/>
      <w:divBdr>
        <w:top w:val="none" w:sz="0" w:space="0" w:color="auto"/>
        <w:left w:val="none" w:sz="0" w:space="0" w:color="auto"/>
        <w:bottom w:val="none" w:sz="0" w:space="0" w:color="auto"/>
        <w:right w:val="none" w:sz="0" w:space="0" w:color="auto"/>
      </w:divBdr>
    </w:div>
    <w:div w:id="1901208774">
      <w:bodyDiv w:val="1"/>
      <w:marLeft w:val="0"/>
      <w:marRight w:val="0"/>
      <w:marTop w:val="0"/>
      <w:marBottom w:val="0"/>
      <w:divBdr>
        <w:top w:val="none" w:sz="0" w:space="0" w:color="auto"/>
        <w:left w:val="none" w:sz="0" w:space="0" w:color="auto"/>
        <w:bottom w:val="none" w:sz="0" w:space="0" w:color="auto"/>
        <w:right w:val="none" w:sz="0" w:space="0" w:color="auto"/>
      </w:divBdr>
      <w:divsChild>
        <w:div w:id="296687257">
          <w:marLeft w:val="0"/>
          <w:marRight w:val="0"/>
          <w:marTop w:val="0"/>
          <w:marBottom w:val="0"/>
          <w:divBdr>
            <w:top w:val="none" w:sz="0" w:space="0" w:color="auto"/>
            <w:left w:val="none" w:sz="0" w:space="0" w:color="auto"/>
            <w:bottom w:val="none" w:sz="0" w:space="0" w:color="auto"/>
            <w:right w:val="none" w:sz="0" w:space="0" w:color="auto"/>
          </w:divBdr>
          <w:divsChild>
            <w:div w:id="1089276972">
              <w:marLeft w:val="0"/>
              <w:marRight w:val="0"/>
              <w:marTop w:val="0"/>
              <w:marBottom w:val="0"/>
              <w:divBdr>
                <w:top w:val="none" w:sz="0" w:space="0" w:color="auto"/>
                <w:left w:val="none" w:sz="0" w:space="0" w:color="auto"/>
                <w:bottom w:val="none" w:sz="0" w:space="0" w:color="auto"/>
                <w:right w:val="none" w:sz="0" w:space="0" w:color="auto"/>
              </w:divBdr>
              <w:divsChild>
                <w:div w:id="19066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7737">
      <w:bodyDiv w:val="1"/>
      <w:marLeft w:val="0"/>
      <w:marRight w:val="0"/>
      <w:marTop w:val="0"/>
      <w:marBottom w:val="0"/>
      <w:divBdr>
        <w:top w:val="none" w:sz="0" w:space="0" w:color="auto"/>
        <w:left w:val="none" w:sz="0" w:space="0" w:color="auto"/>
        <w:bottom w:val="none" w:sz="0" w:space="0" w:color="auto"/>
        <w:right w:val="none" w:sz="0" w:space="0" w:color="auto"/>
      </w:divBdr>
    </w:div>
    <w:div w:id="1949657050">
      <w:bodyDiv w:val="1"/>
      <w:marLeft w:val="0"/>
      <w:marRight w:val="0"/>
      <w:marTop w:val="0"/>
      <w:marBottom w:val="0"/>
      <w:divBdr>
        <w:top w:val="none" w:sz="0" w:space="0" w:color="auto"/>
        <w:left w:val="none" w:sz="0" w:space="0" w:color="auto"/>
        <w:bottom w:val="none" w:sz="0" w:space="0" w:color="auto"/>
        <w:right w:val="none" w:sz="0" w:space="0" w:color="auto"/>
      </w:divBdr>
    </w:div>
    <w:div w:id="1980256527">
      <w:bodyDiv w:val="1"/>
      <w:marLeft w:val="0"/>
      <w:marRight w:val="0"/>
      <w:marTop w:val="0"/>
      <w:marBottom w:val="0"/>
      <w:divBdr>
        <w:top w:val="none" w:sz="0" w:space="0" w:color="auto"/>
        <w:left w:val="none" w:sz="0" w:space="0" w:color="auto"/>
        <w:bottom w:val="none" w:sz="0" w:space="0" w:color="auto"/>
        <w:right w:val="none" w:sz="0" w:space="0" w:color="auto"/>
      </w:divBdr>
      <w:divsChild>
        <w:div w:id="1790707095">
          <w:marLeft w:val="0"/>
          <w:marRight w:val="0"/>
          <w:marTop w:val="0"/>
          <w:marBottom w:val="0"/>
          <w:divBdr>
            <w:top w:val="none" w:sz="0" w:space="0" w:color="auto"/>
            <w:left w:val="none" w:sz="0" w:space="0" w:color="auto"/>
            <w:bottom w:val="none" w:sz="0" w:space="0" w:color="auto"/>
            <w:right w:val="none" w:sz="0" w:space="0" w:color="auto"/>
          </w:divBdr>
          <w:divsChild>
            <w:div w:id="2068532192">
              <w:marLeft w:val="0"/>
              <w:marRight w:val="0"/>
              <w:marTop w:val="0"/>
              <w:marBottom w:val="0"/>
              <w:divBdr>
                <w:top w:val="none" w:sz="0" w:space="0" w:color="auto"/>
                <w:left w:val="none" w:sz="0" w:space="0" w:color="auto"/>
                <w:bottom w:val="none" w:sz="0" w:space="0" w:color="auto"/>
                <w:right w:val="none" w:sz="0" w:space="0" w:color="auto"/>
              </w:divBdr>
              <w:divsChild>
                <w:div w:id="27671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8369">
      <w:bodyDiv w:val="1"/>
      <w:marLeft w:val="0"/>
      <w:marRight w:val="0"/>
      <w:marTop w:val="0"/>
      <w:marBottom w:val="0"/>
      <w:divBdr>
        <w:top w:val="none" w:sz="0" w:space="0" w:color="auto"/>
        <w:left w:val="none" w:sz="0" w:space="0" w:color="auto"/>
        <w:bottom w:val="none" w:sz="0" w:space="0" w:color="auto"/>
        <w:right w:val="none" w:sz="0" w:space="0" w:color="auto"/>
      </w:divBdr>
    </w:div>
    <w:div w:id="2058627818">
      <w:bodyDiv w:val="1"/>
      <w:marLeft w:val="0"/>
      <w:marRight w:val="0"/>
      <w:marTop w:val="0"/>
      <w:marBottom w:val="0"/>
      <w:divBdr>
        <w:top w:val="none" w:sz="0" w:space="0" w:color="auto"/>
        <w:left w:val="none" w:sz="0" w:space="0" w:color="auto"/>
        <w:bottom w:val="none" w:sz="0" w:space="0" w:color="auto"/>
        <w:right w:val="none" w:sz="0" w:space="0" w:color="auto"/>
      </w:divBdr>
      <w:divsChild>
        <w:div w:id="380055879">
          <w:marLeft w:val="0"/>
          <w:marRight w:val="0"/>
          <w:marTop w:val="0"/>
          <w:marBottom w:val="0"/>
          <w:divBdr>
            <w:top w:val="none" w:sz="0" w:space="0" w:color="auto"/>
            <w:left w:val="none" w:sz="0" w:space="0" w:color="auto"/>
            <w:bottom w:val="none" w:sz="0" w:space="0" w:color="auto"/>
            <w:right w:val="none" w:sz="0" w:space="0" w:color="auto"/>
          </w:divBdr>
          <w:divsChild>
            <w:div w:id="1691836787">
              <w:marLeft w:val="0"/>
              <w:marRight w:val="0"/>
              <w:marTop w:val="0"/>
              <w:marBottom w:val="0"/>
              <w:divBdr>
                <w:top w:val="none" w:sz="0" w:space="0" w:color="auto"/>
                <w:left w:val="none" w:sz="0" w:space="0" w:color="auto"/>
                <w:bottom w:val="none" w:sz="0" w:space="0" w:color="auto"/>
                <w:right w:val="none" w:sz="0" w:space="0" w:color="auto"/>
              </w:divBdr>
              <w:divsChild>
                <w:div w:id="48150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4788">
      <w:bodyDiv w:val="1"/>
      <w:marLeft w:val="0"/>
      <w:marRight w:val="0"/>
      <w:marTop w:val="0"/>
      <w:marBottom w:val="0"/>
      <w:divBdr>
        <w:top w:val="none" w:sz="0" w:space="0" w:color="auto"/>
        <w:left w:val="none" w:sz="0" w:space="0" w:color="auto"/>
        <w:bottom w:val="none" w:sz="0" w:space="0" w:color="auto"/>
        <w:right w:val="none" w:sz="0" w:space="0" w:color="auto"/>
      </w:divBdr>
      <w:divsChild>
        <w:div w:id="977952991">
          <w:marLeft w:val="0"/>
          <w:marRight w:val="0"/>
          <w:marTop w:val="0"/>
          <w:marBottom w:val="0"/>
          <w:divBdr>
            <w:top w:val="none" w:sz="0" w:space="0" w:color="auto"/>
            <w:left w:val="none" w:sz="0" w:space="0" w:color="auto"/>
            <w:bottom w:val="none" w:sz="0" w:space="0" w:color="auto"/>
            <w:right w:val="none" w:sz="0" w:space="0" w:color="auto"/>
          </w:divBdr>
          <w:divsChild>
            <w:div w:id="398675027">
              <w:marLeft w:val="0"/>
              <w:marRight w:val="0"/>
              <w:marTop w:val="0"/>
              <w:marBottom w:val="0"/>
              <w:divBdr>
                <w:top w:val="none" w:sz="0" w:space="0" w:color="auto"/>
                <w:left w:val="none" w:sz="0" w:space="0" w:color="auto"/>
                <w:bottom w:val="none" w:sz="0" w:space="0" w:color="auto"/>
                <w:right w:val="none" w:sz="0" w:space="0" w:color="auto"/>
              </w:divBdr>
              <w:divsChild>
                <w:div w:id="103889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5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justice.gouv.fr/publication/rapport_Marshall_2013.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20</Pages>
  <Words>7820</Words>
  <Characters>43013</Characters>
  <Application>Microsoft Office Word</Application>
  <DocSecurity>0</DocSecurity>
  <Lines>358</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Séverine MENETREY</dc:creator>
  <cp:keywords/>
  <dc:description/>
  <cp:lastModifiedBy>Séverine MENETREY</cp:lastModifiedBy>
  <cp:revision>1700</cp:revision>
  <cp:lastPrinted>2021-12-11T17:17:00Z</cp:lastPrinted>
  <dcterms:created xsi:type="dcterms:W3CDTF">2021-12-10T10:04:00Z</dcterms:created>
  <dcterms:modified xsi:type="dcterms:W3CDTF">2022-01-10T08:29:00Z</dcterms:modified>
</cp:coreProperties>
</file>