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EC1F" w14:textId="285C714A" w:rsidR="002175C3" w:rsidRPr="00456628" w:rsidRDefault="0015624E" w:rsidP="009C6283">
      <w:pPr>
        <w:rPr>
          <w:rFonts w:ascii="Times New Roman" w:eastAsia="Times New Roman" w:hAnsi="Times New Roman" w:cs="Times New Roman"/>
          <w:b/>
          <w:sz w:val="24"/>
          <w:szCs w:val="24"/>
          <w:lang w:val="en-US"/>
        </w:rPr>
      </w:pPr>
      <w:r w:rsidRPr="00456628">
        <w:rPr>
          <w:rFonts w:ascii="Times New Roman" w:hAnsi="Times New Roman" w:cs="Times New Roman"/>
          <w:b/>
          <w:sz w:val="24"/>
          <w:szCs w:val="24"/>
          <w:lang w:val="en-US"/>
        </w:rPr>
        <w:t>Measuring agreement: H</w:t>
      </w:r>
      <w:r w:rsidR="00E20796" w:rsidRPr="00456628">
        <w:rPr>
          <w:rFonts w:ascii="Times New Roman" w:hAnsi="Times New Roman" w:cs="Times New Roman"/>
          <w:b/>
          <w:sz w:val="24"/>
          <w:szCs w:val="24"/>
          <w:lang w:val="en-US"/>
        </w:rPr>
        <w:t xml:space="preserve">ow to arrive at </w:t>
      </w:r>
      <w:r w:rsidR="00C158F3" w:rsidRPr="00456628">
        <w:rPr>
          <w:rFonts w:ascii="Times New Roman" w:eastAsia="Times New Roman" w:hAnsi="Times New Roman" w:cs="Times New Roman"/>
          <w:b/>
          <w:sz w:val="24"/>
          <w:szCs w:val="24"/>
          <w:lang w:val="en-US"/>
        </w:rPr>
        <w:t xml:space="preserve">reliable </w:t>
      </w:r>
      <w:r w:rsidR="00E20796" w:rsidRPr="00456628">
        <w:rPr>
          <w:rFonts w:ascii="Times New Roman" w:eastAsia="Times New Roman" w:hAnsi="Times New Roman" w:cs="Times New Roman"/>
          <w:b/>
          <w:sz w:val="24"/>
          <w:szCs w:val="24"/>
          <w:lang w:val="en-US"/>
        </w:rPr>
        <w:t>measure</w:t>
      </w:r>
      <w:r w:rsidR="00C158F3" w:rsidRPr="00456628">
        <w:rPr>
          <w:rFonts w:ascii="Times New Roman" w:eastAsia="Times New Roman" w:hAnsi="Times New Roman" w:cs="Times New Roman"/>
          <w:b/>
          <w:sz w:val="24"/>
          <w:szCs w:val="24"/>
          <w:lang w:val="en-US"/>
        </w:rPr>
        <w:t>s</w:t>
      </w:r>
      <w:r w:rsidR="00E20796" w:rsidRPr="00456628">
        <w:rPr>
          <w:rFonts w:ascii="Times New Roman" w:eastAsia="Times New Roman" w:hAnsi="Times New Roman" w:cs="Times New Roman"/>
          <w:b/>
          <w:sz w:val="24"/>
          <w:szCs w:val="24"/>
          <w:lang w:val="en-US"/>
        </w:rPr>
        <w:t xml:space="preserve"> of opinion congruence between voters and parties</w:t>
      </w:r>
    </w:p>
    <w:p w14:paraId="3FB74E6F" w14:textId="7B8E1E63" w:rsidR="00E20796" w:rsidRPr="00456628" w:rsidRDefault="00E20796" w:rsidP="009C6283">
      <w:pPr>
        <w:rPr>
          <w:rFonts w:ascii="Times New Roman" w:eastAsia="Times New Roman" w:hAnsi="Times New Roman" w:cs="Times New Roman"/>
          <w:sz w:val="24"/>
          <w:szCs w:val="24"/>
          <w:lang w:val="en-US"/>
        </w:rPr>
      </w:pPr>
    </w:p>
    <w:p w14:paraId="7C44877E" w14:textId="1630C5C3" w:rsidR="00E20796" w:rsidRPr="00456628" w:rsidRDefault="00E20796" w:rsidP="009C6283">
      <w:pPr>
        <w:rPr>
          <w:rFonts w:ascii="Times New Roman" w:eastAsia="Times New Roman" w:hAnsi="Times New Roman" w:cs="Times New Roman"/>
          <w:sz w:val="24"/>
          <w:szCs w:val="24"/>
          <w:lang w:val="en-AU"/>
        </w:rPr>
      </w:pPr>
    </w:p>
    <w:p w14:paraId="4822A7E0" w14:textId="681F7ED0" w:rsidR="00D941C7" w:rsidRPr="00456628" w:rsidRDefault="00D941C7" w:rsidP="009C6283">
      <w:pPr>
        <w:rPr>
          <w:rFonts w:ascii="Times New Roman" w:eastAsia="Times New Roman" w:hAnsi="Times New Roman" w:cs="Times New Roman"/>
          <w:sz w:val="24"/>
          <w:szCs w:val="24"/>
          <w:lang w:val="en-AU"/>
        </w:rPr>
      </w:pPr>
    </w:p>
    <w:p w14:paraId="49AE80A0" w14:textId="1B50DB83" w:rsidR="00D941C7" w:rsidRPr="00456628" w:rsidRDefault="00D941C7" w:rsidP="009C6283">
      <w:pPr>
        <w:rPr>
          <w:rFonts w:ascii="Times New Roman" w:eastAsia="Times New Roman" w:hAnsi="Times New Roman" w:cs="Times New Roman"/>
          <w:sz w:val="24"/>
          <w:szCs w:val="24"/>
          <w:lang w:val="en-AU"/>
        </w:rPr>
      </w:pPr>
    </w:p>
    <w:p w14:paraId="14669BFB" w14:textId="3922332E" w:rsidR="00E20796" w:rsidRPr="00456628" w:rsidRDefault="00E20796" w:rsidP="009C6283">
      <w:pPr>
        <w:rPr>
          <w:rFonts w:ascii="Times New Roman" w:eastAsia="Times New Roman" w:hAnsi="Times New Roman" w:cs="Times New Roman"/>
          <w:sz w:val="24"/>
          <w:szCs w:val="24"/>
          <w:lang w:val="en-AU"/>
        </w:rPr>
      </w:pPr>
    </w:p>
    <w:p w14:paraId="70124579" w14:textId="77777777" w:rsidR="00283986" w:rsidRPr="00456628" w:rsidRDefault="00283986" w:rsidP="009C6283">
      <w:pPr>
        <w:rPr>
          <w:rFonts w:ascii="Times New Roman" w:eastAsia="Times New Roman" w:hAnsi="Times New Roman" w:cs="Times New Roman"/>
          <w:sz w:val="24"/>
          <w:szCs w:val="24"/>
          <w:lang w:val="en-AU"/>
        </w:rPr>
      </w:pPr>
    </w:p>
    <w:p w14:paraId="3F7AA5A7" w14:textId="7BE6A033" w:rsidR="00E20796" w:rsidRPr="00456628" w:rsidRDefault="0015624E" w:rsidP="009C6283">
      <w:pPr>
        <w:rPr>
          <w:rFonts w:ascii="Times New Roman" w:eastAsia="Times New Roman" w:hAnsi="Times New Roman" w:cs="Times New Roman"/>
          <w:b/>
          <w:sz w:val="24"/>
          <w:szCs w:val="24"/>
          <w:lang w:val="en-AU"/>
        </w:rPr>
      </w:pPr>
      <w:r w:rsidRPr="00456628">
        <w:rPr>
          <w:rFonts w:ascii="Times New Roman" w:eastAsia="Times New Roman" w:hAnsi="Times New Roman" w:cs="Times New Roman"/>
          <w:b/>
          <w:sz w:val="24"/>
          <w:szCs w:val="24"/>
          <w:lang w:val="en-AU"/>
        </w:rPr>
        <w:t>Abstract</w:t>
      </w:r>
    </w:p>
    <w:p w14:paraId="58F91E9E" w14:textId="45AE2854" w:rsidR="007E677C" w:rsidRPr="00456628" w:rsidRDefault="007F516F" w:rsidP="009C6283">
      <w:pPr>
        <w:tabs>
          <w:tab w:val="left" w:pos="7212"/>
        </w:tabs>
        <w:rPr>
          <w:rFonts w:ascii="Times New Roman" w:hAnsi="Times New Roman" w:cs="Times New Roman"/>
          <w:sz w:val="24"/>
          <w:szCs w:val="24"/>
          <w:lang w:val="en-AU"/>
        </w:rPr>
      </w:pPr>
      <w:r w:rsidRPr="00456628">
        <w:rPr>
          <w:rFonts w:ascii="Times New Roman" w:hAnsi="Times New Roman" w:cs="Times New Roman"/>
          <w:sz w:val="24"/>
          <w:szCs w:val="24"/>
          <w:lang w:val="en-AU"/>
        </w:rPr>
        <w:t xml:space="preserve">The extent to which voters and parties agree on </w:t>
      </w:r>
      <w:r w:rsidR="00746CBB" w:rsidRPr="00456628">
        <w:rPr>
          <w:rFonts w:ascii="Times New Roman" w:hAnsi="Times New Roman" w:cs="Times New Roman"/>
          <w:sz w:val="24"/>
          <w:szCs w:val="24"/>
          <w:lang w:val="en-AU"/>
        </w:rPr>
        <w:t>policies is an important way through which political scientists have empirically studied political representation. This</w:t>
      </w:r>
      <w:r w:rsidR="00631426" w:rsidRPr="00456628">
        <w:rPr>
          <w:rFonts w:ascii="Times New Roman" w:hAnsi="Times New Roman" w:cs="Times New Roman"/>
          <w:sz w:val="24"/>
          <w:szCs w:val="24"/>
          <w:lang w:val="en-AU"/>
        </w:rPr>
        <w:t xml:space="preserve"> opinion congruence</w:t>
      </w:r>
      <w:r w:rsidR="00746CBB" w:rsidRPr="00456628">
        <w:rPr>
          <w:rFonts w:ascii="Times New Roman" w:hAnsi="Times New Roman" w:cs="Times New Roman"/>
          <w:sz w:val="24"/>
          <w:szCs w:val="24"/>
          <w:lang w:val="en-AU"/>
        </w:rPr>
        <w:t xml:space="preserve"> is most often measured by comparing preferences on a number of policy statements. </w:t>
      </w:r>
      <w:r w:rsidR="00196626" w:rsidRPr="00456628">
        <w:rPr>
          <w:rFonts w:ascii="Times New Roman" w:hAnsi="Times New Roman" w:cs="Times New Roman"/>
          <w:sz w:val="24"/>
          <w:szCs w:val="24"/>
          <w:lang w:val="en-AU"/>
        </w:rPr>
        <w:t xml:space="preserve">While the selection of policy statements has not escaped scholarly attention, its impact on the reliability of congruence scores, i.e. </w:t>
      </w:r>
      <w:r w:rsidR="00196626" w:rsidRPr="00456628">
        <w:rPr>
          <w:rFonts w:ascii="Times New Roman" w:hAnsi="Times New Roman" w:cs="Times New Roman"/>
          <w:sz w:val="24"/>
          <w:szCs w:val="24"/>
          <w:lang w:val="en-US"/>
        </w:rPr>
        <w:t>the degree to which similar levels of opinion congruence are found when different samples of policy statements are used,</w:t>
      </w:r>
      <w:r w:rsidR="00196626" w:rsidRPr="00456628">
        <w:rPr>
          <w:rFonts w:ascii="Times New Roman" w:hAnsi="Times New Roman" w:cs="Times New Roman"/>
          <w:sz w:val="24"/>
          <w:szCs w:val="24"/>
          <w:lang w:val="en-AU"/>
        </w:rPr>
        <w:t xml:space="preserve"> has been less investigated. </w:t>
      </w:r>
      <w:r w:rsidR="007E677C" w:rsidRPr="00456628">
        <w:rPr>
          <w:rFonts w:ascii="Times New Roman" w:hAnsi="Times New Roman" w:cs="Times New Roman"/>
          <w:sz w:val="24"/>
          <w:szCs w:val="24"/>
          <w:lang w:val="en-AU"/>
        </w:rPr>
        <w:t xml:space="preserve">This article looks at </w:t>
      </w:r>
      <w:r w:rsidR="00196626" w:rsidRPr="00456628">
        <w:rPr>
          <w:rFonts w:ascii="Times New Roman" w:hAnsi="Times New Roman" w:cs="Times New Roman"/>
          <w:sz w:val="24"/>
          <w:szCs w:val="24"/>
          <w:lang w:val="en-AU"/>
        </w:rPr>
        <w:t>which factors of statements samples and voters</w:t>
      </w:r>
      <w:r w:rsidR="007E677C" w:rsidRPr="00456628">
        <w:rPr>
          <w:rFonts w:ascii="Times New Roman" w:hAnsi="Times New Roman" w:cs="Times New Roman"/>
          <w:sz w:val="24"/>
          <w:szCs w:val="24"/>
          <w:lang w:val="en-AU"/>
        </w:rPr>
        <w:t xml:space="preserve"> </w:t>
      </w:r>
      <w:r w:rsidR="00BD40AE" w:rsidRPr="00456628">
        <w:rPr>
          <w:rFonts w:ascii="Times New Roman" w:hAnsi="Times New Roman" w:cs="Times New Roman"/>
          <w:sz w:val="24"/>
          <w:szCs w:val="24"/>
          <w:lang w:val="en-AU"/>
        </w:rPr>
        <w:t xml:space="preserve">affect the reliability of </w:t>
      </w:r>
      <w:r w:rsidR="007E677C" w:rsidRPr="00456628">
        <w:rPr>
          <w:rFonts w:ascii="Times New Roman" w:hAnsi="Times New Roman" w:cs="Times New Roman"/>
          <w:sz w:val="24"/>
          <w:szCs w:val="24"/>
          <w:lang w:val="en-AU"/>
        </w:rPr>
        <w:t xml:space="preserve">congruence measures. It does </w:t>
      </w:r>
      <w:r w:rsidR="00BD40AE" w:rsidRPr="00456628">
        <w:rPr>
          <w:rFonts w:ascii="Times New Roman" w:hAnsi="Times New Roman" w:cs="Times New Roman"/>
          <w:sz w:val="24"/>
          <w:szCs w:val="24"/>
          <w:lang w:val="en-AU"/>
        </w:rPr>
        <w:t xml:space="preserve">so </w:t>
      </w:r>
      <w:r w:rsidR="00196626" w:rsidRPr="00456628">
        <w:rPr>
          <w:rFonts w:ascii="Times New Roman" w:hAnsi="Times New Roman" w:cs="Times New Roman"/>
          <w:sz w:val="24"/>
          <w:szCs w:val="24"/>
          <w:lang w:val="en-AU"/>
        </w:rPr>
        <w:t>by simulating over 5</w:t>
      </w:r>
      <w:r w:rsidR="007E677C" w:rsidRPr="00456628">
        <w:rPr>
          <w:rFonts w:ascii="Times New Roman" w:hAnsi="Times New Roman" w:cs="Times New Roman"/>
          <w:sz w:val="24"/>
          <w:szCs w:val="24"/>
          <w:lang w:val="en-AU"/>
        </w:rPr>
        <w:t xml:space="preserve"> million opinion congruence scores on the basis of a dataset containing 134 voter and party policy preferences. It finds that both the number of statements and their topic diversity positively affect the </w:t>
      </w:r>
      <w:r w:rsidR="00740AAA" w:rsidRPr="00456628">
        <w:rPr>
          <w:rFonts w:ascii="Times New Roman" w:hAnsi="Times New Roman" w:cs="Times New Roman"/>
          <w:sz w:val="24"/>
          <w:szCs w:val="24"/>
          <w:lang w:val="en-AU"/>
        </w:rPr>
        <w:t>reliability</w:t>
      </w:r>
      <w:r w:rsidR="007E677C" w:rsidRPr="00456628">
        <w:rPr>
          <w:rFonts w:ascii="Times New Roman" w:hAnsi="Times New Roman" w:cs="Times New Roman"/>
          <w:sz w:val="24"/>
          <w:szCs w:val="24"/>
          <w:lang w:val="en-AU"/>
        </w:rPr>
        <w:t xml:space="preserve"> of </w:t>
      </w:r>
      <w:r w:rsidR="007E677C" w:rsidRPr="00456628">
        <w:rPr>
          <w:rFonts w:ascii="Times New Roman" w:hAnsi="Times New Roman" w:cs="Times New Roman"/>
          <w:sz w:val="24"/>
          <w:szCs w:val="24"/>
          <w:lang w:val="en-US"/>
        </w:rPr>
        <w:t xml:space="preserve">congruence estimates. </w:t>
      </w:r>
      <w:r w:rsidR="00C83752" w:rsidRPr="00456628">
        <w:rPr>
          <w:rFonts w:ascii="Times New Roman" w:hAnsi="Times New Roman" w:cs="Times New Roman"/>
          <w:sz w:val="24"/>
          <w:szCs w:val="24"/>
          <w:lang w:val="en-US"/>
        </w:rPr>
        <w:t>In addition, the congruence estimates of politically</w:t>
      </w:r>
      <w:r w:rsidR="00740AAA" w:rsidRPr="00456628">
        <w:rPr>
          <w:rFonts w:ascii="Times New Roman" w:hAnsi="Times New Roman" w:cs="Times New Roman"/>
          <w:sz w:val="24"/>
          <w:szCs w:val="24"/>
          <w:lang w:val="en-US"/>
        </w:rPr>
        <w:t xml:space="preserve"> less sophisticated</w:t>
      </w:r>
      <w:r w:rsidR="00C83752" w:rsidRPr="00456628">
        <w:rPr>
          <w:rFonts w:ascii="Times New Roman" w:hAnsi="Times New Roman" w:cs="Times New Roman"/>
          <w:sz w:val="24"/>
          <w:szCs w:val="24"/>
          <w:lang w:val="en-US"/>
        </w:rPr>
        <w:t xml:space="preserve"> voters are more reliable b</w:t>
      </w:r>
      <w:r w:rsidR="00740AAA" w:rsidRPr="00456628">
        <w:rPr>
          <w:rFonts w:ascii="Times New Roman" w:hAnsi="Times New Roman" w:cs="Times New Roman"/>
          <w:sz w:val="24"/>
          <w:szCs w:val="24"/>
          <w:lang w:val="en-US"/>
        </w:rPr>
        <w:t>ut only when many</w:t>
      </w:r>
      <w:r w:rsidR="00C83752" w:rsidRPr="00456628">
        <w:rPr>
          <w:rFonts w:ascii="Times New Roman" w:hAnsi="Times New Roman" w:cs="Times New Roman"/>
          <w:sz w:val="24"/>
          <w:szCs w:val="24"/>
          <w:lang w:val="en-US"/>
        </w:rPr>
        <w:t xml:space="preserve"> l</w:t>
      </w:r>
      <w:r w:rsidR="00740AAA" w:rsidRPr="00456628">
        <w:rPr>
          <w:rFonts w:ascii="Times New Roman" w:hAnsi="Times New Roman" w:cs="Times New Roman"/>
          <w:sz w:val="24"/>
          <w:szCs w:val="24"/>
          <w:lang w:val="en-US"/>
        </w:rPr>
        <w:t>eft-right policy statements are</w:t>
      </w:r>
      <w:r w:rsidR="00C83752" w:rsidRPr="00456628">
        <w:rPr>
          <w:rFonts w:ascii="Times New Roman" w:hAnsi="Times New Roman" w:cs="Times New Roman"/>
          <w:sz w:val="24"/>
          <w:szCs w:val="24"/>
          <w:lang w:val="en-US"/>
        </w:rPr>
        <w:t xml:space="preserve"> included in the statement s</w:t>
      </w:r>
      <w:r w:rsidR="006A3171" w:rsidRPr="00456628">
        <w:rPr>
          <w:rFonts w:ascii="Times New Roman" w:hAnsi="Times New Roman" w:cs="Times New Roman"/>
          <w:sz w:val="24"/>
          <w:szCs w:val="24"/>
          <w:lang w:val="en-US"/>
        </w:rPr>
        <w:t>election</w:t>
      </w:r>
      <w:r w:rsidR="00C83752" w:rsidRPr="00456628">
        <w:rPr>
          <w:rFonts w:ascii="Times New Roman" w:hAnsi="Times New Roman" w:cs="Times New Roman"/>
          <w:sz w:val="24"/>
          <w:szCs w:val="24"/>
          <w:lang w:val="en-US"/>
        </w:rPr>
        <w:t>.</w:t>
      </w:r>
      <w:r w:rsidR="002874AA" w:rsidRPr="00456628">
        <w:rPr>
          <w:rFonts w:ascii="Times New Roman" w:hAnsi="Times New Roman" w:cs="Times New Roman"/>
          <w:sz w:val="24"/>
          <w:szCs w:val="24"/>
          <w:lang w:val="en-US"/>
        </w:rPr>
        <w:t xml:space="preserve"> Finally, explorative analyses suggest that increasing topic diversity also increases the validity of congruence measures.</w:t>
      </w:r>
    </w:p>
    <w:p w14:paraId="3CB3F51B" w14:textId="388F6D41" w:rsidR="007E677C" w:rsidRPr="00456628" w:rsidRDefault="007E677C" w:rsidP="009C6283">
      <w:pPr>
        <w:tabs>
          <w:tab w:val="left" w:pos="7212"/>
        </w:tabs>
        <w:rPr>
          <w:rFonts w:ascii="Times New Roman" w:hAnsi="Times New Roman" w:cs="Times New Roman"/>
          <w:sz w:val="24"/>
          <w:szCs w:val="24"/>
          <w:lang w:val="en-AU"/>
        </w:rPr>
      </w:pPr>
    </w:p>
    <w:p w14:paraId="5F31DDB8" w14:textId="77777777" w:rsidR="00E20796" w:rsidRPr="00456628" w:rsidRDefault="00E20796" w:rsidP="009C6283">
      <w:pPr>
        <w:rPr>
          <w:rFonts w:ascii="Times New Roman" w:eastAsia="Times New Roman" w:hAnsi="Times New Roman" w:cs="Times New Roman"/>
          <w:sz w:val="24"/>
          <w:szCs w:val="24"/>
          <w:lang w:val="en-AU"/>
        </w:rPr>
      </w:pPr>
    </w:p>
    <w:p w14:paraId="1713C4D2" w14:textId="77777777" w:rsidR="00E20796" w:rsidRPr="00456628" w:rsidRDefault="00E20796" w:rsidP="009C6283">
      <w:pPr>
        <w:rPr>
          <w:rFonts w:ascii="Times New Roman" w:eastAsia="Times New Roman" w:hAnsi="Times New Roman" w:cs="Times New Roman"/>
          <w:sz w:val="24"/>
          <w:szCs w:val="24"/>
          <w:lang w:val="en-AU"/>
        </w:rPr>
      </w:pPr>
      <w:r w:rsidRPr="00456628">
        <w:rPr>
          <w:rFonts w:ascii="Times New Roman" w:eastAsia="Times New Roman" w:hAnsi="Times New Roman" w:cs="Times New Roman"/>
          <w:sz w:val="24"/>
          <w:szCs w:val="24"/>
          <w:lang w:val="en-AU"/>
        </w:rPr>
        <w:br w:type="page"/>
      </w:r>
    </w:p>
    <w:p w14:paraId="6C72721F" w14:textId="77777777" w:rsidR="00E20796" w:rsidRPr="00456628" w:rsidRDefault="00E20796" w:rsidP="009C6283">
      <w:pPr>
        <w:rPr>
          <w:rFonts w:ascii="Times New Roman" w:hAnsi="Times New Roman" w:cs="Times New Roman"/>
          <w:b/>
          <w:sz w:val="24"/>
          <w:szCs w:val="24"/>
          <w:lang w:val="en-US"/>
        </w:rPr>
      </w:pPr>
      <w:r w:rsidRPr="00456628">
        <w:rPr>
          <w:rFonts w:ascii="Times New Roman" w:hAnsi="Times New Roman" w:cs="Times New Roman"/>
          <w:b/>
          <w:sz w:val="24"/>
          <w:szCs w:val="24"/>
          <w:lang w:val="en-US"/>
        </w:rPr>
        <w:lastRenderedPageBreak/>
        <w:t>Introduction</w:t>
      </w:r>
    </w:p>
    <w:p w14:paraId="76EB6670" w14:textId="11ECAACD" w:rsidR="004F54BE" w:rsidRPr="00456628" w:rsidRDefault="004F54BE" w:rsidP="0031566C">
      <w:pPr>
        <w:rPr>
          <w:rFonts w:ascii="Times New Roman" w:eastAsia="Times New Roman" w:hAnsi="Times New Roman" w:cs="Times New Roman"/>
          <w:sz w:val="24"/>
          <w:szCs w:val="24"/>
          <w:lang w:val="en-US"/>
        </w:rPr>
      </w:pPr>
      <w:r w:rsidRPr="00456628">
        <w:rPr>
          <w:rFonts w:ascii="Times New Roman" w:hAnsi="Times New Roman" w:cs="Times New Roman"/>
          <w:sz w:val="24"/>
          <w:szCs w:val="24"/>
          <w:lang w:val="en-US"/>
        </w:rPr>
        <w:t xml:space="preserve">Normative democratic theory emphasizes the proper representation of voters’ policy preferences by representatives. </w:t>
      </w:r>
      <w:r w:rsidRPr="00456628">
        <w:rPr>
          <w:rFonts w:ascii="Times New Roman" w:eastAsia="Times New Roman" w:hAnsi="Times New Roman" w:cs="Times New Roman"/>
          <w:sz w:val="24"/>
          <w:szCs w:val="24"/>
          <w:lang w:val="en-US"/>
        </w:rPr>
        <w:t xml:space="preserve">High levels of policy agreement between voters and elites, in what has been referred to as ‘opinion congruence’, is one of the most important indicators of democratic health (Dahlberg, Linde, &amp; Holmberg, 2015; Diamond &amp; Morlino, 2005), and a large body of research has been devoted to this topic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{"citationID":"YjwsadNA","properties":{"formattedCitation":"(Walczak and Brug 2013; Walgrave and Lefevere 2013)","plainCitation":"(Walczak and Brug 2013; Walgrave and Lefevere 2013)","noteIndex":0},"citationItems":[{"id":"zNFxbYtK/LNYMfi1C","uris":["http://zotero.org/users/2012883/items/9IZ8JSTP"],"uri":["http://zotero.org/users/2012883/items/9IZ8JSTP"],"itemData":{"id":70,"type":"article-journal","title":"Representation in the European Parliament: Factors affecting the attitude congruence of voters and candidates in the EP elections","container-title":"European Union Politics","page":"3-22","volume":"14","issue":"1","source":"eup.sagepub.com","abstract":"This article examines the extent to which individual-, party- and system-level characteristics affect the attitude congruence of voters and candidates for elections to the European Parliament. It examines attitudes towards basic policy packages in the socioeconomic and libertarian/authoritarian issue domains and on immigration and European Union integration. The analysis is based on the 2009 European Election Study and European Election Candidate Survey, which covered 27 countries of the European Union (EU), 162 parties and over 11,500 respondents. It shows that the European Parliament suffers from inequalities in representation for different groups of citizens, representing much better the attitudes of educated, middle-class and politically knowledgeable voters. Furthermore, the analysis uncovers significant differences across political parties in how well they match up to voters. We provide tentative evidence suggesting that voters are better represented in open and ordered ballot systems.","ISSN":"1465-1165, 1741-2757","shortTitle":"Representation in the European Parliament","journalAbbreviation":"European Union Politics","language":"en","author":[{"family":"Walczak","given":"Agnieszka"},{"family":"Brug","given":"Wouter","dropping-particle":"van der"}],"issued":{"date-parts":[["2013"]]}}},{"id":"zNFxbYtK/ewG79xAj","uris":["http://zotero.org/users/2012883/items/936W7KBD"],"uri":["http://zotero.org/users/2012883/items/936W7KBD"],"itemData":{"id":392,"type":"article-journal","title":"Ideology, Salience, and Complexity: Determinants of Policy Issue Incongruence between Voters and Parties","container-title":"Journal of Elections, Public Opinion and Parties","page":"456-483","volume":"23","issue":"4","source":"Taylor and Francis+NEJM","abstract":"How come voters and their parties agree or disagree on policy issues? We claim that voter–party mismatches are due to a lack of information of voters regarding parties' positions. Three mechanisms determine levels of information: ideology, salience, and complexity. We test these ideas drawing on a large sample of policy statements (50) presented to voters and party leaders prior to regional elections in Belgium. Contrary to existing studies, we include predictors on all three levels: issue, voter, and party level. We find support for our claim. Major ideological divides such as the left–right divide yield useful information to the voters about where parties stand. Salience also generates information for voters, or makes information more accessible for voters, which decreases the odds that they have a different stance than their party. Our measures of complexity yielded the expected results too. When the task of voting is made more difficult, voters succeed less in voting for a party that matches their preferences.","DOI":"10.1080/17457289.2013.810630","ISSN":"1745-7289","shortTitle":"Ideology, Salience, and Complexity","author":[{"family":"Walgrave","given":"Stefaan"},{"family":"Lefevere","given":"Jonas"}],"issued":{"date-parts":[["2013"]]}}}],"schema":"https://github.com/citation-style-language/schema/raw/master/csl-citation.json"} </w:instrText>
      </w:r>
      <w:r w:rsidRPr="00456628">
        <w:rPr>
          <w:rFonts w:ascii="Times New Roman" w:hAnsi="Times New Roman" w:cs="Times New Roman"/>
          <w:sz w:val="24"/>
          <w:szCs w:val="24"/>
          <w:lang w:val="en-US"/>
        </w:rPr>
        <w:fldChar w:fldCharType="separate"/>
      </w:r>
      <w:r w:rsidR="004E5895" w:rsidRPr="00456628">
        <w:rPr>
          <w:rFonts w:ascii="Times New Roman" w:hAnsi="Times New Roman" w:cs="Times New Roman"/>
          <w:sz w:val="24"/>
          <w:szCs w:val="24"/>
          <w:lang w:val="en-US"/>
        </w:rPr>
        <w:t>(Walczak and Brug 2013; Walgrave and Lefevere 2013)</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w:t>
      </w:r>
      <w:r w:rsidRPr="00456628">
        <w:rPr>
          <w:rFonts w:ascii="Times New Roman" w:eastAsia="Times New Roman" w:hAnsi="Times New Roman" w:cs="Times New Roman"/>
          <w:sz w:val="24"/>
          <w:szCs w:val="24"/>
          <w:lang w:val="en-US"/>
        </w:rPr>
        <w:t xml:space="preserve">The logic behind the study of opinion congruence is simple: when citizens and representatives have similar policy positions, there is an increased likelihood of these positions becoming actual policies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{"citationID":"oFxZqd2w","properties":{"formattedCitation":"(R. Dalton 1988; Thomassen 1994)","plainCitation":"(R. Dalton 1988; Thomassen 1994)","dontUpdate":true,"noteIndex":0},"citationItems":[{"id":"zNFxbYtK/QbU1tRrN","uris":["http://zotero.org/users/2012883/items/P6DJAFBB"],"uri":["http://zotero.org/users/2012883/items/P6DJAFBB"],"itemData":{"id":537,"type":"book","title":"Citizen Politics in Western Democracies: Public Opinion and Political Parties in the United States, Great Britain, WestGermany, and France","publisher":"Chatham House Publishers","number-of-pages":"294","source":"Google Books","ISBN":"978-0-934540-44-5","shortTitle":"Citizen Politics in Western Democracies","language":"en","author":[{"family":"Dalton","given":"Russell"}],"issued":{"date-parts":[["1988"]]}}},{"id":"zNFxbYtK/0vduNwpQ","uris":["http://zotero.org/users/2012883/items/JP6D2TK2"],"uri":["http://zotero.org/users/2012883/items/JP6D2TK2"],"itemData":{"id":403,"type":"chapter","title":"Empirical Research into Political Representation: Failing Democracy or Failing Models?","container-title":"Elections at Home and Abroad: Essays in Honor of Warren Miller","publisher":"The University of Michigan Press","publisher-place":"Ann Arbor","page":"237-265","event-place":"Ann Arbor","author":[{"family":"Thomassen","given":"Jacques"}],"editor":[{"family":"Jennings","given":"M. Kent"},{"family":"Mann","given":"Thomas E."}],"issued":{"date-parts":[["1994"]]}}}],"schema":"https://github.com/citation-style-language/schema/raw/master/csl-citation.json"}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(Dalton 1988; Thomassen 1994)</w:t>
      </w:r>
      <w:r w:rsidRPr="00456628">
        <w:rPr>
          <w:rFonts w:ascii="Times New Roman" w:hAnsi="Times New Roman" w:cs="Times New Roman"/>
          <w:sz w:val="24"/>
          <w:szCs w:val="24"/>
          <w:lang w:val="en-US"/>
        </w:rPr>
        <w:fldChar w:fldCharType="end"/>
      </w:r>
      <w:r w:rsidRPr="00456628">
        <w:rPr>
          <w:rFonts w:ascii="Times New Roman" w:eastAsia="Times New Roman" w:hAnsi="Times New Roman" w:cs="Times New Roman"/>
          <w:sz w:val="24"/>
          <w:szCs w:val="24"/>
          <w:lang w:val="en-US"/>
        </w:rPr>
        <w:t xml:space="preserve">. </w:t>
      </w:r>
    </w:p>
    <w:p w14:paraId="3CAAF604" w14:textId="69095C22" w:rsidR="003551AC" w:rsidRPr="00456628" w:rsidRDefault="003551AC" w:rsidP="003A7D8B">
      <w:pPr>
        <w:widowControl w:val="0"/>
        <w:autoSpaceDE w:val="0"/>
        <w:autoSpaceDN w:val="0"/>
        <w:adjustRightInd w:val="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 measurement of opinion congruence has gone through several developments since Stokes and Miller’s </w:t>
      </w:r>
      <w:r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JdOo36C8","properties":{"formattedCitation":"(1963)","plainCitation":"(1963)","noteIndex":0},"citationItems":[{"id":217,"uris":["http://zotero.org/users/local/uk8r6OrS/items/4QAQN4DV"],"uri":["http://zotero.org/users/local/uk8r6OrS/items/4QAQN4DV"],"itemData":{"id":217,"type":"article-journal","container-title":"American Political Science Review","DOI":"10.2307/1952717","ISSN":"0003-0554, 1537-5943","issue":"01","language":"en","page":"45-56","source":"Crossref","title":"Constituency Influence in Congress","volume":"57","author":[{"family":"Miller","given":"Warren E."},{"family":"Stokes","given":"Donald E."}],"issued":{"date-parts":[["1963",3]]}},"suppress-author":true}],"schema":"https://github.com/citation-style-language/schema/raw/master/csl-citation.json"}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(1963)</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seminal article about the </w:t>
      </w:r>
      <w:r w:rsidR="00724D35" w:rsidRPr="00456628">
        <w:rPr>
          <w:rFonts w:ascii="Times New Roman" w:hAnsi="Times New Roman" w:cs="Times New Roman"/>
          <w:sz w:val="24"/>
          <w:szCs w:val="24"/>
          <w:lang w:val="en-US"/>
        </w:rPr>
        <w:t>cor</w:t>
      </w:r>
      <w:r w:rsidRPr="00456628">
        <w:rPr>
          <w:rFonts w:ascii="Times New Roman" w:hAnsi="Times New Roman" w:cs="Times New Roman"/>
          <w:sz w:val="24"/>
          <w:szCs w:val="24"/>
          <w:lang w:val="en-US"/>
        </w:rPr>
        <w:t xml:space="preserve">relation between the preferences of Congressional representatives and their constituents in the US. </w:t>
      </w:r>
      <w:r w:rsidR="00724D35" w:rsidRPr="00456628">
        <w:rPr>
          <w:rFonts w:ascii="Times New Roman" w:hAnsi="Times New Roman" w:cs="Times New Roman"/>
          <w:sz w:val="24"/>
          <w:szCs w:val="24"/>
          <w:lang w:val="en-US"/>
        </w:rPr>
        <w:t xml:space="preserve">A first development happened when correlational measures were replaced by estimates of distance between voter and elite positions </w:t>
      </w:r>
      <w:r w:rsidR="00724D35"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{"citationID":"FTx1m4SJ","properties":{"formattedCitation":"(Achen 1977)","plainCitation":"(Achen 1977)","noteIndex":0},"citationItems":[{"id":702,"uris":["http://zotero.org/users/local/uk8r6OrS/items/ID8SFSKE"],"uri":["http://zotero.org/users/local/uk8r6OrS/items/ID8SFSKE"],"itemData":{"id":702,"type":"article-journal","container-title":"American Journal of Political Science","DOI":"10.2307/2110737","ISSN":"00925853","issue":"4","journalAbbreviation":"American Journal of Political Science","page":"805","source":"DOI.org (Crossref)","title":"Measuring Representation: Perils of the Correlation Coefficient","title-short":"Measuring Representation","volume":"21","author":[{"family":"Achen","given":"Christopher H."}],"issued":{"date-parts":[["1977",11]]}}}],"schema":"https://github.com/citation-style-language/schema/raw/master/csl-citation.json"} </w:instrText>
      </w:r>
      <w:r w:rsidR="00724D35" w:rsidRPr="00456628">
        <w:rPr>
          <w:rFonts w:ascii="Times New Roman" w:hAnsi="Times New Roman" w:cs="Times New Roman"/>
          <w:sz w:val="24"/>
          <w:szCs w:val="24"/>
          <w:lang w:val="en-US"/>
        </w:rPr>
        <w:fldChar w:fldCharType="separate"/>
      </w:r>
      <w:r w:rsidR="00724D35" w:rsidRPr="00456628">
        <w:rPr>
          <w:rFonts w:ascii="Times New Roman" w:hAnsi="Times New Roman" w:cs="Times New Roman"/>
          <w:sz w:val="24"/>
          <w:szCs w:val="24"/>
          <w:lang w:val="en-US"/>
        </w:rPr>
        <w:t>(Achen 1977)</w:t>
      </w:r>
      <w:r w:rsidR="00724D35" w:rsidRPr="00456628">
        <w:rPr>
          <w:rFonts w:ascii="Times New Roman" w:hAnsi="Times New Roman" w:cs="Times New Roman"/>
          <w:sz w:val="24"/>
          <w:szCs w:val="24"/>
          <w:lang w:val="en-US"/>
        </w:rPr>
        <w:fldChar w:fldCharType="end"/>
      </w:r>
      <w:r w:rsidR="00724D35" w:rsidRPr="00456628">
        <w:rPr>
          <w:rFonts w:ascii="Times New Roman" w:hAnsi="Times New Roman" w:cs="Times New Roman"/>
          <w:sz w:val="24"/>
          <w:szCs w:val="24"/>
          <w:lang w:val="en-US"/>
        </w:rPr>
        <w:t xml:space="preserve">. In addition, scholars have reconsidered how to measure policy positions. </w:t>
      </w:r>
      <w:r w:rsidR="005D6235" w:rsidRPr="00456628">
        <w:rPr>
          <w:rFonts w:ascii="Times New Roman" w:hAnsi="Times New Roman" w:cs="Times New Roman"/>
          <w:sz w:val="24"/>
          <w:szCs w:val="24"/>
          <w:lang w:val="en-US"/>
        </w:rPr>
        <w:t xml:space="preserve">For a long time, agreement between voters and elites has been measured by </w:t>
      </w:r>
      <w:r w:rsidR="003354D9" w:rsidRPr="00456628">
        <w:rPr>
          <w:rFonts w:ascii="Times New Roman" w:hAnsi="Times New Roman" w:cs="Times New Roman"/>
          <w:sz w:val="24"/>
          <w:szCs w:val="24"/>
          <w:lang w:val="en-US"/>
        </w:rPr>
        <w:t>examin</w:t>
      </w:r>
      <w:r w:rsidR="00ED4181" w:rsidRPr="00456628">
        <w:rPr>
          <w:rFonts w:ascii="Times New Roman" w:hAnsi="Times New Roman" w:cs="Times New Roman"/>
          <w:sz w:val="24"/>
          <w:szCs w:val="24"/>
          <w:lang w:val="en-US"/>
        </w:rPr>
        <w:t>ing</w:t>
      </w:r>
      <w:r w:rsidR="003354D9" w:rsidRPr="00456628">
        <w:rPr>
          <w:rFonts w:ascii="Times New Roman" w:hAnsi="Times New Roman" w:cs="Times New Roman"/>
          <w:sz w:val="24"/>
          <w:szCs w:val="24"/>
          <w:lang w:val="en-US"/>
        </w:rPr>
        <w:t xml:space="preserve"> </w:t>
      </w:r>
      <w:r w:rsidR="005D6235" w:rsidRPr="00456628">
        <w:rPr>
          <w:rFonts w:ascii="Times New Roman" w:hAnsi="Times New Roman" w:cs="Times New Roman"/>
          <w:sz w:val="24"/>
          <w:szCs w:val="24"/>
          <w:lang w:val="en-US"/>
        </w:rPr>
        <w:t xml:space="preserve">congruence on aggregated measures of policy preferences such as the left-right </w:t>
      </w:r>
      <w:r w:rsidR="00F42B5C" w:rsidRPr="00456628">
        <w:rPr>
          <w:rFonts w:ascii="Times New Roman" w:hAnsi="Times New Roman" w:cs="Times New Roman"/>
          <w:sz w:val="24"/>
          <w:szCs w:val="24"/>
          <w:lang w:val="en-US"/>
        </w:rPr>
        <w:t>scale</w:t>
      </w:r>
      <w:r w:rsidR="005D6235" w:rsidRPr="00456628">
        <w:rPr>
          <w:rFonts w:ascii="Times New Roman" w:hAnsi="Times New Roman" w:cs="Times New Roman"/>
          <w:sz w:val="24"/>
          <w:szCs w:val="24"/>
          <w:lang w:val="en-US"/>
        </w:rPr>
        <w:t>, in what has been labelled ideological congruence</w:t>
      </w:r>
      <w:r w:rsidR="003A7D8B" w:rsidRPr="00456628">
        <w:rPr>
          <w:rFonts w:ascii="Times New Roman" w:hAnsi="Times New Roman" w:cs="Times New Roman"/>
          <w:sz w:val="24"/>
          <w:szCs w:val="24"/>
          <w:lang w:val="en-US"/>
        </w:rPr>
        <w:t xml:space="preserve"> </w:t>
      </w:r>
      <w:r w:rsidR="003A7D8B"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{"citationID":"5mZtYfGa","properties":{"formattedCitation":"(Andeweg 2011)","plainCitation":"(Andeweg 2011)","noteIndex":0},"citationItems":[{"id":"zNFxbYtK/Zdb5BNBe","uris":["http://zotero.org/users/2012883/items/TFK76C9H"],"uri":["http://zotero.org/users/2012883/items/TFK76C9H"],"itemData":{"id":75,"type":"chapter","title":"Approaching Perfect Policy Congruence: Measurement, Development, and Relevance for Political Representation","container-title":"How Democracy Works: Political Representation and Policy Congruence in Modern Societies","publisher":"Amsterdam University Press","publisher-place":"Amsterdam","page":"39-52","event-place":"Amsterdam","author":[{"family":"Andeweg","given":"Rudy"}],"editor":[{"family":"Rosema","given":"Martin"},{"family":"Denters","given":"Bas"},{"family":"Aarts","given":"Kees"}],"issued":{"date-parts":[["2011"]]}}}],"schema":"https://github.com/citation-style-language/schema/raw/master/csl-citation.json"} </w:instrText>
      </w:r>
      <w:r w:rsidR="003A7D8B" w:rsidRPr="00456628">
        <w:rPr>
          <w:rFonts w:ascii="Times New Roman" w:hAnsi="Times New Roman" w:cs="Times New Roman"/>
          <w:sz w:val="24"/>
          <w:szCs w:val="24"/>
          <w:lang w:val="en-US"/>
        </w:rPr>
        <w:fldChar w:fldCharType="separate"/>
      </w:r>
      <w:r w:rsidR="003A7D8B" w:rsidRPr="00456628">
        <w:rPr>
          <w:rFonts w:ascii="Times New Roman" w:hAnsi="Times New Roman" w:cs="Times New Roman"/>
          <w:sz w:val="24"/>
          <w:szCs w:val="24"/>
          <w:lang w:val="en-US"/>
        </w:rPr>
        <w:t>(Andeweg 2011)</w:t>
      </w:r>
      <w:r w:rsidR="003A7D8B" w:rsidRPr="00456628">
        <w:rPr>
          <w:rFonts w:ascii="Times New Roman" w:hAnsi="Times New Roman" w:cs="Times New Roman"/>
          <w:sz w:val="24"/>
          <w:szCs w:val="24"/>
          <w:lang w:val="en-US"/>
        </w:rPr>
        <w:fldChar w:fldCharType="end"/>
      </w:r>
      <w:r w:rsidR="00EE3164" w:rsidRPr="00456628">
        <w:rPr>
          <w:rFonts w:ascii="Times New Roman" w:hAnsi="Times New Roman" w:cs="Times New Roman"/>
          <w:sz w:val="24"/>
          <w:szCs w:val="24"/>
          <w:lang w:val="en-US"/>
        </w:rPr>
        <w:t xml:space="preserve"> or the ‘policy mood’ </w:t>
      </w:r>
      <w:r w:rsidR="00EE3164"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{"citationID":"beTPnfBj","properties":{"formattedCitation":"(Stimson, Mackuen, and Erikson 1995)","plainCitation":"(Stimson, Mackuen, and Erikson 1995)","noteIndex":0},"citationItems":[{"id":812,"uris":["http://zotero.org/users/local/uk8r6OrS/items/JI8XSY43"],"uri":["http://zotero.org/users/local/uk8r6OrS/items/JI8XSY43"],"itemData":{"id":812,"type":"article-journal","abstract":"If public opinion changes and then public policy responds, this is dynamic representation. Public opinion is the global policy preference of the American electorate. Policy is a diverse set of acts of elected and unelected officials. Two mechanisms of policy responsiveness are (1) elections change the government's political composition, which is then reflected in new policy and (2) policymakers calculate future (mainly electoral) implications of current public views and act accordingly (rational anticipation). We develop multiple indicators of policy activity for the House, Senate, presidency, and Supreme Court, then model policy liberalism as a joint function of the two mechanisms. For each institution separately, and also in a global analysis of “government as a whole,” we find that policy responds dynamically to public opinion change. This responsiveness varies by institution, both in level and in mechanism, as would be expected from constitutional design.","container-title":"American Political Science Review","DOI":"10.2307/2082973","ISSN":"0003-0554, 1537-5943","issue":"3","journalAbbreviation":"Am Polit Sci Rev","language":"en","page":"543-565","source":"DOI.org (Crossref)","title":"Dynamic Representation","volume":"89","author":[{"family":"Stimson","given":"James A."},{"family":"Mackuen","given":"Michael B."},{"family":"Erikson","given":"Robert S."}],"issued":{"date-parts":[["1995",9]]}}}],"schema":"https://github.com/citation-style-language/schema/raw/master/csl-citation.json"} </w:instrText>
      </w:r>
      <w:r w:rsidR="00EE3164" w:rsidRPr="00456628">
        <w:rPr>
          <w:rFonts w:ascii="Times New Roman" w:hAnsi="Times New Roman" w:cs="Times New Roman"/>
          <w:sz w:val="24"/>
          <w:szCs w:val="24"/>
          <w:lang w:val="en-US"/>
        </w:rPr>
        <w:fldChar w:fldCharType="separate"/>
      </w:r>
      <w:r w:rsidR="00EE3164" w:rsidRPr="00456628">
        <w:rPr>
          <w:rFonts w:ascii="Times New Roman" w:hAnsi="Times New Roman" w:cs="Times New Roman"/>
          <w:sz w:val="24"/>
          <w:szCs w:val="24"/>
          <w:lang w:val="en-US"/>
        </w:rPr>
        <w:t>(Stimson, Mackuen, and Erikson 1995)</w:t>
      </w:r>
      <w:r w:rsidR="00EE3164" w:rsidRPr="00456628">
        <w:rPr>
          <w:rFonts w:ascii="Times New Roman" w:hAnsi="Times New Roman" w:cs="Times New Roman"/>
          <w:sz w:val="24"/>
          <w:szCs w:val="24"/>
          <w:lang w:val="en-US"/>
        </w:rPr>
        <w:fldChar w:fldCharType="end"/>
      </w:r>
      <w:r w:rsidR="005D6235" w:rsidRPr="00456628">
        <w:rPr>
          <w:rFonts w:ascii="Times New Roman" w:hAnsi="Times New Roman" w:cs="Times New Roman"/>
          <w:sz w:val="24"/>
          <w:szCs w:val="24"/>
          <w:lang w:val="en-US"/>
        </w:rPr>
        <w:t xml:space="preserve">. By now, however, it has been well established that such global measures are insufficient to capture the policy preferences of voters, and by extension their opinion congruence with parties </w:t>
      </w:r>
      <w:r w:rsidR="005D6235" w:rsidRPr="00456628">
        <w:rPr>
          <w:rFonts w:ascii="Times New Roman" w:hAnsi="Times New Roman" w:cs="Times New Roman"/>
          <w:sz w:val="24"/>
          <w:szCs w:val="24"/>
        </w:rPr>
        <w:fldChar w:fldCharType="begin"/>
      </w:r>
      <w:r w:rsidR="00DA4357" w:rsidRPr="00456628">
        <w:rPr>
          <w:rFonts w:ascii="Times New Roman" w:hAnsi="Times New Roman" w:cs="Times New Roman"/>
          <w:sz w:val="24"/>
          <w:szCs w:val="24"/>
          <w:lang w:val="en-US"/>
        </w:rPr>
        <w:instrText xml:space="preserve"> ADDIN ZOTERO_ITEM CSL_CITATION {"citationID":"XOt9Szsr","properties":{"formattedCitation":"(Freire and Belchior 2013; Lesschaeve 2017b; Todosijevi\\uc0\\u263{} 2004)","plainCitation":"(Freire and Belchior 2013; Lesschaeve 2017b; Todosijević 2004)","dontUpdate":true,"noteIndex":0},"citationItems":[{"id":"zNFxbYtK/mD8anzrq","uris":["http://zotero.org/users/2012883/items/U998BZV6"],"uri":["http://zotero.org/users/2012883/items/U998BZV6"],"itemData":{"id":638,"type":"article-journal","title":"Ideological Representation in Portugal: MPs'–Electors' Linkages in Terms of Left–Right Placement and Substantive Meaning","container-title":"The Journal of Legislative Studies","page":"1-21","volume":"19","issue":"1","source":"Taylor and Francis+NEJM","abstract":"In the literature elite–mass congruence is usually measured in terms of either issue preferences or left–right self-placement. The two forms of congruence are only occasionally used together and are seldom used with the purpose of seeing if levels of congruence were similar. With this intention Portugal is used as an extreme case (due to its low level of clarity regarding party policy alternatives, and its relatively low levels of education, media exposure and political interest). It was found that in many situations the results for MPs–mass congruence were different depending on the use of left–right self-placement or substantive issue preferences.","DOI":"10.1080/13572334.2013.736784","ISSN":"1357-2334","shortTitle":"Ideological Representation in Portugal","author":[{"family":"Freire","given":"André"},{"family":"Belchior","given":"Ana"}],"issued":{"date-parts":[["2013"]],"season":"maart"}}},{"id":183,"uris":["http://zotero.org/users/local/uk8r6OrS/items/IKJQPKDK"],"uri":["http://zotero.org/users/local/uk8r6OrS/items/IKJQPKDK"],"itemData":{"id":183,"type":"article-journal","abstract":"The left-right self-placement scale is often used in political science as a proxy for the policy positions of voters and parties. Yet studies have suggested that, for voters, this relation is dependent on education level. These studies were, however, hampered by data limitations and restricted statistical analyses. In addition, the extent to which the relation between the left-right self-placement scale and policy positions differs for parties and voters has not been explored. This article looks at the differential relation between left-right self-placement and policy positions for voters with different education levels on an integrated dataset containing over 50 voter and party policy positions. It is found that the left-right self-placement scale is a much better predictor for the policy positions of parties than it is for the policy preferences of voters. Robustness checks show that neither the saliency of the policy positions nor their complexity moderates these findings.","container-title":"West European Politics","DOI":"10.1080/01402382.2016.1229088","ISSN":"0140-2382, 1743-9655","issue":"2","language":"en","page":"357-377","source":"Crossref","title":"The predictive power of the left-right self-placement scale for the policy positions of voters and parties","volume":"40","author":[{"family":"Lesschaeve","given":"Christophe"}],"issued":{"date-parts":[["2017",3,4]]}}},{"id":"zNFxbYtK/zfWpGB4Q","uris":["http://zotero.org/users/2012883/items/FGR84X79"],"uri":["http://zotero.org/users/2012883/items/FGR84X79"],"itemData":{"id":"p1zlIk0R/6KW8N6Ch","type":"article-journal","title":"The Hungarian Voter: Left–Right Dimension as a Clue to Policy Preferences","container-title":"International Political Science Review","page":"411-433","volume":"25","issue":"4","source":"ips.sagepub.com","abstract":"The left–right (L–R) ideological dimension has been regarded as a useful cognitive device for orientation in the political realm. Thanks to its absorptive nature it is able to represent a party’s stands on various issues simultaneously. This article specifies a number of conditions that its use ought to satisfy in order to function as a “rational” clue for parties’ positions on issues. The perceived position of parties on the L–R dimension should correspond to the parties’ actual issue positions, and the public should be aware of which policies are represented by particular positions on the L–R dimension. The present article addresses this problem, and provides an empirical test on the basis of survey data on political preferences of a random sample of Hungarian voters (N = 1453) and of members of the Hungarian national Parliament. The evidence generally supports the plausibility of the examined model, and shows that members of the Hungarian public are reasonably successful in matching their and their representatives’ issue preferences via the familiar left–right ideological code.","DOI":"10.1177/0192512104045088","ISSN":"0192-5121, 1460-373X","shortTitle":"The Hungarian Voter","journalAbbreviation":"International Political Science Review","language":"en","author":[{"family":"Todosijević","given":"Bojan"}],"issued":{"date-parts":[["2004",10,1]]}}}],"schema":"https://github.com/citation-style-language/schema/raw/master/csl-citation.json"} </w:instrText>
      </w:r>
      <w:r w:rsidR="005D6235" w:rsidRPr="00456628">
        <w:rPr>
          <w:rFonts w:ascii="Times New Roman" w:hAnsi="Times New Roman" w:cs="Times New Roman"/>
          <w:sz w:val="24"/>
          <w:szCs w:val="24"/>
        </w:rPr>
        <w:fldChar w:fldCharType="separate"/>
      </w:r>
      <w:r w:rsidR="0031566C" w:rsidRPr="00456628">
        <w:rPr>
          <w:rFonts w:ascii="Times New Roman" w:hAnsi="Times New Roman" w:cs="Times New Roman"/>
          <w:sz w:val="24"/>
          <w:szCs w:val="24"/>
          <w:lang w:val="en-US"/>
        </w:rPr>
        <w:t>(Freire and Belchior 2013; Todosijević 2004)</w:t>
      </w:r>
      <w:r w:rsidR="005D6235" w:rsidRPr="00456628">
        <w:rPr>
          <w:rFonts w:ascii="Times New Roman" w:hAnsi="Times New Roman" w:cs="Times New Roman"/>
          <w:sz w:val="24"/>
          <w:szCs w:val="24"/>
        </w:rPr>
        <w:fldChar w:fldCharType="end"/>
      </w:r>
      <w:r w:rsidR="005D6235" w:rsidRPr="00456628">
        <w:rPr>
          <w:rFonts w:ascii="Times New Roman" w:hAnsi="Times New Roman" w:cs="Times New Roman"/>
          <w:sz w:val="24"/>
          <w:szCs w:val="24"/>
          <w:lang w:val="en-US"/>
        </w:rPr>
        <w:t xml:space="preserve">. </w:t>
      </w:r>
      <w:r w:rsidR="003A7D8B" w:rsidRPr="00456628">
        <w:rPr>
          <w:rFonts w:ascii="Times New Roman" w:hAnsi="Times New Roman" w:cs="Times New Roman"/>
          <w:sz w:val="24"/>
          <w:szCs w:val="24"/>
          <w:lang w:val="en-US"/>
        </w:rPr>
        <w:t>In response</w:t>
      </w:r>
      <w:r w:rsidRPr="00456628">
        <w:rPr>
          <w:rFonts w:ascii="Times New Roman" w:hAnsi="Times New Roman" w:cs="Times New Roman"/>
          <w:sz w:val="24"/>
          <w:szCs w:val="24"/>
          <w:lang w:val="en-US"/>
        </w:rPr>
        <w:t>, most recent works on opinion congruence rely on comparison</w:t>
      </w:r>
      <w:r w:rsidR="0033736B" w:rsidRPr="00456628">
        <w:rPr>
          <w:rFonts w:ascii="Times New Roman" w:hAnsi="Times New Roman" w:cs="Times New Roman"/>
          <w:sz w:val="24"/>
          <w:szCs w:val="24"/>
          <w:lang w:val="en-US"/>
        </w:rPr>
        <w:t>s</w:t>
      </w:r>
      <w:r w:rsidRPr="00456628">
        <w:rPr>
          <w:rFonts w:ascii="Times New Roman" w:hAnsi="Times New Roman" w:cs="Times New Roman"/>
          <w:sz w:val="24"/>
          <w:szCs w:val="24"/>
          <w:lang w:val="en-US"/>
        </w:rPr>
        <w:t xml:space="preserve"> between voters’ and elites’ positions on multiple policy items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{"citationID":"pvpvN6UM","properties":{"unsorted":true,"formattedCitation":"(Walgrave and Lefevere 2013; Lefkofridi, Wagner, and Willmann 2014; Lupu and Warner 2017; Giger, Rosset, and Bernauer 2012; Holmberg 2000)","plainCitation":"(Walgrave and Lefevere 2013; Lefkofridi, Wagner, and Willmann 2014; Lupu and Warner 2017; Giger, Rosset, and Bernauer 2012; Holmberg 2000)","noteIndex":0},"citationItems":[{"id":"zNFxbYtK/ewG79xAj","uris":["http://zotero.org/users/2012883/items/936W7KBD"],"uri":["http://zotero.org/users/2012883/items/936W7KBD"],"itemData":{"id":"WRYvXpi6/xn3hvRWP","type":"article-journal","title":"Ideology, Salience, and Complexity: Determinants of Policy Issue Incongruence between Voters and Parties","container-title":"Journal of Elections, Public Opinion and Parties","page":"456-483","volume":"23","issue":"4","source":"Taylor and Francis+NEJM","abstract":"How come voters and their parties agree or disagree on policy issues? We claim that voter–party mismatches are due to a lack of information of voters regarding parties' positions. Three mechanisms determine levels of information: ideology, salience, and complexity. We test these ideas drawing on a large sample of policy statements (50) presented to voters and party leaders prior to regional elections in Belgium. Contrary to existing studies, we include predictors on all three levels: issue, voter, and party level. We find support for our claim. Major ideological divides such as the left–right divide yield useful information to the voters about where parties stand. Salience also generates information for voters, or makes information more accessible for voters, which decreases the odds that they have a different stance than their party. Our measures of complexity yielded the expected results too. When the task of voting is made more difficult, voters succeed less in voting for a party that matches their preferences.","DOI":"10.1080/17457289.2013.810630","ISSN":"1745-7289","shortTitle":"Ideology, Salience, and Complexity","author":[{"family":"Walgrave","given":"Stefaan"},{"family":"Lefevere","given":"Jonas"}],"issued":{"date-parts":[["2013"]]}}},{"id":766,"uris":["http://zotero.org/users/local/uk8r6OrS/items/JPX3PFWQ"],"uri":["http://zotero.org/users/local/uk8r6OrS/items/JPX3PFWQ"],"itemData":{"id":766,"type":"article-journal","container-title":"West European Politics","DOI":"10.1080/01402382.2013.818354","ISSN":"0140-2382, 1743-9655","issue":"1","journalAbbreviation":"West European Politics","language":"en","page":"65-90","source":"DOI.org (Crossref)","title":"Left-Authoritarians and Policy Representation in Western Europe: Electoral Choice across Ideological Dimensions","title-short":"Left-Authoritarians and Policy Representation in Western Europe","volume":"37","author":[{"family":"Lefkofridi","given":"Zoe"},{"family":"Wagner","given":"Markus"},{"family":"Willmann","given":"Johanna E."}],"issued":{"date-parts":[["2014",1,2]]}}},{"id":813,"uris":["http://zotero.org/users/local/uk8r6OrS/items/YEJJ8PI9"],"uri":["http://zotero.org/users/local/uk8r6OrS/items/YEJJ8PI9"],"itemData":{"id":813,"type":"chapter","container-title":"Malaise in Representation in Latin American Countries","event-place":"New York","ISBN":"978-1-137-59987-2","language":"en","note":"DOI: 10.1057/978-1-137-59955-1_12","page":"281-302","publisher":"Palgrave Macmillan US","publisher-place":"New York","source":"DOI.org (Crossref)","title":"Mass–Elite Congruence and Representation in Argentina","URL":"http://link.springer.com/10.1057/978-1-137-59955-1_12","editor":[{"family":"Joignant","given":"Alfredo"},{"family":"Morales","given":"Mauricio"},{"family":"Fuentes","given":"Claudio"}],"author":[{"family":"Lupu","given":"Noam"},{"family":"Warner","given":"Zach"}],"accessed":{"date-parts":[["2020",2,14]]},"issued":{"date-parts":[["2017"]]}}},{"id":369,"uris":["http://zotero.org/users/local/uk8r6OrS/items/2X7AQNRD"],"uri":["http://zotero.org/users/local/uk8r6OrS/items/2X7AQNRD"],"itemData":{"id":369,"type":"article-journal","container-title":"Representation","DOI":"10.1080/00344893.2012.653238","ISSN":"0034-4893, 1749-4001","issue":"1","language":"en","page":"47-61","source":"Crossref","title":"The Poor Political Representation of The Poor in a Comparative Perspective","volume":"48","author":[{"family":"Giger","given":"Nathalie"},{"family":"Rosset","given":"Jan"},{"family":"Bernauer","given":"Julian"}],"issued":{"date-parts":[["2012",4]]}}},{"id":"zNFxbYtK/Qi1h7fcQ","uris":["http://zotero.org/users/5515793/items/ZNP3ACCA"],"uri":["http://zotero.org/users/5515793/items/ZNP3ACCA"],"itemData":{"id":"s5cHx50S/HnCNH4Md","type":"paper-conference","title":"ISSUE AGREEMENT MATTERS","container-title":"Beyond Westminster and Congress: The Nordic Experience","publisher":"Ohio State University Press","page":"155","source":"Google Scholar","author":[{"family":"Holmberg","given":"Soren"}],"issued":{"date-parts":[["2000"]]}}}],"schema":"https://github.com/citation-style-language/schema/raw/master/csl-citation.json"} </w:instrText>
      </w:r>
      <w:r w:rsidRPr="00456628">
        <w:rPr>
          <w:rFonts w:ascii="Times New Roman" w:hAnsi="Times New Roman" w:cs="Times New Roman"/>
          <w:sz w:val="24"/>
          <w:szCs w:val="24"/>
          <w:lang w:val="en-US"/>
        </w:rPr>
        <w:fldChar w:fldCharType="separate"/>
      </w:r>
      <w:r w:rsidR="00FF07AB" w:rsidRPr="00456628">
        <w:rPr>
          <w:rFonts w:ascii="Times New Roman" w:hAnsi="Times New Roman" w:cs="Times New Roman"/>
          <w:sz w:val="24"/>
          <w:szCs w:val="24"/>
          <w:lang w:val="en-US"/>
        </w:rPr>
        <w:t>(Walgrave and Lefevere 2013; Lefkofridi, Wagner, and Willmann 2014; Lupu and Warner 2017; Giger, Rosset, and Bernauer 2012; Holmberg 2000)</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w:t>
      </w:r>
      <w:r w:rsidR="002E4F8F" w:rsidRPr="00456628">
        <w:rPr>
          <w:rFonts w:ascii="Times New Roman" w:hAnsi="Times New Roman" w:cs="Times New Roman"/>
          <w:sz w:val="24"/>
          <w:szCs w:val="24"/>
          <w:lang w:val="en-US"/>
        </w:rPr>
        <w:t>If it is becoming increasingly clear that global assessments of the opinion congruence between voters and political elites need to be based on a list of specific policy items, the next question</w:t>
      </w:r>
      <w:r w:rsidR="00001B74" w:rsidRPr="00456628">
        <w:rPr>
          <w:rFonts w:ascii="Times New Roman" w:hAnsi="Times New Roman" w:cs="Times New Roman"/>
          <w:sz w:val="24"/>
          <w:szCs w:val="24"/>
          <w:lang w:val="en-US"/>
        </w:rPr>
        <w:t xml:space="preserve"> then</w:t>
      </w:r>
      <w:r w:rsidR="002E4F8F" w:rsidRPr="00456628">
        <w:rPr>
          <w:rFonts w:ascii="Times New Roman" w:hAnsi="Times New Roman" w:cs="Times New Roman"/>
          <w:sz w:val="24"/>
          <w:szCs w:val="24"/>
          <w:lang w:val="en-US"/>
        </w:rPr>
        <w:t xml:space="preserve"> is what such a list </w:t>
      </w:r>
      <w:r w:rsidR="00001B74" w:rsidRPr="00456628">
        <w:rPr>
          <w:rFonts w:ascii="Times New Roman" w:hAnsi="Times New Roman" w:cs="Times New Roman"/>
          <w:sz w:val="24"/>
          <w:szCs w:val="24"/>
          <w:lang w:val="en-US"/>
        </w:rPr>
        <w:t>must</w:t>
      </w:r>
      <w:r w:rsidR="009920FD" w:rsidRPr="00456628">
        <w:rPr>
          <w:rFonts w:ascii="Times New Roman" w:hAnsi="Times New Roman" w:cs="Times New Roman"/>
          <w:sz w:val="24"/>
          <w:szCs w:val="24"/>
          <w:lang w:val="en-US"/>
        </w:rPr>
        <w:t xml:space="preserve"> look</w:t>
      </w:r>
      <w:r w:rsidR="002E4F8F" w:rsidRPr="00456628">
        <w:rPr>
          <w:rFonts w:ascii="Times New Roman" w:hAnsi="Times New Roman" w:cs="Times New Roman"/>
          <w:sz w:val="24"/>
          <w:szCs w:val="24"/>
          <w:lang w:val="en-US"/>
        </w:rPr>
        <w:t xml:space="preserve"> like.</w:t>
      </w:r>
      <w:r w:rsidR="00F42B5C" w:rsidRPr="00456628">
        <w:rPr>
          <w:rFonts w:ascii="Times New Roman" w:hAnsi="Times New Roman" w:cs="Times New Roman"/>
          <w:sz w:val="24"/>
          <w:szCs w:val="24"/>
          <w:lang w:val="en-US"/>
        </w:rPr>
        <w:t xml:space="preserve"> What should a list of specific policy items </w:t>
      </w:r>
      <w:r w:rsidR="00001B74" w:rsidRPr="00456628">
        <w:rPr>
          <w:rFonts w:ascii="Times New Roman" w:hAnsi="Times New Roman" w:cs="Times New Roman"/>
          <w:sz w:val="24"/>
          <w:szCs w:val="24"/>
          <w:lang w:val="en-US"/>
        </w:rPr>
        <w:t>consist of</w:t>
      </w:r>
      <w:r w:rsidR="00F42B5C" w:rsidRPr="00456628">
        <w:rPr>
          <w:rFonts w:ascii="Times New Roman" w:hAnsi="Times New Roman" w:cs="Times New Roman"/>
          <w:sz w:val="24"/>
          <w:szCs w:val="24"/>
          <w:lang w:val="en-US"/>
        </w:rPr>
        <w:t>, if it aims to replace and outperform the left-right scale?</w:t>
      </w:r>
    </w:p>
    <w:p w14:paraId="57D43B77" w14:textId="2D7E4F75" w:rsidR="000316DB" w:rsidRPr="00456628" w:rsidRDefault="00D81A6A" w:rsidP="004F54BE">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Here too, however, have scholars started to examine the </w:t>
      </w:r>
      <w:r w:rsidR="00282130" w:rsidRPr="00456628">
        <w:rPr>
          <w:rFonts w:ascii="Times New Roman" w:hAnsi="Times New Roman" w:cs="Times New Roman"/>
          <w:sz w:val="24"/>
          <w:szCs w:val="24"/>
          <w:lang w:val="en-US"/>
        </w:rPr>
        <w:t>validity</w:t>
      </w:r>
      <w:r w:rsidRPr="00456628">
        <w:rPr>
          <w:rFonts w:ascii="Times New Roman" w:hAnsi="Times New Roman" w:cs="Times New Roman"/>
          <w:sz w:val="24"/>
          <w:szCs w:val="24"/>
          <w:lang w:val="en-US"/>
        </w:rPr>
        <w:t xml:space="preserve"> of the opinion congruence measures, ranging from the formulation of the statements </w:t>
      </w:r>
      <w:r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{"citationID":"pVdNxHwn","properties":{"formattedCitation":"(see Camp, Lefevere, and Walgrave 2014)","plainCitation":"(see Camp, Lefevere, and Walgrave 2014)","noteIndex":0},"citationItems":[{"id":372,"uris":["http://zotero.org/users/local/uk8r6OrS/items/JUMBH7G8"],"uri":["http://zotero.org/users/local/uk8r6OrS/items/JUMBH7G8"],"itemData":{"id":372,"type":"chapter","container-title":"Matching Voters with Parties and Candidates. Voting Advice Applications in a Comparative Perspective","event-place":"Colchester","page":"11-32","publisher":"ECPR Press","publisher-place":"Colchester","title":"The Content and Formulation of Statements in Voting Applications: A Comparative Analysis of 26 VAAs","author":[{"family":"Camp","given":"Kirsten Van"},{"family":"Lefevere","given":"Jonas"},{"family":"Walgrave","given":"Stefaan"}],"editor":[{"family":"Garzia","given":"Diego"},{"family":"Marschall","given":"Stefan"}],"issued":{"date-parts":[["2014"]]}},"prefix":"see"}],"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(see Camp, Lefevere, and Walgrave 2014)</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to the correlation between policy opinion congruence and ideological congruence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{"citationID":"bjhaluGD","properties":{"formattedCitation":"(Freire and Belchior 2013)","plainCitation":"(Freire and Belchior 2013)","noteIndex":0},"citationItems":[{"id":"zNFxbYtK/mD8anzrq","uris":["http://zotero.org/users/2012883/items/U998BZV6"],"uri":["http://zotero.org/users/2012883/items/U998BZV6"],"itemData":{"id":"2IizoBzi/vxijEJ3l","type":"article-journal","title":"Ideological Representation in Portugal: MPs'–Electors' Linkages in Terms of Left–Right Placement and Substantive Meaning","container-title":"The Journal of Legislative Studies","page":"1-21","volume":"19","issue":"1","source":"Taylor and Francis+NEJM","abstract":"In the literature elite–mass congruence is usually measured in terms of either issue preferences or left–right self-placement. The two forms of congruence are only occasionally used together and are seldom used with the purpose of seeing if levels of congruence were similar. With this intention Portugal is used as an extreme case (due to its low level of clarity regarding party policy alternatives, and its relatively low levels of education, media exposure and political interest). It was found that in many situations the results for MPs–mass congruence were different depending on the use of left–right self-placement or substantive issue preferences.","DOI":"10.1080/13572334.2013.736784","ISSN":"1357-2334","shortTitle":"Ideological Representation in Portugal","author":[{"family":"Freire","given":"André"},{"family":"Belchior","given":"Ana"}],"issued":{"date-parts":[["2013"]],"season":"maart"}}}],"schema":"https://github.com/citation-style-language/schema/raw/master/csl-citation.json"} </w:instrText>
      </w:r>
      <w:r w:rsidRPr="00456628">
        <w:rPr>
          <w:rFonts w:ascii="Times New Roman" w:hAnsi="Times New Roman" w:cs="Times New Roman"/>
          <w:sz w:val="24"/>
          <w:szCs w:val="24"/>
          <w:lang w:val="en-US"/>
        </w:rPr>
        <w:fldChar w:fldCharType="separate"/>
      </w:r>
      <w:r w:rsidR="00282130" w:rsidRPr="00456628">
        <w:rPr>
          <w:rFonts w:ascii="Times New Roman" w:hAnsi="Times New Roman" w:cs="Times New Roman"/>
          <w:sz w:val="24"/>
          <w:szCs w:val="24"/>
          <w:lang w:val="en-US"/>
        </w:rPr>
        <w:t>(Freire and Belchior 2013)</w:t>
      </w:r>
      <w:r w:rsidRPr="00456628">
        <w:rPr>
          <w:rFonts w:ascii="Times New Roman" w:hAnsi="Times New Roman" w:cs="Times New Roman"/>
          <w:sz w:val="24"/>
          <w:szCs w:val="24"/>
          <w:lang w:val="en-US"/>
        </w:rPr>
        <w:fldChar w:fldCharType="end"/>
      </w:r>
      <w:r w:rsidR="00282130" w:rsidRPr="00456628">
        <w:rPr>
          <w:rFonts w:ascii="Times New Roman" w:hAnsi="Times New Roman" w:cs="Times New Roman"/>
          <w:sz w:val="24"/>
          <w:szCs w:val="24"/>
          <w:lang w:val="en-US"/>
        </w:rPr>
        <w:t xml:space="preserve">, and how characteristics of the statements selected to measure policy opinion </w:t>
      </w:r>
      <w:r w:rsidR="00282130" w:rsidRPr="00456628">
        <w:rPr>
          <w:rFonts w:ascii="Times New Roman" w:hAnsi="Times New Roman" w:cs="Times New Roman"/>
          <w:sz w:val="24"/>
          <w:szCs w:val="24"/>
          <w:lang w:val="en-US"/>
        </w:rPr>
        <w:lastRenderedPageBreak/>
        <w:t xml:space="preserve">congruence affects the outcome </w:t>
      </w:r>
      <w:r w:rsidR="00282130"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{"citationID":"DzWU9uA7","properties":{"formattedCitation":"(Lefevere and Walgrave 2014, 2015)","plainCitation":"(Lefevere and Walgrave 2014, 2015)","noteIndex":0},"citationItems":[{"id":361,"uris":["http://zotero.org/users/local/uk8r6OrS/items/YR7KRZMU"],"uri":["http://zotero.org/users/local/uk8r6OrS/items/YR7KRZMU"],"itemData":{"id":361,"type":"article-journal","container-title":"Electoral Studies","DOI":"10.1016/j.electstud.2014.04.002","ISSN":"02613794","language":"en","page":"252-262","source":"Crossref","title":"A perfect match? The impact of statement selection on voting advice applications' ability to match voters and parties","title-short":"A perfect match?","volume":"36","author":[{"family":"Lefevere","given":"Jonas"},{"family":"Walgrave","given":"Stefaan"}],"issued":{"date-parts":[["2014",12]]}}},{"id":364,"uris":["http://zotero.org/users/local/uk8r6OrS/items/SV83CJFL"],"uri":["http://zotero.org/users/local/uk8r6OrS/items/SV83CJFL"],"itemData":{"id":364,"type":"article-journal","container-title":"Revue internationale de politique comparée","DOI":"10.3917/ripc.222.0175","ISSN":"1370-0731, 1782-1533","issue":"2","language":"fr","page":"175","source":"Crossref","title":"L’importance du choix des affirmations dans les SAV : résultats de deux simulations","title-short":"L’importance du choix des affirmations dans les SAV","volume":"23","author":[{"family":"Lefevere","given":"Jonas"},{"family":"Walgrave","given":"Stefaan"}],"issued":{"date-parts":[["2015"]]}}}],"schema":"https://github.com/citation-style-language/schema/raw/master/csl-citation.json"} </w:instrText>
      </w:r>
      <w:r w:rsidR="00282130" w:rsidRPr="00456628">
        <w:rPr>
          <w:rFonts w:ascii="Times New Roman" w:hAnsi="Times New Roman" w:cs="Times New Roman"/>
          <w:sz w:val="24"/>
          <w:szCs w:val="24"/>
          <w:lang w:val="en-US"/>
        </w:rPr>
        <w:fldChar w:fldCharType="separate"/>
      </w:r>
      <w:r w:rsidR="00282130" w:rsidRPr="00456628">
        <w:rPr>
          <w:rFonts w:ascii="Times New Roman" w:hAnsi="Times New Roman" w:cs="Times New Roman"/>
          <w:sz w:val="24"/>
          <w:szCs w:val="24"/>
          <w:lang w:val="en-US"/>
        </w:rPr>
        <w:t>(Lefevere and Walgrave 2014, 2015)</w:t>
      </w:r>
      <w:r w:rsidR="00282130" w:rsidRPr="00456628">
        <w:rPr>
          <w:rFonts w:ascii="Times New Roman" w:hAnsi="Times New Roman" w:cs="Times New Roman"/>
          <w:sz w:val="24"/>
          <w:szCs w:val="24"/>
          <w:lang w:val="en-US"/>
        </w:rPr>
        <w:fldChar w:fldCharType="end"/>
      </w:r>
      <w:r w:rsidR="00282130" w:rsidRPr="00456628">
        <w:rPr>
          <w:rFonts w:ascii="Times New Roman" w:hAnsi="Times New Roman" w:cs="Times New Roman"/>
          <w:sz w:val="24"/>
          <w:szCs w:val="24"/>
          <w:lang w:val="en-US"/>
        </w:rPr>
        <w:t>. As such, inquiries into the methodological aspects of opinion congruence has focused primarily on their validity, and less on their reliability</w:t>
      </w:r>
      <w:r w:rsidR="008617DE" w:rsidRPr="00456628">
        <w:rPr>
          <w:rFonts w:ascii="Times New Roman" w:hAnsi="Times New Roman" w:cs="Times New Roman"/>
          <w:sz w:val="24"/>
          <w:szCs w:val="24"/>
          <w:lang w:val="en-US"/>
        </w:rPr>
        <w:t>, i.e. the degree to which similar levels of opinion congruence are found when different samples of policy statements are used</w:t>
      </w:r>
      <w:r w:rsidR="00282130" w:rsidRPr="00456628">
        <w:rPr>
          <w:rFonts w:ascii="Times New Roman" w:hAnsi="Times New Roman" w:cs="Times New Roman"/>
          <w:sz w:val="24"/>
          <w:szCs w:val="24"/>
          <w:lang w:val="en-US"/>
        </w:rPr>
        <w:t xml:space="preserve">. </w:t>
      </w:r>
    </w:p>
    <w:p w14:paraId="1287E1AC" w14:textId="041F6334" w:rsidR="00282130" w:rsidRPr="00456628" w:rsidRDefault="00282130" w:rsidP="004F54BE">
      <w:pPr>
        <w:rPr>
          <w:rFonts w:ascii="Times New Roman" w:hAnsi="Times New Roman" w:cs="Times New Roman"/>
          <w:sz w:val="24"/>
          <w:szCs w:val="24"/>
          <w:lang w:val="en-US"/>
        </w:rPr>
      </w:pPr>
      <w:r w:rsidRPr="00456628">
        <w:rPr>
          <w:rFonts w:ascii="Times New Roman" w:hAnsi="Times New Roman" w:cs="Times New Roman"/>
          <w:sz w:val="24"/>
          <w:szCs w:val="24"/>
          <w:lang w:val="en-US"/>
        </w:rPr>
        <w:t>In this paper, we want to fill this gap in the literature by exploring the factors that</w:t>
      </w:r>
      <w:r w:rsidR="000316DB" w:rsidRPr="00456628">
        <w:rPr>
          <w:rFonts w:ascii="Times New Roman" w:hAnsi="Times New Roman" w:cs="Times New Roman"/>
          <w:sz w:val="24"/>
          <w:szCs w:val="24"/>
          <w:lang w:val="en-US"/>
        </w:rPr>
        <w:t xml:space="preserve"> can</w:t>
      </w:r>
      <w:r w:rsidRPr="00456628">
        <w:rPr>
          <w:rFonts w:ascii="Times New Roman" w:hAnsi="Times New Roman" w:cs="Times New Roman"/>
          <w:sz w:val="24"/>
          <w:szCs w:val="24"/>
          <w:lang w:val="en-US"/>
        </w:rPr>
        <w:t xml:space="preserve"> make measures of </w:t>
      </w:r>
      <w:r w:rsidR="000316DB" w:rsidRPr="00456628">
        <w:rPr>
          <w:rFonts w:ascii="Times New Roman" w:hAnsi="Times New Roman" w:cs="Times New Roman"/>
          <w:sz w:val="24"/>
          <w:szCs w:val="24"/>
          <w:lang w:val="en-US"/>
        </w:rPr>
        <w:t xml:space="preserve">the overall </w:t>
      </w:r>
      <w:r w:rsidRPr="00456628">
        <w:rPr>
          <w:rFonts w:ascii="Times New Roman" w:hAnsi="Times New Roman" w:cs="Times New Roman"/>
          <w:sz w:val="24"/>
          <w:szCs w:val="24"/>
          <w:lang w:val="en-US"/>
        </w:rPr>
        <w:t>opinion congruence</w:t>
      </w:r>
      <w:r w:rsidR="000316DB" w:rsidRPr="00456628">
        <w:rPr>
          <w:rStyle w:val="FootnoteReference"/>
          <w:rFonts w:ascii="Times New Roman" w:hAnsi="Times New Roman" w:cs="Times New Roman"/>
          <w:sz w:val="24"/>
          <w:szCs w:val="24"/>
          <w:lang w:val="en-US"/>
        </w:rPr>
        <w:footnoteReference w:id="1"/>
      </w:r>
      <w:r w:rsidRPr="00456628">
        <w:rPr>
          <w:rFonts w:ascii="Times New Roman" w:hAnsi="Times New Roman" w:cs="Times New Roman"/>
          <w:sz w:val="24"/>
          <w:szCs w:val="24"/>
          <w:lang w:val="en-US"/>
        </w:rPr>
        <w:t xml:space="preserve"> between voters and parties consistent. </w:t>
      </w:r>
      <w:r w:rsidR="009669BA" w:rsidRPr="00456628">
        <w:rPr>
          <w:rFonts w:ascii="Times New Roman" w:hAnsi="Times New Roman" w:cs="Times New Roman"/>
          <w:sz w:val="24"/>
          <w:szCs w:val="24"/>
          <w:lang w:val="en-US"/>
        </w:rPr>
        <w:t xml:space="preserve">In examining factors that influence </w:t>
      </w:r>
      <w:r w:rsidR="001E32B0" w:rsidRPr="00456628">
        <w:rPr>
          <w:rFonts w:ascii="Times New Roman" w:hAnsi="Times New Roman" w:cs="Times New Roman"/>
          <w:sz w:val="24"/>
          <w:szCs w:val="24"/>
          <w:lang w:val="en-US"/>
        </w:rPr>
        <w:t>opinion congruence variability (OCV</w:t>
      </w:r>
      <w:r w:rsidR="002914A0" w:rsidRPr="00456628">
        <w:rPr>
          <w:rFonts w:ascii="Times New Roman" w:hAnsi="Times New Roman" w:cs="Times New Roman"/>
          <w:sz w:val="24"/>
          <w:szCs w:val="24"/>
          <w:lang w:val="en-US"/>
        </w:rPr>
        <w:t>)</w:t>
      </w:r>
      <w:r w:rsidR="009669BA" w:rsidRPr="00456628">
        <w:rPr>
          <w:rFonts w:ascii="Times New Roman" w:hAnsi="Times New Roman" w:cs="Times New Roman"/>
          <w:sz w:val="24"/>
          <w:szCs w:val="24"/>
          <w:lang w:val="en-US"/>
        </w:rPr>
        <w:t>, w</w:t>
      </w:r>
      <w:r w:rsidR="00876A63" w:rsidRPr="00456628">
        <w:rPr>
          <w:rFonts w:ascii="Times New Roman" w:hAnsi="Times New Roman" w:cs="Times New Roman"/>
          <w:sz w:val="24"/>
          <w:szCs w:val="24"/>
          <w:lang w:val="en-US"/>
        </w:rPr>
        <w:t>e distinguish between characteristics of statements and voters</w:t>
      </w:r>
      <w:r w:rsidR="006406B7" w:rsidRPr="00456628">
        <w:rPr>
          <w:rFonts w:ascii="Times New Roman" w:hAnsi="Times New Roman" w:cs="Times New Roman"/>
          <w:sz w:val="24"/>
          <w:szCs w:val="24"/>
          <w:lang w:val="en-US"/>
        </w:rPr>
        <w:t xml:space="preserve">. </w:t>
      </w:r>
      <w:r w:rsidR="004F54BE" w:rsidRPr="00456628">
        <w:rPr>
          <w:rFonts w:ascii="Times New Roman" w:hAnsi="Times New Roman" w:cs="Times New Roman"/>
          <w:sz w:val="24"/>
          <w:szCs w:val="24"/>
          <w:lang w:val="en-US"/>
        </w:rPr>
        <w:t>Specifically, we want to examine</w:t>
      </w:r>
      <w:r w:rsidRPr="00456628">
        <w:rPr>
          <w:rFonts w:ascii="Times New Roman" w:hAnsi="Times New Roman" w:cs="Times New Roman"/>
          <w:sz w:val="24"/>
          <w:szCs w:val="24"/>
          <w:lang w:val="en-US"/>
        </w:rPr>
        <w:t xml:space="preserve"> the relevance of f</w:t>
      </w:r>
      <w:r w:rsidR="0003528D" w:rsidRPr="00456628">
        <w:rPr>
          <w:rFonts w:ascii="Times New Roman" w:hAnsi="Times New Roman" w:cs="Times New Roman"/>
          <w:sz w:val="24"/>
          <w:szCs w:val="24"/>
          <w:lang w:val="en-US"/>
        </w:rPr>
        <w:t>ive</w:t>
      </w:r>
      <w:r w:rsidRPr="00456628">
        <w:rPr>
          <w:rFonts w:ascii="Times New Roman" w:hAnsi="Times New Roman" w:cs="Times New Roman"/>
          <w:sz w:val="24"/>
          <w:szCs w:val="24"/>
          <w:lang w:val="en-US"/>
        </w:rPr>
        <w:t xml:space="preserve"> factors: 1) the number of policy statements, 2) the topic diversity of the policy statements, </w:t>
      </w:r>
      <w:r w:rsidR="009669BA" w:rsidRPr="00456628">
        <w:rPr>
          <w:rFonts w:ascii="Times New Roman" w:hAnsi="Times New Roman" w:cs="Times New Roman"/>
          <w:sz w:val="24"/>
          <w:szCs w:val="24"/>
          <w:lang w:val="en-US"/>
        </w:rPr>
        <w:t>3) whether statement</w:t>
      </w:r>
      <w:r w:rsidR="0033736B" w:rsidRPr="00456628">
        <w:rPr>
          <w:rFonts w:ascii="Times New Roman" w:hAnsi="Times New Roman" w:cs="Times New Roman"/>
          <w:sz w:val="24"/>
          <w:szCs w:val="24"/>
          <w:lang w:val="en-US"/>
        </w:rPr>
        <w:t>s</w:t>
      </w:r>
      <w:r w:rsidR="009669BA" w:rsidRPr="00456628">
        <w:rPr>
          <w:rFonts w:ascii="Times New Roman" w:hAnsi="Times New Roman" w:cs="Times New Roman"/>
          <w:sz w:val="24"/>
          <w:szCs w:val="24"/>
          <w:lang w:val="en-US"/>
        </w:rPr>
        <w:t xml:space="preserve"> can be </w:t>
      </w:r>
      <w:r w:rsidR="00E7592F" w:rsidRPr="00456628">
        <w:rPr>
          <w:rFonts w:ascii="Times New Roman" w:hAnsi="Times New Roman" w:cs="Times New Roman"/>
          <w:sz w:val="24"/>
          <w:szCs w:val="24"/>
          <w:lang w:val="en-US"/>
        </w:rPr>
        <w:t>classified in</w:t>
      </w:r>
      <w:r w:rsidR="0099043B" w:rsidRPr="00456628">
        <w:rPr>
          <w:rFonts w:ascii="Times New Roman" w:hAnsi="Times New Roman" w:cs="Times New Roman"/>
          <w:sz w:val="24"/>
          <w:szCs w:val="24"/>
          <w:lang w:val="en-US"/>
        </w:rPr>
        <w:t xml:space="preserve"> </w:t>
      </w:r>
      <w:r w:rsidR="009669BA" w:rsidRPr="00456628">
        <w:rPr>
          <w:rFonts w:ascii="Times New Roman" w:hAnsi="Times New Roman" w:cs="Times New Roman"/>
          <w:sz w:val="24"/>
          <w:szCs w:val="24"/>
          <w:lang w:val="en-US"/>
        </w:rPr>
        <w:t>the left-right spectrum, 4</w:t>
      </w:r>
      <w:r w:rsidRPr="00456628">
        <w:rPr>
          <w:rFonts w:ascii="Times New Roman" w:hAnsi="Times New Roman" w:cs="Times New Roman"/>
          <w:sz w:val="24"/>
          <w:szCs w:val="24"/>
          <w:lang w:val="en-US"/>
        </w:rPr>
        <w:t xml:space="preserve">) personal issue salience, and </w:t>
      </w:r>
      <w:r w:rsidR="009669BA" w:rsidRPr="00456628">
        <w:rPr>
          <w:rFonts w:ascii="Times New Roman" w:hAnsi="Times New Roman" w:cs="Times New Roman"/>
          <w:sz w:val="24"/>
          <w:szCs w:val="24"/>
          <w:lang w:val="en-US"/>
        </w:rPr>
        <w:t>5</w:t>
      </w:r>
      <w:r w:rsidRPr="00456628">
        <w:rPr>
          <w:rFonts w:ascii="Times New Roman" w:hAnsi="Times New Roman" w:cs="Times New Roman"/>
          <w:sz w:val="24"/>
          <w:szCs w:val="24"/>
          <w:lang w:val="en-US"/>
        </w:rPr>
        <w:t>) voters’ political interest.</w:t>
      </w:r>
    </w:p>
    <w:p w14:paraId="129DEFA7" w14:textId="77777777" w:rsidR="0002628A" w:rsidRPr="00456628" w:rsidRDefault="0002628A" w:rsidP="009C6283">
      <w:pPr>
        <w:rPr>
          <w:rFonts w:ascii="Times New Roman" w:hAnsi="Times New Roman" w:cs="Times New Roman"/>
          <w:b/>
          <w:sz w:val="24"/>
          <w:szCs w:val="24"/>
          <w:lang w:val="en-US"/>
        </w:rPr>
      </w:pPr>
    </w:p>
    <w:p w14:paraId="439FF480" w14:textId="2B08FB50" w:rsidR="0028614D" w:rsidRPr="00456628" w:rsidRDefault="003551AC" w:rsidP="009C6283">
      <w:pPr>
        <w:rPr>
          <w:rFonts w:ascii="Times New Roman" w:hAnsi="Times New Roman" w:cs="Times New Roman"/>
          <w:b/>
          <w:sz w:val="24"/>
          <w:szCs w:val="24"/>
          <w:lang w:val="en-US"/>
        </w:rPr>
      </w:pPr>
      <w:r w:rsidRPr="00456628">
        <w:rPr>
          <w:rFonts w:ascii="Times New Roman" w:hAnsi="Times New Roman" w:cs="Times New Roman"/>
          <w:b/>
          <w:sz w:val="24"/>
          <w:szCs w:val="24"/>
          <w:lang w:val="en-US"/>
        </w:rPr>
        <w:t>The reliability of opinion congruence measures</w:t>
      </w:r>
    </w:p>
    <w:p w14:paraId="150D9EC7" w14:textId="317B3F7A" w:rsidR="00851C20" w:rsidRPr="00456628" w:rsidRDefault="005D6235" w:rsidP="00851C20">
      <w:pPr>
        <w:rPr>
          <w:rFonts w:ascii="Times New Roman" w:hAnsi="Times New Roman" w:cs="Times New Roman"/>
          <w:sz w:val="24"/>
          <w:szCs w:val="24"/>
          <w:lang w:val="en-AU"/>
        </w:rPr>
      </w:pPr>
      <w:r w:rsidRPr="00456628">
        <w:rPr>
          <w:rFonts w:ascii="Times New Roman" w:hAnsi="Times New Roman" w:cs="Times New Roman"/>
          <w:sz w:val="24"/>
          <w:szCs w:val="24"/>
          <w:lang w:val="en-US"/>
        </w:rPr>
        <w:t>In our exploration of factors that reduce inconsistencies in opinion congruence measures, w</w:t>
      </w:r>
      <w:r w:rsidR="00851C20" w:rsidRPr="00456628">
        <w:rPr>
          <w:rFonts w:ascii="Times New Roman" w:hAnsi="Times New Roman" w:cs="Times New Roman"/>
          <w:sz w:val="24"/>
          <w:szCs w:val="24"/>
          <w:lang w:val="en-US"/>
        </w:rPr>
        <w:t>e begin with the most obvious</w:t>
      </w:r>
      <w:r w:rsidR="0002628A" w:rsidRPr="00456628">
        <w:rPr>
          <w:rFonts w:ascii="Times New Roman" w:hAnsi="Times New Roman" w:cs="Times New Roman"/>
          <w:sz w:val="24"/>
          <w:szCs w:val="24"/>
          <w:lang w:val="en-US"/>
        </w:rPr>
        <w:t xml:space="preserve"> two</w:t>
      </w:r>
      <w:r w:rsidR="00851C20" w:rsidRPr="00456628">
        <w:rPr>
          <w:rFonts w:ascii="Times New Roman" w:hAnsi="Times New Roman" w:cs="Times New Roman"/>
          <w:sz w:val="24"/>
          <w:szCs w:val="24"/>
          <w:lang w:val="en-US"/>
        </w:rPr>
        <w:t xml:space="preserve"> factors: the number of policy statements used to calculated opinion congruence, and the range of issue topics covered. Regarding the first, </w:t>
      </w:r>
      <w:r w:rsidR="00851C20" w:rsidRPr="00456628">
        <w:rPr>
          <w:rFonts w:ascii="Times New Roman" w:hAnsi="Times New Roman" w:cs="Times New Roman"/>
          <w:sz w:val="24"/>
          <w:szCs w:val="24"/>
          <w:lang w:val="en-AU"/>
        </w:rPr>
        <w:t xml:space="preserve">the </w:t>
      </w:r>
      <w:r w:rsidR="004734ED" w:rsidRPr="00456628">
        <w:rPr>
          <w:rFonts w:ascii="Times New Roman" w:hAnsi="Times New Roman" w:cs="Times New Roman"/>
          <w:sz w:val="24"/>
          <w:szCs w:val="24"/>
          <w:lang w:val="en-AU"/>
        </w:rPr>
        <w:t>l</w:t>
      </w:r>
      <w:r w:rsidR="00851C20" w:rsidRPr="00456628">
        <w:rPr>
          <w:rFonts w:ascii="Times New Roman" w:hAnsi="Times New Roman" w:cs="Times New Roman"/>
          <w:sz w:val="24"/>
          <w:szCs w:val="24"/>
          <w:lang w:val="en-AU"/>
        </w:rPr>
        <w:t xml:space="preserve">aw of large numbers </w:t>
      </w:r>
      <w:r w:rsidR="00851C20" w:rsidRPr="00456628">
        <w:rPr>
          <w:rFonts w:ascii="Times New Roman" w:hAnsi="Times New Roman" w:cs="Times New Roman"/>
          <w:sz w:val="24"/>
          <w:szCs w:val="24"/>
          <w:lang w:val="en-US"/>
        </w:rPr>
        <w:t>argues that when an experiment is performed a large number of times, the average result wi</w:t>
      </w:r>
      <w:r w:rsidR="0051534B" w:rsidRPr="00456628">
        <w:rPr>
          <w:rFonts w:ascii="Times New Roman" w:hAnsi="Times New Roman" w:cs="Times New Roman"/>
          <w:sz w:val="24"/>
          <w:szCs w:val="24"/>
          <w:lang w:val="en-US"/>
        </w:rPr>
        <w:t>ll approximate the actual congruence on issues that currently make up public debates.</w:t>
      </w:r>
      <w:r w:rsidR="0051534B" w:rsidRPr="00456628">
        <w:rPr>
          <w:rStyle w:val="FootnoteReference"/>
          <w:rFonts w:ascii="Times New Roman" w:hAnsi="Times New Roman" w:cs="Times New Roman"/>
          <w:sz w:val="24"/>
          <w:szCs w:val="24"/>
          <w:lang w:val="en-US"/>
        </w:rPr>
        <w:footnoteReference w:id="2"/>
      </w:r>
      <w:r w:rsidR="00851C20" w:rsidRPr="00456628">
        <w:rPr>
          <w:rFonts w:ascii="Times New Roman" w:hAnsi="Times New Roman" w:cs="Times New Roman"/>
          <w:sz w:val="24"/>
          <w:szCs w:val="24"/>
          <w:lang w:val="en-US"/>
        </w:rPr>
        <w:t xml:space="preserve"> </w:t>
      </w:r>
      <w:r w:rsidR="00FD7BB0" w:rsidRPr="00456628">
        <w:rPr>
          <w:rFonts w:ascii="Times New Roman" w:hAnsi="Times New Roman" w:cs="Times New Roman"/>
          <w:sz w:val="24"/>
          <w:szCs w:val="24"/>
          <w:lang w:val="en-US"/>
        </w:rPr>
        <w:t xml:space="preserve">Similarly, </w:t>
      </w:r>
      <w:r w:rsidR="00FD7BB0" w:rsidRPr="00456628">
        <w:rPr>
          <w:rFonts w:ascii="Times New Roman" w:hAnsi="Times New Roman" w:cs="Times New Roman"/>
          <w:sz w:val="24"/>
          <w:szCs w:val="24"/>
          <w:lang w:val="en-AU"/>
        </w:rPr>
        <w:t>w</w:t>
      </w:r>
      <w:r w:rsidR="00851C20" w:rsidRPr="00456628">
        <w:rPr>
          <w:rFonts w:ascii="Times New Roman" w:hAnsi="Times New Roman" w:cs="Times New Roman"/>
          <w:sz w:val="24"/>
          <w:szCs w:val="24"/>
          <w:lang w:val="en-AU"/>
        </w:rPr>
        <w:t>e can apply this line of reasoning to the measurement of opinion congruence</w:t>
      </w:r>
      <w:r w:rsidR="00FD7BB0" w:rsidRPr="00456628">
        <w:rPr>
          <w:rFonts w:ascii="Times New Roman" w:hAnsi="Times New Roman" w:cs="Times New Roman"/>
          <w:sz w:val="24"/>
          <w:szCs w:val="24"/>
          <w:lang w:val="en-AU"/>
        </w:rPr>
        <w:t>.</w:t>
      </w:r>
      <w:r w:rsidR="00851C20" w:rsidRPr="00456628">
        <w:rPr>
          <w:rFonts w:ascii="Times New Roman" w:hAnsi="Times New Roman" w:cs="Times New Roman"/>
          <w:sz w:val="24"/>
          <w:szCs w:val="24"/>
          <w:lang w:val="en-AU"/>
        </w:rPr>
        <w:t xml:space="preserve"> Each policy statement</w:t>
      </w:r>
      <w:r w:rsidR="0051534B" w:rsidRPr="00456628">
        <w:rPr>
          <w:rFonts w:ascii="Times New Roman" w:hAnsi="Times New Roman" w:cs="Times New Roman"/>
          <w:sz w:val="24"/>
          <w:szCs w:val="24"/>
          <w:lang w:val="en-AU"/>
        </w:rPr>
        <w:t xml:space="preserve"> that is about a topical issue</w:t>
      </w:r>
      <w:r w:rsidR="00851C20" w:rsidRPr="00456628">
        <w:rPr>
          <w:rFonts w:ascii="Times New Roman" w:hAnsi="Times New Roman" w:cs="Times New Roman"/>
          <w:sz w:val="24"/>
          <w:szCs w:val="24"/>
          <w:lang w:val="en-AU"/>
        </w:rPr>
        <w:t xml:space="preserve"> is an experiment of whether </w:t>
      </w:r>
      <w:r w:rsidR="00CF51B5" w:rsidRPr="00456628">
        <w:rPr>
          <w:rFonts w:ascii="Times New Roman" w:hAnsi="Times New Roman" w:cs="Times New Roman"/>
          <w:sz w:val="24"/>
          <w:szCs w:val="24"/>
          <w:lang w:val="en-AU"/>
        </w:rPr>
        <w:t>voters and parties</w:t>
      </w:r>
      <w:r w:rsidR="00851C20" w:rsidRPr="00456628">
        <w:rPr>
          <w:rFonts w:ascii="Times New Roman" w:hAnsi="Times New Roman" w:cs="Times New Roman"/>
          <w:sz w:val="24"/>
          <w:szCs w:val="24"/>
          <w:lang w:val="en-AU"/>
        </w:rPr>
        <w:t xml:space="preserve"> agree or not. When adding more and more policy statements, </w:t>
      </w:r>
      <w:r w:rsidR="0051534B" w:rsidRPr="00456628">
        <w:rPr>
          <w:rFonts w:ascii="Times New Roman" w:hAnsi="Times New Roman" w:cs="Times New Roman"/>
          <w:sz w:val="24"/>
          <w:szCs w:val="24"/>
          <w:lang w:val="en-AU"/>
        </w:rPr>
        <w:t xml:space="preserve">the </w:t>
      </w:r>
      <w:r w:rsidR="00851C20" w:rsidRPr="00456628">
        <w:rPr>
          <w:rFonts w:ascii="Times New Roman" w:hAnsi="Times New Roman" w:cs="Times New Roman"/>
          <w:sz w:val="24"/>
          <w:szCs w:val="24"/>
          <w:lang w:val="en-AU"/>
        </w:rPr>
        <w:t xml:space="preserve">underlying pattern of </w:t>
      </w:r>
      <w:r w:rsidR="0033736B" w:rsidRPr="00456628">
        <w:rPr>
          <w:rFonts w:ascii="Times New Roman" w:hAnsi="Times New Roman" w:cs="Times New Roman"/>
          <w:sz w:val="24"/>
          <w:szCs w:val="24"/>
          <w:lang w:val="en-AU"/>
        </w:rPr>
        <w:t xml:space="preserve">congruence </w:t>
      </w:r>
      <w:r w:rsidR="00851C20" w:rsidRPr="00456628">
        <w:rPr>
          <w:rFonts w:ascii="Times New Roman" w:hAnsi="Times New Roman" w:cs="Times New Roman"/>
          <w:sz w:val="24"/>
          <w:szCs w:val="24"/>
          <w:lang w:val="en-AU"/>
        </w:rPr>
        <w:t xml:space="preserve">between their policy views should reveal itself. In other words, if we were to randomly draw more and more policy statements from the universe of </w:t>
      </w:r>
      <w:r w:rsidR="0051534B" w:rsidRPr="00456628">
        <w:rPr>
          <w:rFonts w:ascii="Times New Roman" w:hAnsi="Times New Roman" w:cs="Times New Roman"/>
          <w:sz w:val="24"/>
          <w:szCs w:val="24"/>
          <w:lang w:val="en-AU"/>
        </w:rPr>
        <w:t xml:space="preserve">debated </w:t>
      </w:r>
      <w:r w:rsidR="00851C20" w:rsidRPr="00456628">
        <w:rPr>
          <w:rFonts w:ascii="Times New Roman" w:hAnsi="Times New Roman" w:cs="Times New Roman"/>
          <w:sz w:val="24"/>
          <w:szCs w:val="24"/>
          <w:lang w:val="en-AU"/>
        </w:rPr>
        <w:t xml:space="preserve">policy issues and use those </w:t>
      </w:r>
      <w:r w:rsidR="00851C20" w:rsidRPr="00456628">
        <w:rPr>
          <w:rFonts w:ascii="Times New Roman" w:hAnsi="Times New Roman" w:cs="Times New Roman"/>
          <w:sz w:val="24"/>
          <w:szCs w:val="24"/>
          <w:lang w:val="en-US"/>
        </w:rPr>
        <w:t xml:space="preserve">statements to calculate congruence, increasing the number of policy statements drawn brings the observed </w:t>
      </w:r>
      <w:r w:rsidR="004734ED" w:rsidRPr="00456628">
        <w:rPr>
          <w:rFonts w:ascii="Times New Roman" w:hAnsi="Times New Roman" w:cs="Times New Roman"/>
          <w:sz w:val="24"/>
          <w:szCs w:val="24"/>
          <w:lang w:val="en-US"/>
        </w:rPr>
        <w:t xml:space="preserve">opinion </w:t>
      </w:r>
      <w:r w:rsidR="00851C20" w:rsidRPr="00456628">
        <w:rPr>
          <w:rFonts w:ascii="Times New Roman" w:hAnsi="Times New Roman" w:cs="Times New Roman"/>
          <w:sz w:val="24"/>
          <w:szCs w:val="24"/>
          <w:lang w:val="en-US"/>
        </w:rPr>
        <w:lastRenderedPageBreak/>
        <w:t>congruence score closer to the true level of opinion congruence</w:t>
      </w:r>
      <w:r w:rsidR="0051534B" w:rsidRPr="00456628">
        <w:rPr>
          <w:rFonts w:ascii="Times New Roman" w:hAnsi="Times New Roman" w:cs="Times New Roman"/>
          <w:sz w:val="24"/>
          <w:szCs w:val="24"/>
          <w:lang w:val="en-US"/>
        </w:rPr>
        <w:t xml:space="preserve"> given contemporary public debates</w:t>
      </w:r>
      <w:r w:rsidR="00851C20" w:rsidRPr="00456628">
        <w:rPr>
          <w:rFonts w:ascii="Times New Roman" w:hAnsi="Times New Roman" w:cs="Times New Roman"/>
          <w:sz w:val="24"/>
          <w:szCs w:val="24"/>
          <w:lang w:val="en-US"/>
        </w:rPr>
        <w:t xml:space="preserve">. </w:t>
      </w:r>
      <w:r w:rsidR="00851C20" w:rsidRPr="00456628">
        <w:rPr>
          <w:rFonts w:ascii="Times New Roman" w:hAnsi="Times New Roman" w:cs="Times New Roman"/>
          <w:sz w:val="24"/>
          <w:szCs w:val="24"/>
          <w:lang w:val="en-AU"/>
        </w:rPr>
        <w:t>Therefore, the larger the number of policy statements, the more likely congruence scores will be consistent with one another, even when calculated on the basis of a completely different set of policy statements.</w:t>
      </w:r>
    </w:p>
    <w:p w14:paraId="4690F669" w14:textId="56A8003D" w:rsidR="00851C20" w:rsidRPr="00456628" w:rsidRDefault="00851C20" w:rsidP="00851C20">
      <w:pPr>
        <w:rPr>
          <w:rFonts w:ascii="Times New Roman" w:hAnsi="Times New Roman" w:cs="Times New Roman"/>
          <w:sz w:val="24"/>
          <w:szCs w:val="24"/>
          <w:lang w:val="en-AU"/>
        </w:rPr>
      </w:pPr>
      <w:r w:rsidRPr="00456628">
        <w:rPr>
          <w:rFonts w:ascii="Times New Roman" w:hAnsi="Times New Roman" w:cs="Times New Roman"/>
          <w:sz w:val="24"/>
          <w:szCs w:val="24"/>
          <w:lang w:val="en-AU"/>
        </w:rPr>
        <w:t xml:space="preserve">However, adding more policy statements can still result in an </w:t>
      </w:r>
      <w:r w:rsidR="006359DD" w:rsidRPr="00456628">
        <w:rPr>
          <w:rFonts w:ascii="Times New Roman" w:hAnsi="Times New Roman" w:cs="Times New Roman"/>
          <w:sz w:val="24"/>
          <w:szCs w:val="24"/>
          <w:lang w:val="en-AU"/>
        </w:rPr>
        <w:t xml:space="preserve">unreliable </w:t>
      </w:r>
      <w:r w:rsidRPr="00456628">
        <w:rPr>
          <w:rFonts w:ascii="Times New Roman" w:hAnsi="Times New Roman" w:cs="Times New Roman"/>
          <w:sz w:val="24"/>
          <w:szCs w:val="24"/>
          <w:lang w:val="en-AU"/>
        </w:rPr>
        <w:t xml:space="preserve">estimate of </w:t>
      </w:r>
      <w:r w:rsidR="00A41FA9" w:rsidRPr="00456628">
        <w:rPr>
          <w:rFonts w:ascii="Times New Roman" w:hAnsi="Times New Roman" w:cs="Times New Roman"/>
          <w:sz w:val="24"/>
          <w:szCs w:val="24"/>
          <w:lang w:val="en-AU"/>
        </w:rPr>
        <w:t>opinion congruence</w:t>
      </w:r>
      <w:r w:rsidRPr="00456628">
        <w:rPr>
          <w:rFonts w:ascii="Times New Roman" w:hAnsi="Times New Roman" w:cs="Times New Roman"/>
          <w:sz w:val="24"/>
          <w:szCs w:val="24"/>
          <w:lang w:val="en-AU"/>
        </w:rPr>
        <w:t xml:space="preserve"> if </w:t>
      </w:r>
      <w:r w:rsidR="00FD7BB0" w:rsidRPr="00456628">
        <w:rPr>
          <w:rFonts w:ascii="Times New Roman" w:hAnsi="Times New Roman" w:cs="Times New Roman"/>
          <w:sz w:val="24"/>
          <w:szCs w:val="24"/>
          <w:lang w:val="en-AU"/>
        </w:rPr>
        <w:t xml:space="preserve">the </w:t>
      </w:r>
      <w:r w:rsidRPr="00456628">
        <w:rPr>
          <w:rFonts w:ascii="Times New Roman" w:hAnsi="Times New Roman" w:cs="Times New Roman"/>
          <w:sz w:val="24"/>
          <w:szCs w:val="24"/>
          <w:lang w:val="en-AU"/>
        </w:rPr>
        <w:t xml:space="preserve">diversity of topics covered remains </w:t>
      </w:r>
      <w:r w:rsidR="003C49F7" w:rsidRPr="00456628">
        <w:rPr>
          <w:rFonts w:ascii="Times New Roman" w:hAnsi="Times New Roman" w:cs="Times New Roman"/>
          <w:sz w:val="24"/>
          <w:szCs w:val="24"/>
          <w:lang w:val="en-AU"/>
        </w:rPr>
        <w:t>limited</w:t>
      </w:r>
      <w:r w:rsidRPr="00456628">
        <w:rPr>
          <w:rFonts w:ascii="Times New Roman" w:hAnsi="Times New Roman" w:cs="Times New Roman"/>
          <w:sz w:val="24"/>
          <w:szCs w:val="24"/>
          <w:lang w:val="en-AU"/>
        </w:rPr>
        <w:t xml:space="preserve">. </w:t>
      </w:r>
      <w:r w:rsidR="00ED4181" w:rsidRPr="00456628">
        <w:rPr>
          <w:rFonts w:ascii="Times New Roman" w:hAnsi="Times New Roman" w:cs="Times New Roman"/>
          <w:sz w:val="24"/>
          <w:szCs w:val="24"/>
          <w:lang w:val="en-AU"/>
        </w:rPr>
        <w:t>F</w:t>
      </w:r>
      <w:r w:rsidRPr="00456628">
        <w:rPr>
          <w:rFonts w:ascii="Times New Roman" w:hAnsi="Times New Roman" w:cs="Times New Roman"/>
          <w:sz w:val="24"/>
          <w:szCs w:val="24"/>
          <w:lang w:val="en-AU"/>
        </w:rPr>
        <w:t>or instance</w:t>
      </w:r>
      <w:r w:rsidR="00ED4181" w:rsidRPr="00456628">
        <w:rPr>
          <w:rFonts w:ascii="Times New Roman" w:hAnsi="Times New Roman" w:cs="Times New Roman"/>
          <w:sz w:val="24"/>
          <w:szCs w:val="24"/>
          <w:lang w:val="en-AU"/>
        </w:rPr>
        <w:t>, when</w:t>
      </w:r>
      <w:r w:rsidR="006359DD" w:rsidRPr="00456628">
        <w:rPr>
          <w:rFonts w:ascii="Times New Roman" w:hAnsi="Times New Roman" w:cs="Times New Roman"/>
          <w:sz w:val="24"/>
          <w:szCs w:val="24"/>
          <w:lang w:val="en-AU"/>
        </w:rPr>
        <w:t xml:space="preserve"> </w:t>
      </w:r>
      <w:r w:rsidR="00A03F82" w:rsidRPr="00456628">
        <w:rPr>
          <w:rFonts w:ascii="Times New Roman" w:hAnsi="Times New Roman" w:cs="Times New Roman"/>
          <w:sz w:val="24"/>
          <w:szCs w:val="24"/>
          <w:lang w:val="en-AU"/>
        </w:rPr>
        <w:t xml:space="preserve">voters and parties </w:t>
      </w:r>
      <w:r w:rsidRPr="00456628">
        <w:rPr>
          <w:rFonts w:ascii="Times New Roman" w:hAnsi="Times New Roman" w:cs="Times New Roman"/>
          <w:sz w:val="24"/>
          <w:szCs w:val="24"/>
          <w:lang w:val="en-AU"/>
        </w:rPr>
        <w:t>agree environmental polic</w:t>
      </w:r>
      <w:r w:rsidR="0002628A" w:rsidRPr="00456628">
        <w:rPr>
          <w:rFonts w:ascii="Times New Roman" w:hAnsi="Times New Roman" w:cs="Times New Roman"/>
          <w:sz w:val="24"/>
          <w:szCs w:val="24"/>
          <w:lang w:val="en-AU"/>
        </w:rPr>
        <w:t>ies</w:t>
      </w:r>
      <w:r w:rsidRPr="00456628">
        <w:rPr>
          <w:rFonts w:ascii="Times New Roman" w:hAnsi="Times New Roman" w:cs="Times New Roman"/>
          <w:sz w:val="24"/>
          <w:szCs w:val="24"/>
          <w:lang w:val="en-AU"/>
        </w:rPr>
        <w:t>, but disagree starkly on matters related to immigration. If the selection of policy statements ignores the latter topic, we arrive at an overly optimistic estimate of opinion congruence, an estimate that will differ from one which does take immigration into account.</w:t>
      </w:r>
      <w:r w:rsidR="00657B2E" w:rsidRPr="00456628">
        <w:rPr>
          <w:rFonts w:ascii="Times New Roman" w:hAnsi="Times New Roman" w:cs="Times New Roman"/>
          <w:sz w:val="24"/>
          <w:szCs w:val="24"/>
          <w:lang w:val="en-AU"/>
        </w:rPr>
        <w:t xml:space="preserve"> </w:t>
      </w:r>
      <w:r w:rsidR="00B2371E" w:rsidRPr="00456628">
        <w:rPr>
          <w:rFonts w:ascii="Times New Roman" w:hAnsi="Times New Roman" w:cs="Times New Roman"/>
          <w:sz w:val="24"/>
          <w:szCs w:val="24"/>
          <w:lang w:val="en-AU"/>
        </w:rPr>
        <w:t xml:space="preserve">In this regard, </w:t>
      </w:r>
      <w:r w:rsidR="00657B2E" w:rsidRPr="00456628">
        <w:rPr>
          <w:rFonts w:ascii="Times New Roman" w:hAnsi="Times New Roman" w:cs="Times New Roman"/>
          <w:sz w:val="24"/>
          <w:szCs w:val="24"/>
          <w:lang w:val="en-US"/>
        </w:rPr>
        <w:t xml:space="preserve">Thomassen </w:t>
      </w:r>
      <w:r w:rsidR="00657B2E" w:rsidRPr="00456628">
        <w:rPr>
          <w:rFonts w:ascii="Times New Roman" w:hAnsi="Times New Roman" w:cs="Times New Roman"/>
          <w:sz w:val="24"/>
          <w:szCs w:val="24"/>
          <w:lang w:val="en-AU"/>
        </w:rPr>
        <w:fldChar w:fldCharType="begin"/>
      </w:r>
      <w:r w:rsidR="00DA4357" w:rsidRPr="00456628">
        <w:rPr>
          <w:rFonts w:ascii="Times New Roman" w:hAnsi="Times New Roman" w:cs="Times New Roman"/>
          <w:sz w:val="24"/>
          <w:szCs w:val="24"/>
          <w:lang w:val="en-AU"/>
        </w:rPr>
        <w:instrText xml:space="preserve"> ADDIN ZOTERO_ITEM CSL_CITATION {"citationID":"RdUvvtVr","properties":{"formattedCitation":"(2012)","plainCitation":"(2012)","noteIndex":0},"citationItems":[{"id":"zNFxbYtK/Z2OqbRRY","uris":["http://zotero.org/users/5515793/items/TB9T8WET"],"uri":["http://zotero.org/users/5515793/items/TB9T8WET"],"itemData":{"id":172,"type":"article-journal","title":"The blind corner of political representation","container-title":"Representation","page":"13–27","volume":"48","issue":"1","source":"Google Scholar","author":[{"family":"Thomassen","given":"Jacques"}],"issued":{"date-parts":[["2012"]]}},"suppress-author":true}],"schema":"https://github.com/citation-style-language/schema/raw/master/csl-citation.json"} </w:instrText>
      </w:r>
      <w:r w:rsidR="00657B2E" w:rsidRPr="00456628">
        <w:rPr>
          <w:rFonts w:ascii="Times New Roman" w:hAnsi="Times New Roman" w:cs="Times New Roman"/>
          <w:sz w:val="24"/>
          <w:szCs w:val="24"/>
          <w:lang w:val="en-AU"/>
        </w:rPr>
        <w:fldChar w:fldCharType="separate"/>
      </w:r>
      <w:r w:rsidR="00657B2E" w:rsidRPr="00456628">
        <w:rPr>
          <w:rFonts w:ascii="Times New Roman" w:hAnsi="Times New Roman" w:cs="Times New Roman"/>
          <w:sz w:val="24"/>
          <w:szCs w:val="24"/>
          <w:lang w:val="en-AU"/>
        </w:rPr>
        <w:t>(2012)</w:t>
      </w:r>
      <w:r w:rsidR="00657B2E" w:rsidRPr="00456628">
        <w:rPr>
          <w:rFonts w:ascii="Times New Roman" w:hAnsi="Times New Roman" w:cs="Times New Roman"/>
          <w:sz w:val="24"/>
          <w:szCs w:val="24"/>
          <w:lang w:val="en-AU"/>
        </w:rPr>
        <w:fldChar w:fldCharType="end"/>
      </w:r>
      <w:r w:rsidR="00657B2E" w:rsidRPr="00456628">
        <w:rPr>
          <w:rFonts w:ascii="Times New Roman" w:hAnsi="Times New Roman" w:cs="Times New Roman"/>
          <w:sz w:val="24"/>
          <w:szCs w:val="24"/>
          <w:lang w:val="en-AU"/>
        </w:rPr>
        <w:t xml:space="preserve"> argued that limiting the topic scop</w:t>
      </w:r>
      <w:r w:rsidR="0002628A" w:rsidRPr="00456628">
        <w:rPr>
          <w:rFonts w:ascii="Times New Roman" w:hAnsi="Times New Roman" w:cs="Times New Roman"/>
          <w:sz w:val="24"/>
          <w:szCs w:val="24"/>
          <w:lang w:val="en-AU"/>
        </w:rPr>
        <w:t>e</w:t>
      </w:r>
      <w:r w:rsidR="00657B2E" w:rsidRPr="00456628">
        <w:rPr>
          <w:rFonts w:ascii="Times New Roman" w:hAnsi="Times New Roman" w:cs="Times New Roman"/>
          <w:sz w:val="24"/>
          <w:szCs w:val="24"/>
          <w:lang w:val="en-AU"/>
        </w:rPr>
        <w:t xml:space="preserve"> could result in ‘blind corners’ in congruence research. </w:t>
      </w:r>
      <w:r w:rsidRPr="00456628">
        <w:rPr>
          <w:rFonts w:ascii="Times New Roman" w:hAnsi="Times New Roman" w:cs="Times New Roman"/>
          <w:sz w:val="24"/>
          <w:szCs w:val="24"/>
          <w:lang w:val="en-AU"/>
        </w:rPr>
        <w:t>In other words, opinion congruence measures are expected to be more robust and consistent when the policy statements on which the measures are based are spread across a wider variety of issue topics. The greater the diversity of topics included, the greater the nuance with which we measure whether voters and parties share the same views on policy.</w:t>
      </w:r>
    </w:p>
    <w:p w14:paraId="1C81857F" w14:textId="76228C2E" w:rsidR="00CE0478" w:rsidRPr="00456628" w:rsidRDefault="00657B2E" w:rsidP="00851C20">
      <w:pPr>
        <w:rPr>
          <w:rFonts w:ascii="Times New Roman" w:hAnsi="Times New Roman" w:cs="Times New Roman"/>
          <w:sz w:val="24"/>
          <w:szCs w:val="24"/>
          <w:lang w:val="en-US"/>
        </w:rPr>
      </w:pPr>
      <w:r w:rsidRPr="00456628">
        <w:rPr>
          <w:rFonts w:ascii="Times New Roman" w:hAnsi="Times New Roman" w:cs="Times New Roman"/>
          <w:sz w:val="24"/>
          <w:szCs w:val="24"/>
          <w:lang w:val="en-AU"/>
        </w:rPr>
        <w:t>Voters differ, however, in how much they know about policy issues and topics</w:t>
      </w:r>
      <w:r w:rsidR="00761D8C" w:rsidRPr="00456628">
        <w:rPr>
          <w:rFonts w:ascii="Times New Roman" w:hAnsi="Times New Roman" w:cs="Times New Roman"/>
          <w:sz w:val="24"/>
          <w:szCs w:val="24"/>
          <w:lang w:val="en-AU"/>
        </w:rPr>
        <w:t xml:space="preserve"> </w:t>
      </w:r>
      <w:r w:rsidR="00761D8C" w:rsidRPr="00456628">
        <w:rPr>
          <w:rFonts w:ascii="Times New Roman" w:hAnsi="Times New Roman" w:cs="Times New Roman"/>
          <w:sz w:val="24"/>
          <w:szCs w:val="24"/>
          <w:lang w:val="en-AU"/>
        </w:rPr>
        <w:fldChar w:fldCharType="begin"/>
      </w:r>
      <w:r w:rsidR="00761D8C" w:rsidRPr="00456628">
        <w:rPr>
          <w:rFonts w:ascii="Times New Roman" w:hAnsi="Times New Roman" w:cs="Times New Roman"/>
          <w:sz w:val="24"/>
          <w:szCs w:val="24"/>
          <w:lang w:val="en-AU"/>
        </w:rPr>
        <w:instrText xml:space="preserve"> ADDIN ZOTERO_ITEM CSL_CITATION {"citationID":"pab2nwTn","properties":{"formattedCitation":"(Fowler and Margolis 2014)","plainCitation":"(Fowler and Margolis 2014)","noteIndex":0},"citationItems":[{"id":842,"uris":["http://zotero.org/users/local/uk8r6OrS/items/GBPN9GSI"],"uri":["http://zotero.org/users/local/uk8r6OrS/items/GBPN9GSI"],"itemData":{"id":842,"type":"article-journal","container-title":"Electoral Studies","DOI":"10.1016/j.electstud.2013.09.009","ISSN":"02613794","journalAbbreviation":"Electoral Studies","language":"en","page":"100-110","source":"DOI.org (Crossref)","title":"The political consequences of uninformed voters","volume":"34","author":[{"family":"Fowler","given":"Anthony"},{"family":"Margolis","given":"Michele"}],"issued":{"date-parts":[["2014",6]]}}}],"schema":"https://github.com/citation-style-language/schema/raw/master/csl-citation.json"} </w:instrText>
      </w:r>
      <w:r w:rsidR="00761D8C" w:rsidRPr="00456628">
        <w:rPr>
          <w:rFonts w:ascii="Times New Roman" w:hAnsi="Times New Roman" w:cs="Times New Roman"/>
          <w:sz w:val="24"/>
          <w:szCs w:val="24"/>
          <w:lang w:val="en-AU"/>
        </w:rPr>
        <w:fldChar w:fldCharType="separate"/>
      </w:r>
      <w:r w:rsidR="00761D8C" w:rsidRPr="00456628">
        <w:rPr>
          <w:rFonts w:ascii="Times New Roman" w:hAnsi="Times New Roman" w:cs="Times New Roman"/>
          <w:sz w:val="24"/>
          <w:szCs w:val="24"/>
          <w:lang w:val="en-US"/>
        </w:rPr>
        <w:t>(Fowler and Margolis 2014)</w:t>
      </w:r>
      <w:r w:rsidR="00761D8C" w:rsidRPr="00456628">
        <w:rPr>
          <w:rFonts w:ascii="Times New Roman" w:hAnsi="Times New Roman" w:cs="Times New Roman"/>
          <w:sz w:val="24"/>
          <w:szCs w:val="24"/>
          <w:lang w:val="en-AU"/>
        </w:rPr>
        <w:fldChar w:fldCharType="end"/>
      </w:r>
      <w:r w:rsidRPr="00456628">
        <w:rPr>
          <w:rFonts w:ascii="Times New Roman" w:hAnsi="Times New Roman" w:cs="Times New Roman"/>
          <w:sz w:val="24"/>
          <w:szCs w:val="24"/>
          <w:lang w:val="en-AU"/>
        </w:rPr>
        <w:t xml:space="preserve">, and this knowledge (or lack thereof) can affect estimations of </w:t>
      </w:r>
      <w:r w:rsidR="00D158D0" w:rsidRPr="00456628">
        <w:rPr>
          <w:rFonts w:ascii="Times New Roman" w:hAnsi="Times New Roman" w:cs="Times New Roman"/>
          <w:sz w:val="24"/>
          <w:szCs w:val="24"/>
          <w:lang w:val="en-AU"/>
        </w:rPr>
        <w:t xml:space="preserve">opinion </w:t>
      </w:r>
      <w:r w:rsidR="00DF2EF8" w:rsidRPr="00456628">
        <w:rPr>
          <w:rFonts w:ascii="Times New Roman" w:hAnsi="Times New Roman" w:cs="Times New Roman"/>
          <w:sz w:val="24"/>
          <w:szCs w:val="24"/>
          <w:lang w:val="en-AU"/>
        </w:rPr>
        <w:t>congruence</w:t>
      </w:r>
      <w:r w:rsidRPr="00456628">
        <w:rPr>
          <w:rFonts w:ascii="Times New Roman" w:hAnsi="Times New Roman" w:cs="Times New Roman"/>
          <w:sz w:val="24"/>
          <w:szCs w:val="24"/>
          <w:lang w:val="en-AU"/>
        </w:rPr>
        <w:t xml:space="preserve">. Voters who are less informed about a topic are also less likely to have stable and </w:t>
      </w:r>
      <w:r w:rsidR="000468F0" w:rsidRPr="00456628">
        <w:rPr>
          <w:rFonts w:ascii="Times New Roman" w:hAnsi="Times New Roman" w:cs="Times New Roman"/>
          <w:sz w:val="24"/>
          <w:szCs w:val="24"/>
          <w:lang w:val="en-AU"/>
        </w:rPr>
        <w:t>by extension</w:t>
      </w:r>
      <w:r w:rsidRPr="00456628">
        <w:rPr>
          <w:rFonts w:ascii="Times New Roman" w:hAnsi="Times New Roman" w:cs="Times New Roman"/>
          <w:sz w:val="24"/>
          <w:szCs w:val="24"/>
          <w:lang w:val="en-AU"/>
        </w:rPr>
        <w:t xml:space="preserve"> internally consistent preferences</w:t>
      </w:r>
      <w:r w:rsidR="0094025C" w:rsidRPr="00456628">
        <w:rPr>
          <w:rFonts w:ascii="Times New Roman" w:hAnsi="Times New Roman" w:cs="Times New Roman"/>
          <w:sz w:val="24"/>
          <w:szCs w:val="24"/>
          <w:lang w:val="en-AU"/>
        </w:rPr>
        <w:t xml:space="preserve">, in contrast to elites and parties who usually </w:t>
      </w:r>
      <w:r w:rsidR="001243A9" w:rsidRPr="00456628">
        <w:rPr>
          <w:rFonts w:ascii="Times New Roman" w:hAnsi="Times New Roman" w:cs="Times New Roman"/>
          <w:sz w:val="24"/>
          <w:szCs w:val="24"/>
          <w:lang w:val="en-AU"/>
        </w:rPr>
        <w:t>have a very consistent belief system</w:t>
      </w:r>
      <w:r w:rsidRPr="00456628">
        <w:rPr>
          <w:rFonts w:ascii="Times New Roman" w:hAnsi="Times New Roman" w:cs="Times New Roman"/>
          <w:sz w:val="24"/>
          <w:szCs w:val="24"/>
          <w:lang w:val="en-AU"/>
        </w:rPr>
        <w:t xml:space="preserve"> </w:t>
      </w:r>
      <w:r w:rsidR="0009676F" w:rsidRPr="00456628">
        <w:rPr>
          <w:rFonts w:ascii="Times New Roman" w:hAnsi="Times New Roman" w:cs="Times New Roman"/>
          <w:sz w:val="24"/>
          <w:szCs w:val="24"/>
          <w:lang w:val="en-AU"/>
        </w:rPr>
        <w:fldChar w:fldCharType="begin"/>
      </w:r>
      <w:r w:rsidR="00DA4357" w:rsidRPr="00456628">
        <w:rPr>
          <w:rFonts w:ascii="Times New Roman" w:hAnsi="Times New Roman" w:cs="Times New Roman"/>
          <w:sz w:val="24"/>
          <w:szCs w:val="24"/>
          <w:lang w:val="en-AU"/>
        </w:rPr>
        <w:instrText xml:space="preserve"> ADDIN ZOTERO_ITEM CSL_CITATION {"citationID":"Ab7R2zkE","properties":{"formattedCitation":"(see Converse 1964; Todosijevi\\uc0\\u263{} 2004)","plainCitation":"(see Converse 1964; Todosijević 2004)","noteIndex":0},"citationItems":[{"id":"zNFxbYtK/mGvEBm3B","uris":["http://zotero.org/users/local/nnA3Jm4s/items/WG26BZHX"],"uri":["http://zotero.org/users/local/nnA3Jm4s/items/WG26BZHX"],"itemData":{"id":37,"type":"article-journal","container-title":"Critical Review","DOI":"10.1080/08913810608443650","ISSN":"0891-3811, 1933-8007","issue":"1-3","journalAbbreviation":"Critical Review","language":"en","page":"1-74","source":"DOI.org (Crossref)","title":"The nature of belief systems in mass publics","volume":"18","author":[{"family":"Converse","given":"Philip E."}],"issued":{"date-parts":[["1964"]]}},"prefix":"see"},{"id":"zNFxbYtK/zfWpGB4Q","uris":["http://zotero.org/users/2012883/items/FGR84X79"],"uri":["http://zotero.org/users/2012883/items/FGR84X79"],"itemData":{"id":"5brnlESV/mgvGFt4g","type":"article-journal","title":"The Hungarian Voter: Left–Right Dimension as a Clue to Policy Preferences","container-title":"International Political Science Review","page":"411-433","volume":"25","issue":"4","source":"ips.sagepub.com","abstract":"The left–right (L–R) ideological dimension has been regarded as a useful cognitive device for orientation in the political realm. Thanks to its absorptive nature it is able to represent a party’s stands on various issues simultaneously. This article specifies a number of conditions that its use ought to satisfy in order to function as a “rational” clue for parties’ positions on issues. The perceived position of parties on the L–R dimension should correspond to the parties’ actual issue positions, and the public should be aware of which policies are represented by particular positions on the L–R dimension. The present article addresses this problem, and provides an empirical test on the basis of survey data on political preferences of a random sample of Hungarian voters (N = 1453) and of members of the Hungarian national Parliament. The evidence generally supports the plausibility of the examined model, and shows that members of the Hungarian public are reasonably successful in matching their and their representatives’ issue preferences via the familiar left–right ideological code.","DOI":"10.1177/0192512104045088","ISSN":"0192-5121, 1460-373X","shortTitle":"The Hungarian Voter","journalAbbreviation":"International Political Science Review","language":"en","author":[{"family":"Todosijević","given":"Bojan"}],"issued":{"date-parts":[["2004",10,1]]}}}],"schema":"https://github.com/citation-style-language/schema/raw/master/csl-citation.json"} </w:instrText>
      </w:r>
      <w:r w:rsidR="0009676F" w:rsidRPr="00456628">
        <w:rPr>
          <w:rFonts w:ascii="Times New Roman" w:hAnsi="Times New Roman" w:cs="Times New Roman"/>
          <w:sz w:val="24"/>
          <w:szCs w:val="24"/>
          <w:lang w:val="en-AU"/>
        </w:rPr>
        <w:fldChar w:fldCharType="separate"/>
      </w:r>
      <w:r w:rsidR="00FF07AB" w:rsidRPr="00456628">
        <w:rPr>
          <w:rFonts w:ascii="Times New Roman" w:hAnsi="Times New Roman" w:cs="Times New Roman"/>
          <w:sz w:val="24"/>
          <w:szCs w:val="24"/>
          <w:lang w:val="en-US"/>
        </w:rPr>
        <w:t>(see Converse 1964; Todosijević 2004)</w:t>
      </w:r>
      <w:r w:rsidR="0009676F" w:rsidRPr="00456628">
        <w:rPr>
          <w:rFonts w:ascii="Times New Roman" w:hAnsi="Times New Roman" w:cs="Times New Roman"/>
          <w:sz w:val="24"/>
          <w:szCs w:val="24"/>
          <w:lang w:val="en-AU"/>
        </w:rPr>
        <w:fldChar w:fldCharType="end"/>
      </w:r>
      <w:r w:rsidRPr="00456628">
        <w:rPr>
          <w:rFonts w:ascii="Times New Roman" w:hAnsi="Times New Roman" w:cs="Times New Roman"/>
          <w:sz w:val="24"/>
          <w:szCs w:val="24"/>
          <w:lang w:val="en-AU"/>
        </w:rPr>
        <w:t xml:space="preserve">. Consequently, </w:t>
      </w:r>
      <w:r w:rsidR="00C95116" w:rsidRPr="00456628">
        <w:rPr>
          <w:rFonts w:ascii="Times New Roman" w:hAnsi="Times New Roman" w:cs="Times New Roman"/>
          <w:sz w:val="24"/>
          <w:szCs w:val="24"/>
          <w:lang w:val="en-AU"/>
        </w:rPr>
        <w:t>calculating</w:t>
      </w:r>
      <w:r w:rsidRPr="00456628">
        <w:rPr>
          <w:rFonts w:ascii="Times New Roman" w:hAnsi="Times New Roman" w:cs="Times New Roman"/>
          <w:sz w:val="24"/>
          <w:szCs w:val="24"/>
          <w:lang w:val="en-AU"/>
        </w:rPr>
        <w:t xml:space="preserve"> </w:t>
      </w:r>
      <w:r w:rsidR="0002628A" w:rsidRPr="00456628">
        <w:rPr>
          <w:rFonts w:ascii="Times New Roman" w:hAnsi="Times New Roman" w:cs="Times New Roman"/>
          <w:sz w:val="24"/>
          <w:szCs w:val="24"/>
          <w:lang w:val="en-AU"/>
        </w:rPr>
        <w:t>opinion</w:t>
      </w:r>
      <w:r w:rsidRPr="00456628">
        <w:rPr>
          <w:rFonts w:ascii="Times New Roman" w:hAnsi="Times New Roman" w:cs="Times New Roman"/>
          <w:sz w:val="24"/>
          <w:szCs w:val="24"/>
          <w:lang w:val="en-AU"/>
        </w:rPr>
        <w:t xml:space="preserve"> </w:t>
      </w:r>
      <w:r w:rsidR="00B2371E" w:rsidRPr="00456628">
        <w:rPr>
          <w:rFonts w:ascii="Times New Roman" w:hAnsi="Times New Roman" w:cs="Times New Roman"/>
          <w:sz w:val="24"/>
          <w:szCs w:val="24"/>
          <w:lang w:val="en-AU"/>
        </w:rPr>
        <w:t xml:space="preserve">congruence </w:t>
      </w:r>
      <w:r w:rsidR="000468F0" w:rsidRPr="00456628">
        <w:rPr>
          <w:rFonts w:ascii="Times New Roman" w:hAnsi="Times New Roman" w:cs="Times New Roman"/>
          <w:sz w:val="24"/>
          <w:szCs w:val="24"/>
          <w:lang w:val="en-AU"/>
        </w:rPr>
        <w:t xml:space="preserve">between voters and parties will result in varying outcomes. Two important factors that </w:t>
      </w:r>
      <w:r w:rsidR="00ED4181" w:rsidRPr="00456628">
        <w:rPr>
          <w:rFonts w:ascii="Times New Roman" w:hAnsi="Times New Roman" w:cs="Times New Roman"/>
          <w:sz w:val="24"/>
          <w:szCs w:val="24"/>
          <w:lang w:val="en-AU"/>
        </w:rPr>
        <w:t xml:space="preserve">affect </w:t>
      </w:r>
      <w:r w:rsidR="000468F0" w:rsidRPr="00456628">
        <w:rPr>
          <w:rFonts w:ascii="Times New Roman" w:hAnsi="Times New Roman" w:cs="Times New Roman"/>
          <w:sz w:val="24"/>
          <w:szCs w:val="24"/>
          <w:lang w:val="en-AU"/>
        </w:rPr>
        <w:t>how much voters know about a topic is personal topic saliency and a general interest in politics. While the importance of saliency</w:t>
      </w:r>
      <w:r w:rsidR="0002628A" w:rsidRPr="00456628">
        <w:rPr>
          <w:rFonts w:ascii="Times New Roman" w:hAnsi="Times New Roman" w:cs="Times New Roman"/>
          <w:sz w:val="24"/>
          <w:szCs w:val="24"/>
          <w:lang w:val="en-AU"/>
        </w:rPr>
        <w:t xml:space="preserve"> in opinion congruence</w:t>
      </w:r>
      <w:r w:rsidR="000468F0" w:rsidRPr="00456628">
        <w:rPr>
          <w:rFonts w:ascii="Times New Roman" w:hAnsi="Times New Roman" w:cs="Times New Roman"/>
          <w:sz w:val="24"/>
          <w:szCs w:val="24"/>
          <w:lang w:val="en-AU"/>
        </w:rPr>
        <w:t xml:space="preserve"> has been stressed decades ago</w:t>
      </w:r>
      <w:r w:rsidR="00A63792" w:rsidRPr="00456628">
        <w:rPr>
          <w:rFonts w:ascii="Times New Roman" w:hAnsi="Times New Roman" w:cs="Times New Roman"/>
          <w:sz w:val="24"/>
          <w:szCs w:val="24"/>
          <w:lang w:val="en-AU"/>
        </w:rPr>
        <w:t xml:space="preserve"> </w:t>
      </w:r>
      <w:r w:rsidR="00A63792" w:rsidRPr="00456628">
        <w:rPr>
          <w:rFonts w:ascii="Times New Roman" w:hAnsi="Times New Roman" w:cs="Times New Roman"/>
          <w:sz w:val="24"/>
          <w:szCs w:val="24"/>
          <w:lang w:val="en-AU"/>
        </w:rPr>
        <w:fldChar w:fldCharType="begin"/>
      </w:r>
      <w:r w:rsidR="00DA4357" w:rsidRPr="00456628">
        <w:rPr>
          <w:rFonts w:ascii="Times New Roman" w:hAnsi="Times New Roman" w:cs="Times New Roman"/>
          <w:sz w:val="24"/>
          <w:szCs w:val="24"/>
          <w:lang w:val="en-AU"/>
        </w:rPr>
        <w:instrText xml:space="preserve"> ADDIN ZOTERO_ITEM CSL_CITATION {"citationID":"f9jyynvN","properties":{"formattedCitation":"(Kuklinski and McCrone 1980)","plainCitation":"(Kuklinski and McCrone 1980)","noteIndex":0},"citationItems":[{"id":"zNFxbYtK/hLmtiRg8","uris":["http://zotero.org/users/local/nnA3Jm4s/items/EWGX9KPG"],"uri":["http://zotero.org/users/local/nnA3Jm4s/items/EWGX9KPG"],"itemData":{"id":8,"type":"article-journal","container-title":"American Politics Quarterly","DOI":"10.1177/1532673X8000800201","ISSN":"0044-7803","issue":"2","journalAbbreviation":"American Politics Quarterly","language":"en","page":"139-164","source":"DOI.org (Crossref)","title":"Policy Salience and the Causal Structure of Representation","volume":"8","author":[{"family":"Kuklinski","given":"James H."},{"family":"McCrone","given":"Donald J."}],"issued":{"date-parts":[["1980",4]]}}}],"schema":"https://github.com/citation-style-language/schema/raw/master/csl-citation.json"} </w:instrText>
      </w:r>
      <w:r w:rsidR="00A63792" w:rsidRPr="00456628">
        <w:rPr>
          <w:rFonts w:ascii="Times New Roman" w:hAnsi="Times New Roman" w:cs="Times New Roman"/>
          <w:sz w:val="24"/>
          <w:szCs w:val="24"/>
          <w:lang w:val="en-AU"/>
        </w:rPr>
        <w:fldChar w:fldCharType="separate"/>
      </w:r>
      <w:r w:rsidR="00A63792" w:rsidRPr="00456628">
        <w:rPr>
          <w:rFonts w:ascii="Times New Roman" w:hAnsi="Times New Roman" w:cs="Times New Roman"/>
          <w:sz w:val="24"/>
          <w:szCs w:val="24"/>
          <w:lang w:val="en-US"/>
        </w:rPr>
        <w:t>(Kuklinski and McCrone 1980)</w:t>
      </w:r>
      <w:r w:rsidR="00A63792" w:rsidRPr="00456628">
        <w:rPr>
          <w:rFonts w:ascii="Times New Roman" w:hAnsi="Times New Roman" w:cs="Times New Roman"/>
          <w:sz w:val="24"/>
          <w:szCs w:val="24"/>
          <w:lang w:val="en-AU"/>
        </w:rPr>
        <w:fldChar w:fldCharType="end"/>
      </w:r>
      <w:r w:rsidR="000468F0" w:rsidRPr="00456628">
        <w:rPr>
          <w:rFonts w:ascii="Times New Roman" w:hAnsi="Times New Roman" w:cs="Times New Roman"/>
          <w:sz w:val="24"/>
          <w:szCs w:val="24"/>
          <w:lang w:val="en-AU"/>
        </w:rPr>
        <w:t xml:space="preserve">, only recently have </w:t>
      </w:r>
      <w:r w:rsidR="0002628A" w:rsidRPr="00456628">
        <w:rPr>
          <w:rFonts w:ascii="Times New Roman" w:hAnsi="Times New Roman" w:cs="Times New Roman"/>
          <w:sz w:val="24"/>
          <w:szCs w:val="24"/>
          <w:lang w:val="en-AU"/>
        </w:rPr>
        <w:t>scholars begun to integrate it</w:t>
      </w:r>
      <w:r w:rsidR="000468F0" w:rsidRPr="00456628">
        <w:rPr>
          <w:rFonts w:ascii="Times New Roman" w:hAnsi="Times New Roman" w:cs="Times New Roman"/>
          <w:sz w:val="24"/>
          <w:szCs w:val="24"/>
          <w:lang w:val="en-AU"/>
        </w:rPr>
        <w:t xml:space="preserve"> in earnest </w:t>
      </w:r>
      <w:r w:rsidR="00A63792"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{"citationID":"7lZ3BJi2","properties":{"formattedCitation":"(see for instance Giger and Lefkofridi 2014; Walgrave and Lefevere 2013)","plainCitation":"(see for instance Giger and Lefkofridi 2014; Walgrave and Lefevere 2013)","noteIndex":0},"citationItems":[{"id":"zNFxbYtK/CbsCiW03","uris":["http://zotero.org/users/local/nnA3Jm4s/items/ZRC27YI9"],"uri":["http://zotero.org/users/local/nnA3Jm4s/items/ZRC27YI9"],"itemData":{"id":7,"type":"article-journal","container-title":"Swiss Political Science Review","DOI":"10.1111/spsr.12069","ISSN":"14247755","issue":"2","journalAbbreviation":"Swiss Polit Sci Rev","language":"en","page":"287-304","source":"DOI.org (Crossref)","title":"Salience-Based Congruence Between Parties &amp; their Voters: The Swiss Case","title-short":"Salience-Based Congruence Between Parties &amp; their Voters","volume":"20","author":[{"family":"Giger","given":"Nathalie"},{"family":"Lefkofridi","given":"Zoe"}],"issued":{"date-parts":[["2014",6]]}},"prefix":"see for instance"},{"id":"zNFxbYtK/ewG79xAj","uris":["http://zotero.org/users/2012883/items/936W7KBD"],"uri":["http://zotero.org/users/2012883/items/936W7KBD"],"itemData":{"id":"8BO6nDEC/ZRW5Qp8X","type":"article-journal","title":"Ideology, Salience, and Complexity: Determinants of Policy Issue Incongruence between Voters and Parties","container-title":"Journal of Elections, Public Opinion and Parties","page":"456-483","volume":"23","issue":"4","source":"Taylor and Francis+NEJM","abstract":"How come voters and their parties agree or disagree on policy issues? We claim that voter–party mismatches are due to a lack of information of voters regarding parties' positions. Three mechanisms determine levels of information: ideology, salience, and complexity. We test these ideas drawing on a large sample of policy statements (50) presented to voters and party leaders prior to regional elections in Belgium. Contrary to existing studies, we include predictors on all three levels: issue, voter, and party level. We find support for our claim. Major ideological divides such as the left–right divide yield useful information to the voters about where parties stand. Salience also generates information for voters, or makes information more accessible for voters, which decreases the odds that they have a different stance than their party. Our measures of complexity yielded the expected results too. When the task of voting is made more difficult, voters succeed less in voting for a party that matches their preferences.","DOI":"10.1080/17457289.2013.810630","ISSN":"1745-7289","shortTitle":"Ideology, Salience, and Complexity","author":[{"family":"Walgrave","given":"Stefaan"},{"family":"Lefevere","given":"Jonas"}],"issued":{"date-parts":[["2013"]]}}}],"schema":"https://github.com/citation-style-language/schema/raw/master/csl-citation.json"} </w:instrText>
      </w:r>
      <w:r w:rsidR="00A63792" w:rsidRPr="00456628">
        <w:rPr>
          <w:rFonts w:ascii="Times New Roman" w:hAnsi="Times New Roman" w:cs="Times New Roman"/>
          <w:sz w:val="24"/>
          <w:szCs w:val="24"/>
          <w:lang w:val="en-US"/>
        </w:rPr>
        <w:fldChar w:fldCharType="separate"/>
      </w:r>
      <w:r w:rsidR="00A63792" w:rsidRPr="00456628">
        <w:rPr>
          <w:rFonts w:ascii="Times New Roman" w:hAnsi="Times New Roman" w:cs="Times New Roman"/>
          <w:sz w:val="24"/>
          <w:szCs w:val="24"/>
          <w:lang w:val="en-US"/>
        </w:rPr>
        <w:t>(see for instance Giger and Lefkofridi 2014; Walgrave and Lefevere 2013)</w:t>
      </w:r>
      <w:r w:rsidR="00A63792" w:rsidRPr="00456628">
        <w:rPr>
          <w:rFonts w:ascii="Times New Roman" w:hAnsi="Times New Roman" w:cs="Times New Roman"/>
          <w:sz w:val="24"/>
          <w:szCs w:val="24"/>
          <w:lang w:val="en-US"/>
        </w:rPr>
        <w:fldChar w:fldCharType="end"/>
      </w:r>
      <w:r w:rsidR="00A63792" w:rsidRPr="00456628">
        <w:rPr>
          <w:rFonts w:ascii="Times New Roman" w:hAnsi="Times New Roman" w:cs="Times New Roman"/>
          <w:sz w:val="24"/>
          <w:szCs w:val="24"/>
          <w:lang w:val="en-US"/>
        </w:rPr>
        <w:t>.</w:t>
      </w:r>
      <w:r w:rsidR="00CE0478" w:rsidRPr="00456628">
        <w:rPr>
          <w:rFonts w:ascii="Times New Roman" w:hAnsi="Times New Roman" w:cs="Times New Roman"/>
          <w:sz w:val="24"/>
          <w:szCs w:val="24"/>
          <w:lang w:val="en-US"/>
        </w:rPr>
        <w:t xml:space="preserve"> </w:t>
      </w:r>
      <w:r w:rsidR="00D158D0" w:rsidRPr="00456628">
        <w:rPr>
          <w:rFonts w:ascii="Times New Roman" w:hAnsi="Times New Roman" w:cs="Times New Roman"/>
          <w:sz w:val="24"/>
          <w:szCs w:val="24"/>
          <w:lang w:val="en-US"/>
        </w:rPr>
        <w:t>S</w:t>
      </w:r>
      <w:r w:rsidR="0002628A" w:rsidRPr="00456628">
        <w:rPr>
          <w:rFonts w:ascii="Times New Roman" w:hAnsi="Times New Roman" w:cs="Times New Roman"/>
          <w:sz w:val="24"/>
          <w:szCs w:val="24"/>
          <w:lang w:val="en-US"/>
        </w:rPr>
        <w:t>aliency</w:t>
      </w:r>
      <w:r w:rsidR="0013037A" w:rsidRPr="00456628">
        <w:rPr>
          <w:rFonts w:ascii="Times New Roman" w:hAnsi="Times New Roman" w:cs="Times New Roman"/>
          <w:sz w:val="24"/>
          <w:szCs w:val="24"/>
          <w:lang w:val="en-US"/>
        </w:rPr>
        <w:t xml:space="preserve"> </w:t>
      </w:r>
      <w:r w:rsidR="00265EEF" w:rsidRPr="00456628">
        <w:rPr>
          <w:rFonts w:ascii="Times New Roman" w:hAnsi="Times New Roman" w:cs="Times New Roman"/>
          <w:sz w:val="24"/>
          <w:szCs w:val="24"/>
          <w:lang w:val="en-US"/>
        </w:rPr>
        <w:t>increases</w:t>
      </w:r>
      <w:r w:rsidR="00772C77" w:rsidRPr="00456628">
        <w:rPr>
          <w:rFonts w:ascii="Times New Roman" w:hAnsi="Times New Roman" w:cs="Times New Roman"/>
          <w:sz w:val="24"/>
          <w:szCs w:val="24"/>
          <w:lang w:val="en-US"/>
        </w:rPr>
        <w:t xml:space="preserve"> the motivation to search for policy-relevant information</w:t>
      </w:r>
      <w:r w:rsidR="00265EEF" w:rsidRPr="00456628">
        <w:rPr>
          <w:rFonts w:ascii="Times New Roman" w:hAnsi="Times New Roman" w:cs="Times New Roman"/>
          <w:sz w:val="24"/>
          <w:szCs w:val="24"/>
          <w:lang w:val="en-US"/>
        </w:rPr>
        <w:t xml:space="preserve"> </w:t>
      </w:r>
      <w:r w:rsidR="00265EEF"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{"citationID":"SvWYkDLs","properties":{"formattedCitation":"(Ciuk and Yost 2016; Krosnick 1988, 1990)","plainCitation":"(Ciuk and Yost 2016; Krosnick 1988, 1990)","noteIndex":0},"citationItems":[{"id":"zNFxbYtK/us9vHSYI","uris":["http://zotero.org/users/local/nnA3Jm4s/items/4A4NL3UL"],"uri":["http://zotero.org/users/local/nnA3Jm4s/items/4A4NL3UL"],"itemData":{"id":10,"type":"article-journal","container-title":"Political Communication","DOI":"10.1080/10584609.2015.1017629","ISSN":"1058-4609, 1091-7675","issue":"2","journalAbbreviation":"Political Communication","language":"en","page":"328-345","source":"DOI.org (Crossref)","title":"The Effects of Issue Salience, Elite Influence, and Policy Content on Public Opinion","volume":"33","author":[{"family":"Ciuk","given":"David J."},{"family":"Yost","given":"Berwood A."}],"issued":{"date-parts":[["2016",4,2]]}}},{"id":"zNFxbYtK/iSc0lX5k","uris":["http://zotero.org/users/local/nnA3Jm4s/items/EZGPKJWZ"],"uri":["http://zotero.org/users/local/nnA3Jm4s/items/EZGPKJWZ"],"itemData":{"id":13,"type":"article-journal","container-title":"Journal of Personality and Social Psychology","DOI":"10.1037/0022-3514.55.2.196","ISSN":"1939-1315, 0022-3514","issue":"2","journalAbbreviation":"Journal of Personality and Social Psychology","language":"en","page":"196-210","source":"DOI.org (Crossref)","title":"The role of attitude importance in social evaluation: A study of policy preferences, presidential candidate evaluations, and voting behavior.","title-short":"The role of attitude importance in social evaluation","volume":"55","author":[{"family":"Krosnick","given":"Jon A."}],"issued":{"date-parts":[["1988"]]}}},{"id":"zNFxbYtK/wMUa8GKG","uris":["http://zotero.org/users/local/nnA3Jm4s/items/SPWQRLLI"],"uri":["http://zotero.org/users/local/nnA3Jm4s/items/SPWQRLLI"],"itemData":{"id":15,"type":"article-journal","container-title":"Political Behavior","DOI":"10.1007/BF00992332","ISSN":"0190-9320, 1573-6687","issue":"1","journalAbbreviation":"Polit Behav","language":"en","page":"59-92","source":"DOI.org (Crossref)","title":"Government policy and citizen passion: A study of issue publics in contemporary America","title-short":"Government policy and citizen passion","volume":"12","author":[{"family":"Krosnick","given":"Jon A."}],"issued":{"date-parts":[["1990",3]]}}}],"schema":"https://github.com/citation-style-language/schema/raw/master/csl-citation.json"} </w:instrText>
      </w:r>
      <w:r w:rsidR="00265EEF" w:rsidRPr="00456628">
        <w:rPr>
          <w:rFonts w:ascii="Times New Roman" w:hAnsi="Times New Roman" w:cs="Times New Roman"/>
          <w:sz w:val="24"/>
          <w:szCs w:val="24"/>
          <w:lang w:val="en-US"/>
        </w:rPr>
        <w:fldChar w:fldCharType="separate"/>
      </w:r>
      <w:r w:rsidR="0013037A" w:rsidRPr="00456628">
        <w:rPr>
          <w:rFonts w:ascii="Times New Roman" w:hAnsi="Times New Roman" w:cs="Times New Roman"/>
          <w:sz w:val="24"/>
          <w:szCs w:val="24"/>
          <w:lang w:val="en-US"/>
        </w:rPr>
        <w:t>(Ciuk and Yost 2016; Krosnick 1988, 1990)</w:t>
      </w:r>
      <w:r w:rsidR="00265EEF" w:rsidRPr="00456628">
        <w:rPr>
          <w:rFonts w:ascii="Times New Roman" w:hAnsi="Times New Roman" w:cs="Times New Roman"/>
          <w:sz w:val="24"/>
          <w:szCs w:val="24"/>
          <w:lang w:val="en-US"/>
        </w:rPr>
        <w:fldChar w:fldCharType="end"/>
      </w:r>
      <w:r w:rsidR="00772C77" w:rsidRPr="00456628">
        <w:rPr>
          <w:rFonts w:ascii="Times New Roman" w:hAnsi="Times New Roman" w:cs="Times New Roman"/>
          <w:sz w:val="24"/>
          <w:szCs w:val="24"/>
          <w:lang w:val="en-US"/>
        </w:rPr>
        <w:t xml:space="preserve">, which in turn increases in the internal consistency of voters’ attitudes </w:t>
      </w:r>
      <w:r w:rsidR="00772C77"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{"citationID":"ccRN7oOX","properties":{"formattedCitation":"(Judd and Downing 1990; Lavine, Thomsen, and Gonzales 1997)","plainCitation":"(Judd and Downing 1990; Lavine, Thomsen, and Gonzales 1997)","noteIndex":0},"citationItems":[{"id":"zNFxbYtK/QtzjsUDJ","uris":["http://zotero.org/users/local/nnA3Jm4s/items/KB3KF3FR"],"uri":["http://zotero.org/users/local/nnA3Jm4s/items/KB3KF3FR"],"itemData":{"id":16,"type":"article-journal","container-title":"Social Cognition","DOI":"10.1521/soco.1990.8.1.104","ISSN":"0278-016X","issue":"1","journalAbbreviation":"Social Cognition","language":"en","page":"104-124","source":"DOI.org (Crossref)","title":"Political Expertise and the Development of Attitude Consistency","volume":"8","author":[{"family":"Judd","given":"Charles M."},{"family":"Downing","given":"James W."}],"issued":{"date-parts":[["1990",3]]}}},{"id":"zNFxbYtK/T4tTbso5","uris":["http://zotero.org/users/local/nnA3Jm4s/items/BZ94G9QF"],"uri":["http://zotero.org/users/local/nnA3Jm4s/items/BZ94G9QF"],"itemData":{"id":17,"type":"article-journal","container-title":"Journal of Personality and Social Psychology","DOI":"10.1037/0022-3514.72.4.735","ISSN":"1939-1315, 0022-3514","issue":"4","journalAbbreviation":"Journal of Personality and Social Psychology","language":"en","page":"735-749","source":"DOI.org (Crossref)","title":"The development of interattitudinal consistency: The shared-consequences model.","title-short":"The development of interattitudinal consistency","volume":"72","author":[{"family":"Lavine","given":"Howard"},{"family":"Thomsen","given":"Cynthia J."},{"family":"Gonzales","given":"Marti Hope"}],"issued":{"date-parts":[["1997"]]}}}],"schema":"https://github.com/citation-style-language/schema/raw/master/csl-citation.json"} </w:instrText>
      </w:r>
      <w:r w:rsidR="00772C77" w:rsidRPr="00456628">
        <w:rPr>
          <w:rFonts w:ascii="Times New Roman" w:hAnsi="Times New Roman" w:cs="Times New Roman"/>
          <w:sz w:val="24"/>
          <w:szCs w:val="24"/>
          <w:lang w:val="en-US"/>
        </w:rPr>
        <w:fldChar w:fldCharType="separate"/>
      </w:r>
      <w:r w:rsidR="002059DA" w:rsidRPr="00456628">
        <w:rPr>
          <w:rFonts w:ascii="Times New Roman" w:hAnsi="Times New Roman" w:cs="Times New Roman"/>
          <w:sz w:val="24"/>
          <w:szCs w:val="24"/>
          <w:lang w:val="en-US"/>
        </w:rPr>
        <w:t>(Judd and Downing 1990; Lavine, Thomsen, and Gonzales 1997)</w:t>
      </w:r>
      <w:r w:rsidR="00772C77" w:rsidRPr="00456628">
        <w:rPr>
          <w:rFonts w:ascii="Times New Roman" w:hAnsi="Times New Roman" w:cs="Times New Roman"/>
          <w:sz w:val="24"/>
          <w:szCs w:val="24"/>
          <w:lang w:val="en-US"/>
        </w:rPr>
        <w:fldChar w:fldCharType="end"/>
      </w:r>
      <w:r w:rsidR="00CE7D69" w:rsidRPr="00456628">
        <w:rPr>
          <w:rFonts w:ascii="Times New Roman" w:hAnsi="Times New Roman" w:cs="Times New Roman"/>
          <w:sz w:val="24"/>
          <w:szCs w:val="24"/>
          <w:lang w:val="en-US"/>
        </w:rPr>
        <w:t>.</w:t>
      </w:r>
      <w:r w:rsidR="0013037A" w:rsidRPr="00456628">
        <w:rPr>
          <w:rFonts w:ascii="Times New Roman" w:hAnsi="Times New Roman" w:cs="Times New Roman"/>
          <w:sz w:val="24"/>
          <w:szCs w:val="24"/>
          <w:lang w:val="en-US"/>
        </w:rPr>
        <w:t xml:space="preserve"> This</w:t>
      </w:r>
      <w:r w:rsidR="00D158D0" w:rsidRPr="00456628">
        <w:rPr>
          <w:rFonts w:ascii="Times New Roman" w:hAnsi="Times New Roman" w:cs="Times New Roman"/>
          <w:sz w:val="24"/>
          <w:szCs w:val="24"/>
          <w:lang w:val="en-US"/>
        </w:rPr>
        <w:t xml:space="preserve"> attitudinal</w:t>
      </w:r>
      <w:r w:rsidR="0013037A" w:rsidRPr="00456628">
        <w:rPr>
          <w:rFonts w:ascii="Times New Roman" w:hAnsi="Times New Roman" w:cs="Times New Roman"/>
          <w:sz w:val="24"/>
          <w:szCs w:val="24"/>
          <w:lang w:val="en-US"/>
        </w:rPr>
        <w:t xml:space="preserve"> stability is expected </w:t>
      </w:r>
      <w:r w:rsidR="00260C7C" w:rsidRPr="00456628">
        <w:rPr>
          <w:rFonts w:ascii="Times New Roman" w:hAnsi="Times New Roman" w:cs="Times New Roman"/>
          <w:sz w:val="24"/>
          <w:szCs w:val="24"/>
          <w:lang w:val="en-US"/>
        </w:rPr>
        <w:t xml:space="preserve">to in turn </w:t>
      </w:r>
      <w:r w:rsidR="0013037A" w:rsidRPr="00456628">
        <w:rPr>
          <w:rFonts w:ascii="Times New Roman" w:hAnsi="Times New Roman" w:cs="Times New Roman"/>
          <w:sz w:val="24"/>
          <w:szCs w:val="24"/>
          <w:lang w:val="en-US"/>
        </w:rPr>
        <w:t>have a stabilizing effect on estimations of opinion congruence between voters and parties.</w:t>
      </w:r>
    </w:p>
    <w:p w14:paraId="1F730AB9" w14:textId="19430EFE" w:rsidR="00E8257C" w:rsidRPr="00456628" w:rsidRDefault="00DD2D90" w:rsidP="00851C20">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For instance, if voters care little about </w:t>
      </w:r>
      <w:r w:rsidR="00381918" w:rsidRPr="00456628">
        <w:rPr>
          <w:rFonts w:ascii="Times New Roman" w:hAnsi="Times New Roman" w:cs="Times New Roman"/>
          <w:sz w:val="24"/>
          <w:szCs w:val="24"/>
          <w:lang w:val="en-US"/>
        </w:rPr>
        <w:t>climate change</w:t>
      </w:r>
      <w:r w:rsidRPr="00456628">
        <w:rPr>
          <w:rFonts w:ascii="Times New Roman" w:hAnsi="Times New Roman" w:cs="Times New Roman"/>
          <w:sz w:val="24"/>
          <w:szCs w:val="24"/>
          <w:lang w:val="en-US"/>
        </w:rPr>
        <w:t xml:space="preserve">, </w:t>
      </w:r>
      <w:r w:rsidR="00381918" w:rsidRPr="00456628">
        <w:rPr>
          <w:rFonts w:ascii="Times New Roman" w:hAnsi="Times New Roman" w:cs="Times New Roman"/>
          <w:sz w:val="24"/>
          <w:szCs w:val="24"/>
          <w:lang w:val="en-US"/>
        </w:rPr>
        <w:t>their</w:t>
      </w:r>
      <w:r w:rsidR="001676FF"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 xml:space="preserve">positions on </w:t>
      </w:r>
      <w:r w:rsidR="00260C7C" w:rsidRPr="00456628">
        <w:rPr>
          <w:rFonts w:ascii="Times New Roman" w:hAnsi="Times New Roman" w:cs="Times New Roman"/>
          <w:sz w:val="24"/>
          <w:szCs w:val="24"/>
          <w:lang w:val="en-US"/>
        </w:rPr>
        <w:t>policy statement</w:t>
      </w:r>
      <w:r w:rsidR="00381918" w:rsidRPr="00456628">
        <w:rPr>
          <w:rFonts w:ascii="Times New Roman" w:hAnsi="Times New Roman" w:cs="Times New Roman"/>
          <w:sz w:val="24"/>
          <w:szCs w:val="24"/>
          <w:lang w:val="en-US"/>
        </w:rPr>
        <w:t>s related to climate change</w:t>
      </w:r>
      <w:r w:rsidRPr="00456628">
        <w:rPr>
          <w:rFonts w:ascii="Times New Roman" w:hAnsi="Times New Roman" w:cs="Times New Roman"/>
          <w:sz w:val="24"/>
          <w:szCs w:val="24"/>
          <w:lang w:val="en-US"/>
        </w:rPr>
        <w:t xml:space="preserve"> </w:t>
      </w:r>
      <w:r w:rsidR="0045489A" w:rsidRPr="00456628">
        <w:rPr>
          <w:rFonts w:ascii="Times New Roman" w:hAnsi="Times New Roman" w:cs="Times New Roman"/>
          <w:sz w:val="24"/>
          <w:szCs w:val="24"/>
          <w:lang w:val="en-US"/>
        </w:rPr>
        <w:t xml:space="preserve">are more likely to resemble what Converse </w:t>
      </w:r>
      <w:r w:rsidR="0009676F"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Bc2jXznw","properties":{"formattedCitation":"(1964)","plainCitation":"(1964)","noteIndex":0},"citationItems":[{"id":"zNFxbYtK/mGvEBm3B","uris":["http://zotero.org/users/local/nnA3Jm4s/items/WG26BZHX"],"uri":["http://zotero.org/users/local/nnA3Jm4s/items/WG26BZHX"],"itemData":{"id":37,"type":"article-journal","container-title":"Critical Review","DOI":"10.1080/08913810608443650","ISSN":"0891-3811, 1933-8007","issue":"1-3","journalAbbreviation":"Critical Review","language":"en","page":"1-74","source":"DOI.org (Crossref)","title":"The nature of belief systems in mass publics","volume":"18","author":[{"family":"Converse","given":"Philip E."}],"issued":{"date-parts":[["1964"]]}},"suppress-author":true}],"schema":"https://github.com/citation-style-language/schema/raw/master/csl-citation.json"} </w:instrText>
      </w:r>
      <w:r w:rsidR="0009676F" w:rsidRPr="00456628">
        <w:rPr>
          <w:rFonts w:ascii="Times New Roman" w:hAnsi="Times New Roman" w:cs="Times New Roman"/>
          <w:sz w:val="24"/>
          <w:szCs w:val="24"/>
          <w:lang w:val="en-US"/>
        </w:rPr>
        <w:fldChar w:fldCharType="separate"/>
      </w:r>
      <w:r w:rsidR="00D158D0" w:rsidRPr="00456628">
        <w:rPr>
          <w:rFonts w:ascii="Times New Roman" w:hAnsi="Times New Roman" w:cs="Times New Roman"/>
          <w:sz w:val="24"/>
          <w:szCs w:val="24"/>
          <w:lang w:val="en-US"/>
        </w:rPr>
        <w:t>(1964)</w:t>
      </w:r>
      <w:r w:rsidR="0009676F" w:rsidRPr="00456628">
        <w:rPr>
          <w:rFonts w:ascii="Times New Roman" w:hAnsi="Times New Roman" w:cs="Times New Roman"/>
          <w:sz w:val="24"/>
          <w:szCs w:val="24"/>
          <w:lang w:val="en-US"/>
        </w:rPr>
        <w:fldChar w:fldCharType="end"/>
      </w:r>
      <w:r w:rsidR="0045489A" w:rsidRPr="00456628">
        <w:rPr>
          <w:rFonts w:ascii="Times New Roman" w:hAnsi="Times New Roman" w:cs="Times New Roman"/>
          <w:sz w:val="24"/>
          <w:szCs w:val="24"/>
          <w:lang w:val="en-US"/>
        </w:rPr>
        <w:t xml:space="preserve"> </w:t>
      </w:r>
      <w:r w:rsidR="00260C7C" w:rsidRPr="00456628">
        <w:rPr>
          <w:rFonts w:ascii="Times New Roman" w:hAnsi="Times New Roman" w:cs="Times New Roman"/>
          <w:sz w:val="24"/>
          <w:szCs w:val="24"/>
          <w:lang w:val="en-US"/>
        </w:rPr>
        <w:t>referred</w:t>
      </w:r>
      <w:r w:rsidR="0045489A" w:rsidRPr="00456628">
        <w:rPr>
          <w:rFonts w:ascii="Times New Roman" w:hAnsi="Times New Roman" w:cs="Times New Roman"/>
          <w:sz w:val="24"/>
          <w:szCs w:val="24"/>
          <w:lang w:val="en-US"/>
        </w:rPr>
        <w:t xml:space="preserve"> to as ‘nonattitudes’, </w:t>
      </w:r>
      <w:r w:rsidR="0045489A" w:rsidRPr="00456628">
        <w:rPr>
          <w:rFonts w:ascii="Times New Roman" w:hAnsi="Times New Roman" w:cs="Times New Roman"/>
          <w:sz w:val="24"/>
          <w:szCs w:val="24"/>
          <w:lang w:val="en-US"/>
        </w:rPr>
        <w:lastRenderedPageBreak/>
        <w:t xml:space="preserve">attitudes given with only a vague understanding of what </w:t>
      </w:r>
      <w:r w:rsidR="00485748" w:rsidRPr="00456628">
        <w:rPr>
          <w:rFonts w:ascii="Times New Roman" w:hAnsi="Times New Roman" w:cs="Times New Roman"/>
          <w:sz w:val="24"/>
          <w:szCs w:val="24"/>
          <w:lang w:val="en-US"/>
        </w:rPr>
        <w:t>the</w:t>
      </w:r>
      <w:r w:rsidR="0045489A" w:rsidRPr="00456628">
        <w:rPr>
          <w:rFonts w:ascii="Times New Roman" w:hAnsi="Times New Roman" w:cs="Times New Roman"/>
          <w:sz w:val="24"/>
          <w:szCs w:val="24"/>
          <w:lang w:val="en-US"/>
        </w:rPr>
        <w:t xml:space="preserve"> question is about </w:t>
      </w:r>
      <w:r w:rsidR="0045489A"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{"citationID":"rkokI6M4","properties":{"formattedCitation":"(Sturgis and Smith 2010)","plainCitation":"(Sturgis and Smith 2010)","noteIndex":0},"citationItems":[{"id":"zNFxbYtK/45eU1eEA","uris":["http://zotero.org/users/local/nnA3Jm4s/items/GP4C65ZS"],"uri":["http://zotero.org/users/local/nnA3Jm4s/items/GP4C65ZS"],"itemData":{"id":11,"type":"article-journal","container-title":"Political Studies","DOI":"10.1111/j.1467-9248.2008.00773.x","ISSN":"0032-3217, 1467-9248","issue":"1","journalAbbreviation":"Political Studies","language":"en","page":"66-84","source":"DOI.org (Crossref)","title":"Fictitious Issues Revisited: Political Interest, Knowledge and the Generation of Nonattitudes","title-short":"Fictitious Issues Revisited","volume":"58","author":[{"family":"Sturgis","given":"Patrick"},{"family":"Smith","given":"Patten"}],"issued":{"date-parts":[["2010",2]]}}}],"schema":"https://github.com/citation-style-language/schema/raw/master/csl-citation.json"} </w:instrText>
      </w:r>
      <w:r w:rsidR="0045489A" w:rsidRPr="00456628">
        <w:rPr>
          <w:rFonts w:ascii="Times New Roman" w:hAnsi="Times New Roman" w:cs="Times New Roman"/>
          <w:sz w:val="24"/>
          <w:szCs w:val="24"/>
          <w:lang w:val="en-US"/>
        </w:rPr>
        <w:fldChar w:fldCharType="separate"/>
      </w:r>
      <w:r w:rsidR="0045489A" w:rsidRPr="00456628">
        <w:rPr>
          <w:rFonts w:ascii="Times New Roman" w:hAnsi="Times New Roman" w:cs="Times New Roman"/>
          <w:sz w:val="24"/>
          <w:szCs w:val="24"/>
          <w:lang w:val="en-US"/>
        </w:rPr>
        <w:t>(Sturgis and Smith 2010)</w:t>
      </w:r>
      <w:r w:rsidR="0045489A" w:rsidRPr="00456628">
        <w:rPr>
          <w:rFonts w:ascii="Times New Roman" w:hAnsi="Times New Roman" w:cs="Times New Roman"/>
          <w:sz w:val="24"/>
          <w:szCs w:val="24"/>
          <w:lang w:val="en-US"/>
        </w:rPr>
        <w:fldChar w:fldCharType="end"/>
      </w:r>
      <w:r w:rsidR="0045489A" w:rsidRPr="00456628">
        <w:rPr>
          <w:rFonts w:ascii="Times New Roman" w:hAnsi="Times New Roman" w:cs="Times New Roman"/>
          <w:sz w:val="24"/>
          <w:szCs w:val="24"/>
          <w:lang w:val="en-US"/>
        </w:rPr>
        <w:t xml:space="preserve">. The resulting inconsistency </w:t>
      </w:r>
      <w:r w:rsidR="00265EEF" w:rsidRPr="00456628">
        <w:rPr>
          <w:rFonts w:ascii="Times New Roman" w:hAnsi="Times New Roman" w:cs="Times New Roman"/>
          <w:sz w:val="24"/>
          <w:szCs w:val="24"/>
          <w:lang w:val="en-US"/>
        </w:rPr>
        <w:t>in attitude direction</w:t>
      </w:r>
      <w:r w:rsidR="002059DA" w:rsidRPr="00456628">
        <w:rPr>
          <w:rFonts w:ascii="Times New Roman" w:hAnsi="Times New Roman" w:cs="Times New Roman"/>
          <w:sz w:val="24"/>
          <w:szCs w:val="24"/>
          <w:lang w:val="en-US"/>
        </w:rPr>
        <w:t xml:space="preserve"> is more likely to</w:t>
      </w:r>
      <w:r w:rsidR="00265EEF" w:rsidRPr="00456628">
        <w:rPr>
          <w:rFonts w:ascii="Times New Roman" w:hAnsi="Times New Roman" w:cs="Times New Roman"/>
          <w:sz w:val="24"/>
          <w:szCs w:val="24"/>
          <w:lang w:val="en-US"/>
        </w:rPr>
        <w:t xml:space="preserve"> </w:t>
      </w:r>
      <w:r w:rsidR="00D7650E" w:rsidRPr="00456628">
        <w:rPr>
          <w:rFonts w:ascii="Times New Roman" w:hAnsi="Times New Roman" w:cs="Times New Roman"/>
          <w:sz w:val="24"/>
          <w:szCs w:val="24"/>
          <w:lang w:val="en-US"/>
        </w:rPr>
        <w:t xml:space="preserve">result in </w:t>
      </w:r>
      <w:r w:rsidR="006A0F4B" w:rsidRPr="00456628">
        <w:rPr>
          <w:rFonts w:ascii="Times New Roman" w:hAnsi="Times New Roman" w:cs="Times New Roman"/>
          <w:sz w:val="24"/>
          <w:szCs w:val="24"/>
          <w:lang w:val="en-US"/>
        </w:rPr>
        <w:t xml:space="preserve">fluctuating </w:t>
      </w:r>
      <w:r w:rsidR="00D7650E" w:rsidRPr="00456628">
        <w:rPr>
          <w:rFonts w:ascii="Times New Roman" w:hAnsi="Times New Roman" w:cs="Times New Roman"/>
          <w:sz w:val="24"/>
          <w:szCs w:val="24"/>
          <w:lang w:val="en-US"/>
        </w:rPr>
        <w:t>congruence scores, sometimes being</w:t>
      </w:r>
      <w:r w:rsidR="00260C7C" w:rsidRPr="00456628">
        <w:rPr>
          <w:rFonts w:ascii="Times New Roman" w:hAnsi="Times New Roman" w:cs="Times New Roman"/>
          <w:sz w:val="24"/>
          <w:szCs w:val="24"/>
          <w:lang w:val="en-US"/>
        </w:rPr>
        <w:t xml:space="preserve"> high or </w:t>
      </w:r>
      <w:r w:rsidR="002059DA" w:rsidRPr="00456628">
        <w:rPr>
          <w:rFonts w:ascii="Times New Roman" w:hAnsi="Times New Roman" w:cs="Times New Roman"/>
          <w:sz w:val="24"/>
          <w:szCs w:val="24"/>
          <w:lang w:val="en-US"/>
        </w:rPr>
        <w:t xml:space="preserve">low </w:t>
      </w:r>
      <w:r w:rsidR="00260C7C" w:rsidRPr="00456628">
        <w:rPr>
          <w:rFonts w:ascii="Times New Roman" w:hAnsi="Times New Roman" w:cs="Times New Roman"/>
          <w:sz w:val="24"/>
          <w:szCs w:val="24"/>
          <w:lang w:val="en-US"/>
        </w:rPr>
        <w:t xml:space="preserve">levels depending on the policy statements sampled. In contrast, on salient </w:t>
      </w:r>
      <w:r w:rsidR="001676FF" w:rsidRPr="00456628">
        <w:rPr>
          <w:rFonts w:ascii="Times New Roman" w:hAnsi="Times New Roman" w:cs="Times New Roman"/>
          <w:sz w:val="24"/>
          <w:szCs w:val="24"/>
          <w:lang w:val="en-US"/>
        </w:rPr>
        <w:t xml:space="preserve">issues </w:t>
      </w:r>
      <w:r w:rsidR="00260C7C" w:rsidRPr="00456628">
        <w:rPr>
          <w:rFonts w:ascii="Times New Roman" w:hAnsi="Times New Roman" w:cs="Times New Roman"/>
          <w:sz w:val="24"/>
          <w:szCs w:val="24"/>
          <w:lang w:val="en-US"/>
        </w:rPr>
        <w:t>attitudinal direction and</w:t>
      </w:r>
      <w:r w:rsidR="00A75805" w:rsidRPr="00456628">
        <w:rPr>
          <w:rFonts w:ascii="Times New Roman" w:hAnsi="Times New Roman" w:cs="Times New Roman"/>
          <w:sz w:val="24"/>
          <w:szCs w:val="24"/>
          <w:lang w:val="en-US"/>
        </w:rPr>
        <w:t xml:space="preserve"> by extension the</w:t>
      </w:r>
      <w:r w:rsidR="00260C7C" w:rsidRPr="00456628">
        <w:rPr>
          <w:rFonts w:ascii="Times New Roman" w:hAnsi="Times New Roman" w:cs="Times New Roman"/>
          <w:sz w:val="24"/>
          <w:szCs w:val="24"/>
          <w:lang w:val="en-US"/>
        </w:rPr>
        <w:t xml:space="preserve"> estimations of party-voter opinion congruence are</w:t>
      </w:r>
      <w:r w:rsidR="00A75805" w:rsidRPr="00456628">
        <w:rPr>
          <w:rFonts w:ascii="Times New Roman" w:hAnsi="Times New Roman" w:cs="Times New Roman"/>
          <w:sz w:val="24"/>
          <w:szCs w:val="24"/>
          <w:lang w:val="en-US"/>
        </w:rPr>
        <w:t xml:space="preserve"> more likely to be stable, regardless of the specific policy statements used to calculate opinion congruence. </w:t>
      </w:r>
      <w:r w:rsidR="00E8257C" w:rsidRPr="00456628">
        <w:rPr>
          <w:rFonts w:ascii="Times New Roman" w:hAnsi="Times New Roman" w:cs="Times New Roman"/>
          <w:sz w:val="24"/>
          <w:szCs w:val="24"/>
          <w:lang w:val="en-US"/>
        </w:rPr>
        <w:t xml:space="preserve">As such, opinion congruence measures that integrate voters’ personal </w:t>
      </w:r>
      <w:r w:rsidR="001676FF" w:rsidRPr="00456628">
        <w:rPr>
          <w:rFonts w:ascii="Times New Roman" w:hAnsi="Times New Roman" w:cs="Times New Roman"/>
          <w:sz w:val="24"/>
          <w:szCs w:val="24"/>
          <w:lang w:val="en-US"/>
        </w:rPr>
        <w:t xml:space="preserve">issue </w:t>
      </w:r>
      <w:r w:rsidR="00E8257C" w:rsidRPr="00456628">
        <w:rPr>
          <w:rFonts w:ascii="Times New Roman" w:hAnsi="Times New Roman" w:cs="Times New Roman"/>
          <w:sz w:val="24"/>
          <w:szCs w:val="24"/>
          <w:lang w:val="en-US"/>
        </w:rPr>
        <w:t xml:space="preserve">salience </w:t>
      </w:r>
      <w:r w:rsidR="00E8257C"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{"citationID":"heYvQnw0","properties":{"formattedCitation":"(see Lavine et al. 1996)","plainCitation":"(see Lavine et al. 1996)","noteIndex":0},"citationItems":[{"id":"zNFxbYtK/mSb7pN5V","uris":["http://zotero.org/users/local/nnA3Jm4s/items/WNY67KKF"],"uri":["http://zotero.org/users/local/nnA3Jm4s/items/WNY67KKF"],"itemData":{"id":12,"type":"article-journal","container-title":"Political Psychology","DOI":"10.2307/3791812","ISSN":"0162895X","issue":"2","journalAbbreviation":"Political Psychology","page":"293","source":"DOI.org (Crossref)","title":"The Relationship of National and Personal Issue Salience to Attitude Accessibility on Foreign and Domestic Policy Issues","volume":"17","author":[{"family":"Lavine","given":"Howard"},{"family":"Sullivan","given":"John L."},{"family":"Borgida","given":"Eugene"},{"family":"Thomsen","given":"Cynthia J."}],"issued":{"date-parts":[["1996",6]]}},"prefix":"see"}],"schema":"https://github.com/citation-style-language/schema/raw/master/csl-citation.json"} </w:instrText>
      </w:r>
      <w:r w:rsidR="00E8257C" w:rsidRPr="00456628">
        <w:rPr>
          <w:rFonts w:ascii="Times New Roman" w:hAnsi="Times New Roman" w:cs="Times New Roman"/>
          <w:sz w:val="24"/>
          <w:szCs w:val="24"/>
          <w:lang w:val="en-US"/>
        </w:rPr>
        <w:fldChar w:fldCharType="separate"/>
      </w:r>
      <w:r w:rsidR="00E8257C" w:rsidRPr="00456628">
        <w:rPr>
          <w:rFonts w:ascii="Times New Roman" w:hAnsi="Times New Roman" w:cs="Times New Roman"/>
          <w:sz w:val="24"/>
          <w:szCs w:val="24"/>
          <w:lang w:val="en-US"/>
        </w:rPr>
        <w:t>(see Lavine et al. 1996)</w:t>
      </w:r>
      <w:r w:rsidR="00E8257C" w:rsidRPr="00456628">
        <w:rPr>
          <w:rFonts w:ascii="Times New Roman" w:hAnsi="Times New Roman" w:cs="Times New Roman"/>
          <w:sz w:val="24"/>
          <w:szCs w:val="24"/>
          <w:lang w:val="en-US"/>
        </w:rPr>
        <w:fldChar w:fldCharType="end"/>
      </w:r>
      <w:r w:rsidR="00E8257C" w:rsidRPr="00456628">
        <w:rPr>
          <w:rFonts w:ascii="Times New Roman" w:hAnsi="Times New Roman" w:cs="Times New Roman"/>
          <w:sz w:val="24"/>
          <w:szCs w:val="24"/>
          <w:lang w:val="en-US"/>
        </w:rPr>
        <w:t xml:space="preserve"> into their calculations are predicted to be more stable.</w:t>
      </w:r>
    </w:p>
    <w:p w14:paraId="14F45723" w14:textId="38AB8D2A" w:rsidR="00740AAA" w:rsidRPr="00456628" w:rsidRDefault="00740AAA" w:rsidP="00740AAA">
      <w:pPr>
        <w:rPr>
          <w:rFonts w:ascii="Times New Roman" w:hAnsi="Times New Roman" w:cs="Times New Roman"/>
          <w:sz w:val="24"/>
          <w:szCs w:val="24"/>
          <w:lang w:val="en-US"/>
        </w:rPr>
      </w:pPr>
      <w:r w:rsidRPr="00456628">
        <w:rPr>
          <w:rFonts w:ascii="Times New Roman" w:hAnsi="Times New Roman" w:cs="Times New Roman"/>
          <w:sz w:val="24"/>
          <w:szCs w:val="24"/>
          <w:lang w:val="en-US"/>
        </w:rPr>
        <w:t>In addition to differences in personal saliency between different topics, voters differ in general in their interest in</w:t>
      </w:r>
      <w:r w:rsidR="00EE4554"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 xml:space="preserve">political issues. A consistent finding in political science has been the large gap in political knowledge and interest between various segments of the voting public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{"citationID":"K8Jrx65Q","properties":{"formattedCitation":"(Campbell et al. 1960; Kinder 2006; Zaller 1992)","plainCitation":"(Campbell et al. 1960; Kinder 2006; Zaller 1992)","noteIndex":0},"citationItems":[{"id":"zNFxbYtK/SjLA7X2x","uris":["http://zotero.org/users/local/nnA3Jm4s/items/KEEJRCU8"],"uri":["http://zotero.org/users/local/nnA3Jm4s/items/KEEJRCU8"],"itemData":{"id":21,"type":"book","collection-title":"Midway reprints","edition":"Unabridged ed","event-place":"Chicago [Ill.]","ISBN":"978-0-226-09254-6","language":"eng","note":"OCLC: ocm12961517","number-of-pages":"573","publisher":"University of Chicago Press","publisher-place":"Chicago [Ill.]","source":"Gemeinsamer Bibliotheksverbund ISBN","title":"The American voter","author":[{"family":"Campbell","given":"Angus"},{"family":"Converse","given":"Philip E."},{"family":"Miller","given":"Warren E."},{"family":"Stokes","given":"Donald E."}],"issued":{"date-parts":[["1960"]]}}},{"id":"zNFxbYtK/RGtbXsxe","uris":["http://zotero.org/users/local/nnA3Jm4s/items/QYNBPF2B"],"uri":["http://zotero.org/users/local/nnA3Jm4s/items/QYNBPF2B"],"itemData":{"id":18,"type":"article-journal","container-title":"Critical Review","DOI":"10.1080/08913810608443657","ISSN":"0891-3811, 1933-8007","issue":"1-3","journalAbbreviation":"Critical Review","language":"en","page":"197-216","source":"DOI.org (Crossref)","title":"Belief systems today","volume":"18","author":[{"family":"Kinder","given":"Donald R."}],"issued":{"date-parts":[["2006",1]]}}},{"id":"zNFxbYtK/MR0CXHRA","uris":["http://zotero.org/users/local/nnA3Jm4s/items/IWNHIKPZ"],"uri":["http://zotero.org/users/local/nnA3Jm4s/items/IWNHIKPZ"],"itemData":{"id":24,"type":"book","call-number":"HM261 .Z35 1992","event-place":"Cambridge [England] ; New York, NY, USA","ISBN":"978-0-521-40449-5","number-of-pages":"367","publisher":"Cambridge University Press","publisher-place":"Cambridge [England] ; New York, NY, USA","source":"Library of Congress ISBN","title":"The nature and origins of mass opinion","author":[{"family":"Zaller","given":"John"}],"issued":{"date-parts":[["1992"]]}}}],"schema":"https://github.com/citation-style-language/schema/raw/master/csl-citation.json"}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(Campbell et al. 1960; Kinder 2006; Zaller 1992)</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The arguments regarding the relation between issue salience and attitudinal stability apply here as well, with the difference that congruence measures are expected to be more stable for politically interested voters than they are for less interested voters, ceteris paribus. This is important, as a growing body of research has examined the differences or inequality in opinion congruence between various groups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{"citationID":"9oaoldpo","properties":{"formattedCitation":"(Aaldering 2017; Schakel and Hakhverdian 2018a)","plainCitation":"(Aaldering 2017; Schakel and Hakhverdian 2018a)","noteIndex":0},"citationItems":[{"id":"zNFxbYtK/trigTxvv","uris":["http://zotero.org/users/local/nnA3Jm4s/items/DP57BRU9"],"uri":["http://zotero.org/users/local/nnA3Jm4s/items/DP57BRU9"],"itemData":{"id":28,"type":"article-journal","container-title":"Political Studies","DOI":"10.1177/0032321715622788","ISSN":"0032-3217, 1467-9248","issue":"1_suppl","journalAbbreviation":"Political Studies","language":"en","page":"4-23","source":"DOI.org (Crossref)","title":"Political Representation and Educational Attainment: Evidence from the Netherlands (1994–2010)","title-short":"Political Representation and Educational Attainment","volume":"65","author":[{"family":"Aaldering","given":"Loes"}],"issued":{"date-parts":[["2017",4]]}}},{"id":846,"uris":["http://zotero.org/users/local/uk8r6OrS/items/HVXC5Q2R"],"uri":["http://zotero.org/users/local/uk8r6OrS/items/HVXC5Q2R"],"itemData":{"id":846,"type":"article-journal","abstract":"This study examines whether or not political representation in the Netherlands is biased toward the rich and higher educated by comparing the political orientations of members of parliament to those of the electorate. The analyses reveal stark differences in the representation of different socio-economic groups. The political views of elected national representatives are far more similar to those of rich, higher educated citizens than to those with less income and education. Moreover, a longitudinal analysis reveals that inequalities in political representation have actually grown in recent years. We also show that the use of measures of ideological self-identification might to lead to highly misleading results regarding the nature of political representation as opposed to the use of issue items. We conclude that, despite a highly proportional electoral system, the views which are represented in the Dutch lower house of parliament contain major distortions of the views of the broader electorate.","container-title":"European Political Science Review","DOI":"10.1017/S1755773918000036","ISSN":"1755-7739, 1755-7747","issue":"3","journalAbbreviation":"Eur. Pol. Sci. Rev.","language":"en","page":"441-465","source":"DOI.org (Crossref)","title":"Ideological congruence and socio-economic inequality","volume":"10","author":[{"family":"Schakel","given":"Wouter"},{"family":"Hakhverdian","given":"Armen"}],"issued":{"date-parts":[["2018",8]]}}}],"schema":"https://github.com/citation-style-language/schema/raw/master/csl-citation.json"} </w:instrText>
      </w:r>
      <w:r w:rsidRPr="00456628">
        <w:rPr>
          <w:rFonts w:ascii="Times New Roman" w:hAnsi="Times New Roman" w:cs="Times New Roman"/>
          <w:sz w:val="24"/>
          <w:szCs w:val="24"/>
          <w:lang w:val="en-US"/>
        </w:rPr>
        <w:fldChar w:fldCharType="separate"/>
      </w:r>
      <w:r w:rsidR="00DA4357" w:rsidRPr="00456628">
        <w:rPr>
          <w:rFonts w:ascii="Times New Roman" w:hAnsi="Times New Roman" w:cs="Times New Roman"/>
          <w:sz w:val="24"/>
          <w:lang w:val="en-US"/>
        </w:rPr>
        <w:t>(Aaldering 2017; Schakel and Hakhverdian 2018a)</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Oftentimes, the groups distinguished also differ in terms of their interest in and knowledge about politics. The less politically sophisticated, in an effort to compensate for lack of issue-specific knowledge, are expected to be more reliant on heuristics. In this regard, the left-right ideological dimension is still the most important heuristic in politics and it remains the pivotal structuring schemata in many polities </w:t>
      </w:r>
      <w:r w:rsidRPr="00456628">
        <w:rPr>
          <w:rFonts w:ascii="Times New Roman" w:hAnsi="Times New Roman" w:cs="Times New Roman"/>
          <w:sz w:val="24"/>
          <w:szCs w:val="24"/>
          <w:lang w:val="en-US"/>
        </w:rPr>
        <w:fldChar w:fldCharType="begin"/>
      </w:r>
      <w:r w:rsidRPr="00456628">
        <w:rPr>
          <w:rFonts w:ascii="Times New Roman" w:hAnsi="Times New Roman" w:cs="Times New Roman"/>
          <w:sz w:val="24"/>
          <w:szCs w:val="24"/>
          <w:lang w:val="en-US"/>
        </w:rPr>
        <w:instrText xml:space="preserve"> ADDIN ZOTERO_ITEM CSL_CITATION {"citationID":"4IXur0x7","properties":{"formattedCitation":"(Knutsen 1995)","plainCitation":"(Knutsen 1995)","noteIndex":0},"citationItems":[{"id":838,"uris":["http://zotero.org/users/local/uk8r6OrS/items/ZFM2DGV6"],"uri":["http://zotero.org/users/local/uk8r6OrS/items/ZFM2DGV6"],"itemData":{"id":838,"type":"article-journal","container-title":"European Journal of Political Research","DOI":"10.1111/j.1475-6765.1995.tb00487.x","ISSN":"0304-4130, 1475-6765","issue":"1","journalAbbreviation":"Eur J Political Res","language":"en","page":"63-93","source":"DOI.org (Crossref)","title":"Value orientations, political conflicts and left-right identification: A comparative study","title-short":"Value orientations, political conflicts and left-right identification","volume":"28","author":[{"family":"Knutsen","given":"Oddbjorn"}],"issued":{"date-parts":[["1995",7]]}}}],"schema":"https://github.com/citation-style-language/schema/raw/master/csl-citation.json"}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(Knutsen 1995)</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As such, voters’ positions on policy statements related to the central left-right divide should be more internally consistent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{"citationID":"S87xdrqv","properties":{"formattedCitation":"(Milburn 1987)","plainCitation":"(Milburn 1987)","noteIndex":0},"citationItems":[{"id":"zNFxbYtK/0MaWuaxt","uris":["http://zotero.org/users/local/nnA3Jm4s/items/U5XMLCP7"],"uri":["http://zotero.org/users/local/nnA3Jm4s/items/U5XMLCP7"],"itemData":{"id":30,"type":"article-journal","container-title":"Journal of Experimental Social Psychology","DOI":"10.1016/0022-1031(87)90037-0","ISSN":"00221031","issue":"5","journalAbbreviation":"Journal of Experimental Social Psychology","language":"en","page":"383-398","source":"DOI.org (Crossref)","title":"Ideological self-schemata and schematically induced attitude consistency","volume":"23","author":[{"family":"Milburn","given":"Michael A"}],"issued":{"date-parts":[["1987",9]]}}}],"schema":"https://github.com/citation-style-language/schema/raw/master/csl-citation.json"}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(Milburn 1987)</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resulting in estimations of opinion congruence that are more</w:t>
      </w:r>
      <w:r w:rsidR="003B2252"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reliable.</w:t>
      </w:r>
    </w:p>
    <w:p w14:paraId="7CBF96DA" w14:textId="77777777" w:rsidR="00740AAA" w:rsidRPr="00456628" w:rsidRDefault="00740AAA" w:rsidP="00740AAA">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Based on the previous discussion, we can formulate the following hypotheses: H1) the reliability of opinion congruence estimates is expected to increase as the number of policy statements used increases. H2) As the diversity of topics or issue domains increases, so will the reliability of opinion congruence estimates. H3) Estimates of opinion congruence that take into account voters’ personal issue salience are expected to be more reliable than estimates that do not. H4a) Opinion congruence estimates of politically sophisticated voters are more reliable than estimates of less </w:t>
      </w:r>
      <w:r w:rsidRPr="00456628">
        <w:rPr>
          <w:rFonts w:ascii="Times New Roman" w:hAnsi="Times New Roman" w:cs="Times New Roman"/>
          <w:sz w:val="24"/>
          <w:szCs w:val="24"/>
          <w:lang w:val="en-US"/>
        </w:rPr>
        <w:lastRenderedPageBreak/>
        <w:t>politically sophisticated voters, H4b) but this difference decreases as more policy statements are related to the central left-right divide.</w:t>
      </w:r>
    </w:p>
    <w:p w14:paraId="09FA1D44" w14:textId="77777777" w:rsidR="00E1558B" w:rsidRPr="00456628" w:rsidRDefault="00E1558B" w:rsidP="009C6283">
      <w:pPr>
        <w:rPr>
          <w:rFonts w:ascii="Times New Roman" w:hAnsi="Times New Roman" w:cs="Times New Roman"/>
          <w:b/>
          <w:sz w:val="24"/>
          <w:szCs w:val="24"/>
          <w:lang w:val="en-US"/>
        </w:rPr>
      </w:pPr>
    </w:p>
    <w:p w14:paraId="3D1523B6" w14:textId="5413F920" w:rsidR="009239A0" w:rsidRPr="00456628" w:rsidRDefault="005D7BA8" w:rsidP="009C6283">
      <w:pPr>
        <w:rPr>
          <w:rFonts w:ascii="Times New Roman" w:hAnsi="Times New Roman" w:cs="Times New Roman"/>
          <w:b/>
          <w:sz w:val="24"/>
          <w:szCs w:val="24"/>
          <w:lang w:val="en-US"/>
        </w:rPr>
      </w:pPr>
      <w:r w:rsidRPr="00456628">
        <w:rPr>
          <w:rFonts w:ascii="Times New Roman" w:hAnsi="Times New Roman" w:cs="Times New Roman"/>
          <w:b/>
          <w:sz w:val="24"/>
          <w:szCs w:val="24"/>
          <w:lang w:val="en-US"/>
        </w:rPr>
        <w:t>Data and Method</w:t>
      </w:r>
    </w:p>
    <w:p w14:paraId="33F94CE1" w14:textId="3C3142D8" w:rsidR="001E78C0" w:rsidRPr="00456628" w:rsidRDefault="005139CD" w:rsidP="001E78C0">
      <w:pPr>
        <w:rPr>
          <w:rFonts w:ascii="Times New Roman" w:hAnsi="Times New Roman" w:cs="Times New Roman"/>
          <w:sz w:val="24"/>
          <w:szCs w:val="24"/>
          <w:lang w:val="en-US"/>
        </w:rPr>
      </w:pPr>
      <w:r w:rsidRPr="00456628">
        <w:rPr>
          <w:rFonts w:ascii="Times New Roman" w:hAnsi="Times New Roman" w:cs="Times New Roman"/>
          <w:sz w:val="24"/>
          <w:szCs w:val="24"/>
          <w:lang w:val="en-AU"/>
        </w:rPr>
        <w:t>We use two datasets to test our hypotheses.</w:t>
      </w:r>
      <w:r w:rsidR="001E78C0" w:rsidRPr="00456628">
        <w:rPr>
          <w:rFonts w:ascii="Times New Roman" w:hAnsi="Times New Roman" w:cs="Times New Roman"/>
          <w:sz w:val="24"/>
          <w:szCs w:val="24"/>
          <w:lang w:val="en-AU"/>
        </w:rPr>
        <w:t xml:space="preserve"> The first is an online voter survey of </w:t>
      </w:r>
      <w:r w:rsidR="001E78C0" w:rsidRPr="00456628">
        <w:rPr>
          <w:rFonts w:ascii="Times New Roman" w:hAnsi="Times New Roman" w:cs="Times New Roman"/>
          <w:sz w:val="24"/>
          <w:szCs w:val="24"/>
          <w:lang w:val="en-US"/>
        </w:rPr>
        <w:t>1,053</w:t>
      </w:r>
      <w:r w:rsidR="001E78C0" w:rsidRPr="00456628">
        <w:rPr>
          <w:rFonts w:ascii="Times New Roman" w:hAnsi="Times New Roman" w:cs="Times New Roman"/>
          <w:sz w:val="24"/>
          <w:szCs w:val="24"/>
          <w:lang w:val="en-AU"/>
        </w:rPr>
        <w:t xml:space="preserve"> voters in Belgium’s largest region, Flanders. </w:t>
      </w:r>
      <w:r w:rsidR="00760A36" w:rsidRPr="00456628">
        <w:rPr>
          <w:rFonts w:ascii="Times New Roman" w:hAnsi="Times New Roman" w:cs="Times New Roman"/>
          <w:sz w:val="24"/>
          <w:szCs w:val="24"/>
          <w:lang w:val="en-AU"/>
        </w:rPr>
        <w:t>V</w:t>
      </w:r>
      <w:r w:rsidR="001E78C0" w:rsidRPr="00456628">
        <w:rPr>
          <w:rFonts w:ascii="Times New Roman" w:hAnsi="Times New Roman" w:cs="Times New Roman"/>
          <w:sz w:val="24"/>
          <w:szCs w:val="24"/>
          <w:lang w:val="en-AU"/>
        </w:rPr>
        <w:t xml:space="preserve">oters were </w:t>
      </w:r>
      <w:r w:rsidR="00760A36" w:rsidRPr="00456628">
        <w:rPr>
          <w:rFonts w:ascii="Times New Roman" w:hAnsi="Times New Roman" w:cs="Times New Roman"/>
          <w:sz w:val="24"/>
          <w:szCs w:val="24"/>
          <w:lang w:val="en-AU"/>
        </w:rPr>
        <w:t xml:space="preserve">quota </w:t>
      </w:r>
      <w:r w:rsidR="001E78C0" w:rsidRPr="00456628">
        <w:rPr>
          <w:rFonts w:ascii="Times New Roman" w:hAnsi="Times New Roman" w:cs="Times New Roman"/>
          <w:sz w:val="24"/>
          <w:szCs w:val="24"/>
          <w:lang w:val="en-AU"/>
        </w:rPr>
        <w:t>sampled</w:t>
      </w:r>
      <w:r w:rsidR="00082AB1" w:rsidRPr="00456628">
        <w:rPr>
          <w:rFonts w:ascii="Times New Roman" w:hAnsi="Times New Roman" w:cs="Times New Roman"/>
          <w:sz w:val="24"/>
          <w:szCs w:val="24"/>
          <w:lang w:val="en-AU"/>
        </w:rPr>
        <w:t>, and in all analyses survey weights were used</w:t>
      </w:r>
      <w:r w:rsidR="001E78C0" w:rsidRPr="00456628">
        <w:rPr>
          <w:rFonts w:ascii="Times New Roman" w:hAnsi="Times New Roman" w:cs="Times New Roman"/>
          <w:sz w:val="24"/>
          <w:szCs w:val="24"/>
          <w:lang w:val="en-AU"/>
        </w:rPr>
        <w:t xml:space="preserve"> to ensure </w:t>
      </w:r>
      <w:r w:rsidR="00E21D9D" w:rsidRPr="00456628">
        <w:rPr>
          <w:rFonts w:ascii="Times New Roman" w:hAnsi="Times New Roman" w:cs="Times New Roman"/>
          <w:sz w:val="24"/>
          <w:szCs w:val="24"/>
          <w:lang w:val="en-AU"/>
        </w:rPr>
        <w:t xml:space="preserve">its </w:t>
      </w:r>
      <w:r w:rsidR="001E78C0" w:rsidRPr="00456628">
        <w:rPr>
          <w:rFonts w:ascii="Times New Roman" w:hAnsi="Times New Roman" w:cs="Times New Roman"/>
          <w:sz w:val="24"/>
          <w:szCs w:val="24"/>
          <w:lang w:val="en-AU"/>
        </w:rPr>
        <w:t>representative</w:t>
      </w:r>
      <w:r w:rsidR="00760A36" w:rsidRPr="00456628">
        <w:rPr>
          <w:rFonts w:ascii="Times New Roman" w:hAnsi="Times New Roman" w:cs="Times New Roman"/>
          <w:sz w:val="24"/>
          <w:szCs w:val="24"/>
          <w:lang w:val="en-AU"/>
        </w:rPr>
        <w:t>ness</w:t>
      </w:r>
      <w:r w:rsidR="001E78C0" w:rsidRPr="00456628">
        <w:rPr>
          <w:rFonts w:ascii="Times New Roman" w:hAnsi="Times New Roman" w:cs="Times New Roman"/>
          <w:sz w:val="24"/>
          <w:szCs w:val="24"/>
          <w:lang w:val="en-AU"/>
        </w:rPr>
        <w:t xml:space="preserve"> of the Flemish population in terms of gender, age, and education</w:t>
      </w:r>
      <w:r w:rsidR="00082AB1" w:rsidRPr="00456628">
        <w:rPr>
          <w:rStyle w:val="FootnoteReference"/>
          <w:rFonts w:ascii="Times New Roman" w:hAnsi="Times New Roman" w:cs="Times New Roman"/>
          <w:sz w:val="24"/>
          <w:szCs w:val="24"/>
          <w:lang w:val="en-AU"/>
        </w:rPr>
        <w:footnoteReference w:id="3"/>
      </w:r>
      <w:r w:rsidR="001E78C0" w:rsidRPr="00456628">
        <w:rPr>
          <w:rFonts w:ascii="Times New Roman" w:hAnsi="Times New Roman" w:cs="Times New Roman"/>
          <w:sz w:val="24"/>
          <w:szCs w:val="24"/>
          <w:lang w:val="en-AU"/>
        </w:rPr>
        <w:t xml:space="preserve"> </w:t>
      </w:r>
      <w:r w:rsidR="001E78C0" w:rsidRPr="00456628">
        <w:rPr>
          <w:rFonts w:ascii="Times New Roman" w:hAnsi="Times New Roman" w:cs="Times New Roman"/>
          <w:sz w:val="24"/>
          <w:szCs w:val="24"/>
          <w:lang w:val="en-AU"/>
        </w:rPr>
        <w:fldChar w:fldCharType="begin"/>
      </w:r>
      <w:r w:rsidR="00EE3164" w:rsidRPr="00456628">
        <w:rPr>
          <w:rFonts w:ascii="Times New Roman" w:hAnsi="Times New Roman" w:cs="Times New Roman"/>
          <w:sz w:val="24"/>
          <w:szCs w:val="24"/>
          <w:lang w:val="en-AU"/>
        </w:rPr>
        <w:instrText xml:space="preserve"> ADDIN ZOTERO_ITEM CSL_CITATION {"citationID":"whTQn7gC","properties":{"formattedCitation":"(Ansolabehere and Rivers 2013)","plainCitation":"(Ansolabehere and Rivers 2013)","noteIndex":0},"citationItems":[{"id":314,"uris":["http://zotero.org/users/local/uk8r6OrS/items/DT9CCLZ8"],"uri":["http://zotero.org/users/local/uk8r6OrS/items/DT9CCLZ8"],"itemData":{"id":314,"type":"article-journal","container-title":"Annual Review of Political Science","DOI":"10.1146/annurev-polisci-022811-160625","ISSN":"1094-2939, 1545-1577","issue":"1","language":"en","page":"307-329","source":"Crossref","title":"Cooperative Survey Research","volume":"16","author":[{"family":"Ansolabehere","given":"Stephen"},{"family":"Rivers","given":"Douglas"}],"issued":{"date-parts":[["2013",5,11]]}}}],"schema":"https://github.com/citation-style-language/schema/raw/master/csl-citation.json"} </w:instrText>
      </w:r>
      <w:r w:rsidR="001E78C0" w:rsidRPr="00456628">
        <w:rPr>
          <w:rFonts w:ascii="Times New Roman" w:hAnsi="Times New Roman" w:cs="Times New Roman"/>
          <w:sz w:val="24"/>
          <w:szCs w:val="24"/>
          <w:lang w:val="en-AU"/>
        </w:rPr>
        <w:fldChar w:fldCharType="separate"/>
      </w:r>
      <w:r w:rsidR="001E78C0" w:rsidRPr="00456628">
        <w:rPr>
          <w:rFonts w:ascii="Times New Roman" w:hAnsi="Times New Roman" w:cs="Times New Roman"/>
          <w:sz w:val="24"/>
          <w:szCs w:val="24"/>
          <w:lang w:val="en-US"/>
        </w:rPr>
        <w:t>(Ansolabehere and Rivers 2013)</w:t>
      </w:r>
      <w:r w:rsidR="001E78C0" w:rsidRPr="00456628">
        <w:rPr>
          <w:rFonts w:ascii="Times New Roman" w:hAnsi="Times New Roman" w:cs="Times New Roman"/>
          <w:sz w:val="24"/>
          <w:szCs w:val="24"/>
          <w:lang w:val="en-US"/>
        </w:rPr>
        <w:fldChar w:fldCharType="end"/>
      </w:r>
      <w:r w:rsidR="00760A36" w:rsidRPr="00456628">
        <w:rPr>
          <w:rFonts w:ascii="Times New Roman" w:hAnsi="Times New Roman" w:cs="Times New Roman"/>
          <w:sz w:val="24"/>
          <w:szCs w:val="24"/>
          <w:lang w:val="en-AU"/>
        </w:rPr>
        <w:t xml:space="preserve">, and </w:t>
      </w:r>
      <w:r w:rsidR="001E78C0" w:rsidRPr="00456628">
        <w:rPr>
          <w:rFonts w:ascii="Times New Roman" w:hAnsi="Times New Roman" w:cs="Times New Roman"/>
          <w:sz w:val="24"/>
          <w:szCs w:val="24"/>
          <w:lang w:val="en-AU"/>
        </w:rPr>
        <w:t>were asked to give their policy preferences on 134 policy statements</w:t>
      </w:r>
      <w:r w:rsidR="005C7591" w:rsidRPr="00456628">
        <w:rPr>
          <w:rFonts w:ascii="Times New Roman" w:hAnsi="Times New Roman" w:cs="Times New Roman"/>
          <w:sz w:val="24"/>
          <w:szCs w:val="24"/>
          <w:lang w:val="en-AU"/>
        </w:rPr>
        <w:t xml:space="preserve">, </w:t>
      </w:r>
      <w:r w:rsidR="00760A36" w:rsidRPr="00456628">
        <w:rPr>
          <w:rFonts w:ascii="Times New Roman" w:hAnsi="Times New Roman" w:cs="Times New Roman"/>
          <w:sz w:val="24"/>
          <w:szCs w:val="24"/>
          <w:lang w:val="en-AU"/>
        </w:rPr>
        <w:t>spread across 12 policy</w:t>
      </w:r>
      <w:r w:rsidR="005C7591" w:rsidRPr="00456628">
        <w:rPr>
          <w:rFonts w:ascii="Times New Roman" w:hAnsi="Times New Roman" w:cs="Times New Roman"/>
          <w:sz w:val="24"/>
          <w:szCs w:val="24"/>
          <w:lang w:val="en-AU"/>
        </w:rPr>
        <w:t xml:space="preserve"> topics</w:t>
      </w:r>
      <w:r w:rsidR="00F32EB2" w:rsidRPr="00456628">
        <w:rPr>
          <w:rFonts w:ascii="Times New Roman" w:hAnsi="Times New Roman" w:cs="Times New Roman"/>
          <w:sz w:val="24"/>
          <w:szCs w:val="24"/>
          <w:lang w:val="en-AU"/>
        </w:rPr>
        <w:t xml:space="preserve"> (see </w:t>
      </w:r>
      <w:r w:rsidR="00082AB1" w:rsidRPr="00456628">
        <w:rPr>
          <w:rFonts w:ascii="Times New Roman" w:hAnsi="Times New Roman" w:cs="Times New Roman"/>
          <w:sz w:val="24"/>
          <w:szCs w:val="24"/>
          <w:lang w:val="en-AU"/>
        </w:rPr>
        <w:t>Table A2</w:t>
      </w:r>
      <w:r w:rsidR="006933AA" w:rsidRPr="00456628">
        <w:rPr>
          <w:rFonts w:ascii="Times New Roman" w:hAnsi="Times New Roman" w:cs="Times New Roman"/>
          <w:sz w:val="24"/>
          <w:szCs w:val="24"/>
          <w:lang w:val="en-AU"/>
        </w:rPr>
        <w:t xml:space="preserve"> </w:t>
      </w:r>
      <w:r w:rsidR="00F32EB2" w:rsidRPr="00456628">
        <w:rPr>
          <w:rFonts w:ascii="Times New Roman" w:hAnsi="Times New Roman" w:cs="Times New Roman"/>
          <w:sz w:val="24"/>
          <w:szCs w:val="24"/>
          <w:lang w:val="en-AU"/>
        </w:rPr>
        <w:t>Appendix)</w:t>
      </w:r>
      <w:r w:rsidR="001E78C0" w:rsidRPr="00456628">
        <w:rPr>
          <w:rFonts w:ascii="Times New Roman" w:hAnsi="Times New Roman" w:cs="Times New Roman"/>
          <w:sz w:val="24"/>
          <w:szCs w:val="24"/>
          <w:lang w:val="en-AU"/>
        </w:rPr>
        <w:t>.</w:t>
      </w:r>
      <w:r w:rsidR="00A96FEA" w:rsidRPr="00456628">
        <w:rPr>
          <w:rFonts w:ascii="Times New Roman" w:hAnsi="Times New Roman" w:cs="Times New Roman"/>
          <w:sz w:val="24"/>
          <w:szCs w:val="24"/>
          <w:lang w:val="en-AU"/>
        </w:rPr>
        <w:t xml:space="preserve"> These statements aimed to capture relevant topics in the public debates in Flanders in 2014.</w:t>
      </w:r>
      <w:r w:rsidR="00A96FEA" w:rsidRPr="00456628">
        <w:rPr>
          <w:rStyle w:val="FootnoteReference"/>
          <w:rFonts w:ascii="Times New Roman" w:hAnsi="Times New Roman" w:cs="Times New Roman"/>
          <w:sz w:val="24"/>
          <w:szCs w:val="24"/>
          <w:lang w:val="en-AU"/>
        </w:rPr>
        <w:footnoteReference w:id="4"/>
      </w:r>
      <w:r w:rsidR="001E78C0" w:rsidRPr="00456628">
        <w:rPr>
          <w:rFonts w:ascii="Times New Roman" w:hAnsi="Times New Roman" w:cs="Times New Roman"/>
          <w:sz w:val="24"/>
          <w:szCs w:val="24"/>
          <w:lang w:val="en-AU"/>
        </w:rPr>
        <w:t xml:space="preserve"> In order to avoid respondent fatigue due to the large number of policy statements, the survey was split into two waves. </w:t>
      </w:r>
      <w:r w:rsidR="001E78C0" w:rsidRPr="00456628">
        <w:rPr>
          <w:rFonts w:ascii="Times New Roman" w:hAnsi="Times New Roman" w:cs="Times New Roman"/>
          <w:sz w:val="24"/>
          <w:szCs w:val="24"/>
          <w:lang w:val="en-US"/>
        </w:rPr>
        <w:t>Due to t</w:t>
      </w:r>
      <w:r w:rsidR="00760A36" w:rsidRPr="00456628">
        <w:rPr>
          <w:rFonts w:ascii="Times New Roman" w:hAnsi="Times New Roman" w:cs="Times New Roman"/>
          <w:sz w:val="24"/>
          <w:szCs w:val="24"/>
          <w:lang w:val="en-US"/>
        </w:rPr>
        <w:t>his</w:t>
      </w:r>
      <w:r w:rsidR="001E78C0" w:rsidRPr="00456628">
        <w:rPr>
          <w:rFonts w:ascii="Times New Roman" w:hAnsi="Times New Roman" w:cs="Times New Roman"/>
          <w:sz w:val="24"/>
          <w:szCs w:val="24"/>
          <w:lang w:val="en-US"/>
        </w:rPr>
        <w:t xml:space="preserve"> strategy, the average length of one survey wave was only 15 minutes. The response rate for the entire survey (both waves) was 17% (12,421 voters were contacted).</w:t>
      </w:r>
      <w:r w:rsidR="00496752" w:rsidRPr="00456628">
        <w:rPr>
          <w:rStyle w:val="FootnoteReference"/>
          <w:rFonts w:ascii="Times New Roman" w:hAnsi="Times New Roman" w:cs="Times New Roman"/>
          <w:sz w:val="24"/>
          <w:szCs w:val="24"/>
        </w:rPr>
        <w:footnoteReference w:id="5"/>
      </w:r>
    </w:p>
    <w:p w14:paraId="40079AC9" w14:textId="038F8AD3" w:rsidR="00000FF1" w:rsidRPr="00456628" w:rsidRDefault="006D6971" w:rsidP="00000FF1">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AU"/>
        </w:rPr>
        <w:t>Concurrently</w:t>
      </w:r>
      <w:r w:rsidR="007F22C3" w:rsidRPr="00456628">
        <w:rPr>
          <w:rFonts w:ascii="Times New Roman" w:hAnsi="Times New Roman" w:cs="Times New Roman"/>
          <w:sz w:val="24"/>
          <w:szCs w:val="24"/>
          <w:lang w:val="en-AU"/>
        </w:rPr>
        <w:t xml:space="preserve">, party leaderships were asked to give their </w:t>
      </w:r>
      <w:r w:rsidRPr="00456628">
        <w:rPr>
          <w:rFonts w:ascii="Times New Roman" w:hAnsi="Times New Roman" w:cs="Times New Roman"/>
          <w:sz w:val="24"/>
          <w:szCs w:val="24"/>
          <w:lang w:val="en-AU"/>
        </w:rPr>
        <w:t>part</w:t>
      </w:r>
      <w:r w:rsidR="00860A97" w:rsidRPr="00456628">
        <w:rPr>
          <w:rFonts w:ascii="Times New Roman" w:hAnsi="Times New Roman" w:cs="Times New Roman"/>
          <w:sz w:val="24"/>
          <w:szCs w:val="24"/>
          <w:lang w:val="en-AU"/>
        </w:rPr>
        <w:t>y’s</w:t>
      </w:r>
      <w:r w:rsidRPr="00456628">
        <w:rPr>
          <w:rFonts w:ascii="Times New Roman" w:hAnsi="Times New Roman" w:cs="Times New Roman"/>
          <w:sz w:val="24"/>
          <w:szCs w:val="24"/>
          <w:lang w:val="en-AU"/>
        </w:rPr>
        <w:t xml:space="preserve"> </w:t>
      </w:r>
      <w:r w:rsidR="007F22C3" w:rsidRPr="00456628">
        <w:rPr>
          <w:rFonts w:ascii="Times New Roman" w:hAnsi="Times New Roman" w:cs="Times New Roman"/>
          <w:sz w:val="24"/>
          <w:szCs w:val="24"/>
          <w:lang w:val="en-AU"/>
        </w:rPr>
        <w:t>position</w:t>
      </w:r>
      <w:r w:rsidR="00860A97" w:rsidRPr="00456628">
        <w:rPr>
          <w:rFonts w:ascii="Times New Roman" w:hAnsi="Times New Roman" w:cs="Times New Roman"/>
          <w:sz w:val="24"/>
          <w:szCs w:val="24"/>
          <w:lang w:val="en-AU"/>
        </w:rPr>
        <w:t>s</w:t>
      </w:r>
      <w:r w:rsidR="007F22C3" w:rsidRPr="00456628">
        <w:rPr>
          <w:rFonts w:ascii="Times New Roman" w:hAnsi="Times New Roman" w:cs="Times New Roman"/>
          <w:sz w:val="24"/>
          <w:szCs w:val="24"/>
          <w:lang w:val="en-AU"/>
        </w:rPr>
        <w:t xml:space="preserve"> on those</w:t>
      </w:r>
      <w:r w:rsidR="005D7BA8" w:rsidRPr="00456628">
        <w:rPr>
          <w:rFonts w:ascii="Times New Roman" w:hAnsi="Times New Roman" w:cs="Times New Roman"/>
          <w:sz w:val="24"/>
          <w:szCs w:val="24"/>
          <w:lang w:val="en-AU"/>
        </w:rPr>
        <w:t xml:space="preserve"> same 134 policy statements</w:t>
      </w:r>
      <w:r w:rsidR="00760A36" w:rsidRPr="00456628">
        <w:rPr>
          <w:rFonts w:ascii="Times New Roman" w:hAnsi="Times New Roman" w:cs="Times New Roman"/>
          <w:sz w:val="24"/>
          <w:szCs w:val="24"/>
          <w:lang w:val="en-AU"/>
        </w:rPr>
        <w:t xml:space="preserve">, </w:t>
      </w:r>
      <w:r w:rsidR="00760A36" w:rsidRPr="00456628">
        <w:rPr>
          <w:rFonts w:ascii="Times New Roman" w:hAnsi="Times New Roman" w:cs="Times New Roman"/>
          <w:sz w:val="24"/>
          <w:szCs w:val="24"/>
          <w:lang w:val="en-US"/>
        </w:rPr>
        <w:t>in the context of an online voting aid application (VAA)</w:t>
      </w:r>
      <w:r w:rsidR="005D7BA8" w:rsidRPr="00456628">
        <w:rPr>
          <w:rFonts w:ascii="Times New Roman" w:hAnsi="Times New Roman" w:cs="Times New Roman"/>
          <w:sz w:val="24"/>
          <w:szCs w:val="24"/>
          <w:lang w:val="en-AU"/>
        </w:rPr>
        <w:t>.</w:t>
      </w:r>
      <w:r w:rsidR="001E78C0" w:rsidRPr="00456628">
        <w:rPr>
          <w:rFonts w:ascii="Times New Roman" w:hAnsi="Times New Roman" w:cs="Times New Roman"/>
          <w:sz w:val="24"/>
          <w:szCs w:val="24"/>
          <w:lang w:val="en-AU"/>
        </w:rPr>
        <w:t xml:space="preserve"> </w:t>
      </w:r>
      <w:r w:rsidR="00224109" w:rsidRPr="00456628">
        <w:rPr>
          <w:rFonts w:ascii="Times New Roman" w:hAnsi="Times New Roman" w:cs="Times New Roman"/>
          <w:sz w:val="24"/>
          <w:szCs w:val="24"/>
          <w:lang w:val="en-AU"/>
        </w:rPr>
        <w:t xml:space="preserve">Both voters and </w:t>
      </w:r>
      <w:r w:rsidRPr="00456628">
        <w:rPr>
          <w:rFonts w:ascii="Times New Roman" w:hAnsi="Times New Roman" w:cs="Times New Roman"/>
          <w:sz w:val="24"/>
          <w:szCs w:val="24"/>
          <w:lang w:val="en-AU"/>
        </w:rPr>
        <w:t>leaderships</w:t>
      </w:r>
      <w:r w:rsidR="005D7BA8" w:rsidRPr="00456628">
        <w:rPr>
          <w:rFonts w:ascii="Times New Roman" w:hAnsi="Times New Roman" w:cs="Times New Roman"/>
          <w:sz w:val="24"/>
          <w:szCs w:val="24"/>
          <w:lang w:val="en-AU"/>
        </w:rPr>
        <w:t xml:space="preserve"> could either (0) disagree or (1) agree with the policy statement. Surveying party leaderships </w:t>
      </w:r>
      <w:r w:rsidR="004A0E4F" w:rsidRPr="00456628">
        <w:rPr>
          <w:rFonts w:ascii="Times New Roman" w:hAnsi="Times New Roman" w:cs="Times New Roman"/>
          <w:sz w:val="24"/>
          <w:szCs w:val="24"/>
          <w:lang w:val="en-AU"/>
        </w:rPr>
        <w:t>is</w:t>
      </w:r>
      <w:r w:rsidR="005D7BA8" w:rsidRPr="00456628">
        <w:rPr>
          <w:rFonts w:ascii="Times New Roman" w:hAnsi="Times New Roman" w:cs="Times New Roman"/>
          <w:sz w:val="24"/>
          <w:szCs w:val="24"/>
          <w:lang w:val="en-AU"/>
        </w:rPr>
        <w:t xml:space="preserve"> regarded as a fruitful approach</w:t>
      </w:r>
      <w:r w:rsidR="004A0E4F" w:rsidRPr="00456628">
        <w:rPr>
          <w:rFonts w:ascii="Times New Roman" w:hAnsi="Times New Roman" w:cs="Times New Roman"/>
          <w:sz w:val="24"/>
          <w:szCs w:val="24"/>
          <w:lang w:val="en-AU"/>
        </w:rPr>
        <w:t xml:space="preserve"> in Belgium</w:t>
      </w:r>
      <w:r w:rsidR="005D7BA8" w:rsidRPr="00456628">
        <w:rPr>
          <w:rFonts w:ascii="Times New Roman" w:hAnsi="Times New Roman" w:cs="Times New Roman"/>
          <w:sz w:val="24"/>
          <w:szCs w:val="24"/>
          <w:lang w:val="en-AU"/>
        </w:rPr>
        <w:t xml:space="preserve"> as </w:t>
      </w:r>
      <w:r w:rsidR="004A0E4F" w:rsidRPr="00456628">
        <w:rPr>
          <w:rFonts w:ascii="Times New Roman" w:hAnsi="Times New Roman" w:cs="Times New Roman"/>
          <w:sz w:val="24"/>
          <w:szCs w:val="24"/>
          <w:lang w:val="en-AU"/>
        </w:rPr>
        <w:t xml:space="preserve">they </w:t>
      </w:r>
      <w:r w:rsidR="005D7BA8" w:rsidRPr="00456628">
        <w:rPr>
          <w:rFonts w:ascii="Times New Roman" w:hAnsi="Times New Roman" w:cs="Times New Roman"/>
          <w:sz w:val="24"/>
          <w:szCs w:val="24"/>
          <w:lang w:val="en-AU"/>
        </w:rPr>
        <w:t xml:space="preserve">rather than candidates/MP’s determine </w:t>
      </w:r>
      <w:r w:rsidRPr="00456628">
        <w:rPr>
          <w:rFonts w:ascii="Times New Roman" w:hAnsi="Times New Roman" w:cs="Times New Roman"/>
          <w:sz w:val="24"/>
          <w:szCs w:val="24"/>
          <w:lang w:val="en-AU"/>
        </w:rPr>
        <w:t xml:space="preserve">parties’ </w:t>
      </w:r>
      <w:r w:rsidR="005D7BA8" w:rsidRPr="00456628">
        <w:rPr>
          <w:rFonts w:ascii="Times New Roman" w:hAnsi="Times New Roman" w:cs="Times New Roman"/>
          <w:sz w:val="24"/>
          <w:szCs w:val="24"/>
          <w:lang w:val="en-AU"/>
        </w:rPr>
        <w:t xml:space="preserve">policy positions </w:t>
      </w:r>
      <w:r w:rsidR="005D7BA8" w:rsidRPr="00456628">
        <w:rPr>
          <w:rFonts w:ascii="Times New Roman" w:hAnsi="Times New Roman" w:cs="Times New Roman"/>
          <w:sz w:val="24"/>
          <w:szCs w:val="24"/>
          <w:lang w:val="en-AU"/>
        </w:rPr>
        <w:fldChar w:fldCharType="begin"/>
      </w:r>
      <w:r w:rsidR="00DA4357" w:rsidRPr="00456628">
        <w:rPr>
          <w:rFonts w:ascii="Times New Roman" w:hAnsi="Times New Roman" w:cs="Times New Roman"/>
          <w:sz w:val="24"/>
          <w:szCs w:val="24"/>
          <w:lang w:val="en-AU"/>
        </w:rPr>
        <w:instrText xml:space="preserve"> ADDIN ZOTERO_ITEM CSL_CITATION {"citationID":"aibHFuOx","properties":{"formattedCitation":"(Deschouwer 2012)","plainCitation":"(Deschouwer 2012)","noteIndex":0},"citationItems":[{"id":"zNFxbYtK/oWI3JY9W","uris":["http://zotero.org/users/5515793/items/JS3VYAXG"],"uri":["http://zotero.org/users/5515793/items/JS3VYAXG"],"itemData":{"id":177,"type":"book","title":"The politics of Belgium: governing a divided society","publisher":"Macmillan International Higher Education","source":"Google Scholar","shortTitle":"The politics of Belgium","author":[{"family":"Deschouwer","given":"Kris"}],"issued":{"date-parts":[["2012"]]}}}],"schema":"https://github.com/citation-style-language/schema/raw/master/csl-citation.json"} </w:instrText>
      </w:r>
      <w:r w:rsidR="005D7BA8" w:rsidRPr="00456628">
        <w:rPr>
          <w:rFonts w:ascii="Times New Roman" w:hAnsi="Times New Roman" w:cs="Times New Roman"/>
          <w:sz w:val="24"/>
          <w:szCs w:val="24"/>
          <w:lang w:val="en-AU"/>
        </w:rPr>
        <w:fldChar w:fldCharType="separate"/>
      </w:r>
      <w:r w:rsidR="005D7BA8" w:rsidRPr="00456628">
        <w:rPr>
          <w:rFonts w:ascii="Times New Roman" w:hAnsi="Times New Roman" w:cs="Times New Roman"/>
          <w:sz w:val="24"/>
          <w:szCs w:val="24"/>
          <w:lang w:val="en-US"/>
        </w:rPr>
        <w:t>(Deschouwer 2012)</w:t>
      </w:r>
      <w:r w:rsidR="005D7BA8" w:rsidRPr="00456628">
        <w:rPr>
          <w:rFonts w:ascii="Times New Roman" w:hAnsi="Times New Roman" w:cs="Times New Roman"/>
          <w:sz w:val="24"/>
          <w:szCs w:val="24"/>
          <w:lang w:val="en-AU"/>
        </w:rPr>
        <w:fldChar w:fldCharType="end"/>
      </w:r>
      <w:r w:rsidR="005D7BA8" w:rsidRPr="00456628">
        <w:rPr>
          <w:rFonts w:ascii="Times New Roman" w:hAnsi="Times New Roman" w:cs="Times New Roman"/>
          <w:sz w:val="24"/>
          <w:szCs w:val="24"/>
          <w:lang w:val="en-AU"/>
        </w:rPr>
        <w:t>. The leadership survey included six parties</w:t>
      </w:r>
      <w:r w:rsidRPr="00456628">
        <w:rPr>
          <w:rFonts w:ascii="Times New Roman" w:hAnsi="Times New Roman" w:cs="Times New Roman"/>
          <w:sz w:val="24"/>
          <w:szCs w:val="24"/>
          <w:lang w:val="en-AU"/>
        </w:rPr>
        <w:t>:</w:t>
      </w:r>
      <w:r w:rsidR="005D7BA8" w:rsidRPr="00456628">
        <w:rPr>
          <w:rFonts w:ascii="Times New Roman" w:hAnsi="Times New Roman" w:cs="Times New Roman"/>
          <w:sz w:val="24"/>
          <w:szCs w:val="24"/>
          <w:lang w:val="en-AU"/>
        </w:rPr>
        <w:t xml:space="preserve"> </w:t>
      </w:r>
      <w:r w:rsidR="005D7BA8" w:rsidRPr="00456628">
        <w:rPr>
          <w:rFonts w:ascii="Times New Roman" w:hAnsi="Times New Roman" w:cs="Times New Roman"/>
          <w:i/>
          <w:sz w:val="24"/>
          <w:szCs w:val="24"/>
          <w:lang w:val="en-AU"/>
        </w:rPr>
        <w:t>Groen</w:t>
      </w:r>
      <w:r w:rsidR="005D7BA8" w:rsidRPr="00456628">
        <w:rPr>
          <w:rFonts w:ascii="Times New Roman" w:hAnsi="Times New Roman" w:cs="Times New Roman"/>
          <w:sz w:val="24"/>
          <w:szCs w:val="24"/>
          <w:lang w:val="en-AU"/>
        </w:rPr>
        <w:t xml:space="preserve"> (greens)</w:t>
      </w:r>
      <w:r w:rsidR="005D7BA8" w:rsidRPr="00456628">
        <w:rPr>
          <w:rFonts w:ascii="Times New Roman" w:hAnsi="Times New Roman" w:cs="Times New Roman"/>
          <w:i/>
          <w:sz w:val="24"/>
          <w:szCs w:val="24"/>
          <w:lang w:val="en-AU"/>
        </w:rPr>
        <w:t xml:space="preserve">, Spa </w:t>
      </w:r>
      <w:r w:rsidR="005D7BA8" w:rsidRPr="00456628">
        <w:rPr>
          <w:rFonts w:ascii="Times New Roman" w:hAnsi="Times New Roman" w:cs="Times New Roman"/>
          <w:sz w:val="24"/>
          <w:szCs w:val="24"/>
          <w:lang w:val="en-AU"/>
        </w:rPr>
        <w:t>(social democrats)</w:t>
      </w:r>
      <w:r w:rsidR="005D7BA8" w:rsidRPr="00456628">
        <w:rPr>
          <w:rFonts w:ascii="Times New Roman" w:hAnsi="Times New Roman" w:cs="Times New Roman"/>
          <w:i/>
          <w:sz w:val="24"/>
          <w:szCs w:val="24"/>
          <w:lang w:val="en-AU"/>
        </w:rPr>
        <w:t>, CD&amp;V</w:t>
      </w:r>
      <w:r w:rsidR="005D7BA8" w:rsidRPr="00456628">
        <w:rPr>
          <w:rFonts w:ascii="Times New Roman" w:hAnsi="Times New Roman" w:cs="Times New Roman"/>
          <w:sz w:val="24"/>
          <w:szCs w:val="24"/>
          <w:lang w:val="en-AU"/>
        </w:rPr>
        <w:t xml:space="preserve"> (christen democrats)</w:t>
      </w:r>
      <w:r w:rsidR="005D7BA8" w:rsidRPr="00456628">
        <w:rPr>
          <w:rFonts w:ascii="Times New Roman" w:hAnsi="Times New Roman" w:cs="Times New Roman"/>
          <w:i/>
          <w:sz w:val="24"/>
          <w:szCs w:val="24"/>
          <w:lang w:val="en-AU"/>
        </w:rPr>
        <w:t>, Open VLD</w:t>
      </w:r>
      <w:r w:rsidR="005D7BA8" w:rsidRPr="00456628">
        <w:rPr>
          <w:rFonts w:ascii="Times New Roman" w:hAnsi="Times New Roman" w:cs="Times New Roman"/>
          <w:sz w:val="24"/>
          <w:szCs w:val="24"/>
          <w:lang w:val="en-AU"/>
        </w:rPr>
        <w:t xml:space="preserve"> (liberals)</w:t>
      </w:r>
      <w:r w:rsidR="005D7BA8" w:rsidRPr="00456628">
        <w:rPr>
          <w:rFonts w:ascii="Times New Roman" w:hAnsi="Times New Roman" w:cs="Times New Roman"/>
          <w:i/>
          <w:sz w:val="24"/>
          <w:szCs w:val="24"/>
          <w:lang w:val="en-AU"/>
        </w:rPr>
        <w:t xml:space="preserve">, NVA </w:t>
      </w:r>
      <w:r w:rsidR="001D534E" w:rsidRPr="00456628">
        <w:rPr>
          <w:rFonts w:ascii="Times New Roman" w:hAnsi="Times New Roman" w:cs="Times New Roman"/>
          <w:sz w:val="24"/>
          <w:szCs w:val="24"/>
          <w:lang w:val="en-AU"/>
        </w:rPr>
        <w:t xml:space="preserve">(Flemish </w:t>
      </w:r>
      <w:r w:rsidR="005D7BA8" w:rsidRPr="00456628">
        <w:rPr>
          <w:rFonts w:ascii="Times New Roman" w:hAnsi="Times New Roman" w:cs="Times New Roman"/>
          <w:sz w:val="24"/>
          <w:szCs w:val="24"/>
          <w:lang w:val="en-AU"/>
        </w:rPr>
        <w:t>regionalists)</w:t>
      </w:r>
      <w:r w:rsidR="005D7BA8" w:rsidRPr="00456628">
        <w:rPr>
          <w:rFonts w:ascii="Times New Roman" w:hAnsi="Times New Roman" w:cs="Times New Roman"/>
          <w:i/>
          <w:sz w:val="24"/>
          <w:szCs w:val="24"/>
          <w:lang w:val="en-AU"/>
        </w:rPr>
        <w:t xml:space="preserve">, </w:t>
      </w:r>
      <w:r w:rsidR="005D7BA8" w:rsidRPr="00456628">
        <w:rPr>
          <w:rFonts w:ascii="Times New Roman" w:hAnsi="Times New Roman" w:cs="Times New Roman"/>
          <w:sz w:val="24"/>
          <w:szCs w:val="24"/>
          <w:lang w:val="en-AU"/>
        </w:rPr>
        <w:t>and</w:t>
      </w:r>
      <w:r w:rsidR="005D7BA8" w:rsidRPr="00456628">
        <w:rPr>
          <w:rFonts w:ascii="Times New Roman" w:hAnsi="Times New Roman" w:cs="Times New Roman"/>
          <w:i/>
          <w:sz w:val="24"/>
          <w:szCs w:val="24"/>
          <w:lang w:val="en-AU"/>
        </w:rPr>
        <w:t xml:space="preserve"> Vlaams Belang </w:t>
      </w:r>
      <w:r w:rsidR="005D7BA8" w:rsidRPr="00456628">
        <w:rPr>
          <w:rFonts w:ascii="Times New Roman" w:hAnsi="Times New Roman" w:cs="Times New Roman"/>
          <w:sz w:val="24"/>
          <w:szCs w:val="24"/>
          <w:lang w:val="en-AU"/>
        </w:rPr>
        <w:t>(extreme right)</w:t>
      </w:r>
      <w:r w:rsidR="005D7BA8" w:rsidRPr="00456628">
        <w:rPr>
          <w:rFonts w:ascii="Times New Roman" w:hAnsi="Times New Roman" w:cs="Times New Roman"/>
          <w:i/>
          <w:sz w:val="24"/>
          <w:szCs w:val="24"/>
          <w:lang w:val="en-AU"/>
        </w:rPr>
        <w:t>.</w:t>
      </w:r>
      <w:r w:rsidR="001E78C0" w:rsidRPr="00456628">
        <w:rPr>
          <w:rFonts w:ascii="Times New Roman" w:hAnsi="Times New Roman" w:cs="Times New Roman"/>
          <w:sz w:val="24"/>
          <w:szCs w:val="24"/>
          <w:lang w:val="en-US"/>
        </w:rPr>
        <w:t>This approach is not without its pitfalls. Previous research on party responses in a VAA showed a tendency to</w:t>
      </w:r>
      <w:r w:rsidR="004A0E4F" w:rsidRPr="00456628">
        <w:rPr>
          <w:rFonts w:ascii="Times New Roman" w:hAnsi="Times New Roman" w:cs="Times New Roman"/>
          <w:sz w:val="24"/>
          <w:szCs w:val="24"/>
          <w:lang w:val="en-US"/>
        </w:rPr>
        <w:t>wards</w:t>
      </w:r>
      <w:r w:rsidR="001E78C0" w:rsidRPr="00456628">
        <w:rPr>
          <w:rFonts w:ascii="Times New Roman" w:hAnsi="Times New Roman" w:cs="Times New Roman"/>
          <w:sz w:val="24"/>
          <w:szCs w:val="24"/>
          <w:lang w:val="en-US"/>
        </w:rPr>
        <w:t xml:space="preserve"> centrist answers </w:t>
      </w:r>
      <w:r w:rsidR="001E78C0" w:rsidRPr="00456628">
        <w:rPr>
          <w:rFonts w:ascii="Times New Roman" w:hAnsi="Times New Roman" w:cs="Times New Roman"/>
          <w:sz w:val="24"/>
          <w:szCs w:val="24"/>
        </w:rPr>
        <w:fldChar w:fldCharType="begin"/>
      </w:r>
      <w:r w:rsidR="00DA4357" w:rsidRPr="00456628">
        <w:rPr>
          <w:rFonts w:ascii="Times New Roman" w:hAnsi="Times New Roman" w:cs="Times New Roman"/>
          <w:sz w:val="24"/>
          <w:szCs w:val="24"/>
          <w:lang w:val="en-US"/>
        </w:rPr>
        <w:instrText xml:space="preserve"> ADDIN ZOTERO_ITEM CSL_CITATION {"citationID":"ZOzSGue0","properties":{"formattedCitation":"(Gemenis and Ham 2014; Wagner and Ruusuvirta 2011)","plainCitation":"(Gemenis and Ham 2014; Wagner and Ruusuvirta 2011)","noteIndex":0},"citationItems":[{"id":"zNFxbYtK/qdO3DFOh","uris":["http://zotero.org/users/2012883/items/WDIIU7ED"],"uri":["http://zotero.org/users/2012883/items/WDIIU7ED"],"itemData":{"id":974,"type":"chapter","title":"Comparing Methods for Estimating Parties' Positions in Voting Advice Applications","container-title":"Matching Voters with Parties and Candidates: Voting Advice Applications in a Comparative Perspective","publisher":"ECPR Press","publisher-place":"Colchester","page":"33-48","event-place":"Colchester","author":[{"family":"Gemenis","given":"Kostas"},{"family":"Ham","given":"Carolien","dropping-particle":"van"}],"editor":[{"literal":"Diego Garzia"},{"literal":"Stefan Marschall"}],"issued":{"date-parts":[["2014"]]}}},{"id":"zNFxbYtK/twjEKrDa","uris":["http://zotero.org/users/2012883/items/CRJADXF4"],"uri":["http://zotero.org/users/2012883/items/CRJADXF4"],"itemData":{"id":236,"type":"article-journal","title":"Matching voters to parties: Voting advice applications and models of party choice","container-title":"Acta Politica","page":"400-422","volume":"47","issue":"4","source":"CrossRef","ISSN":"0001-6810, 1741-1416","shortTitle":"Matching voters to parties","author":[{"family":"Wagner","given":"Markus"},{"family":"Ruusuvirta","given":"Outi"}],"issued":{"date-parts":[["2011",11,18]]}}}],"schema":"https://github.com/citation-style-language/schema/raw/master/csl-citation.json"} </w:instrText>
      </w:r>
      <w:r w:rsidR="001E78C0" w:rsidRPr="00456628">
        <w:rPr>
          <w:rFonts w:ascii="Times New Roman" w:hAnsi="Times New Roman" w:cs="Times New Roman"/>
          <w:sz w:val="24"/>
          <w:szCs w:val="24"/>
        </w:rPr>
        <w:fldChar w:fldCharType="separate"/>
      </w:r>
      <w:r w:rsidR="001E78C0" w:rsidRPr="00456628">
        <w:rPr>
          <w:rFonts w:ascii="Times New Roman" w:hAnsi="Times New Roman" w:cs="Times New Roman"/>
          <w:sz w:val="24"/>
          <w:szCs w:val="24"/>
          <w:lang w:val="en-US"/>
        </w:rPr>
        <w:t>(Gemenis and Ham 2014; Wagner and Ruusuvirta 2011)</w:t>
      </w:r>
      <w:r w:rsidR="001E78C0" w:rsidRPr="00456628">
        <w:rPr>
          <w:rFonts w:ascii="Times New Roman" w:hAnsi="Times New Roman" w:cs="Times New Roman"/>
          <w:sz w:val="24"/>
          <w:szCs w:val="24"/>
        </w:rPr>
        <w:fldChar w:fldCharType="end"/>
      </w:r>
      <w:r w:rsidR="001E78C0" w:rsidRPr="00456628">
        <w:rPr>
          <w:rFonts w:ascii="Times New Roman" w:hAnsi="Times New Roman" w:cs="Times New Roman"/>
          <w:sz w:val="24"/>
          <w:szCs w:val="24"/>
          <w:lang w:val="en-US"/>
        </w:rPr>
        <w:t xml:space="preserve">. However, we maintain that the </w:t>
      </w:r>
      <w:r w:rsidRPr="00456628">
        <w:rPr>
          <w:rFonts w:ascii="Times New Roman" w:hAnsi="Times New Roman" w:cs="Times New Roman"/>
          <w:sz w:val="24"/>
          <w:szCs w:val="24"/>
          <w:lang w:val="en-US"/>
        </w:rPr>
        <w:t>leadership</w:t>
      </w:r>
      <w:r w:rsidR="001E78C0" w:rsidRPr="00456628">
        <w:rPr>
          <w:rFonts w:ascii="Times New Roman" w:hAnsi="Times New Roman" w:cs="Times New Roman"/>
          <w:sz w:val="24"/>
          <w:szCs w:val="24"/>
          <w:lang w:val="en-US"/>
        </w:rPr>
        <w:t xml:space="preserve"> answers can be considered </w:t>
      </w:r>
      <w:r w:rsidRPr="00456628">
        <w:rPr>
          <w:rFonts w:ascii="Times New Roman" w:hAnsi="Times New Roman" w:cs="Times New Roman"/>
          <w:sz w:val="24"/>
          <w:szCs w:val="24"/>
          <w:lang w:val="en-US"/>
        </w:rPr>
        <w:t>valid estimations of the</w:t>
      </w:r>
      <w:r w:rsidR="001E78C0" w:rsidRPr="00456628">
        <w:rPr>
          <w:rFonts w:ascii="Times New Roman" w:hAnsi="Times New Roman" w:cs="Times New Roman"/>
          <w:sz w:val="24"/>
          <w:szCs w:val="24"/>
          <w:lang w:val="en-US"/>
        </w:rPr>
        <w:t xml:space="preserve"> party</w:t>
      </w:r>
      <w:r w:rsidR="00860A97" w:rsidRPr="00456628">
        <w:rPr>
          <w:rFonts w:ascii="Times New Roman" w:hAnsi="Times New Roman" w:cs="Times New Roman"/>
          <w:sz w:val="24"/>
          <w:szCs w:val="24"/>
          <w:lang w:val="en-US"/>
        </w:rPr>
        <w:t>’s</w:t>
      </w:r>
      <w:r w:rsidR="001E78C0" w:rsidRPr="00456628">
        <w:rPr>
          <w:rFonts w:ascii="Times New Roman" w:hAnsi="Times New Roman" w:cs="Times New Roman"/>
          <w:sz w:val="24"/>
          <w:szCs w:val="24"/>
          <w:lang w:val="en-US"/>
        </w:rPr>
        <w:t xml:space="preserve"> positions because </w:t>
      </w:r>
      <w:r w:rsidR="00D158D0" w:rsidRPr="00456628">
        <w:rPr>
          <w:rFonts w:ascii="Times New Roman" w:hAnsi="Times New Roman" w:cs="Times New Roman"/>
          <w:sz w:val="24"/>
          <w:szCs w:val="24"/>
          <w:lang w:val="en-US"/>
        </w:rPr>
        <w:t xml:space="preserve">they were </w:t>
      </w:r>
      <w:r w:rsidR="001E78C0" w:rsidRPr="00456628">
        <w:rPr>
          <w:rFonts w:ascii="Times New Roman" w:hAnsi="Times New Roman" w:cs="Times New Roman"/>
          <w:sz w:val="24"/>
          <w:szCs w:val="24"/>
          <w:lang w:val="en-US"/>
        </w:rPr>
        <w:t xml:space="preserve">critically examined </w:t>
      </w:r>
      <w:r w:rsidR="00AD64C8" w:rsidRPr="00456628">
        <w:rPr>
          <w:rFonts w:ascii="Times New Roman" w:hAnsi="Times New Roman" w:cs="Times New Roman"/>
          <w:sz w:val="24"/>
          <w:szCs w:val="24"/>
          <w:lang w:val="en-US"/>
        </w:rPr>
        <w:t xml:space="preserve">by </w:t>
      </w:r>
      <w:r w:rsidR="001E78C0" w:rsidRPr="00456628">
        <w:rPr>
          <w:rFonts w:ascii="Times New Roman" w:hAnsi="Times New Roman" w:cs="Times New Roman"/>
          <w:sz w:val="24"/>
          <w:szCs w:val="24"/>
          <w:lang w:val="en-US"/>
        </w:rPr>
        <w:lastRenderedPageBreak/>
        <w:t>a research team</w:t>
      </w:r>
      <w:r w:rsidRPr="00456628">
        <w:rPr>
          <w:rFonts w:ascii="Times New Roman" w:hAnsi="Times New Roman" w:cs="Times New Roman"/>
          <w:sz w:val="24"/>
          <w:szCs w:val="24"/>
          <w:lang w:val="en-US"/>
        </w:rPr>
        <w:t xml:space="preserve"> of political scientists</w:t>
      </w:r>
      <w:r w:rsidR="00496752" w:rsidRPr="00456628">
        <w:rPr>
          <w:rFonts w:ascii="Times New Roman" w:hAnsi="Times New Roman" w:cs="Times New Roman"/>
          <w:sz w:val="24"/>
          <w:szCs w:val="24"/>
          <w:lang w:val="en-US"/>
        </w:rPr>
        <w:t>, resulting in several changes in position,</w:t>
      </w:r>
      <w:r w:rsidR="001E78C0" w:rsidRPr="00456628">
        <w:rPr>
          <w:rFonts w:ascii="Times New Roman" w:hAnsi="Times New Roman" w:cs="Times New Roman"/>
          <w:sz w:val="24"/>
          <w:szCs w:val="24"/>
          <w:lang w:val="en-US"/>
        </w:rPr>
        <w:t xml:space="preserve"> </w:t>
      </w:r>
      <w:r w:rsidR="00496752" w:rsidRPr="00456628">
        <w:rPr>
          <w:rFonts w:ascii="Times New Roman" w:hAnsi="Times New Roman" w:cs="Times New Roman"/>
          <w:sz w:val="24"/>
          <w:szCs w:val="24"/>
          <w:lang w:val="en-US"/>
        </w:rPr>
        <w:t>and were widely discussed in the media.</w:t>
      </w:r>
    </w:p>
    <w:p w14:paraId="3490F54B" w14:textId="340CD7A8" w:rsidR="00000FF1" w:rsidRPr="00456628" w:rsidRDefault="00000FF1" w:rsidP="00000FF1">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Using the responses of the party leadership raises the question of whether the positions of the party leaderships always matched those of their rank and file MPs. Arguably, one might expect a high level of opinion congruence between party leaderships and party MPs: Candidates are unlikely to join a party with which they starkly disagree, and parties are unlikely to allow a candidate to represent them who does not endorse the party leadership’s positions. In addition, even in the case of disagreements, there are still important reasons to assume that MPs will vote in line with the party leadership. These include anticipated sanctions and adherence to the norm dictating that MPs should express loyalty to the party leadership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{"citationID":"2k3hmr33qp","properties":{"formattedCitation":"(R. B. Andeweg &amp; Thomassen, 2011)","plainCitation":"(R. B. Andeweg &amp; Thomassen, 2011)","dontUpdate":true,"noteIndex":0},"citationItems":[{"id":"zNFxbYtK/ML8B9IBz","uris":["http://zotero.org/users/2012883/items/4QK8K3A4"],"uri":["http://zotero.org/users/2012883/items/4QK8K3A4"],"itemData":{"id":991,"type":"article-journal","title":"Pathways to party unity: Sanctions, loyalty, homogeneity and division of labour in the Dutch parliament","container-title":"Party Politics","page":"655-672","volume":"17","issue":"5","source":"ppq.sagepub.com","abstract":"The study of party unity and its determinants is conceptually confusing, with terms such as ‘party discipline’ and ‘party cohesion’ used to denote both dependent and independent variables. Moreover, while the literature recognizes both anticipated sanctions and homogeneity of preferences as pathways to party unity, it ignores possibilities such as party loyalty and the division of labour within parliamentary parties. The article examines these different pathways to party unity on the basis of five waves of interviews with nearly all members of the Lower House of the Dutch parliament. The article finds least evidence for sanctions as a major determinant of party unity, with the possible exception of parties in the governing coalition. Homogeneity, loyalty and division of labour all seem to play an important role. Party unity might seem over determined, but the more likely explanation offered is that it is a case of ‘different horses for different courses’.","DOI":"10.1177/1354068810377188","ISSN":"1354-0688, 1460-3683","shortTitle":"Pathways to party unity","journalAbbreviation":"Party Politics","language":"en","author":[{"family":"Andeweg","given":"Rudy"},{"family":"Thomassen","given":"Jacques"}],"issued":{"date-parts":[["2011",9,1]]}}}],"schema":"https://github.com/citation-style-language/schema/raw/master/csl-citation.json"}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(Andeweg &amp; Thomassen, 2011, Van Vonno et al, 2013)</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In sum, MPs and the party leadership are highly likely to agree on the vast majority of issues, but even when they do not, the latter’s position is the one that matters. The near-total party cohesion during votes in parliament has exemplified this in the Belgian case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{"citationID":"1ttt6mkd2","properties":{"formattedCitation":"(Depauw 2003a)","plainCitation":"(Depauw 2003a)","dontUpdate":true,"noteIndex":0},"citationItems":[{"id":"zNFxbYtK/MQEfF9fl","uris":["http://zotero.org/users/2012883/items/VGP3DWFR"],"uri":["http://zotero.org/users/2012883/items/VGP3DWFR"],"itemData":{"id":104,"type":"article-journal","title":"Government Party Discipline in Parliamentary Democracies: The Cases of Belgium, France, and the United Kingdom in the 1990s","container-title":"The Journal of Legislative Studies","page":"130-146","volume":"9","issue":"4","source":"CrossRef","ISSN":"1357-2334, 1743-9337","shortTitle":"Part 2","author":[{"family":"Depauw","given":"Sam"}],"issued":{"date-parts":[["2003",12,21]]}}}],"schema":"https://github.com/citation-style-language/schema/raw/master/csl-citation.json"}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(Depauw 2003)</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w:t>
      </w:r>
    </w:p>
    <w:p w14:paraId="3791F361" w14:textId="0C4435ED" w:rsidR="007321C6" w:rsidRPr="00456628" w:rsidRDefault="00581A5F" w:rsidP="00496752">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With this dataset, we</w:t>
      </w:r>
      <w:r w:rsidR="00224109" w:rsidRPr="00456628">
        <w:rPr>
          <w:rFonts w:ascii="Times New Roman" w:hAnsi="Times New Roman" w:cs="Times New Roman"/>
          <w:sz w:val="24"/>
          <w:szCs w:val="24"/>
          <w:lang w:val="en-US"/>
        </w:rPr>
        <w:t xml:space="preserve"> simulat</w:t>
      </w:r>
      <w:r w:rsidRPr="00456628">
        <w:rPr>
          <w:rFonts w:ascii="Times New Roman" w:hAnsi="Times New Roman" w:cs="Times New Roman"/>
          <w:sz w:val="24"/>
          <w:szCs w:val="24"/>
          <w:lang w:val="en-US"/>
        </w:rPr>
        <w:t>e estimates of opinion congruence. These</w:t>
      </w:r>
      <w:r w:rsidR="00224109" w:rsidRPr="00456628">
        <w:rPr>
          <w:rFonts w:ascii="Times New Roman" w:hAnsi="Times New Roman" w:cs="Times New Roman"/>
          <w:sz w:val="24"/>
          <w:szCs w:val="24"/>
          <w:lang w:val="en-US"/>
        </w:rPr>
        <w:t xml:space="preserve"> consist of </w:t>
      </w:r>
      <w:r w:rsidR="00990D23" w:rsidRPr="00456628">
        <w:rPr>
          <w:rFonts w:ascii="Times New Roman" w:hAnsi="Times New Roman" w:cs="Times New Roman"/>
          <w:sz w:val="24"/>
          <w:szCs w:val="24"/>
          <w:lang w:val="en-US"/>
        </w:rPr>
        <w:t xml:space="preserve">five </w:t>
      </w:r>
      <w:r w:rsidR="00224109" w:rsidRPr="00456628">
        <w:rPr>
          <w:rFonts w:ascii="Times New Roman" w:hAnsi="Times New Roman" w:cs="Times New Roman"/>
          <w:sz w:val="24"/>
          <w:szCs w:val="24"/>
          <w:lang w:val="en-US"/>
        </w:rPr>
        <w:t xml:space="preserve">steps. In the first, a sample of </w:t>
      </w:r>
      <w:r w:rsidR="0067549F" w:rsidRPr="00456628">
        <w:rPr>
          <w:rFonts w:ascii="Times New Roman" w:hAnsi="Times New Roman" w:cs="Times New Roman"/>
          <w:sz w:val="24"/>
          <w:szCs w:val="24"/>
          <w:lang w:val="en-US"/>
        </w:rPr>
        <w:t xml:space="preserve">size </w:t>
      </w:r>
      <w:r w:rsidR="000E64C3" w:rsidRPr="00456628">
        <w:rPr>
          <w:rFonts w:ascii="Times New Roman" w:hAnsi="Times New Roman" w:cs="Times New Roman"/>
          <w:i/>
          <w:sz w:val="24"/>
          <w:szCs w:val="24"/>
          <w:lang w:val="en-US"/>
        </w:rPr>
        <w:t>s</w:t>
      </w:r>
      <w:r w:rsidR="00224109" w:rsidRPr="00456628">
        <w:rPr>
          <w:rFonts w:ascii="Times New Roman" w:hAnsi="Times New Roman" w:cs="Times New Roman"/>
          <w:sz w:val="24"/>
          <w:szCs w:val="24"/>
          <w:lang w:val="en-US"/>
        </w:rPr>
        <w:t xml:space="preserve"> policy statements is drawn from the list of 134 statements</w:t>
      </w:r>
      <w:r w:rsidR="000E64C3" w:rsidRPr="00456628">
        <w:rPr>
          <w:rFonts w:ascii="Times New Roman" w:hAnsi="Times New Roman" w:cs="Times New Roman"/>
          <w:sz w:val="24"/>
          <w:szCs w:val="24"/>
          <w:lang w:val="en-US"/>
        </w:rPr>
        <w:t xml:space="preserve"> (S)</w:t>
      </w:r>
      <w:r w:rsidR="00224109" w:rsidRPr="00456628">
        <w:rPr>
          <w:rFonts w:ascii="Times New Roman" w:hAnsi="Times New Roman" w:cs="Times New Roman"/>
          <w:sz w:val="24"/>
          <w:szCs w:val="24"/>
          <w:lang w:val="en-US"/>
        </w:rPr>
        <w:t>, and opinion congruence is calculated for each voter-party combination</w:t>
      </w:r>
      <w:r w:rsidR="006D6971" w:rsidRPr="00456628">
        <w:rPr>
          <w:rStyle w:val="FootnoteReference"/>
          <w:rFonts w:ascii="Times New Roman" w:hAnsi="Times New Roman" w:cs="Times New Roman"/>
          <w:sz w:val="24"/>
          <w:szCs w:val="24"/>
        </w:rPr>
        <w:footnoteReference w:id="6"/>
      </w:r>
      <w:r w:rsidR="00224109" w:rsidRPr="00456628">
        <w:rPr>
          <w:rFonts w:ascii="Times New Roman" w:hAnsi="Times New Roman" w:cs="Times New Roman"/>
          <w:sz w:val="24"/>
          <w:szCs w:val="24"/>
          <w:lang w:val="en-US"/>
        </w:rPr>
        <w:t xml:space="preserve">. </w:t>
      </w:r>
      <w:r w:rsidR="00496752" w:rsidRPr="00456628">
        <w:rPr>
          <w:rFonts w:ascii="Times New Roman" w:hAnsi="Times New Roman" w:cs="Times New Roman"/>
          <w:sz w:val="24"/>
          <w:szCs w:val="24"/>
          <w:lang w:val="en-US"/>
        </w:rPr>
        <w:t>This entails c</w:t>
      </w:r>
      <w:r w:rsidR="00224109" w:rsidRPr="00456628">
        <w:rPr>
          <w:rFonts w:ascii="Times New Roman" w:hAnsi="Times New Roman" w:cs="Times New Roman"/>
          <w:sz w:val="24"/>
          <w:szCs w:val="24"/>
          <w:lang w:val="en-US"/>
        </w:rPr>
        <w:t xml:space="preserve">alculating the percentage of </w:t>
      </w:r>
      <w:r w:rsidR="00496752" w:rsidRPr="00456628">
        <w:rPr>
          <w:rFonts w:ascii="Times New Roman" w:hAnsi="Times New Roman" w:cs="Times New Roman"/>
          <w:sz w:val="24"/>
          <w:szCs w:val="24"/>
          <w:lang w:val="en-US"/>
        </w:rPr>
        <w:t>policy statements on which a voter and a party agree by</w:t>
      </w:r>
      <w:r w:rsidR="00224109" w:rsidRPr="00456628">
        <w:rPr>
          <w:rFonts w:ascii="Times New Roman" w:hAnsi="Times New Roman" w:cs="Times New Roman"/>
          <w:sz w:val="24"/>
          <w:szCs w:val="24"/>
          <w:lang w:val="en-US"/>
        </w:rPr>
        <w:t xml:space="preserve"> dividing the number of policy statements on which a voter and a party agree by the number of statements sampled (</w:t>
      </w:r>
      <w:r w:rsidR="000E64C3" w:rsidRPr="00456628">
        <w:rPr>
          <w:rFonts w:ascii="Times New Roman" w:hAnsi="Times New Roman" w:cs="Times New Roman"/>
          <w:i/>
          <w:sz w:val="24"/>
          <w:szCs w:val="24"/>
          <w:lang w:val="en-US"/>
        </w:rPr>
        <w:t>s</w:t>
      </w:r>
      <w:r w:rsidR="00224109" w:rsidRPr="00456628">
        <w:rPr>
          <w:rFonts w:ascii="Times New Roman" w:hAnsi="Times New Roman" w:cs="Times New Roman"/>
          <w:sz w:val="24"/>
          <w:szCs w:val="24"/>
          <w:lang w:val="en-US"/>
        </w:rPr>
        <w:t xml:space="preserve">). In the second step, another sample of </w:t>
      </w:r>
      <w:r w:rsidR="0067549F" w:rsidRPr="00456628">
        <w:rPr>
          <w:rFonts w:ascii="Times New Roman" w:hAnsi="Times New Roman" w:cs="Times New Roman"/>
          <w:sz w:val="24"/>
          <w:szCs w:val="24"/>
          <w:lang w:val="en-US"/>
        </w:rPr>
        <w:t xml:space="preserve">size </w:t>
      </w:r>
      <w:r w:rsidR="000E64C3" w:rsidRPr="00456628">
        <w:rPr>
          <w:rFonts w:ascii="Times New Roman" w:hAnsi="Times New Roman" w:cs="Times New Roman"/>
          <w:i/>
          <w:sz w:val="24"/>
          <w:szCs w:val="24"/>
          <w:lang w:val="en-US"/>
        </w:rPr>
        <w:t>s</w:t>
      </w:r>
      <w:r w:rsidR="00224109" w:rsidRPr="00456628">
        <w:rPr>
          <w:rFonts w:ascii="Times New Roman" w:hAnsi="Times New Roman" w:cs="Times New Roman"/>
          <w:sz w:val="24"/>
          <w:szCs w:val="24"/>
          <w:lang w:val="en-US"/>
        </w:rPr>
        <w:t xml:space="preserve"> policy statement</w:t>
      </w:r>
      <w:r w:rsidR="003B53AF" w:rsidRPr="00456628">
        <w:rPr>
          <w:rFonts w:ascii="Times New Roman" w:hAnsi="Times New Roman" w:cs="Times New Roman"/>
          <w:sz w:val="24"/>
          <w:szCs w:val="24"/>
          <w:lang w:val="en-US"/>
        </w:rPr>
        <w:t>s</w:t>
      </w:r>
      <w:r w:rsidR="00224109" w:rsidRPr="00456628">
        <w:rPr>
          <w:rFonts w:ascii="Times New Roman" w:hAnsi="Times New Roman" w:cs="Times New Roman"/>
          <w:sz w:val="24"/>
          <w:szCs w:val="24"/>
          <w:lang w:val="en-US"/>
        </w:rPr>
        <w:t xml:space="preserve"> is drawn from the remaining statements (i.e. the list of 134 minus the statements that were drawn in the first step</w:t>
      </w:r>
      <w:r w:rsidR="000E64C3" w:rsidRPr="00456628">
        <w:rPr>
          <w:rFonts w:ascii="Times New Roman" w:hAnsi="Times New Roman" w:cs="Times New Roman"/>
          <w:sz w:val="24"/>
          <w:szCs w:val="24"/>
          <w:lang w:val="en-US"/>
        </w:rPr>
        <w:t>, or S-s</w:t>
      </w:r>
      <w:r w:rsidR="00224109" w:rsidRPr="00456628">
        <w:rPr>
          <w:rFonts w:ascii="Times New Roman" w:hAnsi="Times New Roman" w:cs="Times New Roman"/>
          <w:sz w:val="24"/>
          <w:szCs w:val="24"/>
          <w:lang w:val="en-US"/>
        </w:rPr>
        <w:t xml:space="preserve">). For this second sample of statements, we also calculate opinion congruence for each voter-party combination. </w:t>
      </w:r>
      <w:r w:rsidR="007321C6" w:rsidRPr="00456628">
        <w:rPr>
          <w:rFonts w:ascii="Times New Roman" w:hAnsi="Times New Roman" w:cs="Times New Roman"/>
          <w:sz w:val="24"/>
          <w:szCs w:val="24"/>
          <w:lang w:val="en-US"/>
        </w:rPr>
        <w:t>In a second version of the calculations, voters’ topic salience was integrated in the formula. In the survey, respondents were asked to indicate how important each of the 12 issue topics were to them on a</w:t>
      </w:r>
      <w:r w:rsidR="006D6971" w:rsidRPr="00456628">
        <w:rPr>
          <w:rFonts w:ascii="Times New Roman" w:hAnsi="Times New Roman" w:cs="Times New Roman"/>
          <w:sz w:val="24"/>
          <w:szCs w:val="24"/>
          <w:lang w:val="en-US"/>
        </w:rPr>
        <w:t>n</w:t>
      </w:r>
      <w:r w:rsidR="007321C6" w:rsidRPr="00456628">
        <w:rPr>
          <w:rFonts w:ascii="Times New Roman" w:hAnsi="Times New Roman" w:cs="Times New Roman"/>
          <w:sz w:val="24"/>
          <w:szCs w:val="24"/>
          <w:lang w:val="en-US"/>
        </w:rPr>
        <w:t xml:space="preserve"> </w:t>
      </w:r>
      <w:r w:rsidR="000E64C3" w:rsidRPr="00456628">
        <w:rPr>
          <w:rFonts w:ascii="Times New Roman" w:hAnsi="Times New Roman" w:cs="Times New Roman"/>
          <w:sz w:val="24"/>
          <w:szCs w:val="24"/>
          <w:lang w:val="en-US"/>
        </w:rPr>
        <w:t>11-point</w:t>
      </w:r>
      <w:r w:rsidR="007321C6" w:rsidRPr="00456628">
        <w:rPr>
          <w:rFonts w:ascii="Times New Roman" w:hAnsi="Times New Roman" w:cs="Times New Roman"/>
          <w:sz w:val="24"/>
          <w:szCs w:val="24"/>
          <w:lang w:val="en-US"/>
        </w:rPr>
        <w:t xml:space="preserve"> scale. The calculation of the unweighted and weighted party-voter congruence is </w:t>
      </w:r>
      <w:r w:rsidR="006D6971" w:rsidRPr="00456628">
        <w:rPr>
          <w:rFonts w:ascii="Times New Roman" w:hAnsi="Times New Roman" w:cs="Times New Roman"/>
          <w:sz w:val="24"/>
          <w:szCs w:val="24"/>
          <w:lang w:val="en-US"/>
        </w:rPr>
        <w:t>shown</w:t>
      </w:r>
      <w:r w:rsidR="007321C6" w:rsidRPr="00456628">
        <w:rPr>
          <w:rFonts w:ascii="Times New Roman" w:hAnsi="Times New Roman" w:cs="Times New Roman"/>
          <w:sz w:val="24"/>
          <w:szCs w:val="24"/>
          <w:lang w:val="en-US"/>
        </w:rPr>
        <w:t xml:space="preserve"> in Formulae 1 and 2.</w:t>
      </w:r>
    </w:p>
    <w:p w14:paraId="5097B64B" w14:textId="389FBE56" w:rsidR="00224109" w:rsidRPr="00456628" w:rsidRDefault="00BF35F9" w:rsidP="00496752">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To assess the variability</w:t>
      </w:r>
      <w:r w:rsidR="00224109" w:rsidRPr="00456628">
        <w:rPr>
          <w:rFonts w:ascii="Times New Roman" w:hAnsi="Times New Roman" w:cs="Times New Roman"/>
          <w:sz w:val="24"/>
          <w:szCs w:val="24"/>
          <w:lang w:val="en-US"/>
        </w:rPr>
        <w:t xml:space="preserve"> of these scores, we take the absolute difference between the opinion congruence scores of the first sample and those of the second sample in a third step</w:t>
      </w:r>
      <w:r w:rsidR="005C7591" w:rsidRPr="00456628">
        <w:rPr>
          <w:rFonts w:ascii="Times New Roman" w:hAnsi="Times New Roman" w:cs="Times New Roman"/>
          <w:sz w:val="24"/>
          <w:szCs w:val="24"/>
          <w:lang w:val="en-US"/>
        </w:rPr>
        <w:t xml:space="preserve"> (Formula 3)</w:t>
      </w:r>
      <w:r w:rsidR="00224109" w:rsidRPr="00456628">
        <w:rPr>
          <w:rFonts w:ascii="Times New Roman" w:hAnsi="Times New Roman" w:cs="Times New Roman"/>
          <w:sz w:val="24"/>
          <w:szCs w:val="24"/>
          <w:lang w:val="en-US"/>
        </w:rPr>
        <w:t xml:space="preserve">. </w:t>
      </w:r>
      <w:r w:rsidR="00224109" w:rsidRPr="00456628">
        <w:rPr>
          <w:rFonts w:ascii="Times New Roman" w:hAnsi="Times New Roman" w:cs="Times New Roman"/>
          <w:sz w:val="24"/>
          <w:szCs w:val="24"/>
          <w:lang w:val="en-US"/>
        </w:rPr>
        <w:lastRenderedPageBreak/>
        <w:t xml:space="preserve">The </w:t>
      </w:r>
      <w:r w:rsidRPr="00456628">
        <w:rPr>
          <w:rFonts w:ascii="Times New Roman" w:hAnsi="Times New Roman" w:cs="Times New Roman"/>
          <w:sz w:val="24"/>
          <w:szCs w:val="24"/>
          <w:lang w:val="en-US"/>
        </w:rPr>
        <w:t>larger</w:t>
      </w:r>
      <w:r w:rsidR="00224109" w:rsidRPr="00456628">
        <w:rPr>
          <w:rFonts w:ascii="Times New Roman" w:hAnsi="Times New Roman" w:cs="Times New Roman"/>
          <w:sz w:val="24"/>
          <w:szCs w:val="24"/>
          <w:lang w:val="en-US"/>
        </w:rPr>
        <w:t xml:space="preserve"> the difference, the more </w:t>
      </w:r>
      <w:r w:rsidRPr="00456628">
        <w:rPr>
          <w:rFonts w:ascii="Times New Roman" w:hAnsi="Times New Roman" w:cs="Times New Roman"/>
          <w:sz w:val="24"/>
          <w:szCs w:val="24"/>
          <w:lang w:val="en-US"/>
        </w:rPr>
        <w:t>dissimilar and variable</w:t>
      </w:r>
      <w:r w:rsidR="00224109" w:rsidRPr="00456628">
        <w:rPr>
          <w:rFonts w:ascii="Times New Roman" w:hAnsi="Times New Roman" w:cs="Times New Roman"/>
          <w:sz w:val="24"/>
          <w:szCs w:val="24"/>
          <w:lang w:val="en-US"/>
        </w:rPr>
        <w:t xml:space="preserve"> the two measurements of congruence are.</w:t>
      </w:r>
      <w:r w:rsidRPr="00456628">
        <w:rPr>
          <w:rFonts w:ascii="Times New Roman" w:hAnsi="Times New Roman" w:cs="Times New Roman"/>
          <w:sz w:val="24"/>
          <w:szCs w:val="24"/>
          <w:lang w:val="en-US"/>
        </w:rPr>
        <w:t xml:space="preserve"> In contrast, smaller differences indicate measurements that are more reliable.</w:t>
      </w:r>
      <w:r w:rsidR="00224109" w:rsidRPr="00456628">
        <w:rPr>
          <w:rFonts w:ascii="Times New Roman" w:hAnsi="Times New Roman" w:cs="Times New Roman"/>
          <w:sz w:val="24"/>
          <w:szCs w:val="24"/>
          <w:lang w:val="en-US"/>
        </w:rPr>
        <w:t xml:space="preserve"> In order to get an accurate picture of </w:t>
      </w:r>
      <w:r w:rsidR="001E32B0" w:rsidRPr="00456628">
        <w:rPr>
          <w:rFonts w:ascii="Times New Roman" w:hAnsi="Times New Roman" w:cs="Times New Roman"/>
          <w:sz w:val="24"/>
          <w:szCs w:val="24"/>
          <w:lang w:val="en-US"/>
        </w:rPr>
        <w:t xml:space="preserve">OCV </w:t>
      </w:r>
      <w:r w:rsidR="00224109" w:rsidRPr="00456628">
        <w:rPr>
          <w:rFonts w:ascii="Times New Roman" w:hAnsi="Times New Roman" w:cs="Times New Roman"/>
          <w:sz w:val="24"/>
          <w:szCs w:val="24"/>
          <w:lang w:val="en-US"/>
        </w:rPr>
        <w:t xml:space="preserve">at </w:t>
      </w:r>
      <w:r w:rsidR="00061683" w:rsidRPr="00456628">
        <w:rPr>
          <w:rFonts w:ascii="Times New Roman" w:hAnsi="Times New Roman" w:cs="Times New Roman"/>
          <w:i/>
          <w:sz w:val="24"/>
          <w:szCs w:val="24"/>
          <w:lang w:val="en-US"/>
        </w:rPr>
        <w:t>s</w:t>
      </w:r>
      <w:r w:rsidR="00224109" w:rsidRPr="00456628">
        <w:rPr>
          <w:rFonts w:ascii="Times New Roman" w:hAnsi="Times New Roman" w:cs="Times New Roman"/>
          <w:sz w:val="24"/>
          <w:szCs w:val="24"/>
          <w:lang w:val="en-US"/>
        </w:rPr>
        <w:t xml:space="preserve"> policy statements, we r</w:t>
      </w:r>
      <w:r w:rsidR="0010247D" w:rsidRPr="00456628">
        <w:rPr>
          <w:rFonts w:ascii="Times New Roman" w:hAnsi="Times New Roman" w:cs="Times New Roman"/>
          <w:sz w:val="24"/>
          <w:szCs w:val="24"/>
          <w:lang w:val="en-US"/>
        </w:rPr>
        <w:t xml:space="preserve">epeat this process </w:t>
      </w:r>
      <w:r w:rsidR="00F168F9" w:rsidRPr="00456628">
        <w:rPr>
          <w:rFonts w:ascii="Times New Roman" w:hAnsi="Times New Roman" w:cs="Times New Roman"/>
          <w:sz w:val="24"/>
          <w:szCs w:val="24"/>
          <w:lang w:val="en-US"/>
        </w:rPr>
        <w:t>50</w:t>
      </w:r>
      <w:r w:rsidR="00061683" w:rsidRPr="00456628">
        <w:rPr>
          <w:rFonts w:ascii="Times New Roman" w:hAnsi="Times New Roman" w:cs="Times New Roman"/>
          <w:sz w:val="24"/>
          <w:szCs w:val="24"/>
          <w:lang w:val="en-US"/>
        </w:rPr>
        <w:t xml:space="preserve"> </w:t>
      </w:r>
      <w:r w:rsidR="00224109" w:rsidRPr="00456628">
        <w:rPr>
          <w:rFonts w:ascii="Times New Roman" w:hAnsi="Times New Roman" w:cs="Times New Roman"/>
          <w:sz w:val="24"/>
          <w:szCs w:val="24"/>
          <w:lang w:val="en-US"/>
        </w:rPr>
        <w:t xml:space="preserve">times in a </w:t>
      </w:r>
      <w:r w:rsidR="00945A58" w:rsidRPr="00456628">
        <w:rPr>
          <w:rFonts w:ascii="Times New Roman" w:hAnsi="Times New Roman" w:cs="Times New Roman"/>
          <w:sz w:val="24"/>
          <w:szCs w:val="24"/>
          <w:lang w:val="en-US"/>
        </w:rPr>
        <w:t>fourth</w:t>
      </w:r>
      <w:r w:rsidR="00224109" w:rsidRPr="00456628">
        <w:rPr>
          <w:rFonts w:ascii="Times New Roman" w:hAnsi="Times New Roman" w:cs="Times New Roman"/>
          <w:sz w:val="24"/>
          <w:szCs w:val="24"/>
          <w:lang w:val="en-US"/>
        </w:rPr>
        <w:t xml:space="preserve"> step. The sampling algorithm was designed in such a way that there were no duplicate comparisons. Finally, steps one through </w:t>
      </w:r>
      <w:r w:rsidR="00592769" w:rsidRPr="00456628">
        <w:rPr>
          <w:rFonts w:ascii="Times New Roman" w:hAnsi="Times New Roman" w:cs="Times New Roman"/>
          <w:sz w:val="24"/>
          <w:szCs w:val="24"/>
          <w:lang w:val="en-US"/>
        </w:rPr>
        <w:t>four</w:t>
      </w:r>
      <w:r w:rsidR="00224109" w:rsidRPr="00456628">
        <w:rPr>
          <w:rFonts w:ascii="Times New Roman" w:hAnsi="Times New Roman" w:cs="Times New Roman"/>
          <w:sz w:val="24"/>
          <w:szCs w:val="24"/>
          <w:lang w:val="en-US"/>
        </w:rPr>
        <w:t xml:space="preserve"> are repeated</w:t>
      </w:r>
      <w:r w:rsidR="00592769" w:rsidRPr="00456628">
        <w:rPr>
          <w:rFonts w:ascii="Times New Roman" w:hAnsi="Times New Roman" w:cs="Times New Roman"/>
          <w:sz w:val="24"/>
          <w:szCs w:val="24"/>
          <w:lang w:val="en-US"/>
        </w:rPr>
        <w:t xml:space="preserve"> in step five</w:t>
      </w:r>
      <w:r w:rsidR="00224109" w:rsidRPr="00456628">
        <w:rPr>
          <w:rFonts w:ascii="Times New Roman" w:hAnsi="Times New Roman" w:cs="Times New Roman"/>
          <w:sz w:val="24"/>
          <w:szCs w:val="24"/>
          <w:lang w:val="en-US"/>
        </w:rPr>
        <w:t xml:space="preserve">, each time increasing the size of </w:t>
      </w:r>
      <w:r w:rsidR="00061683" w:rsidRPr="00456628">
        <w:rPr>
          <w:rFonts w:ascii="Times New Roman" w:hAnsi="Times New Roman" w:cs="Times New Roman"/>
          <w:i/>
          <w:sz w:val="24"/>
          <w:szCs w:val="24"/>
          <w:lang w:val="en-US"/>
        </w:rPr>
        <w:t>s</w:t>
      </w:r>
      <w:r w:rsidR="00224109" w:rsidRPr="00456628">
        <w:rPr>
          <w:rFonts w:ascii="Times New Roman" w:hAnsi="Times New Roman" w:cs="Times New Roman"/>
          <w:sz w:val="24"/>
          <w:szCs w:val="24"/>
          <w:lang w:val="en-US"/>
        </w:rPr>
        <w:t xml:space="preserve"> (the number of statements drawn in step one</w:t>
      </w:r>
      <w:r w:rsidR="00496752" w:rsidRPr="00456628">
        <w:rPr>
          <w:rFonts w:ascii="Times New Roman" w:hAnsi="Times New Roman" w:cs="Times New Roman"/>
          <w:sz w:val="24"/>
          <w:szCs w:val="24"/>
          <w:lang w:val="en-US"/>
        </w:rPr>
        <w:t xml:space="preserve"> and two</w:t>
      </w:r>
      <w:r w:rsidR="00224109" w:rsidRPr="00456628">
        <w:rPr>
          <w:rFonts w:ascii="Times New Roman" w:hAnsi="Times New Roman" w:cs="Times New Roman"/>
          <w:sz w:val="24"/>
          <w:szCs w:val="24"/>
          <w:lang w:val="en-US"/>
        </w:rPr>
        <w:t>)</w:t>
      </w:r>
      <w:r w:rsidR="006D6971" w:rsidRPr="00456628">
        <w:rPr>
          <w:rFonts w:ascii="Times New Roman" w:hAnsi="Times New Roman" w:cs="Times New Roman"/>
          <w:sz w:val="24"/>
          <w:szCs w:val="24"/>
          <w:lang w:val="en-US"/>
        </w:rPr>
        <w:t xml:space="preserve"> until </w:t>
      </w:r>
      <w:r w:rsidR="00061683" w:rsidRPr="00456628">
        <w:rPr>
          <w:rFonts w:ascii="Times New Roman" w:hAnsi="Times New Roman" w:cs="Times New Roman"/>
          <w:i/>
          <w:sz w:val="24"/>
          <w:szCs w:val="24"/>
          <w:lang w:val="en-US"/>
        </w:rPr>
        <w:t>s</w:t>
      </w:r>
      <w:r w:rsidR="006D6971" w:rsidRPr="00456628">
        <w:rPr>
          <w:rFonts w:ascii="Times New Roman" w:hAnsi="Times New Roman" w:cs="Times New Roman"/>
          <w:sz w:val="24"/>
          <w:szCs w:val="24"/>
          <w:lang w:val="en-US"/>
        </w:rPr>
        <w:t xml:space="preserve"> = 66</w:t>
      </w:r>
      <w:r w:rsidR="00224109" w:rsidRPr="00456628">
        <w:rPr>
          <w:rFonts w:ascii="Times New Roman" w:hAnsi="Times New Roman" w:cs="Times New Roman"/>
          <w:sz w:val="24"/>
          <w:szCs w:val="24"/>
          <w:lang w:val="en-US"/>
        </w:rPr>
        <w:t>.</w:t>
      </w:r>
      <w:r w:rsidR="00496752" w:rsidRPr="00456628">
        <w:rPr>
          <w:rFonts w:ascii="Times New Roman" w:hAnsi="Times New Roman" w:cs="Times New Roman"/>
          <w:sz w:val="24"/>
          <w:szCs w:val="24"/>
          <w:lang w:val="en-US"/>
        </w:rPr>
        <w:t xml:space="preserve"> </w:t>
      </w:r>
    </w:p>
    <w:p w14:paraId="423DBC08" w14:textId="1EB32F10" w:rsidR="00496752" w:rsidRPr="00456628" w:rsidRDefault="00496752" w:rsidP="00496752">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Formula 1: </w:t>
      </w:r>
      <w:r w:rsidR="005808AD" w:rsidRPr="00456628">
        <w:rPr>
          <w:rFonts w:ascii="Times New Roman" w:hAnsi="Times New Roman" w:cs="Times New Roman"/>
          <w:sz w:val="24"/>
          <w:szCs w:val="24"/>
          <w:lang w:val="en-US"/>
        </w:rPr>
        <w:t xml:space="preserve">Unweighted </w:t>
      </w:r>
      <w:r w:rsidR="007321C6" w:rsidRPr="00456628">
        <w:rPr>
          <w:rFonts w:ascii="Times New Roman" w:hAnsi="Times New Roman" w:cs="Times New Roman"/>
          <w:sz w:val="24"/>
          <w:szCs w:val="24"/>
          <w:lang w:val="en-US"/>
        </w:rPr>
        <w:t>P</w:t>
      </w:r>
      <w:r w:rsidRPr="00456628">
        <w:rPr>
          <w:rFonts w:ascii="Times New Roman" w:hAnsi="Times New Roman" w:cs="Times New Roman"/>
          <w:sz w:val="24"/>
          <w:szCs w:val="24"/>
          <w:lang w:val="en-US"/>
        </w:rPr>
        <w:t>arty-voter opinion congruence</w:t>
      </w:r>
      <w:r w:rsidR="007321C6" w:rsidRPr="00456628">
        <w:rPr>
          <w:rFonts w:ascii="Times New Roman" w:hAnsi="Times New Roman" w:cs="Times New Roman"/>
          <w:sz w:val="24"/>
          <w:szCs w:val="24"/>
          <w:lang w:val="en-US"/>
        </w:rPr>
        <w:t xml:space="preserve"> between party A and voter J</w:t>
      </w:r>
    </w:p>
    <w:p w14:paraId="7D140038" w14:textId="400E0D84" w:rsidR="007321C6" w:rsidRPr="00456628" w:rsidRDefault="005808AD" w:rsidP="00496752">
      <w:pPr>
        <w:spacing w:before="240"/>
        <w:rPr>
          <w:rFonts w:ascii="Times New Roman" w:hAnsi="Times New Roman" w:cs="Times New Roman"/>
          <w:sz w:val="24"/>
          <w:szCs w:val="24"/>
          <w:lang w:val="en-US"/>
        </w:rPr>
      </w:pPr>
      <m:oMathPara>
        <m:oMath>
          <m:r>
            <w:rPr>
              <w:rFonts w:ascii="Cambria Math" w:hAnsi="Cambria Math" w:cs="Times New Roman"/>
              <w:sz w:val="24"/>
              <w:szCs w:val="24"/>
              <w:lang w:val="en-US"/>
            </w:rPr>
            <m:t>Unweighted Opinion congruence=</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s</m:t>
                  </m:r>
                </m:sup>
                <m:e>
                  <m:r>
                    <w:rPr>
                      <w:rFonts w:ascii="Cambria Math" w:hAnsi="Cambria Math" w:cs="Times New Roman"/>
                      <w:sz w:val="24"/>
                      <w:szCs w:val="24"/>
                      <w:lang w:val="en-US"/>
                    </w:rPr>
                    <m:t>1-</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policy position</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of party 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policy position</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of voter J</m:t>
                      </m:r>
                    </m:e>
                  </m:d>
                </m:e>
              </m:nary>
            </m:num>
            <m:den>
              <m:r>
                <w:rPr>
                  <w:rFonts w:ascii="Cambria Math" w:hAnsi="Cambria Math" w:cs="Times New Roman"/>
                  <w:sz w:val="24"/>
                  <w:szCs w:val="24"/>
                  <w:lang w:val="en-US"/>
                </w:rPr>
                <m:t>s</m:t>
              </m:r>
            </m:den>
          </m:f>
        </m:oMath>
      </m:oMathPara>
    </w:p>
    <w:p w14:paraId="66CBC6C2" w14:textId="5166E57A" w:rsidR="00496752" w:rsidRPr="00456628" w:rsidRDefault="00496752" w:rsidP="00496752">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Formula 2: Weighted </w:t>
      </w:r>
      <w:r w:rsidR="007321C6" w:rsidRPr="00456628">
        <w:rPr>
          <w:rFonts w:ascii="Times New Roman" w:hAnsi="Times New Roman" w:cs="Times New Roman"/>
          <w:sz w:val="24"/>
          <w:szCs w:val="24"/>
          <w:lang w:val="en-US"/>
        </w:rPr>
        <w:t>party-voter opinion congruence between party A and voter J</w:t>
      </w:r>
    </w:p>
    <w:p w14:paraId="1A5FF38C" w14:textId="697A8FE8" w:rsidR="00496752" w:rsidRPr="00456628" w:rsidRDefault="007321C6" w:rsidP="00496752">
      <w:pPr>
        <w:spacing w:before="240"/>
        <w:rPr>
          <w:rFonts w:ascii="Times New Roman" w:hAnsi="Times New Roman" w:cs="Times New Roman"/>
          <w:sz w:val="24"/>
          <w:szCs w:val="24"/>
          <w:lang w:val="en-US"/>
        </w:rPr>
      </w:pPr>
      <m:oMathPara>
        <m:oMath>
          <m:r>
            <w:rPr>
              <w:rFonts w:ascii="Cambria Math" w:hAnsi="Cambria Math" w:cs="Times New Roman"/>
              <w:sz w:val="24"/>
              <w:szCs w:val="24"/>
              <w:lang w:val="en-US"/>
            </w:rPr>
            <m:t>Weighted opinion congruence=</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s</m:t>
                      </m:r>
                    </m:sup>
                    <m:e>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1-</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policy position</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of party 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policy position</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of voter J</m:t>
                                  </m:r>
                                </m:e>
                              </m:d>
                            </m:e>
                          </m:d>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saliency</m:t>
                              </m:r>
                            </m:e>
                            <m:sub>
                              <m:r>
                                <w:rPr>
                                  <w:rFonts w:ascii="Cambria Math" w:hAnsi="Cambria Math" w:cs="Times New Roman"/>
                                  <w:sz w:val="24"/>
                                  <w:szCs w:val="24"/>
                                </w:rPr>
                                <m:t>i</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s</m:t>
                              </m:r>
                            </m:sup>
                            <m:e>
                              <m:sSub>
                                <m:sSubPr>
                                  <m:ctrlPr>
                                    <w:rPr>
                                      <w:rFonts w:ascii="Cambria Math" w:hAnsi="Cambria Math" w:cs="Times New Roman"/>
                                      <w:i/>
                                      <w:sz w:val="24"/>
                                      <w:szCs w:val="24"/>
                                    </w:rPr>
                                  </m:ctrlPr>
                                </m:sSubPr>
                                <m:e>
                                  <m:r>
                                    <w:rPr>
                                      <w:rFonts w:ascii="Cambria Math" w:hAnsi="Cambria Math" w:cs="Times New Roman"/>
                                      <w:sz w:val="24"/>
                                      <w:szCs w:val="24"/>
                                    </w:rPr>
                                    <m:t>saliency</m:t>
                                  </m:r>
                                </m:e>
                                <m:sub>
                                  <m:r>
                                    <w:rPr>
                                      <w:rFonts w:ascii="Cambria Math" w:hAnsi="Cambria Math" w:cs="Times New Roman"/>
                                      <w:sz w:val="24"/>
                                      <w:szCs w:val="24"/>
                                    </w:rPr>
                                    <m:t>i</m:t>
                                  </m:r>
                                </m:sub>
                              </m:sSub>
                            </m:e>
                          </m:nary>
                        </m:den>
                      </m:f>
                    </m:e>
                  </m:nary>
                </m:e>
              </m:d>
            </m:num>
            <m:den>
              <m:r>
                <w:rPr>
                  <w:rFonts w:ascii="Cambria Math" w:hAnsi="Cambria Math" w:cs="Times New Roman"/>
                  <w:sz w:val="24"/>
                  <w:szCs w:val="24"/>
                  <w:lang w:val="en-US"/>
                </w:rPr>
                <m:t>s</m:t>
              </m:r>
            </m:den>
          </m:f>
        </m:oMath>
      </m:oMathPara>
    </w:p>
    <w:p w14:paraId="2EBE80DB" w14:textId="609CD0E7" w:rsidR="005C7591" w:rsidRPr="00456628" w:rsidRDefault="005C7591" w:rsidP="009C6283">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Formula 3: </w:t>
      </w:r>
    </w:p>
    <w:p w14:paraId="5D62154B" w14:textId="6670EDA6" w:rsidR="005C7591" w:rsidRPr="00456628" w:rsidRDefault="005C7591" w:rsidP="009C6283">
      <w:pPr>
        <w:rPr>
          <w:rFonts w:ascii="Times New Roman" w:hAnsi="Times New Roman" w:cs="Times New Roman"/>
          <w:sz w:val="24"/>
          <w:szCs w:val="24"/>
          <w:lang w:val="en-US"/>
        </w:rPr>
      </w:pPr>
      <m:oMathPara>
        <m:oMath>
          <m:r>
            <w:rPr>
              <w:rFonts w:ascii="Cambria Math" w:hAnsi="Cambria Math" w:cs="Times New Roman"/>
              <w:sz w:val="24"/>
              <w:szCs w:val="24"/>
              <w:lang w:val="en-US"/>
            </w:rPr>
            <m:t>Opinion congruence variability =</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Opinion congruence sample 1-Opinion congruence sample 2</m:t>
              </m:r>
            </m:e>
          </m:d>
        </m:oMath>
      </m:oMathPara>
    </w:p>
    <w:p w14:paraId="5F8DF420" w14:textId="224E3778" w:rsidR="005941EB" w:rsidRPr="00456628" w:rsidRDefault="00D326AF" w:rsidP="00730C8C">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These simulations give us a rich dataset in which we have, for every respondent, </w:t>
      </w:r>
      <w:r w:rsidR="00F168F9" w:rsidRPr="00456628">
        <w:rPr>
          <w:rFonts w:ascii="Times New Roman" w:hAnsi="Times New Roman" w:cs="Times New Roman"/>
          <w:sz w:val="24"/>
          <w:szCs w:val="24"/>
          <w:lang w:val="en-US"/>
        </w:rPr>
        <w:t>50</w:t>
      </w:r>
      <w:r w:rsidRPr="00456628">
        <w:rPr>
          <w:rFonts w:ascii="Times New Roman" w:hAnsi="Times New Roman" w:cs="Times New Roman"/>
          <w:sz w:val="24"/>
          <w:szCs w:val="24"/>
          <w:lang w:val="en-US"/>
        </w:rPr>
        <w:t xml:space="preserve"> pairs of statement samples</w:t>
      </w:r>
      <w:r w:rsidR="00730C8C" w:rsidRPr="00456628">
        <w:rPr>
          <w:rFonts w:ascii="Times New Roman" w:hAnsi="Times New Roman" w:cs="Times New Roman"/>
          <w:sz w:val="24"/>
          <w:szCs w:val="24"/>
          <w:lang w:val="en-US"/>
        </w:rPr>
        <w:t xml:space="preserve">, on the basis of which we are able to calculate </w:t>
      </w:r>
      <w:r w:rsidR="001E32B0" w:rsidRPr="00456628">
        <w:rPr>
          <w:rFonts w:ascii="Times New Roman" w:hAnsi="Times New Roman" w:cs="Times New Roman"/>
          <w:sz w:val="24"/>
          <w:szCs w:val="24"/>
          <w:lang w:val="en-US"/>
        </w:rPr>
        <w:t>opinion congruence variability</w:t>
      </w:r>
      <w:r w:rsidR="00730C8C" w:rsidRPr="00456628">
        <w:rPr>
          <w:rFonts w:ascii="Times New Roman" w:hAnsi="Times New Roman" w:cs="Times New Roman"/>
          <w:sz w:val="24"/>
          <w:szCs w:val="24"/>
          <w:lang w:val="en-US"/>
        </w:rPr>
        <w:t xml:space="preserve"> for every of the six parties, for increasing sizes of the statement samples (1 to 66). In this dataset, respondents and parties are cross-nested within each pair of samples and repeated across many samples in a stacked dataset of </w:t>
      </w:r>
      <w:r w:rsidR="00E21D9D" w:rsidRPr="00456628">
        <w:rPr>
          <w:rFonts w:ascii="Times New Roman" w:hAnsi="Times New Roman" w:cs="Times New Roman"/>
          <w:sz w:val="24"/>
          <w:szCs w:val="24"/>
          <w:lang w:val="en-US"/>
        </w:rPr>
        <w:t>roughly</w:t>
      </w:r>
      <w:r w:rsidR="00730C8C" w:rsidRPr="00456628">
        <w:rPr>
          <w:rFonts w:ascii="Times New Roman" w:hAnsi="Times New Roman" w:cs="Times New Roman"/>
          <w:sz w:val="24"/>
          <w:szCs w:val="24"/>
          <w:lang w:val="en-US"/>
        </w:rPr>
        <w:t xml:space="preserve"> 10 million observations (after removing missing values), given that the opinion congruence scores are once unweighted and once weighted with </w:t>
      </w:r>
      <w:r w:rsidR="002874AA" w:rsidRPr="00456628">
        <w:rPr>
          <w:rFonts w:ascii="Times New Roman" w:hAnsi="Times New Roman" w:cs="Times New Roman"/>
          <w:sz w:val="24"/>
          <w:szCs w:val="24"/>
          <w:lang w:val="en-US"/>
        </w:rPr>
        <w:t>their</w:t>
      </w:r>
      <w:r w:rsidR="003B2252" w:rsidRPr="00456628">
        <w:rPr>
          <w:rFonts w:ascii="Times New Roman" w:hAnsi="Times New Roman" w:cs="Times New Roman"/>
          <w:sz w:val="24"/>
          <w:szCs w:val="24"/>
          <w:lang w:val="en-US"/>
        </w:rPr>
        <w:t xml:space="preserve"> </w:t>
      </w:r>
      <w:r w:rsidR="00730C8C" w:rsidRPr="00456628">
        <w:rPr>
          <w:rFonts w:ascii="Times New Roman" w:hAnsi="Times New Roman" w:cs="Times New Roman"/>
          <w:sz w:val="24"/>
          <w:szCs w:val="24"/>
          <w:lang w:val="en-US"/>
        </w:rPr>
        <w:t>salience</w:t>
      </w:r>
      <w:r w:rsidR="002874AA" w:rsidRPr="00456628">
        <w:rPr>
          <w:rFonts w:ascii="Times New Roman" w:hAnsi="Times New Roman" w:cs="Times New Roman"/>
          <w:sz w:val="24"/>
          <w:szCs w:val="24"/>
          <w:lang w:val="en-US"/>
        </w:rPr>
        <w:t xml:space="preserve"> to voters</w:t>
      </w:r>
      <w:r w:rsidR="00730C8C" w:rsidRPr="00456628">
        <w:rPr>
          <w:rFonts w:ascii="Times New Roman" w:hAnsi="Times New Roman" w:cs="Times New Roman"/>
          <w:sz w:val="24"/>
          <w:szCs w:val="24"/>
          <w:lang w:val="en-US"/>
        </w:rPr>
        <w:t>.</w:t>
      </w:r>
      <w:r w:rsidR="00256E32" w:rsidRPr="00456628">
        <w:rPr>
          <w:rFonts w:ascii="Times New Roman" w:hAnsi="Times New Roman" w:cs="Times New Roman"/>
          <w:sz w:val="24"/>
          <w:szCs w:val="24"/>
          <w:lang w:val="en-US"/>
        </w:rPr>
        <w:t xml:space="preserve"> </w:t>
      </w:r>
      <w:r w:rsidR="00A012A1" w:rsidRPr="00456628">
        <w:rPr>
          <w:rFonts w:ascii="Times New Roman" w:hAnsi="Times New Roman" w:cs="Times New Roman"/>
          <w:sz w:val="24"/>
          <w:szCs w:val="24"/>
          <w:lang w:val="en-US"/>
        </w:rPr>
        <w:t>Figure 1 gives an overview of the simulation process</w:t>
      </w:r>
      <w:r w:rsidR="00931941" w:rsidRPr="00456628">
        <w:rPr>
          <w:rFonts w:ascii="Times New Roman" w:hAnsi="Times New Roman" w:cs="Times New Roman"/>
          <w:sz w:val="24"/>
          <w:szCs w:val="24"/>
          <w:lang w:val="en-US"/>
        </w:rPr>
        <w:t>, and an example of the dataset is shown in</w:t>
      </w:r>
      <w:r w:rsidR="00BB24C0" w:rsidRPr="00456628">
        <w:rPr>
          <w:rFonts w:ascii="Times New Roman" w:hAnsi="Times New Roman" w:cs="Times New Roman"/>
          <w:sz w:val="24"/>
          <w:szCs w:val="24"/>
          <w:lang w:val="en-US"/>
        </w:rPr>
        <w:t xml:space="preserve"> Table A4</w:t>
      </w:r>
      <w:r w:rsidR="00931941" w:rsidRPr="00456628">
        <w:rPr>
          <w:rFonts w:ascii="Times New Roman" w:hAnsi="Times New Roman" w:cs="Times New Roman"/>
          <w:sz w:val="24"/>
          <w:szCs w:val="24"/>
          <w:lang w:val="en-US"/>
        </w:rPr>
        <w:t xml:space="preserve"> the Appendix</w:t>
      </w:r>
      <w:r w:rsidR="00A012A1" w:rsidRPr="00456628">
        <w:rPr>
          <w:rFonts w:ascii="Times New Roman" w:hAnsi="Times New Roman" w:cs="Times New Roman"/>
          <w:sz w:val="24"/>
          <w:szCs w:val="24"/>
          <w:lang w:val="en-US"/>
        </w:rPr>
        <w:t xml:space="preserve">. </w:t>
      </w:r>
      <w:r w:rsidR="00256E32" w:rsidRPr="00456628">
        <w:rPr>
          <w:rFonts w:ascii="Times New Roman" w:hAnsi="Times New Roman" w:cs="Times New Roman"/>
          <w:sz w:val="24"/>
          <w:szCs w:val="24"/>
          <w:lang w:val="en-US"/>
        </w:rPr>
        <w:t>Because of the nested nature of the data</w:t>
      </w:r>
      <w:r w:rsidR="005941EB" w:rsidRPr="00456628">
        <w:rPr>
          <w:rFonts w:ascii="Times New Roman" w:hAnsi="Times New Roman" w:cs="Times New Roman"/>
          <w:sz w:val="24"/>
          <w:szCs w:val="24"/>
          <w:lang w:val="en-US"/>
        </w:rPr>
        <w:t xml:space="preserve">, we adopt a multi-level model with a random-intercept at the voter level </w:t>
      </w:r>
      <w:r w:rsidR="005941EB"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{"citationID":"DJtN7JWL","properties":{"formattedCitation":"(Gelman and Hill 2006)","plainCitation":"(Gelman and Hill 2006)","noteIndex":0},"citationItems":[{"id":"zNFxbYtK/bAW15AaU","uris":["http://zotero.org/users/5515793/items/WV4JP7WT"],"uri":["http://zotero.org/users/5515793/items/WV4JP7WT"],"itemData":{"id":179,"type":"book","title":"Data Analysis Using Regression and Multilevel/Hierarchical Models","publisher":"Cambridge University Press","number-of-pages":"651","source":"Google Books","abstract":"Data Analysis Using Regression and Multilevel/Hierarchical Models, first published in 2007, is a comprehensive manual for the applied researcher who wants to perform data analysis using linear and nonlinear regression and multilevel models. The book introduces a wide variety of models, whilst at the same time instructing the reader in how to fit these models using available software packages. The book illustrates the concepts by working through scores of real data examples that have arisen from the authors' own applied research, with programming codes provided for each one. Topics covered include causal inference, including regression, poststratification, matching, regression discontinuity, and instrumental variables, as well as multilevel logistic regression and missing-data imputation. Practical tips regarding building, fitting, and understanding are provided throughout.","ISBN":"978-1-139-46093-4","note":"Google-Books-ID: c9xLKzZWoZ4C","language":"en","author":[{"family":"Gelman","given":"Andrew"},{"family":"Hill","given":"Jennifer"}],"issued":{"date-parts":[["2006",12,18]]}}}],"schema":"https://github.com/citation-style-language/schema/raw/master/csl-citation.json"} </w:instrText>
      </w:r>
      <w:r w:rsidR="005941EB" w:rsidRPr="00456628">
        <w:rPr>
          <w:rFonts w:ascii="Times New Roman" w:hAnsi="Times New Roman" w:cs="Times New Roman"/>
          <w:sz w:val="24"/>
          <w:szCs w:val="24"/>
          <w:lang w:val="en-US"/>
        </w:rPr>
        <w:fldChar w:fldCharType="separate"/>
      </w:r>
      <w:r w:rsidR="005941EB" w:rsidRPr="00456628">
        <w:rPr>
          <w:rFonts w:ascii="Times New Roman" w:hAnsi="Times New Roman" w:cs="Times New Roman"/>
          <w:sz w:val="24"/>
          <w:szCs w:val="24"/>
          <w:lang w:val="en-US"/>
        </w:rPr>
        <w:t>(Gelman and Hill 2006)</w:t>
      </w:r>
      <w:r w:rsidR="005941EB" w:rsidRPr="00456628">
        <w:rPr>
          <w:rFonts w:ascii="Times New Roman" w:hAnsi="Times New Roman" w:cs="Times New Roman"/>
          <w:sz w:val="24"/>
          <w:szCs w:val="24"/>
          <w:lang w:val="en-US"/>
        </w:rPr>
        <w:fldChar w:fldCharType="end"/>
      </w:r>
      <w:r w:rsidR="005941EB" w:rsidRPr="00456628">
        <w:rPr>
          <w:rFonts w:ascii="Times New Roman" w:hAnsi="Times New Roman" w:cs="Times New Roman"/>
          <w:sz w:val="24"/>
          <w:szCs w:val="24"/>
          <w:lang w:val="en-US"/>
        </w:rPr>
        <w:t>.</w:t>
      </w:r>
      <w:r w:rsidR="005C7591" w:rsidRPr="00456628">
        <w:rPr>
          <w:rFonts w:ascii="Times New Roman" w:hAnsi="Times New Roman" w:cs="Times New Roman"/>
          <w:sz w:val="24"/>
          <w:szCs w:val="24"/>
          <w:lang w:val="en-US"/>
        </w:rPr>
        <w:t xml:space="preserve"> With only six political parties, it makes little sense to add an addition</w:t>
      </w:r>
      <w:r w:rsidR="00900DFD" w:rsidRPr="00456628">
        <w:rPr>
          <w:rFonts w:ascii="Times New Roman" w:hAnsi="Times New Roman" w:cs="Times New Roman"/>
          <w:sz w:val="24"/>
          <w:szCs w:val="24"/>
          <w:lang w:val="en-US"/>
        </w:rPr>
        <w:t>al</w:t>
      </w:r>
      <w:r w:rsidR="005C7591" w:rsidRPr="00456628">
        <w:rPr>
          <w:rFonts w:ascii="Times New Roman" w:hAnsi="Times New Roman" w:cs="Times New Roman"/>
          <w:sz w:val="24"/>
          <w:szCs w:val="24"/>
          <w:lang w:val="en-US"/>
        </w:rPr>
        <w:t xml:space="preserve"> random intercept</w:t>
      </w:r>
      <w:r w:rsidR="00D87F94" w:rsidRPr="00456628">
        <w:rPr>
          <w:rFonts w:ascii="Times New Roman" w:hAnsi="Times New Roman" w:cs="Times New Roman"/>
          <w:sz w:val="24"/>
          <w:szCs w:val="24"/>
          <w:lang w:val="en-US"/>
        </w:rPr>
        <w:t xml:space="preserve"> on the party-level</w:t>
      </w:r>
      <w:r w:rsidR="00BC038A" w:rsidRPr="00456628">
        <w:rPr>
          <w:rFonts w:ascii="Times New Roman" w:hAnsi="Times New Roman" w:cs="Times New Roman"/>
          <w:sz w:val="24"/>
          <w:szCs w:val="24"/>
          <w:lang w:val="en-US"/>
        </w:rPr>
        <w:t xml:space="preserve"> </w:t>
      </w:r>
      <w:r w:rsidR="00B51137" w:rsidRPr="00456628">
        <w:rPr>
          <w:rFonts w:ascii="Times New Roman" w:hAnsi="Times New Roman" w:cs="Times New Roman"/>
          <w:sz w:val="24"/>
          <w:szCs w:val="24"/>
          <w:lang w:val="en-US"/>
        </w:rPr>
        <w:lastRenderedPageBreak/>
        <w:t>due to limited variance between parties</w:t>
      </w:r>
      <w:r w:rsidR="005C7591" w:rsidRPr="00456628">
        <w:rPr>
          <w:rFonts w:ascii="Times New Roman" w:hAnsi="Times New Roman" w:cs="Times New Roman"/>
          <w:sz w:val="24"/>
          <w:szCs w:val="24"/>
          <w:lang w:val="en-US"/>
        </w:rPr>
        <w:t>. To control for party differences, all models include party dummies.</w:t>
      </w:r>
    </w:p>
    <w:p w14:paraId="4B3D881C" w14:textId="77777777" w:rsidR="00A012A1" w:rsidRPr="00456628" w:rsidRDefault="00A012A1" w:rsidP="00647047">
      <w:pPr>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Figure 1 here]</w:t>
      </w:r>
    </w:p>
    <w:p w14:paraId="4F87BB8D" w14:textId="1193E4E5" w:rsidR="00ED4619" w:rsidRPr="00456628" w:rsidRDefault="005C7591" w:rsidP="00ED4619">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 first independent variable is the </w:t>
      </w:r>
      <w:r w:rsidRPr="00456628">
        <w:rPr>
          <w:rFonts w:ascii="Times New Roman" w:hAnsi="Times New Roman" w:cs="Times New Roman"/>
          <w:i/>
          <w:sz w:val="24"/>
          <w:szCs w:val="24"/>
          <w:lang w:val="en-US"/>
        </w:rPr>
        <w:t>number of policy statements</w:t>
      </w:r>
      <w:r w:rsidRPr="00456628">
        <w:rPr>
          <w:rFonts w:ascii="Times New Roman" w:hAnsi="Times New Roman" w:cs="Times New Roman"/>
          <w:sz w:val="24"/>
          <w:szCs w:val="24"/>
          <w:lang w:val="en-US"/>
        </w:rPr>
        <w:t xml:space="preserve"> drawn in step one and two of the calculation process</w:t>
      </w:r>
      <w:r w:rsidR="0089549D" w:rsidRPr="00456628">
        <w:rPr>
          <w:rFonts w:ascii="Times New Roman" w:hAnsi="Times New Roman" w:cs="Times New Roman"/>
          <w:sz w:val="24"/>
          <w:szCs w:val="24"/>
          <w:lang w:val="en-US"/>
        </w:rPr>
        <w:t>, which varies between 2 and 66</w:t>
      </w:r>
      <w:r w:rsidRPr="00456628">
        <w:rPr>
          <w:rFonts w:ascii="Times New Roman" w:hAnsi="Times New Roman" w:cs="Times New Roman"/>
          <w:sz w:val="24"/>
          <w:szCs w:val="24"/>
          <w:lang w:val="en-US"/>
        </w:rPr>
        <w:t xml:space="preserve">. The second independent variable is the </w:t>
      </w:r>
      <w:r w:rsidRPr="00456628">
        <w:rPr>
          <w:rFonts w:ascii="Times New Roman" w:hAnsi="Times New Roman" w:cs="Times New Roman"/>
          <w:i/>
          <w:sz w:val="24"/>
          <w:szCs w:val="24"/>
          <w:lang w:val="en-US"/>
        </w:rPr>
        <w:t>topic diversity</w:t>
      </w:r>
      <w:r w:rsidRPr="00456628">
        <w:rPr>
          <w:rFonts w:ascii="Times New Roman" w:hAnsi="Times New Roman" w:cs="Times New Roman"/>
          <w:sz w:val="24"/>
          <w:szCs w:val="24"/>
          <w:lang w:val="en-US"/>
        </w:rPr>
        <w:t xml:space="preserve"> of the statement samples. We measure this diversity through the Herfindahl–Hirschman Index (HHI) </w:t>
      </w:r>
      <w:r w:rsidRPr="00456628">
        <w:rPr>
          <w:rFonts w:ascii="Times New Roman" w:hAnsi="Times New Roman" w:cs="Times New Roman"/>
          <w:sz w:val="24"/>
          <w:szCs w:val="24"/>
          <w:lang w:val="en-US"/>
        </w:rPr>
        <w:fldChar w:fldCharType="begin"/>
      </w:r>
      <w:r w:rsidR="00EE3164" w:rsidRPr="00456628">
        <w:rPr>
          <w:rFonts w:ascii="Times New Roman" w:hAnsi="Times New Roman" w:cs="Times New Roman"/>
          <w:sz w:val="24"/>
          <w:szCs w:val="24"/>
          <w:lang w:val="en-US"/>
        </w:rPr>
        <w:instrText xml:space="preserve"> ADDIN ZOTERO_ITEM CSL_CITATION {"citationID":"4Tp0bAEH","properties":{"formattedCitation":"(Djolov 2013)","plainCitation":"(Djolov 2013)","noteIndex":0},"citationItems":[{"id":365,"uris":["http://zotero.org/users/local/uk8r6OrS/items/33XSWJ4F"],"uri":["http://zotero.org/users/local/uk8r6OrS/items/33XSWJ4F"],"itemData":{"id":365,"type":"article-journal","container-title":"Journal of Economic and Social Measurement","DOI":"10.3233/JEM-130379","ISSN":"18758932, 07479662","issue":"3","page":"201-227","source":"Crossref","title":"The Herfindahl-Hirschman Index as a decision guide to business concentration: A statistical exploration","title-short":"The Herfindahl-Hirschman Index as a decision guide to business concentration","volume":"38","author":[{"family":"Djolov","given":"George"}],"issued":{"date-parts":[["2013",11,12]]}}}],"schema":"https://github.com/citation-style-language/schema/raw/master/csl-citation.json"}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(Djolov 2013)</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This index indicates how equally represented the twelve issue topics are in each</w:t>
      </w:r>
      <w:r w:rsidR="00831FE6" w:rsidRPr="00456628">
        <w:rPr>
          <w:rFonts w:ascii="Times New Roman" w:hAnsi="Times New Roman" w:cs="Times New Roman"/>
          <w:sz w:val="24"/>
          <w:szCs w:val="24"/>
          <w:lang w:val="en-US"/>
        </w:rPr>
        <w:t xml:space="preserve"> of the two</w:t>
      </w:r>
      <w:r w:rsidRPr="00456628">
        <w:rPr>
          <w:rFonts w:ascii="Times New Roman" w:hAnsi="Times New Roman" w:cs="Times New Roman"/>
          <w:sz w:val="24"/>
          <w:szCs w:val="24"/>
          <w:lang w:val="en-US"/>
        </w:rPr>
        <w:t xml:space="preserve"> </w:t>
      </w:r>
      <w:r w:rsidR="000B6601" w:rsidRPr="00456628">
        <w:rPr>
          <w:rFonts w:ascii="Times New Roman" w:hAnsi="Times New Roman" w:cs="Times New Roman"/>
          <w:sz w:val="24"/>
          <w:szCs w:val="24"/>
          <w:lang w:val="en-US"/>
        </w:rPr>
        <w:t xml:space="preserve">policy statement </w:t>
      </w:r>
      <w:r w:rsidRPr="00456628">
        <w:rPr>
          <w:rFonts w:ascii="Times New Roman" w:hAnsi="Times New Roman" w:cs="Times New Roman"/>
          <w:sz w:val="24"/>
          <w:szCs w:val="24"/>
          <w:lang w:val="en-US"/>
        </w:rPr>
        <w:t>sample</w:t>
      </w:r>
      <w:r w:rsidR="00831FE6" w:rsidRPr="00456628">
        <w:rPr>
          <w:rFonts w:ascii="Times New Roman" w:hAnsi="Times New Roman" w:cs="Times New Roman"/>
          <w:sz w:val="24"/>
          <w:szCs w:val="24"/>
          <w:lang w:val="en-US"/>
        </w:rPr>
        <w:t>s</w:t>
      </w:r>
      <w:r w:rsidRPr="00456628">
        <w:rPr>
          <w:rFonts w:ascii="Times New Roman" w:hAnsi="Times New Roman" w:cs="Times New Roman"/>
          <w:sz w:val="24"/>
          <w:szCs w:val="24"/>
          <w:lang w:val="en-US"/>
        </w:rPr>
        <w:t>. We take the reverse of the HHI so that high values indicate high level of to</w:t>
      </w:r>
      <w:r w:rsidR="00831FE6" w:rsidRPr="00456628">
        <w:rPr>
          <w:rFonts w:ascii="Times New Roman" w:hAnsi="Times New Roman" w:cs="Times New Roman"/>
          <w:sz w:val="24"/>
          <w:szCs w:val="24"/>
          <w:lang w:val="en-US"/>
        </w:rPr>
        <w:t xml:space="preserve">pical diversity and vice versa. Topic diversity is operationalized as the smallest HHI of the two policy statement samples. </w:t>
      </w:r>
      <w:r w:rsidR="00C446C4" w:rsidRPr="00456628">
        <w:rPr>
          <w:rFonts w:ascii="Times New Roman" w:hAnsi="Times New Roman" w:cs="Times New Roman"/>
          <w:sz w:val="24"/>
          <w:szCs w:val="24"/>
          <w:lang w:val="en-US"/>
        </w:rPr>
        <w:t xml:space="preserve">Thus, </w:t>
      </w:r>
      <w:r w:rsidR="00ED4619" w:rsidRPr="00456628">
        <w:rPr>
          <w:rFonts w:ascii="Times New Roman" w:hAnsi="Times New Roman" w:cs="Times New Roman"/>
          <w:sz w:val="24"/>
          <w:szCs w:val="24"/>
          <w:lang w:val="en-US"/>
        </w:rPr>
        <w:t xml:space="preserve">topic diversity has high values when both statement samples are </w:t>
      </w:r>
      <w:r w:rsidR="006D6971" w:rsidRPr="00456628">
        <w:rPr>
          <w:rFonts w:ascii="Times New Roman" w:hAnsi="Times New Roman" w:cs="Times New Roman"/>
          <w:sz w:val="24"/>
          <w:szCs w:val="24"/>
          <w:lang w:val="en-US"/>
        </w:rPr>
        <w:t xml:space="preserve">equally </w:t>
      </w:r>
      <w:r w:rsidR="00ED4619" w:rsidRPr="00456628">
        <w:rPr>
          <w:rFonts w:ascii="Times New Roman" w:hAnsi="Times New Roman" w:cs="Times New Roman"/>
          <w:sz w:val="24"/>
          <w:szCs w:val="24"/>
          <w:lang w:val="en-US"/>
        </w:rPr>
        <w:t>spread across many topic issues and low values when both samples</w:t>
      </w:r>
      <w:r w:rsidR="00831FE6" w:rsidRPr="00456628">
        <w:rPr>
          <w:rFonts w:ascii="Times New Roman" w:hAnsi="Times New Roman" w:cs="Times New Roman"/>
          <w:sz w:val="24"/>
          <w:szCs w:val="24"/>
          <w:lang w:val="en-US"/>
        </w:rPr>
        <w:t xml:space="preserve"> or one of the samples</w:t>
      </w:r>
      <w:r w:rsidR="00ED4619" w:rsidRPr="00456628">
        <w:rPr>
          <w:rFonts w:ascii="Times New Roman" w:hAnsi="Times New Roman" w:cs="Times New Roman"/>
          <w:sz w:val="24"/>
          <w:szCs w:val="24"/>
          <w:lang w:val="en-US"/>
        </w:rPr>
        <w:t xml:space="preserve"> </w:t>
      </w:r>
      <w:r w:rsidR="00831FE6" w:rsidRPr="00456628">
        <w:rPr>
          <w:rFonts w:ascii="Times New Roman" w:hAnsi="Times New Roman" w:cs="Times New Roman"/>
          <w:sz w:val="24"/>
          <w:szCs w:val="24"/>
          <w:lang w:val="en-US"/>
        </w:rPr>
        <w:t>is</w:t>
      </w:r>
      <w:r w:rsidR="00ED4619" w:rsidRPr="00456628">
        <w:rPr>
          <w:rFonts w:ascii="Times New Roman" w:hAnsi="Times New Roman" w:cs="Times New Roman"/>
          <w:sz w:val="24"/>
          <w:szCs w:val="24"/>
          <w:lang w:val="en-US"/>
        </w:rPr>
        <w:t xml:space="preserve"> concentrated and touch upon only a few issue topics.</w:t>
      </w:r>
    </w:p>
    <w:p w14:paraId="0ED642D3" w14:textId="24F26D80" w:rsidR="001A7EF4" w:rsidRPr="00456628" w:rsidRDefault="00ED4619" w:rsidP="009C6283">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In addition, it is reasonable to assume that the marginal effect of the number of policy </w:t>
      </w:r>
      <w:r w:rsidR="004E5895" w:rsidRPr="00456628">
        <w:rPr>
          <w:rFonts w:ascii="Times New Roman" w:hAnsi="Times New Roman" w:cs="Times New Roman"/>
          <w:sz w:val="24"/>
          <w:szCs w:val="24"/>
          <w:lang w:val="en-US"/>
        </w:rPr>
        <w:t>statement and</w:t>
      </w:r>
      <w:r w:rsidRPr="00456628">
        <w:rPr>
          <w:rFonts w:ascii="Times New Roman" w:hAnsi="Times New Roman" w:cs="Times New Roman"/>
          <w:sz w:val="24"/>
          <w:szCs w:val="24"/>
          <w:lang w:val="en-US"/>
        </w:rPr>
        <w:t xml:space="preserve"> the topic diversity decreases as the overall number and diversity grows larger, in what </w:t>
      </w:r>
      <w:r w:rsidRPr="00456628">
        <w:rPr>
          <w:rFonts w:ascii="Times New Roman" w:hAnsi="Times New Roman" w:cs="Times New Roman"/>
          <w:sz w:val="24"/>
          <w:szCs w:val="24"/>
          <w:lang w:val="en-AU"/>
        </w:rPr>
        <w:t xml:space="preserve">economists have labelled as the </w:t>
      </w:r>
      <w:r w:rsidR="00D07B67" w:rsidRPr="00456628">
        <w:rPr>
          <w:rFonts w:ascii="Times New Roman" w:hAnsi="Times New Roman" w:cs="Times New Roman"/>
          <w:sz w:val="24"/>
          <w:szCs w:val="24"/>
          <w:lang w:val="en-AU"/>
        </w:rPr>
        <w:t>l</w:t>
      </w:r>
      <w:r w:rsidRPr="00456628">
        <w:rPr>
          <w:rFonts w:ascii="Times New Roman" w:hAnsi="Times New Roman" w:cs="Times New Roman"/>
          <w:sz w:val="24"/>
          <w:szCs w:val="24"/>
          <w:lang w:val="en-AU"/>
        </w:rPr>
        <w:t xml:space="preserve">aw of diminishing returns </w:t>
      </w:r>
      <w:r w:rsidRPr="00456628">
        <w:rPr>
          <w:rFonts w:ascii="Times New Roman" w:hAnsi="Times New Roman" w:cs="Times New Roman"/>
          <w:sz w:val="24"/>
          <w:szCs w:val="24"/>
          <w:lang w:val="en-AU"/>
        </w:rPr>
        <w:fldChar w:fldCharType="begin"/>
      </w:r>
      <w:r w:rsidR="00DA4357" w:rsidRPr="00456628">
        <w:rPr>
          <w:rFonts w:ascii="Times New Roman" w:hAnsi="Times New Roman" w:cs="Times New Roman"/>
          <w:sz w:val="24"/>
          <w:szCs w:val="24"/>
          <w:lang w:val="en-AU"/>
        </w:rPr>
        <w:instrText xml:space="preserve"> ADDIN ZOTERO_ITEM CSL_CITATION {"citationID":"223kdvtP","properties":{"formattedCitation":"(Radelet, Clemens, and Bhavnani 2005)","plainCitation":"(Radelet, Clemens, and Bhavnani 2005)","noteIndex":0},"citationItems":[{"id":"zNFxbYtK/5ktcA9vf","uris":["http://zotero.org/users/local/uk8r6OrS/items/899XTTZA"],"uri":["http://zotero.org/users/local/uk8r6OrS/items/899XTTZA"],"itemData":{"id":422,"type":"article-journal","title":"Aid and Growth","container-title":"Finance and Development","page":"1-8","volume":"42","issue":"3","author":[{"family":"Radelet","given":"Steven"},{"family":"Clemens","given":"Michael"},{"family":"Bhavnani","given":"Rikhil"}],"issued":{"date-parts":[["2005"]]}}}],"schema":"https://github.com/citation-style-language/schema/raw/master/csl-citation.json"} </w:instrText>
      </w:r>
      <w:r w:rsidRPr="00456628">
        <w:rPr>
          <w:rFonts w:ascii="Times New Roman" w:hAnsi="Times New Roman" w:cs="Times New Roman"/>
          <w:sz w:val="24"/>
          <w:szCs w:val="24"/>
          <w:lang w:val="en-AU"/>
        </w:rPr>
        <w:fldChar w:fldCharType="separate"/>
      </w:r>
      <w:r w:rsidRPr="00456628">
        <w:rPr>
          <w:rFonts w:ascii="Times New Roman" w:hAnsi="Times New Roman" w:cs="Times New Roman"/>
          <w:sz w:val="24"/>
          <w:szCs w:val="24"/>
          <w:lang w:val="en-US"/>
        </w:rPr>
        <w:t>(Radelet, Clemens, and Bhavnani 2005)</w:t>
      </w:r>
      <w:r w:rsidRPr="00456628">
        <w:rPr>
          <w:rFonts w:ascii="Times New Roman" w:hAnsi="Times New Roman" w:cs="Times New Roman"/>
          <w:sz w:val="24"/>
          <w:szCs w:val="24"/>
          <w:lang w:val="en-AU"/>
        </w:rPr>
        <w:fldChar w:fldCharType="end"/>
      </w:r>
      <w:r w:rsidRPr="00456628">
        <w:rPr>
          <w:rFonts w:ascii="Times New Roman" w:hAnsi="Times New Roman" w:cs="Times New Roman"/>
          <w:sz w:val="24"/>
          <w:szCs w:val="24"/>
          <w:lang w:val="en-AU"/>
        </w:rPr>
        <w:t xml:space="preserve">. Therefore, we </w:t>
      </w:r>
      <w:r w:rsidR="00D46F79" w:rsidRPr="00456628">
        <w:rPr>
          <w:rFonts w:ascii="Times New Roman" w:hAnsi="Times New Roman" w:cs="Times New Roman"/>
          <w:sz w:val="24"/>
          <w:szCs w:val="24"/>
          <w:lang w:val="en-AU"/>
        </w:rPr>
        <w:t xml:space="preserve">take the </w:t>
      </w:r>
      <w:r w:rsidR="00446B8D" w:rsidRPr="00456628">
        <w:rPr>
          <w:rFonts w:ascii="Times New Roman" w:hAnsi="Times New Roman" w:cs="Times New Roman"/>
          <w:sz w:val="24"/>
          <w:szCs w:val="24"/>
          <w:lang w:val="en-AU"/>
        </w:rPr>
        <w:t>cube root</w:t>
      </w:r>
      <w:r w:rsidR="00D46F79" w:rsidRPr="00456628">
        <w:rPr>
          <w:rFonts w:ascii="Times New Roman" w:hAnsi="Times New Roman" w:cs="Times New Roman"/>
          <w:sz w:val="24"/>
          <w:szCs w:val="24"/>
          <w:lang w:val="en-AU"/>
        </w:rPr>
        <w:t xml:space="preserve"> of the </w:t>
      </w:r>
      <w:r w:rsidR="00D46F79" w:rsidRPr="00456628">
        <w:rPr>
          <w:rFonts w:ascii="Times New Roman" w:hAnsi="Times New Roman" w:cs="Times New Roman"/>
          <w:sz w:val="24"/>
          <w:szCs w:val="24"/>
          <w:lang w:val="en-US"/>
        </w:rPr>
        <w:t>number of policy statements and topic diversity</w:t>
      </w:r>
      <w:r w:rsidR="001A7EF4" w:rsidRPr="00456628">
        <w:rPr>
          <w:rFonts w:ascii="Times New Roman" w:hAnsi="Times New Roman" w:cs="Times New Roman"/>
          <w:sz w:val="24"/>
          <w:szCs w:val="24"/>
          <w:lang w:val="en-US"/>
        </w:rPr>
        <w:t>. Additional analyses (reported in Table A</w:t>
      </w:r>
      <w:r w:rsidR="00BB24C0" w:rsidRPr="00456628">
        <w:rPr>
          <w:rFonts w:ascii="Times New Roman" w:hAnsi="Times New Roman" w:cs="Times New Roman"/>
          <w:sz w:val="24"/>
          <w:szCs w:val="24"/>
          <w:lang w:val="en-US"/>
        </w:rPr>
        <w:t>5</w:t>
      </w:r>
      <w:r w:rsidR="001A7EF4" w:rsidRPr="00456628">
        <w:rPr>
          <w:rFonts w:ascii="Times New Roman" w:hAnsi="Times New Roman" w:cs="Times New Roman"/>
          <w:sz w:val="24"/>
          <w:szCs w:val="24"/>
          <w:lang w:val="en-US"/>
        </w:rPr>
        <w:t xml:space="preserve"> in the Appendix), indicate that the cube-root transformation of the first two independent variables indeed provided a better fit with the data. We take the cube root instead of the natural log due to the inability of the latter transformation to handle zeros. In addition, we explored whether the relation for the other variables were also non-linear, but this was not the case.</w:t>
      </w:r>
    </w:p>
    <w:p w14:paraId="2D513BC6" w14:textId="6377706A" w:rsidR="00E21D9D" w:rsidRPr="00456628" w:rsidRDefault="002874AA" w:rsidP="009C6283">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 third independent variable, </w:t>
      </w:r>
      <w:r w:rsidRPr="00456628">
        <w:rPr>
          <w:rFonts w:ascii="Times New Roman" w:hAnsi="Times New Roman" w:cs="Times New Roman"/>
          <w:i/>
          <w:sz w:val="24"/>
          <w:szCs w:val="24"/>
          <w:lang w:val="en-US"/>
        </w:rPr>
        <w:t>weighted</w:t>
      </w:r>
      <w:r w:rsidRPr="00456628">
        <w:rPr>
          <w:rFonts w:ascii="Times New Roman" w:hAnsi="Times New Roman" w:cs="Times New Roman"/>
          <w:sz w:val="24"/>
          <w:szCs w:val="24"/>
          <w:lang w:val="en-US"/>
        </w:rPr>
        <w:t>,</w:t>
      </w:r>
      <w:r w:rsidR="00446B8D" w:rsidRPr="00456628">
        <w:rPr>
          <w:rFonts w:ascii="Times New Roman" w:hAnsi="Times New Roman" w:cs="Times New Roman"/>
          <w:sz w:val="24"/>
          <w:szCs w:val="24"/>
          <w:lang w:val="en-US"/>
        </w:rPr>
        <w:t xml:space="preserve"> is a dummy variable that indicates whether the </w:t>
      </w:r>
      <w:r w:rsidR="001E32B0" w:rsidRPr="00456628">
        <w:rPr>
          <w:rFonts w:ascii="Times New Roman" w:hAnsi="Times New Roman" w:cs="Times New Roman"/>
          <w:sz w:val="24"/>
          <w:szCs w:val="24"/>
          <w:lang w:val="en-US"/>
        </w:rPr>
        <w:t>O</w:t>
      </w:r>
      <w:r w:rsidR="004F6835" w:rsidRPr="00456628">
        <w:rPr>
          <w:rFonts w:ascii="Times New Roman" w:hAnsi="Times New Roman" w:cs="Times New Roman"/>
          <w:sz w:val="24"/>
          <w:szCs w:val="24"/>
          <w:lang w:val="en-US"/>
        </w:rPr>
        <w:t>RC</w:t>
      </w:r>
      <w:r w:rsidR="00C81A30" w:rsidRPr="00456628">
        <w:rPr>
          <w:rFonts w:ascii="Times New Roman" w:hAnsi="Times New Roman" w:cs="Times New Roman"/>
          <w:sz w:val="24"/>
          <w:szCs w:val="24"/>
          <w:lang w:val="en-US"/>
        </w:rPr>
        <w:t xml:space="preserve"> </w:t>
      </w:r>
      <w:r w:rsidR="00446B8D" w:rsidRPr="00456628">
        <w:rPr>
          <w:rFonts w:ascii="Times New Roman" w:hAnsi="Times New Roman" w:cs="Times New Roman"/>
          <w:sz w:val="24"/>
          <w:szCs w:val="24"/>
          <w:lang w:val="en-US"/>
        </w:rPr>
        <w:t>is derived from opinion congruence scores weighted by voters</w:t>
      </w:r>
      <w:r w:rsidR="00DD240E" w:rsidRPr="00456628">
        <w:rPr>
          <w:rFonts w:ascii="Times New Roman" w:hAnsi="Times New Roman" w:cs="Times New Roman"/>
          <w:sz w:val="24"/>
          <w:szCs w:val="24"/>
          <w:lang w:val="en-US"/>
        </w:rPr>
        <w:t>’</w:t>
      </w:r>
      <w:r w:rsidR="00446B8D" w:rsidRPr="00456628">
        <w:rPr>
          <w:rFonts w:ascii="Times New Roman" w:hAnsi="Times New Roman" w:cs="Times New Roman"/>
          <w:sz w:val="24"/>
          <w:szCs w:val="24"/>
          <w:lang w:val="en-US"/>
        </w:rPr>
        <w:t xml:space="preserve"> personal salience (1) or not (0). </w:t>
      </w:r>
      <w:r w:rsidR="00637A4D" w:rsidRPr="00456628">
        <w:rPr>
          <w:rFonts w:ascii="Times New Roman" w:hAnsi="Times New Roman" w:cs="Times New Roman"/>
          <w:sz w:val="24"/>
          <w:szCs w:val="24"/>
          <w:lang w:val="en-US"/>
        </w:rPr>
        <w:t>The fourth</w:t>
      </w:r>
      <w:r w:rsidR="00D46F79" w:rsidRPr="00456628">
        <w:rPr>
          <w:rFonts w:ascii="Times New Roman" w:hAnsi="Times New Roman" w:cs="Times New Roman"/>
          <w:sz w:val="24"/>
          <w:szCs w:val="24"/>
          <w:lang w:val="en-US"/>
        </w:rPr>
        <w:t xml:space="preserve"> independent variable </w:t>
      </w:r>
      <w:r w:rsidR="00686D27" w:rsidRPr="00456628">
        <w:rPr>
          <w:rFonts w:ascii="Times New Roman" w:hAnsi="Times New Roman" w:cs="Times New Roman"/>
          <w:sz w:val="24"/>
          <w:szCs w:val="24"/>
          <w:lang w:val="en-US"/>
        </w:rPr>
        <w:t>indicates</w:t>
      </w:r>
      <w:r w:rsidR="00D46F79" w:rsidRPr="00456628">
        <w:rPr>
          <w:rFonts w:ascii="Times New Roman" w:hAnsi="Times New Roman" w:cs="Times New Roman"/>
          <w:sz w:val="24"/>
          <w:szCs w:val="24"/>
          <w:lang w:val="en-US"/>
        </w:rPr>
        <w:t xml:space="preserve"> voters’ </w:t>
      </w:r>
      <w:r w:rsidR="00D46F79" w:rsidRPr="00456628">
        <w:rPr>
          <w:rFonts w:ascii="Times New Roman" w:hAnsi="Times New Roman" w:cs="Times New Roman"/>
          <w:i/>
          <w:iCs/>
          <w:sz w:val="24"/>
          <w:szCs w:val="24"/>
          <w:lang w:val="en-US"/>
        </w:rPr>
        <w:t>political interest</w:t>
      </w:r>
      <w:r w:rsidR="00686D27" w:rsidRPr="00456628">
        <w:rPr>
          <w:rFonts w:ascii="Times New Roman" w:hAnsi="Times New Roman" w:cs="Times New Roman"/>
          <w:sz w:val="24"/>
          <w:szCs w:val="24"/>
          <w:lang w:val="en-US"/>
        </w:rPr>
        <w:t xml:space="preserve"> and is</w:t>
      </w:r>
      <w:r w:rsidR="00D46F79" w:rsidRPr="00456628">
        <w:rPr>
          <w:rFonts w:ascii="Times New Roman" w:hAnsi="Times New Roman" w:cs="Times New Roman"/>
          <w:sz w:val="24"/>
          <w:szCs w:val="24"/>
          <w:lang w:val="en-US"/>
        </w:rPr>
        <w:t xml:space="preserve"> based on a self-reported response on a</w:t>
      </w:r>
      <w:r w:rsidR="0094025C" w:rsidRPr="00456628">
        <w:rPr>
          <w:rFonts w:ascii="Times New Roman" w:hAnsi="Times New Roman" w:cs="Times New Roman"/>
          <w:sz w:val="24"/>
          <w:szCs w:val="24"/>
          <w:lang w:val="en-US"/>
        </w:rPr>
        <w:t>n</w:t>
      </w:r>
      <w:r w:rsidR="00D46F79" w:rsidRPr="00456628">
        <w:rPr>
          <w:rFonts w:ascii="Times New Roman" w:hAnsi="Times New Roman" w:cs="Times New Roman"/>
          <w:sz w:val="24"/>
          <w:szCs w:val="24"/>
          <w:lang w:val="en-US"/>
        </w:rPr>
        <w:t xml:space="preserve"> 11-point scale. </w:t>
      </w:r>
      <w:r w:rsidR="00B704D7" w:rsidRPr="00456628">
        <w:rPr>
          <w:rFonts w:ascii="Times New Roman" w:hAnsi="Times New Roman" w:cs="Times New Roman"/>
          <w:sz w:val="24"/>
          <w:szCs w:val="24"/>
          <w:lang w:val="en-US"/>
        </w:rPr>
        <w:t xml:space="preserve">The </w:t>
      </w:r>
      <w:r w:rsidR="00637A4D" w:rsidRPr="00456628">
        <w:rPr>
          <w:rFonts w:ascii="Times New Roman" w:hAnsi="Times New Roman" w:cs="Times New Roman"/>
          <w:sz w:val="24"/>
          <w:szCs w:val="24"/>
          <w:lang w:val="en-US"/>
        </w:rPr>
        <w:t>fifth</w:t>
      </w:r>
      <w:r w:rsidR="00B704D7" w:rsidRPr="00456628">
        <w:rPr>
          <w:rFonts w:ascii="Times New Roman" w:hAnsi="Times New Roman" w:cs="Times New Roman"/>
          <w:sz w:val="24"/>
          <w:szCs w:val="24"/>
          <w:lang w:val="en-US"/>
        </w:rPr>
        <w:t xml:space="preserve"> and final independent variable</w:t>
      </w:r>
      <w:r w:rsidRPr="00456628">
        <w:rPr>
          <w:rFonts w:ascii="Times New Roman" w:hAnsi="Times New Roman" w:cs="Times New Roman"/>
          <w:sz w:val="24"/>
          <w:szCs w:val="24"/>
          <w:lang w:val="en-US"/>
        </w:rPr>
        <w:t xml:space="preserve">, </w:t>
      </w:r>
      <w:r w:rsidRPr="00456628">
        <w:rPr>
          <w:rFonts w:ascii="Times New Roman" w:hAnsi="Times New Roman" w:cs="Times New Roman"/>
          <w:i/>
          <w:sz w:val="24"/>
          <w:szCs w:val="24"/>
          <w:lang w:val="en-US"/>
        </w:rPr>
        <w:t>left-right statements</w:t>
      </w:r>
      <w:r w:rsidRPr="00456628">
        <w:rPr>
          <w:rFonts w:ascii="Times New Roman" w:hAnsi="Times New Roman" w:cs="Times New Roman"/>
          <w:sz w:val="24"/>
          <w:szCs w:val="24"/>
          <w:lang w:val="en-US"/>
        </w:rPr>
        <w:t>,</w:t>
      </w:r>
      <w:r w:rsidR="00B704D7" w:rsidRPr="00456628">
        <w:rPr>
          <w:rFonts w:ascii="Times New Roman" w:hAnsi="Times New Roman" w:cs="Times New Roman"/>
          <w:sz w:val="24"/>
          <w:szCs w:val="24"/>
          <w:lang w:val="en-US"/>
        </w:rPr>
        <w:t xml:space="preserve"> measures the </w:t>
      </w:r>
      <w:r w:rsidR="0025509A" w:rsidRPr="00456628">
        <w:rPr>
          <w:rFonts w:ascii="Times New Roman" w:hAnsi="Times New Roman" w:cs="Times New Roman"/>
          <w:sz w:val="24"/>
          <w:szCs w:val="24"/>
          <w:lang w:val="en-US"/>
        </w:rPr>
        <w:t>extent to which two samples of policy statements contained statements that relate the left-right dimension. This dimension consists of a socio-economic</w:t>
      </w:r>
      <w:r w:rsidR="00E616D8" w:rsidRPr="00456628">
        <w:rPr>
          <w:rFonts w:ascii="Times New Roman" w:hAnsi="Times New Roman" w:cs="Times New Roman"/>
          <w:sz w:val="24"/>
          <w:szCs w:val="24"/>
          <w:lang w:val="en-US"/>
        </w:rPr>
        <w:t xml:space="preserve"> and cultural dimension </w:t>
      </w:r>
      <w:r w:rsidR="00E616D8"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{"citationID":"LqvIzZpJ","properties":{"formattedCitation":"(Hooghe, Marks, and Wilson 2002; Inglehart 1990)","plainCitation":"(Hooghe, Marks, and Wilson 2002; Inglehart 1990)","noteIndex":0},"citationItems":[{"id":"zNFxbYtK/7ad1TXsn","uris":["http://zotero.org/users/local/nnA3Jm4s/items/A2DBKNCH"],"uri":["http://zotero.org/users/local/nnA3Jm4s/items/A2DBKNCH"],"itemData":{"id":34,"type":"article-journal","container-title":"Comparative Political Studies","DOI":"10.1177/001041402236310","ISSN":"0010-4140, 1552-3829","issue":"8","journalAbbreviation":"Comparative Political Studies","language":"en","page":"965-989","source":"DOI.org (Crossref)","title":"Does Left/Right Structure Party Positions on European Integration?","volume":"35","author":[{"family":"Hooghe","given":"Liesbet"},{"family":"Marks","given":"Gary"},{"family":"Wilson","given":"Carole J."}],"issued":{"date-parts":[["2002",10]]}}},{"id":"zNFxbYtK/yixV2DZ6","uris":["http://zotero.org/users/local/nnA3Jm4s/items/CA3WYX2G"],"uri":["http://zotero.org/users/local/nnA3Jm4s/items/CA3WYX2G"],"itemData":{"id":32,"type":"book","call-number":"HM73 .I54 1990","event-place":"Princeton, N.J","ISBN":"978-0-691-07786-4","number-of-pages":"484","publisher":"Princeton University Press","publisher-place":"Princeton, N.J","source":"Library of Congress ISBN","title":"Culture shift in advanced industrial society","author":[{"family":"Inglehart","given":"Ronald"}],"issued":{"date-parts":[["1990"]]}}}],"schema":"https://github.com/citation-style-language/schema/raw/master/csl-citation.json"} </w:instrText>
      </w:r>
      <w:r w:rsidR="00E616D8" w:rsidRPr="00456628">
        <w:rPr>
          <w:rFonts w:ascii="Times New Roman" w:hAnsi="Times New Roman" w:cs="Times New Roman"/>
          <w:sz w:val="24"/>
          <w:szCs w:val="24"/>
          <w:lang w:val="en-US"/>
        </w:rPr>
        <w:fldChar w:fldCharType="separate"/>
      </w:r>
      <w:r w:rsidR="00581A5F" w:rsidRPr="00456628">
        <w:rPr>
          <w:rFonts w:ascii="Times New Roman" w:hAnsi="Times New Roman" w:cs="Times New Roman"/>
          <w:sz w:val="24"/>
          <w:szCs w:val="24"/>
          <w:lang w:val="en-US"/>
        </w:rPr>
        <w:t>(Hooghe, Marks, and Wilson 2002; Inglehart 1990)</w:t>
      </w:r>
      <w:r w:rsidR="00E616D8" w:rsidRPr="00456628">
        <w:rPr>
          <w:rFonts w:ascii="Times New Roman" w:hAnsi="Times New Roman" w:cs="Times New Roman"/>
          <w:sz w:val="24"/>
          <w:szCs w:val="24"/>
          <w:lang w:val="en-US"/>
        </w:rPr>
        <w:fldChar w:fldCharType="end"/>
      </w:r>
      <w:r w:rsidR="00E616D8" w:rsidRPr="00456628">
        <w:rPr>
          <w:rFonts w:ascii="Times New Roman" w:hAnsi="Times New Roman" w:cs="Times New Roman"/>
          <w:sz w:val="24"/>
          <w:szCs w:val="24"/>
          <w:lang w:val="en-US"/>
        </w:rPr>
        <w:t>. For our purposes, to which di</w:t>
      </w:r>
      <w:r w:rsidR="00686D27" w:rsidRPr="00456628">
        <w:rPr>
          <w:rFonts w:ascii="Times New Roman" w:hAnsi="Times New Roman" w:cs="Times New Roman"/>
          <w:sz w:val="24"/>
          <w:szCs w:val="24"/>
          <w:lang w:val="en-US"/>
        </w:rPr>
        <w:t>mension a policy statement</w:t>
      </w:r>
      <w:r w:rsidR="00E616D8" w:rsidRPr="00456628">
        <w:rPr>
          <w:rFonts w:ascii="Times New Roman" w:hAnsi="Times New Roman" w:cs="Times New Roman"/>
          <w:sz w:val="24"/>
          <w:szCs w:val="24"/>
          <w:lang w:val="en-US"/>
        </w:rPr>
        <w:t xml:space="preserve"> belongs is of les</w:t>
      </w:r>
      <w:r w:rsidR="00686D27" w:rsidRPr="00456628">
        <w:rPr>
          <w:rFonts w:ascii="Times New Roman" w:hAnsi="Times New Roman" w:cs="Times New Roman"/>
          <w:sz w:val="24"/>
          <w:szCs w:val="24"/>
          <w:lang w:val="en-US"/>
        </w:rPr>
        <w:t>s</w:t>
      </w:r>
      <w:r w:rsidR="00E616D8" w:rsidRPr="00456628">
        <w:rPr>
          <w:rFonts w:ascii="Times New Roman" w:hAnsi="Times New Roman" w:cs="Times New Roman"/>
          <w:sz w:val="24"/>
          <w:szCs w:val="24"/>
          <w:lang w:val="en-US"/>
        </w:rPr>
        <w:t xml:space="preserve"> importance. As long as it belongs to one, voters are given a cue that </w:t>
      </w:r>
      <w:r w:rsidR="00E616D8" w:rsidRPr="00456628">
        <w:rPr>
          <w:rFonts w:ascii="Times New Roman" w:hAnsi="Times New Roman" w:cs="Times New Roman"/>
          <w:sz w:val="24"/>
          <w:szCs w:val="24"/>
          <w:lang w:val="en-US"/>
        </w:rPr>
        <w:lastRenderedPageBreak/>
        <w:t>anchors their position</w:t>
      </w:r>
      <w:r w:rsidR="00D158D0" w:rsidRPr="00456628">
        <w:rPr>
          <w:rFonts w:ascii="Times New Roman" w:hAnsi="Times New Roman" w:cs="Times New Roman"/>
          <w:sz w:val="24"/>
          <w:szCs w:val="24"/>
          <w:lang w:val="en-US"/>
        </w:rPr>
        <w:t xml:space="preserve">. </w:t>
      </w:r>
      <w:r w:rsidR="00462881" w:rsidRPr="00456628">
        <w:rPr>
          <w:rFonts w:ascii="Times New Roman" w:hAnsi="Times New Roman" w:cs="Times New Roman"/>
          <w:sz w:val="24"/>
          <w:szCs w:val="24"/>
          <w:lang w:val="en-US"/>
        </w:rPr>
        <w:t>N</w:t>
      </w:r>
      <w:r w:rsidR="00E616D8" w:rsidRPr="00456628">
        <w:rPr>
          <w:rFonts w:ascii="Times New Roman" w:hAnsi="Times New Roman" w:cs="Times New Roman"/>
          <w:sz w:val="24"/>
          <w:szCs w:val="24"/>
          <w:lang w:val="en-US"/>
        </w:rPr>
        <w:t>o dimension could be assigned</w:t>
      </w:r>
      <w:r w:rsidR="00462881" w:rsidRPr="00456628">
        <w:rPr>
          <w:rFonts w:ascii="Times New Roman" w:hAnsi="Times New Roman" w:cs="Times New Roman"/>
          <w:sz w:val="24"/>
          <w:szCs w:val="24"/>
          <w:lang w:val="en-US"/>
        </w:rPr>
        <w:t xml:space="preserve"> in more than 20 percent of the cases</w:t>
      </w:r>
      <w:r w:rsidR="00DB32B8" w:rsidRPr="00456628">
        <w:rPr>
          <w:rStyle w:val="FootnoteReference"/>
          <w:rFonts w:ascii="Times New Roman" w:hAnsi="Times New Roman" w:cs="Times New Roman"/>
          <w:sz w:val="24"/>
          <w:szCs w:val="24"/>
        </w:rPr>
        <w:footnoteReference w:id="7"/>
      </w:r>
      <w:r w:rsidR="00E616D8" w:rsidRPr="00456628">
        <w:rPr>
          <w:rFonts w:ascii="Times New Roman" w:hAnsi="Times New Roman" w:cs="Times New Roman"/>
          <w:sz w:val="24"/>
          <w:szCs w:val="24"/>
          <w:lang w:val="en-US"/>
        </w:rPr>
        <w:t xml:space="preserve">. </w:t>
      </w:r>
      <w:r w:rsidR="00DB32B8" w:rsidRPr="00456628">
        <w:rPr>
          <w:rFonts w:ascii="Times New Roman" w:hAnsi="Times New Roman" w:cs="Times New Roman"/>
          <w:sz w:val="24"/>
          <w:szCs w:val="24"/>
          <w:lang w:val="en-US"/>
        </w:rPr>
        <w:t xml:space="preserve">Therefore, for both samples of policy statements, we calculated the percentage of left-right statements. The percentage in </w:t>
      </w:r>
      <w:r w:rsidR="00A97180" w:rsidRPr="00456628">
        <w:rPr>
          <w:rFonts w:ascii="Times New Roman" w:hAnsi="Times New Roman" w:cs="Times New Roman"/>
          <w:sz w:val="24"/>
          <w:szCs w:val="24"/>
          <w:lang w:val="en-US"/>
        </w:rPr>
        <w:t>the first</w:t>
      </w:r>
      <w:r w:rsidR="00DB32B8" w:rsidRPr="00456628">
        <w:rPr>
          <w:rFonts w:ascii="Times New Roman" w:hAnsi="Times New Roman" w:cs="Times New Roman"/>
          <w:sz w:val="24"/>
          <w:szCs w:val="24"/>
          <w:lang w:val="en-US"/>
        </w:rPr>
        <w:t xml:space="preserve"> sample was then multiplied with the percentage in the second sample, resulting </w:t>
      </w:r>
      <w:r w:rsidR="00581A5F" w:rsidRPr="00456628">
        <w:rPr>
          <w:rFonts w:ascii="Times New Roman" w:hAnsi="Times New Roman" w:cs="Times New Roman"/>
          <w:sz w:val="24"/>
          <w:szCs w:val="24"/>
          <w:lang w:val="en-US"/>
        </w:rPr>
        <w:t>i</w:t>
      </w:r>
      <w:r w:rsidR="00DB32B8" w:rsidRPr="00456628">
        <w:rPr>
          <w:rFonts w:ascii="Times New Roman" w:hAnsi="Times New Roman" w:cs="Times New Roman"/>
          <w:sz w:val="24"/>
          <w:szCs w:val="24"/>
          <w:lang w:val="en-US"/>
        </w:rPr>
        <w:t>n the variable Left-right statements, which has high values when both statement samples contain many left-right statements and low values when both samples have few left-right statements.</w:t>
      </w:r>
      <w:r w:rsidR="00686D27" w:rsidRPr="00456628">
        <w:rPr>
          <w:rFonts w:ascii="Times New Roman" w:hAnsi="Times New Roman" w:cs="Times New Roman"/>
          <w:sz w:val="24"/>
          <w:szCs w:val="24"/>
          <w:lang w:val="en-US"/>
        </w:rPr>
        <w:t xml:space="preserve"> </w:t>
      </w:r>
      <w:r w:rsidR="00D46F79" w:rsidRPr="00456628">
        <w:rPr>
          <w:rFonts w:ascii="Times New Roman" w:hAnsi="Times New Roman" w:cs="Times New Roman"/>
          <w:sz w:val="24"/>
          <w:szCs w:val="24"/>
          <w:lang w:val="en-US"/>
        </w:rPr>
        <w:t xml:space="preserve">In our analyses, we </w:t>
      </w:r>
      <w:r w:rsidR="00686D27" w:rsidRPr="00456628">
        <w:rPr>
          <w:rFonts w:ascii="Times New Roman" w:hAnsi="Times New Roman" w:cs="Times New Roman"/>
          <w:sz w:val="24"/>
          <w:szCs w:val="24"/>
          <w:lang w:val="en-US"/>
        </w:rPr>
        <w:t xml:space="preserve">also </w:t>
      </w:r>
      <w:r w:rsidR="00D46F79" w:rsidRPr="00456628">
        <w:rPr>
          <w:rFonts w:ascii="Times New Roman" w:hAnsi="Times New Roman" w:cs="Times New Roman"/>
          <w:sz w:val="24"/>
          <w:szCs w:val="24"/>
          <w:lang w:val="en-US"/>
        </w:rPr>
        <w:t>control for education level</w:t>
      </w:r>
      <w:r w:rsidR="00256E32" w:rsidRPr="00456628">
        <w:rPr>
          <w:rFonts w:ascii="Times New Roman" w:hAnsi="Times New Roman" w:cs="Times New Roman"/>
          <w:sz w:val="24"/>
          <w:szCs w:val="24"/>
          <w:lang w:val="en-US"/>
        </w:rPr>
        <w:t xml:space="preserve"> gender, age, and income (measured as their income decile).</w:t>
      </w:r>
      <w:r w:rsidR="008064A5" w:rsidRPr="00456628">
        <w:rPr>
          <w:rFonts w:ascii="Times New Roman" w:hAnsi="Times New Roman" w:cs="Times New Roman"/>
          <w:sz w:val="24"/>
          <w:szCs w:val="24"/>
          <w:lang w:val="en-US"/>
        </w:rPr>
        <w:t xml:space="preserve"> </w:t>
      </w:r>
    </w:p>
    <w:p w14:paraId="4DA0C894" w14:textId="523DF0F1" w:rsidR="001A7EF4" w:rsidRPr="00456628" w:rsidRDefault="00421129" w:rsidP="009C6283">
      <w:pPr>
        <w:rPr>
          <w:rFonts w:ascii="Times New Roman" w:hAnsi="Times New Roman" w:cs="Times New Roman"/>
          <w:sz w:val="24"/>
          <w:szCs w:val="24"/>
          <w:lang w:val="en-US"/>
        </w:rPr>
      </w:pPr>
      <w:r w:rsidRPr="00456628">
        <w:rPr>
          <w:rFonts w:ascii="Times New Roman" w:hAnsi="Times New Roman" w:cs="Times New Roman"/>
          <w:sz w:val="24"/>
          <w:szCs w:val="24"/>
          <w:lang w:val="en-US"/>
        </w:rPr>
        <w:t>Whil</w:t>
      </w:r>
      <w:r w:rsidR="002874AA" w:rsidRPr="00456628">
        <w:rPr>
          <w:rFonts w:ascii="Times New Roman" w:hAnsi="Times New Roman" w:cs="Times New Roman"/>
          <w:sz w:val="24"/>
          <w:szCs w:val="24"/>
          <w:lang w:val="en-US"/>
        </w:rPr>
        <w:t>e the data spans a large number</w:t>
      </w:r>
      <w:r w:rsidRPr="00456628">
        <w:rPr>
          <w:rFonts w:ascii="Times New Roman" w:hAnsi="Times New Roman" w:cs="Times New Roman"/>
          <w:sz w:val="24"/>
          <w:szCs w:val="24"/>
          <w:lang w:val="en-US"/>
        </w:rPr>
        <w:t xml:space="preserve"> of policy domains, some policy domains are inevitably more present that others. As such, it is unavoidable that larger samples of policy statements will be more similar to each other in terms of the policy domains they cover. In order to make sure that it is size of the statement sample</w:t>
      </w:r>
      <w:r w:rsidR="002874AA" w:rsidRPr="00456628">
        <w:rPr>
          <w:rFonts w:ascii="Times New Roman" w:hAnsi="Times New Roman" w:cs="Times New Roman"/>
          <w:sz w:val="24"/>
          <w:szCs w:val="24"/>
          <w:lang w:val="en-US"/>
        </w:rPr>
        <w:t>s</w:t>
      </w:r>
      <w:r w:rsidRPr="00456628">
        <w:rPr>
          <w:rFonts w:ascii="Times New Roman" w:hAnsi="Times New Roman" w:cs="Times New Roman"/>
          <w:sz w:val="24"/>
          <w:szCs w:val="24"/>
          <w:lang w:val="en-US"/>
        </w:rPr>
        <w:t xml:space="preserve"> and </w:t>
      </w:r>
      <w:r w:rsidR="00870F74" w:rsidRPr="00456628">
        <w:rPr>
          <w:rFonts w:ascii="Times New Roman" w:hAnsi="Times New Roman" w:cs="Times New Roman"/>
          <w:sz w:val="24"/>
          <w:szCs w:val="24"/>
          <w:lang w:val="en-US"/>
        </w:rPr>
        <w:t>t</w:t>
      </w:r>
      <w:r w:rsidRPr="00456628">
        <w:rPr>
          <w:rFonts w:ascii="Times New Roman" w:hAnsi="Times New Roman" w:cs="Times New Roman"/>
          <w:sz w:val="24"/>
          <w:szCs w:val="24"/>
          <w:lang w:val="en-US"/>
        </w:rPr>
        <w:t xml:space="preserve">he topic diversity that drives </w:t>
      </w:r>
      <w:r w:rsidR="002874AA" w:rsidRPr="00456628">
        <w:rPr>
          <w:rFonts w:ascii="Times New Roman" w:hAnsi="Times New Roman" w:cs="Times New Roman"/>
          <w:sz w:val="24"/>
          <w:szCs w:val="24"/>
          <w:lang w:val="en-US"/>
        </w:rPr>
        <w:t>reductions in variability</w:t>
      </w:r>
      <w:r w:rsidRPr="00456628">
        <w:rPr>
          <w:rFonts w:ascii="Times New Roman" w:hAnsi="Times New Roman" w:cs="Times New Roman"/>
          <w:sz w:val="24"/>
          <w:szCs w:val="24"/>
          <w:lang w:val="en-US"/>
        </w:rPr>
        <w:t xml:space="preserve">, and not the increased substantive similarity of sample pairs, we </w:t>
      </w:r>
      <w:r w:rsidR="002874AA" w:rsidRPr="00456628">
        <w:rPr>
          <w:rFonts w:ascii="Times New Roman" w:hAnsi="Times New Roman" w:cs="Times New Roman"/>
          <w:sz w:val="24"/>
          <w:szCs w:val="24"/>
          <w:lang w:val="en-US"/>
        </w:rPr>
        <w:t>control for</w:t>
      </w:r>
      <w:r w:rsidRPr="00456628">
        <w:rPr>
          <w:rFonts w:ascii="Times New Roman" w:hAnsi="Times New Roman" w:cs="Times New Roman"/>
          <w:sz w:val="24"/>
          <w:szCs w:val="24"/>
          <w:lang w:val="en-US"/>
        </w:rPr>
        <w:t xml:space="preserve"> </w:t>
      </w:r>
      <w:r w:rsidR="002874AA" w:rsidRPr="00456628">
        <w:rPr>
          <w:rFonts w:ascii="Times New Roman" w:hAnsi="Times New Roman" w:cs="Times New Roman"/>
          <w:i/>
          <w:sz w:val="24"/>
          <w:szCs w:val="24"/>
          <w:lang w:val="en-US"/>
        </w:rPr>
        <w:t>p</w:t>
      </w:r>
      <w:r w:rsidRPr="00456628">
        <w:rPr>
          <w:rFonts w:ascii="Times New Roman" w:hAnsi="Times New Roman" w:cs="Times New Roman"/>
          <w:i/>
          <w:sz w:val="24"/>
          <w:szCs w:val="24"/>
          <w:lang w:val="en-US"/>
        </w:rPr>
        <w:t>olicy domain difference</w:t>
      </w:r>
      <w:r w:rsidRPr="00456628">
        <w:rPr>
          <w:rFonts w:ascii="Times New Roman" w:hAnsi="Times New Roman" w:cs="Times New Roman"/>
          <w:sz w:val="24"/>
          <w:szCs w:val="24"/>
          <w:lang w:val="en-US"/>
        </w:rPr>
        <w:t xml:space="preserve">. This variable indicates the degree to which two samples of policy statements differ in the distribution of policy domains. For instance, if both statement samples consist of 10 statements that both cover education and the environment, but sample 1 has 5 statements for each and sample 2 has 8 education statements and 2 environment statements, </w:t>
      </w:r>
      <w:r w:rsidR="009D1DFD" w:rsidRPr="00456628">
        <w:rPr>
          <w:rFonts w:ascii="Times New Roman" w:hAnsi="Times New Roman" w:cs="Times New Roman"/>
          <w:sz w:val="24"/>
          <w:szCs w:val="24"/>
          <w:lang w:val="en-US"/>
        </w:rPr>
        <w:t xml:space="preserve">the </w:t>
      </w:r>
      <w:r w:rsidRPr="00456628">
        <w:rPr>
          <w:rFonts w:ascii="Times New Roman" w:hAnsi="Times New Roman" w:cs="Times New Roman"/>
          <w:sz w:val="24"/>
          <w:szCs w:val="24"/>
          <w:lang w:val="en-US"/>
        </w:rPr>
        <w:t>policy domain difference = | 5 – 8| + | 5 – 2| = 3 + 3 = 6. In other words, the larger the values for policy domain difference, the larger the differences in the distribution of policy domains between the two samples of policy domains that are being compared.</w:t>
      </w:r>
      <w:r w:rsidR="001A7EF4" w:rsidRPr="00456628">
        <w:rPr>
          <w:rFonts w:ascii="Times New Roman" w:hAnsi="Times New Roman" w:cs="Times New Roman"/>
          <w:sz w:val="24"/>
          <w:szCs w:val="24"/>
          <w:lang w:val="en-US"/>
        </w:rPr>
        <w:t xml:space="preserve"> How large this difference can get is naturally dependent on the size of the statement samples. To account for this, </w:t>
      </w:r>
      <w:r w:rsidR="009D1DFD" w:rsidRPr="00456628">
        <w:rPr>
          <w:rFonts w:ascii="Times New Roman" w:hAnsi="Times New Roman" w:cs="Times New Roman"/>
          <w:sz w:val="24"/>
          <w:szCs w:val="24"/>
          <w:lang w:val="en-US"/>
        </w:rPr>
        <w:t xml:space="preserve">the </w:t>
      </w:r>
      <w:r w:rsidR="001A7EF4" w:rsidRPr="00456628">
        <w:rPr>
          <w:rFonts w:ascii="Times New Roman" w:hAnsi="Times New Roman" w:cs="Times New Roman"/>
          <w:sz w:val="24"/>
          <w:szCs w:val="24"/>
          <w:lang w:val="en-US"/>
        </w:rPr>
        <w:t>p</w:t>
      </w:r>
      <w:r w:rsidR="009D1DFD" w:rsidRPr="00456628">
        <w:rPr>
          <w:rFonts w:ascii="Times New Roman" w:hAnsi="Times New Roman" w:cs="Times New Roman"/>
          <w:sz w:val="24"/>
          <w:szCs w:val="24"/>
          <w:lang w:val="en-US"/>
        </w:rPr>
        <w:t>olicy domain difference</w:t>
      </w:r>
      <w:r w:rsidR="001A7EF4" w:rsidRPr="00456628">
        <w:rPr>
          <w:rFonts w:ascii="Times New Roman" w:hAnsi="Times New Roman" w:cs="Times New Roman"/>
          <w:sz w:val="24"/>
          <w:szCs w:val="24"/>
          <w:lang w:val="en-US"/>
        </w:rPr>
        <w:t xml:space="preserve"> was divided by the maximum possible value</w:t>
      </w:r>
      <w:r w:rsidR="001A7EF4" w:rsidRPr="00456628">
        <w:rPr>
          <w:rStyle w:val="FootnoteReference"/>
          <w:rFonts w:ascii="Times New Roman" w:hAnsi="Times New Roman" w:cs="Times New Roman"/>
          <w:sz w:val="24"/>
          <w:szCs w:val="24"/>
          <w:lang w:val="en-US"/>
        </w:rPr>
        <w:footnoteReference w:id="8"/>
      </w:r>
      <w:r w:rsidR="001A7EF4" w:rsidRPr="00456628">
        <w:rPr>
          <w:rFonts w:ascii="Times New Roman" w:hAnsi="Times New Roman" w:cs="Times New Roman"/>
          <w:sz w:val="24"/>
          <w:szCs w:val="24"/>
          <w:lang w:val="en-US"/>
        </w:rPr>
        <w:t>.</w:t>
      </w:r>
    </w:p>
    <w:p w14:paraId="7329F8A0" w14:textId="77777777" w:rsidR="008656CF" w:rsidRPr="00456628" w:rsidRDefault="008656CF" w:rsidP="009C6283">
      <w:pPr>
        <w:rPr>
          <w:rFonts w:ascii="Times New Roman" w:hAnsi="Times New Roman" w:cs="Times New Roman"/>
          <w:sz w:val="24"/>
          <w:szCs w:val="24"/>
          <w:lang w:val="en-US"/>
        </w:rPr>
      </w:pPr>
    </w:p>
    <w:p w14:paraId="2246C865" w14:textId="77777777" w:rsidR="005941EB" w:rsidRPr="00456628" w:rsidRDefault="005941EB" w:rsidP="009C6283">
      <w:pPr>
        <w:rPr>
          <w:rFonts w:ascii="Times New Roman" w:hAnsi="Times New Roman" w:cs="Times New Roman"/>
          <w:b/>
          <w:sz w:val="24"/>
          <w:szCs w:val="24"/>
          <w:lang w:val="en-US"/>
        </w:rPr>
      </w:pPr>
      <w:r w:rsidRPr="00456628">
        <w:rPr>
          <w:rFonts w:ascii="Times New Roman" w:hAnsi="Times New Roman" w:cs="Times New Roman"/>
          <w:b/>
          <w:sz w:val="24"/>
          <w:szCs w:val="24"/>
          <w:lang w:val="en-US"/>
        </w:rPr>
        <w:t>Results</w:t>
      </w:r>
    </w:p>
    <w:p w14:paraId="243B3E6A" w14:textId="5C5FF424" w:rsidR="008656CF" w:rsidRPr="00456628" w:rsidRDefault="008656CF" w:rsidP="004F54BE">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 </w:t>
      </w:r>
      <w:r w:rsidR="00D10154" w:rsidRPr="00456628">
        <w:rPr>
          <w:rFonts w:ascii="Times New Roman" w:hAnsi="Times New Roman" w:cs="Times New Roman"/>
          <w:sz w:val="24"/>
          <w:szCs w:val="24"/>
          <w:lang w:val="en-US"/>
        </w:rPr>
        <w:t>hypotheses are tested in Table 1</w:t>
      </w:r>
      <w:r w:rsidRPr="00456628">
        <w:rPr>
          <w:rFonts w:ascii="Times New Roman" w:hAnsi="Times New Roman" w:cs="Times New Roman"/>
          <w:sz w:val="24"/>
          <w:szCs w:val="24"/>
          <w:lang w:val="en-US"/>
        </w:rPr>
        <w:t>.</w:t>
      </w:r>
      <w:r w:rsidR="00646C73"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Model 1 indicates highly significant effects of the number of policy statements, topic diversity</w:t>
      </w:r>
      <w:r w:rsidR="002B216F" w:rsidRPr="00456628">
        <w:rPr>
          <w:rFonts w:ascii="Times New Roman" w:hAnsi="Times New Roman" w:cs="Times New Roman"/>
          <w:sz w:val="24"/>
          <w:szCs w:val="24"/>
          <w:lang w:val="en-US"/>
        </w:rPr>
        <w:t>,</w:t>
      </w:r>
      <w:r w:rsidRPr="00456628">
        <w:rPr>
          <w:rFonts w:ascii="Times New Roman" w:hAnsi="Times New Roman" w:cs="Times New Roman"/>
          <w:sz w:val="24"/>
          <w:szCs w:val="24"/>
          <w:lang w:val="en-US"/>
        </w:rPr>
        <w:t xml:space="preserve"> and personal salience. In other words, increasing the number of statements and topic diversity makes opinion congruence measures more reliable, but the strength of their effects diminishes.</w:t>
      </w:r>
      <w:r w:rsidR="00FF07AB" w:rsidRPr="00456628">
        <w:rPr>
          <w:rFonts w:ascii="Times New Roman" w:hAnsi="Times New Roman" w:cs="Times New Roman"/>
          <w:sz w:val="24"/>
          <w:szCs w:val="24"/>
          <w:lang w:val="en-US"/>
        </w:rPr>
        <w:t xml:space="preserve"> </w:t>
      </w:r>
      <w:r w:rsidR="00DC4D17" w:rsidRPr="00456628">
        <w:rPr>
          <w:rFonts w:ascii="Times New Roman" w:hAnsi="Times New Roman" w:cs="Times New Roman"/>
          <w:sz w:val="24"/>
          <w:szCs w:val="24"/>
          <w:lang w:val="en-US"/>
        </w:rPr>
        <w:t xml:space="preserve">However, given the large sample size, statistical significance </w:t>
      </w:r>
      <w:r w:rsidR="00DC4D17" w:rsidRPr="00456628">
        <w:rPr>
          <w:rFonts w:ascii="Times New Roman" w:hAnsi="Times New Roman" w:cs="Times New Roman"/>
          <w:sz w:val="24"/>
          <w:szCs w:val="24"/>
          <w:lang w:val="en-US"/>
        </w:rPr>
        <w:lastRenderedPageBreak/>
        <w:t xml:space="preserve">is not a useful metric by which to assess the support hypotheses received given the data. While a non-significant finding is evidence for a lack of support, statistical significance must be supplanted by a substantial effect size before we can conclude that an assertion is confirmed. </w:t>
      </w:r>
      <w:r w:rsidRPr="00456628">
        <w:rPr>
          <w:rFonts w:ascii="Times New Roman" w:hAnsi="Times New Roman" w:cs="Times New Roman"/>
          <w:sz w:val="24"/>
          <w:szCs w:val="24"/>
          <w:lang w:val="en-US"/>
        </w:rPr>
        <w:t xml:space="preserve">To </w:t>
      </w:r>
      <w:r w:rsidR="00DC4D17" w:rsidRPr="00456628">
        <w:rPr>
          <w:rFonts w:ascii="Times New Roman" w:hAnsi="Times New Roman" w:cs="Times New Roman"/>
          <w:sz w:val="24"/>
          <w:szCs w:val="24"/>
          <w:lang w:val="en-US"/>
        </w:rPr>
        <w:t>inspect the effect sizes</w:t>
      </w:r>
      <w:r w:rsidRPr="00456628">
        <w:rPr>
          <w:rFonts w:ascii="Times New Roman" w:hAnsi="Times New Roman" w:cs="Times New Roman"/>
          <w:sz w:val="24"/>
          <w:szCs w:val="24"/>
          <w:lang w:val="en-US"/>
        </w:rPr>
        <w:t xml:space="preserve">, we plot the marginal effects of </w:t>
      </w:r>
      <w:r w:rsidR="00C9201F" w:rsidRPr="00456628">
        <w:rPr>
          <w:rFonts w:ascii="Times New Roman" w:hAnsi="Times New Roman" w:cs="Times New Roman"/>
          <w:sz w:val="24"/>
          <w:szCs w:val="24"/>
          <w:lang w:val="en-US"/>
        </w:rPr>
        <w:t>M</w:t>
      </w:r>
      <w:r w:rsidRPr="00456628">
        <w:rPr>
          <w:rFonts w:ascii="Times New Roman" w:hAnsi="Times New Roman" w:cs="Times New Roman"/>
          <w:sz w:val="24"/>
          <w:szCs w:val="24"/>
          <w:lang w:val="en-US"/>
        </w:rPr>
        <w:t xml:space="preserve">odel 1 in Figures </w:t>
      </w:r>
      <w:r w:rsidR="00C9201F" w:rsidRPr="00456628">
        <w:rPr>
          <w:rFonts w:ascii="Times New Roman" w:hAnsi="Times New Roman" w:cs="Times New Roman"/>
          <w:sz w:val="24"/>
          <w:szCs w:val="24"/>
          <w:lang w:val="en-US"/>
        </w:rPr>
        <w:t>2</w:t>
      </w:r>
      <w:r w:rsidRPr="00456628">
        <w:rPr>
          <w:rFonts w:ascii="Times New Roman" w:hAnsi="Times New Roman" w:cs="Times New Roman"/>
          <w:sz w:val="24"/>
          <w:szCs w:val="24"/>
          <w:lang w:val="en-US"/>
        </w:rPr>
        <w:t>-</w:t>
      </w:r>
      <w:r w:rsidR="00C9201F" w:rsidRPr="00456628">
        <w:rPr>
          <w:rFonts w:ascii="Times New Roman" w:hAnsi="Times New Roman" w:cs="Times New Roman"/>
          <w:sz w:val="24"/>
          <w:szCs w:val="24"/>
          <w:lang w:val="en-US"/>
        </w:rPr>
        <w:t>4</w:t>
      </w:r>
      <w:r w:rsidRPr="00456628">
        <w:rPr>
          <w:rFonts w:ascii="Times New Roman" w:hAnsi="Times New Roman" w:cs="Times New Roman"/>
          <w:sz w:val="24"/>
          <w:szCs w:val="24"/>
          <w:lang w:val="en-US"/>
        </w:rPr>
        <w:t>.</w:t>
      </w:r>
    </w:p>
    <w:p w14:paraId="26991A0E" w14:textId="676431B6" w:rsidR="00870F74" w:rsidRPr="00456628" w:rsidRDefault="008656CF" w:rsidP="008656CF">
      <w:pPr>
        <w:spacing w:after="0"/>
        <w:rPr>
          <w:rFonts w:ascii="Times New Roman" w:hAnsi="Times New Roman" w:cs="Times New Roman"/>
          <w:sz w:val="24"/>
          <w:szCs w:val="24"/>
          <w:lang w:val="en-AU"/>
        </w:rPr>
      </w:pPr>
      <w:r w:rsidRPr="00456628">
        <w:rPr>
          <w:rFonts w:ascii="Times New Roman" w:hAnsi="Times New Roman" w:cs="Times New Roman"/>
          <w:sz w:val="24"/>
          <w:szCs w:val="24"/>
          <w:lang w:val="en-US"/>
        </w:rPr>
        <w:t xml:space="preserve">In </w:t>
      </w:r>
      <w:r w:rsidR="00C9201F" w:rsidRPr="00456628">
        <w:rPr>
          <w:rFonts w:ascii="Times New Roman" w:hAnsi="Times New Roman" w:cs="Times New Roman"/>
          <w:sz w:val="24"/>
          <w:szCs w:val="24"/>
          <w:lang w:val="en-US"/>
        </w:rPr>
        <w:t>Figure 2</w:t>
      </w:r>
      <w:r w:rsidRPr="00456628">
        <w:rPr>
          <w:rFonts w:ascii="Times New Roman" w:hAnsi="Times New Roman" w:cs="Times New Roman"/>
          <w:sz w:val="24"/>
          <w:szCs w:val="24"/>
          <w:lang w:val="en-US"/>
        </w:rPr>
        <w:t xml:space="preserve">, we see that the estimated difference between opinion congruence measures </w:t>
      </w:r>
      <w:r w:rsidR="00870F74" w:rsidRPr="00456628">
        <w:rPr>
          <w:rFonts w:ascii="Times New Roman" w:hAnsi="Times New Roman" w:cs="Times New Roman"/>
          <w:sz w:val="24"/>
          <w:szCs w:val="24"/>
          <w:lang w:val="en-US"/>
        </w:rPr>
        <w:t>decreases rapidly a</w:t>
      </w:r>
      <w:r w:rsidRPr="00456628">
        <w:rPr>
          <w:rFonts w:ascii="Times New Roman" w:hAnsi="Times New Roman" w:cs="Times New Roman"/>
          <w:sz w:val="24"/>
          <w:szCs w:val="24"/>
          <w:lang w:val="en-US"/>
        </w:rPr>
        <w:t>s the number</w:t>
      </w:r>
      <w:r w:rsidR="00870F74" w:rsidRPr="00456628">
        <w:rPr>
          <w:rFonts w:ascii="Times New Roman" w:hAnsi="Times New Roman" w:cs="Times New Roman"/>
          <w:sz w:val="24"/>
          <w:szCs w:val="24"/>
          <w:lang w:val="en-US"/>
        </w:rPr>
        <w:t xml:space="preserve"> of policy statements increases</w:t>
      </w:r>
      <w:r w:rsidRPr="00456628">
        <w:rPr>
          <w:rFonts w:ascii="Times New Roman" w:hAnsi="Times New Roman" w:cs="Times New Roman"/>
          <w:sz w:val="24"/>
          <w:szCs w:val="24"/>
          <w:lang w:val="en-US"/>
        </w:rPr>
        <w:t xml:space="preserve">. </w:t>
      </w:r>
      <w:r w:rsidR="00870F74" w:rsidRPr="00456628">
        <w:rPr>
          <w:rFonts w:ascii="Times New Roman" w:hAnsi="Times New Roman" w:cs="Times New Roman"/>
          <w:sz w:val="24"/>
          <w:szCs w:val="24"/>
          <w:lang w:val="en-US"/>
        </w:rPr>
        <w:t xml:space="preserve">However, the marginal decreases grow smaller with each additional statement added to the sample. </w:t>
      </w:r>
      <w:r w:rsidR="00870F74" w:rsidRPr="00456628">
        <w:rPr>
          <w:rFonts w:ascii="Times New Roman" w:hAnsi="Times New Roman" w:cs="Times New Roman"/>
          <w:sz w:val="24"/>
          <w:szCs w:val="24"/>
          <w:lang w:val="en-AU"/>
        </w:rPr>
        <w:t xml:space="preserve">To further disentangle the curve-linear relation between the number of policy statements and congruence reliability, we have examined the cut-off points at which the association between sample size and </w:t>
      </w:r>
      <w:r w:rsidR="00E21D9D" w:rsidRPr="00456628">
        <w:rPr>
          <w:rFonts w:ascii="Times New Roman" w:hAnsi="Times New Roman" w:cs="Times New Roman"/>
          <w:sz w:val="24"/>
          <w:szCs w:val="24"/>
          <w:lang w:val="en-AU"/>
        </w:rPr>
        <w:t>variability</w:t>
      </w:r>
      <w:r w:rsidR="00870F74" w:rsidRPr="00456628">
        <w:rPr>
          <w:rFonts w:ascii="Times New Roman" w:hAnsi="Times New Roman" w:cs="Times New Roman"/>
          <w:sz w:val="24"/>
          <w:szCs w:val="24"/>
          <w:lang w:val="en-AU"/>
        </w:rPr>
        <w:t xml:space="preserve"> changes. We divide the curved relation in Figure 2 into three parts, using iterative fitting with segmented regression. The best fitting model was one in which the relation between statement sample size and </w:t>
      </w:r>
      <w:r w:rsidR="001E32B0" w:rsidRPr="00456628">
        <w:rPr>
          <w:rFonts w:ascii="Times New Roman" w:hAnsi="Times New Roman" w:cs="Times New Roman"/>
          <w:sz w:val="24"/>
          <w:szCs w:val="24"/>
          <w:lang w:val="en-AU"/>
        </w:rPr>
        <w:t>O</w:t>
      </w:r>
      <w:r w:rsidR="004F6835" w:rsidRPr="00456628">
        <w:rPr>
          <w:rFonts w:ascii="Times New Roman" w:hAnsi="Times New Roman" w:cs="Times New Roman"/>
          <w:sz w:val="24"/>
          <w:szCs w:val="24"/>
          <w:lang w:val="en-AU"/>
        </w:rPr>
        <w:t>CV</w:t>
      </w:r>
      <w:r w:rsidR="0091247C" w:rsidRPr="00456628">
        <w:rPr>
          <w:rFonts w:ascii="Times New Roman" w:hAnsi="Times New Roman" w:cs="Times New Roman"/>
          <w:sz w:val="24"/>
          <w:szCs w:val="24"/>
          <w:lang w:val="en-AU"/>
        </w:rPr>
        <w:t xml:space="preserve"> </w:t>
      </w:r>
      <w:r w:rsidR="00870F74" w:rsidRPr="00456628">
        <w:rPr>
          <w:rFonts w:ascii="Times New Roman" w:hAnsi="Times New Roman" w:cs="Times New Roman"/>
          <w:sz w:val="24"/>
          <w:szCs w:val="24"/>
          <w:lang w:val="en-AU"/>
        </w:rPr>
        <w:t xml:space="preserve">was modelled to alter after </w:t>
      </w:r>
      <w:r w:rsidR="00E21D9D" w:rsidRPr="00456628">
        <w:rPr>
          <w:rFonts w:ascii="Times New Roman" w:hAnsi="Times New Roman" w:cs="Times New Roman"/>
          <w:sz w:val="24"/>
          <w:szCs w:val="24"/>
          <w:lang w:val="en-AU"/>
        </w:rPr>
        <w:t>the number of policy statements increases beyond</w:t>
      </w:r>
      <w:r w:rsidR="00870F74" w:rsidRPr="00456628">
        <w:rPr>
          <w:rFonts w:ascii="Times New Roman" w:hAnsi="Times New Roman" w:cs="Times New Roman"/>
          <w:sz w:val="24"/>
          <w:szCs w:val="24"/>
          <w:lang w:val="en-AU"/>
        </w:rPr>
        <w:t xml:space="preserve"> 6 and 25. The coefficients of the model can be found in the Appendix</w:t>
      </w:r>
      <w:r w:rsidR="00AA13B0" w:rsidRPr="00456628">
        <w:rPr>
          <w:rFonts w:ascii="Times New Roman" w:hAnsi="Times New Roman" w:cs="Times New Roman"/>
          <w:sz w:val="24"/>
          <w:szCs w:val="24"/>
          <w:lang w:val="en-AU"/>
        </w:rPr>
        <w:t xml:space="preserve"> in Table A</w:t>
      </w:r>
      <w:r w:rsidR="00BB24C0" w:rsidRPr="00456628">
        <w:rPr>
          <w:rFonts w:ascii="Times New Roman" w:hAnsi="Times New Roman" w:cs="Times New Roman"/>
          <w:sz w:val="24"/>
          <w:szCs w:val="24"/>
          <w:lang w:val="en-AU"/>
        </w:rPr>
        <w:t>6</w:t>
      </w:r>
      <w:r w:rsidR="00870F74" w:rsidRPr="00456628">
        <w:rPr>
          <w:rFonts w:ascii="Times New Roman" w:hAnsi="Times New Roman" w:cs="Times New Roman"/>
          <w:sz w:val="24"/>
          <w:szCs w:val="24"/>
          <w:lang w:val="en-AU"/>
        </w:rPr>
        <w:t>, but the re</w:t>
      </w:r>
      <w:r w:rsidR="002874AA" w:rsidRPr="00456628">
        <w:rPr>
          <w:rFonts w:ascii="Times New Roman" w:hAnsi="Times New Roman" w:cs="Times New Roman"/>
          <w:sz w:val="24"/>
          <w:szCs w:val="24"/>
          <w:lang w:val="en-AU"/>
        </w:rPr>
        <w:t>sults are visualized in Figure 3</w:t>
      </w:r>
      <w:r w:rsidR="00870F74" w:rsidRPr="00456628">
        <w:rPr>
          <w:rFonts w:ascii="Times New Roman" w:hAnsi="Times New Roman" w:cs="Times New Roman"/>
          <w:sz w:val="24"/>
          <w:szCs w:val="24"/>
          <w:lang w:val="en-AU"/>
        </w:rPr>
        <w:t>. In the first part of the curve (s</w:t>
      </w:r>
      <w:r w:rsidR="00E21D9D" w:rsidRPr="00456628">
        <w:rPr>
          <w:rFonts w:ascii="Times New Roman" w:hAnsi="Times New Roman" w:cs="Times New Roman"/>
          <w:sz w:val="24"/>
          <w:szCs w:val="24"/>
          <w:lang w:val="en-AU"/>
        </w:rPr>
        <w:t>tatement sample size 1 through 5</w:t>
      </w:r>
      <w:r w:rsidR="00870F74" w:rsidRPr="00456628">
        <w:rPr>
          <w:rFonts w:ascii="Times New Roman" w:hAnsi="Times New Roman" w:cs="Times New Roman"/>
          <w:sz w:val="24"/>
          <w:szCs w:val="24"/>
          <w:lang w:val="en-AU"/>
        </w:rPr>
        <w:t xml:space="preserve">), </w:t>
      </w:r>
      <w:r w:rsidR="0091247C" w:rsidRPr="00456628">
        <w:rPr>
          <w:rFonts w:ascii="Times New Roman" w:hAnsi="Times New Roman" w:cs="Times New Roman"/>
          <w:sz w:val="24"/>
          <w:szCs w:val="24"/>
          <w:lang w:val="en-AU"/>
        </w:rPr>
        <w:t>OCV</w:t>
      </w:r>
      <w:r w:rsidR="00870F74" w:rsidRPr="00456628">
        <w:rPr>
          <w:rFonts w:ascii="Times New Roman" w:hAnsi="Times New Roman" w:cs="Times New Roman"/>
          <w:sz w:val="24"/>
          <w:szCs w:val="24"/>
          <w:lang w:val="en-AU"/>
        </w:rPr>
        <w:t xml:space="preserve"> declines rapidly, with opinion congruence variability declining with 1 point every 0.25 statements. In the second part of the curve (statement sample size </w:t>
      </w:r>
      <w:r w:rsidR="00E21D9D" w:rsidRPr="00456628">
        <w:rPr>
          <w:rFonts w:ascii="Times New Roman" w:hAnsi="Times New Roman" w:cs="Times New Roman"/>
          <w:sz w:val="24"/>
          <w:szCs w:val="24"/>
          <w:lang w:val="en-AU"/>
        </w:rPr>
        <w:t>6</w:t>
      </w:r>
      <w:r w:rsidR="00A56283" w:rsidRPr="00456628">
        <w:rPr>
          <w:rFonts w:ascii="Times New Roman" w:hAnsi="Times New Roman" w:cs="Times New Roman"/>
          <w:sz w:val="24"/>
          <w:szCs w:val="24"/>
          <w:lang w:val="en-AU"/>
        </w:rPr>
        <w:t xml:space="preserve"> </w:t>
      </w:r>
      <w:r w:rsidR="00870F74" w:rsidRPr="00456628">
        <w:rPr>
          <w:rFonts w:ascii="Times New Roman" w:hAnsi="Times New Roman" w:cs="Times New Roman"/>
          <w:sz w:val="24"/>
          <w:szCs w:val="24"/>
          <w:lang w:val="en-AU"/>
        </w:rPr>
        <w:t xml:space="preserve">through 19), </w:t>
      </w:r>
      <w:r w:rsidR="0091247C" w:rsidRPr="00456628">
        <w:rPr>
          <w:rFonts w:ascii="Times New Roman" w:hAnsi="Times New Roman" w:cs="Times New Roman"/>
          <w:sz w:val="24"/>
          <w:szCs w:val="24"/>
          <w:lang w:val="en-AU"/>
        </w:rPr>
        <w:t>OCV</w:t>
      </w:r>
      <w:r w:rsidR="00870F74" w:rsidRPr="00456628">
        <w:rPr>
          <w:rFonts w:ascii="Times New Roman" w:hAnsi="Times New Roman" w:cs="Times New Roman"/>
          <w:sz w:val="24"/>
          <w:szCs w:val="24"/>
          <w:lang w:val="en-AU"/>
        </w:rPr>
        <w:t xml:space="preserve"> declines with 1 point every 1.32 statements. In the last part (statement sample size 20 through 66), further substantial improvements in the reliability of congruence measures require a high number of addition policy statements, with </w:t>
      </w:r>
      <w:r w:rsidR="0091247C" w:rsidRPr="00456628">
        <w:rPr>
          <w:rFonts w:ascii="Times New Roman" w:hAnsi="Times New Roman" w:cs="Times New Roman"/>
          <w:sz w:val="24"/>
          <w:szCs w:val="24"/>
          <w:lang w:val="en-AU"/>
        </w:rPr>
        <w:t>OCV</w:t>
      </w:r>
      <w:r w:rsidR="00870F74" w:rsidRPr="00456628">
        <w:rPr>
          <w:rFonts w:ascii="Times New Roman" w:hAnsi="Times New Roman" w:cs="Times New Roman"/>
          <w:sz w:val="24"/>
          <w:szCs w:val="24"/>
          <w:lang w:val="en-AU"/>
        </w:rPr>
        <w:t xml:space="preserve"> declining 1 point if 8 policy statement are added.</w:t>
      </w:r>
    </w:p>
    <w:p w14:paraId="3D75155C" w14:textId="636EF901" w:rsidR="00870F74" w:rsidRPr="00456628" w:rsidRDefault="00870F74" w:rsidP="00870F74">
      <w:pPr>
        <w:spacing w:after="0"/>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Table 1 here]</w:t>
      </w:r>
    </w:p>
    <w:p w14:paraId="4FC134D3" w14:textId="77777777" w:rsidR="00870F74" w:rsidRPr="00456628" w:rsidRDefault="00870F74" w:rsidP="00870F74">
      <w:pPr>
        <w:spacing w:after="0"/>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Figure 2 here]</w:t>
      </w:r>
    </w:p>
    <w:p w14:paraId="42146AA7" w14:textId="77777777" w:rsidR="00870F74" w:rsidRPr="00456628" w:rsidRDefault="00870F74" w:rsidP="00870F74">
      <w:pPr>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Figure 3 here]</w:t>
      </w:r>
    </w:p>
    <w:p w14:paraId="6C7026F4" w14:textId="7BEDD46D" w:rsidR="001E4483" w:rsidRPr="00456628" w:rsidRDefault="00D00A20" w:rsidP="008656CF">
      <w:pPr>
        <w:spacing w:after="0"/>
        <w:rPr>
          <w:rFonts w:ascii="Times New Roman" w:hAnsi="Times New Roman" w:cs="Times New Roman"/>
          <w:sz w:val="24"/>
          <w:szCs w:val="24"/>
          <w:lang w:val="en-US"/>
        </w:rPr>
      </w:pPr>
      <w:r w:rsidRPr="00456628">
        <w:rPr>
          <w:rFonts w:ascii="Times New Roman" w:hAnsi="Times New Roman" w:cs="Times New Roman"/>
          <w:sz w:val="24"/>
          <w:szCs w:val="24"/>
          <w:lang w:val="en-US"/>
        </w:rPr>
        <w:t>L</w:t>
      </w:r>
      <w:r w:rsidR="008656CF" w:rsidRPr="00456628">
        <w:rPr>
          <w:rFonts w:ascii="Times New Roman" w:hAnsi="Times New Roman" w:cs="Times New Roman"/>
          <w:sz w:val="24"/>
          <w:szCs w:val="24"/>
          <w:lang w:val="en-US"/>
        </w:rPr>
        <w:t>ooking at topic</w:t>
      </w:r>
      <w:r w:rsidR="00B17B17" w:rsidRPr="00456628">
        <w:rPr>
          <w:rFonts w:ascii="Times New Roman" w:hAnsi="Times New Roman" w:cs="Times New Roman"/>
          <w:sz w:val="24"/>
          <w:szCs w:val="24"/>
          <w:lang w:val="en-US"/>
        </w:rPr>
        <w:t xml:space="preserve"> diversity in Figure </w:t>
      </w:r>
      <w:r w:rsidR="00C9201F" w:rsidRPr="00456628">
        <w:rPr>
          <w:rFonts w:ascii="Times New Roman" w:hAnsi="Times New Roman" w:cs="Times New Roman"/>
          <w:sz w:val="24"/>
          <w:szCs w:val="24"/>
          <w:lang w:val="en-US"/>
        </w:rPr>
        <w:t>4</w:t>
      </w:r>
      <w:r w:rsidR="00B17B17" w:rsidRPr="00456628">
        <w:rPr>
          <w:rFonts w:ascii="Times New Roman" w:hAnsi="Times New Roman" w:cs="Times New Roman"/>
          <w:sz w:val="24"/>
          <w:szCs w:val="24"/>
          <w:lang w:val="en-US"/>
        </w:rPr>
        <w:t xml:space="preserve">, we see that </w:t>
      </w:r>
      <w:r w:rsidRPr="00456628">
        <w:rPr>
          <w:rFonts w:ascii="Times New Roman" w:hAnsi="Times New Roman" w:cs="Times New Roman"/>
          <w:sz w:val="24"/>
          <w:szCs w:val="24"/>
          <w:lang w:val="en-US"/>
        </w:rPr>
        <w:t>when topic diversity is low</w:t>
      </w:r>
      <w:r w:rsidR="00B17B17" w:rsidRPr="00456628">
        <w:rPr>
          <w:rFonts w:ascii="Times New Roman" w:hAnsi="Times New Roman" w:cs="Times New Roman"/>
          <w:sz w:val="24"/>
          <w:szCs w:val="24"/>
          <w:lang w:val="en-US"/>
        </w:rPr>
        <w:t xml:space="preserve">, it is unlikely that two measures of opinion congruence will be anywhere near each other. </w:t>
      </w:r>
      <w:r w:rsidR="005D6235" w:rsidRPr="00456628">
        <w:rPr>
          <w:rFonts w:ascii="Times New Roman" w:hAnsi="Times New Roman" w:cs="Times New Roman"/>
          <w:sz w:val="24"/>
          <w:szCs w:val="24"/>
          <w:lang w:val="en-US"/>
        </w:rPr>
        <w:t>T</w:t>
      </w:r>
      <w:r w:rsidR="00EE78F6" w:rsidRPr="00456628">
        <w:rPr>
          <w:rFonts w:ascii="Times New Roman" w:hAnsi="Times New Roman" w:cs="Times New Roman"/>
          <w:sz w:val="24"/>
          <w:szCs w:val="24"/>
          <w:lang w:val="en-US"/>
        </w:rPr>
        <w:t xml:space="preserve">he effect of topic diversity is </w:t>
      </w:r>
      <w:r w:rsidR="000B6601" w:rsidRPr="00456628">
        <w:rPr>
          <w:rFonts w:ascii="Times New Roman" w:hAnsi="Times New Roman" w:cs="Times New Roman"/>
          <w:sz w:val="24"/>
          <w:szCs w:val="24"/>
          <w:lang w:val="en-US"/>
        </w:rPr>
        <w:t xml:space="preserve">even more </w:t>
      </w:r>
      <w:r w:rsidR="00EE78F6" w:rsidRPr="00456628">
        <w:rPr>
          <w:rFonts w:ascii="Times New Roman" w:hAnsi="Times New Roman" w:cs="Times New Roman"/>
          <w:sz w:val="24"/>
          <w:szCs w:val="24"/>
          <w:lang w:val="en-US"/>
        </w:rPr>
        <w:t xml:space="preserve">clearly non-linear, with decreasing marginal improvement to congruence reliability. While </w:t>
      </w:r>
      <w:r w:rsidR="000301FB" w:rsidRPr="00456628">
        <w:rPr>
          <w:rFonts w:ascii="Times New Roman" w:hAnsi="Times New Roman" w:cs="Times New Roman"/>
          <w:sz w:val="24"/>
          <w:szCs w:val="24"/>
          <w:lang w:val="en-US"/>
        </w:rPr>
        <w:t>M</w:t>
      </w:r>
      <w:r w:rsidR="00EE78F6" w:rsidRPr="00456628">
        <w:rPr>
          <w:rFonts w:ascii="Times New Roman" w:hAnsi="Times New Roman" w:cs="Times New Roman"/>
          <w:sz w:val="24"/>
          <w:szCs w:val="24"/>
          <w:lang w:val="en-US"/>
        </w:rPr>
        <w:t xml:space="preserve">odel 1 indicates a significant difference in </w:t>
      </w:r>
      <w:r w:rsidR="001E32B0" w:rsidRPr="00456628">
        <w:rPr>
          <w:rFonts w:ascii="Times New Roman" w:hAnsi="Times New Roman" w:cs="Times New Roman"/>
          <w:sz w:val="24"/>
          <w:szCs w:val="24"/>
          <w:lang w:val="en-US"/>
        </w:rPr>
        <w:t>O</w:t>
      </w:r>
      <w:r w:rsidR="004F6835" w:rsidRPr="00456628">
        <w:rPr>
          <w:rFonts w:ascii="Times New Roman" w:hAnsi="Times New Roman" w:cs="Times New Roman"/>
          <w:sz w:val="24"/>
          <w:szCs w:val="24"/>
          <w:lang w:val="en-US"/>
        </w:rPr>
        <w:t>CV</w:t>
      </w:r>
      <w:r w:rsidR="0035472F" w:rsidRPr="00456628">
        <w:rPr>
          <w:rFonts w:ascii="Times New Roman" w:hAnsi="Times New Roman" w:cs="Times New Roman"/>
          <w:sz w:val="24"/>
          <w:szCs w:val="24"/>
          <w:lang w:val="en-US"/>
        </w:rPr>
        <w:t xml:space="preserve"> </w:t>
      </w:r>
      <w:r w:rsidR="00EE78F6" w:rsidRPr="00456628">
        <w:rPr>
          <w:rFonts w:ascii="Times New Roman" w:hAnsi="Times New Roman" w:cs="Times New Roman"/>
          <w:sz w:val="24"/>
          <w:szCs w:val="24"/>
          <w:lang w:val="en-US"/>
        </w:rPr>
        <w:t xml:space="preserve">when opinion congruence is measured by personal salience, this effect is in opposite direction as predicted in hypothesis 3. </w:t>
      </w:r>
      <w:r w:rsidR="007C7892" w:rsidRPr="00456628">
        <w:rPr>
          <w:rFonts w:ascii="Times New Roman" w:hAnsi="Times New Roman" w:cs="Times New Roman"/>
          <w:sz w:val="24"/>
          <w:szCs w:val="24"/>
          <w:lang w:val="en-US"/>
        </w:rPr>
        <w:t xml:space="preserve">However, </w:t>
      </w:r>
      <w:r w:rsidR="00C85052" w:rsidRPr="00456628">
        <w:rPr>
          <w:rFonts w:ascii="Times New Roman" w:hAnsi="Times New Roman" w:cs="Times New Roman"/>
          <w:sz w:val="24"/>
          <w:szCs w:val="24"/>
          <w:lang w:val="en-US"/>
        </w:rPr>
        <w:t>plot</w:t>
      </w:r>
      <w:r w:rsidR="003A2E8B" w:rsidRPr="00456628">
        <w:rPr>
          <w:rFonts w:ascii="Times New Roman" w:hAnsi="Times New Roman" w:cs="Times New Roman"/>
          <w:sz w:val="24"/>
          <w:szCs w:val="24"/>
          <w:lang w:val="en-US"/>
        </w:rPr>
        <w:t xml:space="preserve">ting </w:t>
      </w:r>
      <w:r w:rsidR="00C85052" w:rsidRPr="00456628">
        <w:rPr>
          <w:rFonts w:ascii="Times New Roman" w:hAnsi="Times New Roman" w:cs="Times New Roman"/>
          <w:sz w:val="24"/>
          <w:szCs w:val="24"/>
          <w:lang w:val="en-US"/>
        </w:rPr>
        <w:t>the</w:t>
      </w:r>
      <w:r w:rsidR="003A2E8B" w:rsidRPr="00456628">
        <w:rPr>
          <w:rFonts w:ascii="Times New Roman" w:hAnsi="Times New Roman" w:cs="Times New Roman"/>
          <w:sz w:val="24"/>
          <w:szCs w:val="24"/>
          <w:lang w:val="en-US"/>
        </w:rPr>
        <w:t xml:space="preserve"> distribution of both</w:t>
      </w:r>
      <w:r w:rsidR="00C85052" w:rsidRPr="00456628">
        <w:rPr>
          <w:rFonts w:ascii="Times New Roman" w:hAnsi="Times New Roman" w:cs="Times New Roman"/>
          <w:sz w:val="24"/>
          <w:szCs w:val="24"/>
          <w:lang w:val="en-US"/>
        </w:rPr>
        <w:t xml:space="preserve"> weighted and unweighted </w:t>
      </w:r>
      <w:r w:rsidR="001E32B0" w:rsidRPr="00456628">
        <w:rPr>
          <w:rFonts w:ascii="Times New Roman" w:hAnsi="Times New Roman" w:cs="Times New Roman"/>
          <w:sz w:val="24"/>
          <w:szCs w:val="24"/>
          <w:lang w:val="en-US"/>
        </w:rPr>
        <w:t xml:space="preserve">OCV </w:t>
      </w:r>
      <w:r w:rsidR="00C85052" w:rsidRPr="00456628">
        <w:rPr>
          <w:rFonts w:ascii="Times New Roman" w:hAnsi="Times New Roman" w:cs="Times New Roman"/>
          <w:sz w:val="24"/>
          <w:szCs w:val="24"/>
          <w:lang w:val="en-US"/>
        </w:rPr>
        <w:t xml:space="preserve">shows that the difference is very </w:t>
      </w:r>
      <w:r w:rsidR="00243D4D" w:rsidRPr="00456628">
        <w:rPr>
          <w:rFonts w:ascii="Times New Roman" w:hAnsi="Times New Roman" w:cs="Times New Roman"/>
          <w:sz w:val="24"/>
          <w:szCs w:val="24"/>
          <w:lang w:val="en-US"/>
        </w:rPr>
        <w:lastRenderedPageBreak/>
        <w:t>small</w:t>
      </w:r>
      <w:r w:rsidR="003A2E8B" w:rsidRPr="00456628">
        <w:rPr>
          <w:rFonts w:ascii="Times New Roman" w:hAnsi="Times New Roman" w:cs="Times New Roman"/>
          <w:sz w:val="24"/>
          <w:szCs w:val="24"/>
          <w:lang w:val="en-US"/>
        </w:rPr>
        <w:t xml:space="preserve"> (Figure </w:t>
      </w:r>
      <w:r w:rsidR="00FA76EF" w:rsidRPr="00456628">
        <w:rPr>
          <w:rFonts w:ascii="Times New Roman" w:hAnsi="Times New Roman" w:cs="Times New Roman"/>
          <w:sz w:val="24"/>
          <w:szCs w:val="24"/>
          <w:lang w:val="en-US"/>
        </w:rPr>
        <w:t>5</w:t>
      </w:r>
      <w:r w:rsidR="003A2E8B" w:rsidRPr="00456628">
        <w:rPr>
          <w:rFonts w:ascii="Times New Roman" w:hAnsi="Times New Roman" w:cs="Times New Roman"/>
          <w:sz w:val="24"/>
          <w:szCs w:val="24"/>
          <w:lang w:val="en-US"/>
        </w:rPr>
        <w:t>).</w:t>
      </w:r>
      <w:r w:rsidR="00C85052" w:rsidRPr="00456628">
        <w:rPr>
          <w:rFonts w:ascii="Times New Roman" w:hAnsi="Times New Roman" w:cs="Times New Roman"/>
          <w:sz w:val="24"/>
          <w:szCs w:val="24"/>
          <w:lang w:val="en-US"/>
        </w:rPr>
        <w:t xml:space="preserve"> </w:t>
      </w:r>
      <w:r w:rsidR="00EE78F6" w:rsidRPr="00456628">
        <w:rPr>
          <w:rFonts w:ascii="Times New Roman" w:hAnsi="Times New Roman" w:cs="Times New Roman"/>
          <w:sz w:val="24"/>
          <w:szCs w:val="24"/>
          <w:lang w:val="en-US"/>
        </w:rPr>
        <w:t xml:space="preserve">In light of this, we </w:t>
      </w:r>
      <w:r w:rsidR="0094025C" w:rsidRPr="00456628">
        <w:rPr>
          <w:rFonts w:ascii="Times New Roman" w:hAnsi="Times New Roman" w:cs="Times New Roman"/>
          <w:sz w:val="24"/>
          <w:szCs w:val="24"/>
          <w:lang w:val="en-US"/>
        </w:rPr>
        <w:t>would be</w:t>
      </w:r>
      <w:r w:rsidR="00EE78F6" w:rsidRPr="00456628">
        <w:rPr>
          <w:rFonts w:ascii="Times New Roman" w:hAnsi="Times New Roman" w:cs="Times New Roman"/>
          <w:sz w:val="24"/>
          <w:szCs w:val="24"/>
          <w:lang w:val="en-US"/>
        </w:rPr>
        <w:t xml:space="preserve"> hard-pressed to conclude that these result</w:t>
      </w:r>
      <w:r w:rsidR="0015285F" w:rsidRPr="00456628">
        <w:rPr>
          <w:rFonts w:ascii="Times New Roman" w:hAnsi="Times New Roman" w:cs="Times New Roman"/>
          <w:sz w:val="24"/>
          <w:szCs w:val="24"/>
          <w:lang w:val="en-US"/>
        </w:rPr>
        <w:t>s</w:t>
      </w:r>
      <w:r w:rsidR="00EE78F6" w:rsidRPr="00456628">
        <w:rPr>
          <w:rFonts w:ascii="Times New Roman" w:hAnsi="Times New Roman" w:cs="Times New Roman"/>
          <w:sz w:val="24"/>
          <w:szCs w:val="24"/>
          <w:lang w:val="en-US"/>
        </w:rPr>
        <w:t xml:space="preserve"> support hypothesis 3, in contrast to strong evidence in favor of hypotheses 1 and 2</w:t>
      </w:r>
      <w:r w:rsidR="00831FE6" w:rsidRPr="00456628">
        <w:rPr>
          <w:rStyle w:val="FootnoteReference"/>
          <w:rFonts w:ascii="Times New Roman" w:hAnsi="Times New Roman" w:cs="Times New Roman"/>
          <w:sz w:val="24"/>
          <w:szCs w:val="24"/>
          <w:lang w:val="en-US"/>
        </w:rPr>
        <w:footnoteReference w:id="9"/>
      </w:r>
      <w:r w:rsidR="00EE78F6" w:rsidRPr="00456628">
        <w:rPr>
          <w:rFonts w:ascii="Times New Roman" w:hAnsi="Times New Roman" w:cs="Times New Roman"/>
          <w:sz w:val="24"/>
          <w:szCs w:val="24"/>
          <w:lang w:val="en-US"/>
        </w:rPr>
        <w:t>.</w:t>
      </w:r>
    </w:p>
    <w:p w14:paraId="2EE927FC" w14:textId="61ECE48C" w:rsidR="0013529F" w:rsidRPr="00456628" w:rsidRDefault="0013529F" w:rsidP="0013529F">
      <w:pPr>
        <w:spacing w:after="0"/>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w:t>
      </w:r>
      <w:r w:rsidR="00870F74" w:rsidRPr="00456628">
        <w:rPr>
          <w:rFonts w:ascii="Times New Roman" w:hAnsi="Times New Roman" w:cs="Times New Roman"/>
          <w:sz w:val="24"/>
          <w:szCs w:val="24"/>
          <w:lang w:val="en-US"/>
        </w:rPr>
        <w:t>gure 4</w:t>
      </w:r>
      <w:r w:rsidRPr="00456628">
        <w:rPr>
          <w:rFonts w:ascii="Times New Roman" w:hAnsi="Times New Roman" w:cs="Times New Roman"/>
          <w:sz w:val="24"/>
          <w:szCs w:val="24"/>
          <w:lang w:val="en-US"/>
        </w:rPr>
        <w:t xml:space="preserve"> here]</w:t>
      </w:r>
    </w:p>
    <w:p w14:paraId="583098BD" w14:textId="49CD02CD" w:rsidR="0013529F" w:rsidRPr="00456628" w:rsidRDefault="00870F74" w:rsidP="0013529F">
      <w:pPr>
        <w:spacing w:after="0"/>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Figure 5</w:t>
      </w:r>
      <w:r w:rsidR="0013529F" w:rsidRPr="00456628">
        <w:rPr>
          <w:rFonts w:ascii="Times New Roman" w:hAnsi="Times New Roman" w:cs="Times New Roman"/>
          <w:sz w:val="24"/>
          <w:szCs w:val="24"/>
          <w:lang w:val="en-US"/>
        </w:rPr>
        <w:t xml:space="preserve"> here]</w:t>
      </w:r>
    </w:p>
    <w:p w14:paraId="6EF6B317" w14:textId="5BD37751" w:rsidR="00E47866" w:rsidRPr="00456628" w:rsidRDefault="00EE78F6" w:rsidP="0013529F">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In Model</w:t>
      </w:r>
      <w:r w:rsidR="00686D27" w:rsidRPr="00456628">
        <w:rPr>
          <w:rFonts w:ascii="Times New Roman" w:hAnsi="Times New Roman" w:cs="Times New Roman"/>
          <w:sz w:val="24"/>
          <w:szCs w:val="24"/>
          <w:lang w:val="en-US"/>
        </w:rPr>
        <w:t xml:space="preserve"> 1</w:t>
      </w:r>
      <w:r w:rsidRPr="00456628">
        <w:rPr>
          <w:rFonts w:ascii="Times New Roman" w:hAnsi="Times New Roman" w:cs="Times New Roman"/>
          <w:sz w:val="24"/>
          <w:szCs w:val="24"/>
          <w:lang w:val="en-US"/>
        </w:rPr>
        <w:t xml:space="preserve">, the coefficient </w:t>
      </w:r>
      <w:r w:rsidR="00F73E45" w:rsidRPr="00456628">
        <w:rPr>
          <w:rFonts w:ascii="Times New Roman" w:hAnsi="Times New Roman" w:cs="Times New Roman"/>
          <w:sz w:val="24"/>
          <w:szCs w:val="24"/>
          <w:lang w:val="en-US"/>
        </w:rPr>
        <w:t xml:space="preserve">of political interest </w:t>
      </w:r>
      <w:r w:rsidR="000B6601" w:rsidRPr="00456628">
        <w:rPr>
          <w:rFonts w:ascii="Times New Roman" w:hAnsi="Times New Roman" w:cs="Times New Roman"/>
          <w:sz w:val="24"/>
          <w:szCs w:val="24"/>
          <w:lang w:val="en-US"/>
        </w:rPr>
        <w:t xml:space="preserve">is not </w:t>
      </w:r>
      <w:r w:rsidR="00F73E45" w:rsidRPr="00456628">
        <w:rPr>
          <w:rFonts w:ascii="Times New Roman" w:hAnsi="Times New Roman" w:cs="Times New Roman"/>
          <w:sz w:val="24"/>
          <w:szCs w:val="24"/>
          <w:lang w:val="en-US"/>
        </w:rPr>
        <w:t>significan</w:t>
      </w:r>
      <w:r w:rsidR="000B6601" w:rsidRPr="00456628">
        <w:rPr>
          <w:rFonts w:ascii="Times New Roman" w:hAnsi="Times New Roman" w:cs="Times New Roman"/>
          <w:sz w:val="24"/>
          <w:szCs w:val="24"/>
          <w:lang w:val="en-US"/>
        </w:rPr>
        <w:t>t</w:t>
      </w:r>
      <w:r w:rsidR="00F73E45" w:rsidRPr="00456628">
        <w:rPr>
          <w:rFonts w:ascii="Times New Roman" w:hAnsi="Times New Roman" w:cs="Times New Roman"/>
          <w:sz w:val="24"/>
          <w:szCs w:val="24"/>
          <w:lang w:val="en-US"/>
        </w:rPr>
        <w:t xml:space="preserve">, leading us to </w:t>
      </w:r>
      <w:r w:rsidR="00686D27" w:rsidRPr="00456628">
        <w:rPr>
          <w:rFonts w:ascii="Times New Roman" w:hAnsi="Times New Roman" w:cs="Times New Roman"/>
          <w:sz w:val="24"/>
          <w:szCs w:val="24"/>
          <w:lang w:val="en-US"/>
        </w:rPr>
        <w:t>reject hypothesis 4a. However, M</w:t>
      </w:r>
      <w:r w:rsidR="00F73E45" w:rsidRPr="00456628">
        <w:rPr>
          <w:rFonts w:ascii="Times New Roman" w:hAnsi="Times New Roman" w:cs="Times New Roman"/>
          <w:sz w:val="24"/>
          <w:szCs w:val="24"/>
          <w:lang w:val="en-US"/>
        </w:rPr>
        <w:t>odel 2 reveals an interaction effect between political interest and the number of left-right statements in the samples</w:t>
      </w:r>
      <w:r w:rsidR="000B6601" w:rsidRPr="00456628">
        <w:rPr>
          <w:rFonts w:ascii="Times New Roman" w:hAnsi="Times New Roman" w:cs="Times New Roman"/>
          <w:sz w:val="24"/>
          <w:szCs w:val="24"/>
          <w:lang w:val="en-US"/>
        </w:rPr>
        <w:t>, shown in Figure 4</w:t>
      </w:r>
      <w:r w:rsidR="00F73E45" w:rsidRPr="00456628">
        <w:rPr>
          <w:rFonts w:ascii="Times New Roman" w:hAnsi="Times New Roman" w:cs="Times New Roman"/>
          <w:sz w:val="24"/>
          <w:szCs w:val="24"/>
          <w:lang w:val="en-US"/>
        </w:rPr>
        <w:t>.</w:t>
      </w:r>
      <w:r w:rsidR="00E47866" w:rsidRPr="00456628">
        <w:rPr>
          <w:rFonts w:ascii="Times New Roman" w:hAnsi="Times New Roman" w:cs="Times New Roman"/>
          <w:sz w:val="24"/>
          <w:szCs w:val="24"/>
          <w:lang w:val="en-US"/>
        </w:rPr>
        <w:t xml:space="preserve"> The main effect of political interest is negative, indicating that, when opinion congruence is calculated on </w:t>
      </w:r>
      <w:r w:rsidR="00441FD6" w:rsidRPr="00456628">
        <w:rPr>
          <w:rFonts w:ascii="Times New Roman" w:hAnsi="Times New Roman" w:cs="Times New Roman"/>
          <w:sz w:val="24"/>
          <w:szCs w:val="24"/>
          <w:lang w:val="en-US"/>
        </w:rPr>
        <w:t xml:space="preserve">the basis of not a single left-right statement, </w:t>
      </w:r>
      <w:r w:rsidR="001E32B0" w:rsidRPr="00456628">
        <w:rPr>
          <w:rFonts w:ascii="Times New Roman" w:hAnsi="Times New Roman" w:cs="Times New Roman"/>
          <w:sz w:val="24"/>
          <w:szCs w:val="24"/>
          <w:lang w:val="en-US"/>
        </w:rPr>
        <w:t xml:space="preserve">OCV </w:t>
      </w:r>
      <w:r w:rsidR="000B6601" w:rsidRPr="00456628">
        <w:rPr>
          <w:rFonts w:ascii="Times New Roman" w:hAnsi="Times New Roman" w:cs="Times New Roman"/>
          <w:sz w:val="24"/>
          <w:szCs w:val="24"/>
          <w:lang w:val="en-US"/>
        </w:rPr>
        <w:t xml:space="preserve">is </w:t>
      </w:r>
      <w:r w:rsidR="00686D27" w:rsidRPr="00456628">
        <w:rPr>
          <w:rFonts w:ascii="Times New Roman" w:hAnsi="Times New Roman" w:cs="Times New Roman"/>
          <w:sz w:val="24"/>
          <w:szCs w:val="24"/>
          <w:lang w:val="en-US"/>
        </w:rPr>
        <w:t xml:space="preserve">negatively </w:t>
      </w:r>
      <w:r w:rsidR="000B6601" w:rsidRPr="00456628">
        <w:rPr>
          <w:rFonts w:ascii="Times New Roman" w:hAnsi="Times New Roman" w:cs="Times New Roman"/>
          <w:sz w:val="24"/>
          <w:szCs w:val="24"/>
          <w:lang w:val="en-US"/>
        </w:rPr>
        <w:t>dependent on political interest</w:t>
      </w:r>
      <w:r w:rsidR="00441FD6" w:rsidRPr="00456628">
        <w:rPr>
          <w:rFonts w:ascii="Times New Roman" w:hAnsi="Times New Roman" w:cs="Times New Roman"/>
          <w:sz w:val="24"/>
          <w:szCs w:val="24"/>
          <w:lang w:val="en-US"/>
        </w:rPr>
        <w:t>.</w:t>
      </w:r>
      <w:r w:rsidR="00F73E45" w:rsidRPr="00456628">
        <w:rPr>
          <w:rFonts w:ascii="Times New Roman" w:hAnsi="Times New Roman" w:cs="Times New Roman"/>
          <w:sz w:val="24"/>
          <w:szCs w:val="24"/>
          <w:lang w:val="en-US"/>
        </w:rPr>
        <w:t xml:space="preserve"> The direction </w:t>
      </w:r>
      <w:r w:rsidR="00E47866" w:rsidRPr="00456628">
        <w:rPr>
          <w:rFonts w:ascii="Times New Roman" w:hAnsi="Times New Roman" w:cs="Times New Roman"/>
          <w:sz w:val="24"/>
          <w:szCs w:val="24"/>
          <w:lang w:val="en-US"/>
        </w:rPr>
        <w:t xml:space="preserve">of the </w:t>
      </w:r>
      <w:r w:rsidR="000B6601" w:rsidRPr="00456628">
        <w:rPr>
          <w:rFonts w:ascii="Times New Roman" w:hAnsi="Times New Roman" w:cs="Times New Roman"/>
          <w:sz w:val="24"/>
          <w:szCs w:val="24"/>
          <w:lang w:val="en-US"/>
        </w:rPr>
        <w:t xml:space="preserve">interaction </w:t>
      </w:r>
      <w:r w:rsidR="00E47866" w:rsidRPr="00456628">
        <w:rPr>
          <w:rFonts w:ascii="Times New Roman" w:hAnsi="Times New Roman" w:cs="Times New Roman"/>
          <w:sz w:val="24"/>
          <w:szCs w:val="24"/>
          <w:lang w:val="en-US"/>
        </w:rPr>
        <w:t xml:space="preserve">effect </w:t>
      </w:r>
      <w:r w:rsidR="00F73E45" w:rsidRPr="00456628">
        <w:rPr>
          <w:rFonts w:ascii="Times New Roman" w:hAnsi="Times New Roman" w:cs="Times New Roman"/>
          <w:sz w:val="24"/>
          <w:szCs w:val="24"/>
          <w:lang w:val="en-US"/>
        </w:rPr>
        <w:t xml:space="preserve">is </w:t>
      </w:r>
      <w:r w:rsidR="00E47866" w:rsidRPr="00456628">
        <w:rPr>
          <w:rFonts w:ascii="Times New Roman" w:hAnsi="Times New Roman" w:cs="Times New Roman"/>
          <w:sz w:val="24"/>
          <w:szCs w:val="24"/>
          <w:lang w:val="en-US"/>
        </w:rPr>
        <w:t>positive</w:t>
      </w:r>
      <w:r w:rsidR="00F73E45" w:rsidRPr="00456628">
        <w:rPr>
          <w:rFonts w:ascii="Times New Roman" w:hAnsi="Times New Roman" w:cs="Times New Roman"/>
          <w:sz w:val="24"/>
          <w:szCs w:val="24"/>
          <w:lang w:val="en-US"/>
        </w:rPr>
        <w:t xml:space="preserve">, </w:t>
      </w:r>
      <w:r w:rsidR="000B6601" w:rsidRPr="00456628">
        <w:rPr>
          <w:rFonts w:ascii="Times New Roman" w:hAnsi="Times New Roman" w:cs="Times New Roman"/>
          <w:sz w:val="24"/>
          <w:szCs w:val="24"/>
          <w:lang w:val="en-US"/>
        </w:rPr>
        <w:t xml:space="preserve">meaning </w:t>
      </w:r>
      <w:r w:rsidR="00441FD6" w:rsidRPr="00456628">
        <w:rPr>
          <w:rFonts w:ascii="Times New Roman" w:hAnsi="Times New Roman" w:cs="Times New Roman"/>
          <w:sz w:val="24"/>
          <w:szCs w:val="24"/>
          <w:lang w:val="en-US"/>
        </w:rPr>
        <w:t xml:space="preserve">that increasing the number of left-right statements in the policy statement samples </w:t>
      </w:r>
      <w:r w:rsidR="000B6601" w:rsidRPr="00456628">
        <w:rPr>
          <w:rFonts w:ascii="Times New Roman" w:hAnsi="Times New Roman" w:cs="Times New Roman"/>
          <w:sz w:val="24"/>
          <w:szCs w:val="24"/>
          <w:lang w:val="en-US"/>
        </w:rPr>
        <w:t>lessens the negative effect of political interest</w:t>
      </w:r>
      <w:r w:rsidR="00441FD6" w:rsidRPr="00456628">
        <w:rPr>
          <w:rFonts w:ascii="Times New Roman" w:hAnsi="Times New Roman" w:cs="Times New Roman"/>
          <w:sz w:val="24"/>
          <w:szCs w:val="24"/>
          <w:lang w:val="en-US"/>
        </w:rPr>
        <w:t xml:space="preserve">. </w:t>
      </w:r>
      <w:r w:rsidR="000B6601" w:rsidRPr="00456628">
        <w:rPr>
          <w:rFonts w:ascii="Times New Roman" w:hAnsi="Times New Roman" w:cs="Times New Roman"/>
          <w:sz w:val="24"/>
          <w:szCs w:val="24"/>
          <w:lang w:val="en-US"/>
        </w:rPr>
        <w:t>In other words,</w:t>
      </w:r>
      <w:r w:rsidR="00441FD6" w:rsidRPr="00456628">
        <w:rPr>
          <w:rFonts w:ascii="Times New Roman" w:hAnsi="Times New Roman" w:cs="Times New Roman"/>
          <w:sz w:val="24"/>
          <w:szCs w:val="24"/>
          <w:lang w:val="en-US"/>
        </w:rPr>
        <w:t xml:space="preserve"> when the vast majority of statements can be linked to the left-right ideological spectrum, </w:t>
      </w:r>
      <w:r w:rsidR="00BE7E26" w:rsidRPr="00456628">
        <w:rPr>
          <w:rFonts w:ascii="Times New Roman" w:hAnsi="Times New Roman" w:cs="Times New Roman"/>
          <w:sz w:val="24"/>
          <w:szCs w:val="24"/>
          <w:lang w:val="en-US"/>
        </w:rPr>
        <w:t>the</w:t>
      </w:r>
      <w:r w:rsidR="00441FD6" w:rsidRPr="00456628">
        <w:rPr>
          <w:rFonts w:ascii="Times New Roman" w:hAnsi="Times New Roman" w:cs="Times New Roman"/>
          <w:sz w:val="24"/>
          <w:szCs w:val="24"/>
          <w:lang w:val="en-US"/>
        </w:rPr>
        <w:t xml:space="preserve"> distinction </w:t>
      </w:r>
      <w:r w:rsidR="00BE7E26" w:rsidRPr="00456628">
        <w:rPr>
          <w:rFonts w:ascii="Times New Roman" w:hAnsi="Times New Roman" w:cs="Times New Roman"/>
          <w:sz w:val="24"/>
          <w:szCs w:val="24"/>
          <w:lang w:val="en-US"/>
        </w:rPr>
        <w:t>bet</w:t>
      </w:r>
      <w:r w:rsidR="00441FD6" w:rsidRPr="00456628">
        <w:rPr>
          <w:rFonts w:ascii="Times New Roman" w:hAnsi="Times New Roman" w:cs="Times New Roman"/>
          <w:sz w:val="24"/>
          <w:szCs w:val="24"/>
          <w:lang w:val="en-US"/>
        </w:rPr>
        <w:t>ween voters on the basis of interest in politics</w:t>
      </w:r>
      <w:r w:rsidR="00BE7E26" w:rsidRPr="00456628">
        <w:rPr>
          <w:rFonts w:ascii="Times New Roman" w:hAnsi="Times New Roman" w:cs="Times New Roman"/>
          <w:sz w:val="24"/>
          <w:szCs w:val="24"/>
          <w:lang w:val="en-US"/>
        </w:rPr>
        <w:t xml:space="preserve"> with regards to </w:t>
      </w:r>
      <w:r w:rsidR="001E32B0" w:rsidRPr="00456628">
        <w:rPr>
          <w:rFonts w:ascii="Times New Roman" w:hAnsi="Times New Roman" w:cs="Times New Roman"/>
          <w:sz w:val="24"/>
          <w:szCs w:val="24"/>
          <w:lang w:val="en-US"/>
        </w:rPr>
        <w:t xml:space="preserve">OCV </w:t>
      </w:r>
      <w:r w:rsidR="00BE7E26" w:rsidRPr="00456628">
        <w:rPr>
          <w:rFonts w:ascii="Times New Roman" w:hAnsi="Times New Roman" w:cs="Times New Roman"/>
          <w:sz w:val="24"/>
          <w:szCs w:val="24"/>
          <w:lang w:val="en-US"/>
        </w:rPr>
        <w:t>begins to fade, though it never fully disappears</w:t>
      </w:r>
      <w:r w:rsidR="00441FD6" w:rsidRPr="00456628">
        <w:rPr>
          <w:rFonts w:ascii="Times New Roman" w:hAnsi="Times New Roman" w:cs="Times New Roman"/>
          <w:sz w:val="24"/>
          <w:szCs w:val="24"/>
          <w:lang w:val="en-US"/>
        </w:rPr>
        <w:t xml:space="preserve">. </w:t>
      </w:r>
      <w:r w:rsidR="00BE7E26" w:rsidRPr="00456628">
        <w:rPr>
          <w:rFonts w:ascii="Times New Roman" w:hAnsi="Times New Roman" w:cs="Times New Roman"/>
          <w:sz w:val="24"/>
          <w:szCs w:val="24"/>
          <w:lang w:val="en-US"/>
        </w:rPr>
        <w:t xml:space="preserve">While </w:t>
      </w:r>
      <w:r w:rsidR="00117B78" w:rsidRPr="00456628">
        <w:rPr>
          <w:rFonts w:ascii="Times New Roman" w:hAnsi="Times New Roman" w:cs="Times New Roman"/>
          <w:sz w:val="24"/>
          <w:szCs w:val="24"/>
          <w:lang w:val="en-US"/>
        </w:rPr>
        <w:t xml:space="preserve">the </w:t>
      </w:r>
      <w:r w:rsidR="00BE7E26" w:rsidRPr="00456628">
        <w:rPr>
          <w:rFonts w:ascii="Times New Roman" w:hAnsi="Times New Roman" w:cs="Times New Roman"/>
          <w:sz w:val="24"/>
          <w:szCs w:val="24"/>
          <w:lang w:val="en-US"/>
        </w:rPr>
        <w:t xml:space="preserve">moderating effect in Figure 4 is smaller than </w:t>
      </w:r>
      <w:r w:rsidR="00117B78" w:rsidRPr="00456628">
        <w:rPr>
          <w:rFonts w:ascii="Times New Roman" w:hAnsi="Times New Roman" w:cs="Times New Roman"/>
          <w:sz w:val="24"/>
          <w:szCs w:val="24"/>
          <w:lang w:val="en-US"/>
        </w:rPr>
        <w:t xml:space="preserve">the </w:t>
      </w:r>
      <w:r w:rsidR="00BE7E26" w:rsidRPr="00456628">
        <w:rPr>
          <w:rFonts w:ascii="Times New Roman" w:hAnsi="Times New Roman" w:cs="Times New Roman"/>
          <w:sz w:val="24"/>
          <w:szCs w:val="24"/>
          <w:lang w:val="en-US"/>
        </w:rPr>
        <w:t xml:space="preserve">impact of the number of statements and topic diversity, the effect remains substantial. </w:t>
      </w:r>
      <w:r w:rsidR="00441FD6" w:rsidRPr="00456628">
        <w:rPr>
          <w:rFonts w:ascii="Times New Roman" w:hAnsi="Times New Roman" w:cs="Times New Roman"/>
          <w:sz w:val="24"/>
          <w:szCs w:val="24"/>
          <w:lang w:val="en-US"/>
        </w:rPr>
        <w:t xml:space="preserve">These analyses </w:t>
      </w:r>
      <w:r w:rsidR="000B6601" w:rsidRPr="00456628">
        <w:rPr>
          <w:rFonts w:ascii="Times New Roman" w:hAnsi="Times New Roman" w:cs="Times New Roman"/>
          <w:sz w:val="24"/>
          <w:szCs w:val="24"/>
          <w:lang w:val="en-US"/>
        </w:rPr>
        <w:t xml:space="preserve">also </w:t>
      </w:r>
      <w:r w:rsidR="00441FD6" w:rsidRPr="00456628">
        <w:rPr>
          <w:rFonts w:ascii="Times New Roman" w:hAnsi="Times New Roman" w:cs="Times New Roman"/>
          <w:sz w:val="24"/>
          <w:szCs w:val="24"/>
          <w:lang w:val="en-US"/>
        </w:rPr>
        <w:t xml:space="preserve">reveal the number of left-right statements as another factor that affects </w:t>
      </w:r>
      <w:r w:rsidR="0023644C" w:rsidRPr="00456628">
        <w:rPr>
          <w:rFonts w:ascii="Times New Roman" w:hAnsi="Times New Roman" w:cs="Times New Roman"/>
          <w:sz w:val="24"/>
          <w:szCs w:val="24"/>
          <w:lang w:val="en-US"/>
        </w:rPr>
        <w:t>OC</w:t>
      </w:r>
      <w:r w:rsidR="00283D48" w:rsidRPr="00456628">
        <w:rPr>
          <w:rFonts w:ascii="Times New Roman" w:hAnsi="Times New Roman" w:cs="Times New Roman"/>
          <w:sz w:val="24"/>
          <w:szCs w:val="24"/>
          <w:lang w:val="en-US"/>
        </w:rPr>
        <w:t>V</w:t>
      </w:r>
      <w:r w:rsidR="00441FD6" w:rsidRPr="00456628">
        <w:rPr>
          <w:rFonts w:ascii="Times New Roman" w:hAnsi="Times New Roman" w:cs="Times New Roman"/>
          <w:sz w:val="24"/>
          <w:szCs w:val="24"/>
          <w:lang w:val="en-US"/>
        </w:rPr>
        <w:t xml:space="preserve">. </w:t>
      </w:r>
      <w:r w:rsidR="003A6D40" w:rsidRPr="00456628">
        <w:rPr>
          <w:rFonts w:ascii="Times New Roman" w:hAnsi="Times New Roman" w:cs="Times New Roman"/>
          <w:sz w:val="24"/>
          <w:szCs w:val="24"/>
          <w:lang w:val="en-US"/>
        </w:rPr>
        <w:t xml:space="preserve">From the direct effect in </w:t>
      </w:r>
      <w:r w:rsidR="00686D27" w:rsidRPr="00456628">
        <w:rPr>
          <w:rFonts w:ascii="Times New Roman" w:hAnsi="Times New Roman" w:cs="Times New Roman"/>
          <w:sz w:val="24"/>
          <w:szCs w:val="24"/>
          <w:lang w:val="en-US"/>
        </w:rPr>
        <w:t>M</w:t>
      </w:r>
      <w:r w:rsidR="003A6D40" w:rsidRPr="00456628">
        <w:rPr>
          <w:rFonts w:ascii="Times New Roman" w:hAnsi="Times New Roman" w:cs="Times New Roman"/>
          <w:sz w:val="24"/>
          <w:szCs w:val="24"/>
          <w:lang w:val="en-US"/>
        </w:rPr>
        <w:t>odel</w:t>
      </w:r>
      <w:r w:rsidR="00686D27" w:rsidRPr="00456628">
        <w:rPr>
          <w:rFonts w:ascii="Times New Roman" w:hAnsi="Times New Roman" w:cs="Times New Roman"/>
          <w:sz w:val="24"/>
          <w:szCs w:val="24"/>
          <w:lang w:val="en-US"/>
        </w:rPr>
        <w:t xml:space="preserve"> 1</w:t>
      </w:r>
      <w:r w:rsidR="003A6D40" w:rsidRPr="00456628">
        <w:rPr>
          <w:rFonts w:ascii="Times New Roman" w:hAnsi="Times New Roman" w:cs="Times New Roman"/>
          <w:sz w:val="24"/>
          <w:szCs w:val="24"/>
          <w:lang w:val="en-US"/>
        </w:rPr>
        <w:t>, we find that opinion congruence measures that are strongly embedded in the left-right scale are m</w:t>
      </w:r>
      <w:r w:rsidR="00BE7E26" w:rsidRPr="00456628">
        <w:rPr>
          <w:rFonts w:ascii="Times New Roman" w:hAnsi="Times New Roman" w:cs="Times New Roman"/>
          <w:sz w:val="24"/>
          <w:szCs w:val="24"/>
          <w:lang w:val="en-US"/>
        </w:rPr>
        <w:t xml:space="preserve">ore reliable </w:t>
      </w:r>
      <w:r w:rsidR="00117B78" w:rsidRPr="00456628">
        <w:rPr>
          <w:rFonts w:ascii="Times New Roman" w:hAnsi="Times New Roman" w:cs="Times New Roman"/>
          <w:sz w:val="24"/>
          <w:szCs w:val="24"/>
          <w:lang w:val="en-US"/>
        </w:rPr>
        <w:t xml:space="preserve">than </w:t>
      </w:r>
      <w:r w:rsidR="00BE7E26" w:rsidRPr="00456628">
        <w:rPr>
          <w:rFonts w:ascii="Times New Roman" w:hAnsi="Times New Roman" w:cs="Times New Roman"/>
          <w:sz w:val="24"/>
          <w:szCs w:val="24"/>
          <w:lang w:val="en-US"/>
        </w:rPr>
        <w:t>those that are not, though the difference is not large.</w:t>
      </w:r>
    </w:p>
    <w:p w14:paraId="175B7349" w14:textId="35F80405" w:rsidR="0013529F" w:rsidRPr="00456628" w:rsidRDefault="00A012A1" w:rsidP="00647047">
      <w:pPr>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[insert Figure </w:t>
      </w:r>
      <w:r w:rsidR="00870F74" w:rsidRPr="00456628">
        <w:rPr>
          <w:rFonts w:ascii="Times New Roman" w:hAnsi="Times New Roman" w:cs="Times New Roman"/>
          <w:sz w:val="24"/>
          <w:szCs w:val="24"/>
          <w:lang w:val="en-US"/>
        </w:rPr>
        <w:t>6</w:t>
      </w:r>
      <w:r w:rsidR="0013529F" w:rsidRPr="00456628">
        <w:rPr>
          <w:rFonts w:ascii="Times New Roman" w:hAnsi="Times New Roman" w:cs="Times New Roman"/>
          <w:sz w:val="24"/>
          <w:szCs w:val="24"/>
          <w:lang w:val="en-US"/>
        </w:rPr>
        <w:t xml:space="preserve"> here]</w:t>
      </w:r>
    </w:p>
    <w:p w14:paraId="06BEFCA7" w14:textId="77777777" w:rsidR="007753F2" w:rsidRPr="00456628" w:rsidRDefault="007753F2" w:rsidP="007753F2">
      <w:pPr>
        <w:rPr>
          <w:rFonts w:ascii="Times New Roman" w:hAnsi="Times New Roman" w:cs="Times New Roman"/>
          <w:sz w:val="24"/>
          <w:szCs w:val="24"/>
          <w:lang w:val="en-US"/>
        </w:rPr>
      </w:pPr>
    </w:p>
    <w:p w14:paraId="78D33142" w14:textId="5286223A" w:rsidR="00870F74" w:rsidRPr="00456628" w:rsidRDefault="00870F74" w:rsidP="003A6D40">
      <w:pPr>
        <w:rPr>
          <w:rFonts w:ascii="Times New Roman" w:hAnsi="Times New Roman" w:cs="Times New Roman"/>
          <w:b/>
          <w:sz w:val="24"/>
          <w:szCs w:val="24"/>
          <w:lang w:val="en-US"/>
        </w:rPr>
      </w:pPr>
      <w:r w:rsidRPr="00456628">
        <w:rPr>
          <w:rFonts w:ascii="Times New Roman" w:hAnsi="Times New Roman" w:cs="Times New Roman"/>
          <w:b/>
          <w:sz w:val="24"/>
          <w:szCs w:val="24"/>
          <w:lang w:val="en-US"/>
        </w:rPr>
        <w:t>Do sample size, diversity, and salience increase opinion congruence validity?</w:t>
      </w:r>
    </w:p>
    <w:p w14:paraId="75CBDF5D" w14:textId="2D15A7BE" w:rsidR="0091247C" w:rsidRPr="00456628" w:rsidRDefault="00870F74" w:rsidP="003A6D40">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Our first three hypotheses predicted that increasing the </w:t>
      </w:r>
      <w:r w:rsidR="00EE10DD" w:rsidRPr="00456628">
        <w:rPr>
          <w:rFonts w:ascii="Times New Roman" w:hAnsi="Times New Roman" w:cs="Times New Roman"/>
          <w:sz w:val="24"/>
          <w:szCs w:val="24"/>
          <w:lang w:val="en-US"/>
        </w:rPr>
        <w:t>number of policy statements</w:t>
      </w:r>
      <w:r w:rsidRPr="00456628">
        <w:rPr>
          <w:rFonts w:ascii="Times New Roman" w:hAnsi="Times New Roman" w:cs="Times New Roman"/>
          <w:sz w:val="24"/>
          <w:szCs w:val="24"/>
          <w:lang w:val="en-US"/>
        </w:rPr>
        <w:t xml:space="preserve">, the diversity of the topics covered by the statements, and in the weighting of statements by their importance would increase the reliability of the opinion congruence estimates. In addition to reliability, their inclusion in the measurement of opinion agreement arguably makes the estimates more </w:t>
      </w:r>
      <w:r w:rsidRPr="00456628">
        <w:rPr>
          <w:rFonts w:ascii="Times New Roman" w:hAnsi="Times New Roman" w:cs="Times New Roman"/>
          <w:sz w:val="24"/>
          <w:szCs w:val="24"/>
          <w:lang w:val="en-US"/>
        </w:rPr>
        <w:lastRenderedPageBreak/>
        <w:t xml:space="preserve">encompassing and nuanced. In other words, it is possible that sample size, topic diversity, and </w:t>
      </w:r>
      <w:r w:rsidR="00EE10DD" w:rsidRPr="00456628">
        <w:rPr>
          <w:rFonts w:ascii="Times New Roman" w:hAnsi="Times New Roman" w:cs="Times New Roman"/>
          <w:sz w:val="24"/>
          <w:szCs w:val="24"/>
          <w:lang w:val="en-US"/>
        </w:rPr>
        <w:t>personal</w:t>
      </w:r>
      <w:r w:rsidRPr="00456628">
        <w:rPr>
          <w:rFonts w:ascii="Times New Roman" w:hAnsi="Times New Roman" w:cs="Times New Roman"/>
          <w:sz w:val="24"/>
          <w:szCs w:val="24"/>
          <w:lang w:val="en-US"/>
        </w:rPr>
        <w:t xml:space="preserve"> salience also improve the validity of opinion congruence. While a full validity examination is beyond the scope of the present study, we do present here an explorative analysis. Specifically, we examine whether </w:t>
      </w:r>
      <w:r w:rsidR="00EE10DD" w:rsidRPr="00456628">
        <w:rPr>
          <w:rFonts w:ascii="Times New Roman" w:hAnsi="Times New Roman" w:cs="Times New Roman"/>
          <w:sz w:val="24"/>
          <w:szCs w:val="24"/>
          <w:lang w:val="en-US"/>
        </w:rPr>
        <w:t xml:space="preserve">statement </w:t>
      </w:r>
      <w:r w:rsidRPr="00456628">
        <w:rPr>
          <w:rFonts w:ascii="Times New Roman" w:hAnsi="Times New Roman" w:cs="Times New Roman"/>
          <w:sz w:val="24"/>
          <w:szCs w:val="24"/>
          <w:lang w:val="en-US"/>
        </w:rPr>
        <w:t xml:space="preserve">sample size, topic diversity, and </w:t>
      </w:r>
      <w:r w:rsidR="00EE10DD" w:rsidRPr="00456628">
        <w:rPr>
          <w:rFonts w:ascii="Times New Roman" w:hAnsi="Times New Roman" w:cs="Times New Roman"/>
          <w:sz w:val="24"/>
          <w:szCs w:val="24"/>
          <w:lang w:val="en-US"/>
        </w:rPr>
        <w:t>personal</w:t>
      </w:r>
      <w:r w:rsidRPr="00456628">
        <w:rPr>
          <w:rFonts w:ascii="Times New Roman" w:hAnsi="Times New Roman" w:cs="Times New Roman"/>
          <w:sz w:val="24"/>
          <w:szCs w:val="24"/>
          <w:lang w:val="en-US"/>
        </w:rPr>
        <w:t xml:space="preserve"> salience increase the likelihood that one will find patterns of congruence that make sense. </w:t>
      </w:r>
    </w:p>
    <w:p w14:paraId="4DBF2F29" w14:textId="014677D2" w:rsidR="00870F74" w:rsidRPr="00456628" w:rsidRDefault="00870F74" w:rsidP="003A6D40">
      <w:pPr>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While we are aware that this reverses the scientific process, whereby </w:t>
      </w:r>
      <w:r w:rsidR="005B7A4F" w:rsidRPr="00456628">
        <w:rPr>
          <w:rFonts w:ascii="Times New Roman" w:hAnsi="Times New Roman" w:cs="Times New Roman"/>
          <w:sz w:val="24"/>
          <w:szCs w:val="24"/>
          <w:lang w:val="en-US"/>
        </w:rPr>
        <w:t>a hypothesis</w:t>
      </w:r>
      <w:r w:rsidRPr="00456628">
        <w:rPr>
          <w:rFonts w:ascii="Times New Roman" w:hAnsi="Times New Roman" w:cs="Times New Roman"/>
          <w:sz w:val="24"/>
          <w:szCs w:val="24"/>
          <w:lang w:val="en-US"/>
        </w:rPr>
        <w:t xml:space="preserve"> is used to examine </w:t>
      </w:r>
      <w:r w:rsidR="005B7A4F" w:rsidRPr="00456628">
        <w:rPr>
          <w:rFonts w:ascii="Times New Roman" w:hAnsi="Times New Roman" w:cs="Times New Roman"/>
          <w:sz w:val="24"/>
          <w:szCs w:val="24"/>
          <w:lang w:val="en-US"/>
        </w:rPr>
        <w:t>data</w:t>
      </w:r>
      <w:r w:rsidRPr="00456628">
        <w:rPr>
          <w:rFonts w:ascii="Times New Roman" w:hAnsi="Times New Roman" w:cs="Times New Roman"/>
          <w:sz w:val="24"/>
          <w:szCs w:val="24"/>
          <w:lang w:val="en-US"/>
        </w:rPr>
        <w:t xml:space="preserve"> </w:t>
      </w:r>
      <w:r w:rsidR="005B7A4F" w:rsidRPr="00456628">
        <w:rPr>
          <w:rFonts w:ascii="Times New Roman" w:hAnsi="Times New Roman" w:cs="Times New Roman"/>
          <w:sz w:val="24"/>
          <w:szCs w:val="24"/>
          <w:lang w:val="en-US"/>
        </w:rPr>
        <w:t>instead of the</w:t>
      </w:r>
      <w:r w:rsidR="00EE10DD" w:rsidRPr="00456628">
        <w:rPr>
          <w:rFonts w:ascii="Times New Roman" w:hAnsi="Times New Roman" w:cs="Times New Roman"/>
          <w:sz w:val="24"/>
          <w:szCs w:val="24"/>
          <w:lang w:val="en-US"/>
        </w:rPr>
        <w:t xml:space="preserve"> other way around, we believe at least one hypothesis could lend itself for this purpose. The finding that higher educated voters are more likely than lower educated voters to vote for the party they agree most with, in what has often been referred to as ‘correct voting’, has received widespread support in the literature </w:t>
      </w:r>
      <w:r w:rsidR="00EE10DD"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{"citationID":"ymuNED4i","properties":{"formattedCitation":"(Aaldering 2017; Lau et al. 2014; Lesschaeve 2017a; Walgrave and Lesschaeve 2018)","plainCitation":"(Aaldering 2017; Lau et al. 2014; Lesschaeve 2017a; Walgrave and Lesschaeve 2018)","noteIndex":0},"citationItems":[{"id":"zNFxbYtK/trigTxvv","uris":["http://zotero.org/users/local/nnA3Jm4s/items/DP57BRU9"],"uri":["http://zotero.org/users/local/nnA3Jm4s/items/DP57BRU9"],"itemData":{"id":"5M8TKp0b/VdLa5FwR","type":"article-journal","container-title":"Political Studies","DOI":"10.1177/0032321715622788","ISSN":"0032-3217, 1467-9248","issue":"1_suppl","journalAbbreviation":"Political Studies","language":"en","page":"4-23","source":"DOI.org (Crossref)","title":"Political Representation and Educational Attainment: Evidence from the Netherlands (1994–2010)","title-short":"Political Representation and Educational Attainment","volume":"65","author":[{"family":"Aaldering","given":"Loes"}],"issued":{"date-parts":[["2017",4]]}}},{"id":360,"uris":["http://zotero.org/users/local/uk8r6OrS/items/LLPH988T"],"uri":["http://zotero.org/users/local/uk8r6OrS/items/LLPH988T"],"itemData":{"id":360,"type":"article-journal","container-title":"British Journal of Political Science","DOI":"10.1017/S0007123412000610","ISSN":"0007-1234, 1469-2112","issue":"02","language":"en","page":"239-259","source":"Crossref","title":"Correct Voting Across Thirty-Three Democracies: A Preliminary Analysis","title-short":"Correct Voting Across Thirty-Three Democracies","volume":"44","author":[{"family":"Lau","given":"Richard R."},{"family":"Patel","given":"Parina"},{"family":"Fahmy","given":"Dalia F."},{"family":"Kaufman","given":"Robert R."}],"issued":{"date-parts":[["2014",4]]}}},{"id":185,"uris":["http://zotero.org/users/local/uk8r6OrS/items/SKKAKFPL"],"uri":["http://zotero.org/users/local/uk8r6OrS/items/SKKAKFPL"],"itemData":{"id":185,"type":"article-journal","abstract":"Studies on the agreement, or congruence, between voters and parties have often found more congruence between higher educated voters and the parties for which they vote than between lower educated voters and their party selections. The literature offers two explanations for this finding. The first argues that lower educated voters vote ‘incorrectly’, selecting less congruent parties at the ballot box, despite the presence of a better alternative. The second posits that they lack policy offers for which to vote. This paper seeks to detangle these two explanations. Based on a dataset containing the positions of Belgian voters and parties on 23 policy statements, we find that inequality in opinion congruence is primarily the result of incorrect voting by lower educated voters. However, given Belgium’s political system—which increase the likelihood of policy offers attuned to lower educated voters, the education bias in parties’ policy offers is surprisingly high.","container-title":"Representation","DOI":"10.1080/00344893.2017.1333034","ISSN":"0034-4893, 1749-4001","issue":"2","language":"en","page":"153-166","source":"Crossref","title":"Inequality in Party-voter Opinion Congruence: A Matter of Choices Made or Choices Given?","title-short":"Inequality in Party-voter Opinion Congruence","volume":"53","author":[{"family":"Lesschaeve","given":"Christophe"}],"issued":{"date-parts":[["2017",4,3]]}}},{"id":554,"uris":["http://zotero.org/users/local/uk8r6OrS/items/DIXSKX9D"],"uri":["http://zotero.org/users/local/uk8r6OrS/items/DIXSKX9D"],"itemData":{"id":554,"type":"chapter","container-title":"Mind the Gap. Political participation and representation in Belgium","event-place":"Colchester","publisher":"ECPR Press","publisher-place":"Colchester","title":"Policy and Ideology Volatility During the Campaign","author":[{"family":"Walgrave","given":"Stefaan"},{"family":"Lesschaeve","given":"Christophe"}],"editor":[{"literal":"Kris Deschouwer"}],"issued":{"date-parts":[["2018"]]}}}],"schema":"https://github.com/citation-style-language/schema/raw/master/csl-citation.json"} </w:instrText>
      </w:r>
      <w:r w:rsidR="00EE10DD" w:rsidRPr="00456628">
        <w:rPr>
          <w:rFonts w:ascii="Times New Roman" w:hAnsi="Times New Roman" w:cs="Times New Roman"/>
          <w:sz w:val="24"/>
          <w:szCs w:val="24"/>
          <w:lang w:val="en-US"/>
        </w:rPr>
        <w:fldChar w:fldCharType="separate"/>
      </w:r>
      <w:r w:rsidR="00EE10DD" w:rsidRPr="00456628">
        <w:rPr>
          <w:rFonts w:ascii="Times New Roman" w:hAnsi="Times New Roman" w:cs="Times New Roman"/>
          <w:sz w:val="24"/>
          <w:szCs w:val="24"/>
          <w:lang w:val="en-US"/>
        </w:rPr>
        <w:t>(Aaldering 2017; Lau et al. 2014; Lesschaeve 2017a; Walgrave and Lesschaeve 2018)</w:t>
      </w:r>
      <w:r w:rsidR="00EE10DD" w:rsidRPr="00456628">
        <w:rPr>
          <w:rFonts w:ascii="Times New Roman" w:hAnsi="Times New Roman" w:cs="Times New Roman"/>
          <w:sz w:val="24"/>
          <w:szCs w:val="24"/>
          <w:lang w:val="en-US"/>
        </w:rPr>
        <w:fldChar w:fldCharType="end"/>
      </w:r>
      <w:r w:rsidR="00EE10DD"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 xml:space="preserve">As such, if </w:t>
      </w:r>
      <w:r w:rsidR="00EE10DD" w:rsidRPr="00456628">
        <w:rPr>
          <w:rFonts w:ascii="Times New Roman" w:hAnsi="Times New Roman" w:cs="Times New Roman"/>
          <w:sz w:val="24"/>
          <w:szCs w:val="24"/>
          <w:lang w:val="en-US"/>
        </w:rPr>
        <w:t>the number of policy statements</w:t>
      </w:r>
      <w:r w:rsidRPr="00456628">
        <w:rPr>
          <w:rFonts w:ascii="Times New Roman" w:hAnsi="Times New Roman" w:cs="Times New Roman"/>
          <w:sz w:val="24"/>
          <w:szCs w:val="24"/>
          <w:lang w:val="en-US"/>
        </w:rPr>
        <w:t xml:space="preserve">, topic diversity, and </w:t>
      </w:r>
      <w:r w:rsidR="00137D25" w:rsidRPr="00456628">
        <w:rPr>
          <w:rFonts w:ascii="Times New Roman" w:hAnsi="Times New Roman" w:cs="Times New Roman"/>
          <w:sz w:val="24"/>
          <w:szCs w:val="24"/>
          <w:lang w:val="en-US"/>
        </w:rPr>
        <w:t>personal</w:t>
      </w:r>
      <w:r w:rsidRPr="00456628">
        <w:rPr>
          <w:rFonts w:ascii="Times New Roman" w:hAnsi="Times New Roman" w:cs="Times New Roman"/>
          <w:sz w:val="24"/>
          <w:szCs w:val="24"/>
          <w:lang w:val="en-US"/>
        </w:rPr>
        <w:t xml:space="preserve"> salience</w:t>
      </w:r>
      <w:r w:rsidR="00EE10DD" w:rsidRPr="00456628">
        <w:rPr>
          <w:rFonts w:ascii="Times New Roman" w:hAnsi="Times New Roman" w:cs="Times New Roman"/>
          <w:sz w:val="24"/>
          <w:szCs w:val="24"/>
          <w:lang w:val="en-US"/>
        </w:rPr>
        <w:t xml:space="preserve"> </w:t>
      </w:r>
      <w:r w:rsidR="00245876" w:rsidRPr="00456628">
        <w:rPr>
          <w:rFonts w:ascii="Times New Roman" w:hAnsi="Times New Roman" w:cs="Times New Roman"/>
          <w:sz w:val="24"/>
          <w:szCs w:val="24"/>
          <w:lang w:val="en-US"/>
        </w:rPr>
        <w:t xml:space="preserve">not only improve the reliability of congruence estimates, but also their validity, then they should </w:t>
      </w:r>
      <w:r w:rsidR="00EE10DD" w:rsidRPr="00456628">
        <w:rPr>
          <w:rFonts w:ascii="Times New Roman" w:hAnsi="Times New Roman" w:cs="Times New Roman"/>
          <w:sz w:val="24"/>
          <w:szCs w:val="24"/>
          <w:lang w:val="en-US"/>
        </w:rPr>
        <w:t>increase</w:t>
      </w:r>
      <w:r w:rsidRPr="00456628">
        <w:rPr>
          <w:rFonts w:ascii="Times New Roman" w:hAnsi="Times New Roman" w:cs="Times New Roman"/>
          <w:sz w:val="24"/>
          <w:szCs w:val="24"/>
          <w:lang w:val="en-US"/>
        </w:rPr>
        <w:t xml:space="preserve"> the difference in correct voting</w:t>
      </w:r>
      <w:r w:rsidR="006837AE" w:rsidRPr="00456628">
        <w:rPr>
          <w:rFonts w:ascii="Times New Roman" w:hAnsi="Times New Roman" w:cs="Times New Roman"/>
          <w:sz w:val="24"/>
          <w:szCs w:val="24"/>
          <w:lang w:val="en-US"/>
        </w:rPr>
        <w:t xml:space="preserve"> between lower and higher educated</w:t>
      </w:r>
      <w:r w:rsidR="00EE10DD" w:rsidRPr="00456628">
        <w:rPr>
          <w:rFonts w:ascii="Times New Roman" w:hAnsi="Times New Roman" w:cs="Times New Roman"/>
          <w:sz w:val="24"/>
          <w:szCs w:val="24"/>
          <w:lang w:val="en-US"/>
        </w:rPr>
        <w:t>. We test these assertions in Table 2.</w:t>
      </w:r>
      <w:r w:rsidR="005464F7" w:rsidRPr="00456628">
        <w:rPr>
          <w:rStyle w:val="FootnoteReference"/>
          <w:rFonts w:ascii="Times New Roman" w:hAnsi="Times New Roman" w:cs="Times New Roman"/>
          <w:sz w:val="24"/>
          <w:szCs w:val="24"/>
          <w:lang w:val="en-US"/>
        </w:rPr>
        <w:footnoteReference w:id="10"/>
      </w:r>
      <w:r w:rsidRPr="00456628">
        <w:rPr>
          <w:rFonts w:ascii="Times New Roman" w:hAnsi="Times New Roman" w:cs="Times New Roman"/>
          <w:sz w:val="24"/>
          <w:szCs w:val="24"/>
          <w:lang w:val="en-US"/>
        </w:rPr>
        <w:t xml:space="preserve"> </w:t>
      </w:r>
      <w:r w:rsidR="002976CF" w:rsidRPr="00456628">
        <w:rPr>
          <w:rFonts w:ascii="Times New Roman" w:hAnsi="Times New Roman" w:cs="Times New Roman"/>
          <w:sz w:val="24"/>
          <w:szCs w:val="24"/>
          <w:lang w:val="en-US"/>
        </w:rPr>
        <w:t xml:space="preserve">The dependent variable in these analyses is </w:t>
      </w:r>
      <w:r w:rsidR="002976CF" w:rsidRPr="00456628">
        <w:rPr>
          <w:rFonts w:ascii="Times New Roman" w:hAnsi="Times New Roman" w:cs="Times New Roman"/>
          <w:i/>
          <w:sz w:val="24"/>
          <w:szCs w:val="24"/>
          <w:lang w:val="en-US"/>
        </w:rPr>
        <w:t>c</w:t>
      </w:r>
      <w:r w:rsidRPr="00456628">
        <w:rPr>
          <w:rFonts w:ascii="Times New Roman" w:hAnsi="Times New Roman" w:cs="Times New Roman"/>
          <w:i/>
          <w:sz w:val="24"/>
          <w:szCs w:val="24"/>
          <w:lang w:val="en-US"/>
        </w:rPr>
        <w:t>orrect voting</w:t>
      </w:r>
      <w:r w:rsidR="002976CF" w:rsidRPr="00456628">
        <w:rPr>
          <w:rFonts w:ascii="Times New Roman" w:hAnsi="Times New Roman" w:cs="Times New Roman"/>
          <w:sz w:val="24"/>
          <w:szCs w:val="24"/>
          <w:lang w:val="en-US"/>
        </w:rPr>
        <w:t>, which</w:t>
      </w:r>
      <w:r w:rsidRPr="00456628">
        <w:rPr>
          <w:rFonts w:ascii="Times New Roman" w:hAnsi="Times New Roman" w:cs="Times New Roman"/>
          <w:sz w:val="24"/>
          <w:szCs w:val="24"/>
          <w:lang w:val="en-US"/>
        </w:rPr>
        <w:t xml:space="preserve"> is </w:t>
      </w:r>
      <w:r w:rsidR="006837AE" w:rsidRPr="00456628">
        <w:rPr>
          <w:rFonts w:ascii="Times New Roman" w:hAnsi="Times New Roman" w:cs="Times New Roman"/>
          <w:sz w:val="24"/>
          <w:szCs w:val="24"/>
          <w:lang w:val="en-US"/>
        </w:rPr>
        <w:t xml:space="preserve">the </w:t>
      </w:r>
      <w:r w:rsidRPr="00456628">
        <w:rPr>
          <w:rFonts w:ascii="Times New Roman" w:hAnsi="Times New Roman" w:cs="Times New Roman"/>
          <w:sz w:val="24"/>
          <w:szCs w:val="24"/>
          <w:lang w:val="en-US"/>
        </w:rPr>
        <w:t>agreement between a voter and his/her vote intention for the 2014 elections, relative to the maximum degree of opinion congruence a voter could achieve, represented by the opinion congruence score of the party demonstrating the greatest agreement with the positions of a particular voter.</w:t>
      </w:r>
    </w:p>
    <w:p w14:paraId="589D91DE" w14:textId="52AF25A1" w:rsidR="00870F74" w:rsidRPr="00456628" w:rsidRDefault="00870F74" w:rsidP="00870F74">
      <w:pPr>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Table 2 here]</w:t>
      </w:r>
    </w:p>
    <w:p w14:paraId="5BE49E51" w14:textId="20754E2C" w:rsidR="00870F74" w:rsidRPr="00456628" w:rsidRDefault="00870F74" w:rsidP="003A6D40">
      <w:pPr>
        <w:rPr>
          <w:rFonts w:ascii="Times New Roman" w:hAnsi="Times New Roman" w:cs="Times New Roman"/>
          <w:sz w:val="24"/>
          <w:szCs w:val="24"/>
          <w:lang w:val="en-US"/>
        </w:rPr>
      </w:pPr>
      <w:r w:rsidRPr="00456628">
        <w:rPr>
          <w:rFonts w:ascii="Times New Roman" w:hAnsi="Times New Roman" w:cs="Times New Roman"/>
          <w:sz w:val="24"/>
          <w:szCs w:val="24"/>
          <w:lang w:val="en-US"/>
        </w:rPr>
        <w:t>Model 1, which reports the direct effects of all variables on correct voting, confirms the findings of previous studies that higher educated voters are indeed more likely to vote for the party they agree with most. In addition,</w:t>
      </w:r>
      <w:r w:rsidR="00EE10DD" w:rsidRPr="00456628">
        <w:rPr>
          <w:rFonts w:ascii="Times New Roman" w:hAnsi="Times New Roman" w:cs="Times New Roman"/>
          <w:sz w:val="24"/>
          <w:szCs w:val="24"/>
          <w:lang w:val="en-US"/>
        </w:rPr>
        <w:t xml:space="preserve"> the model suggests that a greater numbers of policy statements</w:t>
      </w:r>
      <w:r w:rsidR="006671F9" w:rsidRPr="00456628">
        <w:rPr>
          <w:rFonts w:ascii="Times New Roman" w:hAnsi="Times New Roman" w:cs="Times New Roman"/>
          <w:sz w:val="24"/>
          <w:szCs w:val="24"/>
          <w:lang w:val="en-US"/>
        </w:rPr>
        <w:t>,</w:t>
      </w:r>
      <w:r w:rsidRPr="00456628">
        <w:rPr>
          <w:rFonts w:ascii="Times New Roman" w:hAnsi="Times New Roman" w:cs="Times New Roman"/>
          <w:sz w:val="24"/>
          <w:szCs w:val="24"/>
          <w:lang w:val="en-US"/>
        </w:rPr>
        <w:t xml:space="preserve"> and </w:t>
      </w:r>
      <w:r w:rsidR="006671F9" w:rsidRPr="00456628">
        <w:rPr>
          <w:rFonts w:ascii="Times New Roman" w:hAnsi="Times New Roman" w:cs="Times New Roman"/>
          <w:sz w:val="24"/>
          <w:szCs w:val="24"/>
          <w:lang w:val="en-US"/>
        </w:rPr>
        <w:t>a greater</w:t>
      </w:r>
      <w:r w:rsidRPr="00456628">
        <w:rPr>
          <w:rFonts w:ascii="Times New Roman" w:hAnsi="Times New Roman" w:cs="Times New Roman"/>
          <w:sz w:val="24"/>
          <w:szCs w:val="24"/>
          <w:lang w:val="en-US"/>
        </w:rPr>
        <w:t xml:space="preserve"> diversity </w:t>
      </w:r>
      <w:r w:rsidR="006671F9" w:rsidRPr="00456628">
        <w:rPr>
          <w:rFonts w:ascii="Times New Roman" w:hAnsi="Times New Roman" w:cs="Times New Roman"/>
          <w:sz w:val="24"/>
          <w:szCs w:val="24"/>
          <w:lang w:val="en-US"/>
        </w:rPr>
        <w:t>in</w:t>
      </w:r>
      <w:r w:rsidRPr="00456628">
        <w:rPr>
          <w:rFonts w:ascii="Times New Roman" w:hAnsi="Times New Roman" w:cs="Times New Roman"/>
          <w:sz w:val="24"/>
          <w:szCs w:val="24"/>
          <w:lang w:val="en-US"/>
        </w:rPr>
        <w:t xml:space="preserve"> the topics covered </w:t>
      </w:r>
      <w:r w:rsidR="006671F9" w:rsidRPr="00456628">
        <w:rPr>
          <w:rFonts w:ascii="Times New Roman" w:hAnsi="Times New Roman" w:cs="Times New Roman"/>
          <w:sz w:val="24"/>
          <w:szCs w:val="24"/>
          <w:lang w:val="en-US"/>
        </w:rPr>
        <w:t>substantially increase</w:t>
      </w:r>
      <w:r w:rsidR="00137D25" w:rsidRPr="00456628">
        <w:rPr>
          <w:rFonts w:ascii="Times New Roman" w:hAnsi="Times New Roman" w:cs="Times New Roman"/>
          <w:sz w:val="24"/>
          <w:szCs w:val="24"/>
          <w:lang w:val="en-US"/>
        </w:rPr>
        <w:t xml:space="preserve"> the estimates of correct voting</w:t>
      </w:r>
      <w:r w:rsidRPr="00456628">
        <w:rPr>
          <w:rFonts w:ascii="Times New Roman" w:hAnsi="Times New Roman" w:cs="Times New Roman"/>
          <w:sz w:val="24"/>
          <w:szCs w:val="24"/>
          <w:lang w:val="en-US"/>
        </w:rPr>
        <w:t xml:space="preserve">. Personal salience lowers estimates of correct voting, but the effect is not </w:t>
      </w:r>
      <w:r w:rsidR="006671F9" w:rsidRPr="00456628">
        <w:rPr>
          <w:rFonts w:ascii="Times New Roman" w:hAnsi="Times New Roman" w:cs="Times New Roman"/>
          <w:sz w:val="24"/>
          <w:szCs w:val="24"/>
          <w:lang w:val="en-US"/>
        </w:rPr>
        <w:t>sizeable</w:t>
      </w:r>
      <w:r w:rsidRPr="00456628">
        <w:rPr>
          <w:rFonts w:ascii="Times New Roman" w:hAnsi="Times New Roman" w:cs="Times New Roman"/>
          <w:sz w:val="24"/>
          <w:szCs w:val="24"/>
          <w:lang w:val="en-US"/>
        </w:rPr>
        <w:t xml:space="preserve">. Model 2, which interacts education level with sample size, topic diversity, and topic salience, shows that only topic diversity significantly increases the correct voting gap between the lower and higher educated. In addition to a significant moderation, the interaction effect is also substantial. Figure 7 plots the predicted values for correct voting for all values of topic diversity, for lower, middle, and higher </w:t>
      </w:r>
      <w:r w:rsidRPr="00456628">
        <w:rPr>
          <w:rFonts w:ascii="Times New Roman" w:hAnsi="Times New Roman" w:cs="Times New Roman"/>
          <w:sz w:val="24"/>
          <w:szCs w:val="24"/>
          <w:lang w:val="en-US"/>
        </w:rPr>
        <w:lastRenderedPageBreak/>
        <w:t>educated voters. It is clear that at low levels of topic diversity, correct voting hardly differs between the three groups, but that these differences grow substantially when the sample of statements covers a wider range of topics.</w:t>
      </w:r>
      <w:r w:rsidR="003B2252" w:rsidRPr="00456628">
        <w:rPr>
          <w:rFonts w:ascii="Times New Roman" w:hAnsi="Times New Roman" w:cs="Times New Roman"/>
          <w:sz w:val="24"/>
          <w:szCs w:val="24"/>
          <w:lang w:val="en-US"/>
        </w:rPr>
        <w:t xml:space="preserve"> </w:t>
      </w:r>
      <w:r w:rsidRPr="00456628">
        <w:rPr>
          <w:rFonts w:ascii="Times New Roman" w:hAnsi="Times New Roman" w:cs="Times New Roman"/>
          <w:sz w:val="24"/>
          <w:szCs w:val="24"/>
          <w:lang w:val="en-US"/>
        </w:rPr>
        <w:t xml:space="preserve">This strongly suggests that, in addition to increasing the reliability of the congruence estimates, topics diversity increases their validity, though the same cannot be said about </w:t>
      </w:r>
      <w:r w:rsidR="006671F9" w:rsidRPr="00456628">
        <w:rPr>
          <w:rFonts w:ascii="Times New Roman" w:hAnsi="Times New Roman" w:cs="Times New Roman"/>
          <w:sz w:val="24"/>
          <w:szCs w:val="24"/>
          <w:lang w:val="en-US"/>
        </w:rPr>
        <w:t>the number of policy statements</w:t>
      </w:r>
      <w:r w:rsidRPr="00456628">
        <w:rPr>
          <w:rFonts w:ascii="Times New Roman" w:hAnsi="Times New Roman" w:cs="Times New Roman"/>
          <w:sz w:val="24"/>
          <w:szCs w:val="24"/>
          <w:lang w:val="en-US"/>
        </w:rPr>
        <w:t xml:space="preserve"> and personal salience.</w:t>
      </w:r>
    </w:p>
    <w:p w14:paraId="00E70DC4" w14:textId="6D654AFF" w:rsidR="00870F74" w:rsidRPr="00456628" w:rsidRDefault="00870F74" w:rsidP="00870F74">
      <w:pPr>
        <w:spacing w:after="0"/>
        <w:jc w:val="center"/>
        <w:rPr>
          <w:rFonts w:ascii="Times New Roman" w:hAnsi="Times New Roman" w:cs="Times New Roman"/>
          <w:sz w:val="24"/>
          <w:szCs w:val="24"/>
          <w:lang w:val="en-US"/>
        </w:rPr>
      </w:pPr>
      <w:r w:rsidRPr="00456628">
        <w:rPr>
          <w:rFonts w:ascii="Times New Roman" w:hAnsi="Times New Roman" w:cs="Times New Roman"/>
          <w:sz w:val="24"/>
          <w:szCs w:val="24"/>
          <w:lang w:val="en-US"/>
        </w:rPr>
        <w:t>[insert Figure 7 here]</w:t>
      </w:r>
    </w:p>
    <w:p w14:paraId="58635CF2" w14:textId="77777777" w:rsidR="00870F74" w:rsidRPr="00456628" w:rsidRDefault="00870F74" w:rsidP="003A6D40">
      <w:pPr>
        <w:rPr>
          <w:rFonts w:ascii="Times New Roman" w:hAnsi="Times New Roman" w:cs="Times New Roman"/>
          <w:sz w:val="24"/>
          <w:szCs w:val="24"/>
          <w:lang w:val="en-US"/>
        </w:rPr>
      </w:pPr>
    </w:p>
    <w:p w14:paraId="27CF82BE" w14:textId="77777777" w:rsidR="00110C68" w:rsidRPr="00456628" w:rsidRDefault="00BF512E" w:rsidP="009C6283">
      <w:pPr>
        <w:spacing w:before="240"/>
        <w:rPr>
          <w:rFonts w:ascii="Times New Roman" w:hAnsi="Times New Roman" w:cs="Times New Roman"/>
          <w:b/>
          <w:sz w:val="24"/>
          <w:szCs w:val="24"/>
          <w:lang w:val="en-US"/>
        </w:rPr>
      </w:pPr>
      <w:r w:rsidRPr="00456628">
        <w:rPr>
          <w:rFonts w:ascii="Times New Roman" w:hAnsi="Times New Roman" w:cs="Times New Roman"/>
          <w:b/>
          <w:sz w:val="24"/>
          <w:szCs w:val="24"/>
          <w:lang w:val="en-US"/>
        </w:rPr>
        <w:t>Conclusion</w:t>
      </w:r>
    </w:p>
    <w:p w14:paraId="16CBC179" w14:textId="62C63A05" w:rsidR="000D0445" w:rsidRPr="00456628" w:rsidRDefault="00DF6C33" w:rsidP="000D0445">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The goal of this paper was to get insights into how the opinion congruence between voters and parties is measured and contribute to its further development. Complementing existing </w:t>
      </w:r>
      <w:r w:rsidR="007A4A68" w:rsidRPr="00456628">
        <w:rPr>
          <w:rFonts w:ascii="Times New Roman" w:hAnsi="Times New Roman" w:cs="Times New Roman"/>
          <w:sz w:val="24"/>
          <w:szCs w:val="24"/>
          <w:lang w:val="en-US"/>
        </w:rPr>
        <w:t xml:space="preserve">studies on the validity of opinion congruence measures, this study examines which factors affect their reliability. Our results show </w:t>
      </w:r>
      <w:r w:rsidR="00BD655E" w:rsidRPr="00456628">
        <w:rPr>
          <w:rFonts w:ascii="Times New Roman" w:hAnsi="Times New Roman" w:cs="Times New Roman"/>
          <w:sz w:val="24"/>
          <w:szCs w:val="24"/>
          <w:lang w:val="en-US"/>
        </w:rPr>
        <w:t>that the number, the diversity, and the relation of policy statements to the left-right di</w:t>
      </w:r>
      <w:r w:rsidR="00736A09" w:rsidRPr="00456628">
        <w:rPr>
          <w:rFonts w:ascii="Times New Roman" w:hAnsi="Times New Roman" w:cs="Times New Roman"/>
          <w:sz w:val="24"/>
          <w:szCs w:val="24"/>
          <w:lang w:val="en-US"/>
        </w:rPr>
        <w:t xml:space="preserve">vide all substantially </w:t>
      </w:r>
      <w:r w:rsidR="00154C41" w:rsidRPr="00456628">
        <w:rPr>
          <w:rFonts w:ascii="Times New Roman" w:hAnsi="Times New Roman" w:cs="Times New Roman"/>
          <w:sz w:val="24"/>
          <w:szCs w:val="24"/>
          <w:lang w:val="en-US"/>
        </w:rPr>
        <w:t>a</w:t>
      </w:r>
      <w:r w:rsidR="00736A09" w:rsidRPr="00456628">
        <w:rPr>
          <w:rFonts w:ascii="Times New Roman" w:hAnsi="Times New Roman" w:cs="Times New Roman"/>
          <w:sz w:val="24"/>
          <w:szCs w:val="24"/>
          <w:lang w:val="en-US"/>
        </w:rPr>
        <w:t>ffect how</w:t>
      </w:r>
      <w:r w:rsidR="00BD655E" w:rsidRPr="00456628">
        <w:rPr>
          <w:rFonts w:ascii="Times New Roman" w:hAnsi="Times New Roman" w:cs="Times New Roman"/>
          <w:sz w:val="24"/>
          <w:szCs w:val="24"/>
          <w:lang w:val="en-US"/>
        </w:rPr>
        <w:t xml:space="preserve"> reliable congruence measures are. On the voter level, we found differences when distinguishing on the basis of political interest, but only when </w:t>
      </w:r>
      <w:r w:rsidR="00736A09" w:rsidRPr="00456628">
        <w:rPr>
          <w:rFonts w:ascii="Times New Roman" w:hAnsi="Times New Roman" w:cs="Times New Roman"/>
          <w:sz w:val="24"/>
          <w:szCs w:val="24"/>
          <w:lang w:val="en-US"/>
        </w:rPr>
        <w:t xml:space="preserve">few </w:t>
      </w:r>
      <w:r w:rsidR="00BD655E" w:rsidRPr="00456628">
        <w:rPr>
          <w:rFonts w:ascii="Times New Roman" w:hAnsi="Times New Roman" w:cs="Times New Roman"/>
          <w:sz w:val="24"/>
          <w:szCs w:val="24"/>
          <w:lang w:val="en-US"/>
        </w:rPr>
        <w:t>left-right policy statements were included. This last result is of particular importance to the strand in the literature that investigates diverging patterns of opinion congruence between groups of voters</w:t>
      </w:r>
      <w:r w:rsidR="00FF07AB" w:rsidRPr="00456628">
        <w:rPr>
          <w:rFonts w:ascii="Times New Roman" w:hAnsi="Times New Roman" w:cs="Times New Roman"/>
          <w:sz w:val="24"/>
          <w:szCs w:val="24"/>
          <w:lang w:val="en-US"/>
        </w:rPr>
        <w:t xml:space="preserve"> </w:t>
      </w:r>
      <w:r w:rsidR="00FF07AB" w:rsidRPr="00456628">
        <w:rPr>
          <w:rFonts w:ascii="Times New Roman" w:hAnsi="Times New Roman" w:cs="Times New Roman"/>
          <w:sz w:val="24"/>
          <w:szCs w:val="24"/>
          <w:lang w:val="en-US"/>
        </w:rPr>
        <w:fldChar w:fldCharType="begin"/>
      </w:r>
      <w:r w:rsidR="00FF07AB" w:rsidRPr="00456628">
        <w:rPr>
          <w:rFonts w:ascii="Times New Roman" w:hAnsi="Times New Roman" w:cs="Times New Roman"/>
          <w:sz w:val="24"/>
          <w:szCs w:val="24"/>
          <w:lang w:val="en-US"/>
        </w:rPr>
        <w:instrText xml:space="preserve"> ADDIN ZOTERO_ITEM CSL_CITATION {"citationID":"6i1Gd1BL","properties":{"formattedCitation":"(Giger, Rosset, and Bernauer 2012; Rosset and Stecker 2019)","plainCitation":"(Giger, Rosset, and Bernauer 2012; Rosset and Stecker 2019)","noteIndex":0},"citationItems":[{"id":369,"uris":["http://zotero.org/users/local/uk8r6OrS/items/2X7AQNRD"],"uri":["http://zotero.org/users/local/uk8r6OrS/items/2X7AQNRD"],"itemData":{"id":369,"type":"article-journal","container-title":"Representation","DOI":"10.1080/00344893.2012.653238","ISSN":"0034-4893, 1749-4001","issue":"1","language":"en","page":"47-61","source":"Crossref","title":"The Poor Political Representation of The Poor in a Comparative Perspective","volume":"48","author":[{"family":"Giger","given":"Nathalie"},{"family":"Rosset","given":"Jan"},{"family":"Bernauer","given":"Julian"}],"issued":{"date-parts":[["2012",4]]}}},{"id":814,"uris":["http://zotero.org/users/local/uk8r6OrS/items/CLWK5QSQ"],"uri":["http://zotero.org/users/local/uk8r6OrS/items/CLWK5QSQ"],"itemData":{"id":814,"type":"article-journal","abstract":"Abstract\n            This study analyses congruence across various issues in 16 European democracies. Making use of public opinion and expert survey data, our analyses show that congruence between the policy preferences of citizens and the stances of governments is much more complex than what is revealed by studies focusing on ideology solely. Size and directions of incongruence are larger and more systematic on specific issues than on the left–right scale. On redistribution, citizens are more to the left than their governments, while popular support for European integration is systematically lower among citizens than among their representatives. Moreover, the relatively poor are particularly underrepresented on redistribution, while the preferences of the relatively lower educated are not well reflected in government preferences in relation to European integration. We interpret these results as being partly linked to a representation gap with privileged social groups enjoying higher levels of congruence with their government.","container-title":"European Political Science Review","DOI":"10.1017/S1755773919000043","ISSN":"1755-7739, 1755-7747","issue":"02","journalAbbreviation":"Eur. Pol. Sci. Rev.","language":"en","page":"145-160","source":"DOI.org (Crossref)","title":"How well are citizens represented by their governments? Issue congruence and inequality in Europe","title-short":"How well are citizens represented by their governments?","volume":"11","author":[{"family":"Rosset","given":"Jan"},{"family":"Stecker","given":"Christian"}],"issued":{"date-parts":[["2019",5]]}}}],"schema":"https://github.com/citation-style-language/schema/raw/master/csl-citation.json"} </w:instrText>
      </w:r>
      <w:r w:rsidR="00FF07AB" w:rsidRPr="00456628">
        <w:rPr>
          <w:rFonts w:ascii="Times New Roman" w:hAnsi="Times New Roman" w:cs="Times New Roman"/>
          <w:sz w:val="24"/>
          <w:szCs w:val="24"/>
          <w:lang w:val="en-US"/>
        </w:rPr>
        <w:fldChar w:fldCharType="separate"/>
      </w:r>
      <w:r w:rsidR="00FF07AB" w:rsidRPr="00456628">
        <w:rPr>
          <w:rFonts w:ascii="Times New Roman" w:hAnsi="Times New Roman" w:cs="Times New Roman"/>
          <w:sz w:val="24"/>
          <w:szCs w:val="24"/>
          <w:lang w:val="en-US"/>
        </w:rPr>
        <w:t>(Giger, Rosset, and Bernauer 2012; Rosset and Stecker 2019)</w:t>
      </w:r>
      <w:r w:rsidR="00FF07AB" w:rsidRPr="00456628">
        <w:rPr>
          <w:rFonts w:ascii="Times New Roman" w:hAnsi="Times New Roman" w:cs="Times New Roman"/>
          <w:sz w:val="24"/>
          <w:szCs w:val="24"/>
          <w:lang w:val="en-US"/>
        </w:rPr>
        <w:fldChar w:fldCharType="end"/>
      </w:r>
      <w:r w:rsidR="00BD655E" w:rsidRPr="00456628">
        <w:rPr>
          <w:rFonts w:ascii="Times New Roman" w:hAnsi="Times New Roman" w:cs="Times New Roman"/>
          <w:sz w:val="24"/>
          <w:szCs w:val="24"/>
          <w:lang w:val="en-US"/>
        </w:rPr>
        <w:t>.</w:t>
      </w:r>
      <w:r w:rsidR="000D0445" w:rsidRPr="00456628">
        <w:rPr>
          <w:rFonts w:ascii="Times New Roman" w:hAnsi="Times New Roman" w:cs="Times New Roman"/>
          <w:sz w:val="24"/>
          <w:szCs w:val="24"/>
          <w:lang w:val="en-US"/>
        </w:rPr>
        <w:t xml:space="preserve"> </w:t>
      </w:r>
      <w:r w:rsidR="00736A09" w:rsidRPr="00456628">
        <w:rPr>
          <w:rFonts w:ascii="Times New Roman" w:hAnsi="Times New Roman" w:cs="Times New Roman"/>
          <w:sz w:val="24"/>
          <w:szCs w:val="24"/>
          <w:lang w:val="en-US"/>
        </w:rPr>
        <w:t>In short, our study shows that proper measures of opinion congruence should be based on numerous policy statements, that are spread across a wide range of policy domains, and that connect to the main political cleavages in the polity</w:t>
      </w:r>
      <w:r w:rsidR="006A0F4B" w:rsidRPr="00456628">
        <w:rPr>
          <w:rFonts w:ascii="Times New Roman" w:hAnsi="Times New Roman" w:cs="Times New Roman"/>
          <w:sz w:val="24"/>
          <w:szCs w:val="24"/>
          <w:lang w:val="en-US"/>
        </w:rPr>
        <w:t xml:space="preserve"> </w:t>
      </w:r>
      <w:r w:rsidR="006A0F4B" w:rsidRPr="00456628">
        <w:rPr>
          <w:rFonts w:ascii="Times New Roman" w:hAnsi="Times New Roman" w:cs="Times New Roman"/>
          <w:sz w:val="24"/>
          <w:szCs w:val="24"/>
          <w:lang w:val="en-US"/>
        </w:rPr>
        <w:fldChar w:fldCharType="begin"/>
      </w:r>
      <w:r w:rsidR="006A0F4B" w:rsidRPr="00456628">
        <w:rPr>
          <w:rFonts w:ascii="Times New Roman" w:hAnsi="Times New Roman" w:cs="Times New Roman"/>
          <w:sz w:val="24"/>
          <w:szCs w:val="24"/>
          <w:lang w:val="en-US"/>
        </w:rPr>
        <w:instrText xml:space="preserve"> ADDIN ZOTERO_ITEM CSL_CITATION {"citationID":"sMIKwcpZ","properties":{"formattedCitation":"(Lefevere and Walgrave 2015)","plainCitation":"(Lefevere and Walgrave 2015)","noteIndex":0},"citationItems":[{"id":364,"uris":["http://zotero.org/users/local/uk8r6OrS/items/SV83CJFL"],"uri":["http://zotero.org/users/local/uk8r6OrS/items/SV83CJFL"],"itemData":{"id":364,"type":"article-journal","container-title":"Revue internationale de politique comparée","DOI":"10.3917/ripc.222.0175","ISSN":"1370-0731, 1782-1533","issue":"2","language":"fr","page":"175","source":"Crossref","title":"L’importance du choix des affirmations dans les SAV : résultats de deux simulations","title-short":"L’importance du choix des affirmations dans les SAV","volume":"23","author":[{"family":"Lefevere","given":"Jonas"},{"family":"Walgrave","given":"Stefaan"}],"issued":{"date-parts":[["2015"]]}}}],"schema":"https://github.com/citation-style-language/schema/raw/master/csl-citation.json"} </w:instrText>
      </w:r>
      <w:r w:rsidR="006A0F4B" w:rsidRPr="00456628">
        <w:rPr>
          <w:rFonts w:ascii="Times New Roman" w:hAnsi="Times New Roman" w:cs="Times New Roman"/>
          <w:sz w:val="24"/>
          <w:szCs w:val="24"/>
          <w:lang w:val="en-US"/>
        </w:rPr>
        <w:fldChar w:fldCharType="separate"/>
      </w:r>
      <w:r w:rsidR="006A0F4B" w:rsidRPr="00456628">
        <w:rPr>
          <w:rFonts w:ascii="Times New Roman" w:hAnsi="Times New Roman" w:cs="Times New Roman"/>
          <w:sz w:val="24"/>
          <w:szCs w:val="24"/>
          <w:lang w:val="en-US"/>
        </w:rPr>
        <w:t>(Lefevere and Walgrave 2015)</w:t>
      </w:r>
      <w:r w:rsidR="006A0F4B" w:rsidRPr="00456628">
        <w:rPr>
          <w:rFonts w:ascii="Times New Roman" w:hAnsi="Times New Roman" w:cs="Times New Roman"/>
          <w:sz w:val="24"/>
          <w:szCs w:val="24"/>
          <w:lang w:val="en-US"/>
        </w:rPr>
        <w:fldChar w:fldCharType="end"/>
      </w:r>
      <w:r w:rsidR="00736A09" w:rsidRPr="00456628">
        <w:rPr>
          <w:rFonts w:ascii="Times New Roman" w:hAnsi="Times New Roman" w:cs="Times New Roman"/>
          <w:sz w:val="24"/>
          <w:szCs w:val="24"/>
          <w:lang w:val="en-US"/>
        </w:rPr>
        <w:t>.</w:t>
      </w:r>
    </w:p>
    <w:p w14:paraId="69ACB0F9" w14:textId="6A97EF6A" w:rsidR="00D3747D" w:rsidRPr="00456628" w:rsidRDefault="00D3747D" w:rsidP="000D0445">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 xml:space="preserve">When it comes to making concrete </w:t>
      </w:r>
      <w:r w:rsidR="00792E5A" w:rsidRPr="00456628">
        <w:rPr>
          <w:rFonts w:ascii="Times New Roman" w:hAnsi="Times New Roman" w:cs="Times New Roman"/>
          <w:sz w:val="24"/>
          <w:szCs w:val="24"/>
          <w:lang w:val="en-US"/>
        </w:rPr>
        <w:t>recommendations</w:t>
      </w:r>
      <w:r w:rsidRPr="00456628">
        <w:rPr>
          <w:rFonts w:ascii="Times New Roman" w:hAnsi="Times New Roman" w:cs="Times New Roman"/>
          <w:sz w:val="24"/>
          <w:szCs w:val="24"/>
          <w:lang w:val="en-US"/>
        </w:rPr>
        <w:t xml:space="preserve"> to future</w:t>
      </w:r>
      <w:r w:rsidR="00792E5A" w:rsidRPr="00456628">
        <w:rPr>
          <w:rFonts w:ascii="Times New Roman" w:hAnsi="Times New Roman" w:cs="Times New Roman"/>
          <w:sz w:val="24"/>
          <w:szCs w:val="24"/>
          <w:lang w:val="en-US"/>
        </w:rPr>
        <w:t xml:space="preserve"> policy statement-based</w:t>
      </w:r>
      <w:r w:rsidRPr="00456628">
        <w:rPr>
          <w:rFonts w:ascii="Times New Roman" w:hAnsi="Times New Roman" w:cs="Times New Roman"/>
          <w:sz w:val="24"/>
          <w:szCs w:val="24"/>
          <w:lang w:val="en-US"/>
        </w:rPr>
        <w:t xml:space="preserve"> research on opinion</w:t>
      </w:r>
      <w:r w:rsidR="00792E5A" w:rsidRPr="00456628">
        <w:rPr>
          <w:rFonts w:ascii="Times New Roman" w:hAnsi="Times New Roman" w:cs="Times New Roman"/>
          <w:sz w:val="24"/>
          <w:szCs w:val="24"/>
          <w:lang w:val="en-US"/>
        </w:rPr>
        <w:t xml:space="preserve"> congruence, our ana</w:t>
      </w:r>
      <w:r w:rsidR="00870F74" w:rsidRPr="00456628">
        <w:rPr>
          <w:rFonts w:ascii="Times New Roman" w:hAnsi="Times New Roman" w:cs="Times New Roman"/>
          <w:sz w:val="24"/>
          <w:szCs w:val="24"/>
          <w:lang w:val="en-US"/>
        </w:rPr>
        <w:t>lyses show that after roughly 20</w:t>
      </w:r>
      <w:r w:rsidR="00792E5A" w:rsidRPr="00456628">
        <w:rPr>
          <w:rFonts w:ascii="Times New Roman" w:hAnsi="Times New Roman" w:cs="Times New Roman"/>
          <w:sz w:val="24"/>
          <w:szCs w:val="24"/>
          <w:lang w:val="en-US"/>
        </w:rPr>
        <w:t xml:space="preserve"> statements, the number of additional policy statements needed to make further meaningful improvements in </w:t>
      </w:r>
      <w:r w:rsidR="001E32B0" w:rsidRPr="00456628">
        <w:rPr>
          <w:rFonts w:ascii="Times New Roman" w:hAnsi="Times New Roman" w:cs="Times New Roman"/>
          <w:sz w:val="24"/>
          <w:szCs w:val="24"/>
          <w:lang w:val="en-US"/>
        </w:rPr>
        <w:t xml:space="preserve">opinion congruence </w:t>
      </w:r>
      <w:r w:rsidR="006671F9" w:rsidRPr="00456628">
        <w:rPr>
          <w:rFonts w:ascii="Times New Roman" w:hAnsi="Times New Roman" w:cs="Times New Roman"/>
          <w:sz w:val="24"/>
          <w:szCs w:val="24"/>
          <w:lang w:val="en-US"/>
        </w:rPr>
        <w:t>reliability</w:t>
      </w:r>
      <w:r w:rsidR="00792E5A" w:rsidRPr="00456628">
        <w:rPr>
          <w:rFonts w:ascii="Times New Roman" w:hAnsi="Times New Roman" w:cs="Times New Roman"/>
          <w:sz w:val="24"/>
          <w:szCs w:val="24"/>
          <w:lang w:val="en-US"/>
        </w:rPr>
        <w:t xml:space="preserve"> increases exponentially. Besides that, scholars should aim to make their sample of policy statements cover a wide range of policy domains, and they should </w:t>
      </w:r>
      <w:r w:rsidR="00F03EF8" w:rsidRPr="00456628">
        <w:rPr>
          <w:rFonts w:ascii="Times New Roman" w:hAnsi="Times New Roman" w:cs="Times New Roman"/>
          <w:sz w:val="24"/>
          <w:szCs w:val="24"/>
          <w:lang w:val="en-US"/>
        </w:rPr>
        <w:t xml:space="preserve">be </w:t>
      </w:r>
      <w:r w:rsidR="00792E5A" w:rsidRPr="00456628">
        <w:rPr>
          <w:rFonts w:ascii="Times New Roman" w:hAnsi="Times New Roman" w:cs="Times New Roman"/>
          <w:sz w:val="24"/>
          <w:szCs w:val="24"/>
          <w:lang w:val="en-US"/>
        </w:rPr>
        <w:t>cognizant of the possibility that the quality of their measure</w:t>
      </w:r>
      <w:r w:rsidR="006671F9" w:rsidRPr="00456628">
        <w:rPr>
          <w:rFonts w:ascii="Times New Roman" w:hAnsi="Times New Roman" w:cs="Times New Roman"/>
          <w:sz w:val="24"/>
          <w:szCs w:val="24"/>
          <w:lang w:val="en-US"/>
        </w:rPr>
        <w:t>s</w:t>
      </w:r>
      <w:r w:rsidR="00792E5A" w:rsidRPr="00456628">
        <w:rPr>
          <w:rFonts w:ascii="Times New Roman" w:hAnsi="Times New Roman" w:cs="Times New Roman"/>
          <w:sz w:val="24"/>
          <w:szCs w:val="24"/>
          <w:lang w:val="en-US"/>
        </w:rPr>
        <w:t xml:space="preserve"> differs between groups of respondents.</w:t>
      </w:r>
      <w:r w:rsidR="00137D25" w:rsidRPr="00456628">
        <w:rPr>
          <w:rFonts w:ascii="Times New Roman" w:hAnsi="Times New Roman" w:cs="Times New Roman"/>
          <w:sz w:val="24"/>
          <w:szCs w:val="24"/>
          <w:lang w:val="en-US"/>
        </w:rPr>
        <w:t xml:space="preserve"> Integrating salience in opinion congruence, however, does not meaningfully improve </w:t>
      </w:r>
      <w:r w:rsidR="006671F9" w:rsidRPr="00456628">
        <w:rPr>
          <w:rFonts w:ascii="Times New Roman" w:hAnsi="Times New Roman" w:cs="Times New Roman"/>
          <w:sz w:val="24"/>
          <w:szCs w:val="24"/>
          <w:lang w:val="en-US"/>
        </w:rPr>
        <w:t xml:space="preserve">the </w:t>
      </w:r>
      <w:r w:rsidR="00137D25" w:rsidRPr="00456628">
        <w:rPr>
          <w:rFonts w:ascii="Times New Roman" w:hAnsi="Times New Roman" w:cs="Times New Roman"/>
          <w:sz w:val="24"/>
          <w:szCs w:val="24"/>
          <w:lang w:val="en-US"/>
        </w:rPr>
        <w:t xml:space="preserve">reliability </w:t>
      </w:r>
      <w:r w:rsidR="006671F9" w:rsidRPr="00456628">
        <w:rPr>
          <w:rFonts w:ascii="Times New Roman" w:hAnsi="Times New Roman" w:cs="Times New Roman"/>
          <w:sz w:val="24"/>
          <w:szCs w:val="24"/>
          <w:lang w:val="en-US"/>
        </w:rPr>
        <w:t>and</w:t>
      </w:r>
      <w:r w:rsidR="00137D25" w:rsidRPr="00456628">
        <w:rPr>
          <w:rFonts w:ascii="Times New Roman" w:hAnsi="Times New Roman" w:cs="Times New Roman"/>
          <w:sz w:val="24"/>
          <w:szCs w:val="24"/>
          <w:lang w:val="en-US"/>
        </w:rPr>
        <w:t xml:space="preserve"> validity of</w:t>
      </w:r>
      <w:r w:rsidR="006671F9" w:rsidRPr="00456628">
        <w:rPr>
          <w:rFonts w:ascii="Times New Roman" w:hAnsi="Times New Roman" w:cs="Times New Roman"/>
          <w:sz w:val="24"/>
          <w:szCs w:val="24"/>
          <w:lang w:val="en-US"/>
        </w:rPr>
        <w:t xml:space="preserve"> the</w:t>
      </w:r>
      <w:r w:rsidR="00137D25" w:rsidRPr="00456628">
        <w:rPr>
          <w:rFonts w:ascii="Times New Roman" w:hAnsi="Times New Roman" w:cs="Times New Roman"/>
          <w:sz w:val="24"/>
          <w:szCs w:val="24"/>
          <w:lang w:val="en-US"/>
        </w:rPr>
        <w:t xml:space="preserve"> measures.</w:t>
      </w:r>
    </w:p>
    <w:p w14:paraId="252F8AB6" w14:textId="0D51C028" w:rsidR="00623632" w:rsidRPr="00456628" w:rsidRDefault="007A4A68" w:rsidP="000D0445">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 xml:space="preserve">Though we think the evidence in this paper is compelling, this study is not without its limitations. </w:t>
      </w:r>
      <w:r w:rsidR="00736A09" w:rsidRPr="00456628">
        <w:rPr>
          <w:rFonts w:ascii="Times New Roman" w:hAnsi="Times New Roman" w:cs="Times New Roman"/>
          <w:sz w:val="24"/>
          <w:szCs w:val="24"/>
          <w:lang w:val="en-US"/>
        </w:rPr>
        <w:t>Other, more aggregate conceptualizations of opinion congruence</w:t>
      </w:r>
      <w:r w:rsidR="006A0F4B" w:rsidRPr="00456628">
        <w:rPr>
          <w:rFonts w:ascii="Times New Roman" w:hAnsi="Times New Roman" w:cs="Times New Roman"/>
          <w:sz w:val="24"/>
          <w:szCs w:val="24"/>
          <w:lang w:val="en-US"/>
        </w:rPr>
        <w:t xml:space="preserve"> </w:t>
      </w:r>
      <w:r w:rsidR="006A0F4B" w:rsidRPr="00456628">
        <w:rPr>
          <w:rFonts w:ascii="Times New Roman" w:hAnsi="Times New Roman" w:cs="Times New Roman"/>
          <w:sz w:val="24"/>
          <w:szCs w:val="24"/>
          <w:lang w:val="en-US"/>
        </w:rPr>
        <w:fldChar w:fldCharType="begin"/>
      </w:r>
      <w:r w:rsidR="006A0F4B" w:rsidRPr="00456628">
        <w:rPr>
          <w:rFonts w:ascii="Times New Roman" w:hAnsi="Times New Roman" w:cs="Times New Roman"/>
          <w:sz w:val="24"/>
          <w:szCs w:val="24"/>
          <w:lang w:val="en-US"/>
        </w:rPr>
        <w:instrText xml:space="preserve"> ADDIN ZOTERO_ITEM CSL_CITATION {"citationID":"qhBKix4B","properties":{"formattedCitation":"(Golder and Stramski 2010)","plainCitation":"(Golder and Stramski 2010)","noteIndex":0},"citationItems":[{"id":839,"uris":["http://zotero.org/users/local/uk8r6OrS/items/VFGCV5MN"],"uri":["http://zotero.org/users/local/uk8r6OrS/items/VFGCV5MN"],"itemData":{"id":839,"type":"article-journal","container-title":"American Journal of Political Science","DOI":"10.1111/j.1540-5907.2009.00420.x","ISSN":"00925853, 15405907","issue":"1","language":"en","page":"90-106","source":"DOI.org (Crossref)","title":"Ideological Congruence and Electoral Institutions","volume":"54","author":[{"family":"Golder","given":"Matt"},{"family":"Stramski","given":"Jacek"}],"issued":{"date-parts":[["2010",1]]}}}],"schema":"https://github.com/citation-style-language/schema/raw/master/csl-citation.json"} </w:instrText>
      </w:r>
      <w:r w:rsidR="006A0F4B" w:rsidRPr="00456628">
        <w:rPr>
          <w:rFonts w:ascii="Times New Roman" w:hAnsi="Times New Roman" w:cs="Times New Roman"/>
          <w:sz w:val="24"/>
          <w:szCs w:val="24"/>
          <w:lang w:val="en-US"/>
        </w:rPr>
        <w:fldChar w:fldCharType="separate"/>
      </w:r>
      <w:r w:rsidR="006A0F4B" w:rsidRPr="00456628">
        <w:rPr>
          <w:rFonts w:ascii="Times New Roman" w:hAnsi="Times New Roman" w:cs="Times New Roman"/>
          <w:sz w:val="24"/>
          <w:szCs w:val="24"/>
          <w:lang w:val="en-US"/>
        </w:rPr>
        <w:t>(Golder and Stramski 2010)</w:t>
      </w:r>
      <w:r w:rsidR="006A0F4B" w:rsidRPr="00456628">
        <w:rPr>
          <w:rFonts w:ascii="Times New Roman" w:hAnsi="Times New Roman" w:cs="Times New Roman"/>
          <w:sz w:val="24"/>
          <w:szCs w:val="24"/>
          <w:lang w:val="en-US"/>
        </w:rPr>
        <w:fldChar w:fldCharType="end"/>
      </w:r>
      <w:r w:rsidR="00736A09" w:rsidRPr="00456628">
        <w:rPr>
          <w:rFonts w:ascii="Times New Roman" w:hAnsi="Times New Roman" w:cs="Times New Roman"/>
          <w:sz w:val="24"/>
          <w:szCs w:val="24"/>
          <w:lang w:val="en-US"/>
        </w:rPr>
        <w:t>, might produce results different from the one’s reported here. In addition, o</w:t>
      </w:r>
      <w:r w:rsidRPr="00456628">
        <w:rPr>
          <w:rFonts w:ascii="Times New Roman" w:hAnsi="Times New Roman" w:cs="Times New Roman"/>
          <w:sz w:val="24"/>
          <w:szCs w:val="24"/>
          <w:lang w:val="en-US"/>
        </w:rPr>
        <w:t xml:space="preserve">ur study only looks at one country, and thus only to one party system. Would the same difference between parties and voters be found in other party systems? We are not sure. Specifically, in Belgium politics are structured by a strong linguistic divide, in addition to the classic left-right cleavage </w:t>
      </w:r>
      <w:r w:rsidRPr="00456628">
        <w:rPr>
          <w:rFonts w:ascii="Times New Roman" w:hAnsi="Times New Roman" w:cs="Times New Roman"/>
          <w:sz w:val="24"/>
          <w:szCs w:val="24"/>
          <w:lang w:val="en-US"/>
        </w:rPr>
        <w:fldChar w:fldCharType="begin"/>
      </w:r>
      <w:r w:rsidR="00DA4357" w:rsidRPr="00456628">
        <w:rPr>
          <w:rFonts w:ascii="Times New Roman" w:hAnsi="Times New Roman" w:cs="Times New Roman"/>
          <w:sz w:val="24"/>
          <w:szCs w:val="24"/>
          <w:lang w:val="en-US"/>
        </w:rPr>
        <w:instrText xml:space="preserve"> ADDIN ZOTERO_ITEM CSL_CITATION {"citationID":"LJIE68o0","properties":{"formattedCitation":"(Deschouwer 2012; Freire 2015)","plainCitation":"(Deschouwer 2012; Freire 2015)","noteIndex":0},"citationItems":[{"id":"zNFxbYtK/oWI3JY9W","uris":["http://zotero.org/users/5515793/items/JS3VYAXG"],"uri":["http://zotero.org/users/5515793/items/JS3VYAXG"],"itemData":{"id":"xeNzCqp9/UKA2Pcxj","type":"book","title":"The politics of Belgium: governing a divided society","publisher":"Macmillan International Higher Education","source":"Google Scholar","shortTitle":"The politics of Belgium","author":[{"family":"Deschouwer","given":"Kris"}],"issued":{"date-parts":[["2012"]]}}},{"id":"zNFxbYtK/156N1Nbd","uris":["http://zotero.org/users/2012883/items/87ANDC2H"],"uri":["http://zotero.org/users/2012883/items/87ANDC2H"],"itemData":{"id":"xeNzCqp9/n4YOZ7NO","type":"article-journal","title":"Left–right ideology as a dimension of identification and of competition*","container-title":"Journal of Political Ideologies","page":"43-68","volume":"20","issue":"1","source":"Taylor and Francis+NEJM","abstract":"There is some controversy about the dimensionality of the left–right (LR) distinction. Some authors argue for unidimensionality (LR structured by socio-economic issues). Other authors concede that socio-economic issues are of fundamental importance in shaping the LR divide, but nevertheless argue for multidimensionality. Considering these controversies, we define our two major goals: to test the dimensionality of LR voting alignments among the mass public in 21 countries at the individual level, and to test the differentiation of the dimensionality of the LR divide as a ‘dimension of identification’ and as a ‘dimension of competition’. Our main findings are as follows. First, as ‘dimension of identification’, LR voting has a multidimensional character: it is anchored in multiple sets of values orientations, both economic and non-economic. Second, the same cannot be said when we discuss it as a ‘dimension of political competition’: LR party-system polarization only has a significant and positive impact on left–right value voting for socio-economic values.","DOI":"10.1080/13569317.2015.991493","ISSN":"1356-9317","author":[{"family":"Freire","given":"André"}],"issued":{"date-parts":[["2015",1,2]]}}}],"schema":"https://github.com/citation-style-language/schema/raw/master/csl-citation.json"} </w:instrText>
      </w:r>
      <w:r w:rsidRPr="00456628">
        <w:rPr>
          <w:rFonts w:ascii="Times New Roman" w:hAnsi="Times New Roman" w:cs="Times New Roman"/>
          <w:sz w:val="24"/>
          <w:szCs w:val="24"/>
          <w:lang w:val="en-US"/>
        </w:rPr>
        <w:fldChar w:fldCharType="separate"/>
      </w:r>
      <w:r w:rsidRPr="00456628">
        <w:rPr>
          <w:rFonts w:ascii="Times New Roman" w:hAnsi="Times New Roman" w:cs="Times New Roman"/>
          <w:sz w:val="24"/>
          <w:szCs w:val="24"/>
          <w:lang w:val="en-US"/>
        </w:rPr>
        <w:t>(Deschouwer 2012; Freire 2015)</w:t>
      </w:r>
      <w:r w:rsidRPr="00456628">
        <w:rPr>
          <w:rFonts w:ascii="Times New Roman" w:hAnsi="Times New Roman" w:cs="Times New Roman"/>
          <w:sz w:val="24"/>
          <w:szCs w:val="24"/>
          <w:lang w:val="en-US"/>
        </w:rPr>
        <w:fldChar w:fldCharType="end"/>
      </w:r>
      <w:r w:rsidRPr="00456628">
        <w:rPr>
          <w:rFonts w:ascii="Times New Roman" w:hAnsi="Times New Roman" w:cs="Times New Roman"/>
          <w:sz w:val="24"/>
          <w:szCs w:val="24"/>
          <w:lang w:val="en-US"/>
        </w:rPr>
        <w:t xml:space="preserve">. It is possible that in countries with fewer cleavages, reliable congruence scores could be obtained with a lower number of policy statements. </w:t>
      </w:r>
      <w:r w:rsidR="00623632" w:rsidRPr="00456628">
        <w:rPr>
          <w:rFonts w:ascii="Times New Roman" w:hAnsi="Times New Roman" w:cs="Times New Roman"/>
          <w:sz w:val="24"/>
          <w:szCs w:val="24"/>
          <w:lang w:val="en-US"/>
        </w:rPr>
        <w:t>In addition, future research is needed to corroborate the findings presented here with other sources of party positions, such as manifesto data or candidate surveys.</w:t>
      </w:r>
    </w:p>
    <w:p w14:paraId="38680B93" w14:textId="0345BB4F" w:rsidR="007A4A68" w:rsidRPr="00456628" w:rsidRDefault="007A4A68" w:rsidP="000D0445">
      <w:pPr>
        <w:spacing w:before="240"/>
        <w:rPr>
          <w:rFonts w:ascii="Times New Roman" w:hAnsi="Times New Roman" w:cs="Times New Roman"/>
          <w:sz w:val="24"/>
          <w:szCs w:val="24"/>
          <w:lang w:val="en-US"/>
        </w:rPr>
      </w:pPr>
      <w:r w:rsidRPr="00456628">
        <w:rPr>
          <w:rFonts w:ascii="Times New Roman" w:hAnsi="Times New Roman" w:cs="Times New Roman"/>
          <w:sz w:val="24"/>
          <w:szCs w:val="24"/>
          <w:lang w:val="en-US"/>
        </w:rPr>
        <w:t>In sum, we do not claim that our results are just transposable to other political and party systems. However, the results shown in this study offer a useful way to start thinking more systematically about how to measure opinion congruence. Empirical science depends on reliable measures and refining those measures is an integral part of the scientific process. We believe to have presented an approach that can lead to improved estimates of the agreement between voters and political parties, contributing to our understanding of opinion congruence and democratic representation.</w:t>
      </w:r>
    </w:p>
    <w:p w14:paraId="1A065F82" w14:textId="77777777" w:rsidR="00F17A32" w:rsidRPr="00456628" w:rsidRDefault="00F17A32" w:rsidP="009C6283">
      <w:pPr>
        <w:spacing w:before="240"/>
        <w:rPr>
          <w:rFonts w:ascii="Times New Roman" w:hAnsi="Times New Roman" w:cs="Times New Roman"/>
          <w:b/>
          <w:sz w:val="24"/>
          <w:szCs w:val="24"/>
          <w:lang w:val="en-US"/>
        </w:rPr>
      </w:pPr>
    </w:p>
    <w:p w14:paraId="193F1794" w14:textId="1A35B8FC" w:rsidR="00AC2319" w:rsidRPr="00456628" w:rsidRDefault="00CC0990" w:rsidP="009C6283">
      <w:pPr>
        <w:spacing w:before="240"/>
        <w:rPr>
          <w:rFonts w:ascii="Times New Roman" w:hAnsi="Times New Roman" w:cs="Times New Roman"/>
          <w:b/>
          <w:sz w:val="24"/>
          <w:szCs w:val="24"/>
          <w:lang w:val="en-US"/>
        </w:rPr>
      </w:pPr>
      <w:r w:rsidRPr="00456628">
        <w:rPr>
          <w:rFonts w:ascii="Times New Roman" w:hAnsi="Times New Roman" w:cs="Times New Roman"/>
          <w:b/>
          <w:sz w:val="24"/>
          <w:szCs w:val="24"/>
          <w:lang w:val="en-US"/>
        </w:rPr>
        <w:t>Cited literature</w:t>
      </w:r>
    </w:p>
    <w:p w14:paraId="5D394299" w14:textId="77777777" w:rsidR="0056401A" w:rsidRPr="00456628" w:rsidRDefault="00CF1BAD" w:rsidP="0056401A">
      <w:pPr>
        <w:pStyle w:val="Bibliography"/>
        <w:rPr>
          <w:lang w:val="en-US"/>
        </w:rPr>
      </w:pPr>
      <w:r w:rsidRPr="00456628">
        <w:rPr>
          <w:lang w:val="en-US"/>
        </w:rPr>
        <w:fldChar w:fldCharType="begin"/>
      </w:r>
      <w:r w:rsidR="00DA4357" w:rsidRPr="00456628">
        <w:rPr>
          <w:lang w:val="en-US"/>
        </w:rPr>
        <w:instrText xml:space="preserve"> ADDIN ZOTERO_BIBL {"uncited":[],"omitted":[],"custom":[]} CSL_BIBLIOGRAPHY </w:instrText>
      </w:r>
      <w:r w:rsidRPr="00456628">
        <w:rPr>
          <w:lang w:val="en-US"/>
        </w:rPr>
        <w:fldChar w:fldCharType="separate"/>
      </w:r>
      <w:r w:rsidR="0056401A" w:rsidRPr="00456628">
        <w:rPr>
          <w:lang w:val="en-US"/>
        </w:rPr>
        <w:t xml:space="preserve">Aaldering, Loes. 2017. “Political Representation and Educational Attainment: Evidence from the Netherlands (1994–2010).” </w:t>
      </w:r>
      <w:r w:rsidR="0056401A" w:rsidRPr="00456628">
        <w:rPr>
          <w:i/>
          <w:iCs/>
          <w:lang w:val="en-US"/>
        </w:rPr>
        <w:t>Political Studies</w:t>
      </w:r>
      <w:r w:rsidR="0056401A" w:rsidRPr="00456628">
        <w:rPr>
          <w:lang w:val="en-US"/>
        </w:rPr>
        <w:t xml:space="preserve"> 65(1_suppl): 4–23.</w:t>
      </w:r>
    </w:p>
    <w:p w14:paraId="78BCD44D" w14:textId="77777777" w:rsidR="0056401A" w:rsidRPr="00456628" w:rsidRDefault="0056401A" w:rsidP="0056401A">
      <w:pPr>
        <w:pStyle w:val="Bibliography"/>
        <w:rPr>
          <w:lang w:val="en-US"/>
        </w:rPr>
      </w:pPr>
      <w:r w:rsidRPr="00456628">
        <w:rPr>
          <w:lang w:val="en-US"/>
        </w:rPr>
        <w:t xml:space="preserve">Achen, Christopher H. 1977. “Measuring Representation: Perils of the Correlation Coefficient.” </w:t>
      </w:r>
      <w:r w:rsidRPr="00456628">
        <w:rPr>
          <w:i/>
          <w:iCs/>
          <w:lang w:val="en-US"/>
        </w:rPr>
        <w:t>American Journal of Political Science</w:t>
      </w:r>
      <w:r w:rsidRPr="00456628">
        <w:rPr>
          <w:lang w:val="en-US"/>
        </w:rPr>
        <w:t xml:space="preserve"> 21(4): 805.</w:t>
      </w:r>
    </w:p>
    <w:p w14:paraId="7F297D50" w14:textId="77777777" w:rsidR="0056401A" w:rsidRPr="00456628" w:rsidRDefault="0056401A" w:rsidP="0056401A">
      <w:pPr>
        <w:pStyle w:val="Bibliography"/>
        <w:rPr>
          <w:lang w:val="en-US"/>
        </w:rPr>
      </w:pPr>
      <w:r w:rsidRPr="00456628">
        <w:rPr>
          <w:lang w:val="en-US"/>
        </w:rPr>
        <w:t xml:space="preserve">Andeweg, Rudy. 2011. “Approaching Perfect Policy Congruence: Measurement, Development, and Relevance for Political Representation.” In </w:t>
      </w:r>
      <w:r w:rsidRPr="00456628">
        <w:rPr>
          <w:i/>
          <w:iCs/>
          <w:lang w:val="en-US"/>
        </w:rPr>
        <w:t>How Democracy Works: Political Representation and Policy Congruence in Modern Societies</w:t>
      </w:r>
      <w:r w:rsidRPr="00456628">
        <w:rPr>
          <w:lang w:val="en-US"/>
        </w:rPr>
        <w:t>, eds. Martin Rosema, Bas Denters, and Kees Aarts. Amsterdam: Amsterdam University Press, 39–52.</w:t>
      </w:r>
    </w:p>
    <w:p w14:paraId="75B96344" w14:textId="77777777" w:rsidR="0056401A" w:rsidRPr="00456628" w:rsidRDefault="0056401A" w:rsidP="0056401A">
      <w:pPr>
        <w:pStyle w:val="Bibliography"/>
        <w:rPr>
          <w:lang w:val="en-US"/>
        </w:rPr>
      </w:pPr>
      <w:r w:rsidRPr="00456628">
        <w:rPr>
          <w:lang w:val="en-US"/>
        </w:rPr>
        <w:t xml:space="preserve">Andeweg, Rudy, and Jacques Thomassen. 2011. “Pathways to Party Unity: Sanctions, Loyalty, Homogeneity and Division of Labour in the Dutch Parliament.” </w:t>
      </w:r>
      <w:r w:rsidRPr="00456628">
        <w:rPr>
          <w:i/>
          <w:iCs/>
          <w:lang w:val="en-US"/>
        </w:rPr>
        <w:t>Party Politics</w:t>
      </w:r>
      <w:r w:rsidRPr="00456628">
        <w:rPr>
          <w:lang w:val="en-US"/>
        </w:rPr>
        <w:t xml:space="preserve"> 17(5): 655–72.</w:t>
      </w:r>
    </w:p>
    <w:p w14:paraId="6422159F" w14:textId="77777777" w:rsidR="0056401A" w:rsidRPr="00456628" w:rsidRDefault="0056401A" w:rsidP="0056401A">
      <w:pPr>
        <w:pStyle w:val="Bibliography"/>
        <w:rPr>
          <w:lang w:val="en-US"/>
        </w:rPr>
      </w:pPr>
      <w:r w:rsidRPr="00456628">
        <w:rPr>
          <w:lang w:val="en-US"/>
        </w:rPr>
        <w:t xml:space="preserve">Ansolabehere, Stephen, and Douglas Rivers. 2013. “Cooperative Survey Research.” </w:t>
      </w:r>
      <w:r w:rsidRPr="00456628">
        <w:rPr>
          <w:i/>
          <w:iCs/>
          <w:lang w:val="en-US"/>
        </w:rPr>
        <w:t>Annual Review of Political Science</w:t>
      </w:r>
      <w:r w:rsidRPr="00456628">
        <w:rPr>
          <w:lang w:val="en-US"/>
        </w:rPr>
        <w:t xml:space="preserve"> 16(1): 307–29.</w:t>
      </w:r>
    </w:p>
    <w:p w14:paraId="0AA46096" w14:textId="77777777" w:rsidR="0056401A" w:rsidRPr="00456628" w:rsidRDefault="0056401A" w:rsidP="0056401A">
      <w:pPr>
        <w:pStyle w:val="Bibliography"/>
        <w:rPr>
          <w:lang w:val="en-US"/>
        </w:rPr>
      </w:pPr>
      <w:r w:rsidRPr="00456628">
        <w:rPr>
          <w:lang w:val="en-US"/>
        </w:rPr>
        <w:lastRenderedPageBreak/>
        <w:t xml:space="preserve">Camp, Kirsten Van, Jonas Lefevere, and Stefaan Walgrave. 2014. “The Content and Formulation of Statements in Voting Applications: A Comparative Analysis of 26 VAAs.” In </w:t>
      </w:r>
      <w:r w:rsidRPr="00456628">
        <w:rPr>
          <w:i/>
          <w:iCs/>
          <w:lang w:val="en-US"/>
        </w:rPr>
        <w:t>Matching Voters with Parties and Candidates. Voting Advice Applications in a Comparative Perspective</w:t>
      </w:r>
      <w:r w:rsidRPr="00456628">
        <w:rPr>
          <w:lang w:val="en-US"/>
        </w:rPr>
        <w:t>, eds. Diego Garzia and Stefan Marschall. Colchester: ECPR Press, 11–32.</w:t>
      </w:r>
    </w:p>
    <w:p w14:paraId="5F1A1C94" w14:textId="77777777" w:rsidR="0056401A" w:rsidRPr="00456628" w:rsidRDefault="0056401A" w:rsidP="0056401A">
      <w:pPr>
        <w:pStyle w:val="Bibliography"/>
        <w:rPr>
          <w:lang w:val="en-US"/>
        </w:rPr>
      </w:pPr>
      <w:r w:rsidRPr="00456628">
        <w:rPr>
          <w:lang w:val="en-US"/>
        </w:rPr>
        <w:t xml:space="preserve">Campbell, Angus, Philip E. Converse, Warren E. Miller, and Donald E. Stokes. 1960. </w:t>
      </w:r>
      <w:r w:rsidRPr="00456628">
        <w:rPr>
          <w:i/>
          <w:iCs/>
          <w:lang w:val="en-US"/>
        </w:rPr>
        <w:t>The American Voter</w:t>
      </w:r>
      <w:r w:rsidRPr="00456628">
        <w:rPr>
          <w:lang w:val="en-US"/>
        </w:rPr>
        <w:t>. Unabridged ed. Chicago [Ill.]: University of Chicago Press.</w:t>
      </w:r>
    </w:p>
    <w:p w14:paraId="07C73B8D" w14:textId="77777777" w:rsidR="0056401A" w:rsidRPr="00456628" w:rsidRDefault="0056401A" w:rsidP="0056401A">
      <w:pPr>
        <w:pStyle w:val="Bibliography"/>
        <w:rPr>
          <w:lang w:val="en-US"/>
        </w:rPr>
      </w:pPr>
      <w:r w:rsidRPr="00456628">
        <w:rPr>
          <w:lang w:val="en-US"/>
        </w:rPr>
        <w:t xml:space="preserve">Ciuk, David J., and Berwood A. Yost. 2016. “The Effects of Issue Salience, Elite Influence, and Policy Content on Public Opinion.” </w:t>
      </w:r>
      <w:r w:rsidRPr="00456628">
        <w:rPr>
          <w:i/>
          <w:iCs/>
          <w:lang w:val="en-US"/>
        </w:rPr>
        <w:t>Political Communication</w:t>
      </w:r>
      <w:r w:rsidRPr="00456628">
        <w:rPr>
          <w:lang w:val="en-US"/>
        </w:rPr>
        <w:t xml:space="preserve"> 33(2): 328–45.</w:t>
      </w:r>
    </w:p>
    <w:p w14:paraId="01444547" w14:textId="77777777" w:rsidR="0056401A" w:rsidRPr="00456628" w:rsidRDefault="0056401A" w:rsidP="0056401A">
      <w:pPr>
        <w:pStyle w:val="Bibliography"/>
        <w:rPr>
          <w:lang w:val="en-US"/>
        </w:rPr>
      </w:pPr>
      <w:r w:rsidRPr="00456628">
        <w:rPr>
          <w:lang w:val="en-US"/>
        </w:rPr>
        <w:t xml:space="preserve">Converse, Philip E. 1964. “The Nature of Belief Systems in Mass Publics.” </w:t>
      </w:r>
      <w:r w:rsidRPr="00456628">
        <w:rPr>
          <w:i/>
          <w:iCs/>
          <w:lang w:val="en-US"/>
        </w:rPr>
        <w:t>Critical Review</w:t>
      </w:r>
      <w:r w:rsidRPr="00456628">
        <w:rPr>
          <w:lang w:val="en-US"/>
        </w:rPr>
        <w:t xml:space="preserve"> 18(1–3): 1–74.</w:t>
      </w:r>
    </w:p>
    <w:p w14:paraId="332258FC" w14:textId="77777777" w:rsidR="0056401A" w:rsidRPr="00456628" w:rsidRDefault="0056401A" w:rsidP="0056401A">
      <w:pPr>
        <w:pStyle w:val="Bibliography"/>
        <w:rPr>
          <w:lang w:val="en-US"/>
        </w:rPr>
      </w:pPr>
      <w:r w:rsidRPr="00456628">
        <w:rPr>
          <w:lang w:val="en-US"/>
        </w:rPr>
        <w:t xml:space="preserve">Dalton, Russell. 1988. </w:t>
      </w:r>
      <w:r w:rsidRPr="00456628">
        <w:rPr>
          <w:i/>
          <w:iCs/>
          <w:lang w:val="en-US"/>
        </w:rPr>
        <w:t>Citizen Politics in Western Democracies: Public Opinion and Political Parties in the United States, Great Britain, WestGermany, and France</w:t>
      </w:r>
      <w:r w:rsidRPr="00456628">
        <w:rPr>
          <w:lang w:val="en-US"/>
        </w:rPr>
        <w:t>. Chatham House Publishers.</w:t>
      </w:r>
    </w:p>
    <w:p w14:paraId="47BC8B1F" w14:textId="77777777" w:rsidR="0056401A" w:rsidRPr="00456628" w:rsidRDefault="0056401A" w:rsidP="0056401A">
      <w:pPr>
        <w:pStyle w:val="Bibliography"/>
        <w:rPr>
          <w:lang w:val="en-US"/>
        </w:rPr>
      </w:pPr>
      <w:r w:rsidRPr="00456628">
        <w:rPr>
          <w:lang w:val="en-US"/>
        </w:rPr>
        <w:t xml:space="preserve">Depauw, Sam. 2003. “Government Party Discipline in Parliamentary Democracies: The Cases of Belgium, France, and the United Kingdom in the 1990s.” </w:t>
      </w:r>
      <w:r w:rsidRPr="00456628">
        <w:rPr>
          <w:i/>
          <w:iCs/>
          <w:lang w:val="en-US"/>
        </w:rPr>
        <w:t>The Journal of Legislative Studies</w:t>
      </w:r>
      <w:r w:rsidRPr="00456628">
        <w:rPr>
          <w:lang w:val="en-US"/>
        </w:rPr>
        <w:t xml:space="preserve"> 9(4): 130–46.</w:t>
      </w:r>
    </w:p>
    <w:p w14:paraId="273205DC" w14:textId="77777777" w:rsidR="0056401A" w:rsidRPr="00456628" w:rsidRDefault="0056401A" w:rsidP="0056401A">
      <w:pPr>
        <w:pStyle w:val="Bibliography"/>
        <w:rPr>
          <w:lang w:val="en-US"/>
        </w:rPr>
      </w:pPr>
      <w:r w:rsidRPr="00456628">
        <w:rPr>
          <w:lang w:val="en-US"/>
        </w:rPr>
        <w:t xml:space="preserve">Deschouwer, Kris. 2012. </w:t>
      </w:r>
      <w:r w:rsidRPr="00456628">
        <w:rPr>
          <w:i/>
          <w:iCs/>
          <w:lang w:val="en-US"/>
        </w:rPr>
        <w:t>The Politics of Belgium: Governing a Divided Society</w:t>
      </w:r>
      <w:r w:rsidRPr="00456628">
        <w:rPr>
          <w:lang w:val="en-US"/>
        </w:rPr>
        <w:t>. Macmillan International Higher Education.</w:t>
      </w:r>
    </w:p>
    <w:p w14:paraId="45177FC5" w14:textId="77777777" w:rsidR="0056401A" w:rsidRPr="00456628" w:rsidRDefault="0056401A" w:rsidP="0056401A">
      <w:pPr>
        <w:pStyle w:val="Bibliography"/>
        <w:rPr>
          <w:lang w:val="en-US"/>
        </w:rPr>
      </w:pPr>
      <w:r w:rsidRPr="00456628">
        <w:rPr>
          <w:lang w:val="en-US"/>
        </w:rPr>
        <w:t xml:space="preserve">Djolov, George. 2013. “The Herfindahl-Hirschman Index as a Decision Guide to Business Concentration: A Statistical Exploration.” </w:t>
      </w:r>
      <w:r w:rsidRPr="00456628">
        <w:rPr>
          <w:i/>
          <w:iCs/>
          <w:lang w:val="en-US"/>
        </w:rPr>
        <w:t>Journal of Economic and Social Measurement</w:t>
      </w:r>
      <w:r w:rsidRPr="00456628">
        <w:rPr>
          <w:lang w:val="en-US"/>
        </w:rPr>
        <w:t xml:space="preserve"> 38(3): 201–27.</w:t>
      </w:r>
    </w:p>
    <w:p w14:paraId="318D80E8" w14:textId="77777777" w:rsidR="0056401A" w:rsidRPr="00456628" w:rsidRDefault="0056401A" w:rsidP="0056401A">
      <w:pPr>
        <w:pStyle w:val="Bibliography"/>
        <w:rPr>
          <w:lang w:val="en-US"/>
        </w:rPr>
      </w:pPr>
      <w:r w:rsidRPr="00456628">
        <w:rPr>
          <w:lang w:val="en-US"/>
        </w:rPr>
        <w:t xml:space="preserve">Fowler, Anthony, and Michele Margolis. 2014. “The Political Consequences of Uninformed Voters.” </w:t>
      </w:r>
      <w:r w:rsidRPr="00456628">
        <w:rPr>
          <w:i/>
          <w:iCs/>
          <w:lang w:val="en-US"/>
        </w:rPr>
        <w:t>Electoral Studies</w:t>
      </w:r>
      <w:r w:rsidRPr="00456628">
        <w:rPr>
          <w:lang w:val="en-US"/>
        </w:rPr>
        <w:t xml:space="preserve"> 34: 100–110.</w:t>
      </w:r>
    </w:p>
    <w:p w14:paraId="1C97240B" w14:textId="77777777" w:rsidR="0056401A" w:rsidRPr="00456628" w:rsidRDefault="0056401A" w:rsidP="0056401A">
      <w:pPr>
        <w:pStyle w:val="Bibliography"/>
        <w:rPr>
          <w:lang w:val="en-US"/>
        </w:rPr>
      </w:pPr>
      <w:r w:rsidRPr="00456628">
        <w:rPr>
          <w:lang w:val="en-US"/>
        </w:rPr>
        <w:t xml:space="preserve">Freire, André. 2015. “Left–Right Ideology as a Dimension of Identification and of Competition*.” </w:t>
      </w:r>
      <w:r w:rsidRPr="00456628">
        <w:rPr>
          <w:i/>
          <w:iCs/>
          <w:lang w:val="en-US"/>
        </w:rPr>
        <w:t>Journal of Political Ideologies</w:t>
      </w:r>
      <w:r w:rsidRPr="00456628">
        <w:rPr>
          <w:lang w:val="en-US"/>
        </w:rPr>
        <w:t xml:space="preserve"> 20(1): 43–68.</w:t>
      </w:r>
    </w:p>
    <w:p w14:paraId="6D4E72B7" w14:textId="77777777" w:rsidR="0056401A" w:rsidRPr="00456628" w:rsidRDefault="0056401A" w:rsidP="0056401A">
      <w:pPr>
        <w:pStyle w:val="Bibliography"/>
        <w:rPr>
          <w:lang w:val="en-US"/>
        </w:rPr>
      </w:pPr>
      <w:r w:rsidRPr="00456628">
        <w:rPr>
          <w:lang w:val="en-US"/>
        </w:rPr>
        <w:t xml:space="preserve">Freire, André, and Ana Belchior. 2013. “Ideological Representation in Portugal: MPs’–Electors’ Linkages in Terms of Left–Right Placement and Substantive Meaning.” </w:t>
      </w:r>
      <w:r w:rsidRPr="00456628">
        <w:rPr>
          <w:i/>
          <w:iCs/>
          <w:lang w:val="en-US"/>
        </w:rPr>
        <w:t>The Journal of Legislative Studies</w:t>
      </w:r>
      <w:r w:rsidRPr="00456628">
        <w:rPr>
          <w:lang w:val="en-US"/>
        </w:rPr>
        <w:t xml:space="preserve"> 19(1): 1–21.</w:t>
      </w:r>
    </w:p>
    <w:p w14:paraId="7593C393" w14:textId="77777777" w:rsidR="0056401A" w:rsidRPr="00456628" w:rsidRDefault="0056401A" w:rsidP="0056401A">
      <w:pPr>
        <w:pStyle w:val="Bibliography"/>
        <w:rPr>
          <w:lang w:val="en-US"/>
        </w:rPr>
      </w:pPr>
      <w:r w:rsidRPr="00456628">
        <w:rPr>
          <w:lang w:val="en-US"/>
        </w:rPr>
        <w:t xml:space="preserve">Gelman, Andrew, and Jennifer Hill. 2006. </w:t>
      </w:r>
      <w:r w:rsidRPr="00456628">
        <w:rPr>
          <w:i/>
          <w:iCs/>
          <w:lang w:val="en-US"/>
        </w:rPr>
        <w:t>Data Analysis Using Regression and Multilevel/Hierarchical Models</w:t>
      </w:r>
      <w:r w:rsidRPr="00456628">
        <w:rPr>
          <w:lang w:val="en-US"/>
        </w:rPr>
        <w:t>. Cambridge University Press.</w:t>
      </w:r>
    </w:p>
    <w:p w14:paraId="40C2CA39" w14:textId="77777777" w:rsidR="0056401A" w:rsidRPr="00456628" w:rsidRDefault="0056401A" w:rsidP="0056401A">
      <w:pPr>
        <w:pStyle w:val="Bibliography"/>
        <w:rPr>
          <w:lang w:val="en-US"/>
        </w:rPr>
      </w:pPr>
      <w:r w:rsidRPr="00456628">
        <w:rPr>
          <w:lang w:val="en-US"/>
        </w:rPr>
        <w:t xml:space="preserve">Gemenis, Kostas, and Carolien van Ham. 2014. “Comparing Methods for Estimating Parties’ Positions in Voting Advice Applications.” In </w:t>
      </w:r>
      <w:r w:rsidRPr="00456628">
        <w:rPr>
          <w:i/>
          <w:iCs/>
          <w:lang w:val="en-US"/>
        </w:rPr>
        <w:t>Matching Voters with Parties and Candidates: Voting Advice Applications in a Comparative Perspective</w:t>
      </w:r>
      <w:r w:rsidRPr="00456628">
        <w:rPr>
          <w:lang w:val="en-US"/>
        </w:rPr>
        <w:t>, eds. Diego Garzia and Stefan Marschall. Colchester: ECPR Press, 33–48.</w:t>
      </w:r>
    </w:p>
    <w:p w14:paraId="0BD4D53C" w14:textId="77777777" w:rsidR="0056401A" w:rsidRPr="00456628" w:rsidRDefault="0056401A" w:rsidP="0056401A">
      <w:pPr>
        <w:pStyle w:val="Bibliography"/>
        <w:rPr>
          <w:lang w:val="en-US"/>
        </w:rPr>
      </w:pPr>
      <w:r w:rsidRPr="00456628">
        <w:rPr>
          <w:lang w:val="en-US"/>
        </w:rPr>
        <w:t xml:space="preserve">Giger, Nathalie, and Zoe Lefkofridi. 2014. “Salience-Based Congruence Between Parties &amp; Their Voters: The Swiss Case.” </w:t>
      </w:r>
      <w:r w:rsidRPr="00456628">
        <w:rPr>
          <w:i/>
          <w:iCs/>
          <w:lang w:val="en-US"/>
        </w:rPr>
        <w:t>Swiss Political Science Review</w:t>
      </w:r>
      <w:r w:rsidRPr="00456628">
        <w:rPr>
          <w:lang w:val="en-US"/>
        </w:rPr>
        <w:t xml:space="preserve"> 20(2): 287–304.</w:t>
      </w:r>
    </w:p>
    <w:p w14:paraId="7F05212E" w14:textId="77777777" w:rsidR="0056401A" w:rsidRPr="00456628" w:rsidRDefault="0056401A" w:rsidP="0056401A">
      <w:pPr>
        <w:pStyle w:val="Bibliography"/>
        <w:rPr>
          <w:lang w:val="en-US"/>
        </w:rPr>
      </w:pPr>
      <w:r w:rsidRPr="00456628">
        <w:rPr>
          <w:lang w:val="en-US"/>
        </w:rPr>
        <w:t xml:space="preserve">Giger, Nathalie, Jan Rosset, and Julian Bernauer. 2012. “The Poor Political Representation of The Poor in a Comparative Perspective.” </w:t>
      </w:r>
      <w:r w:rsidRPr="00456628">
        <w:rPr>
          <w:i/>
          <w:iCs/>
          <w:lang w:val="en-US"/>
        </w:rPr>
        <w:t>Representation</w:t>
      </w:r>
      <w:r w:rsidRPr="00456628">
        <w:rPr>
          <w:lang w:val="en-US"/>
        </w:rPr>
        <w:t xml:space="preserve"> 48(1): 47–61.</w:t>
      </w:r>
    </w:p>
    <w:p w14:paraId="02D6DF5F" w14:textId="77777777" w:rsidR="0056401A" w:rsidRPr="00456628" w:rsidRDefault="0056401A" w:rsidP="0056401A">
      <w:pPr>
        <w:pStyle w:val="Bibliography"/>
        <w:rPr>
          <w:lang w:val="en-US"/>
        </w:rPr>
      </w:pPr>
      <w:r w:rsidRPr="00456628">
        <w:rPr>
          <w:lang w:val="en-US"/>
        </w:rPr>
        <w:lastRenderedPageBreak/>
        <w:t xml:space="preserve">Golder, Matt, and Jacek Stramski. 2010. “Ideological Congruence and Electoral Institutions.” </w:t>
      </w:r>
      <w:r w:rsidRPr="00456628">
        <w:rPr>
          <w:i/>
          <w:iCs/>
          <w:lang w:val="en-US"/>
        </w:rPr>
        <w:t>American Journal of Political Science</w:t>
      </w:r>
      <w:r w:rsidRPr="00456628">
        <w:rPr>
          <w:lang w:val="en-US"/>
        </w:rPr>
        <w:t xml:space="preserve"> 54(1): 90–106.</w:t>
      </w:r>
    </w:p>
    <w:p w14:paraId="0843E428" w14:textId="77777777" w:rsidR="0056401A" w:rsidRPr="00456628" w:rsidRDefault="0056401A" w:rsidP="0056401A">
      <w:pPr>
        <w:pStyle w:val="Bibliography"/>
        <w:rPr>
          <w:lang w:val="en-US"/>
        </w:rPr>
      </w:pPr>
      <w:r w:rsidRPr="00456628">
        <w:rPr>
          <w:lang w:val="en-US"/>
        </w:rPr>
        <w:t xml:space="preserve">Holmberg, Soren. 2000. “ISSUE AGREEMENT MATTERS.” In </w:t>
      </w:r>
      <w:r w:rsidRPr="00456628">
        <w:rPr>
          <w:i/>
          <w:iCs/>
          <w:lang w:val="en-US"/>
        </w:rPr>
        <w:t>Beyond Westminster and Congress: The Nordic Experience</w:t>
      </w:r>
      <w:r w:rsidRPr="00456628">
        <w:rPr>
          <w:lang w:val="en-US"/>
        </w:rPr>
        <w:t>, Ohio State University Press, 155.</w:t>
      </w:r>
    </w:p>
    <w:p w14:paraId="2F947F31" w14:textId="77777777" w:rsidR="0056401A" w:rsidRPr="00456628" w:rsidRDefault="0056401A" w:rsidP="0056401A">
      <w:pPr>
        <w:pStyle w:val="Bibliography"/>
        <w:rPr>
          <w:lang w:val="en-US"/>
        </w:rPr>
      </w:pPr>
      <w:r w:rsidRPr="00456628">
        <w:rPr>
          <w:lang w:val="en-US"/>
        </w:rPr>
        <w:t xml:space="preserve">Hooghe, Liesbet, Gary Marks, and Carole J. Wilson. 2002. “Does Left/Right Structure Party Positions on European Integration?” </w:t>
      </w:r>
      <w:r w:rsidRPr="00456628">
        <w:rPr>
          <w:i/>
          <w:iCs/>
          <w:lang w:val="en-US"/>
        </w:rPr>
        <w:t>Comparative Political Studies</w:t>
      </w:r>
      <w:r w:rsidRPr="00456628">
        <w:rPr>
          <w:lang w:val="en-US"/>
        </w:rPr>
        <w:t xml:space="preserve"> 35(8): 965–89.</w:t>
      </w:r>
    </w:p>
    <w:p w14:paraId="6EE04F28" w14:textId="77777777" w:rsidR="0056401A" w:rsidRPr="00456628" w:rsidRDefault="0056401A" w:rsidP="0056401A">
      <w:pPr>
        <w:pStyle w:val="Bibliography"/>
        <w:rPr>
          <w:lang w:val="en-US"/>
        </w:rPr>
      </w:pPr>
      <w:r w:rsidRPr="00456628">
        <w:rPr>
          <w:lang w:val="en-US"/>
        </w:rPr>
        <w:t xml:space="preserve">Inglehart, Ronald. 1990. </w:t>
      </w:r>
      <w:r w:rsidRPr="00456628">
        <w:rPr>
          <w:i/>
          <w:iCs/>
          <w:lang w:val="en-US"/>
        </w:rPr>
        <w:t>Culture Shift in Advanced Industrial Society</w:t>
      </w:r>
      <w:r w:rsidRPr="00456628">
        <w:rPr>
          <w:lang w:val="en-US"/>
        </w:rPr>
        <w:t>. Princeton, N.J: Princeton University Press.</w:t>
      </w:r>
    </w:p>
    <w:p w14:paraId="2E49B6B8" w14:textId="77777777" w:rsidR="0056401A" w:rsidRPr="00456628" w:rsidRDefault="0056401A" w:rsidP="0056401A">
      <w:pPr>
        <w:pStyle w:val="Bibliography"/>
        <w:rPr>
          <w:lang w:val="en-US"/>
        </w:rPr>
      </w:pPr>
      <w:r w:rsidRPr="00456628">
        <w:rPr>
          <w:lang w:val="en-US"/>
        </w:rPr>
        <w:t xml:space="preserve">Judd, Charles M., and James W. Downing. 1990. “Political Expertise and the Development of Attitude Consistency.” </w:t>
      </w:r>
      <w:r w:rsidRPr="00456628">
        <w:rPr>
          <w:i/>
          <w:iCs/>
          <w:lang w:val="en-US"/>
        </w:rPr>
        <w:t>Social Cognition</w:t>
      </w:r>
      <w:r w:rsidRPr="00456628">
        <w:rPr>
          <w:lang w:val="en-US"/>
        </w:rPr>
        <w:t xml:space="preserve"> 8(1): 104–24.</w:t>
      </w:r>
    </w:p>
    <w:p w14:paraId="5CF37268" w14:textId="77777777" w:rsidR="0056401A" w:rsidRPr="00456628" w:rsidRDefault="0056401A" w:rsidP="0056401A">
      <w:pPr>
        <w:pStyle w:val="Bibliography"/>
        <w:rPr>
          <w:lang w:val="en-US"/>
        </w:rPr>
      </w:pPr>
      <w:r w:rsidRPr="00456628">
        <w:rPr>
          <w:lang w:val="en-US"/>
        </w:rPr>
        <w:t xml:space="preserve">Kinder, Donald R. 2006. “Belief Systems Today.” </w:t>
      </w:r>
      <w:r w:rsidRPr="00456628">
        <w:rPr>
          <w:i/>
          <w:iCs/>
          <w:lang w:val="en-US"/>
        </w:rPr>
        <w:t>Critical Review</w:t>
      </w:r>
      <w:r w:rsidRPr="00456628">
        <w:rPr>
          <w:lang w:val="en-US"/>
        </w:rPr>
        <w:t xml:space="preserve"> 18(1–3): 197–216.</w:t>
      </w:r>
    </w:p>
    <w:p w14:paraId="0278D727" w14:textId="77777777" w:rsidR="0056401A" w:rsidRPr="00456628" w:rsidRDefault="0056401A" w:rsidP="0056401A">
      <w:pPr>
        <w:pStyle w:val="Bibliography"/>
        <w:rPr>
          <w:lang w:val="en-US"/>
        </w:rPr>
      </w:pPr>
      <w:r w:rsidRPr="00456628">
        <w:rPr>
          <w:lang w:val="en-US"/>
        </w:rPr>
        <w:t xml:space="preserve">Knutsen, Oddbjorn. 1995. “Value Orientations, Political Conflicts and Left-Right Identification: A Comparative Study.” </w:t>
      </w:r>
      <w:r w:rsidRPr="00456628">
        <w:rPr>
          <w:i/>
          <w:iCs/>
          <w:lang w:val="en-US"/>
        </w:rPr>
        <w:t>European Journal of Political Research</w:t>
      </w:r>
      <w:r w:rsidRPr="00456628">
        <w:rPr>
          <w:lang w:val="en-US"/>
        </w:rPr>
        <w:t xml:space="preserve"> 28(1): 63–93.</w:t>
      </w:r>
    </w:p>
    <w:p w14:paraId="70E29EB3" w14:textId="77777777" w:rsidR="0056401A" w:rsidRPr="00456628" w:rsidRDefault="0056401A" w:rsidP="0056401A">
      <w:pPr>
        <w:pStyle w:val="Bibliography"/>
        <w:rPr>
          <w:lang w:val="en-US"/>
        </w:rPr>
      </w:pPr>
      <w:r w:rsidRPr="00456628">
        <w:rPr>
          <w:lang w:val="en-US"/>
        </w:rPr>
        <w:t xml:space="preserve">Krosnick, Jon A. 1988. “The Role of Attitude Importance in Social Evaluation: A Study of Policy Preferences, Presidential Candidate Evaluations, and Voting Behavior.” </w:t>
      </w:r>
      <w:r w:rsidRPr="00456628">
        <w:rPr>
          <w:i/>
          <w:iCs/>
          <w:lang w:val="en-US"/>
        </w:rPr>
        <w:t>Journal of Personality and Social Psychology</w:t>
      </w:r>
      <w:r w:rsidRPr="00456628">
        <w:rPr>
          <w:lang w:val="en-US"/>
        </w:rPr>
        <w:t xml:space="preserve"> 55(2): 196–210.</w:t>
      </w:r>
    </w:p>
    <w:p w14:paraId="40EF2753" w14:textId="77777777" w:rsidR="0056401A" w:rsidRPr="00456628" w:rsidRDefault="0056401A" w:rsidP="0056401A">
      <w:pPr>
        <w:pStyle w:val="Bibliography"/>
        <w:rPr>
          <w:lang w:val="en-US"/>
        </w:rPr>
      </w:pPr>
      <w:r w:rsidRPr="00456628">
        <w:rPr>
          <w:lang w:val="en-US"/>
        </w:rPr>
        <w:t xml:space="preserve">———. 1990. “Government Policy and Citizen Passion: A Study of Issue Publics in Contemporary America.” </w:t>
      </w:r>
      <w:r w:rsidRPr="00456628">
        <w:rPr>
          <w:i/>
          <w:iCs/>
          <w:lang w:val="en-US"/>
        </w:rPr>
        <w:t>Political Behavior</w:t>
      </w:r>
      <w:r w:rsidRPr="00456628">
        <w:rPr>
          <w:lang w:val="en-US"/>
        </w:rPr>
        <w:t xml:space="preserve"> 12(1): 59–92.</w:t>
      </w:r>
    </w:p>
    <w:p w14:paraId="31C47418" w14:textId="77777777" w:rsidR="0056401A" w:rsidRPr="00456628" w:rsidRDefault="0056401A" w:rsidP="0056401A">
      <w:pPr>
        <w:pStyle w:val="Bibliography"/>
        <w:rPr>
          <w:lang w:val="en-US"/>
        </w:rPr>
      </w:pPr>
      <w:r w:rsidRPr="00456628">
        <w:rPr>
          <w:lang w:val="en-US"/>
        </w:rPr>
        <w:t xml:space="preserve">Kuklinski, James H., and Donald J. McCrone. 1980. “Policy Salience and the Causal Structure of Representation.” </w:t>
      </w:r>
      <w:r w:rsidRPr="00456628">
        <w:rPr>
          <w:i/>
          <w:iCs/>
          <w:lang w:val="en-US"/>
        </w:rPr>
        <w:t>American Politics Quarterly</w:t>
      </w:r>
      <w:r w:rsidRPr="00456628">
        <w:rPr>
          <w:lang w:val="en-US"/>
        </w:rPr>
        <w:t xml:space="preserve"> 8(2): 139–64.</w:t>
      </w:r>
    </w:p>
    <w:p w14:paraId="58A6877F" w14:textId="77777777" w:rsidR="0056401A" w:rsidRPr="00456628" w:rsidRDefault="0056401A" w:rsidP="0056401A">
      <w:pPr>
        <w:pStyle w:val="Bibliography"/>
        <w:rPr>
          <w:lang w:val="en-US"/>
        </w:rPr>
      </w:pPr>
      <w:r w:rsidRPr="00456628">
        <w:rPr>
          <w:lang w:val="en-US"/>
        </w:rPr>
        <w:t xml:space="preserve">Lau, Richard R., Parina Patel, Dalia F. Fahmy, and Robert R. Kaufman. 2014. “Correct Voting Across Thirty-Three Democracies: A Preliminary Analysis.” </w:t>
      </w:r>
      <w:r w:rsidRPr="00456628">
        <w:rPr>
          <w:i/>
          <w:iCs/>
          <w:lang w:val="en-US"/>
        </w:rPr>
        <w:t>British Journal of Political Science</w:t>
      </w:r>
      <w:r w:rsidRPr="00456628">
        <w:rPr>
          <w:lang w:val="en-US"/>
        </w:rPr>
        <w:t xml:space="preserve"> 44(02): 239–59.</w:t>
      </w:r>
    </w:p>
    <w:p w14:paraId="07A8F79F" w14:textId="77777777" w:rsidR="0056401A" w:rsidRPr="00456628" w:rsidRDefault="0056401A" w:rsidP="0056401A">
      <w:pPr>
        <w:pStyle w:val="Bibliography"/>
        <w:rPr>
          <w:lang w:val="en-US"/>
        </w:rPr>
      </w:pPr>
      <w:r w:rsidRPr="00456628">
        <w:rPr>
          <w:lang w:val="en-US"/>
        </w:rPr>
        <w:t xml:space="preserve">Lavine, Howard, John L. Sullivan, Eugene Borgida, and Cynthia J. Thomsen. 1996. “The Relationship of National and Personal Issue Salience to Attitude Accessibility on Foreign and Domestic Policy Issues.” </w:t>
      </w:r>
      <w:r w:rsidRPr="00456628">
        <w:rPr>
          <w:i/>
          <w:iCs/>
          <w:lang w:val="en-US"/>
        </w:rPr>
        <w:t>Political Psychology</w:t>
      </w:r>
      <w:r w:rsidRPr="00456628">
        <w:rPr>
          <w:lang w:val="en-US"/>
        </w:rPr>
        <w:t xml:space="preserve"> 17(2): 293.</w:t>
      </w:r>
    </w:p>
    <w:p w14:paraId="78303220" w14:textId="77777777" w:rsidR="0056401A" w:rsidRPr="00456628" w:rsidRDefault="0056401A" w:rsidP="0056401A">
      <w:pPr>
        <w:pStyle w:val="Bibliography"/>
        <w:rPr>
          <w:lang w:val="en-US"/>
        </w:rPr>
      </w:pPr>
      <w:r w:rsidRPr="00456628">
        <w:rPr>
          <w:lang w:val="en-US"/>
        </w:rPr>
        <w:t xml:space="preserve">Lavine, Howard, Cynthia J. Thomsen, and Marti Hope Gonzales. 1997. “The Development of Interattitudinal Consistency: The Shared-Consequences Model.” </w:t>
      </w:r>
      <w:r w:rsidRPr="00456628">
        <w:rPr>
          <w:i/>
          <w:iCs/>
          <w:lang w:val="en-US"/>
        </w:rPr>
        <w:t>Journal of Personality and Social Psychology</w:t>
      </w:r>
      <w:r w:rsidRPr="00456628">
        <w:rPr>
          <w:lang w:val="en-US"/>
        </w:rPr>
        <w:t xml:space="preserve"> 72(4): 735–49.</w:t>
      </w:r>
    </w:p>
    <w:p w14:paraId="6BFFEBA2" w14:textId="77777777" w:rsidR="0056401A" w:rsidRPr="00456628" w:rsidRDefault="0056401A" w:rsidP="0056401A">
      <w:pPr>
        <w:pStyle w:val="Bibliography"/>
        <w:rPr>
          <w:lang w:val="en-US"/>
        </w:rPr>
      </w:pPr>
      <w:r w:rsidRPr="00456628">
        <w:rPr>
          <w:lang w:val="en-US"/>
        </w:rPr>
        <w:t xml:space="preserve">Lefevere, Jonas, and Stefaan Walgrave. 2014. “A Perfect Match? The Impact of Statement Selection on Voting Advice Applications’ Ability to Match Voters and Parties.” </w:t>
      </w:r>
      <w:r w:rsidRPr="00456628">
        <w:rPr>
          <w:i/>
          <w:iCs/>
          <w:lang w:val="en-US"/>
        </w:rPr>
        <w:t>Electoral Studies</w:t>
      </w:r>
      <w:r w:rsidRPr="00456628">
        <w:rPr>
          <w:lang w:val="en-US"/>
        </w:rPr>
        <w:t xml:space="preserve"> 36: 252–62.</w:t>
      </w:r>
    </w:p>
    <w:p w14:paraId="53FFA95A" w14:textId="77777777" w:rsidR="0056401A" w:rsidRPr="00456628" w:rsidRDefault="0056401A" w:rsidP="0056401A">
      <w:pPr>
        <w:pStyle w:val="Bibliography"/>
        <w:rPr>
          <w:lang w:val="en-US"/>
        </w:rPr>
      </w:pPr>
      <w:r w:rsidRPr="00456628">
        <w:rPr>
          <w:lang w:val="en-US"/>
        </w:rPr>
        <w:t xml:space="preserve">———. 2015. “L’importance du choix des affirmations dans les SAV : résultats de deux simulations.” </w:t>
      </w:r>
      <w:r w:rsidRPr="00456628">
        <w:rPr>
          <w:i/>
          <w:iCs/>
          <w:lang w:val="en-US"/>
        </w:rPr>
        <w:t>Revue internationale de politique comparée</w:t>
      </w:r>
      <w:r w:rsidRPr="00456628">
        <w:rPr>
          <w:lang w:val="en-US"/>
        </w:rPr>
        <w:t xml:space="preserve"> 23(2): 175.</w:t>
      </w:r>
    </w:p>
    <w:p w14:paraId="1210B325" w14:textId="77777777" w:rsidR="0056401A" w:rsidRPr="00456628" w:rsidRDefault="0056401A" w:rsidP="0056401A">
      <w:pPr>
        <w:pStyle w:val="Bibliography"/>
        <w:rPr>
          <w:lang w:val="en-US"/>
        </w:rPr>
      </w:pPr>
      <w:r w:rsidRPr="00456628">
        <w:rPr>
          <w:lang w:val="en-US"/>
        </w:rPr>
        <w:lastRenderedPageBreak/>
        <w:t xml:space="preserve">Lefkofridi, Zoe, Markus Wagner, and Johanna E. Willmann. 2014. “Left-Authoritarians and Policy Representation in Western Europe: Electoral Choice across Ideological Dimensions.” </w:t>
      </w:r>
      <w:r w:rsidRPr="00456628">
        <w:rPr>
          <w:i/>
          <w:iCs/>
          <w:lang w:val="en-US"/>
        </w:rPr>
        <w:t>West European Politics</w:t>
      </w:r>
      <w:r w:rsidRPr="00456628">
        <w:rPr>
          <w:lang w:val="en-US"/>
        </w:rPr>
        <w:t xml:space="preserve"> 37(1): 65–90.</w:t>
      </w:r>
    </w:p>
    <w:p w14:paraId="25B556EE" w14:textId="77777777" w:rsidR="0056401A" w:rsidRPr="00456628" w:rsidRDefault="0056401A" w:rsidP="0056401A">
      <w:pPr>
        <w:pStyle w:val="Bibliography"/>
        <w:rPr>
          <w:lang w:val="en-US"/>
        </w:rPr>
      </w:pPr>
      <w:r w:rsidRPr="00456628">
        <w:rPr>
          <w:lang w:val="en-US"/>
        </w:rPr>
        <w:t xml:space="preserve">Lesschaeve, Christophe. 2017a. “Inequality in Party-Voter Opinion Congruence: A Matter of Choices Made or Choices Given?” </w:t>
      </w:r>
      <w:r w:rsidRPr="00456628">
        <w:rPr>
          <w:i/>
          <w:iCs/>
          <w:lang w:val="en-US"/>
        </w:rPr>
        <w:t>Representation</w:t>
      </w:r>
      <w:r w:rsidRPr="00456628">
        <w:rPr>
          <w:lang w:val="en-US"/>
        </w:rPr>
        <w:t xml:space="preserve"> 53(2): 153–66.</w:t>
      </w:r>
    </w:p>
    <w:p w14:paraId="38D49CB0" w14:textId="77777777" w:rsidR="0056401A" w:rsidRPr="00456628" w:rsidRDefault="0056401A" w:rsidP="0056401A">
      <w:pPr>
        <w:pStyle w:val="Bibliography"/>
        <w:rPr>
          <w:lang w:val="en-US"/>
        </w:rPr>
      </w:pPr>
      <w:r w:rsidRPr="00456628">
        <w:rPr>
          <w:lang w:val="en-US"/>
        </w:rPr>
        <w:t xml:space="preserve">———. 2017b. “The Predictive Power of the Left-Right Self-Placement Scale for the Policy Positions of Voters and Parties.” </w:t>
      </w:r>
      <w:r w:rsidRPr="00456628">
        <w:rPr>
          <w:i/>
          <w:iCs/>
          <w:lang w:val="en-US"/>
        </w:rPr>
        <w:t>West European Politics</w:t>
      </w:r>
      <w:r w:rsidRPr="00456628">
        <w:rPr>
          <w:lang w:val="en-US"/>
        </w:rPr>
        <w:t xml:space="preserve"> 40(2): 357–77.</w:t>
      </w:r>
    </w:p>
    <w:p w14:paraId="4F8BD691" w14:textId="77777777" w:rsidR="0056401A" w:rsidRPr="00456628" w:rsidRDefault="0056401A" w:rsidP="0056401A">
      <w:pPr>
        <w:pStyle w:val="Bibliography"/>
        <w:rPr>
          <w:lang w:val="en-US"/>
        </w:rPr>
      </w:pPr>
      <w:r w:rsidRPr="00456628">
        <w:rPr>
          <w:lang w:val="en-US"/>
        </w:rPr>
        <w:t xml:space="preserve">Lupu, Noam, and Zach Warner. 2017. “Mass–Elite Congruence and Representation in Argentina.” In </w:t>
      </w:r>
      <w:r w:rsidRPr="00456628">
        <w:rPr>
          <w:i/>
          <w:iCs/>
          <w:lang w:val="en-US"/>
        </w:rPr>
        <w:t>Malaise in Representation in Latin American Countries</w:t>
      </w:r>
      <w:r w:rsidRPr="00456628">
        <w:rPr>
          <w:lang w:val="en-US"/>
        </w:rPr>
        <w:t>, eds. Alfredo Joignant, Mauricio Morales, and Claudio Fuentes. New York: Palgrave Macmillan US, 281–302. http://link.springer.com/10.1057/978-1-137-59955-1_12 (February 14, 2020).</w:t>
      </w:r>
    </w:p>
    <w:p w14:paraId="42B34F38" w14:textId="77777777" w:rsidR="0056401A" w:rsidRPr="00456628" w:rsidRDefault="0056401A" w:rsidP="0056401A">
      <w:pPr>
        <w:pStyle w:val="Bibliography"/>
        <w:rPr>
          <w:lang w:val="en-US"/>
        </w:rPr>
      </w:pPr>
      <w:r w:rsidRPr="00456628">
        <w:rPr>
          <w:lang w:val="en-US"/>
        </w:rPr>
        <w:t xml:space="preserve">Milburn, Michael A. 1987. “Ideological Self-Schemata and Schematically Induced Attitude Consistency.” </w:t>
      </w:r>
      <w:r w:rsidRPr="00456628">
        <w:rPr>
          <w:i/>
          <w:iCs/>
          <w:lang w:val="en-US"/>
        </w:rPr>
        <w:t>Journal of Experimental Social Psychology</w:t>
      </w:r>
      <w:r w:rsidRPr="00456628">
        <w:rPr>
          <w:lang w:val="en-US"/>
        </w:rPr>
        <w:t xml:space="preserve"> 23(5): 383–98.</w:t>
      </w:r>
    </w:p>
    <w:p w14:paraId="73F2E950" w14:textId="77777777" w:rsidR="0056401A" w:rsidRPr="00456628" w:rsidRDefault="0056401A" w:rsidP="0056401A">
      <w:pPr>
        <w:pStyle w:val="Bibliography"/>
        <w:rPr>
          <w:lang w:val="en-US"/>
        </w:rPr>
      </w:pPr>
      <w:r w:rsidRPr="00456628">
        <w:rPr>
          <w:lang w:val="en-US"/>
        </w:rPr>
        <w:t xml:space="preserve">Miller, Warren E., and Donald E. Stokes. 1963. “Constituency Influence in Congress.” </w:t>
      </w:r>
      <w:r w:rsidRPr="00456628">
        <w:rPr>
          <w:i/>
          <w:iCs/>
          <w:lang w:val="en-US"/>
        </w:rPr>
        <w:t>American Political Science Review</w:t>
      </w:r>
      <w:r w:rsidRPr="00456628">
        <w:rPr>
          <w:lang w:val="en-US"/>
        </w:rPr>
        <w:t xml:space="preserve"> 57(01): 45–56.</w:t>
      </w:r>
    </w:p>
    <w:p w14:paraId="48ED9753" w14:textId="77777777" w:rsidR="0056401A" w:rsidRPr="00456628" w:rsidRDefault="0056401A" w:rsidP="0056401A">
      <w:pPr>
        <w:pStyle w:val="Bibliography"/>
        <w:rPr>
          <w:lang w:val="en-US"/>
        </w:rPr>
      </w:pPr>
      <w:r w:rsidRPr="00456628">
        <w:rPr>
          <w:lang w:val="en-US"/>
        </w:rPr>
        <w:t xml:space="preserve">Radelet, Steven, Michael Clemens, and Rikhil Bhavnani. 2005. “Aid and Growth.” </w:t>
      </w:r>
      <w:r w:rsidRPr="00456628">
        <w:rPr>
          <w:i/>
          <w:iCs/>
          <w:lang w:val="en-US"/>
        </w:rPr>
        <w:t>Finance and Development</w:t>
      </w:r>
      <w:r w:rsidRPr="00456628">
        <w:rPr>
          <w:lang w:val="en-US"/>
        </w:rPr>
        <w:t xml:space="preserve"> 42(3): 1–8.</w:t>
      </w:r>
    </w:p>
    <w:p w14:paraId="5DD32F54" w14:textId="77777777" w:rsidR="0056401A" w:rsidRPr="00456628" w:rsidRDefault="0056401A" w:rsidP="0056401A">
      <w:pPr>
        <w:pStyle w:val="Bibliography"/>
        <w:rPr>
          <w:lang w:val="en-US"/>
        </w:rPr>
      </w:pPr>
      <w:r w:rsidRPr="00456628">
        <w:rPr>
          <w:lang w:val="en-US"/>
        </w:rPr>
        <w:t xml:space="preserve">Romeijn, Jeroen. 2018. “Do Political Parties Listen to the(Ir) Public? Public Opinion–Party Linkage on Specific Policy Issues.” </w:t>
      </w:r>
      <w:r w:rsidRPr="00456628">
        <w:rPr>
          <w:i/>
          <w:iCs/>
          <w:lang w:val="en-US"/>
        </w:rPr>
        <w:t>Party Politics</w:t>
      </w:r>
      <w:r w:rsidRPr="00456628">
        <w:rPr>
          <w:lang w:val="en-US"/>
        </w:rPr>
        <w:t>: 135406881878734.</w:t>
      </w:r>
    </w:p>
    <w:p w14:paraId="09CBA41A" w14:textId="77777777" w:rsidR="0056401A" w:rsidRPr="00456628" w:rsidRDefault="0056401A" w:rsidP="0056401A">
      <w:pPr>
        <w:pStyle w:val="Bibliography"/>
        <w:rPr>
          <w:lang w:val="en-US"/>
        </w:rPr>
      </w:pPr>
      <w:r w:rsidRPr="00456628">
        <w:rPr>
          <w:lang w:val="en-US"/>
        </w:rPr>
        <w:t xml:space="preserve">Rosset, Jan, and Christian Stecker. 2019. “How Well Are Citizens Represented by Their Governments? Issue Congruence and Inequality in Europe.” </w:t>
      </w:r>
      <w:r w:rsidRPr="00456628">
        <w:rPr>
          <w:i/>
          <w:iCs/>
          <w:lang w:val="en-US"/>
        </w:rPr>
        <w:t>European Political Science Review</w:t>
      </w:r>
      <w:r w:rsidRPr="00456628">
        <w:rPr>
          <w:lang w:val="en-US"/>
        </w:rPr>
        <w:t xml:space="preserve"> 11(02): 145–60.</w:t>
      </w:r>
    </w:p>
    <w:p w14:paraId="64633337" w14:textId="77777777" w:rsidR="0056401A" w:rsidRPr="00456628" w:rsidRDefault="0056401A" w:rsidP="0056401A">
      <w:pPr>
        <w:pStyle w:val="Bibliography"/>
        <w:rPr>
          <w:lang w:val="en-US"/>
        </w:rPr>
      </w:pPr>
      <w:r w:rsidRPr="00456628">
        <w:rPr>
          <w:lang w:val="en-US"/>
        </w:rPr>
        <w:t xml:space="preserve">Ruedin, Didier. 2012. “Individual Representation: A Different Approach to Politial Representation.” </w:t>
      </w:r>
      <w:r w:rsidRPr="00456628">
        <w:rPr>
          <w:i/>
          <w:iCs/>
          <w:lang w:val="en-US"/>
        </w:rPr>
        <w:t>Representation</w:t>
      </w:r>
      <w:r w:rsidRPr="00456628">
        <w:rPr>
          <w:lang w:val="en-US"/>
        </w:rPr>
        <w:t xml:space="preserve"> 48(1): 115–29.</w:t>
      </w:r>
    </w:p>
    <w:p w14:paraId="4CB0A08B" w14:textId="77777777" w:rsidR="0056401A" w:rsidRPr="00456628" w:rsidRDefault="0056401A" w:rsidP="0056401A">
      <w:pPr>
        <w:pStyle w:val="Bibliography"/>
        <w:rPr>
          <w:lang w:val="en-US"/>
        </w:rPr>
      </w:pPr>
      <w:r w:rsidRPr="00456628">
        <w:rPr>
          <w:lang w:val="en-US"/>
        </w:rPr>
        <w:t xml:space="preserve">Schakel, Wouter, and Armen Hakhverdian. 2018a. “Ideological Congruence and Socio-Economic Inequality.” </w:t>
      </w:r>
      <w:r w:rsidRPr="00456628">
        <w:rPr>
          <w:i/>
          <w:iCs/>
          <w:lang w:val="en-US"/>
        </w:rPr>
        <w:t>European Political Science Review</w:t>
      </w:r>
      <w:r w:rsidRPr="00456628">
        <w:rPr>
          <w:lang w:val="en-US"/>
        </w:rPr>
        <w:t xml:space="preserve"> 10(3): 441–65.</w:t>
      </w:r>
    </w:p>
    <w:p w14:paraId="2F0BCCFD" w14:textId="77777777" w:rsidR="0056401A" w:rsidRPr="00456628" w:rsidRDefault="0056401A" w:rsidP="0056401A">
      <w:pPr>
        <w:pStyle w:val="Bibliography"/>
        <w:rPr>
          <w:lang w:val="en-US"/>
        </w:rPr>
      </w:pPr>
      <w:r w:rsidRPr="00456628">
        <w:rPr>
          <w:lang w:val="en-US"/>
        </w:rPr>
        <w:t xml:space="preserve">———. 2018b. “Ideological Congruence and Socio-Economic Inequality.” </w:t>
      </w:r>
      <w:r w:rsidRPr="00456628">
        <w:rPr>
          <w:i/>
          <w:iCs/>
          <w:lang w:val="en-US"/>
        </w:rPr>
        <w:t>European Political Science Review</w:t>
      </w:r>
      <w:r w:rsidRPr="00456628">
        <w:rPr>
          <w:lang w:val="en-US"/>
        </w:rPr>
        <w:t xml:space="preserve"> 10(3): 441–65.</w:t>
      </w:r>
    </w:p>
    <w:p w14:paraId="72C3CD3D" w14:textId="77777777" w:rsidR="0056401A" w:rsidRPr="00456628" w:rsidRDefault="0056401A" w:rsidP="0056401A">
      <w:pPr>
        <w:pStyle w:val="Bibliography"/>
        <w:rPr>
          <w:lang w:val="en-US"/>
        </w:rPr>
      </w:pPr>
      <w:r w:rsidRPr="00456628">
        <w:rPr>
          <w:lang w:val="en-US"/>
        </w:rPr>
        <w:t xml:space="preserve">Stimson, James A., Michael B. Mackuen, and Robert S. Erikson. 1995. “Dynamic Representation.” </w:t>
      </w:r>
      <w:r w:rsidRPr="00456628">
        <w:rPr>
          <w:i/>
          <w:iCs/>
          <w:lang w:val="en-US"/>
        </w:rPr>
        <w:t>American Political Science Review</w:t>
      </w:r>
      <w:r w:rsidRPr="00456628">
        <w:rPr>
          <w:lang w:val="en-US"/>
        </w:rPr>
        <w:t xml:space="preserve"> 89(3): 543–65.</w:t>
      </w:r>
    </w:p>
    <w:p w14:paraId="5CA59A5D" w14:textId="77777777" w:rsidR="0056401A" w:rsidRPr="00456628" w:rsidRDefault="0056401A" w:rsidP="0056401A">
      <w:pPr>
        <w:pStyle w:val="Bibliography"/>
        <w:rPr>
          <w:lang w:val="en-US"/>
        </w:rPr>
      </w:pPr>
      <w:r w:rsidRPr="00456628">
        <w:rPr>
          <w:lang w:val="en-US"/>
        </w:rPr>
        <w:t xml:space="preserve">Sturgis, Patrick, and Patten Smith. 2010. “Fictitious Issues Revisited: Political Interest, Knowledge and the Generation of Nonattitudes.” </w:t>
      </w:r>
      <w:r w:rsidRPr="00456628">
        <w:rPr>
          <w:i/>
          <w:iCs/>
          <w:lang w:val="en-US"/>
        </w:rPr>
        <w:t>Political Studies</w:t>
      </w:r>
      <w:r w:rsidRPr="00456628">
        <w:rPr>
          <w:lang w:val="en-US"/>
        </w:rPr>
        <w:t xml:space="preserve"> 58(1): 66–84.</w:t>
      </w:r>
    </w:p>
    <w:p w14:paraId="581FCFB4" w14:textId="77777777" w:rsidR="0056401A" w:rsidRPr="00456628" w:rsidRDefault="0056401A" w:rsidP="0056401A">
      <w:pPr>
        <w:pStyle w:val="Bibliography"/>
        <w:rPr>
          <w:lang w:val="en-US"/>
        </w:rPr>
      </w:pPr>
      <w:r w:rsidRPr="00456628">
        <w:rPr>
          <w:lang w:val="en-US"/>
        </w:rPr>
        <w:t xml:space="preserve">Thomassen, Jacques. 1994. “Empirical Research into Political Representation: Failing Democracy or Failing Models?” In </w:t>
      </w:r>
      <w:r w:rsidRPr="00456628">
        <w:rPr>
          <w:i/>
          <w:iCs/>
          <w:lang w:val="en-US"/>
        </w:rPr>
        <w:t>Elections at Home and Abroad: Essays in Honor of Warren Miller</w:t>
      </w:r>
      <w:r w:rsidRPr="00456628">
        <w:rPr>
          <w:lang w:val="en-US"/>
        </w:rPr>
        <w:t>, eds. M. Kent Jennings and Thomas E. Mann. Ann Arbor: The University of Michigan Press, 237–65.</w:t>
      </w:r>
    </w:p>
    <w:p w14:paraId="57701823" w14:textId="77777777" w:rsidR="0056401A" w:rsidRPr="00456628" w:rsidRDefault="0056401A" w:rsidP="0056401A">
      <w:pPr>
        <w:pStyle w:val="Bibliography"/>
        <w:rPr>
          <w:lang w:val="en-US"/>
        </w:rPr>
      </w:pPr>
      <w:r w:rsidRPr="00456628">
        <w:rPr>
          <w:lang w:val="en-US"/>
        </w:rPr>
        <w:lastRenderedPageBreak/>
        <w:t xml:space="preserve">———. 2012. “The Blind Corner of Political Representation.” </w:t>
      </w:r>
      <w:r w:rsidRPr="00456628">
        <w:rPr>
          <w:i/>
          <w:iCs/>
          <w:lang w:val="en-US"/>
        </w:rPr>
        <w:t>Representation</w:t>
      </w:r>
      <w:r w:rsidRPr="00456628">
        <w:rPr>
          <w:lang w:val="en-US"/>
        </w:rPr>
        <w:t xml:space="preserve"> 48(1): 13–27.</w:t>
      </w:r>
    </w:p>
    <w:p w14:paraId="025AD833" w14:textId="77777777" w:rsidR="0056401A" w:rsidRPr="00456628" w:rsidRDefault="0056401A" w:rsidP="0056401A">
      <w:pPr>
        <w:pStyle w:val="Bibliography"/>
        <w:rPr>
          <w:lang w:val="en-US"/>
        </w:rPr>
      </w:pPr>
      <w:r w:rsidRPr="00456628">
        <w:rPr>
          <w:lang w:val="en-US"/>
        </w:rPr>
        <w:t xml:space="preserve">Todosijević, Bojan. 2004. “The Hungarian Voter: Left–Right Dimension as a Clue to Policy Preferences.” </w:t>
      </w:r>
      <w:r w:rsidRPr="00456628">
        <w:rPr>
          <w:i/>
          <w:iCs/>
          <w:lang w:val="en-US"/>
        </w:rPr>
        <w:t>International Political Science Review</w:t>
      </w:r>
      <w:r w:rsidRPr="00456628">
        <w:rPr>
          <w:lang w:val="en-US"/>
        </w:rPr>
        <w:t xml:space="preserve"> 25(4): 411–33.</w:t>
      </w:r>
    </w:p>
    <w:p w14:paraId="7224DC10" w14:textId="77777777" w:rsidR="0056401A" w:rsidRPr="00456628" w:rsidRDefault="0056401A" w:rsidP="0056401A">
      <w:pPr>
        <w:pStyle w:val="Bibliography"/>
        <w:rPr>
          <w:lang w:val="en-US"/>
        </w:rPr>
      </w:pPr>
      <w:r w:rsidRPr="00456628">
        <w:rPr>
          <w:lang w:val="en-US"/>
        </w:rPr>
        <w:t xml:space="preserve">Wagner, Markus, and Outi Ruusuvirta. 2011. “Matching Voters to Parties: Voting Advice Applications and Models of Party Choice.” </w:t>
      </w:r>
      <w:r w:rsidRPr="00456628">
        <w:rPr>
          <w:i/>
          <w:iCs/>
          <w:lang w:val="en-US"/>
        </w:rPr>
        <w:t>Acta Politica</w:t>
      </w:r>
      <w:r w:rsidRPr="00456628">
        <w:rPr>
          <w:lang w:val="en-US"/>
        </w:rPr>
        <w:t xml:space="preserve"> 47(4): 400–422.</w:t>
      </w:r>
    </w:p>
    <w:p w14:paraId="0B1B5338" w14:textId="77777777" w:rsidR="0056401A" w:rsidRPr="00456628" w:rsidRDefault="0056401A" w:rsidP="0056401A">
      <w:pPr>
        <w:pStyle w:val="Bibliography"/>
        <w:rPr>
          <w:lang w:val="en-US"/>
        </w:rPr>
      </w:pPr>
      <w:r w:rsidRPr="00456628">
        <w:rPr>
          <w:lang w:val="en-US"/>
        </w:rPr>
        <w:t xml:space="preserve">Walczak, Agnieszka, and Wouter van der Brug. 2013. “Representation in the European Parliament: Factors Affecting the Attitude Congruence of Voters and Candidates in the EP Elections.” </w:t>
      </w:r>
      <w:r w:rsidRPr="00456628">
        <w:rPr>
          <w:i/>
          <w:iCs/>
          <w:lang w:val="en-US"/>
        </w:rPr>
        <w:t>European Union Politics</w:t>
      </w:r>
      <w:r w:rsidRPr="00456628">
        <w:rPr>
          <w:lang w:val="en-US"/>
        </w:rPr>
        <w:t xml:space="preserve"> 14(1): 3–22.</w:t>
      </w:r>
    </w:p>
    <w:p w14:paraId="32544A0F" w14:textId="77777777" w:rsidR="0056401A" w:rsidRPr="00456628" w:rsidRDefault="0056401A" w:rsidP="0056401A">
      <w:pPr>
        <w:pStyle w:val="Bibliography"/>
        <w:rPr>
          <w:lang w:val="en-US"/>
        </w:rPr>
      </w:pPr>
      <w:r w:rsidRPr="00456628">
        <w:rPr>
          <w:lang w:val="en-US"/>
        </w:rPr>
        <w:t xml:space="preserve">Walgrave, Stefaan, and Jonas Lefevere. 2013. “Ideology, Salience, and Complexity: Determinants of Policy Issue Incongruence between Voters and Parties.” </w:t>
      </w:r>
      <w:r w:rsidRPr="00456628">
        <w:rPr>
          <w:i/>
          <w:iCs/>
          <w:lang w:val="en-US"/>
        </w:rPr>
        <w:t>Journal of Elections, Public Opinion and Parties</w:t>
      </w:r>
      <w:r w:rsidRPr="00456628">
        <w:rPr>
          <w:lang w:val="en-US"/>
        </w:rPr>
        <w:t xml:space="preserve"> 23(4): 456–83.</w:t>
      </w:r>
    </w:p>
    <w:p w14:paraId="66A9FC8F" w14:textId="77777777" w:rsidR="0056401A" w:rsidRPr="00456628" w:rsidRDefault="0056401A" w:rsidP="0056401A">
      <w:pPr>
        <w:pStyle w:val="Bibliography"/>
        <w:rPr>
          <w:lang w:val="en-US"/>
        </w:rPr>
      </w:pPr>
      <w:r w:rsidRPr="00456628">
        <w:rPr>
          <w:lang w:val="en-US"/>
        </w:rPr>
        <w:t xml:space="preserve">Walgrave, Stefaan, and Christophe Lesschaeve. 2017. “The Matthew Effect in Electoral Campaigns: Increasing Policy Congruence Inequality during the Campaign.” </w:t>
      </w:r>
      <w:r w:rsidRPr="00456628">
        <w:rPr>
          <w:i/>
          <w:iCs/>
          <w:lang w:val="en-US"/>
        </w:rPr>
        <w:t>Electoral Studies</w:t>
      </w:r>
      <w:r w:rsidRPr="00456628">
        <w:rPr>
          <w:lang w:val="en-US"/>
        </w:rPr>
        <w:t xml:space="preserve"> 50: 1–14.</w:t>
      </w:r>
    </w:p>
    <w:p w14:paraId="224AF55C" w14:textId="77777777" w:rsidR="0056401A" w:rsidRPr="00456628" w:rsidRDefault="0056401A" w:rsidP="0056401A">
      <w:pPr>
        <w:pStyle w:val="Bibliography"/>
        <w:rPr>
          <w:lang w:val="en-US"/>
        </w:rPr>
      </w:pPr>
      <w:r w:rsidRPr="00456628">
        <w:rPr>
          <w:lang w:val="en-US"/>
        </w:rPr>
        <w:t xml:space="preserve">———. 2018. “Policy and Ideology Volatility During the Campaign.” In </w:t>
      </w:r>
      <w:r w:rsidRPr="00456628">
        <w:rPr>
          <w:i/>
          <w:iCs/>
          <w:lang w:val="en-US"/>
        </w:rPr>
        <w:t>Mind the Gap. Political Participation and Representation in Belgium</w:t>
      </w:r>
      <w:r w:rsidRPr="00456628">
        <w:rPr>
          <w:lang w:val="en-US"/>
        </w:rPr>
        <w:t>, ed. Kris Deschouwer. Colchester: ECPR Press.</w:t>
      </w:r>
    </w:p>
    <w:p w14:paraId="30B3841E" w14:textId="77777777" w:rsidR="0056401A" w:rsidRPr="00456628" w:rsidRDefault="0056401A" w:rsidP="0056401A">
      <w:pPr>
        <w:pStyle w:val="Bibliography"/>
        <w:rPr>
          <w:lang w:val="en-US"/>
        </w:rPr>
      </w:pPr>
      <w:r w:rsidRPr="00456628">
        <w:rPr>
          <w:lang w:val="en-US"/>
        </w:rPr>
        <w:t xml:space="preserve">Werner, Annika. 2020. “Representation in Western Europe: Connecting Party-Voter Congruence and Party Goals.” </w:t>
      </w:r>
      <w:r w:rsidRPr="00456628">
        <w:rPr>
          <w:i/>
          <w:iCs/>
          <w:lang w:val="en-US"/>
        </w:rPr>
        <w:t>The British Journal of Politics and International Relations</w:t>
      </w:r>
      <w:r w:rsidRPr="00456628">
        <w:rPr>
          <w:lang w:val="en-US"/>
        </w:rPr>
        <w:t xml:space="preserve"> 22(1): 122–42.</w:t>
      </w:r>
    </w:p>
    <w:p w14:paraId="71E0477D" w14:textId="77777777" w:rsidR="0056401A" w:rsidRPr="00456628" w:rsidRDefault="0056401A" w:rsidP="0056401A">
      <w:pPr>
        <w:pStyle w:val="Bibliography"/>
        <w:rPr>
          <w:lang w:val="en-US"/>
        </w:rPr>
      </w:pPr>
      <w:r w:rsidRPr="00456628">
        <w:rPr>
          <w:lang w:val="en-US"/>
        </w:rPr>
        <w:t xml:space="preserve">Zaller, John. 1992. </w:t>
      </w:r>
      <w:r w:rsidRPr="00456628">
        <w:rPr>
          <w:i/>
          <w:iCs/>
          <w:lang w:val="en-US"/>
        </w:rPr>
        <w:t>The Nature and Origins of Mass Opinion</w:t>
      </w:r>
      <w:r w:rsidRPr="00456628">
        <w:rPr>
          <w:lang w:val="en-US"/>
        </w:rPr>
        <w:t>. Cambridge [England] ; New York, NY, USA: Cambridge University Press.</w:t>
      </w:r>
    </w:p>
    <w:p w14:paraId="10E72A33" w14:textId="5BDD8087" w:rsidR="0013529F" w:rsidRPr="00456628" w:rsidRDefault="00CF1BAD" w:rsidP="009C6283">
      <w:pPr>
        <w:rPr>
          <w:rFonts w:ascii="Times New Roman" w:hAnsi="Times New Roman" w:cs="Times New Roman"/>
          <w:sz w:val="24"/>
          <w:szCs w:val="24"/>
          <w:lang w:val="en-US"/>
        </w:rPr>
      </w:pPr>
      <w:r w:rsidRPr="00456628">
        <w:rPr>
          <w:rFonts w:ascii="Times New Roman" w:hAnsi="Times New Roman" w:cs="Times New Roman"/>
          <w:sz w:val="24"/>
          <w:szCs w:val="24"/>
          <w:lang w:val="en-US"/>
        </w:rPr>
        <w:fldChar w:fldCharType="end"/>
      </w:r>
    </w:p>
    <w:p w14:paraId="22631D69" w14:textId="77777777" w:rsidR="0013529F" w:rsidRPr="00456628" w:rsidRDefault="0013529F">
      <w:pPr>
        <w:spacing w:line="259" w:lineRule="auto"/>
        <w:jc w:val="left"/>
        <w:rPr>
          <w:rFonts w:ascii="Times New Roman" w:hAnsi="Times New Roman" w:cs="Times New Roman"/>
          <w:sz w:val="24"/>
          <w:szCs w:val="24"/>
          <w:lang w:val="en-US"/>
        </w:rPr>
      </w:pPr>
      <w:r w:rsidRPr="00456628">
        <w:rPr>
          <w:rFonts w:ascii="Times New Roman" w:hAnsi="Times New Roman" w:cs="Times New Roman"/>
          <w:sz w:val="24"/>
          <w:szCs w:val="24"/>
          <w:lang w:val="en-US"/>
        </w:rPr>
        <w:br w:type="page"/>
      </w:r>
    </w:p>
    <w:p w14:paraId="259581F8" w14:textId="373CF1E4" w:rsidR="0013529F" w:rsidRPr="00456628" w:rsidRDefault="0013529F" w:rsidP="0013529F">
      <w:pPr>
        <w:spacing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 xml:space="preserve">Table </w:t>
      </w:r>
      <w:r w:rsidR="00283D48" w:rsidRPr="00456628">
        <w:rPr>
          <w:rFonts w:ascii="Times New Roman" w:hAnsi="Times New Roman" w:cs="Times New Roman"/>
          <w:sz w:val="24"/>
          <w:szCs w:val="24"/>
          <w:lang w:val="en-US"/>
        </w:rPr>
        <w:t>1: Analyses of OCV</w:t>
      </w:r>
    </w:p>
    <w:tbl>
      <w:tblPr>
        <w:tblW w:w="0" w:type="auto"/>
        <w:tblLook w:val="04A0" w:firstRow="1" w:lastRow="0" w:firstColumn="1" w:lastColumn="0" w:noHBand="0" w:noVBand="1"/>
      </w:tblPr>
      <w:tblGrid>
        <w:gridCol w:w="4115"/>
        <w:gridCol w:w="756"/>
        <w:gridCol w:w="636"/>
        <w:gridCol w:w="597"/>
        <w:gridCol w:w="756"/>
        <w:gridCol w:w="636"/>
        <w:gridCol w:w="597"/>
      </w:tblGrid>
      <w:tr w:rsidR="008A0F51" w:rsidRPr="00456628" w14:paraId="300DA001" w14:textId="77777777" w:rsidTr="008A0F51">
        <w:trPr>
          <w:trHeight w:val="315"/>
        </w:trPr>
        <w:tc>
          <w:tcPr>
            <w:tcW w:w="0" w:type="auto"/>
            <w:tcBorders>
              <w:top w:val="single" w:sz="8" w:space="0" w:color="auto"/>
              <w:left w:val="nil"/>
              <w:bottom w:val="nil"/>
              <w:right w:val="single" w:sz="8" w:space="0" w:color="auto"/>
            </w:tcBorders>
            <w:shd w:val="clear" w:color="auto" w:fill="auto"/>
            <w:noWrap/>
            <w:vAlign w:val="center"/>
            <w:hideMark/>
          </w:tcPr>
          <w:p w14:paraId="4CEFC452" w14:textId="77777777" w:rsidR="008A0F51" w:rsidRPr="00456628" w:rsidRDefault="008A0F51" w:rsidP="008A0F51">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gridSpan w:val="3"/>
            <w:tcBorders>
              <w:top w:val="single" w:sz="8" w:space="0" w:color="auto"/>
              <w:left w:val="nil"/>
              <w:bottom w:val="nil"/>
              <w:right w:val="single" w:sz="8" w:space="0" w:color="000000"/>
            </w:tcBorders>
            <w:shd w:val="clear" w:color="auto" w:fill="auto"/>
            <w:noWrap/>
            <w:vAlign w:val="center"/>
            <w:hideMark/>
          </w:tcPr>
          <w:p w14:paraId="254B59E1"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Model 1</w:t>
            </w:r>
          </w:p>
        </w:tc>
        <w:tc>
          <w:tcPr>
            <w:tcW w:w="0" w:type="auto"/>
            <w:gridSpan w:val="3"/>
            <w:tcBorders>
              <w:top w:val="single" w:sz="8" w:space="0" w:color="auto"/>
              <w:left w:val="nil"/>
              <w:bottom w:val="nil"/>
              <w:right w:val="nil"/>
            </w:tcBorders>
            <w:shd w:val="clear" w:color="auto" w:fill="auto"/>
            <w:noWrap/>
            <w:vAlign w:val="center"/>
            <w:hideMark/>
          </w:tcPr>
          <w:p w14:paraId="56C3C947"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Model 2</w:t>
            </w:r>
          </w:p>
        </w:tc>
      </w:tr>
      <w:tr w:rsidR="008A0F51" w:rsidRPr="00456628" w14:paraId="63547D0E" w14:textId="77777777" w:rsidTr="008A0F5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15C01FD5" w14:textId="77777777" w:rsidR="008A0F51" w:rsidRPr="00456628" w:rsidRDefault="008A0F51" w:rsidP="008A0F51">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tcBorders>
              <w:top w:val="nil"/>
              <w:left w:val="nil"/>
              <w:bottom w:val="single" w:sz="8" w:space="0" w:color="auto"/>
              <w:right w:val="nil"/>
            </w:tcBorders>
            <w:shd w:val="clear" w:color="auto" w:fill="auto"/>
            <w:noWrap/>
            <w:vAlign w:val="center"/>
            <w:hideMark/>
          </w:tcPr>
          <w:p w14:paraId="0691DD37"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B</w:t>
            </w:r>
          </w:p>
        </w:tc>
        <w:tc>
          <w:tcPr>
            <w:tcW w:w="0" w:type="auto"/>
            <w:tcBorders>
              <w:top w:val="nil"/>
              <w:left w:val="nil"/>
              <w:bottom w:val="single" w:sz="8" w:space="0" w:color="auto"/>
              <w:right w:val="nil"/>
            </w:tcBorders>
            <w:shd w:val="clear" w:color="auto" w:fill="auto"/>
            <w:noWrap/>
            <w:vAlign w:val="center"/>
            <w:hideMark/>
          </w:tcPr>
          <w:p w14:paraId="24E0284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S.E.</w:t>
            </w:r>
          </w:p>
        </w:tc>
        <w:tc>
          <w:tcPr>
            <w:tcW w:w="0" w:type="auto"/>
            <w:tcBorders>
              <w:top w:val="nil"/>
              <w:left w:val="nil"/>
              <w:bottom w:val="single" w:sz="8" w:space="0" w:color="auto"/>
              <w:right w:val="single" w:sz="8" w:space="0" w:color="auto"/>
            </w:tcBorders>
            <w:shd w:val="clear" w:color="auto" w:fill="auto"/>
            <w:noWrap/>
            <w:vAlign w:val="center"/>
            <w:hideMark/>
          </w:tcPr>
          <w:p w14:paraId="4674EB9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Sig.</w:t>
            </w:r>
          </w:p>
        </w:tc>
        <w:tc>
          <w:tcPr>
            <w:tcW w:w="0" w:type="auto"/>
            <w:tcBorders>
              <w:top w:val="nil"/>
              <w:left w:val="nil"/>
              <w:bottom w:val="single" w:sz="8" w:space="0" w:color="auto"/>
              <w:right w:val="nil"/>
            </w:tcBorders>
            <w:shd w:val="clear" w:color="auto" w:fill="auto"/>
            <w:noWrap/>
            <w:vAlign w:val="center"/>
            <w:hideMark/>
          </w:tcPr>
          <w:p w14:paraId="0E7F504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B</w:t>
            </w:r>
          </w:p>
        </w:tc>
        <w:tc>
          <w:tcPr>
            <w:tcW w:w="0" w:type="auto"/>
            <w:tcBorders>
              <w:top w:val="nil"/>
              <w:left w:val="nil"/>
              <w:bottom w:val="single" w:sz="8" w:space="0" w:color="auto"/>
              <w:right w:val="nil"/>
            </w:tcBorders>
            <w:shd w:val="clear" w:color="auto" w:fill="auto"/>
            <w:noWrap/>
            <w:vAlign w:val="center"/>
            <w:hideMark/>
          </w:tcPr>
          <w:p w14:paraId="4538A69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S.E.</w:t>
            </w:r>
          </w:p>
        </w:tc>
        <w:tc>
          <w:tcPr>
            <w:tcW w:w="0" w:type="auto"/>
            <w:tcBorders>
              <w:top w:val="nil"/>
              <w:left w:val="nil"/>
              <w:bottom w:val="single" w:sz="8" w:space="0" w:color="auto"/>
              <w:right w:val="nil"/>
            </w:tcBorders>
            <w:shd w:val="clear" w:color="auto" w:fill="auto"/>
            <w:noWrap/>
            <w:vAlign w:val="center"/>
            <w:hideMark/>
          </w:tcPr>
          <w:p w14:paraId="295CAC8E"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Sig.</w:t>
            </w:r>
          </w:p>
        </w:tc>
      </w:tr>
      <w:tr w:rsidR="008A0F51" w:rsidRPr="00456628" w14:paraId="1C39D530"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3B4E6824" w14:textId="77777777" w:rsidR="008A0F51" w:rsidRPr="00456628" w:rsidRDefault="008A0F51" w:rsidP="008A0F51">
            <w:pPr>
              <w:spacing w:after="0" w:line="240" w:lineRule="auto"/>
              <w:jc w:val="left"/>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Number of policy statements (cube root)</w:t>
            </w:r>
          </w:p>
        </w:tc>
        <w:tc>
          <w:tcPr>
            <w:tcW w:w="0" w:type="auto"/>
            <w:tcBorders>
              <w:top w:val="nil"/>
              <w:left w:val="nil"/>
              <w:bottom w:val="nil"/>
              <w:right w:val="nil"/>
            </w:tcBorders>
            <w:shd w:val="clear" w:color="auto" w:fill="auto"/>
            <w:noWrap/>
            <w:vAlign w:val="center"/>
            <w:hideMark/>
          </w:tcPr>
          <w:p w14:paraId="49FDEFB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-7.92</w:t>
            </w:r>
          </w:p>
        </w:tc>
        <w:tc>
          <w:tcPr>
            <w:tcW w:w="0" w:type="auto"/>
            <w:tcBorders>
              <w:top w:val="nil"/>
              <w:left w:val="nil"/>
              <w:bottom w:val="nil"/>
              <w:right w:val="nil"/>
            </w:tcBorders>
            <w:shd w:val="clear" w:color="auto" w:fill="auto"/>
            <w:noWrap/>
            <w:vAlign w:val="center"/>
            <w:hideMark/>
          </w:tcPr>
          <w:p w14:paraId="2DE11F2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single" w:sz="8" w:space="0" w:color="auto"/>
            </w:tcBorders>
            <w:shd w:val="clear" w:color="auto" w:fill="auto"/>
            <w:noWrap/>
            <w:vAlign w:val="center"/>
            <w:hideMark/>
          </w:tcPr>
          <w:p w14:paraId="3074404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76D2D754" w14:textId="37B72F07" w:rsidR="008A0F51" w:rsidRPr="00456628" w:rsidRDefault="00CA4600"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-7.91</w:t>
            </w:r>
          </w:p>
        </w:tc>
        <w:tc>
          <w:tcPr>
            <w:tcW w:w="0" w:type="auto"/>
            <w:tcBorders>
              <w:top w:val="nil"/>
              <w:left w:val="nil"/>
              <w:bottom w:val="nil"/>
              <w:right w:val="nil"/>
            </w:tcBorders>
            <w:shd w:val="clear" w:color="auto" w:fill="auto"/>
            <w:noWrap/>
            <w:vAlign w:val="center"/>
            <w:hideMark/>
          </w:tcPr>
          <w:p w14:paraId="119BB52B"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nil"/>
            </w:tcBorders>
            <w:shd w:val="clear" w:color="auto" w:fill="auto"/>
            <w:noWrap/>
            <w:vAlign w:val="center"/>
            <w:hideMark/>
          </w:tcPr>
          <w:p w14:paraId="1D81EBA5"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2C5335AA"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71B44769" w14:textId="77777777" w:rsidR="008A0F51" w:rsidRPr="00456628" w:rsidRDefault="008A0F51" w:rsidP="008A0F51">
            <w:pPr>
              <w:spacing w:after="0" w:line="240" w:lineRule="auto"/>
              <w:jc w:val="left"/>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Topic diversity (cube root)</w:t>
            </w:r>
          </w:p>
        </w:tc>
        <w:tc>
          <w:tcPr>
            <w:tcW w:w="0" w:type="auto"/>
            <w:tcBorders>
              <w:top w:val="nil"/>
              <w:left w:val="nil"/>
              <w:bottom w:val="nil"/>
              <w:right w:val="nil"/>
            </w:tcBorders>
            <w:shd w:val="clear" w:color="auto" w:fill="auto"/>
            <w:noWrap/>
            <w:vAlign w:val="center"/>
            <w:hideMark/>
          </w:tcPr>
          <w:p w14:paraId="2C24711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-4.69</w:t>
            </w:r>
          </w:p>
        </w:tc>
        <w:tc>
          <w:tcPr>
            <w:tcW w:w="0" w:type="auto"/>
            <w:tcBorders>
              <w:top w:val="nil"/>
              <w:left w:val="nil"/>
              <w:bottom w:val="nil"/>
              <w:right w:val="nil"/>
            </w:tcBorders>
            <w:shd w:val="clear" w:color="auto" w:fill="auto"/>
            <w:noWrap/>
            <w:vAlign w:val="center"/>
            <w:hideMark/>
          </w:tcPr>
          <w:p w14:paraId="0D137991"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single" w:sz="8" w:space="0" w:color="auto"/>
            </w:tcBorders>
            <w:shd w:val="clear" w:color="auto" w:fill="auto"/>
            <w:noWrap/>
            <w:vAlign w:val="center"/>
            <w:hideMark/>
          </w:tcPr>
          <w:p w14:paraId="3F2B6CF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00002FE7" w14:textId="2A42C3C9" w:rsidR="008A0F51" w:rsidRPr="00456628" w:rsidRDefault="00CA4600"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-4.70</w:t>
            </w:r>
          </w:p>
        </w:tc>
        <w:tc>
          <w:tcPr>
            <w:tcW w:w="0" w:type="auto"/>
            <w:tcBorders>
              <w:top w:val="nil"/>
              <w:left w:val="nil"/>
              <w:bottom w:val="nil"/>
              <w:right w:val="nil"/>
            </w:tcBorders>
            <w:shd w:val="clear" w:color="auto" w:fill="auto"/>
            <w:noWrap/>
            <w:vAlign w:val="center"/>
            <w:hideMark/>
          </w:tcPr>
          <w:p w14:paraId="223A612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nil"/>
            </w:tcBorders>
            <w:shd w:val="clear" w:color="auto" w:fill="auto"/>
            <w:noWrap/>
            <w:vAlign w:val="center"/>
            <w:hideMark/>
          </w:tcPr>
          <w:p w14:paraId="34AEADE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16A3460B"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0F3E8910"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Personal salience</w:t>
            </w:r>
          </w:p>
        </w:tc>
        <w:tc>
          <w:tcPr>
            <w:tcW w:w="0" w:type="auto"/>
            <w:tcBorders>
              <w:top w:val="nil"/>
              <w:left w:val="nil"/>
              <w:bottom w:val="nil"/>
              <w:right w:val="nil"/>
            </w:tcBorders>
            <w:shd w:val="clear" w:color="auto" w:fill="auto"/>
            <w:noWrap/>
            <w:vAlign w:val="center"/>
            <w:hideMark/>
          </w:tcPr>
          <w:p w14:paraId="6D1CD72B"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0.47</w:t>
            </w:r>
          </w:p>
        </w:tc>
        <w:tc>
          <w:tcPr>
            <w:tcW w:w="0" w:type="auto"/>
            <w:tcBorders>
              <w:top w:val="nil"/>
              <w:left w:val="nil"/>
              <w:bottom w:val="nil"/>
              <w:right w:val="nil"/>
            </w:tcBorders>
            <w:shd w:val="clear" w:color="auto" w:fill="auto"/>
            <w:noWrap/>
            <w:vAlign w:val="center"/>
            <w:hideMark/>
          </w:tcPr>
          <w:p w14:paraId="06777AD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single" w:sz="8" w:space="0" w:color="auto"/>
            </w:tcBorders>
            <w:shd w:val="clear" w:color="auto" w:fill="auto"/>
            <w:noWrap/>
            <w:vAlign w:val="center"/>
            <w:hideMark/>
          </w:tcPr>
          <w:p w14:paraId="30B06B7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7B167FA6"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0.47</w:t>
            </w:r>
          </w:p>
        </w:tc>
        <w:tc>
          <w:tcPr>
            <w:tcW w:w="0" w:type="auto"/>
            <w:tcBorders>
              <w:top w:val="nil"/>
              <w:left w:val="nil"/>
              <w:bottom w:val="nil"/>
              <w:right w:val="nil"/>
            </w:tcBorders>
            <w:shd w:val="clear" w:color="auto" w:fill="auto"/>
            <w:noWrap/>
            <w:vAlign w:val="center"/>
            <w:hideMark/>
          </w:tcPr>
          <w:p w14:paraId="292C0CF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nil"/>
            </w:tcBorders>
            <w:shd w:val="clear" w:color="auto" w:fill="auto"/>
            <w:noWrap/>
            <w:vAlign w:val="center"/>
            <w:hideMark/>
          </w:tcPr>
          <w:p w14:paraId="19F993AE"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7956BC67"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10C2C095"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Political interest</w:t>
            </w:r>
          </w:p>
        </w:tc>
        <w:tc>
          <w:tcPr>
            <w:tcW w:w="0" w:type="auto"/>
            <w:tcBorders>
              <w:top w:val="nil"/>
              <w:left w:val="nil"/>
              <w:bottom w:val="nil"/>
              <w:right w:val="nil"/>
            </w:tcBorders>
            <w:shd w:val="clear" w:color="auto" w:fill="auto"/>
            <w:noWrap/>
            <w:vAlign w:val="center"/>
            <w:hideMark/>
          </w:tcPr>
          <w:p w14:paraId="1A62CA8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-0.16</w:t>
            </w:r>
          </w:p>
        </w:tc>
        <w:tc>
          <w:tcPr>
            <w:tcW w:w="0" w:type="auto"/>
            <w:tcBorders>
              <w:top w:val="nil"/>
              <w:left w:val="nil"/>
              <w:bottom w:val="nil"/>
              <w:right w:val="nil"/>
            </w:tcBorders>
            <w:shd w:val="clear" w:color="auto" w:fill="auto"/>
            <w:noWrap/>
            <w:vAlign w:val="center"/>
            <w:hideMark/>
          </w:tcPr>
          <w:p w14:paraId="5B0071E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0.06</w:t>
            </w:r>
          </w:p>
        </w:tc>
        <w:tc>
          <w:tcPr>
            <w:tcW w:w="0" w:type="auto"/>
            <w:tcBorders>
              <w:top w:val="nil"/>
              <w:left w:val="nil"/>
              <w:bottom w:val="nil"/>
              <w:right w:val="single" w:sz="8" w:space="0" w:color="auto"/>
            </w:tcBorders>
            <w:shd w:val="clear" w:color="auto" w:fill="auto"/>
            <w:noWrap/>
            <w:vAlign w:val="center"/>
            <w:hideMark/>
          </w:tcPr>
          <w:p w14:paraId="3B1FD64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4F6D7189"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-0.61</w:t>
            </w:r>
          </w:p>
        </w:tc>
        <w:tc>
          <w:tcPr>
            <w:tcW w:w="0" w:type="auto"/>
            <w:tcBorders>
              <w:top w:val="nil"/>
              <w:left w:val="nil"/>
              <w:bottom w:val="nil"/>
              <w:right w:val="nil"/>
            </w:tcBorders>
            <w:shd w:val="clear" w:color="auto" w:fill="auto"/>
            <w:noWrap/>
            <w:vAlign w:val="center"/>
            <w:hideMark/>
          </w:tcPr>
          <w:p w14:paraId="34A970A2"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0.07</w:t>
            </w:r>
          </w:p>
        </w:tc>
        <w:tc>
          <w:tcPr>
            <w:tcW w:w="0" w:type="auto"/>
            <w:tcBorders>
              <w:top w:val="nil"/>
              <w:left w:val="nil"/>
              <w:bottom w:val="nil"/>
              <w:right w:val="nil"/>
            </w:tcBorders>
            <w:shd w:val="clear" w:color="auto" w:fill="auto"/>
            <w:noWrap/>
            <w:vAlign w:val="center"/>
            <w:hideMark/>
          </w:tcPr>
          <w:p w14:paraId="6352C4D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1B8B306C"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0F86BA20"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Left-right statements</w:t>
            </w:r>
          </w:p>
        </w:tc>
        <w:tc>
          <w:tcPr>
            <w:tcW w:w="0" w:type="auto"/>
            <w:tcBorders>
              <w:top w:val="nil"/>
              <w:left w:val="nil"/>
              <w:bottom w:val="nil"/>
              <w:right w:val="nil"/>
            </w:tcBorders>
            <w:shd w:val="clear" w:color="auto" w:fill="auto"/>
            <w:noWrap/>
            <w:vAlign w:val="center"/>
            <w:hideMark/>
          </w:tcPr>
          <w:p w14:paraId="3E9F171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-0.46</w:t>
            </w:r>
          </w:p>
        </w:tc>
        <w:tc>
          <w:tcPr>
            <w:tcW w:w="0" w:type="auto"/>
            <w:tcBorders>
              <w:top w:val="nil"/>
              <w:left w:val="nil"/>
              <w:bottom w:val="nil"/>
              <w:right w:val="nil"/>
            </w:tcBorders>
            <w:shd w:val="clear" w:color="auto" w:fill="auto"/>
            <w:noWrap/>
            <w:vAlign w:val="center"/>
            <w:hideMark/>
          </w:tcPr>
          <w:p w14:paraId="7845D9C5"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single" w:sz="8" w:space="0" w:color="auto"/>
            </w:tcBorders>
            <w:shd w:val="clear" w:color="auto" w:fill="auto"/>
            <w:noWrap/>
            <w:vAlign w:val="center"/>
            <w:hideMark/>
          </w:tcPr>
          <w:p w14:paraId="2AC0438B"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2CEBF16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-0.79</w:t>
            </w:r>
          </w:p>
        </w:tc>
        <w:tc>
          <w:tcPr>
            <w:tcW w:w="0" w:type="auto"/>
            <w:tcBorders>
              <w:top w:val="nil"/>
              <w:left w:val="nil"/>
              <w:bottom w:val="nil"/>
              <w:right w:val="nil"/>
            </w:tcBorders>
            <w:shd w:val="clear" w:color="auto" w:fill="auto"/>
            <w:noWrap/>
            <w:vAlign w:val="center"/>
            <w:hideMark/>
          </w:tcPr>
          <w:p w14:paraId="7298E85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0.03</w:t>
            </w:r>
          </w:p>
        </w:tc>
        <w:tc>
          <w:tcPr>
            <w:tcW w:w="0" w:type="auto"/>
            <w:tcBorders>
              <w:top w:val="nil"/>
              <w:left w:val="nil"/>
              <w:bottom w:val="nil"/>
              <w:right w:val="nil"/>
            </w:tcBorders>
            <w:shd w:val="clear" w:color="auto" w:fill="auto"/>
            <w:noWrap/>
            <w:vAlign w:val="center"/>
            <w:hideMark/>
          </w:tcPr>
          <w:p w14:paraId="6F15347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2748067B"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45CD5BB4"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Policy domain difference</w:t>
            </w:r>
          </w:p>
        </w:tc>
        <w:tc>
          <w:tcPr>
            <w:tcW w:w="0" w:type="auto"/>
            <w:tcBorders>
              <w:top w:val="nil"/>
              <w:left w:val="nil"/>
              <w:bottom w:val="nil"/>
              <w:right w:val="nil"/>
            </w:tcBorders>
            <w:shd w:val="clear" w:color="auto" w:fill="auto"/>
            <w:noWrap/>
            <w:vAlign w:val="center"/>
            <w:hideMark/>
          </w:tcPr>
          <w:p w14:paraId="7243D244"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-0.28</w:t>
            </w:r>
          </w:p>
        </w:tc>
        <w:tc>
          <w:tcPr>
            <w:tcW w:w="0" w:type="auto"/>
            <w:tcBorders>
              <w:top w:val="nil"/>
              <w:left w:val="nil"/>
              <w:bottom w:val="nil"/>
              <w:right w:val="nil"/>
            </w:tcBorders>
            <w:shd w:val="clear" w:color="auto" w:fill="auto"/>
            <w:noWrap/>
            <w:vAlign w:val="center"/>
            <w:hideMark/>
          </w:tcPr>
          <w:p w14:paraId="2EE67EA7"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0.09</w:t>
            </w:r>
          </w:p>
        </w:tc>
        <w:tc>
          <w:tcPr>
            <w:tcW w:w="0" w:type="auto"/>
            <w:tcBorders>
              <w:top w:val="nil"/>
              <w:left w:val="nil"/>
              <w:bottom w:val="nil"/>
              <w:right w:val="single" w:sz="8" w:space="0" w:color="auto"/>
            </w:tcBorders>
            <w:shd w:val="clear" w:color="auto" w:fill="auto"/>
            <w:noWrap/>
            <w:vAlign w:val="center"/>
            <w:hideMark/>
          </w:tcPr>
          <w:p w14:paraId="5B95A18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1663E370" w14:textId="6C8EC2F7" w:rsidR="008A0F51" w:rsidRPr="00456628" w:rsidRDefault="00C15F45" w:rsidP="008A0F51">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-0.28</w:t>
            </w:r>
          </w:p>
        </w:tc>
        <w:tc>
          <w:tcPr>
            <w:tcW w:w="0" w:type="auto"/>
            <w:tcBorders>
              <w:top w:val="nil"/>
              <w:left w:val="nil"/>
              <w:bottom w:val="nil"/>
              <w:right w:val="nil"/>
            </w:tcBorders>
            <w:shd w:val="clear" w:color="auto" w:fill="auto"/>
            <w:noWrap/>
            <w:vAlign w:val="center"/>
            <w:hideMark/>
          </w:tcPr>
          <w:p w14:paraId="1118F62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05A85EC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15A8AD2F"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112D5389"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Political interest*Left-right statements</w:t>
            </w:r>
          </w:p>
        </w:tc>
        <w:tc>
          <w:tcPr>
            <w:tcW w:w="0" w:type="auto"/>
            <w:tcBorders>
              <w:top w:val="nil"/>
              <w:left w:val="nil"/>
              <w:bottom w:val="nil"/>
              <w:right w:val="nil"/>
            </w:tcBorders>
            <w:shd w:val="clear" w:color="auto" w:fill="auto"/>
            <w:noWrap/>
            <w:vAlign w:val="bottom"/>
            <w:hideMark/>
          </w:tcPr>
          <w:p w14:paraId="12EA60C0"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bottom"/>
            <w:hideMark/>
          </w:tcPr>
          <w:p w14:paraId="448E5F25" w14:textId="77777777" w:rsidR="008A0F51" w:rsidRPr="00456628" w:rsidRDefault="008A0F51" w:rsidP="008A0F51">
            <w:pPr>
              <w:spacing w:after="0" w:line="240" w:lineRule="auto"/>
              <w:jc w:val="left"/>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24E4ED87" w14:textId="77777777" w:rsidR="008A0F51" w:rsidRPr="00456628" w:rsidRDefault="008A0F51" w:rsidP="008A0F51">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tcBorders>
              <w:top w:val="nil"/>
              <w:left w:val="nil"/>
              <w:bottom w:val="nil"/>
              <w:right w:val="nil"/>
            </w:tcBorders>
            <w:shd w:val="clear" w:color="auto" w:fill="auto"/>
            <w:noWrap/>
            <w:vAlign w:val="center"/>
            <w:hideMark/>
          </w:tcPr>
          <w:p w14:paraId="7D791AC6" w14:textId="269DFF42" w:rsidR="008A0F51" w:rsidRPr="00456628" w:rsidRDefault="00C15F45" w:rsidP="00C15F45">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0.05</w:t>
            </w:r>
          </w:p>
        </w:tc>
        <w:tc>
          <w:tcPr>
            <w:tcW w:w="0" w:type="auto"/>
            <w:tcBorders>
              <w:top w:val="nil"/>
              <w:left w:val="nil"/>
              <w:bottom w:val="nil"/>
              <w:right w:val="nil"/>
            </w:tcBorders>
            <w:shd w:val="clear" w:color="auto" w:fill="auto"/>
            <w:noWrap/>
            <w:vAlign w:val="center"/>
            <w:hideMark/>
          </w:tcPr>
          <w:p w14:paraId="2A0509C1" w14:textId="2EEFBE86" w:rsidR="008A0F51" w:rsidRPr="00456628" w:rsidRDefault="00C15F45" w:rsidP="00C15F45">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0.01</w:t>
            </w:r>
          </w:p>
        </w:tc>
        <w:tc>
          <w:tcPr>
            <w:tcW w:w="0" w:type="auto"/>
            <w:tcBorders>
              <w:top w:val="nil"/>
              <w:left w:val="nil"/>
              <w:bottom w:val="nil"/>
              <w:right w:val="nil"/>
            </w:tcBorders>
            <w:shd w:val="clear" w:color="auto" w:fill="auto"/>
            <w:noWrap/>
            <w:vAlign w:val="center"/>
            <w:hideMark/>
          </w:tcPr>
          <w:p w14:paraId="1E53F347" w14:textId="708BFDB4" w:rsidR="008A0F51" w:rsidRPr="00456628" w:rsidRDefault="00C15F45" w:rsidP="00C15F45">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A0F51" w:rsidRPr="00456628" w14:paraId="16B66E05"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03089502"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Lower education (ref. cat.)</w:t>
            </w:r>
          </w:p>
        </w:tc>
        <w:tc>
          <w:tcPr>
            <w:tcW w:w="0" w:type="auto"/>
            <w:tcBorders>
              <w:top w:val="nil"/>
              <w:left w:val="nil"/>
              <w:bottom w:val="nil"/>
              <w:right w:val="nil"/>
            </w:tcBorders>
            <w:shd w:val="clear" w:color="auto" w:fill="auto"/>
            <w:noWrap/>
            <w:vAlign w:val="center"/>
            <w:hideMark/>
          </w:tcPr>
          <w:p w14:paraId="7B49124A"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bottom"/>
            <w:hideMark/>
          </w:tcPr>
          <w:p w14:paraId="3D4F934D" w14:textId="77777777" w:rsidR="008A0F51" w:rsidRPr="00456628" w:rsidRDefault="008A0F51" w:rsidP="008A0F51">
            <w:pPr>
              <w:spacing w:after="0" w:line="240" w:lineRule="auto"/>
              <w:jc w:val="left"/>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0D2C977" w14:textId="77777777" w:rsidR="008A0F51" w:rsidRPr="00456628" w:rsidRDefault="008A0F51" w:rsidP="008A0F51">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tcBorders>
              <w:top w:val="nil"/>
              <w:left w:val="nil"/>
              <w:bottom w:val="nil"/>
              <w:right w:val="nil"/>
            </w:tcBorders>
            <w:shd w:val="clear" w:color="auto" w:fill="auto"/>
            <w:noWrap/>
            <w:vAlign w:val="center"/>
            <w:hideMark/>
          </w:tcPr>
          <w:p w14:paraId="2187A190" w14:textId="77777777" w:rsidR="008A0F51" w:rsidRPr="00456628" w:rsidRDefault="008A0F51" w:rsidP="00C15F45">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6B4DE827" w14:textId="77777777" w:rsidR="008A0F51" w:rsidRPr="00456628" w:rsidRDefault="008A0F51" w:rsidP="00C15F45">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26D00E04" w14:textId="77777777" w:rsidR="008A0F51" w:rsidRPr="00456628" w:rsidRDefault="008A0F51" w:rsidP="00C15F45">
            <w:pPr>
              <w:spacing w:after="0" w:line="240" w:lineRule="auto"/>
              <w:jc w:val="center"/>
              <w:rPr>
                <w:rFonts w:ascii="Times New Roman" w:eastAsia="Times New Roman" w:hAnsi="Times New Roman" w:cs="Times New Roman"/>
                <w:sz w:val="24"/>
                <w:szCs w:val="24"/>
                <w:lang w:val="en-US"/>
              </w:rPr>
            </w:pPr>
          </w:p>
        </w:tc>
      </w:tr>
      <w:tr w:rsidR="008A0F51" w:rsidRPr="00456628" w14:paraId="2F10E917"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6FA782FD"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Middle education</w:t>
            </w:r>
          </w:p>
        </w:tc>
        <w:tc>
          <w:tcPr>
            <w:tcW w:w="0" w:type="auto"/>
            <w:tcBorders>
              <w:top w:val="nil"/>
              <w:left w:val="nil"/>
              <w:bottom w:val="nil"/>
              <w:right w:val="nil"/>
            </w:tcBorders>
            <w:shd w:val="clear" w:color="auto" w:fill="auto"/>
            <w:noWrap/>
            <w:vAlign w:val="center"/>
            <w:hideMark/>
          </w:tcPr>
          <w:p w14:paraId="0859279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-0.19</w:t>
            </w:r>
          </w:p>
        </w:tc>
        <w:tc>
          <w:tcPr>
            <w:tcW w:w="0" w:type="auto"/>
            <w:tcBorders>
              <w:top w:val="nil"/>
              <w:left w:val="nil"/>
              <w:bottom w:val="nil"/>
              <w:right w:val="nil"/>
            </w:tcBorders>
            <w:shd w:val="clear" w:color="auto" w:fill="auto"/>
            <w:noWrap/>
            <w:vAlign w:val="center"/>
            <w:hideMark/>
          </w:tcPr>
          <w:p w14:paraId="5F4F7855"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0.42</w:t>
            </w:r>
          </w:p>
        </w:tc>
        <w:tc>
          <w:tcPr>
            <w:tcW w:w="0" w:type="auto"/>
            <w:tcBorders>
              <w:top w:val="nil"/>
              <w:left w:val="nil"/>
              <w:bottom w:val="nil"/>
              <w:right w:val="single" w:sz="8" w:space="0" w:color="auto"/>
            </w:tcBorders>
            <w:shd w:val="clear" w:color="auto" w:fill="auto"/>
            <w:noWrap/>
            <w:vAlign w:val="center"/>
            <w:hideMark/>
          </w:tcPr>
          <w:p w14:paraId="06C8377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p>
        </w:tc>
        <w:tc>
          <w:tcPr>
            <w:tcW w:w="0" w:type="auto"/>
            <w:tcBorders>
              <w:top w:val="nil"/>
              <w:left w:val="nil"/>
              <w:bottom w:val="nil"/>
              <w:right w:val="nil"/>
            </w:tcBorders>
            <w:shd w:val="clear" w:color="auto" w:fill="auto"/>
            <w:noWrap/>
            <w:vAlign w:val="center"/>
            <w:hideMark/>
          </w:tcPr>
          <w:p w14:paraId="4A056B62"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-0.21</w:t>
            </w:r>
          </w:p>
        </w:tc>
        <w:tc>
          <w:tcPr>
            <w:tcW w:w="0" w:type="auto"/>
            <w:tcBorders>
              <w:top w:val="nil"/>
              <w:left w:val="nil"/>
              <w:bottom w:val="nil"/>
              <w:right w:val="nil"/>
            </w:tcBorders>
            <w:shd w:val="clear" w:color="auto" w:fill="auto"/>
            <w:noWrap/>
            <w:vAlign w:val="center"/>
            <w:hideMark/>
          </w:tcPr>
          <w:p w14:paraId="4CF5788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0.42</w:t>
            </w:r>
          </w:p>
        </w:tc>
        <w:tc>
          <w:tcPr>
            <w:tcW w:w="0" w:type="auto"/>
            <w:tcBorders>
              <w:top w:val="nil"/>
              <w:left w:val="nil"/>
              <w:bottom w:val="nil"/>
              <w:right w:val="nil"/>
            </w:tcBorders>
            <w:shd w:val="clear" w:color="auto" w:fill="auto"/>
            <w:noWrap/>
            <w:vAlign w:val="bottom"/>
            <w:hideMark/>
          </w:tcPr>
          <w:p w14:paraId="001E8CEC"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p>
        </w:tc>
      </w:tr>
      <w:tr w:rsidR="008A0F51" w:rsidRPr="00456628" w14:paraId="537CAC0D"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36CAE968"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Higher education</w:t>
            </w:r>
          </w:p>
        </w:tc>
        <w:tc>
          <w:tcPr>
            <w:tcW w:w="0" w:type="auto"/>
            <w:tcBorders>
              <w:top w:val="nil"/>
              <w:left w:val="nil"/>
              <w:bottom w:val="nil"/>
              <w:right w:val="nil"/>
            </w:tcBorders>
            <w:shd w:val="clear" w:color="auto" w:fill="auto"/>
            <w:noWrap/>
            <w:vAlign w:val="center"/>
            <w:hideMark/>
          </w:tcPr>
          <w:p w14:paraId="2168F8A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-0.68</w:t>
            </w:r>
          </w:p>
        </w:tc>
        <w:tc>
          <w:tcPr>
            <w:tcW w:w="0" w:type="auto"/>
            <w:tcBorders>
              <w:top w:val="nil"/>
              <w:left w:val="nil"/>
              <w:bottom w:val="nil"/>
              <w:right w:val="nil"/>
            </w:tcBorders>
            <w:shd w:val="clear" w:color="auto" w:fill="auto"/>
            <w:noWrap/>
            <w:vAlign w:val="center"/>
            <w:hideMark/>
          </w:tcPr>
          <w:p w14:paraId="5318B9AC"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0.43</w:t>
            </w:r>
          </w:p>
        </w:tc>
        <w:tc>
          <w:tcPr>
            <w:tcW w:w="0" w:type="auto"/>
            <w:tcBorders>
              <w:top w:val="nil"/>
              <w:left w:val="nil"/>
              <w:bottom w:val="nil"/>
              <w:right w:val="single" w:sz="8" w:space="0" w:color="auto"/>
            </w:tcBorders>
            <w:shd w:val="clear" w:color="auto" w:fill="auto"/>
            <w:noWrap/>
            <w:vAlign w:val="center"/>
            <w:hideMark/>
          </w:tcPr>
          <w:p w14:paraId="7697D77E"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p>
        </w:tc>
        <w:tc>
          <w:tcPr>
            <w:tcW w:w="0" w:type="auto"/>
            <w:tcBorders>
              <w:top w:val="nil"/>
              <w:left w:val="nil"/>
              <w:bottom w:val="nil"/>
              <w:right w:val="nil"/>
            </w:tcBorders>
            <w:shd w:val="clear" w:color="auto" w:fill="auto"/>
            <w:noWrap/>
            <w:vAlign w:val="center"/>
            <w:hideMark/>
          </w:tcPr>
          <w:p w14:paraId="3A32FF1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-0.69</w:t>
            </w:r>
          </w:p>
        </w:tc>
        <w:tc>
          <w:tcPr>
            <w:tcW w:w="0" w:type="auto"/>
            <w:tcBorders>
              <w:top w:val="nil"/>
              <w:left w:val="nil"/>
              <w:bottom w:val="nil"/>
              <w:right w:val="nil"/>
            </w:tcBorders>
            <w:shd w:val="clear" w:color="auto" w:fill="auto"/>
            <w:noWrap/>
            <w:vAlign w:val="center"/>
            <w:hideMark/>
          </w:tcPr>
          <w:p w14:paraId="517050F2"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0.43</w:t>
            </w:r>
          </w:p>
        </w:tc>
        <w:tc>
          <w:tcPr>
            <w:tcW w:w="0" w:type="auto"/>
            <w:tcBorders>
              <w:top w:val="nil"/>
              <w:left w:val="nil"/>
              <w:bottom w:val="nil"/>
              <w:right w:val="nil"/>
            </w:tcBorders>
            <w:shd w:val="clear" w:color="auto" w:fill="auto"/>
            <w:noWrap/>
            <w:vAlign w:val="bottom"/>
            <w:hideMark/>
          </w:tcPr>
          <w:p w14:paraId="5CDE33F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p>
        </w:tc>
      </w:tr>
      <w:tr w:rsidR="008A0F51" w:rsidRPr="00456628" w14:paraId="1B79D248"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70E14B55"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Gender</w:t>
            </w:r>
          </w:p>
        </w:tc>
        <w:tc>
          <w:tcPr>
            <w:tcW w:w="0" w:type="auto"/>
            <w:tcBorders>
              <w:top w:val="nil"/>
              <w:left w:val="nil"/>
              <w:bottom w:val="nil"/>
              <w:right w:val="nil"/>
            </w:tcBorders>
            <w:shd w:val="clear" w:color="auto" w:fill="auto"/>
            <w:noWrap/>
            <w:vAlign w:val="center"/>
            <w:hideMark/>
          </w:tcPr>
          <w:p w14:paraId="0E13E934"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-0.26</w:t>
            </w:r>
          </w:p>
        </w:tc>
        <w:tc>
          <w:tcPr>
            <w:tcW w:w="0" w:type="auto"/>
            <w:tcBorders>
              <w:top w:val="nil"/>
              <w:left w:val="nil"/>
              <w:bottom w:val="nil"/>
              <w:right w:val="nil"/>
            </w:tcBorders>
            <w:shd w:val="clear" w:color="auto" w:fill="auto"/>
            <w:noWrap/>
            <w:vAlign w:val="center"/>
            <w:hideMark/>
          </w:tcPr>
          <w:p w14:paraId="2CE623F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0.27</w:t>
            </w:r>
          </w:p>
        </w:tc>
        <w:tc>
          <w:tcPr>
            <w:tcW w:w="0" w:type="auto"/>
            <w:tcBorders>
              <w:top w:val="nil"/>
              <w:left w:val="nil"/>
              <w:bottom w:val="nil"/>
              <w:right w:val="single" w:sz="8" w:space="0" w:color="auto"/>
            </w:tcBorders>
            <w:shd w:val="clear" w:color="auto" w:fill="auto"/>
            <w:noWrap/>
            <w:vAlign w:val="center"/>
            <w:hideMark/>
          </w:tcPr>
          <w:p w14:paraId="13FE9DC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p>
        </w:tc>
        <w:tc>
          <w:tcPr>
            <w:tcW w:w="0" w:type="auto"/>
            <w:tcBorders>
              <w:top w:val="nil"/>
              <w:left w:val="nil"/>
              <w:bottom w:val="nil"/>
              <w:right w:val="nil"/>
            </w:tcBorders>
            <w:shd w:val="clear" w:color="auto" w:fill="auto"/>
            <w:noWrap/>
            <w:vAlign w:val="center"/>
            <w:hideMark/>
          </w:tcPr>
          <w:p w14:paraId="29F806CE"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-0.26</w:t>
            </w:r>
          </w:p>
        </w:tc>
        <w:tc>
          <w:tcPr>
            <w:tcW w:w="0" w:type="auto"/>
            <w:tcBorders>
              <w:top w:val="nil"/>
              <w:left w:val="nil"/>
              <w:bottom w:val="nil"/>
              <w:right w:val="nil"/>
            </w:tcBorders>
            <w:shd w:val="clear" w:color="auto" w:fill="auto"/>
            <w:noWrap/>
            <w:vAlign w:val="center"/>
            <w:hideMark/>
          </w:tcPr>
          <w:p w14:paraId="2B29DE0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0.27</w:t>
            </w:r>
          </w:p>
        </w:tc>
        <w:tc>
          <w:tcPr>
            <w:tcW w:w="0" w:type="auto"/>
            <w:tcBorders>
              <w:top w:val="nil"/>
              <w:left w:val="nil"/>
              <w:bottom w:val="nil"/>
              <w:right w:val="nil"/>
            </w:tcBorders>
            <w:shd w:val="clear" w:color="auto" w:fill="auto"/>
            <w:noWrap/>
            <w:vAlign w:val="bottom"/>
            <w:hideMark/>
          </w:tcPr>
          <w:p w14:paraId="0038BB65"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p>
        </w:tc>
      </w:tr>
      <w:tr w:rsidR="008A0F51" w:rsidRPr="00456628" w14:paraId="2C0040BF"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2B84DDAA"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Age</w:t>
            </w:r>
          </w:p>
        </w:tc>
        <w:tc>
          <w:tcPr>
            <w:tcW w:w="0" w:type="auto"/>
            <w:tcBorders>
              <w:top w:val="nil"/>
              <w:left w:val="nil"/>
              <w:bottom w:val="nil"/>
              <w:right w:val="nil"/>
            </w:tcBorders>
            <w:shd w:val="clear" w:color="auto" w:fill="auto"/>
            <w:noWrap/>
            <w:vAlign w:val="center"/>
            <w:hideMark/>
          </w:tcPr>
          <w:p w14:paraId="23388BE4"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4B5B681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single" w:sz="8" w:space="0" w:color="auto"/>
            </w:tcBorders>
            <w:shd w:val="clear" w:color="auto" w:fill="auto"/>
            <w:noWrap/>
            <w:vAlign w:val="center"/>
            <w:hideMark/>
          </w:tcPr>
          <w:p w14:paraId="0CB5386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p>
        </w:tc>
        <w:tc>
          <w:tcPr>
            <w:tcW w:w="0" w:type="auto"/>
            <w:tcBorders>
              <w:top w:val="nil"/>
              <w:left w:val="nil"/>
              <w:bottom w:val="nil"/>
              <w:right w:val="nil"/>
            </w:tcBorders>
            <w:shd w:val="clear" w:color="auto" w:fill="auto"/>
            <w:noWrap/>
            <w:vAlign w:val="center"/>
            <w:hideMark/>
          </w:tcPr>
          <w:p w14:paraId="1F40F56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1A121B5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43AF028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p>
        </w:tc>
      </w:tr>
      <w:tr w:rsidR="008A0F51" w:rsidRPr="00456628" w14:paraId="11E35A7C"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20C09B1B"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Income</w:t>
            </w:r>
          </w:p>
        </w:tc>
        <w:tc>
          <w:tcPr>
            <w:tcW w:w="0" w:type="auto"/>
            <w:tcBorders>
              <w:top w:val="nil"/>
              <w:left w:val="nil"/>
              <w:bottom w:val="nil"/>
              <w:right w:val="nil"/>
            </w:tcBorders>
            <w:shd w:val="clear" w:color="auto" w:fill="auto"/>
            <w:noWrap/>
            <w:vAlign w:val="center"/>
            <w:hideMark/>
          </w:tcPr>
          <w:p w14:paraId="180B2BBC"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7F99855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0.06</w:t>
            </w:r>
          </w:p>
        </w:tc>
        <w:tc>
          <w:tcPr>
            <w:tcW w:w="0" w:type="auto"/>
            <w:tcBorders>
              <w:top w:val="nil"/>
              <w:left w:val="nil"/>
              <w:bottom w:val="nil"/>
              <w:right w:val="single" w:sz="8" w:space="0" w:color="auto"/>
            </w:tcBorders>
            <w:shd w:val="clear" w:color="auto" w:fill="auto"/>
            <w:noWrap/>
            <w:vAlign w:val="center"/>
            <w:hideMark/>
          </w:tcPr>
          <w:p w14:paraId="3F9E3839"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p>
        </w:tc>
        <w:tc>
          <w:tcPr>
            <w:tcW w:w="0" w:type="auto"/>
            <w:tcBorders>
              <w:top w:val="nil"/>
              <w:left w:val="nil"/>
              <w:bottom w:val="nil"/>
              <w:right w:val="nil"/>
            </w:tcBorders>
            <w:shd w:val="clear" w:color="auto" w:fill="auto"/>
            <w:noWrap/>
            <w:vAlign w:val="center"/>
            <w:hideMark/>
          </w:tcPr>
          <w:p w14:paraId="33DFAADD"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-0.01</w:t>
            </w:r>
          </w:p>
        </w:tc>
        <w:tc>
          <w:tcPr>
            <w:tcW w:w="0" w:type="auto"/>
            <w:tcBorders>
              <w:top w:val="nil"/>
              <w:left w:val="nil"/>
              <w:bottom w:val="nil"/>
              <w:right w:val="nil"/>
            </w:tcBorders>
            <w:shd w:val="clear" w:color="auto" w:fill="auto"/>
            <w:noWrap/>
            <w:vAlign w:val="center"/>
            <w:hideMark/>
          </w:tcPr>
          <w:p w14:paraId="26AAB70E"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0.06</w:t>
            </w:r>
          </w:p>
        </w:tc>
        <w:tc>
          <w:tcPr>
            <w:tcW w:w="0" w:type="auto"/>
            <w:tcBorders>
              <w:top w:val="nil"/>
              <w:left w:val="nil"/>
              <w:bottom w:val="nil"/>
              <w:right w:val="nil"/>
            </w:tcBorders>
            <w:shd w:val="clear" w:color="auto" w:fill="auto"/>
            <w:noWrap/>
            <w:vAlign w:val="bottom"/>
            <w:hideMark/>
          </w:tcPr>
          <w:p w14:paraId="7E3D5499"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p>
        </w:tc>
      </w:tr>
      <w:tr w:rsidR="008A0F51" w:rsidRPr="00456628" w14:paraId="631CC0C8" w14:textId="77777777" w:rsidTr="008A0F5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5A1305E9"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Constant</w:t>
            </w:r>
          </w:p>
        </w:tc>
        <w:tc>
          <w:tcPr>
            <w:tcW w:w="0" w:type="auto"/>
            <w:tcBorders>
              <w:top w:val="nil"/>
              <w:left w:val="nil"/>
              <w:bottom w:val="single" w:sz="8" w:space="0" w:color="auto"/>
              <w:right w:val="nil"/>
            </w:tcBorders>
            <w:shd w:val="clear" w:color="auto" w:fill="auto"/>
            <w:noWrap/>
            <w:vAlign w:val="center"/>
            <w:hideMark/>
          </w:tcPr>
          <w:p w14:paraId="26D6A4B2"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64.59</w:t>
            </w:r>
          </w:p>
        </w:tc>
        <w:tc>
          <w:tcPr>
            <w:tcW w:w="0" w:type="auto"/>
            <w:tcBorders>
              <w:top w:val="nil"/>
              <w:left w:val="nil"/>
              <w:bottom w:val="single" w:sz="8" w:space="0" w:color="auto"/>
              <w:right w:val="nil"/>
            </w:tcBorders>
            <w:shd w:val="clear" w:color="auto" w:fill="auto"/>
            <w:noWrap/>
            <w:vAlign w:val="center"/>
            <w:hideMark/>
          </w:tcPr>
          <w:p w14:paraId="13790D78"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0.86</w:t>
            </w:r>
          </w:p>
        </w:tc>
        <w:tc>
          <w:tcPr>
            <w:tcW w:w="0" w:type="auto"/>
            <w:tcBorders>
              <w:top w:val="nil"/>
              <w:left w:val="nil"/>
              <w:bottom w:val="single" w:sz="8" w:space="0" w:color="auto"/>
              <w:right w:val="single" w:sz="8" w:space="0" w:color="auto"/>
            </w:tcBorders>
            <w:shd w:val="clear" w:color="auto" w:fill="auto"/>
            <w:noWrap/>
            <w:vAlign w:val="center"/>
            <w:hideMark/>
          </w:tcPr>
          <w:p w14:paraId="26066F0A"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single" w:sz="8" w:space="0" w:color="auto"/>
              <w:right w:val="nil"/>
            </w:tcBorders>
            <w:shd w:val="clear" w:color="auto" w:fill="auto"/>
            <w:noWrap/>
            <w:vAlign w:val="center"/>
            <w:hideMark/>
          </w:tcPr>
          <w:p w14:paraId="5FDEA02F" w14:textId="7FE07FCB" w:rsidR="008A0F51" w:rsidRPr="00456628" w:rsidRDefault="00C15F45"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67.31</w:t>
            </w:r>
          </w:p>
        </w:tc>
        <w:tc>
          <w:tcPr>
            <w:tcW w:w="0" w:type="auto"/>
            <w:tcBorders>
              <w:top w:val="nil"/>
              <w:left w:val="nil"/>
              <w:bottom w:val="single" w:sz="8" w:space="0" w:color="auto"/>
              <w:right w:val="nil"/>
            </w:tcBorders>
            <w:shd w:val="clear" w:color="auto" w:fill="auto"/>
            <w:noWrap/>
            <w:vAlign w:val="center"/>
            <w:hideMark/>
          </w:tcPr>
          <w:p w14:paraId="7AB404D6"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0.89</w:t>
            </w:r>
          </w:p>
        </w:tc>
        <w:tc>
          <w:tcPr>
            <w:tcW w:w="0" w:type="auto"/>
            <w:tcBorders>
              <w:top w:val="nil"/>
              <w:left w:val="nil"/>
              <w:bottom w:val="single" w:sz="8" w:space="0" w:color="auto"/>
              <w:right w:val="nil"/>
            </w:tcBorders>
            <w:shd w:val="clear" w:color="auto" w:fill="auto"/>
            <w:noWrap/>
            <w:vAlign w:val="center"/>
            <w:hideMark/>
          </w:tcPr>
          <w:p w14:paraId="672A76CF"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A0F51" w:rsidRPr="00456628" w14:paraId="7C83BA4F"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611CB3D6"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Part controls</w:t>
            </w:r>
          </w:p>
        </w:tc>
        <w:tc>
          <w:tcPr>
            <w:tcW w:w="0" w:type="auto"/>
            <w:gridSpan w:val="3"/>
            <w:tcBorders>
              <w:top w:val="single" w:sz="8" w:space="0" w:color="auto"/>
              <w:left w:val="nil"/>
              <w:bottom w:val="nil"/>
              <w:right w:val="single" w:sz="8" w:space="0" w:color="000000"/>
            </w:tcBorders>
            <w:shd w:val="clear" w:color="auto" w:fill="auto"/>
            <w:vAlign w:val="center"/>
            <w:hideMark/>
          </w:tcPr>
          <w:p w14:paraId="252C0A43"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Yes</w:t>
            </w:r>
          </w:p>
        </w:tc>
        <w:tc>
          <w:tcPr>
            <w:tcW w:w="0" w:type="auto"/>
            <w:gridSpan w:val="3"/>
            <w:tcBorders>
              <w:top w:val="single" w:sz="8" w:space="0" w:color="auto"/>
              <w:left w:val="nil"/>
              <w:bottom w:val="nil"/>
              <w:right w:val="nil"/>
            </w:tcBorders>
            <w:shd w:val="clear" w:color="auto" w:fill="auto"/>
            <w:vAlign w:val="center"/>
            <w:hideMark/>
          </w:tcPr>
          <w:p w14:paraId="259266F0"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Yes</w:t>
            </w:r>
          </w:p>
        </w:tc>
      </w:tr>
      <w:tr w:rsidR="008A0F51" w:rsidRPr="00456628" w14:paraId="333CF9C1" w14:textId="77777777" w:rsidTr="008A0F51">
        <w:trPr>
          <w:trHeight w:val="315"/>
        </w:trPr>
        <w:tc>
          <w:tcPr>
            <w:tcW w:w="0" w:type="auto"/>
            <w:tcBorders>
              <w:top w:val="nil"/>
              <w:left w:val="nil"/>
              <w:bottom w:val="nil"/>
              <w:right w:val="single" w:sz="8" w:space="0" w:color="auto"/>
            </w:tcBorders>
            <w:shd w:val="clear" w:color="auto" w:fill="auto"/>
            <w:noWrap/>
            <w:vAlign w:val="center"/>
            <w:hideMark/>
          </w:tcPr>
          <w:p w14:paraId="648F6095"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n (total/voters)</w:t>
            </w:r>
          </w:p>
        </w:tc>
        <w:tc>
          <w:tcPr>
            <w:tcW w:w="0" w:type="auto"/>
            <w:gridSpan w:val="3"/>
            <w:tcBorders>
              <w:top w:val="nil"/>
              <w:left w:val="nil"/>
              <w:bottom w:val="nil"/>
              <w:right w:val="single" w:sz="8" w:space="0" w:color="000000"/>
            </w:tcBorders>
            <w:shd w:val="clear" w:color="auto" w:fill="auto"/>
            <w:vAlign w:val="center"/>
            <w:hideMark/>
          </w:tcPr>
          <w:p w14:paraId="6B7925F1"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9,681,030/844</w:t>
            </w:r>
          </w:p>
        </w:tc>
        <w:tc>
          <w:tcPr>
            <w:tcW w:w="0" w:type="auto"/>
            <w:gridSpan w:val="3"/>
            <w:tcBorders>
              <w:top w:val="nil"/>
              <w:left w:val="nil"/>
              <w:bottom w:val="nil"/>
              <w:right w:val="nil"/>
            </w:tcBorders>
            <w:shd w:val="clear" w:color="auto" w:fill="auto"/>
            <w:vAlign w:val="center"/>
            <w:hideMark/>
          </w:tcPr>
          <w:p w14:paraId="21B18B62" w14:textId="77777777" w:rsidR="008A0F51" w:rsidRPr="00456628" w:rsidRDefault="008A0F51" w:rsidP="008A0F5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9,681,030/844</w:t>
            </w:r>
          </w:p>
        </w:tc>
      </w:tr>
      <w:tr w:rsidR="008A0F51" w:rsidRPr="00456628" w14:paraId="4F08C5A1" w14:textId="77777777" w:rsidTr="008A0F5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45464212" w14:textId="77777777" w:rsidR="008A0F51" w:rsidRPr="00456628" w:rsidRDefault="008A0F51" w:rsidP="008A0F51">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 AIC</w:t>
            </w:r>
          </w:p>
        </w:tc>
        <w:tc>
          <w:tcPr>
            <w:tcW w:w="0" w:type="auto"/>
            <w:gridSpan w:val="3"/>
            <w:tcBorders>
              <w:top w:val="nil"/>
              <w:left w:val="nil"/>
              <w:bottom w:val="single" w:sz="8" w:space="0" w:color="auto"/>
              <w:right w:val="single" w:sz="8" w:space="0" w:color="000000"/>
            </w:tcBorders>
            <w:shd w:val="clear" w:color="auto" w:fill="auto"/>
            <w:vAlign w:val="center"/>
            <w:hideMark/>
          </w:tcPr>
          <w:p w14:paraId="33618807" w14:textId="5E4F551F" w:rsidR="008A0F51" w:rsidRPr="00456628" w:rsidRDefault="00320B21" w:rsidP="00320B2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-2,422,587</w:t>
            </w:r>
          </w:p>
        </w:tc>
        <w:tc>
          <w:tcPr>
            <w:tcW w:w="0" w:type="auto"/>
            <w:gridSpan w:val="3"/>
            <w:tcBorders>
              <w:top w:val="nil"/>
              <w:left w:val="nil"/>
              <w:bottom w:val="single" w:sz="8" w:space="0" w:color="auto"/>
              <w:right w:val="nil"/>
            </w:tcBorders>
            <w:shd w:val="clear" w:color="auto" w:fill="auto"/>
            <w:vAlign w:val="center"/>
            <w:hideMark/>
          </w:tcPr>
          <w:p w14:paraId="3FAC4611" w14:textId="5C276396" w:rsidR="008A0F51" w:rsidRPr="00456628" w:rsidRDefault="008A0F51" w:rsidP="00320B21">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-2,422,683</w:t>
            </w:r>
          </w:p>
        </w:tc>
      </w:tr>
      <w:tr w:rsidR="008A0F51" w:rsidRPr="00456628" w14:paraId="76768D01" w14:textId="77777777" w:rsidTr="008A0F51">
        <w:trPr>
          <w:trHeight w:val="300"/>
        </w:trPr>
        <w:tc>
          <w:tcPr>
            <w:tcW w:w="0" w:type="auto"/>
            <w:gridSpan w:val="7"/>
            <w:tcBorders>
              <w:top w:val="single" w:sz="8" w:space="0" w:color="auto"/>
              <w:left w:val="nil"/>
              <w:bottom w:val="nil"/>
              <w:right w:val="nil"/>
            </w:tcBorders>
            <w:shd w:val="clear" w:color="auto" w:fill="auto"/>
            <w:noWrap/>
            <w:vAlign w:val="center"/>
            <w:hideMark/>
          </w:tcPr>
          <w:p w14:paraId="1E9287F5" w14:textId="77777777" w:rsidR="008A0F51" w:rsidRPr="00456628" w:rsidRDefault="008A0F51" w:rsidP="008A0F51">
            <w:pPr>
              <w:spacing w:after="0" w:line="240" w:lineRule="auto"/>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Note: * = p ≤ 0.05; ** = p ≤ 0.01; *** = p ≤ 0.001</w:t>
            </w:r>
          </w:p>
        </w:tc>
      </w:tr>
    </w:tbl>
    <w:p w14:paraId="5035801A" w14:textId="77777777" w:rsidR="0013529F" w:rsidRPr="00456628" w:rsidRDefault="0013529F" w:rsidP="0013529F">
      <w:pPr>
        <w:spacing w:after="0"/>
        <w:rPr>
          <w:rFonts w:ascii="Times New Roman" w:hAnsi="Times New Roman" w:cs="Times New Roman"/>
          <w:sz w:val="24"/>
          <w:szCs w:val="24"/>
          <w:lang w:val="en-US"/>
        </w:rPr>
      </w:pPr>
    </w:p>
    <w:p w14:paraId="2F805038" w14:textId="77777777" w:rsidR="0013529F" w:rsidRPr="00456628" w:rsidRDefault="0013529F" w:rsidP="0013529F">
      <w:pPr>
        <w:spacing w:before="240" w:after="0"/>
        <w:rPr>
          <w:rFonts w:ascii="Times New Roman" w:hAnsi="Times New Roman" w:cs="Times New Roman"/>
          <w:sz w:val="24"/>
          <w:szCs w:val="24"/>
          <w:lang w:val="en-US"/>
        </w:rPr>
      </w:pPr>
    </w:p>
    <w:p w14:paraId="689247F6" w14:textId="5CB56573" w:rsidR="0013529F" w:rsidRPr="00456628" w:rsidRDefault="0013529F" w:rsidP="0013529F">
      <w:pPr>
        <w:spacing w:line="259" w:lineRule="auto"/>
        <w:jc w:val="left"/>
        <w:rPr>
          <w:rFonts w:ascii="Times New Roman" w:hAnsi="Times New Roman" w:cs="Times New Roman"/>
          <w:sz w:val="24"/>
          <w:szCs w:val="24"/>
          <w:lang w:val="en-US"/>
        </w:rPr>
      </w:pPr>
    </w:p>
    <w:p w14:paraId="325314D8" w14:textId="77777777" w:rsidR="00A012A1" w:rsidRPr="00456628" w:rsidRDefault="00A012A1" w:rsidP="0013529F">
      <w:pPr>
        <w:spacing w:before="240" w:after="0"/>
        <w:rPr>
          <w:rFonts w:ascii="Times New Roman" w:hAnsi="Times New Roman" w:cs="Times New Roman"/>
          <w:sz w:val="24"/>
          <w:szCs w:val="24"/>
          <w:lang w:val="en-US"/>
        </w:rPr>
        <w:sectPr w:rsidR="00A012A1" w:rsidRPr="00456628">
          <w:footerReference w:type="default" r:id="rId8"/>
          <w:pgSz w:w="12240" w:h="15840"/>
          <w:pgMar w:top="1440" w:right="1440" w:bottom="1440" w:left="1440" w:header="720" w:footer="720" w:gutter="0"/>
          <w:cols w:space="720"/>
          <w:docGrid w:linePitch="360"/>
        </w:sectPr>
      </w:pPr>
    </w:p>
    <w:p w14:paraId="35ECBAFC" w14:textId="4C7BC2E6" w:rsidR="00870F74" w:rsidRPr="00456628" w:rsidRDefault="00870F74" w:rsidP="00870F74">
      <w:pPr>
        <w:spacing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Table 2: Analyses of the correctness of voters’ party preferences</w:t>
      </w:r>
    </w:p>
    <w:tbl>
      <w:tblPr>
        <w:tblW w:w="0" w:type="auto"/>
        <w:tblLook w:val="04A0" w:firstRow="1" w:lastRow="0" w:firstColumn="1" w:lastColumn="0" w:noHBand="0" w:noVBand="1"/>
      </w:tblPr>
      <w:tblGrid>
        <w:gridCol w:w="6801"/>
        <w:gridCol w:w="756"/>
        <w:gridCol w:w="636"/>
        <w:gridCol w:w="597"/>
        <w:gridCol w:w="756"/>
        <w:gridCol w:w="636"/>
        <w:gridCol w:w="597"/>
      </w:tblGrid>
      <w:tr w:rsidR="00870F74" w:rsidRPr="00456628" w14:paraId="7A6E066F" w14:textId="77777777" w:rsidTr="00072481">
        <w:trPr>
          <w:trHeight w:val="315"/>
        </w:trPr>
        <w:tc>
          <w:tcPr>
            <w:tcW w:w="0" w:type="auto"/>
            <w:tcBorders>
              <w:top w:val="single" w:sz="8" w:space="0" w:color="auto"/>
              <w:left w:val="nil"/>
              <w:bottom w:val="nil"/>
              <w:right w:val="single" w:sz="8" w:space="0" w:color="auto"/>
            </w:tcBorders>
            <w:shd w:val="clear" w:color="auto" w:fill="auto"/>
            <w:noWrap/>
            <w:vAlign w:val="center"/>
            <w:hideMark/>
          </w:tcPr>
          <w:p w14:paraId="245ABAC2" w14:textId="77777777" w:rsidR="00870F74" w:rsidRPr="00456628" w:rsidRDefault="00870F74" w:rsidP="00870F74">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gridSpan w:val="3"/>
            <w:tcBorders>
              <w:top w:val="single" w:sz="8" w:space="0" w:color="auto"/>
              <w:left w:val="nil"/>
              <w:bottom w:val="nil"/>
              <w:right w:val="single" w:sz="8" w:space="0" w:color="000000"/>
            </w:tcBorders>
            <w:shd w:val="clear" w:color="auto" w:fill="auto"/>
            <w:noWrap/>
            <w:vAlign w:val="center"/>
            <w:hideMark/>
          </w:tcPr>
          <w:p w14:paraId="47BB5747"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Model 1</w:t>
            </w:r>
          </w:p>
        </w:tc>
        <w:tc>
          <w:tcPr>
            <w:tcW w:w="0" w:type="auto"/>
            <w:gridSpan w:val="3"/>
            <w:tcBorders>
              <w:top w:val="single" w:sz="8" w:space="0" w:color="auto"/>
              <w:left w:val="nil"/>
              <w:bottom w:val="nil"/>
              <w:right w:val="nil"/>
            </w:tcBorders>
            <w:shd w:val="clear" w:color="auto" w:fill="auto"/>
            <w:noWrap/>
            <w:vAlign w:val="center"/>
            <w:hideMark/>
          </w:tcPr>
          <w:p w14:paraId="79101E79"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Model 2</w:t>
            </w:r>
          </w:p>
        </w:tc>
      </w:tr>
      <w:tr w:rsidR="00870F74" w:rsidRPr="00456628" w14:paraId="5C2078E2" w14:textId="77777777" w:rsidTr="0007248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69F9C18A" w14:textId="77777777" w:rsidR="00870F74" w:rsidRPr="00456628" w:rsidRDefault="00870F74" w:rsidP="00870F74">
            <w:pPr>
              <w:spacing w:after="0" w:line="240" w:lineRule="auto"/>
              <w:jc w:val="left"/>
              <w:rPr>
                <w:rFonts w:ascii="Times New Roman" w:eastAsia="Times New Roman" w:hAnsi="Times New Roman" w:cs="Times New Roman"/>
                <w:color w:val="44546A"/>
                <w:sz w:val="24"/>
                <w:szCs w:val="24"/>
                <w:lang w:val="en-US"/>
              </w:rPr>
            </w:pPr>
            <w:r w:rsidRPr="00456628">
              <w:rPr>
                <w:rFonts w:ascii="Times New Roman" w:eastAsia="Times New Roman" w:hAnsi="Times New Roman" w:cs="Times New Roman"/>
                <w:color w:val="44546A"/>
                <w:sz w:val="24"/>
                <w:szCs w:val="24"/>
                <w:lang w:val="en-US"/>
              </w:rPr>
              <w:t> </w:t>
            </w:r>
          </w:p>
        </w:tc>
        <w:tc>
          <w:tcPr>
            <w:tcW w:w="0" w:type="auto"/>
            <w:tcBorders>
              <w:top w:val="nil"/>
              <w:left w:val="nil"/>
              <w:bottom w:val="single" w:sz="8" w:space="0" w:color="auto"/>
              <w:right w:val="nil"/>
            </w:tcBorders>
            <w:shd w:val="clear" w:color="auto" w:fill="auto"/>
            <w:noWrap/>
            <w:vAlign w:val="center"/>
            <w:hideMark/>
          </w:tcPr>
          <w:p w14:paraId="2D82B6A8"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B</w:t>
            </w:r>
          </w:p>
        </w:tc>
        <w:tc>
          <w:tcPr>
            <w:tcW w:w="0" w:type="auto"/>
            <w:tcBorders>
              <w:top w:val="nil"/>
              <w:left w:val="nil"/>
              <w:bottom w:val="single" w:sz="8" w:space="0" w:color="auto"/>
              <w:right w:val="nil"/>
            </w:tcBorders>
            <w:shd w:val="clear" w:color="auto" w:fill="auto"/>
            <w:noWrap/>
            <w:vAlign w:val="center"/>
            <w:hideMark/>
          </w:tcPr>
          <w:p w14:paraId="0AA6179D"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S.E.</w:t>
            </w:r>
          </w:p>
        </w:tc>
        <w:tc>
          <w:tcPr>
            <w:tcW w:w="0" w:type="auto"/>
            <w:tcBorders>
              <w:top w:val="nil"/>
              <w:left w:val="nil"/>
              <w:bottom w:val="single" w:sz="8" w:space="0" w:color="auto"/>
              <w:right w:val="single" w:sz="8" w:space="0" w:color="auto"/>
            </w:tcBorders>
            <w:shd w:val="clear" w:color="auto" w:fill="auto"/>
            <w:noWrap/>
            <w:vAlign w:val="center"/>
            <w:hideMark/>
          </w:tcPr>
          <w:p w14:paraId="20E48794"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Sig.</w:t>
            </w:r>
          </w:p>
        </w:tc>
        <w:tc>
          <w:tcPr>
            <w:tcW w:w="0" w:type="auto"/>
            <w:tcBorders>
              <w:top w:val="nil"/>
              <w:left w:val="nil"/>
              <w:bottom w:val="single" w:sz="8" w:space="0" w:color="auto"/>
              <w:right w:val="nil"/>
            </w:tcBorders>
            <w:shd w:val="clear" w:color="auto" w:fill="auto"/>
            <w:noWrap/>
            <w:vAlign w:val="center"/>
            <w:hideMark/>
          </w:tcPr>
          <w:p w14:paraId="7A31EC50"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B</w:t>
            </w:r>
          </w:p>
        </w:tc>
        <w:tc>
          <w:tcPr>
            <w:tcW w:w="0" w:type="auto"/>
            <w:tcBorders>
              <w:top w:val="nil"/>
              <w:left w:val="nil"/>
              <w:bottom w:val="single" w:sz="8" w:space="0" w:color="auto"/>
              <w:right w:val="nil"/>
            </w:tcBorders>
            <w:shd w:val="clear" w:color="auto" w:fill="auto"/>
            <w:noWrap/>
            <w:vAlign w:val="center"/>
            <w:hideMark/>
          </w:tcPr>
          <w:p w14:paraId="6843B810"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S.E.</w:t>
            </w:r>
          </w:p>
        </w:tc>
        <w:tc>
          <w:tcPr>
            <w:tcW w:w="0" w:type="auto"/>
            <w:tcBorders>
              <w:top w:val="nil"/>
              <w:left w:val="nil"/>
              <w:bottom w:val="single" w:sz="8" w:space="0" w:color="auto"/>
              <w:right w:val="nil"/>
            </w:tcBorders>
            <w:shd w:val="clear" w:color="auto" w:fill="auto"/>
            <w:noWrap/>
            <w:vAlign w:val="center"/>
            <w:hideMark/>
          </w:tcPr>
          <w:p w14:paraId="08F93986"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Sig.</w:t>
            </w:r>
          </w:p>
        </w:tc>
      </w:tr>
      <w:tr w:rsidR="00870F74" w:rsidRPr="00456628" w14:paraId="364C101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64CA6093" w14:textId="77777777" w:rsidR="00870F74" w:rsidRPr="00456628" w:rsidRDefault="00870F74" w:rsidP="00870F74">
            <w:pPr>
              <w:spacing w:after="0" w:line="240" w:lineRule="auto"/>
              <w:jc w:val="left"/>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Number of policy statements (cube root)</w:t>
            </w:r>
          </w:p>
        </w:tc>
        <w:tc>
          <w:tcPr>
            <w:tcW w:w="0" w:type="auto"/>
            <w:tcBorders>
              <w:top w:val="nil"/>
              <w:left w:val="nil"/>
              <w:bottom w:val="nil"/>
              <w:right w:val="nil"/>
            </w:tcBorders>
            <w:shd w:val="clear" w:color="auto" w:fill="auto"/>
            <w:noWrap/>
            <w:vAlign w:val="center"/>
            <w:hideMark/>
          </w:tcPr>
          <w:p w14:paraId="42E7C583"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5.53</w:t>
            </w:r>
          </w:p>
        </w:tc>
        <w:tc>
          <w:tcPr>
            <w:tcW w:w="0" w:type="auto"/>
            <w:tcBorders>
              <w:top w:val="nil"/>
              <w:left w:val="nil"/>
              <w:bottom w:val="nil"/>
              <w:right w:val="nil"/>
            </w:tcBorders>
            <w:shd w:val="clear" w:color="auto" w:fill="auto"/>
            <w:noWrap/>
            <w:vAlign w:val="center"/>
            <w:hideMark/>
          </w:tcPr>
          <w:p w14:paraId="509111D3"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0.15</w:t>
            </w:r>
          </w:p>
        </w:tc>
        <w:tc>
          <w:tcPr>
            <w:tcW w:w="0" w:type="auto"/>
            <w:tcBorders>
              <w:top w:val="nil"/>
              <w:left w:val="nil"/>
              <w:bottom w:val="nil"/>
              <w:right w:val="single" w:sz="8" w:space="0" w:color="auto"/>
            </w:tcBorders>
            <w:shd w:val="clear" w:color="auto" w:fill="auto"/>
            <w:noWrap/>
            <w:vAlign w:val="center"/>
            <w:hideMark/>
          </w:tcPr>
          <w:p w14:paraId="6865A052"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1DC44D5F"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5.60</w:t>
            </w:r>
          </w:p>
        </w:tc>
        <w:tc>
          <w:tcPr>
            <w:tcW w:w="0" w:type="auto"/>
            <w:tcBorders>
              <w:top w:val="nil"/>
              <w:left w:val="nil"/>
              <w:bottom w:val="nil"/>
              <w:right w:val="nil"/>
            </w:tcBorders>
            <w:shd w:val="clear" w:color="auto" w:fill="auto"/>
            <w:noWrap/>
            <w:vAlign w:val="center"/>
            <w:hideMark/>
          </w:tcPr>
          <w:p w14:paraId="0ED8F85A"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0.22</w:t>
            </w:r>
          </w:p>
        </w:tc>
        <w:tc>
          <w:tcPr>
            <w:tcW w:w="0" w:type="auto"/>
            <w:tcBorders>
              <w:top w:val="nil"/>
              <w:left w:val="nil"/>
              <w:bottom w:val="nil"/>
              <w:right w:val="nil"/>
            </w:tcBorders>
            <w:shd w:val="clear" w:color="auto" w:fill="auto"/>
            <w:noWrap/>
            <w:vAlign w:val="center"/>
            <w:hideMark/>
          </w:tcPr>
          <w:p w14:paraId="34BC4912"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74B1E858"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1F12AA1C" w14:textId="77777777" w:rsidR="00870F74" w:rsidRPr="00456628" w:rsidRDefault="00870F74" w:rsidP="00870F74">
            <w:pPr>
              <w:spacing w:after="0" w:line="240" w:lineRule="auto"/>
              <w:jc w:val="left"/>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Topic diversity (cube root)</w:t>
            </w:r>
          </w:p>
        </w:tc>
        <w:tc>
          <w:tcPr>
            <w:tcW w:w="0" w:type="auto"/>
            <w:tcBorders>
              <w:top w:val="nil"/>
              <w:left w:val="nil"/>
              <w:bottom w:val="nil"/>
              <w:right w:val="nil"/>
            </w:tcBorders>
            <w:shd w:val="clear" w:color="auto" w:fill="auto"/>
            <w:noWrap/>
            <w:vAlign w:val="center"/>
            <w:hideMark/>
          </w:tcPr>
          <w:p w14:paraId="2A14C6E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3.87</w:t>
            </w:r>
          </w:p>
        </w:tc>
        <w:tc>
          <w:tcPr>
            <w:tcW w:w="0" w:type="auto"/>
            <w:tcBorders>
              <w:top w:val="nil"/>
              <w:left w:val="nil"/>
              <w:bottom w:val="nil"/>
              <w:right w:val="nil"/>
            </w:tcBorders>
            <w:shd w:val="clear" w:color="auto" w:fill="auto"/>
            <w:noWrap/>
            <w:vAlign w:val="center"/>
            <w:hideMark/>
          </w:tcPr>
          <w:p w14:paraId="7A1F070B"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0.07</w:t>
            </w:r>
          </w:p>
        </w:tc>
        <w:tc>
          <w:tcPr>
            <w:tcW w:w="0" w:type="auto"/>
            <w:tcBorders>
              <w:top w:val="nil"/>
              <w:left w:val="nil"/>
              <w:bottom w:val="nil"/>
              <w:right w:val="single" w:sz="8" w:space="0" w:color="auto"/>
            </w:tcBorders>
            <w:shd w:val="clear" w:color="auto" w:fill="auto"/>
            <w:noWrap/>
            <w:vAlign w:val="center"/>
            <w:hideMark/>
          </w:tcPr>
          <w:p w14:paraId="135E389F"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20AED68C"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2.84</w:t>
            </w:r>
          </w:p>
        </w:tc>
        <w:tc>
          <w:tcPr>
            <w:tcW w:w="0" w:type="auto"/>
            <w:tcBorders>
              <w:top w:val="nil"/>
              <w:left w:val="nil"/>
              <w:bottom w:val="nil"/>
              <w:right w:val="nil"/>
            </w:tcBorders>
            <w:shd w:val="clear" w:color="auto" w:fill="auto"/>
            <w:noWrap/>
            <w:vAlign w:val="center"/>
            <w:hideMark/>
          </w:tcPr>
          <w:p w14:paraId="6E6987D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0.14</w:t>
            </w:r>
          </w:p>
        </w:tc>
        <w:tc>
          <w:tcPr>
            <w:tcW w:w="0" w:type="auto"/>
            <w:tcBorders>
              <w:top w:val="nil"/>
              <w:left w:val="nil"/>
              <w:bottom w:val="nil"/>
              <w:right w:val="nil"/>
            </w:tcBorders>
            <w:shd w:val="clear" w:color="auto" w:fill="auto"/>
            <w:noWrap/>
            <w:vAlign w:val="center"/>
            <w:hideMark/>
          </w:tcPr>
          <w:p w14:paraId="618CE173"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4FBFDB29"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682B6390"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Personal salience</w:t>
            </w:r>
          </w:p>
        </w:tc>
        <w:tc>
          <w:tcPr>
            <w:tcW w:w="0" w:type="auto"/>
            <w:tcBorders>
              <w:top w:val="nil"/>
              <w:left w:val="nil"/>
              <w:bottom w:val="nil"/>
              <w:right w:val="nil"/>
            </w:tcBorders>
            <w:shd w:val="clear" w:color="auto" w:fill="auto"/>
            <w:noWrap/>
            <w:vAlign w:val="center"/>
            <w:hideMark/>
          </w:tcPr>
          <w:p w14:paraId="63978538"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-0.32</w:t>
            </w:r>
          </w:p>
        </w:tc>
        <w:tc>
          <w:tcPr>
            <w:tcW w:w="0" w:type="auto"/>
            <w:tcBorders>
              <w:top w:val="nil"/>
              <w:left w:val="nil"/>
              <w:bottom w:val="nil"/>
              <w:right w:val="nil"/>
            </w:tcBorders>
            <w:shd w:val="clear" w:color="auto" w:fill="auto"/>
            <w:noWrap/>
            <w:vAlign w:val="center"/>
            <w:hideMark/>
          </w:tcPr>
          <w:p w14:paraId="46DEA37D"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0.09</w:t>
            </w:r>
          </w:p>
        </w:tc>
        <w:tc>
          <w:tcPr>
            <w:tcW w:w="0" w:type="auto"/>
            <w:tcBorders>
              <w:top w:val="nil"/>
              <w:left w:val="nil"/>
              <w:bottom w:val="nil"/>
              <w:right w:val="single" w:sz="8" w:space="0" w:color="auto"/>
            </w:tcBorders>
            <w:shd w:val="clear" w:color="auto" w:fill="auto"/>
            <w:noWrap/>
            <w:vAlign w:val="center"/>
            <w:hideMark/>
          </w:tcPr>
          <w:p w14:paraId="6632CCB2"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45E3C42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-0.11</w:t>
            </w:r>
          </w:p>
        </w:tc>
        <w:tc>
          <w:tcPr>
            <w:tcW w:w="0" w:type="auto"/>
            <w:tcBorders>
              <w:top w:val="nil"/>
              <w:left w:val="nil"/>
              <w:bottom w:val="nil"/>
              <w:right w:val="nil"/>
            </w:tcBorders>
            <w:shd w:val="clear" w:color="auto" w:fill="auto"/>
            <w:noWrap/>
            <w:vAlign w:val="center"/>
            <w:hideMark/>
          </w:tcPr>
          <w:p w14:paraId="4DE8A67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0.20</w:t>
            </w:r>
          </w:p>
        </w:tc>
        <w:tc>
          <w:tcPr>
            <w:tcW w:w="0" w:type="auto"/>
            <w:tcBorders>
              <w:top w:val="nil"/>
              <w:left w:val="nil"/>
              <w:bottom w:val="nil"/>
              <w:right w:val="nil"/>
            </w:tcBorders>
            <w:shd w:val="clear" w:color="auto" w:fill="auto"/>
            <w:noWrap/>
            <w:vAlign w:val="center"/>
            <w:hideMark/>
          </w:tcPr>
          <w:p w14:paraId="71471A10" w14:textId="3668E63C"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5D9386F1"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0E479DC6"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Political interest</w:t>
            </w:r>
          </w:p>
        </w:tc>
        <w:tc>
          <w:tcPr>
            <w:tcW w:w="0" w:type="auto"/>
            <w:tcBorders>
              <w:top w:val="nil"/>
              <w:left w:val="nil"/>
              <w:bottom w:val="nil"/>
              <w:right w:val="nil"/>
            </w:tcBorders>
            <w:shd w:val="clear" w:color="auto" w:fill="auto"/>
            <w:noWrap/>
            <w:vAlign w:val="center"/>
            <w:hideMark/>
          </w:tcPr>
          <w:p w14:paraId="6C7C5B4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0.27</w:t>
            </w:r>
          </w:p>
        </w:tc>
        <w:tc>
          <w:tcPr>
            <w:tcW w:w="0" w:type="auto"/>
            <w:tcBorders>
              <w:top w:val="nil"/>
              <w:left w:val="nil"/>
              <w:bottom w:val="nil"/>
              <w:right w:val="nil"/>
            </w:tcBorders>
            <w:shd w:val="clear" w:color="auto" w:fill="auto"/>
            <w:noWrap/>
            <w:vAlign w:val="center"/>
            <w:hideMark/>
          </w:tcPr>
          <w:p w14:paraId="79C7261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0.18</w:t>
            </w:r>
          </w:p>
        </w:tc>
        <w:tc>
          <w:tcPr>
            <w:tcW w:w="0" w:type="auto"/>
            <w:tcBorders>
              <w:top w:val="nil"/>
              <w:left w:val="nil"/>
              <w:bottom w:val="nil"/>
              <w:right w:val="single" w:sz="8" w:space="0" w:color="auto"/>
            </w:tcBorders>
            <w:shd w:val="clear" w:color="auto" w:fill="auto"/>
            <w:noWrap/>
            <w:vAlign w:val="center"/>
            <w:hideMark/>
          </w:tcPr>
          <w:p w14:paraId="680CEBBD" w14:textId="71555E84"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2BC921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0.34</w:t>
            </w:r>
          </w:p>
        </w:tc>
        <w:tc>
          <w:tcPr>
            <w:tcW w:w="0" w:type="auto"/>
            <w:tcBorders>
              <w:top w:val="nil"/>
              <w:left w:val="nil"/>
              <w:bottom w:val="nil"/>
              <w:right w:val="nil"/>
            </w:tcBorders>
            <w:shd w:val="clear" w:color="auto" w:fill="auto"/>
            <w:noWrap/>
            <w:vAlign w:val="center"/>
            <w:hideMark/>
          </w:tcPr>
          <w:p w14:paraId="273D73CB"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0.18</w:t>
            </w:r>
          </w:p>
        </w:tc>
        <w:tc>
          <w:tcPr>
            <w:tcW w:w="0" w:type="auto"/>
            <w:tcBorders>
              <w:top w:val="nil"/>
              <w:left w:val="nil"/>
              <w:bottom w:val="nil"/>
              <w:right w:val="nil"/>
            </w:tcBorders>
            <w:shd w:val="clear" w:color="auto" w:fill="auto"/>
            <w:noWrap/>
            <w:vAlign w:val="center"/>
            <w:hideMark/>
          </w:tcPr>
          <w:p w14:paraId="7B8FFAC0"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2653F6A9"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FACBAAA"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Left-right statements</w:t>
            </w:r>
          </w:p>
        </w:tc>
        <w:tc>
          <w:tcPr>
            <w:tcW w:w="0" w:type="auto"/>
            <w:tcBorders>
              <w:top w:val="nil"/>
              <w:left w:val="nil"/>
              <w:bottom w:val="nil"/>
              <w:right w:val="nil"/>
            </w:tcBorders>
            <w:shd w:val="clear" w:color="auto" w:fill="auto"/>
            <w:noWrap/>
            <w:vAlign w:val="center"/>
            <w:hideMark/>
          </w:tcPr>
          <w:p w14:paraId="20821A46"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1.39</w:t>
            </w:r>
          </w:p>
        </w:tc>
        <w:tc>
          <w:tcPr>
            <w:tcW w:w="0" w:type="auto"/>
            <w:tcBorders>
              <w:top w:val="nil"/>
              <w:left w:val="nil"/>
              <w:bottom w:val="nil"/>
              <w:right w:val="nil"/>
            </w:tcBorders>
            <w:shd w:val="clear" w:color="auto" w:fill="auto"/>
            <w:noWrap/>
            <w:vAlign w:val="center"/>
            <w:hideMark/>
          </w:tcPr>
          <w:p w14:paraId="3A36B57D"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0.10</w:t>
            </w:r>
          </w:p>
        </w:tc>
        <w:tc>
          <w:tcPr>
            <w:tcW w:w="0" w:type="auto"/>
            <w:tcBorders>
              <w:top w:val="nil"/>
              <w:left w:val="nil"/>
              <w:bottom w:val="nil"/>
              <w:right w:val="single" w:sz="8" w:space="0" w:color="auto"/>
            </w:tcBorders>
            <w:shd w:val="clear" w:color="auto" w:fill="auto"/>
            <w:noWrap/>
            <w:vAlign w:val="center"/>
            <w:hideMark/>
          </w:tcPr>
          <w:p w14:paraId="5FDD4FE1"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484E51EA"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1.52</w:t>
            </w:r>
          </w:p>
        </w:tc>
        <w:tc>
          <w:tcPr>
            <w:tcW w:w="0" w:type="auto"/>
            <w:tcBorders>
              <w:top w:val="nil"/>
              <w:left w:val="nil"/>
              <w:bottom w:val="nil"/>
              <w:right w:val="nil"/>
            </w:tcBorders>
            <w:shd w:val="clear" w:color="auto" w:fill="auto"/>
            <w:noWrap/>
            <w:vAlign w:val="center"/>
            <w:hideMark/>
          </w:tcPr>
          <w:p w14:paraId="7FA95C6A"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0.10</w:t>
            </w:r>
          </w:p>
        </w:tc>
        <w:tc>
          <w:tcPr>
            <w:tcW w:w="0" w:type="auto"/>
            <w:tcBorders>
              <w:top w:val="nil"/>
              <w:left w:val="nil"/>
              <w:bottom w:val="nil"/>
              <w:right w:val="nil"/>
            </w:tcBorders>
            <w:shd w:val="clear" w:color="auto" w:fill="auto"/>
            <w:noWrap/>
            <w:vAlign w:val="center"/>
            <w:hideMark/>
          </w:tcPr>
          <w:p w14:paraId="1F4B499E"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7752ABE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E2A7713"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Policy domain difference</w:t>
            </w:r>
          </w:p>
        </w:tc>
        <w:tc>
          <w:tcPr>
            <w:tcW w:w="0" w:type="auto"/>
            <w:tcBorders>
              <w:top w:val="nil"/>
              <w:left w:val="nil"/>
              <w:bottom w:val="nil"/>
              <w:right w:val="nil"/>
            </w:tcBorders>
            <w:shd w:val="clear" w:color="auto" w:fill="auto"/>
            <w:noWrap/>
            <w:vAlign w:val="center"/>
            <w:hideMark/>
          </w:tcPr>
          <w:p w14:paraId="3E271142"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-9.34</w:t>
            </w:r>
          </w:p>
        </w:tc>
        <w:tc>
          <w:tcPr>
            <w:tcW w:w="0" w:type="auto"/>
            <w:tcBorders>
              <w:top w:val="nil"/>
              <w:left w:val="nil"/>
              <w:bottom w:val="nil"/>
              <w:right w:val="nil"/>
            </w:tcBorders>
            <w:shd w:val="clear" w:color="auto" w:fill="auto"/>
            <w:noWrap/>
            <w:vAlign w:val="center"/>
            <w:hideMark/>
          </w:tcPr>
          <w:p w14:paraId="7BCDE677"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0.71</w:t>
            </w:r>
          </w:p>
        </w:tc>
        <w:tc>
          <w:tcPr>
            <w:tcW w:w="0" w:type="auto"/>
            <w:tcBorders>
              <w:top w:val="nil"/>
              <w:left w:val="nil"/>
              <w:bottom w:val="nil"/>
              <w:right w:val="single" w:sz="8" w:space="0" w:color="auto"/>
            </w:tcBorders>
            <w:shd w:val="clear" w:color="auto" w:fill="auto"/>
            <w:noWrap/>
            <w:vAlign w:val="center"/>
            <w:hideMark/>
          </w:tcPr>
          <w:p w14:paraId="250F6D1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5BD93A50"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-8.94</w:t>
            </w:r>
          </w:p>
        </w:tc>
        <w:tc>
          <w:tcPr>
            <w:tcW w:w="0" w:type="auto"/>
            <w:tcBorders>
              <w:top w:val="nil"/>
              <w:left w:val="nil"/>
              <w:bottom w:val="nil"/>
              <w:right w:val="nil"/>
            </w:tcBorders>
            <w:shd w:val="clear" w:color="auto" w:fill="auto"/>
            <w:noWrap/>
            <w:vAlign w:val="center"/>
            <w:hideMark/>
          </w:tcPr>
          <w:p w14:paraId="379EEDEC"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0.72</w:t>
            </w:r>
          </w:p>
        </w:tc>
        <w:tc>
          <w:tcPr>
            <w:tcW w:w="0" w:type="auto"/>
            <w:tcBorders>
              <w:top w:val="nil"/>
              <w:left w:val="nil"/>
              <w:bottom w:val="nil"/>
              <w:right w:val="nil"/>
            </w:tcBorders>
            <w:shd w:val="clear" w:color="auto" w:fill="auto"/>
            <w:noWrap/>
            <w:vAlign w:val="center"/>
            <w:hideMark/>
          </w:tcPr>
          <w:p w14:paraId="671A4EEC"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2A658AF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399A3DB3"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Lower education (ref. cat.)</w:t>
            </w:r>
          </w:p>
        </w:tc>
        <w:tc>
          <w:tcPr>
            <w:tcW w:w="0" w:type="auto"/>
            <w:tcBorders>
              <w:top w:val="nil"/>
              <w:left w:val="nil"/>
              <w:bottom w:val="nil"/>
              <w:right w:val="nil"/>
            </w:tcBorders>
            <w:shd w:val="clear" w:color="auto" w:fill="auto"/>
            <w:noWrap/>
            <w:vAlign w:val="center"/>
            <w:hideMark/>
          </w:tcPr>
          <w:p w14:paraId="6D3DC21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bottom"/>
            <w:hideMark/>
          </w:tcPr>
          <w:p w14:paraId="754B9976"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704B2B31" w14:textId="7317DC2B" w:rsidR="00870F74" w:rsidRPr="00456628" w:rsidRDefault="00870F74" w:rsidP="00870F74">
            <w:pPr>
              <w:spacing w:after="0" w:line="240" w:lineRule="auto"/>
              <w:jc w:val="center"/>
              <w:rPr>
                <w:rFonts w:ascii="Times New Roman" w:eastAsia="Times New Roman" w:hAnsi="Times New Roman" w:cs="Times New Roman"/>
                <w:color w:val="44546A"/>
                <w:sz w:val="24"/>
                <w:szCs w:val="24"/>
                <w:lang w:val="en-US"/>
              </w:rPr>
            </w:pPr>
          </w:p>
        </w:tc>
        <w:tc>
          <w:tcPr>
            <w:tcW w:w="0" w:type="auto"/>
            <w:tcBorders>
              <w:top w:val="nil"/>
              <w:left w:val="nil"/>
              <w:bottom w:val="nil"/>
              <w:right w:val="nil"/>
            </w:tcBorders>
            <w:shd w:val="clear" w:color="auto" w:fill="auto"/>
            <w:noWrap/>
            <w:vAlign w:val="center"/>
            <w:hideMark/>
          </w:tcPr>
          <w:p w14:paraId="0EC4E33A" w14:textId="77777777" w:rsidR="00870F74" w:rsidRPr="00456628" w:rsidRDefault="00870F74" w:rsidP="00870F74">
            <w:pPr>
              <w:spacing w:after="0" w:line="240" w:lineRule="auto"/>
              <w:jc w:val="center"/>
              <w:rPr>
                <w:rFonts w:ascii="Times New Roman" w:eastAsia="Times New Roman" w:hAnsi="Times New Roman" w:cs="Times New Roman"/>
                <w:color w:val="44546A"/>
                <w:sz w:val="24"/>
                <w:szCs w:val="24"/>
                <w:lang w:val="en-US"/>
              </w:rPr>
            </w:pPr>
          </w:p>
        </w:tc>
        <w:tc>
          <w:tcPr>
            <w:tcW w:w="0" w:type="auto"/>
            <w:tcBorders>
              <w:top w:val="nil"/>
              <w:left w:val="nil"/>
              <w:bottom w:val="nil"/>
              <w:right w:val="nil"/>
            </w:tcBorders>
            <w:shd w:val="clear" w:color="auto" w:fill="auto"/>
            <w:noWrap/>
            <w:vAlign w:val="bottom"/>
            <w:hideMark/>
          </w:tcPr>
          <w:p w14:paraId="324DD541"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6EFAE664"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434EB3AA"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14919461"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Middle education</w:t>
            </w:r>
          </w:p>
        </w:tc>
        <w:tc>
          <w:tcPr>
            <w:tcW w:w="0" w:type="auto"/>
            <w:tcBorders>
              <w:top w:val="nil"/>
              <w:left w:val="nil"/>
              <w:bottom w:val="nil"/>
              <w:right w:val="nil"/>
            </w:tcBorders>
            <w:shd w:val="clear" w:color="auto" w:fill="auto"/>
            <w:noWrap/>
            <w:vAlign w:val="center"/>
            <w:hideMark/>
          </w:tcPr>
          <w:p w14:paraId="2FF614DF"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1.25</w:t>
            </w:r>
          </w:p>
        </w:tc>
        <w:tc>
          <w:tcPr>
            <w:tcW w:w="0" w:type="auto"/>
            <w:tcBorders>
              <w:top w:val="nil"/>
              <w:left w:val="nil"/>
              <w:bottom w:val="nil"/>
              <w:right w:val="nil"/>
            </w:tcBorders>
            <w:shd w:val="clear" w:color="auto" w:fill="auto"/>
            <w:noWrap/>
            <w:vAlign w:val="center"/>
            <w:hideMark/>
          </w:tcPr>
          <w:p w14:paraId="0E8B7B5E"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1.41</w:t>
            </w:r>
          </w:p>
        </w:tc>
        <w:tc>
          <w:tcPr>
            <w:tcW w:w="0" w:type="auto"/>
            <w:tcBorders>
              <w:top w:val="nil"/>
              <w:left w:val="nil"/>
              <w:bottom w:val="nil"/>
              <w:right w:val="single" w:sz="8" w:space="0" w:color="auto"/>
            </w:tcBorders>
            <w:shd w:val="clear" w:color="auto" w:fill="auto"/>
            <w:noWrap/>
            <w:vAlign w:val="center"/>
            <w:hideMark/>
          </w:tcPr>
          <w:p w14:paraId="18087C26" w14:textId="75666550"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188F7DB9"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-3.02</w:t>
            </w:r>
          </w:p>
        </w:tc>
        <w:tc>
          <w:tcPr>
            <w:tcW w:w="0" w:type="auto"/>
            <w:tcBorders>
              <w:top w:val="nil"/>
              <w:left w:val="nil"/>
              <w:bottom w:val="nil"/>
              <w:right w:val="nil"/>
            </w:tcBorders>
            <w:shd w:val="clear" w:color="auto" w:fill="auto"/>
            <w:noWrap/>
            <w:vAlign w:val="center"/>
            <w:hideMark/>
          </w:tcPr>
          <w:p w14:paraId="53D6D35C"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1.51</w:t>
            </w:r>
          </w:p>
        </w:tc>
        <w:tc>
          <w:tcPr>
            <w:tcW w:w="0" w:type="auto"/>
            <w:tcBorders>
              <w:top w:val="nil"/>
              <w:left w:val="nil"/>
              <w:bottom w:val="nil"/>
              <w:right w:val="nil"/>
            </w:tcBorders>
            <w:shd w:val="clear" w:color="auto" w:fill="auto"/>
            <w:noWrap/>
            <w:vAlign w:val="bottom"/>
            <w:hideMark/>
          </w:tcPr>
          <w:p w14:paraId="73775041"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7E1D6B7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3D4F69E2"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Higher education</w:t>
            </w:r>
          </w:p>
        </w:tc>
        <w:tc>
          <w:tcPr>
            <w:tcW w:w="0" w:type="auto"/>
            <w:tcBorders>
              <w:top w:val="nil"/>
              <w:left w:val="nil"/>
              <w:bottom w:val="nil"/>
              <w:right w:val="nil"/>
            </w:tcBorders>
            <w:shd w:val="clear" w:color="auto" w:fill="auto"/>
            <w:noWrap/>
            <w:vAlign w:val="center"/>
            <w:hideMark/>
          </w:tcPr>
          <w:p w14:paraId="2A9DD6DF"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2.92</w:t>
            </w:r>
          </w:p>
        </w:tc>
        <w:tc>
          <w:tcPr>
            <w:tcW w:w="0" w:type="auto"/>
            <w:tcBorders>
              <w:top w:val="nil"/>
              <w:left w:val="nil"/>
              <w:bottom w:val="nil"/>
              <w:right w:val="nil"/>
            </w:tcBorders>
            <w:shd w:val="clear" w:color="auto" w:fill="auto"/>
            <w:noWrap/>
            <w:vAlign w:val="center"/>
            <w:hideMark/>
          </w:tcPr>
          <w:p w14:paraId="044905B4"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1.43</w:t>
            </w:r>
          </w:p>
        </w:tc>
        <w:tc>
          <w:tcPr>
            <w:tcW w:w="0" w:type="auto"/>
            <w:tcBorders>
              <w:top w:val="nil"/>
              <w:left w:val="nil"/>
              <w:bottom w:val="nil"/>
              <w:right w:val="single" w:sz="8" w:space="0" w:color="auto"/>
            </w:tcBorders>
            <w:shd w:val="clear" w:color="auto" w:fill="auto"/>
            <w:noWrap/>
            <w:vAlign w:val="center"/>
            <w:hideMark/>
          </w:tcPr>
          <w:p w14:paraId="006C71F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5B5C73E2"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-0.76</w:t>
            </w:r>
          </w:p>
        </w:tc>
        <w:tc>
          <w:tcPr>
            <w:tcW w:w="0" w:type="auto"/>
            <w:tcBorders>
              <w:top w:val="nil"/>
              <w:left w:val="nil"/>
              <w:bottom w:val="nil"/>
              <w:right w:val="nil"/>
            </w:tcBorders>
            <w:shd w:val="clear" w:color="auto" w:fill="auto"/>
            <w:noWrap/>
            <w:vAlign w:val="center"/>
            <w:hideMark/>
          </w:tcPr>
          <w:p w14:paraId="04D68191"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1.54</w:t>
            </w:r>
          </w:p>
        </w:tc>
        <w:tc>
          <w:tcPr>
            <w:tcW w:w="0" w:type="auto"/>
            <w:tcBorders>
              <w:top w:val="nil"/>
              <w:left w:val="nil"/>
              <w:bottom w:val="nil"/>
              <w:right w:val="nil"/>
            </w:tcBorders>
            <w:shd w:val="clear" w:color="auto" w:fill="auto"/>
            <w:noWrap/>
            <w:vAlign w:val="bottom"/>
            <w:hideMark/>
          </w:tcPr>
          <w:p w14:paraId="34355C29" w14:textId="7449AC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63967EC9"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49B13EAD"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Gender</w:t>
            </w:r>
          </w:p>
        </w:tc>
        <w:tc>
          <w:tcPr>
            <w:tcW w:w="0" w:type="auto"/>
            <w:tcBorders>
              <w:top w:val="nil"/>
              <w:left w:val="nil"/>
              <w:bottom w:val="nil"/>
              <w:right w:val="nil"/>
            </w:tcBorders>
            <w:shd w:val="clear" w:color="auto" w:fill="auto"/>
            <w:noWrap/>
            <w:vAlign w:val="center"/>
            <w:hideMark/>
          </w:tcPr>
          <w:p w14:paraId="2FBE4964"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0.92</w:t>
            </w:r>
          </w:p>
        </w:tc>
        <w:tc>
          <w:tcPr>
            <w:tcW w:w="0" w:type="auto"/>
            <w:tcBorders>
              <w:top w:val="nil"/>
              <w:left w:val="nil"/>
              <w:bottom w:val="nil"/>
              <w:right w:val="nil"/>
            </w:tcBorders>
            <w:shd w:val="clear" w:color="auto" w:fill="auto"/>
            <w:noWrap/>
            <w:vAlign w:val="center"/>
            <w:hideMark/>
          </w:tcPr>
          <w:p w14:paraId="3212534D"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0.87</w:t>
            </w:r>
          </w:p>
        </w:tc>
        <w:tc>
          <w:tcPr>
            <w:tcW w:w="0" w:type="auto"/>
            <w:tcBorders>
              <w:top w:val="nil"/>
              <w:left w:val="nil"/>
              <w:bottom w:val="nil"/>
              <w:right w:val="single" w:sz="8" w:space="0" w:color="auto"/>
            </w:tcBorders>
            <w:shd w:val="clear" w:color="auto" w:fill="auto"/>
            <w:noWrap/>
            <w:vAlign w:val="center"/>
            <w:hideMark/>
          </w:tcPr>
          <w:p w14:paraId="04127FE0" w14:textId="496A3B8E"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4C0721D"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0.83</w:t>
            </w:r>
          </w:p>
        </w:tc>
        <w:tc>
          <w:tcPr>
            <w:tcW w:w="0" w:type="auto"/>
            <w:tcBorders>
              <w:top w:val="nil"/>
              <w:left w:val="nil"/>
              <w:bottom w:val="nil"/>
              <w:right w:val="nil"/>
            </w:tcBorders>
            <w:shd w:val="clear" w:color="auto" w:fill="auto"/>
            <w:noWrap/>
            <w:vAlign w:val="center"/>
            <w:hideMark/>
          </w:tcPr>
          <w:p w14:paraId="75E6B626"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0.88</w:t>
            </w:r>
          </w:p>
        </w:tc>
        <w:tc>
          <w:tcPr>
            <w:tcW w:w="0" w:type="auto"/>
            <w:tcBorders>
              <w:top w:val="nil"/>
              <w:left w:val="nil"/>
              <w:bottom w:val="nil"/>
              <w:right w:val="nil"/>
            </w:tcBorders>
            <w:shd w:val="clear" w:color="auto" w:fill="auto"/>
            <w:noWrap/>
            <w:vAlign w:val="bottom"/>
            <w:hideMark/>
          </w:tcPr>
          <w:p w14:paraId="2EE6B40F" w14:textId="0B7B86D6"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7561F3E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1F8ACEF8"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Age</w:t>
            </w:r>
          </w:p>
        </w:tc>
        <w:tc>
          <w:tcPr>
            <w:tcW w:w="0" w:type="auto"/>
            <w:tcBorders>
              <w:top w:val="nil"/>
              <w:left w:val="nil"/>
              <w:bottom w:val="nil"/>
              <w:right w:val="nil"/>
            </w:tcBorders>
            <w:shd w:val="clear" w:color="auto" w:fill="auto"/>
            <w:noWrap/>
            <w:vAlign w:val="center"/>
            <w:hideMark/>
          </w:tcPr>
          <w:p w14:paraId="2B32D3C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-0.02</w:t>
            </w:r>
          </w:p>
        </w:tc>
        <w:tc>
          <w:tcPr>
            <w:tcW w:w="0" w:type="auto"/>
            <w:tcBorders>
              <w:top w:val="nil"/>
              <w:left w:val="nil"/>
              <w:bottom w:val="nil"/>
              <w:right w:val="nil"/>
            </w:tcBorders>
            <w:shd w:val="clear" w:color="auto" w:fill="auto"/>
            <w:noWrap/>
            <w:vAlign w:val="center"/>
            <w:hideMark/>
          </w:tcPr>
          <w:p w14:paraId="57F3C21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0.03</w:t>
            </w:r>
          </w:p>
        </w:tc>
        <w:tc>
          <w:tcPr>
            <w:tcW w:w="0" w:type="auto"/>
            <w:tcBorders>
              <w:top w:val="nil"/>
              <w:left w:val="nil"/>
              <w:bottom w:val="nil"/>
              <w:right w:val="single" w:sz="8" w:space="0" w:color="auto"/>
            </w:tcBorders>
            <w:shd w:val="clear" w:color="auto" w:fill="auto"/>
            <w:noWrap/>
            <w:vAlign w:val="center"/>
            <w:hideMark/>
          </w:tcPr>
          <w:p w14:paraId="3D6A317E" w14:textId="1CF087D3"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2DF984A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-0.02</w:t>
            </w:r>
          </w:p>
        </w:tc>
        <w:tc>
          <w:tcPr>
            <w:tcW w:w="0" w:type="auto"/>
            <w:tcBorders>
              <w:top w:val="nil"/>
              <w:left w:val="nil"/>
              <w:bottom w:val="nil"/>
              <w:right w:val="nil"/>
            </w:tcBorders>
            <w:shd w:val="clear" w:color="auto" w:fill="auto"/>
            <w:noWrap/>
            <w:vAlign w:val="center"/>
            <w:hideMark/>
          </w:tcPr>
          <w:p w14:paraId="5862678F"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0.03</w:t>
            </w:r>
          </w:p>
        </w:tc>
        <w:tc>
          <w:tcPr>
            <w:tcW w:w="0" w:type="auto"/>
            <w:tcBorders>
              <w:top w:val="nil"/>
              <w:left w:val="nil"/>
              <w:bottom w:val="nil"/>
              <w:right w:val="nil"/>
            </w:tcBorders>
            <w:shd w:val="clear" w:color="auto" w:fill="auto"/>
            <w:noWrap/>
            <w:vAlign w:val="center"/>
            <w:hideMark/>
          </w:tcPr>
          <w:p w14:paraId="522BCCF0" w14:textId="52977973"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170ACFF9"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49D76B51"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Income</w:t>
            </w:r>
          </w:p>
        </w:tc>
        <w:tc>
          <w:tcPr>
            <w:tcW w:w="0" w:type="auto"/>
            <w:tcBorders>
              <w:top w:val="nil"/>
              <w:left w:val="nil"/>
              <w:bottom w:val="nil"/>
              <w:right w:val="nil"/>
            </w:tcBorders>
            <w:shd w:val="clear" w:color="auto" w:fill="auto"/>
            <w:noWrap/>
            <w:vAlign w:val="center"/>
            <w:hideMark/>
          </w:tcPr>
          <w:p w14:paraId="683CE07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0.39</w:t>
            </w:r>
          </w:p>
        </w:tc>
        <w:tc>
          <w:tcPr>
            <w:tcW w:w="0" w:type="auto"/>
            <w:tcBorders>
              <w:top w:val="nil"/>
              <w:left w:val="nil"/>
              <w:bottom w:val="nil"/>
              <w:right w:val="nil"/>
            </w:tcBorders>
            <w:shd w:val="clear" w:color="auto" w:fill="auto"/>
            <w:noWrap/>
            <w:vAlign w:val="center"/>
            <w:hideMark/>
          </w:tcPr>
          <w:p w14:paraId="027BE723"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0.19</w:t>
            </w:r>
          </w:p>
        </w:tc>
        <w:tc>
          <w:tcPr>
            <w:tcW w:w="0" w:type="auto"/>
            <w:tcBorders>
              <w:top w:val="nil"/>
              <w:left w:val="nil"/>
              <w:bottom w:val="nil"/>
              <w:right w:val="single" w:sz="8" w:space="0" w:color="auto"/>
            </w:tcBorders>
            <w:shd w:val="clear" w:color="auto" w:fill="auto"/>
            <w:noWrap/>
            <w:vAlign w:val="center"/>
            <w:hideMark/>
          </w:tcPr>
          <w:p w14:paraId="665EDC24"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nil"/>
              <w:right w:val="nil"/>
            </w:tcBorders>
            <w:shd w:val="clear" w:color="auto" w:fill="auto"/>
            <w:noWrap/>
            <w:vAlign w:val="center"/>
            <w:hideMark/>
          </w:tcPr>
          <w:p w14:paraId="60303449"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0.42</w:t>
            </w:r>
          </w:p>
        </w:tc>
        <w:tc>
          <w:tcPr>
            <w:tcW w:w="0" w:type="auto"/>
            <w:tcBorders>
              <w:top w:val="nil"/>
              <w:left w:val="nil"/>
              <w:bottom w:val="nil"/>
              <w:right w:val="nil"/>
            </w:tcBorders>
            <w:shd w:val="clear" w:color="auto" w:fill="auto"/>
            <w:noWrap/>
            <w:vAlign w:val="center"/>
            <w:hideMark/>
          </w:tcPr>
          <w:p w14:paraId="3452B1E2"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0.19</w:t>
            </w:r>
          </w:p>
        </w:tc>
        <w:tc>
          <w:tcPr>
            <w:tcW w:w="0" w:type="auto"/>
            <w:tcBorders>
              <w:top w:val="nil"/>
              <w:left w:val="nil"/>
              <w:bottom w:val="nil"/>
              <w:right w:val="nil"/>
            </w:tcBorders>
            <w:shd w:val="clear" w:color="auto" w:fill="auto"/>
            <w:noWrap/>
            <w:vAlign w:val="bottom"/>
            <w:hideMark/>
          </w:tcPr>
          <w:p w14:paraId="637EEB03"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51BC513A"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14D93CEE"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Number of policy statements (cube root)*Lower education (ref. cat.)</w:t>
            </w:r>
          </w:p>
        </w:tc>
        <w:tc>
          <w:tcPr>
            <w:tcW w:w="0" w:type="auto"/>
            <w:tcBorders>
              <w:top w:val="nil"/>
              <w:left w:val="nil"/>
              <w:bottom w:val="nil"/>
              <w:right w:val="nil"/>
            </w:tcBorders>
            <w:shd w:val="clear" w:color="auto" w:fill="auto"/>
            <w:noWrap/>
            <w:vAlign w:val="center"/>
            <w:hideMark/>
          </w:tcPr>
          <w:p w14:paraId="6D033626"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2F4138C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742C1690" w14:textId="181B1BC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A6A7E3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4278A6AC"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299EF22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79D4B772"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40850B77"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Number of policy statements (cube root)*Middle education</w:t>
            </w:r>
          </w:p>
        </w:tc>
        <w:tc>
          <w:tcPr>
            <w:tcW w:w="0" w:type="auto"/>
            <w:tcBorders>
              <w:top w:val="nil"/>
              <w:left w:val="nil"/>
              <w:bottom w:val="nil"/>
              <w:right w:val="nil"/>
            </w:tcBorders>
            <w:shd w:val="clear" w:color="auto" w:fill="auto"/>
            <w:noWrap/>
            <w:vAlign w:val="center"/>
            <w:hideMark/>
          </w:tcPr>
          <w:p w14:paraId="4B15B590"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1AE32D4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184CE013" w14:textId="63056374"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83D063A"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0.67</w:t>
            </w:r>
          </w:p>
        </w:tc>
        <w:tc>
          <w:tcPr>
            <w:tcW w:w="0" w:type="auto"/>
            <w:tcBorders>
              <w:top w:val="nil"/>
              <w:left w:val="nil"/>
              <w:bottom w:val="nil"/>
              <w:right w:val="nil"/>
            </w:tcBorders>
            <w:shd w:val="clear" w:color="auto" w:fill="auto"/>
            <w:noWrap/>
            <w:vAlign w:val="center"/>
            <w:hideMark/>
          </w:tcPr>
          <w:p w14:paraId="3824CA4B"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0.21</w:t>
            </w:r>
          </w:p>
        </w:tc>
        <w:tc>
          <w:tcPr>
            <w:tcW w:w="0" w:type="auto"/>
            <w:tcBorders>
              <w:top w:val="nil"/>
              <w:left w:val="nil"/>
              <w:bottom w:val="nil"/>
              <w:right w:val="nil"/>
            </w:tcBorders>
            <w:shd w:val="clear" w:color="auto" w:fill="auto"/>
            <w:noWrap/>
            <w:vAlign w:val="bottom"/>
            <w:hideMark/>
          </w:tcPr>
          <w:p w14:paraId="7671764F"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2DA3A6D0"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08E8F44"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Number of policy statements (cube root)*Higher education</w:t>
            </w:r>
          </w:p>
        </w:tc>
        <w:tc>
          <w:tcPr>
            <w:tcW w:w="0" w:type="auto"/>
            <w:tcBorders>
              <w:top w:val="nil"/>
              <w:left w:val="nil"/>
              <w:bottom w:val="nil"/>
              <w:right w:val="nil"/>
            </w:tcBorders>
            <w:shd w:val="clear" w:color="auto" w:fill="auto"/>
            <w:noWrap/>
            <w:vAlign w:val="center"/>
            <w:hideMark/>
          </w:tcPr>
          <w:p w14:paraId="281B117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317A2CD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71724CC" w14:textId="60C541E4"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0DEB872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-0.30</w:t>
            </w:r>
          </w:p>
        </w:tc>
        <w:tc>
          <w:tcPr>
            <w:tcW w:w="0" w:type="auto"/>
            <w:tcBorders>
              <w:top w:val="nil"/>
              <w:left w:val="nil"/>
              <w:bottom w:val="nil"/>
              <w:right w:val="nil"/>
            </w:tcBorders>
            <w:shd w:val="clear" w:color="auto" w:fill="auto"/>
            <w:noWrap/>
            <w:vAlign w:val="center"/>
            <w:hideMark/>
          </w:tcPr>
          <w:p w14:paraId="1FAC5289"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0.21</w:t>
            </w:r>
          </w:p>
        </w:tc>
        <w:tc>
          <w:tcPr>
            <w:tcW w:w="0" w:type="auto"/>
            <w:tcBorders>
              <w:top w:val="nil"/>
              <w:left w:val="nil"/>
              <w:bottom w:val="nil"/>
              <w:right w:val="nil"/>
            </w:tcBorders>
            <w:shd w:val="clear" w:color="auto" w:fill="auto"/>
            <w:noWrap/>
            <w:vAlign w:val="bottom"/>
            <w:hideMark/>
          </w:tcPr>
          <w:p w14:paraId="30E71F2C" w14:textId="0A7D9F20"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66615CFD"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A434C81"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Topic diversity (cube root)*Lower education (ref. cat.)</w:t>
            </w:r>
          </w:p>
        </w:tc>
        <w:tc>
          <w:tcPr>
            <w:tcW w:w="0" w:type="auto"/>
            <w:tcBorders>
              <w:top w:val="nil"/>
              <w:left w:val="nil"/>
              <w:bottom w:val="nil"/>
              <w:right w:val="nil"/>
            </w:tcBorders>
            <w:shd w:val="clear" w:color="auto" w:fill="auto"/>
            <w:noWrap/>
            <w:vAlign w:val="center"/>
            <w:hideMark/>
          </w:tcPr>
          <w:p w14:paraId="02DAF3FE"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24CF05F5"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52441B4" w14:textId="104E3331"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4AF95BA0"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B3CDCAB"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48EA7A44"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181D515F"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40395164"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Topic diversity (cube root)*Middle education</w:t>
            </w:r>
          </w:p>
        </w:tc>
        <w:tc>
          <w:tcPr>
            <w:tcW w:w="0" w:type="auto"/>
            <w:tcBorders>
              <w:top w:val="nil"/>
              <w:left w:val="nil"/>
              <w:bottom w:val="nil"/>
              <w:right w:val="nil"/>
            </w:tcBorders>
            <w:shd w:val="clear" w:color="auto" w:fill="auto"/>
            <w:noWrap/>
            <w:vAlign w:val="center"/>
            <w:hideMark/>
          </w:tcPr>
          <w:p w14:paraId="71F4505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44BB8388"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68B1D58A" w14:textId="230EAADB"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095A06DF"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0.85</w:t>
            </w:r>
          </w:p>
        </w:tc>
        <w:tc>
          <w:tcPr>
            <w:tcW w:w="0" w:type="auto"/>
            <w:tcBorders>
              <w:top w:val="nil"/>
              <w:left w:val="nil"/>
              <w:bottom w:val="nil"/>
              <w:right w:val="nil"/>
            </w:tcBorders>
            <w:shd w:val="clear" w:color="auto" w:fill="auto"/>
            <w:noWrap/>
            <w:vAlign w:val="center"/>
            <w:hideMark/>
          </w:tcPr>
          <w:p w14:paraId="5DC65687"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0.17</w:t>
            </w:r>
          </w:p>
        </w:tc>
        <w:tc>
          <w:tcPr>
            <w:tcW w:w="0" w:type="auto"/>
            <w:tcBorders>
              <w:top w:val="nil"/>
              <w:left w:val="nil"/>
              <w:bottom w:val="nil"/>
              <w:right w:val="nil"/>
            </w:tcBorders>
            <w:shd w:val="clear" w:color="auto" w:fill="auto"/>
            <w:noWrap/>
            <w:vAlign w:val="bottom"/>
            <w:hideMark/>
          </w:tcPr>
          <w:p w14:paraId="1CF257C1"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5AF83821"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37C75D37"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Topic diversity (cube root)*Higher education</w:t>
            </w:r>
          </w:p>
        </w:tc>
        <w:tc>
          <w:tcPr>
            <w:tcW w:w="0" w:type="auto"/>
            <w:tcBorders>
              <w:top w:val="nil"/>
              <w:left w:val="nil"/>
              <w:bottom w:val="nil"/>
              <w:right w:val="nil"/>
            </w:tcBorders>
            <w:shd w:val="clear" w:color="auto" w:fill="auto"/>
            <w:noWrap/>
            <w:vAlign w:val="center"/>
            <w:hideMark/>
          </w:tcPr>
          <w:p w14:paraId="764FC731"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6D999630"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823A527" w14:textId="04BD550D"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4A838A6E"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1.19</w:t>
            </w:r>
          </w:p>
        </w:tc>
        <w:tc>
          <w:tcPr>
            <w:tcW w:w="0" w:type="auto"/>
            <w:tcBorders>
              <w:top w:val="nil"/>
              <w:left w:val="nil"/>
              <w:bottom w:val="nil"/>
              <w:right w:val="nil"/>
            </w:tcBorders>
            <w:shd w:val="clear" w:color="auto" w:fill="auto"/>
            <w:noWrap/>
            <w:vAlign w:val="center"/>
            <w:hideMark/>
          </w:tcPr>
          <w:p w14:paraId="33627FD2"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0.17</w:t>
            </w:r>
          </w:p>
        </w:tc>
        <w:tc>
          <w:tcPr>
            <w:tcW w:w="0" w:type="auto"/>
            <w:tcBorders>
              <w:top w:val="nil"/>
              <w:left w:val="nil"/>
              <w:bottom w:val="nil"/>
              <w:right w:val="nil"/>
            </w:tcBorders>
            <w:shd w:val="clear" w:color="auto" w:fill="auto"/>
            <w:noWrap/>
            <w:vAlign w:val="bottom"/>
            <w:hideMark/>
          </w:tcPr>
          <w:p w14:paraId="64CE574E"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w:t>
            </w:r>
          </w:p>
        </w:tc>
      </w:tr>
      <w:tr w:rsidR="00870F74" w:rsidRPr="00456628" w14:paraId="0E571E8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F8E404C"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Personal salience*Lower education (ref. cat.)</w:t>
            </w:r>
          </w:p>
        </w:tc>
        <w:tc>
          <w:tcPr>
            <w:tcW w:w="0" w:type="auto"/>
            <w:tcBorders>
              <w:top w:val="nil"/>
              <w:left w:val="nil"/>
              <w:bottom w:val="nil"/>
              <w:right w:val="nil"/>
            </w:tcBorders>
            <w:shd w:val="clear" w:color="auto" w:fill="auto"/>
            <w:noWrap/>
            <w:vAlign w:val="center"/>
            <w:hideMark/>
          </w:tcPr>
          <w:p w14:paraId="0F459C8C"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7C9360ED"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CFA5B89" w14:textId="6E747DC1"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6B965EEC"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02C480DE"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14:paraId="47908550"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7344EF83"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3F3B61C2"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Personal salience*Middle education</w:t>
            </w:r>
          </w:p>
        </w:tc>
        <w:tc>
          <w:tcPr>
            <w:tcW w:w="0" w:type="auto"/>
            <w:tcBorders>
              <w:top w:val="nil"/>
              <w:left w:val="nil"/>
              <w:bottom w:val="nil"/>
              <w:right w:val="nil"/>
            </w:tcBorders>
            <w:shd w:val="clear" w:color="auto" w:fill="auto"/>
            <w:noWrap/>
            <w:vAlign w:val="center"/>
            <w:hideMark/>
          </w:tcPr>
          <w:p w14:paraId="6422303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0EA04E34"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36E4D86A" w14:textId="06095180"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044F24D7"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-0.35</w:t>
            </w:r>
          </w:p>
        </w:tc>
        <w:tc>
          <w:tcPr>
            <w:tcW w:w="0" w:type="auto"/>
            <w:tcBorders>
              <w:top w:val="nil"/>
              <w:left w:val="nil"/>
              <w:bottom w:val="nil"/>
              <w:right w:val="nil"/>
            </w:tcBorders>
            <w:shd w:val="clear" w:color="auto" w:fill="auto"/>
            <w:noWrap/>
            <w:vAlign w:val="center"/>
            <w:hideMark/>
          </w:tcPr>
          <w:p w14:paraId="6B4506C6"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0.25</w:t>
            </w:r>
          </w:p>
        </w:tc>
        <w:tc>
          <w:tcPr>
            <w:tcW w:w="0" w:type="auto"/>
            <w:tcBorders>
              <w:top w:val="nil"/>
              <w:left w:val="nil"/>
              <w:bottom w:val="nil"/>
              <w:right w:val="nil"/>
            </w:tcBorders>
            <w:shd w:val="clear" w:color="auto" w:fill="auto"/>
            <w:noWrap/>
            <w:vAlign w:val="bottom"/>
            <w:hideMark/>
          </w:tcPr>
          <w:p w14:paraId="5221BC62"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78273A71"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36A574B8"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Personal salience*Higher education</w:t>
            </w:r>
          </w:p>
        </w:tc>
        <w:tc>
          <w:tcPr>
            <w:tcW w:w="0" w:type="auto"/>
            <w:tcBorders>
              <w:top w:val="nil"/>
              <w:left w:val="nil"/>
              <w:bottom w:val="nil"/>
              <w:right w:val="nil"/>
            </w:tcBorders>
            <w:shd w:val="clear" w:color="auto" w:fill="auto"/>
            <w:noWrap/>
            <w:vAlign w:val="center"/>
            <w:hideMark/>
          </w:tcPr>
          <w:p w14:paraId="047B81B3"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112B751D"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c>
          <w:tcPr>
            <w:tcW w:w="0" w:type="auto"/>
            <w:tcBorders>
              <w:top w:val="nil"/>
              <w:left w:val="nil"/>
              <w:bottom w:val="nil"/>
              <w:right w:val="single" w:sz="8" w:space="0" w:color="auto"/>
            </w:tcBorders>
            <w:shd w:val="clear" w:color="auto" w:fill="auto"/>
            <w:noWrap/>
            <w:vAlign w:val="center"/>
            <w:hideMark/>
          </w:tcPr>
          <w:p w14:paraId="4B389F25" w14:textId="2E883CB2"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auto"/>
            <w:noWrap/>
            <w:vAlign w:val="center"/>
            <w:hideMark/>
          </w:tcPr>
          <w:p w14:paraId="563E1E77"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-0.09</w:t>
            </w:r>
          </w:p>
        </w:tc>
        <w:tc>
          <w:tcPr>
            <w:tcW w:w="0" w:type="auto"/>
            <w:tcBorders>
              <w:top w:val="nil"/>
              <w:left w:val="nil"/>
              <w:bottom w:val="nil"/>
              <w:right w:val="nil"/>
            </w:tcBorders>
            <w:shd w:val="clear" w:color="auto" w:fill="auto"/>
            <w:noWrap/>
            <w:vAlign w:val="center"/>
            <w:hideMark/>
          </w:tcPr>
          <w:p w14:paraId="282394C6"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0.25</w:t>
            </w:r>
          </w:p>
        </w:tc>
        <w:tc>
          <w:tcPr>
            <w:tcW w:w="0" w:type="auto"/>
            <w:tcBorders>
              <w:top w:val="nil"/>
              <w:left w:val="nil"/>
              <w:bottom w:val="nil"/>
              <w:right w:val="nil"/>
            </w:tcBorders>
            <w:shd w:val="clear" w:color="auto" w:fill="auto"/>
            <w:noWrap/>
            <w:vAlign w:val="bottom"/>
            <w:hideMark/>
          </w:tcPr>
          <w:p w14:paraId="780F25BA" w14:textId="77777777" w:rsidR="00870F74" w:rsidRPr="00456628" w:rsidRDefault="00870F74" w:rsidP="00870F74">
            <w:pPr>
              <w:spacing w:after="0" w:line="240" w:lineRule="auto"/>
              <w:jc w:val="center"/>
              <w:rPr>
                <w:rFonts w:ascii="Times New Roman" w:eastAsia="Times New Roman" w:hAnsi="Times New Roman" w:cs="Times New Roman"/>
                <w:sz w:val="24"/>
                <w:szCs w:val="24"/>
                <w:lang w:val="en-US"/>
              </w:rPr>
            </w:pPr>
          </w:p>
        </w:tc>
      </w:tr>
      <w:tr w:rsidR="00870F74" w:rsidRPr="00456628" w14:paraId="23C28E46" w14:textId="77777777" w:rsidTr="0007248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13F9F438"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Constant</w:t>
            </w:r>
          </w:p>
        </w:tc>
        <w:tc>
          <w:tcPr>
            <w:tcW w:w="0" w:type="auto"/>
            <w:tcBorders>
              <w:top w:val="nil"/>
              <w:left w:val="nil"/>
              <w:bottom w:val="single" w:sz="8" w:space="0" w:color="auto"/>
              <w:right w:val="nil"/>
            </w:tcBorders>
            <w:shd w:val="clear" w:color="auto" w:fill="auto"/>
            <w:noWrap/>
            <w:vAlign w:val="center"/>
            <w:hideMark/>
          </w:tcPr>
          <w:p w14:paraId="771AC2DC"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35.81</w:t>
            </w:r>
          </w:p>
        </w:tc>
        <w:tc>
          <w:tcPr>
            <w:tcW w:w="0" w:type="auto"/>
            <w:tcBorders>
              <w:top w:val="nil"/>
              <w:left w:val="nil"/>
              <w:bottom w:val="single" w:sz="8" w:space="0" w:color="auto"/>
              <w:right w:val="nil"/>
            </w:tcBorders>
            <w:shd w:val="clear" w:color="auto" w:fill="auto"/>
            <w:noWrap/>
            <w:vAlign w:val="center"/>
            <w:hideMark/>
          </w:tcPr>
          <w:p w14:paraId="58B26CCE"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3.08</w:t>
            </w:r>
          </w:p>
        </w:tc>
        <w:tc>
          <w:tcPr>
            <w:tcW w:w="0" w:type="auto"/>
            <w:tcBorders>
              <w:top w:val="nil"/>
              <w:left w:val="nil"/>
              <w:bottom w:val="single" w:sz="8" w:space="0" w:color="auto"/>
              <w:right w:val="single" w:sz="8" w:space="0" w:color="auto"/>
            </w:tcBorders>
            <w:shd w:val="clear" w:color="auto" w:fill="auto"/>
            <w:noWrap/>
            <w:vAlign w:val="center"/>
            <w:hideMark/>
          </w:tcPr>
          <w:p w14:paraId="5004F07A"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c>
          <w:tcPr>
            <w:tcW w:w="0" w:type="auto"/>
            <w:tcBorders>
              <w:top w:val="nil"/>
              <w:left w:val="nil"/>
              <w:bottom w:val="single" w:sz="8" w:space="0" w:color="auto"/>
              <w:right w:val="nil"/>
            </w:tcBorders>
            <w:shd w:val="clear" w:color="auto" w:fill="auto"/>
            <w:noWrap/>
            <w:vAlign w:val="center"/>
            <w:hideMark/>
          </w:tcPr>
          <w:p w14:paraId="688A69C2"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37.54</w:t>
            </w:r>
          </w:p>
        </w:tc>
        <w:tc>
          <w:tcPr>
            <w:tcW w:w="0" w:type="auto"/>
            <w:tcBorders>
              <w:top w:val="nil"/>
              <w:left w:val="nil"/>
              <w:bottom w:val="single" w:sz="8" w:space="0" w:color="auto"/>
              <w:right w:val="nil"/>
            </w:tcBorders>
            <w:shd w:val="clear" w:color="auto" w:fill="auto"/>
            <w:noWrap/>
            <w:vAlign w:val="center"/>
            <w:hideMark/>
          </w:tcPr>
          <w:p w14:paraId="210837D5"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3.11</w:t>
            </w:r>
          </w:p>
        </w:tc>
        <w:tc>
          <w:tcPr>
            <w:tcW w:w="0" w:type="auto"/>
            <w:tcBorders>
              <w:top w:val="nil"/>
              <w:left w:val="nil"/>
              <w:bottom w:val="single" w:sz="8" w:space="0" w:color="auto"/>
              <w:right w:val="nil"/>
            </w:tcBorders>
            <w:shd w:val="clear" w:color="auto" w:fill="auto"/>
            <w:noWrap/>
            <w:vAlign w:val="center"/>
            <w:hideMark/>
          </w:tcPr>
          <w:p w14:paraId="53529FA0" w14:textId="7777777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w:t>
            </w:r>
          </w:p>
        </w:tc>
      </w:tr>
      <w:tr w:rsidR="00870F74" w:rsidRPr="00456628" w14:paraId="1E70386B" w14:textId="77777777" w:rsidTr="00072481">
        <w:trPr>
          <w:trHeight w:val="315"/>
        </w:trPr>
        <w:tc>
          <w:tcPr>
            <w:tcW w:w="0" w:type="auto"/>
            <w:tcBorders>
              <w:top w:val="nil"/>
              <w:left w:val="nil"/>
              <w:bottom w:val="nil"/>
              <w:right w:val="single" w:sz="8" w:space="0" w:color="auto"/>
            </w:tcBorders>
            <w:shd w:val="clear" w:color="auto" w:fill="auto"/>
            <w:noWrap/>
            <w:vAlign w:val="center"/>
            <w:hideMark/>
          </w:tcPr>
          <w:p w14:paraId="79D8E267" w14:textId="77777777" w:rsidR="00870F74" w:rsidRPr="00456628" w:rsidRDefault="00870F74"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n (total/voters)</w:t>
            </w:r>
          </w:p>
        </w:tc>
        <w:tc>
          <w:tcPr>
            <w:tcW w:w="0" w:type="auto"/>
            <w:gridSpan w:val="3"/>
            <w:tcBorders>
              <w:top w:val="nil"/>
              <w:left w:val="nil"/>
              <w:bottom w:val="nil"/>
              <w:right w:val="single" w:sz="8" w:space="0" w:color="000000"/>
            </w:tcBorders>
            <w:shd w:val="clear" w:color="auto" w:fill="auto"/>
            <w:vAlign w:val="center"/>
            <w:hideMark/>
          </w:tcPr>
          <w:p w14:paraId="1072747E" w14:textId="689C35D1" w:rsidR="00870F74" w:rsidRPr="00456628" w:rsidRDefault="002147A8"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1,408,950</w:t>
            </w:r>
            <w:r w:rsidR="004E58DD" w:rsidRPr="00456628">
              <w:rPr>
                <w:rFonts w:ascii="Times New Roman" w:eastAsia="Times New Roman" w:hAnsi="Times New Roman" w:cs="Times New Roman"/>
                <w:color w:val="000000"/>
                <w:sz w:val="24"/>
                <w:szCs w:val="24"/>
                <w:lang w:val="en-US"/>
              </w:rPr>
              <w:t>/685</w:t>
            </w:r>
            <w:r w:rsidR="00870F74" w:rsidRPr="00456628">
              <w:rPr>
                <w:rFonts w:ascii="Times New Roman" w:eastAsia="Times New Roman" w:hAnsi="Times New Roman" w:cs="Times New Roman"/>
                <w:color w:val="000000"/>
                <w:sz w:val="24"/>
                <w:szCs w:val="24"/>
                <w:lang w:val="en-US"/>
              </w:rPr>
              <w:t> </w:t>
            </w:r>
          </w:p>
        </w:tc>
        <w:tc>
          <w:tcPr>
            <w:tcW w:w="0" w:type="auto"/>
            <w:gridSpan w:val="3"/>
            <w:tcBorders>
              <w:top w:val="nil"/>
              <w:left w:val="nil"/>
              <w:bottom w:val="nil"/>
              <w:right w:val="nil"/>
            </w:tcBorders>
            <w:shd w:val="clear" w:color="auto" w:fill="auto"/>
            <w:vAlign w:val="center"/>
            <w:hideMark/>
          </w:tcPr>
          <w:p w14:paraId="11EBCEFB" w14:textId="76DBD65A"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r w:rsidR="002147A8" w:rsidRPr="00456628">
              <w:rPr>
                <w:rFonts w:ascii="Times New Roman" w:eastAsia="Times New Roman" w:hAnsi="Times New Roman" w:cs="Times New Roman"/>
                <w:color w:val="000000"/>
                <w:sz w:val="24"/>
                <w:szCs w:val="24"/>
                <w:lang w:val="en-US"/>
              </w:rPr>
              <w:t>1,408,950</w:t>
            </w:r>
            <w:r w:rsidR="004E58DD" w:rsidRPr="00456628">
              <w:rPr>
                <w:rFonts w:ascii="Times New Roman" w:eastAsia="Times New Roman" w:hAnsi="Times New Roman" w:cs="Times New Roman"/>
                <w:color w:val="000000"/>
                <w:sz w:val="24"/>
                <w:szCs w:val="24"/>
                <w:lang w:val="en-US"/>
              </w:rPr>
              <w:t>/685 </w:t>
            </w:r>
          </w:p>
        </w:tc>
      </w:tr>
      <w:tr w:rsidR="00870F74" w:rsidRPr="00456628" w14:paraId="3DF9401F" w14:textId="77777777" w:rsidTr="00072481">
        <w:trPr>
          <w:trHeight w:val="330"/>
        </w:trPr>
        <w:tc>
          <w:tcPr>
            <w:tcW w:w="0" w:type="auto"/>
            <w:tcBorders>
              <w:top w:val="nil"/>
              <w:left w:val="nil"/>
              <w:bottom w:val="single" w:sz="8" w:space="0" w:color="auto"/>
              <w:right w:val="single" w:sz="8" w:space="0" w:color="auto"/>
            </w:tcBorders>
            <w:shd w:val="clear" w:color="auto" w:fill="auto"/>
            <w:noWrap/>
            <w:vAlign w:val="center"/>
            <w:hideMark/>
          </w:tcPr>
          <w:p w14:paraId="5231346A" w14:textId="3073189E" w:rsidR="00870F74" w:rsidRPr="00456628" w:rsidRDefault="004E58DD" w:rsidP="00870F74">
            <w:pPr>
              <w:spacing w:after="0" w:line="240" w:lineRule="auto"/>
              <w:jc w:val="left"/>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nl-BE"/>
              </w:rPr>
              <w:t>∆ AIC</w:t>
            </w:r>
          </w:p>
        </w:tc>
        <w:tc>
          <w:tcPr>
            <w:tcW w:w="0" w:type="auto"/>
            <w:gridSpan w:val="3"/>
            <w:tcBorders>
              <w:top w:val="nil"/>
              <w:left w:val="nil"/>
              <w:bottom w:val="single" w:sz="8" w:space="0" w:color="auto"/>
              <w:right w:val="single" w:sz="8" w:space="0" w:color="000000"/>
            </w:tcBorders>
            <w:shd w:val="clear" w:color="auto" w:fill="auto"/>
            <w:vAlign w:val="center"/>
            <w:hideMark/>
          </w:tcPr>
          <w:p w14:paraId="44B4B4A7" w14:textId="7D5B2470"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r w:rsidR="00766853" w:rsidRPr="00456628">
              <w:rPr>
                <w:rFonts w:ascii="Times New Roman" w:eastAsia="Times New Roman" w:hAnsi="Times New Roman" w:cs="Times New Roman"/>
                <w:color w:val="000000"/>
                <w:sz w:val="24"/>
                <w:szCs w:val="24"/>
                <w:lang w:val="en-US"/>
              </w:rPr>
              <w:t>-234,514</w:t>
            </w:r>
          </w:p>
        </w:tc>
        <w:tc>
          <w:tcPr>
            <w:tcW w:w="0" w:type="auto"/>
            <w:gridSpan w:val="3"/>
            <w:tcBorders>
              <w:top w:val="nil"/>
              <w:left w:val="nil"/>
              <w:bottom w:val="single" w:sz="8" w:space="0" w:color="auto"/>
              <w:right w:val="nil"/>
            </w:tcBorders>
            <w:shd w:val="clear" w:color="auto" w:fill="auto"/>
            <w:vAlign w:val="center"/>
            <w:hideMark/>
          </w:tcPr>
          <w:p w14:paraId="638344F4" w14:textId="00D3D6A7" w:rsidR="00870F74" w:rsidRPr="00456628" w:rsidRDefault="00870F74" w:rsidP="00870F74">
            <w:pPr>
              <w:spacing w:after="0" w:line="240" w:lineRule="auto"/>
              <w:jc w:val="center"/>
              <w:rPr>
                <w:rFonts w:ascii="Times New Roman" w:eastAsia="Times New Roman" w:hAnsi="Times New Roman" w:cs="Times New Roman"/>
                <w:color w:val="000000"/>
                <w:sz w:val="24"/>
                <w:szCs w:val="24"/>
                <w:lang w:val="en-US"/>
              </w:rPr>
            </w:pPr>
            <w:r w:rsidRPr="00456628">
              <w:rPr>
                <w:rFonts w:ascii="Times New Roman" w:eastAsia="Times New Roman" w:hAnsi="Times New Roman" w:cs="Times New Roman"/>
                <w:color w:val="000000"/>
                <w:sz w:val="24"/>
                <w:szCs w:val="24"/>
                <w:lang w:val="en-US"/>
              </w:rPr>
              <w:t> </w:t>
            </w:r>
            <w:r w:rsidR="00766853" w:rsidRPr="00456628">
              <w:rPr>
                <w:rFonts w:ascii="Times New Roman" w:eastAsia="Times New Roman" w:hAnsi="Times New Roman" w:cs="Times New Roman"/>
                <w:color w:val="000000"/>
                <w:sz w:val="24"/>
                <w:szCs w:val="24"/>
                <w:lang w:val="en-US"/>
              </w:rPr>
              <w:t>-295,953</w:t>
            </w:r>
          </w:p>
        </w:tc>
      </w:tr>
      <w:tr w:rsidR="00870F74" w:rsidRPr="00456628" w14:paraId="7833035A" w14:textId="77777777" w:rsidTr="00072481">
        <w:trPr>
          <w:trHeight w:val="300"/>
        </w:trPr>
        <w:tc>
          <w:tcPr>
            <w:tcW w:w="0" w:type="auto"/>
            <w:gridSpan w:val="7"/>
            <w:tcBorders>
              <w:top w:val="single" w:sz="8" w:space="0" w:color="auto"/>
              <w:left w:val="nil"/>
              <w:bottom w:val="nil"/>
              <w:right w:val="nil"/>
            </w:tcBorders>
            <w:shd w:val="clear" w:color="auto" w:fill="auto"/>
            <w:noWrap/>
            <w:vAlign w:val="center"/>
            <w:hideMark/>
          </w:tcPr>
          <w:p w14:paraId="1E1DCC4A" w14:textId="77777777" w:rsidR="00870F74" w:rsidRPr="00456628" w:rsidRDefault="00870F74" w:rsidP="00870F74">
            <w:pPr>
              <w:spacing w:after="0" w:line="240" w:lineRule="auto"/>
              <w:rPr>
                <w:rFonts w:ascii="Times New Roman" w:eastAsia="Times New Roman" w:hAnsi="Times New Roman" w:cs="Times New Roman"/>
                <w:sz w:val="24"/>
                <w:szCs w:val="24"/>
                <w:lang w:val="en-US"/>
              </w:rPr>
            </w:pPr>
            <w:r w:rsidRPr="00456628">
              <w:rPr>
                <w:rFonts w:ascii="Times New Roman" w:eastAsia="Times New Roman" w:hAnsi="Times New Roman" w:cs="Times New Roman"/>
                <w:sz w:val="24"/>
                <w:szCs w:val="24"/>
                <w:lang w:val="en-US"/>
              </w:rPr>
              <w:t>Note: * = p ≤ 0.05; ** = p ≤ 0.01; *** = p ≤ 0.001</w:t>
            </w:r>
          </w:p>
        </w:tc>
      </w:tr>
    </w:tbl>
    <w:p w14:paraId="6DC5F61E" w14:textId="6D163D44" w:rsidR="00870F74" w:rsidRPr="00456628" w:rsidRDefault="00870F74">
      <w:pPr>
        <w:spacing w:line="259" w:lineRule="auto"/>
        <w:jc w:val="left"/>
        <w:rPr>
          <w:rFonts w:ascii="Times New Roman" w:hAnsi="Times New Roman" w:cs="Times New Roman"/>
          <w:sz w:val="24"/>
          <w:szCs w:val="24"/>
          <w:lang w:val="en-US"/>
        </w:rPr>
      </w:pPr>
      <w:r w:rsidRPr="00456628">
        <w:rPr>
          <w:rFonts w:ascii="Times New Roman" w:hAnsi="Times New Roman" w:cs="Times New Roman"/>
          <w:sz w:val="24"/>
          <w:szCs w:val="24"/>
          <w:lang w:val="en-US"/>
        </w:rPr>
        <w:br w:type="page"/>
      </w:r>
    </w:p>
    <w:p w14:paraId="0FAEAD70" w14:textId="112FB1D5" w:rsidR="00A012A1" w:rsidRPr="00456628" w:rsidRDefault="00A012A1" w:rsidP="0013529F">
      <w:pPr>
        <w:spacing w:before="240" w:after="0"/>
        <w:rPr>
          <w:rFonts w:ascii="Times New Roman" w:hAnsi="Times New Roman" w:cs="Times New Roman"/>
          <w:sz w:val="24"/>
          <w:szCs w:val="24"/>
          <w:lang w:val="en-US"/>
        </w:rPr>
      </w:pPr>
      <w:r w:rsidRPr="00456628">
        <w:rPr>
          <w:rFonts w:ascii="Times New Roman" w:hAnsi="Times New Roman" w:cs="Times New Roman"/>
          <w:noProof/>
          <w:sz w:val="24"/>
          <w:szCs w:val="24"/>
          <w:lang w:val="en-US"/>
        </w:rPr>
        <w:lastRenderedPageBreak/>
        <mc:AlternateContent>
          <mc:Choice Requires="wpc">
            <w:drawing>
              <wp:anchor distT="0" distB="0" distL="114300" distR="114300" simplePos="0" relativeHeight="251659264" behindDoc="1" locked="0" layoutInCell="1" allowOverlap="1" wp14:anchorId="268F93EE" wp14:editId="6D2ACFF3">
                <wp:simplePos x="0" y="0"/>
                <wp:positionH relativeFrom="page">
                  <wp:posOffset>914400</wp:posOffset>
                </wp:positionH>
                <wp:positionV relativeFrom="paragraph">
                  <wp:posOffset>422910</wp:posOffset>
                </wp:positionV>
                <wp:extent cx="7534910" cy="3710940"/>
                <wp:effectExtent l="0" t="0" r="8890" b="3810"/>
                <wp:wrapTight wrapText="bothSides">
                  <wp:wrapPolygon edited="0">
                    <wp:start x="0" y="0"/>
                    <wp:lineTo x="0" y="21511"/>
                    <wp:lineTo x="21571" y="21511"/>
                    <wp:lineTo x="21571" y="0"/>
                    <wp:lineTo x="0" y="0"/>
                  </wp:wrapPolygon>
                </wp:wrapTight>
                <wp:docPr id="17"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Tekstvak 2"/>
                        <wps:cNvSpPr txBox="1"/>
                        <wps:spPr>
                          <a:xfrm>
                            <a:off x="3270270" y="347131"/>
                            <a:ext cx="2311457" cy="414869"/>
                          </a:xfrm>
                          <a:prstGeom prst="rect">
                            <a:avLst/>
                          </a:prstGeom>
                          <a:solidFill>
                            <a:schemeClr val="lt1"/>
                          </a:solidFill>
                          <a:ln w="6350">
                            <a:solidFill>
                              <a:prstClr val="black"/>
                            </a:solidFill>
                          </a:ln>
                        </wps:spPr>
                        <wps:txbx>
                          <w:txbxContent>
                            <w:p w14:paraId="06DFEB30" w14:textId="77777777" w:rsidR="0051534B" w:rsidRPr="00871B70" w:rsidRDefault="0051534B" w:rsidP="00A012A1">
                              <w:pPr>
                                <w:jc w:val="center"/>
                                <w:rPr>
                                  <w:sz w:val="20"/>
                                  <w:szCs w:val="20"/>
                                </w:rPr>
                              </w:pPr>
                              <w:r w:rsidRPr="00871B70">
                                <w:rPr>
                                  <w:sz w:val="20"/>
                                  <w:szCs w:val="20"/>
                                </w:rPr>
                                <w:t>List of</w:t>
                              </w:r>
                              <w:r>
                                <w:rPr>
                                  <w:sz w:val="20"/>
                                  <w:szCs w:val="20"/>
                                </w:rPr>
                                <w:t xml:space="preserve"> </w:t>
                              </w:r>
                              <w:r>
                                <w:rPr>
                                  <w:i/>
                                  <w:iCs/>
                                  <w:sz w:val="20"/>
                                  <w:szCs w:val="20"/>
                                </w:rPr>
                                <w:t>N</w:t>
                              </w:r>
                              <w:r w:rsidRPr="00871B70">
                                <w:rPr>
                                  <w:sz w:val="20"/>
                                  <w:szCs w:val="20"/>
                                </w:rPr>
                                <w:t xml:space="preserve"> 134 statements</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vak 2"/>
                        <wps:cNvSpPr txBox="1"/>
                        <wps:spPr>
                          <a:xfrm>
                            <a:off x="1543108" y="1077436"/>
                            <a:ext cx="2791812" cy="539682"/>
                          </a:xfrm>
                          <a:prstGeom prst="rect">
                            <a:avLst/>
                          </a:prstGeom>
                          <a:solidFill>
                            <a:schemeClr val="lt1"/>
                          </a:solidFill>
                          <a:ln w="6350">
                            <a:solidFill>
                              <a:prstClr val="black"/>
                            </a:solidFill>
                          </a:ln>
                        </wps:spPr>
                        <wps:txbx>
                          <w:txbxContent>
                            <w:p w14:paraId="6F93450F" w14:textId="77777777" w:rsidR="0051534B" w:rsidRPr="00754154" w:rsidRDefault="0051534B" w:rsidP="00A012A1">
                              <w:pPr>
                                <w:spacing w:line="256" w:lineRule="auto"/>
                                <w:jc w:val="center"/>
                                <w:rPr>
                                  <w:sz w:val="20"/>
                                  <w:szCs w:val="20"/>
                                  <w:lang w:val="en-US"/>
                                </w:rPr>
                              </w:pPr>
                              <w:r w:rsidRPr="00754154">
                                <w:rPr>
                                  <w:rFonts w:eastAsia="Calibri"/>
                                  <w:sz w:val="20"/>
                                  <w:szCs w:val="20"/>
                                  <w:lang w:val="en-US"/>
                                </w:rPr>
                                <w:t xml:space="preserve">Step 1: draw sample of </w:t>
                              </w:r>
                              <w:r w:rsidRPr="00754154">
                                <w:rPr>
                                  <w:rFonts w:eastAsia="Calibri"/>
                                  <w:i/>
                                  <w:iCs/>
                                  <w:sz w:val="20"/>
                                  <w:szCs w:val="20"/>
                                  <w:lang w:val="en-US"/>
                                </w:rPr>
                                <w:t>n</w:t>
                              </w:r>
                              <w:r w:rsidRPr="00754154">
                                <w:rPr>
                                  <w:rFonts w:eastAsia="Calibri"/>
                                  <w:sz w:val="20"/>
                                  <w:szCs w:val="20"/>
                                  <w:lang w:val="en-US"/>
                                </w:rPr>
                                <w:t xml:space="preserve"> statements from </w:t>
                              </w:r>
                              <w:r w:rsidRPr="00754154">
                                <w:rPr>
                                  <w:rFonts w:eastAsia="Calibri"/>
                                  <w:i/>
                                  <w:iCs/>
                                  <w:sz w:val="20"/>
                                  <w:szCs w:val="20"/>
                                  <w:lang w:val="en-US"/>
                                </w:rPr>
                                <w:t>N</w:t>
                              </w:r>
                              <w:r w:rsidRPr="00754154">
                                <w:rPr>
                                  <w:rFonts w:eastAsia="Calibri"/>
                                  <w:sz w:val="20"/>
                                  <w:szCs w:val="20"/>
                                  <w:lang w:val="en-US"/>
                                </w:rPr>
                                <w:t xml:space="preserve"> and calculate congruence using Formula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kstvak 2"/>
                        <wps:cNvSpPr txBox="1"/>
                        <wps:spPr>
                          <a:xfrm>
                            <a:off x="4526399" y="1077436"/>
                            <a:ext cx="2793600" cy="540000"/>
                          </a:xfrm>
                          <a:prstGeom prst="rect">
                            <a:avLst/>
                          </a:prstGeom>
                          <a:solidFill>
                            <a:schemeClr val="lt1"/>
                          </a:solidFill>
                          <a:ln w="6350">
                            <a:solidFill>
                              <a:prstClr val="black"/>
                            </a:solidFill>
                          </a:ln>
                        </wps:spPr>
                        <wps:txbx>
                          <w:txbxContent>
                            <w:p w14:paraId="7F65CD66" w14:textId="77777777" w:rsidR="0051534B" w:rsidRPr="00754154" w:rsidRDefault="0051534B" w:rsidP="00A012A1">
                              <w:pPr>
                                <w:spacing w:line="254" w:lineRule="auto"/>
                                <w:jc w:val="center"/>
                                <w:rPr>
                                  <w:sz w:val="20"/>
                                  <w:szCs w:val="20"/>
                                  <w:lang w:val="en-US"/>
                                </w:rPr>
                              </w:pPr>
                              <w:r w:rsidRPr="00754154">
                                <w:rPr>
                                  <w:rFonts w:eastAsia="Calibri"/>
                                  <w:sz w:val="20"/>
                                  <w:szCs w:val="20"/>
                                  <w:lang w:val="en-US"/>
                                </w:rPr>
                                <w:t xml:space="preserve">Step 2: draw sample of </w:t>
                              </w:r>
                              <w:r w:rsidRPr="00754154">
                                <w:rPr>
                                  <w:rFonts w:eastAsia="Calibri"/>
                                  <w:i/>
                                  <w:iCs/>
                                  <w:sz w:val="20"/>
                                  <w:szCs w:val="20"/>
                                  <w:lang w:val="en-US"/>
                                </w:rPr>
                                <w:t>n</w:t>
                              </w:r>
                              <w:r w:rsidRPr="00754154">
                                <w:rPr>
                                  <w:rFonts w:eastAsia="Calibri"/>
                                  <w:sz w:val="20"/>
                                  <w:szCs w:val="20"/>
                                  <w:lang w:val="en-US"/>
                                </w:rPr>
                                <w:t xml:space="preserve"> statements from </w:t>
                              </w:r>
                              <w:r w:rsidRPr="00754154">
                                <w:rPr>
                                  <w:rFonts w:eastAsia="Calibri"/>
                                  <w:i/>
                                  <w:iCs/>
                                  <w:sz w:val="20"/>
                                  <w:szCs w:val="20"/>
                                  <w:lang w:val="en-US"/>
                                </w:rPr>
                                <w:t>N-n</w:t>
                              </w:r>
                              <w:r w:rsidRPr="00754154">
                                <w:rPr>
                                  <w:rFonts w:eastAsia="Calibri"/>
                                  <w:sz w:val="20"/>
                                  <w:szCs w:val="20"/>
                                  <w:lang w:val="en-US"/>
                                </w:rPr>
                                <w:t xml:space="preserve"> and calculate congruence using Formula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kstvak 2"/>
                        <wps:cNvSpPr txBox="1"/>
                        <wps:spPr>
                          <a:xfrm>
                            <a:off x="3270268" y="2161183"/>
                            <a:ext cx="2512463" cy="522750"/>
                          </a:xfrm>
                          <a:prstGeom prst="rect">
                            <a:avLst/>
                          </a:prstGeom>
                          <a:solidFill>
                            <a:schemeClr val="lt1"/>
                          </a:solidFill>
                          <a:ln w="6350">
                            <a:solidFill>
                              <a:prstClr val="black"/>
                            </a:solidFill>
                          </a:ln>
                        </wps:spPr>
                        <wps:txbx>
                          <w:txbxContent>
                            <w:p w14:paraId="48DEF6B5" w14:textId="601E7776" w:rsidR="0051534B" w:rsidRPr="00754154" w:rsidRDefault="0051534B" w:rsidP="00A012A1">
                              <w:pPr>
                                <w:spacing w:line="254" w:lineRule="auto"/>
                                <w:jc w:val="center"/>
                                <w:rPr>
                                  <w:sz w:val="20"/>
                                  <w:szCs w:val="20"/>
                                  <w:lang w:val="en-US"/>
                                </w:rPr>
                              </w:pPr>
                              <w:r w:rsidRPr="00754154">
                                <w:rPr>
                                  <w:rFonts w:eastAsia="Calibri"/>
                                  <w:sz w:val="20"/>
                                  <w:szCs w:val="20"/>
                                  <w:lang w:val="en-US"/>
                                </w:rPr>
                                <w:t xml:space="preserve">Step 3: calculate </w:t>
                              </w:r>
                              <w:r>
                                <w:rPr>
                                  <w:rFonts w:eastAsia="Calibri"/>
                                  <w:sz w:val="20"/>
                                  <w:szCs w:val="20"/>
                                  <w:lang w:val="en-US"/>
                                </w:rPr>
                                <w:t>opinion congruence variability</w:t>
                              </w:r>
                              <w:r w:rsidRPr="00754154">
                                <w:rPr>
                                  <w:rFonts w:eastAsia="Calibri"/>
                                  <w:sz w:val="20"/>
                                  <w:szCs w:val="20"/>
                                  <w:lang w:val="en-US"/>
                                </w:rPr>
                                <w:t xml:space="preserve"> using Formula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Rechte verbindingslijn met pijl 6"/>
                        <wps:cNvCnPr/>
                        <wps:spPr>
                          <a:xfrm flipH="1">
                            <a:off x="2939014" y="762000"/>
                            <a:ext cx="1486985"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hte verbindingslijn met pijl 7"/>
                        <wps:cNvCnPr/>
                        <wps:spPr>
                          <a:xfrm>
                            <a:off x="4425999" y="762000"/>
                            <a:ext cx="149720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Rechte verbindingslijn met pijl 8"/>
                        <wps:cNvCnPr/>
                        <wps:spPr>
                          <a:xfrm>
                            <a:off x="2939014" y="1617118"/>
                            <a:ext cx="1486985" cy="510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echte verbindingslijn met pijl 9"/>
                        <wps:cNvCnPr/>
                        <wps:spPr>
                          <a:xfrm flipH="1">
                            <a:off x="4483100" y="1617436"/>
                            <a:ext cx="1440099" cy="509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Tekstvak 12"/>
                        <wps:cNvSpPr txBox="1"/>
                        <wps:spPr>
                          <a:xfrm>
                            <a:off x="955887" y="668865"/>
                            <a:ext cx="448733" cy="1930400"/>
                          </a:xfrm>
                          <a:prstGeom prst="rect">
                            <a:avLst/>
                          </a:prstGeom>
                          <a:solidFill>
                            <a:schemeClr val="lt1"/>
                          </a:solidFill>
                          <a:ln w="6350">
                            <a:noFill/>
                          </a:ln>
                        </wps:spPr>
                        <wps:txbx>
                          <w:txbxContent>
                            <w:p w14:paraId="4423F5B4" w14:textId="77777777" w:rsidR="0051534B" w:rsidRPr="00071391" w:rsidRDefault="0051534B" w:rsidP="00A012A1">
                              <w:pPr>
                                <w:jc w:val="center"/>
                                <w:rPr>
                                  <w:sz w:val="20"/>
                                  <w:szCs w:val="20"/>
                                </w:rPr>
                              </w:pPr>
                              <w:r w:rsidRPr="00071391">
                                <w:rPr>
                                  <w:sz w:val="20"/>
                                  <w:szCs w:val="20"/>
                                </w:rPr>
                                <w:t>Step 4: Repeat step 1 to 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4" name="Pijl: gekromd rechts 11"/>
                        <wps:cNvSpPr/>
                        <wps:spPr>
                          <a:xfrm>
                            <a:off x="1320800" y="778932"/>
                            <a:ext cx="397933" cy="1820333"/>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2"/>
                        <wps:cNvSpPr txBox="1"/>
                        <wps:spPr>
                          <a:xfrm>
                            <a:off x="302262" y="694773"/>
                            <a:ext cx="543644" cy="1930400"/>
                          </a:xfrm>
                          <a:prstGeom prst="rect">
                            <a:avLst/>
                          </a:prstGeom>
                          <a:solidFill>
                            <a:schemeClr val="lt1"/>
                          </a:solidFill>
                          <a:ln w="6350">
                            <a:noFill/>
                          </a:ln>
                        </wps:spPr>
                        <wps:txbx>
                          <w:txbxContent>
                            <w:p w14:paraId="36104EBB" w14:textId="77777777" w:rsidR="0051534B" w:rsidRPr="00754154" w:rsidRDefault="0051534B" w:rsidP="00A012A1">
                              <w:pPr>
                                <w:spacing w:line="256" w:lineRule="auto"/>
                                <w:jc w:val="center"/>
                                <w:rPr>
                                  <w:szCs w:val="24"/>
                                  <w:lang w:val="en-US"/>
                                </w:rPr>
                              </w:pPr>
                              <w:r w:rsidRPr="00754154">
                                <w:rPr>
                                  <w:rFonts w:eastAsia="Calibri"/>
                                  <w:sz w:val="20"/>
                                  <w:szCs w:val="20"/>
                                  <w:lang w:val="en-US"/>
                                </w:rPr>
                                <w:t xml:space="preserve">Step 5: Repeat step 1 to 4 while increasing </w:t>
                              </w:r>
                              <w:r w:rsidRPr="00754154">
                                <w:rPr>
                                  <w:rFonts w:eastAsia="Calibri"/>
                                  <w:i/>
                                  <w:iCs/>
                                  <w:sz w:val="20"/>
                                  <w:szCs w:val="20"/>
                                  <w:lang w:val="en-US"/>
                                </w:rPr>
                                <w:t xml:space="preserve">n </w:t>
                              </w:r>
                              <w:r w:rsidRPr="00754154">
                                <w:rPr>
                                  <w:rFonts w:eastAsia="Calibri"/>
                                  <w:sz w:val="20"/>
                                  <w:szCs w:val="20"/>
                                  <w:lang w:val="en-US"/>
                                </w:rPr>
                                <w:t>to 66.</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6" name="Pijl: gekromd rechts 13"/>
                        <wps:cNvSpPr/>
                        <wps:spPr>
                          <a:xfrm>
                            <a:off x="795020" y="485986"/>
                            <a:ext cx="499533" cy="2421467"/>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8F93EE" id="Papier 1" o:spid="_x0000_s1026" editas="canvas" style="position:absolute;left:0;text-align:left;margin-left:1in;margin-top:33.3pt;width:593.3pt;height:292.2pt;z-index:-251657216;mso-position-horizontal-relative:page;mso-width-relative:margin;mso-height-relative:margin" coordsize="75349,3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349;height:37109;visibility:visible;mso-wrap-style:square" filled="t">
                  <v:fill o:detectmouseclick="t"/>
                  <v:path o:connecttype="none"/>
                </v:shape>
                <v:shapetype id="_x0000_t202" coordsize="21600,21600" o:spt="202" path="m,l,21600r21600,l21600,xe">
                  <v:stroke joinstyle="miter"/>
                  <v:path gradientshapeok="t" o:connecttype="rect"/>
                </v:shapetype>
                <v:shape id="Tekstvak 2" o:spid="_x0000_s1028" type="#_x0000_t202" style="position:absolute;left:32702;top:3471;width:23115;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06DFEB30" w14:textId="77777777" w:rsidR="0051534B" w:rsidRPr="00871B70" w:rsidRDefault="0051534B" w:rsidP="00A012A1">
                        <w:pPr>
                          <w:jc w:val="center"/>
                          <w:rPr>
                            <w:sz w:val="20"/>
                            <w:szCs w:val="20"/>
                          </w:rPr>
                        </w:pPr>
                        <w:r w:rsidRPr="00871B70">
                          <w:rPr>
                            <w:sz w:val="20"/>
                            <w:szCs w:val="20"/>
                          </w:rPr>
                          <w:t>List of</w:t>
                        </w:r>
                        <w:r>
                          <w:rPr>
                            <w:sz w:val="20"/>
                            <w:szCs w:val="20"/>
                          </w:rPr>
                          <w:t xml:space="preserve"> </w:t>
                        </w:r>
                        <w:r>
                          <w:rPr>
                            <w:i/>
                            <w:iCs/>
                            <w:sz w:val="20"/>
                            <w:szCs w:val="20"/>
                          </w:rPr>
                          <w:t>N</w:t>
                        </w:r>
                        <w:r w:rsidRPr="00871B70">
                          <w:rPr>
                            <w:sz w:val="20"/>
                            <w:szCs w:val="20"/>
                          </w:rPr>
                          <w:t xml:space="preserve"> 134 statements</w:t>
                        </w:r>
                        <w:r>
                          <w:rPr>
                            <w:sz w:val="20"/>
                            <w:szCs w:val="20"/>
                          </w:rPr>
                          <w:t xml:space="preserve"> </w:t>
                        </w:r>
                      </w:p>
                    </w:txbxContent>
                  </v:textbox>
                </v:shape>
                <v:shape id="Tekstvak 2" o:spid="_x0000_s1029" type="#_x0000_t202" style="position:absolute;left:15431;top:10774;width:2791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F93450F" w14:textId="77777777" w:rsidR="0051534B" w:rsidRPr="00754154" w:rsidRDefault="0051534B" w:rsidP="00A012A1">
                        <w:pPr>
                          <w:spacing w:line="256" w:lineRule="auto"/>
                          <w:jc w:val="center"/>
                          <w:rPr>
                            <w:sz w:val="20"/>
                            <w:szCs w:val="20"/>
                            <w:lang w:val="en-US"/>
                          </w:rPr>
                        </w:pPr>
                        <w:r w:rsidRPr="00754154">
                          <w:rPr>
                            <w:rFonts w:eastAsia="Calibri"/>
                            <w:sz w:val="20"/>
                            <w:szCs w:val="20"/>
                            <w:lang w:val="en-US"/>
                          </w:rPr>
                          <w:t xml:space="preserve">Step 1: draw sample of </w:t>
                        </w:r>
                        <w:r w:rsidRPr="00754154">
                          <w:rPr>
                            <w:rFonts w:eastAsia="Calibri"/>
                            <w:i/>
                            <w:iCs/>
                            <w:sz w:val="20"/>
                            <w:szCs w:val="20"/>
                            <w:lang w:val="en-US"/>
                          </w:rPr>
                          <w:t>n</w:t>
                        </w:r>
                        <w:r w:rsidRPr="00754154">
                          <w:rPr>
                            <w:rFonts w:eastAsia="Calibri"/>
                            <w:sz w:val="20"/>
                            <w:szCs w:val="20"/>
                            <w:lang w:val="en-US"/>
                          </w:rPr>
                          <w:t xml:space="preserve"> statements from </w:t>
                        </w:r>
                        <w:r w:rsidRPr="00754154">
                          <w:rPr>
                            <w:rFonts w:eastAsia="Calibri"/>
                            <w:i/>
                            <w:iCs/>
                            <w:sz w:val="20"/>
                            <w:szCs w:val="20"/>
                            <w:lang w:val="en-US"/>
                          </w:rPr>
                          <w:t>N</w:t>
                        </w:r>
                        <w:r w:rsidRPr="00754154">
                          <w:rPr>
                            <w:rFonts w:eastAsia="Calibri"/>
                            <w:sz w:val="20"/>
                            <w:szCs w:val="20"/>
                            <w:lang w:val="en-US"/>
                          </w:rPr>
                          <w:t xml:space="preserve"> and calculate congruence using Formula 1</w:t>
                        </w:r>
                      </w:p>
                    </w:txbxContent>
                  </v:textbox>
                </v:shape>
                <v:shape id="Tekstvak 2" o:spid="_x0000_s1030" type="#_x0000_t202" style="position:absolute;left:45263;top:10774;width:2793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F65CD66" w14:textId="77777777" w:rsidR="0051534B" w:rsidRPr="00754154" w:rsidRDefault="0051534B" w:rsidP="00A012A1">
                        <w:pPr>
                          <w:spacing w:line="254" w:lineRule="auto"/>
                          <w:jc w:val="center"/>
                          <w:rPr>
                            <w:sz w:val="20"/>
                            <w:szCs w:val="20"/>
                            <w:lang w:val="en-US"/>
                          </w:rPr>
                        </w:pPr>
                        <w:r w:rsidRPr="00754154">
                          <w:rPr>
                            <w:rFonts w:eastAsia="Calibri"/>
                            <w:sz w:val="20"/>
                            <w:szCs w:val="20"/>
                            <w:lang w:val="en-US"/>
                          </w:rPr>
                          <w:t xml:space="preserve">Step 2: draw sample of </w:t>
                        </w:r>
                        <w:r w:rsidRPr="00754154">
                          <w:rPr>
                            <w:rFonts w:eastAsia="Calibri"/>
                            <w:i/>
                            <w:iCs/>
                            <w:sz w:val="20"/>
                            <w:szCs w:val="20"/>
                            <w:lang w:val="en-US"/>
                          </w:rPr>
                          <w:t>n</w:t>
                        </w:r>
                        <w:r w:rsidRPr="00754154">
                          <w:rPr>
                            <w:rFonts w:eastAsia="Calibri"/>
                            <w:sz w:val="20"/>
                            <w:szCs w:val="20"/>
                            <w:lang w:val="en-US"/>
                          </w:rPr>
                          <w:t xml:space="preserve"> statements from </w:t>
                        </w:r>
                        <w:r w:rsidRPr="00754154">
                          <w:rPr>
                            <w:rFonts w:eastAsia="Calibri"/>
                            <w:i/>
                            <w:iCs/>
                            <w:sz w:val="20"/>
                            <w:szCs w:val="20"/>
                            <w:lang w:val="en-US"/>
                          </w:rPr>
                          <w:t>N-n</w:t>
                        </w:r>
                        <w:r w:rsidRPr="00754154">
                          <w:rPr>
                            <w:rFonts w:eastAsia="Calibri"/>
                            <w:sz w:val="20"/>
                            <w:szCs w:val="20"/>
                            <w:lang w:val="en-US"/>
                          </w:rPr>
                          <w:t xml:space="preserve"> and calculate congruence using Formula 1</w:t>
                        </w:r>
                      </w:p>
                    </w:txbxContent>
                  </v:textbox>
                </v:shape>
                <v:shape id="Tekstvak 2" o:spid="_x0000_s1031" type="#_x0000_t202" style="position:absolute;left:32702;top:21611;width:25125;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8DEF6B5" w14:textId="601E7776" w:rsidR="0051534B" w:rsidRPr="00754154" w:rsidRDefault="0051534B" w:rsidP="00A012A1">
                        <w:pPr>
                          <w:spacing w:line="254" w:lineRule="auto"/>
                          <w:jc w:val="center"/>
                          <w:rPr>
                            <w:sz w:val="20"/>
                            <w:szCs w:val="20"/>
                            <w:lang w:val="en-US"/>
                          </w:rPr>
                        </w:pPr>
                        <w:r w:rsidRPr="00754154">
                          <w:rPr>
                            <w:rFonts w:eastAsia="Calibri"/>
                            <w:sz w:val="20"/>
                            <w:szCs w:val="20"/>
                            <w:lang w:val="en-US"/>
                          </w:rPr>
                          <w:t xml:space="preserve">Step 3: calculate </w:t>
                        </w:r>
                        <w:r>
                          <w:rPr>
                            <w:rFonts w:eastAsia="Calibri"/>
                            <w:sz w:val="20"/>
                            <w:szCs w:val="20"/>
                            <w:lang w:val="en-US"/>
                          </w:rPr>
                          <w:t>opinion congruence variability</w:t>
                        </w:r>
                        <w:r w:rsidRPr="00754154">
                          <w:rPr>
                            <w:rFonts w:eastAsia="Calibri"/>
                            <w:sz w:val="20"/>
                            <w:szCs w:val="20"/>
                            <w:lang w:val="en-US"/>
                          </w:rPr>
                          <w:t xml:space="preserve"> using Formula 3.</w:t>
                        </w:r>
                      </w:p>
                    </w:txbxContent>
                  </v:textbox>
                </v:shape>
                <v:shapetype id="_x0000_t32" coordsize="21600,21600" o:spt="32" o:oned="t" path="m,l21600,21600e" filled="f">
                  <v:path arrowok="t" fillok="f" o:connecttype="none"/>
                  <o:lock v:ext="edit" shapetype="t"/>
                </v:shapetype>
                <v:shape id="Rechte verbindingslijn met pijl 6" o:spid="_x0000_s1032" type="#_x0000_t32" style="position:absolute;left:29390;top:7620;width:14869;height:2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Rechte verbindingslijn met pijl 7" o:spid="_x0000_s1033" type="#_x0000_t32" style="position:absolute;left:44259;top:7620;width:14972;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Rechte verbindingslijn met pijl 8" o:spid="_x0000_s1034" type="#_x0000_t32" style="position:absolute;left:29390;top:16171;width:14869;height:5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Rechte verbindingslijn met pijl 9" o:spid="_x0000_s1035" type="#_x0000_t32" style="position:absolute;left:44831;top:16174;width:14400;height:5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Tekstvak 12" o:spid="_x0000_s1036" type="#_x0000_t202" style="position:absolute;left:9558;top:6688;width:4488;height:1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" fillcolor="white [3201]" stroked="f" strokeweight=".5pt">
                  <v:textbox style="layout-flow:vertical;mso-layout-flow-alt:bottom-to-top">
                    <w:txbxContent>
                      <w:p w14:paraId="4423F5B4" w14:textId="77777777" w:rsidR="0051534B" w:rsidRPr="00071391" w:rsidRDefault="0051534B" w:rsidP="00A012A1">
                        <w:pPr>
                          <w:jc w:val="center"/>
                          <w:rPr>
                            <w:sz w:val="20"/>
                            <w:szCs w:val="20"/>
                          </w:rPr>
                        </w:pPr>
                        <w:r w:rsidRPr="00071391">
                          <w:rPr>
                            <w:sz w:val="20"/>
                            <w:szCs w:val="20"/>
                          </w:rPr>
                          <w:t>Step 4: Repeat step 1 to 3</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jl: gekromd rechts 11" o:spid="_x0000_s1037" type="#_x0000_t102" style="position:absolute;left:13208;top:7789;width:3979;height:18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" adj="19239,21010,16200" fillcolor="#a5a5a5 [3206]" strokecolor="#525252 [1606]" strokeweight="1pt"/>
                <v:shape id="Tekstvak 12" o:spid="_x0000_s1038" type="#_x0000_t202" style="position:absolute;left:3022;top:6947;width:5437;height:1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" fillcolor="white [3201]" stroked="f" strokeweight=".5pt">
                  <v:textbox style="layout-flow:vertical;mso-layout-flow-alt:bottom-to-top">
                    <w:txbxContent>
                      <w:p w14:paraId="36104EBB" w14:textId="77777777" w:rsidR="0051534B" w:rsidRPr="00754154" w:rsidRDefault="0051534B" w:rsidP="00A012A1">
                        <w:pPr>
                          <w:spacing w:line="256" w:lineRule="auto"/>
                          <w:jc w:val="center"/>
                          <w:rPr>
                            <w:szCs w:val="24"/>
                            <w:lang w:val="en-US"/>
                          </w:rPr>
                        </w:pPr>
                        <w:r w:rsidRPr="00754154">
                          <w:rPr>
                            <w:rFonts w:eastAsia="Calibri"/>
                            <w:sz w:val="20"/>
                            <w:szCs w:val="20"/>
                            <w:lang w:val="en-US"/>
                          </w:rPr>
                          <w:t xml:space="preserve">Step 5: Repeat step 1 to 4 while increasing </w:t>
                        </w:r>
                        <w:r w:rsidRPr="00754154">
                          <w:rPr>
                            <w:rFonts w:eastAsia="Calibri"/>
                            <w:i/>
                            <w:iCs/>
                            <w:sz w:val="20"/>
                            <w:szCs w:val="20"/>
                            <w:lang w:val="en-US"/>
                          </w:rPr>
                          <w:t xml:space="preserve">n </w:t>
                        </w:r>
                        <w:r w:rsidRPr="00754154">
                          <w:rPr>
                            <w:rFonts w:eastAsia="Calibri"/>
                            <w:sz w:val="20"/>
                            <w:szCs w:val="20"/>
                            <w:lang w:val="en-US"/>
                          </w:rPr>
                          <w:t>to 66.</w:t>
                        </w:r>
                      </w:p>
                    </w:txbxContent>
                  </v:textbox>
                </v:shape>
                <v:shape id="Pijl: gekromd rechts 13" o:spid="_x0000_s1039" type="#_x0000_t102" style="position:absolute;left:7950;top:4859;width:4995;height:24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" adj="19372,21043,16200" fillcolor="#a5a5a5 [3206]" strokecolor="#525252 [1606]" strokeweight="1pt"/>
                <w10:wrap type="tight" anchorx="page"/>
              </v:group>
            </w:pict>
          </mc:Fallback>
        </mc:AlternateContent>
      </w:r>
      <w:r w:rsidRPr="00456628">
        <w:rPr>
          <w:rFonts w:ascii="Times New Roman" w:hAnsi="Times New Roman" w:cs="Times New Roman"/>
          <w:sz w:val="24"/>
          <w:szCs w:val="24"/>
          <w:lang w:val="en-US"/>
        </w:rPr>
        <w:t>Figure 1: Overview of the simulation process</w:t>
      </w:r>
    </w:p>
    <w:p w14:paraId="5F5C0D09" w14:textId="0A745E13" w:rsidR="00A012A1" w:rsidRPr="00456628" w:rsidRDefault="00A012A1" w:rsidP="0013529F">
      <w:pPr>
        <w:spacing w:before="240" w:after="0"/>
        <w:rPr>
          <w:rFonts w:ascii="Times New Roman" w:hAnsi="Times New Roman" w:cs="Times New Roman"/>
          <w:sz w:val="24"/>
          <w:szCs w:val="24"/>
          <w:lang w:val="en-US"/>
        </w:rPr>
      </w:pPr>
    </w:p>
    <w:p w14:paraId="2D49A8CA" w14:textId="53CFFF93" w:rsidR="00A012A1" w:rsidRPr="00456628" w:rsidRDefault="00A012A1" w:rsidP="0013529F">
      <w:pPr>
        <w:spacing w:before="240" w:after="0"/>
        <w:rPr>
          <w:rFonts w:ascii="Times New Roman" w:hAnsi="Times New Roman" w:cs="Times New Roman"/>
          <w:sz w:val="24"/>
          <w:szCs w:val="24"/>
          <w:lang w:val="en-US"/>
        </w:rPr>
      </w:pPr>
    </w:p>
    <w:p w14:paraId="6D8C84FD" w14:textId="7D6D8EBB" w:rsidR="00A012A1" w:rsidRPr="00456628" w:rsidRDefault="00A012A1" w:rsidP="0013529F">
      <w:pPr>
        <w:spacing w:before="240" w:after="0"/>
        <w:rPr>
          <w:rFonts w:ascii="Times New Roman" w:hAnsi="Times New Roman" w:cs="Times New Roman"/>
          <w:sz w:val="24"/>
          <w:szCs w:val="24"/>
          <w:lang w:val="en-US"/>
        </w:rPr>
      </w:pPr>
    </w:p>
    <w:p w14:paraId="6F09964A" w14:textId="29A89BD9" w:rsidR="00A012A1" w:rsidRPr="00456628" w:rsidRDefault="00A012A1" w:rsidP="0013529F">
      <w:pPr>
        <w:spacing w:before="240" w:after="0"/>
        <w:rPr>
          <w:rFonts w:ascii="Times New Roman" w:hAnsi="Times New Roman" w:cs="Times New Roman"/>
          <w:sz w:val="24"/>
          <w:szCs w:val="24"/>
          <w:lang w:val="en-US"/>
        </w:rPr>
      </w:pPr>
    </w:p>
    <w:p w14:paraId="446FAB80" w14:textId="423627EF" w:rsidR="00A012A1" w:rsidRPr="00456628" w:rsidRDefault="00A012A1" w:rsidP="0013529F">
      <w:pPr>
        <w:spacing w:before="240" w:after="0"/>
        <w:rPr>
          <w:rFonts w:ascii="Times New Roman" w:hAnsi="Times New Roman" w:cs="Times New Roman"/>
          <w:sz w:val="24"/>
          <w:szCs w:val="24"/>
          <w:lang w:val="en-US"/>
        </w:rPr>
      </w:pPr>
    </w:p>
    <w:p w14:paraId="32A6C9AD" w14:textId="189E65F9" w:rsidR="00A012A1" w:rsidRPr="00456628" w:rsidRDefault="00A012A1" w:rsidP="0013529F">
      <w:pPr>
        <w:spacing w:before="240" w:after="0"/>
        <w:rPr>
          <w:rFonts w:ascii="Times New Roman" w:hAnsi="Times New Roman" w:cs="Times New Roman"/>
          <w:sz w:val="24"/>
          <w:szCs w:val="24"/>
          <w:lang w:val="en-US"/>
        </w:rPr>
      </w:pPr>
    </w:p>
    <w:p w14:paraId="0FBACA84" w14:textId="654DAC28" w:rsidR="00A012A1" w:rsidRPr="00456628" w:rsidRDefault="00A012A1" w:rsidP="0013529F">
      <w:pPr>
        <w:spacing w:before="240" w:after="0"/>
        <w:rPr>
          <w:rFonts w:ascii="Times New Roman" w:hAnsi="Times New Roman" w:cs="Times New Roman"/>
          <w:sz w:val="24"/>
          <w:szCs w:val="24"/>
          <w:lang w:val="en-US"/>
        </w:rPr>
      </w:pPr>
    </w:p>
    <w:p w14:paraId="6FD261A1" w14:textId="6065FA6F" w:rsidR="00A012A1" w:rsidRPr="00456628" w:rsidRDefault="00A012A1" w:rsidP="0013529F">
      <w:pPr>
        <w:spacing w:before="240" w:after="0"/>
        <w:rPr>
          <w:rFonts w:ascii="Times New Roman" w:hAnsi="Times New Roman" w:cs="Times New Roman"/>
          <w:sz w:val="24"/>
          <w:szCs w:val="24"/>
          <w:lang w:val="en-US"/>
        </w:rPr>
      </w:pPr>
    </w:p>
    <w:p w14:paraId="4345520F" w14:textId="05DA0D77" w:rsidR="00A012A1" w:rsidRPr="00456628" w:rsidRDefault="00A012A1" w:rsidP="0013529F">
      <w:pPr>
        <w:spacing w:before="240" w:after="0"/>
        <w:rPr>
          <w:rFonts w:ascii="Times New Roman" w:hAnsi="Times New Roman" w:cs="Times New Roman"/>
          <w:sz w:val="24"/>
          <w:szCs w:val="24"/>
          <w:lang w:val="en-US"/>
        </w:rPr>
      </w:pPr>
    </w:p>
    <w:p w14:paraId="19433B31" w14:textId="0CA0F1F7" w:rsidR="00A012A1" w:rsidRPr="00456628" w:rsidRDefault="00A012A1" w:rsidP="00A012A1">
      <w:pPr>
        <w:spacing w:before="240" w:after="0"/>
        <w:jc w:val="left"/>
        <w:rPr>
          <w:rFonts w:ascii="Times New Roman" w:hAnsi="Times New Roman" w:cs="Times New Roman"/>
          <w:sz w:val="24"/>
          <w:szCs w:val="24"/>
          <w:lang w:val="en-US"/>
        </w:rPr>
      </w:pPr>
    </w:p>
    <w:p w14:paraId="156F439C" w14:textId="77777777" w:rsidR="00A012A1" w:rsidRPr="00456628" w:rsidRDefault="00A012A1" w:rsidP="00A012A1">
      <w:pPr>
        <w:spacing w:before="240" w:after="0"/>
        <w:jc w:val="left"/>
        <w:rPr>
          <w:rFonts w:ascii="Times New Roman" w:hAnsi="Times New Roman" w:cs="Times New Roman"/>
          <w:sz w:val="24"/>
          <w:szCs w:val="24"/>
          <w:lang w:val="en-US"/>
        </w:rPr>
        <w:sectPr w:rsidR="00A012A1" w:rsidRPr="00456628" w:rsidSect="00A012A1">
          <w:pgSz w:w="15840" w:h="12240" w:orient="landscape"/>
          <w:pgMar w:top="1440" w:right="1440" w:bottom="1440" w:left="1440" w:header="720" w:footer="720" w:gutter="0"/>
          <w:cols w:space="720"/>
          <w:docGrid w:linePitch="360"/>
        </w:sectPr>
      </w:pPr>
    </w:p>
    <w:p w14:paraId="4EDF9D7B" w14:textId="22534584" w:rsidR="0013529F" w:rsidRPr="00456628" w:rsidRDefault="0013529F" w:rsidP="0013529F">
      <w:pPr>
        <w:spacing w:before="240"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 xml:space="preserve">Figure </w:t>
      </w:r>
      <w:r w:rsidR="00A012A1" w:rsidRPr="00456628">
        <w:rPr>
          <w:rFonts w:ascii="Times New Roman" w:hAnsi="Times New Roman" w:cs="Times New Roman"/>
          <w:sz w:val="24"/>
          <w:szCs w:val="24"/>
          <w:lang w:val="en-US"/>
        </w:rPr>
        <w:t>2</w:t>
      </w:r>
      <w:r w:rsidRPr="00456628">
        <w:rPr>
          <w:rFonts w:ascii="Times New Roman" w:hAnsi="Times New Roman" w:cs="Times New Roman"/>
          <w:sz w:val="24"/>
          <w:szCs w:val="24"/>
          <w:lang w:val="en-US"/>
        </w:rPr>
        <w:t>: Marginal effects of the relation between the num</w:t>
      </w:r>
      <w:r w:rsidR="00283D48" w:rsidRPr="00456628">
        <w:rPr>
          <w:rFonts w:ascii="Times New Roman" w:hAnsi="Times New Roman" w:cs="Times New Roman"/>
          <w:sz w:val="24"/>
          <w:szCs w:val="24"/>
          <w:lang w:val="en-US"/>
        </w:rPr>
        <w:t>ber of policy statements and OCV</w:t>
      </w:r>
    </w:p>
    <w:p w14:paraId="73A94DD9" w14:textId="40088E00" w:rsidR="0013529F" w:rsidRPr="00456628" w:rsidRDefault="008712BB" w:rsidP="0013529F">
      <w:pPr>
        <w:spacing w:line="259" w:lineRule="auto"/>
        <w:jc w:val="left"/>
        <w:rPr>
          <w:rFonts w:ascii="Times New Roman" w:hAnsi="Times New Roman" w:cs="Times New Roman"/>
          <w:sz w:val="24"/>
          <w:szCs w:val="24"/>
          <w:lang w:val="en-US"/>
        </w:rPr>
      </w:pPr>
      <w:r w:rsidRPr="0045662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456628">
        <w:rPr>
          <w:rFonts w:ascii="Times New Roman" w:hAnsi="Times New Roman" w:cs="Times New Roman"/>
          <w:noProof/>
          <w:sz w:val="24"/>
          <w:szCs w:val="24"/>
          <w:lang w:val="en-US"/>
        </w:rPr>
        <w:drawing>
          <wp:inline distT="0" distB="0" distL="0" distR="0" wp14:anchorId="50EC0316" wp14:editId="42FB7EB2">
            <wp:extent cx="5943600" cy="3566160"/>
            <wp:effectExtent l="0" t="0" r="0" b="0"/>
            <wp:docPr id="20" name="Picture 20" descr="C:\Dropbox\Luxembourg\Papers\Statements selection and opinion congruence\20200212_new congruence paper\g.sampl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Luxembourg\Papers\Statements selection and opinion congruence\20200212_new congruence paper\g.samplesiz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665DA823" w14:textId="77777777" w:rsidR="00870F74" w:rsidRPr="00456628" w:rsidRDefault="0013529F">
      <w:pPr>
        <w:spacing w:line="259" w:lineRule="auto"/>
        <w:jc w:val="left"/>
        <w:rPr>
          <w:rFonts w:ascii="Times New Roman" w:hAnsi="Times New Roman" w:cs="Times New Roman"/>
          <w:sz w:val="24"/>
          <w:szCs w:val="24"/>
          <w:lang w:val="en-US"/>
        </w:rPr>
      </w:pPr>
      <w:r w:rsidRPr="00456628">
        <w:rPr>
          <w:rFonts w:ascii="Times New Roman" w:hAnsi="Times New Roman" w:cs="Times New Roman"/>
          <w:sz w:val="24"/>
          <w:szCs w:val="24"/>
          <w:lang w:val="en-US"/>
        </w:rPr>
        <w:br w:type="page"/>
      </w:r>
    </w:p>
    <w:p w14:paraId="1F3DC481" w14:textId="70624B83" w:rsidR="00870F74" w:rsidRPr="00456628" w:rsidRDefault="00870F74" w:rsidP="00870F74">
      <w:pPr>
        <w:spacing w:before="240" w:after="0"/>
        <w:rPr>
          <w:rFonts w:ascii="Times New Roman" w:hAnsi="Times New Roman" w:cs="Times New Roman"/>
          <w:sz w:val="24"/>
          <w:szCs w:val="24"/>
          <w:lang w:val="en-AU"/>
        </w:rPr>
      </w:pPr>
      <w:r w:rsidRPr="00456628">
        <w:rPr>
          <w:rFonts w:ascii="Times New Roman" w:hAnsi="Times New Roman" w:cs="Times New Roman"/>
          <w:sz w:val="24"/>
          <w:szCs w:val="24"/>
          <w:lang w:val="en-AU"/>
        </w:rPr>
        <w:lastRenderedPageBreak/>
        <w:t xml:space="preserve">Figure 3: </w:t>
      </w:r>
      <w:r w:rsidRPr="00456628">
        <w:rPr>
          <w:rFonts w:ascii="Times New Roman" w:hAnsi="Times New Roman" w:cs="Times New Roman"/>
          <w:sz w:val="24"/>
          <w:szCs w:val="24"/>
          <w:lang w:val="en-US"/>
        </w:rPr>
        <w:t xml:space="preserve">Marginal effects of the relation between the statement sample size and </w:t>
      </w:r>
      <w:r w:rsidR="001E32B0" w:rsidRPr="00456628">
        <w:rPr>
          <w:rFonts w:ascii="Times New Roman" w:hAnsi="Times New Roman" w:cs="Times New Roman"/>
          <w:sz w:val="24"/>
          <w:szCs w:val="24"/>
          <w:lang w:val="en-US"/>
        </w:rPr>
        <w:t xml:space="preserve">OCV </w:t>
      </w:r>
      <w:r w:rsidRPr="00456628">
        <w:rPr>
          <w:rFonts w:ascii="Times New Roman" w:hAnsi="Times New Roman" w:cs="Times New Roman"/>
          <w:sz w:val="24"/>
          <w:szCs w:val="24"/>
          <w:lang w:val="en-US"/>
        </w:rPr>
        <w:t xml:space="preserve">through </w:t>
      </w:r>
      <w:r w:rsidRPr="00456628">
        <w:rPr>
          <w:rFonts w:ascii="Times New Roman" w:hAnsi="Times New Roman" w:cs="Times New Roman"/>
          <w:sz w:val="24"/>
          <w:szCs w:val="24"/>
          <w:lang w:val="en-AU"/>
        </w:rPr>
        <w:t>segmented multilevel regression</w:t>
      </w:r>
    </w:p>
    <w:p w14:paraId="262A37E7" w14:textId="1BAA10A9" w:rsidR="00870F74" w:rsidRPr="00456628" w:rsidRDefault="00870F74">
      <w:pPr>
        <w:spacing w:line="259" w:lineRule="auto"/>
        <w:jc w:val="left"/>
        <w:rPr>
          <w:rFonts w:ascii="Times New Roman" w:hAnsi="Times New Roman" w:cs="Times New Roman"/>
          <w:sz w:val="24"/>
          <w:szCs w:val="24"/>
          <w:lang w:val="en-US"/>
        </w:rPr>
      </w:pPr>
      <w:r w:rsidRPr="00456628">
        <w:rPr>
          <w:rFonts w:ascii="Times New Roman" w:hAnsi="Times New Roman" w:cs="Times New Roman"/>
          <w:noProof/>
          <w:sz w:val="24"/>
          <w:szCs w:val="24"/>
          <w:lang w:val="en-US"/>
        </w:rPr>
        <w:drawing>
          <wp:inline distT="0" distB="0" distL="0" distR="0" wp14:anchorId="0F5BDDBC" wp14:editId="2BF3298E">
            <wp:extent cx="5943600" cy="3566160"/>
            <wp:effectExtent l="0" t="0" r="0" b="0"/>
            <wp:docPr id="19" name="Picture 19" descr="C:\Dropbox\Luxembourg\Papers\Statements selection and opinion congruence\20200212_new congruence paper\g.samplesize_se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Luxembourg\Papers\Statements selection and opinion congruence\20200212_new congruence paper\g.samplesize_seg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411C79B0" w14:textId="48A612C0" w:rsidR="00870F74" w:rsidRPr="00456628" w:rsidRDefault="00870F74">
      <w:pPr>
        <w:spacing w:line="259" w:lineRule="auto"/>
        <w:jc w:val="left"/>
        <w:rPr>
          <w:rFonts w:ascii="Times New Roman" w:hAnsi="Times New Roman" w:cs="Times New Roman"/>
          <w:sz w:val="24"/>
          <w:szCs w:val="24"/>
          <w:lang w:val="en-US"/>
        </w:rPr>
      </w:pPr>
      <w:r w:rsidRPr="00456628">
        <w:rPr>
          <w:rFonts w:ascii="Times New Roman" w:hAnsi="Times New Roman" w:cs="Times New Roman"/>
          <w:sz w:val="24"/>
          <w:szCs w:val="24"/>
          <w:lang w:val="en-US"/>
        </w:rPr>
        <w:br w:type="page"/>
      </w:r>
    </w:p>
    <w:p w14:paraId="7C753884" w14:textId="589D23B5" w:rsidR="0013529F" w:rsidRPr="00456628" w:rsidRDefault="0013529F" w:rsidP="0013529F">
      <w:pPr>
        <w:spacing w:before="240"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 xml:space="preserve">Figure </w:t>
      </w:r>
      <w:r w:rsidR="00870F74" w:rsidRPr="00456628">
        <w:rPr>
          <w:rFonts w:ascii="Times New Roman" w:hAnsi="Times New Roman" w:cs="Times New Roman"/>
          <w:sz w:val="24"/>
          <w:szCs w:val="24"/>
          <w:lang w:val="en-US"/>
        </w:rPr>
        <w:t>4</w:t>
      </w:r>
      <w:r w:rsidRPr="00456628">
        <w:rPr>
          <w:rFonts w:ascii="Times New Roman" w:hAnsi="Times New Roman" w:cs="Times New Roman"/>
          <w:sz w:val="24"/>
          <w:szCs w:val="24"/>
          <w:lang w:val="en-US"/>
        </w:rPr>
        <w:t>: Marginal effects of the relation between topic diversity and</w:t>
      </w:r>
      <w:r w:rsidR="00283D48" w:rsidRPr="00456628">
        <w:rPr>
          <w:rFonts w:ascii="Times New Roman" w:hAnsi="Times New Roman" w:cs="Times New Roman"/>
          <w:sz w:val="24"/>
          <w:szCs w:val="24"/>
          <w:lang w:val="en-US"/>
        </w:rPr>
        <w:t xml:space="preserve"> OCV</w:t>
      </w:r>
    </w:p>
    <w:p w14:paraId="38060927" w14:textId="6A50CD93" w:rsidR="0013529F" w:rsidRPr="00456628" w:rsidRDefault="008712BB" w:rsidP="0013529F">
      <w:pPr>
        <w:rPr>
          <w:rFonts w:ascii="Times New Roman" w:hAnsi="Times New Roman" w:cs="Times New Roman"/>
          <w:sz w:val="24"/>
          <w:szCs w:val="24"/>
          <w:lang w:val="en-US"/>
        </w:rPr>
      </w:pPr>
      <w:r w:rsidRPr="0045662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456628">
        <w:rPr>
          <w:rFonts w:ascii="Times New Roman" w:hAnsi="Times New Roman" w:cs="Times New Roman"/>
          <w:noProof/>
          <w:sz w:val="24"/>
          <w:szCs w:val="24"/>
          <w:lang w:val="en-US"/>
        </w:rPr>
        <w:drawing>
          <wp:inline distT="0" distB="0" distL="0" distR="0" wp14:anchorId="08C95D8D" wp14:editId="1D27DA32">
            <wp:extent cx="5943600" cy="3566160"/>
            <wp:effectExtent l="0" t="0" r="0" b="0"/>
            <wp:docPr id="22" name="Picture 22" descr="C:\Dropbox\Luxembourg\Papers\Statements selection and opinion congruence\20200212_new congruence paper\g.h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Luxembourg\Papers\Statements selection and opinion congruence\20200212_new congruence paper\g.h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5A99F7E8" w14:textId="77777777" w:rsidR="0013529F" w:rsidRPr="00456628" w:rsidRDefault="0013529F" w:rsidP="0013529F">
      <w:pPr>
        <w:spacing w:line="259" w:lineRule="auto"/>
        <w:jc w:val="left"/>
        <w:rPr>
          <w:rFonts w:ascii="Times New Roman" w:hAnsi="Times New Roman" w:cs="Times New Roman"/>
          <w:sz w:val="24"/>
          <w:szCs w:val="24"/>
          <w:lang w:val="en-US"/>
        </w:rPr>
      </w:pPr>
      <w:r w:rsidRPr="00456628">
        <w:rPr>
          <w:rFonts w:ascii="Times New Roman" w:hAnsi="Times New Roman" w:cs="Times New Roman"/>
          <w:sz w:val="24"/>
          <w:szCs w:val="24"/>
          <w:lang w:val="en-US"/>
        </w:rPr>
        <w:br w:type="page"/>
      </w:r>
    </w:p>
    <w:p w14:paraId="5FC857D8" w14:textId="0D86AAD1" w:rsidR="0013529F" w:rsidRPr="00456628" w:rsidRDefault="00870F74" w:rsidP="0013529F">
      <w:pPr>
        <w:spacing w:before="240"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Figure 5</w:t>
      </w:r>
      <w:r w:rsidR="0013529F" w:rsidRPr="00456628">
        <w:rPr>
          <w:rFonts w:ascii="Times New Roman" w:hAnsi="Times New Roman" w:cs="Times New Roman"/>
          <w:sz w:val="24"/>
          <w:szCs w:val="24"/>
          <w:lang w:val="en-US"/>
        </w:rPr>
        <w:t xml:space="preserve">: Density of the </w:t>
      </w:r>
      <w:r w:rsidR="001E32B0" w:rsidRPr="00456628">
        <w:rPr>
          <w:rFonts w:ascii="Times New Roman" w:hAnsi="Times New Roman" w:cs="Times New Roman"/>
          <w:sz w:val="24"/>
          <w:szCs w:val="24"/>
          <w:lang w:val="en-US"/>
        </w:rPr>
        <w:t xml:space="preserve">OCV </w:t>
      </w:r>
      <w:r w:rsidR="0013529F" w:rsidRPr="00456628">
        <w:rPr>
          <w:rFonts w:ascii="Times New Roman" w:hAnsi="Times New Roman" w:cs="Times New Roman"/>
          <w:sz w:val="24"/>
          <w:szCs w:val="24"/>
          <w:lang w:val="en-US"/>
        </w:rPr>
        <w:t>distribution for the weighted and unweighted calculation.</w:t>
      </w:r>
    </w:p>
    <w:p w14:paraId="23DEEE22" w14:textId="2A8F97A3" w:rsidR="0013529F" w:rsidRPr="00456628" w:rsidRDefault="003B2252" w:rsidP="0013529F">
      <w:pPr>
        <w:spacing w:after="0"/>
        <w:rPr>
          <w:rFonts w:ascii="Times New Roman" w:hAnsi="Times New Roman" w:cs="Times New Roman"/>
          <w:sz w:val="24"/>
          <w:szCs w:val="24"/>
          <w:lang w:val="en-US"/>
        </w:rPr>
      </w:pPr>
      <w:r w:rsidRPr="00456628">
        <w:rPr>
          <w:rFonts w:ascii="Times New Roman" w:hAnsi="Times New Roman" w:cs="Times New Roman"/>
          <w:noProof/>
          <w:sz w:val="24"/>
          <w:szCs w:val="24"/>
          <w:lang w:val="en-US"/>
        </w:rPr>
        <w:drawing>
          <wp:inline distT="0" distB="0" distL="0" distR="0" wp14:anchorId="3C28FB9E" wp14:editId="6DA06B9D">
            <wp:extent cx="5943600" cy="3566160"/>
            <wp:effectExtent l="0" t="0" r="0" b="0"/>
            <wp:docPr id="26" name="Picture 26" descr="C:\Dropbox\Luxembourg\Papers\Statements selection and opinion congruence\20200212_new congruence paper\g.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ropbox\Luxembourg\Papers\Statements selection and opinion congruence\20200212_new congruence paper\g.weight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1E51EE6D" w14:textId="6C5C00DE" w:rsidR="0013529F" w:rsidRPr="00456628" w:rsidRDefault="0013529F">
      <w:pPr>
        <w:spacing w:line="259" w:lineRule="auto"/>
        <w:jc w:val="left"/>
        <w:rPr>
          <w:rFonts w:ascii="Times New Roman" w:hAnsi="Times New Roman" w:cs="Times New Roman"/>
          <w:sz w:val="24"/>
          <w:szCs w:val="24"/>
          <w:lang w:val="en-AU"/>
        </w:rPr>
      </w:pPr>
      <w:r w:rsidRPr="00456628">
        <w:rPr>
          <w:rFonts w:ascii="Times New Roman" w:hAnsi="Times New Roman" w:cs="Times New Roman"/>
          <w:sz w:val="24"/>
          <w:szCs w:val="24"/>
          <w:lang w:val="en-AU"/>
        </w:rPr>
        <w:br w:type="page"/>
      </w:r>
    </w:p>
    <w:p w14:paraId="6A84CFBE" w14:textId="4C0D4269" w:rsidR="0013529F" w:rsidRPr="00456628" w:rsidRDefault="00870F74" w:rsidP="00394C0E">
      <w:pPr>
        <w:spacing w:after="0"/>
        <w:rPr>
          <w:rFonts w:ascii="Times New Roman" w:hAnsi="Times New Roman" w:cs="Times New Roman"/>
          <w:sz w:val="24"/>
          <w:szCs w:val="24"/>
          <w:lang w:val="en-US"/>
        </w:rPr>
      </w:pPr>
      <w:r w:rsidRPr="00456628">
        <w:rPr>
          <w:rFonts w:ascii="Times New Roman" w:hAnsi="Times New Roman" w:cs="Times New Roman"/>
          <w:sz w:val="24"/>
          <w:szCs w:val="24"/>
          <w:lang w:val="en-US"/>
        </w:rPr>
        <w:lastRenderedPageBreak/>
        <w:t>Figure 6</w:t>
      </w:r>
      <w:r w:rsidR="0013529F" w:rsidRPr="00456628">
        <w:rPr>
          <w:rFonts w:ascii="Times New Roman" w:hAnsi="Times New Roman" w:cs="Times New Roman"/>
          <w:sz w:val="24"/>
          <w:szCs w:val="24"/>
          <w:lang w:val="en-US"/>
        </w:rPr>
        <w:t>: Conditionality of the difference between high and politically interested voters on the number of left-right policy statements</w:t>
      </w:r>
    </w:p>
    <w:p w14:paraId="33B9996D" w14:textId="6795D48D" w:rsidR="00394C0E" w:rsidRPr="00456628" w:rsidRDefault="00394C0E" w:rsidP="00394C0E">
      <w:pPr>
        <w:spacing w:after="0"/>
        <w:rPr>
          <w:rFonts w:ascii="Times New Roman" w:hAnsi="Times New Roman" w:cs="Times New Roman"/>
          <w:sz w:val="24"/>
          <w:szCs w:val="24"/>
          <w:lang w:val="en-US"/>
        </w:rPr>
      </w:pPr>
      <w:r w:rsidRPr="00456628">
        <w:rPr>
          <w:rFonts w:ascii="Times New Roman" w:hAnsi="Times New Roman" w:cs="Times New Roman"/>
          <w:noProof/>
          <w:sz w:val="24"/>
          <w:szCs w:val="24"/>
          <w:lang w:val="en-US"/>
        </w:rPr>
        <w:drawing>
          <wp:inline distT="0" distB="0" distL="0" distR="0" wp14:anchorId="7A08043A" wp14:editId="1A1B711D">
            <wp:extent cx="5943600" cy="3566160"/>
            <wp:effectExtent l="0" t="0" r="0" b="0"/>
            <wp:docPr id="1" name="Picture 1" descr="C:\Dropbox\Luxembourg\Papers\Statements selection and opinion congruence\20200212_new congruence paper\g.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Luxembourg\Papers\Statements selection and opinion congruence\20200212_new congruence paper\g.pinteres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209A3412" w14:textId="6D3B5615" w:rsidR="00870F74" w:rsidRPr="00456628" w:rsidRDefault="00870F74">
      <w:pPr>
        <w:spacing w:line="259" w:lineRule="auto"/>
        <w:jc w:val="left"/>
        <w:rPr>
          <w:rFonts w:ascii="Times New Roman" w:hAnsi="Times New Roman" w:cs="Times New Roman"/>
          <w:sz w:val="24"/>
          <w:szCs w:val="24"/>
          <w:lang w:val="en-AU"/>
        </w:rPr>
      </w:pPr>
      <w:r w:rsidRPr="00456628">
        <w:rPr>
          <w:rFonts w:ascii="Times New Roman" w:hAnsi="Times New Roman" w:cs="Times New Roman"/>
          <w:sz w:val="24"/>
          <w:szCs w:val="24"/>
          <w:lang w:val="en-AU"/>
        </w:rPr>
        <w:br w:type="page"/>
      </w:r>
    </w:p>
    <w:p w14:paraId="18625047" w14:textId="113ADDD7" w:rsidR="002F56E0" w:rsidRPr="00456628" w:rsidRDefault="00870F74" w:rsidP="00870F74">
      <w:pPr>
        <w:spacing w:after="0"/>
        <w:rPr>
          <w:rFonts w:ascii="Times New Roman" w:hAnsi="Times New Roman" w:cs="Times New Roman"/>
          <w:sz w:val="24"/>
          <w:szCs w:val="24"/>
          <w:lang w:val="en-AU"/>
        </w:rPr>
      </w:pPr>
      <w:r w:rsidRPr="00456628">
        <w:rPr>
          <w:rFonts w:ascii="Times New Roman" w:hAnsi="Times New Roman" w:cs="Times New Roman"/>
          <w:sz w:val="24"/>
          <w:szCs w:val="24"/>
          <w:lang w:val="en-AU"/>
        </w:rPr>
        <w:lastRenderedPageBreak/>
        <w:t>Figure 7: Correct voting, education level, and topic diversity</w:t>
      </w:r>
    </w:p>
    <w:p w14:paraId="3670D51A" w14:textId="363FAB7B" w:rsidR="00870F74" w:rsidRPr="00250D10" w:rsidRDefault="00870F74" w:rsidP="009C6283">
      <w:pPr>
        <w:rPr>
          <w:rFonts w:ascii="Times New Roman" w:hAnsi="Times New Roman" w:cs="Times New Roman"/>
          <w:sz w:val="24"/>
          <w:szCs w:val="24"/>
          <w:lang w:val="en-AU"/>
        </w:rPr>
      </w:pPr>
      <w:r w:rsidRPr="00456628">
        <w:rPr>
          <w:rFonts w:ascii="Times New Roman" w:hAnsi="Times New Roman" w:cs="Times New Roman"/>
          <w:noProof/>
          <w:sz w:val="24"/>
          <w:szCs w:val="24"/>
          <w:lang w:val="en-US"/>
        </w:rPr>
        <w:drawing>
          <wp:inline distT="0" distB="0" distL="0" distR="0" wp14:anchorId="594016B3" wp14:editId="3D887A47">
            <wp:extent cx="5943600" cy="3566160"/>
            <wp:effectExtent l="0" t="0" r="0" b="0"/>
            <wp:docPr id="18" name="Picture 18" descr="C:\Dropbox\Luxembourg\Papers\Statements selection and opinion congruence\20200212_new congruence paper\g.hhi-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Luxembourg\Papers\Statements selection and opinion congruence\20200212_new congruence paper\g.hhi-ed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bookmarkStart w:id="0" w:name="_GoBack"/>
      <w:bookmarkEnd w:id="0"/>
    </w:p>
    <w:sectPr w:rsidR="00870F74" w:rsidRPr="00250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9A81" w14:textId="77777777" w:rsidR="00583362" w:rsidRDefault="00583362" w:rsidP="00EB0921">
      <w:pPr>
        <w:spacing w:after="0" w:line="240" w:lineRule="auto"/>
      </w:pPr>
      <w:r>
        <w:separator/>
      </w:r>
    </w:p>
  </w:endnote>
  <w:endnote w:type="continuationSeparator" w:id="0">
    <w:p w14:paraId="40413323" w14:textId="77777777" w:rsidR="00583362" w:rsidRDefault="00583362" w:rsidP="00EB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04099"/>
      <w:docPartObj>
        <w:docPartGallery w:val="Page Numbers (Bottom of Page)"/>
        <w:docPartUnique/>
      </w:docPartObj>
    </w:sdtPr>
    <w:sdtEndPr>
      <w:rPr>
        <w:noProof/>
      </w:rPr>
    </w:sdtEndPr>
    <w:sdtContent>
      <w:p w14:paraId="5C31DCAE" w14:textId="1D2A586A" w:rsidR="0051534B" w:rsidRDefault="0051534B">
        <w:pPr>
          <w:pStyle w:val="Footer"/>
          <w:jc w:val="right"/>
        </w:pPr>
        <w:r>
          <w:fldChar w:fldCharType="begin"/>
        </w:r>
        <w:r>
          <w:instrText xml:space="preserve"> PAGE   \* MERGEFORMAT </w:instrText>
        </w:r>
        <w:r>
          <w:fldChar w:fldCharType="separate"/>
        </w:r>
        <w:r w:rsidR="00456628">
          <w:rPr>
            <w:noProof/>
          </w:rPr>
          <w:t>2</w:t>
        </w:r>
        <w:r>
          <w:rPr>
            <w:noProof/>
          </w:rPr>
          <w:fldChar w:fldCharType="end"/>
        </w:r>
      </w:p>
    </w:sdtContent>
  </w:sdt>
  <w:p w14:paraId="7FEBDED1" w14:textId="77777777" w:rsidR="0051534B" w:rsidRDefault="0051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1619" w14:textId="77777777" w:rsidR="00583362" w:rsidRDefault="00583362" w:rsidP="00EB0921">
      <w:pPr>
        <w:spacing w:after="0" w:line="240" w:lineRule="auto"/>
      </w:pPr>
      <w:r>
        <w:separator/>
      </w:r>
    </w:p>
  </w:footnote>
  <w:footnote w:type="continuationSeparator" w:id="0">
    <w:p w14:paraId="186ABE22" w14:textId="77777777" w:rsidR="00583362" w:rsidRDefault="00583362" w:rsidP="00EB0921">
      <w:pPr>
        <w:spacing w:after="0" w:line="240" w:lineRule="auto"/>
      </w:pPr>
      <w:r>
        <w:continuationSeparator/>
      </w:r>
    </w:p>
  </w:footnote>
  <w:footnote w:id="1">
    <w:p w14:paraId="432D6316" w14:textId="4B122BD6" w:rsidR="0051534B" w:rsidRPr="00575123" w:rsidRDefault="0051534B">
      <w:pPr>
        <w:pStyle w:val="FootnoteText"/>
        <w:rPr>
          <w:rFonts w:ascii="Times New Roman" w:hAnsi="Times New Roman" w:cs="Times New Roman"/>
          <w:highlight w:val="green"/>
          <w:lang w:val="en-US"/>
        </w:rPr>
      </w:pPr>
      <w:r w:rsidRPr="00575123">
        <w:rPr>
          <w:rStyle w:val="FootnoteReference"/>
          <w:rFonts w:ascii="Times New Roman" w:hAnsi="Times New Roman" w:cs="Times New Roman"/>
          <w:highlight w:val="green"/>
        </w:rPr>
        <w:footnoteRef/>
      </w:r>
      <w:r w:rsidRPr="00575123">
        <w:rPr>
          <w:rFonts w:ascii="Times New Roman" w:hAnsi="Times New Roman" w:cs="Times New Roman"/>
          <w:highlight w:val="green"/>
          <w:lang w:val="en-US"/>
        </w:rPr>
        <w:t xml:space="preserve"> We acknowledge that many studies examine opinion congruence on specific issues rather than congruence across a wide range of issues. While obviously more limited, the findings presented here should still be of interest, such as those regarding the number of policy statements. In addition, many scholarly endeavors remain concerned with a global assessments of the opinion congruence between voters and elites in their research questions</w:t>
      </w:r>
      <w:r w:rsidRPr="00575123">
        <w:rPr>
          <w:rFonts w:ascii="Times New Roman" w:hAnsi="Times New Roman" w:cs="Times New Roman"/>
          <w:highlight w:val="green"/>
          <w:lang w:val="en-US"/>
        </w:rPr>
        <w:fldChar w:fldCharType="begin"/>
      </w:r>
      <w:r w:rsidRPr="00575123">
        <w:rPr>
          <w:rFonts w:ascii="Times New Roman" w:hAnsi="Times New Roman" w:cs="Times New Roman"/>
          <w:highlight w:val="green"/>
          <w:lang w:val="en-US"/>
        </w:rPr>
        <w:instrText xml:space="preserve"> ADDIN ZOTERO_ITEM CSL_CITATION {"citationID":"1xt7C5RN","properties":{"formattedCitation":"(Romeijn 2018; Schakel and Hakhverdian 2018a; Werner 2020)","plainCitation":"(Romeijn 2018; Schakel and Hakhverdian 2018a; Werner 2020)","noteIndex":1},"citationItems":[{"id":1328,"uris":["http://zotero.org/users/local/uk8r6OrS/items/8H89Q7H8"],"uri":["http://zotero.org/users/local/uk8r6OrS/items/8H89Q7H8"],"itemData":{"id":1328,"type":"article-journal","container-title":"Party Politics","DOI":"10.1177/1354068818787346","ISSN":"1354-0688, 1460-3683","journalAbbreviation":"Party Politics","language":"en","page":"135406881878734","source":"DOI.org (Crossref)","title":"Do political parties listen to the(ir) public? Public opinion–party linkage on specific policy issues","title-short":"Do political parties listen to the(ir) public?","author":[{"family":"Romeijn","given":"Jeroen"}],"issued":{"date-parts":[["2018",7,16]]}}},{"id":846,"uris":["http://zotero.org/users/local/uk8r6OrS/items/HVXC5Q2R"],"uri":["http://zotero.org/users/local/uk8r6OrS/items/HVXC5Q2R"],"itemData":{"id":846,"type":"article-journal","abstract":"This study examines whether or not political representation in the Netherlands is biased toward the rich and higher educated by comparing the political orientations of members of parliament to those of the electorate. The analyses reveal stark differences in the representation of different socio-economic groups. The political views of elected national representatives are far more similar to those of rich, higher educated citizens than to those with less income and education. Moreover, a longitudinal analysis reveals that inequalities in political representation have actually grown in recent years. We also show that the use of measures of ideological self-identification might to lead to highly misleading results regarding the nature of political representation as opposed to the use of issue items. We conclude that, despite a highly proportional electoral system, the views which are represented in the Dutch lower house of parliament contain major distortions of the views of the broader electorate.","container-title":"European Political Science Review","DOI":"10.1017/S1755773918000036","ISSN":"1755-7739, 1755-7747","issue":"3","journalAbbreviation":"Eur. Pol. Sci. Rev.","language":"en","page":"441-465","source":"DOI.org (Crossref)","title":"Ideological congruence and socio-economic inequality","volume":"10","author":[{"family":"Schakel","given":"Wouter"},{"family":"Hakhverdian","given":"Armen"}],"issued":{"date-parts":[["2018",8]]}}},{"id":1330,"uris":["http://zotero.org/users/local/uk8r6OrS/items/MEWQJUM5"],"uri":["http://zotero.org/users/local/uk8r6OrS/items/MEWQJUM5"],"itemData":{"id":1330,"type":"article-journal","abstract":"One of the most common critiques of political parties is that they no longer represent the interests of their voters. On one hand, representation literature tasks all parties equally to ensure high ideological congruence with their voters. On the other hand, party behaviour literature acknowledges that parties have legitimately different primary goals, in particular vote-maximisation or policy-seeking. Thus, this article analyses whether ideological congruence depends on the general goals that parties pursue. Furthermore, this article proposes a novel, distribution-based measure of party-voter ideological congruence that reduces the loss of voter information stemming from the many-to-one data relationship. This measure is applied to 470 data points from parties in 10 Western European countries from 1970 to 2009. The article finds that vote-maximising parties create higher levels of congruence than policy-seeking parties. On this basis, the article calls for evaluations of party behaviour considering party-type specificity.","container-title":"The British Journal of Politics and International Relations","DOI":"10.1177/1369148119873102","ISSN":"1369-1481, 1467-856X","issue":"1","journalAbbreviation":"The British Journal of Politics and International Relations","language":"en","page":"122-142","source":"DOI.org (Crossref)","title":"Representation in Western Europe: Connecting party-voter congruence and party goals","title-short":"Representation in Western Europe","volume":"22","author":[{"family":"Werner","given":"Annika"}],"issued":{"date-parts":[["2020",2]]}}}],"schema":"https://github.com/citation-style-language/schema/raw/master/csl-citation.json"} </w:instrText>
      </w:r>
      <w:r w:rsidRPr="00575123">
        <w:rPr>
          <w:rFonts w:ascii="Times New Roman" w:hAnsi="Times New Roman" w:cs="Times New Roman"/>
          <w:highlight w:val="green"/>
          <w:lang w:val="en-US"/>
        </w:rPr>
        <w:fldChar w:fldCharType="end"/>
      </w:r>
      <w:r w:rsidRPr="00575123">
        <w:rPr>
          <w:rFonts w:ascii="Times New Roman" w:hAnsi="Times New Roman" w:cs="Times New Roman"/>
          <w:highlight w:val="green"/>
          <w:lang w:val="en-US"/>
        </w:rPr>
        <w:t xml:space="preserve"> </w:t>
      </w:r>
      <w:r w:rsidRPr="00575123">
        <w:rPr>
          <w:rFonts w:ascii="Times New Roman" w:hAnsi="Times New Roman" w:cs="Times New Roman"/>
          <w:highlight w:val="green"/>
          <w:lang w:val="en-US"/>
        </w:rPr>
        <w:fldChar w:fldCharType="begin"/>
      </w:r>
      <w:r w:rsidRPr="00575123">
        <w:rPr>
          <w:rFonts w:ascii="Times New Roman" w:hAnsi="Times New Roman" w:cs="Times New Roman"/>
          <w:highlight w:val="green"/>
          <w:lang w:val="en-US"/>
        </w:rPr>
        <w:instrText xml:space="preserve"> ADDIN ZOTERO_ITEM CSL_CITATION {"citationID":"AQQxE59g","properties":{"formattedCitation":"(Romeijn 2018; Schakel and Hakhverdian 2018b; Walgrave and Lesschaeve 2017; Werner 2020)","plainCitation":"(Romeijn 2018; Schakel and Hakhverdian 2018b; Walgrave and Lesschaeve 2017; Werner 2020)","noteIndex":1},"citationItems":[{"id":1328,"uris":["http://zotero.org/users/local/uk8r6OrS/items/8H89Q7H8"],"uri":["http://zotero.org/users/local/uk8r6OrS/items/8H89Q7H8"],"itemData":{"id":1328,"type":"article-journal","container-title":"Party Politics","DOI":"10.1177/1354068818787346","ISSN":"1354-0688, 1460-3683","journalAbbreviation":"Party Politics","language":"en","page":"135406881878734","source":"DOI.org (Crossref)","title":"Do political parties listen to the(ir) public? Public opinion–party linkage on specific policy issues","title-short":"Do political parties listen to the(ir) public?","author":[{"family":"Romeijn","given":"Jeroen"}],"issued":{"date-parts":[["2018",7,16]]}}},{"id":"zNFxbYtK/5uUVAzVS","uris":["http://zotero.org/users/local/nnA3Jm4s/items/KV66NGIM"],"uri":["http://zotero.org/users/local/nnA3Jm4s/items/KV66NGIM"],"itemData":{"id":"zNFxbYtK/5uUVAzVS","type":"article-journal","abstract":"This study examines whether or not political representation in the Netherlands is biased toward the rich and higher educated by comparing the political orientations of members of parliament to those of the electorate. The analyses reveal stark differences in the representation of different socio-economic groups. The political views of elected national representatives are far more similar to those of rich, higher educated citizens than to those with less income and education. Moreover, a longitudinal analysis reveals that inequalities in political representation have actually grown in recent years. We also show that the use of measures of ideological self-identification might to lead to highly misleading results regarding the nature of political representation as opposed to the use of issue items. We conclude that, despite a highly proportional electoral system, the views which are represented in the Dutch lower house of parliament contain major distortions of the views of the broader electorate.","container-title":"European Political Science Review","DOI":"10.1017/S1755773918000036","ISSN":"1755-7739, 1755-7747","issue":"3","journalAbbreviation":"Eur. Pol. Sci. Rev.","language":"en","page":"441-465","source":"DOI.org (Crossref)","title":"Ideological congruence and socio-economic inequality","volume":"10","author":[{"family":"Schakel","given":"Wouter"},{"family":"Hakhverdian","given":"Armen"}],"issued":{"date-parts":[["2018",8]]}}},{"id":564,"uris":["http://zotero.org/users/local/uk8r6OrS/items/WRTVWIKE"],"uri":["http://zotero.org/users/local/uk8r6OrS/items/WRTVWIKE"],"itemData":{"id":564,"type":"article-journal","container-title":"Electoral Studies","DOI":"10.1016/j.electstud.2017.09.001","ISSN":"02613794","journalAbbreviation":"Electoral Studies","language":"en","page":"1-14","source":"DOI.org (Crossref)","title":"The Matthew effect in electoral campaigns: Increasing policy congruence inequality during the campaign","title-short":"The Matthew effect in electoral campaigns","volume":"50","author":[{"family":"Walgrave","given":"Stefaan"},{"family":"Lesschaeve","given":"Christophe"}],"issued":{"date-parts":[["2017",12]]}}},{"id":1330,"uris":["http://zotero.org/users/local/uk8r6OrS/items/MEWQJUM5"],"uri":["http://zotero.org/users/local/uk8r6OrS/items/MEWQJUM5"],"itemData":{"id":1330,"type":"article-journal","abstract":"One of the most common critiques of political parties is that they no longer represent the interests of their voters. On one hand, representation literature tasks all parties equally to ensure high ideological congruence with their voters. On the other hand, party behaviour literature acknowledges that parties have legitimately different primary goals, in particular vote-maximisation or policy-seeking. Thus, this article analyses whether ideological congruence depends on the general goals that parties pursue. Furthermore, this article proposes a novel, distribution-based measure of party-voter ideological congruence that reduces the loss of voter information stemming from the many-to-one data relationship. This measure is applied to 470 data points from parties in 10 Western European countries from 1970 to 2009. The article finds that vote-maximising parties create higher levels of congruence than policy-seeking parties. On this basis, the article calls for evaluations of party behaviour considering party-type specificity.","container-title":"The British Journal of Politics and International Relations","DOI":"10.1177/1369148119873102","ISSN":"1369-1481, 1467-856X","issue":"1","journalAbbreviation":"The British Journal of Politics and International Relations","language":"en","page":"122-142","source":"DOI.org (Crossref)","title":"Representation in Western Europe: Connecting party-voter congruence and party goals","title-short":"Representation in Western Europe","volume":"22","author":[{"family":"Werner","given":"Annika"}],"issued":{"date-parts":[["2020",2]]}}}],"schema":"https://github.com/citation-style-language/schema/raw/master/csl-citation.json"} </w:instrText>
      </w:r>
      <w:r w:rsidRPr="00575123">
        <w:rPr>
          <w:rFonts w:ascii="Times New Roman" w:hAnsi="Times New Roman" w:cs="Times New Roman"/>
          <w:highlight w:val="green"/>
          <w:lang w:val="en-US"/>
        </w:rPr>
        <w:fldChar w:fldCharType="separate"/>
      </w:r>
      <w:r w:rsidRPr="00575123">
        <w:rPr>
          <w:rFonts w:ascii="Times New Roman" w:hAnsi="Times New Roman" w:cs="Times New Roman"/>
          <w:highlight w:val="green"/>
          <w:lang w:val="en-US"/>
        </w:rPr>
        <w:t>(Romeijn 2018; Schakel and Hakhverdian 2018b; Walgrave and Lesschaeve 2017; Werner 2020)</w:t>
      </w:r>
      <w:r w:rsidRPr="00575123">
        <w:rPr>
          <w:rFonts w:ascii="Times New Roman" w:hAnsi="Times New Roman" w:cs="Times New Roman"/>
          <w:highlight w:val="green"/>
          <w:lang w:val="en-US"/>
        </w:rPr>
        <w:fldChar w:fldCharType="end"/>
      </w:r>
      <w:r w:rsidRPr="00575123">
        <w:rPr>
          <w:rFonts w:ascii="Times New Roman" w:hAnsi="Times New Roman" w:cs="Times New Roman"/>
          <w:highlight w:val="green"/>
          <w:lang w:val="en-US"/>
        </w:rPr>
        <w:t xml:space="preserve">. It is primarily in the efforts to make those global measurements better that </w:t>
      </w:r>
      <w:r w:rsidR="00001B74" w:rsidRPr="00575123">
        <w:rPr>
          <w:rFonts w:ascii="Times New Roman" w:hAnsi="Times New Roman" w:cs="Times New Roman"/>
          <w:highlight w:val="green"/>
          <w:lang w:val="en-US"/>
        </w:rPr>
        <w:t xml:space="preserve">the </w:t>
      </w:r>
      <w:r w:rsidRPr="00575123">
        <w:rPr>
          <w:rFonts w:ascii="Times New Roman" w:hAnsi="Times New Roman" w:cs="Times New Roman"/>
          <w:highlight w:val="green"/>
          <w:lang w:val="en-US"/>
        </w:rPr>
        <w:t>contributions of this article should be viewed.</w:t>
      </w:r>
    </w:p>
  </w:footnote>
  <w:footnote w:id="2">
    <w:p w14:paraId="5E601CBA" w14:textId="4C4B030E" w:rsidR="0051534B" w:rsidRPr="0051534B" w:rsidRDefault="0051534B">
      <w:pPr>
        <w:pStyle w:val="FootnoteText"/>
        <w:rPr>
          <w:lang w:val="en-US"/>
        </w:rPr>
      </w:pPr>
      <w:r w:rsidRPr="00575123">
        <w:rPr>
          <w:rStyle w:val="FootnoteReference"/>
          <w:rFonts w:ascii="Times New Roman" w:hAnsi="Times New Roman" w:cs="Times New Roman"/>
          <w:highlight w:val="green"/>
        </w:rPr>
        <w:footnoteRef/>
      </w:r>
      <w:r w:rsidRPr="00575123">
        <w:rPr>
          <w:rFonts w:ascii="Times New Roman" w:hAnsi="Times New Roman" w:cs="Times New Roman"/>
          <w:highlight w:val="green"/>
          <w:lang w:val="en-US"/>
        </w:rPr>
        <w:t xml:space="preserve"> This definition thus excludes issues on which there is a broad social consensus. Including them would make the actual level opinion congruence by definition very high and render it an almost useless concept.</w:t>
      </w:r>
    </w:p>
  </w:footnote>
  <w:footnote w:id="3">
    <w:p w14:paraId="1F76CC41" w14:textId="72D9BBD6"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highlight w:val="yellow"/>
        </w:rPr>
        <w:footnoteRef/>
      </w:r>
      <w:r w:rsidRPr="00250D10">
        <w:rPr>
          <w:rFonts w:ascii="Times New Roman" w:hAnsi="Times New Roman" w:cs="Times New Roman"/>
          <w:highlight w:val="yellow"/>
          <w:lang w:val="en-US"/>
        </w:rPr>
        <w:t xml:space="preserve"> See Table A1 in the Appendix for a comparison between the sample and Flemish population.</w:t>
      </w:r>
    </w:p>
  </w:footnote>
  <w:footnote w:id="4">
    <w:p w14:paraId="31BA7A67" w14:textId="4A1E546F" w:rsidR="00A96FEA" w:rsidRPr="00A96FEA" w:rsidRDefault="00A96FEA">
      <w:pPr>
        <w:pStyle w:val="FootnoteText"/>
        <w:rPr>
          <w:rFonts w:ascii="Times New Roman" w:hAnsi="Times New Roman" w:cs="Times New Roman"/>
          <w:lang w:val="en-US"/>
        </w:rPr>
      </w:pPr>
      <w:r w:rsidRPr="00A96FEA">
        <w:rPr>
          <w:rStyle w:val="FootnoteReference"/>
          <w:rFonts w:ascii="Times New Roman" w:hAnsi="Times New Roman" w:cs="Times New Roman"/>
          <w:highlight w:val="green"/>
        </w:rPr>
        <w:footnoteRef/>
      </w:r>
      <w:r w:rsidRPr="00A96FEA">
        <w:rPr>
          <w:rFonts w:ascii="Times New Roman" w:hAnsi="Times New Roman" w:cs="Times New Roman"/>
          <w:highlight w:val="green"/>
          <w:lang w:val="en-US"/>
        </w:rPr>
        <w:t xml:space="preserve"> While these efforts were largely successful, some statements inevitably touched upon more divisive issues than others. </w:t>
      </w:r>
      <w:r>
        <w:rPr>
          <w:rFonts w:ascii="Times New Roman" w:hAnsi="Times New Roman" w:cs="Times New Roman"/>
          <w:highlight w:val="green"/>
          <w:lang w:val="en-US"/>
        </w:rPr>
        <w:t>Therefore</w:t>
      </w:r>
      <w:r w:rsidRPr="00A96FEA">
        <w:rPr>
          <w:rFonts w:ascii="Times New Roman" w:hAnsi="Times New Roman" w:cs="Times New Roman"/>
          <w:highlight w:val="green"/>
          <w:lang w:val="en-US"/>
        </w:rPr>
        <w:t xml:space="preserve">, we ran two robustness checks. </w:t>
      </w:r>
      <w:r>
        <w:rPr>
          <w:rFonts w:ascii="Times New Roman" w:hAnsi="Times New Roman" w:cs="Times New Roman"/>
          <w:highlight w:val="green"/>
          <w:lang w:val="en-US"/>
        </w:rPr>
        <w:t>In a first</w:t>
      </w:r>
      <w:r w:rsidRPr="00A96FEA">
        <w:rPr>
          <w:rFonts w:ascii="Times New Roman" w:hAnsi="Times New Roman" w:cs="Times New Roman"/>
          <w:highlight w:val="green"/>
          <w:lang w:val="en-US"/>
        </w:rPr>
        <w:t xml:space="preserve">, we limited our analyses to congruence scores calculated on the basis of only those statements where at least </w:t>
      </w:r>
      <w:r>
        <w:rPr>
          <w:rFonts w:ascii="Times New Roman" w:hAnsi="Times New Roman" w:cs="Times New Roman"/>
          <w:highlight w:val="green"/>
          <w:lang w:val="en-US"/>
        </w:rPr>
        <w:t>two</w:t>
      </w:r>
      <w:r w:rsidRPr="00A96FEA">
        <w:rPr>
          <w:rFonts w:ascii="Times New Roman" w:hAnsi="Times New Roman" w:cs="Times New Roman"/>
          <w:highlight w:val="green"/>
          <w:lang w:val="en-US"/>
        </w:rPr>
        <w:t xml:space="preserve"> out of six parties had a different opinion than the other four. A second check limited the statements to those where </w:t>
      </w:r>
      <w:r>
        <w:rPr>
          <w:rFonts w:ascii="Times New Roman" w:hAnsi="Times New Roman" w:cs="Times New Roman"/>
          <w:highlight w:val="green"/>
          <w:lang w:val="en-US"/>
        </w:rPr>
        <w:t>the majority opinion</w:t>
      </w:r>
      <w:r w:rsidR="00001B74">
        <w:rPr>
          <w:rFonts w:ascii="Times New Roman" w:hAnsi="Times New Roman" w:cs="Times New Roman"/>
          <w:highlight w:val="green"/>
          <w:lang w:val="en-US"/>
        </w:rPr>
        <w:t xml:space="preserve"> among voters</w:t>
      </w:r>
      <w:r w:rsidRPr="00A96FEA">
        <w:rPr>
          <w:rFonts w:ascii="Times New Roman" w:hAnsi="Times New Roman" w:cs="Times New Roman"/>
          <w:highlight w:val="green"/>
          <w:lang w:val="en-US"/>
        </w:rPr>
        <w:t xml:space="preserve"> (in our sample) </w:t>
      </w:r>
      <w:r>
        <w:rPr>
          <w:rFonts w:ascii="Times New Roman" w:hAnsi="Times New Roman" w:cs="Times New Roman"/>
          <w:highlight w:val="green"/>
          <w:lang w:val="en-US"/>
        </w:rPr>
        <w:t>did not exceed 75%</w:t>
      </w:r>
      <w:r w:rsidRPr="00A96FEA">
        <w:rPr>
          <w:rFonts w:ascii="Times New Roman" w:hAnsi="Times New Roman" w:cs="Times New Roman"/>
          <w:highlight w:val="green"/>
          <w:lang w:val="en-US"/>
        </w:rPr>
        <w:t>. Both analyses, reported in Tables A10 and A11 confirm the findings reported in the main analyses.</w:t>
      </w:r>
    </w:p>
  </w:footnote>
  <w:footnote w:id="5">
    <w:p w14:paraId="5B37D3A5" w14:textId="46153A6E"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highlight w:val="yellow"/>
        </w:rPr>
        <w:footnoteRef/>
      </w:r>
      <w:r w:rsidRPr="00250D10">
        <w:rPr>
          <w:rFonts w:ascii="Times New Roman" w:hAnsi="Times New Roman" w:cs="Times New Roman"/>
          <w:highlight w:val="yellow"/>
          <w:lang w:val="en-US"/>
        </w:rPr>
        <w:t xml:space="preserve"> To test whether the survey length and the large number of statements lead to survey fatigue despite the two wave design, we repeated the analyses for only the policy statements asked in the first wave. The results, reported in Table A3 in the Appendix, are substantially identical.</w:t>
      </w:r>
      <w:r w:rsidRPr="00250D10">
        <w:rPr>
          <w:rFonts w:ascii="Times New Roman" w:hAnsi="Times New Roman" w:cs="Times New Roman"/>
          <w:lang w:val="en-US"/>
        </w:rPr>
        <w:t xml:space="preserve"> </w:t>
      </w:r>
    </w:p>
  </w:footnote>
  <w:footnote w:id="6">
    <w:p w14:paraId="1F4C40F4" w14:textId="32E49CF7"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rPr>
        <w:footnoteRef/>
      </w:r>
      <w:r w:rsidRPr="00250D10">
        <w:rPr>
          <w:rFonts w:ascii="Times New Roman" w:hAnsi="Times New Roman" w:cs="Times New Roman"/>
          <w:lang w:val="en-US"/>
        </w:rPr>
        <w:t xml:space="preserve"> We acknowledge that this is but one of several conceptualizations of voter-party opinion congruence </w:t>
      </w:r>
      <w:r w:rsidRPr="00250D10">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{"citationID":"BGvjcQq6","properties":{"formattedCitation":"(Golder and Stramski 2010; Ruedin 2012)","plainCitation":"(Golder and Stramski 2010; Ruedin 2012)","noteIndex":4},"citationItems":[{"id":839,"uris":["http://zotero.org/users/local/uk8r6OrS/items/VFGCV5MN"],"uri":["http://zotero.org/users/local/uk8r6OrS/items/VFGCV5MN"],"itemData":{"id":839,"type":"article-journal","container-title":"American Journal of Political Science","DOI":"10.1111/j.1540-5907.2009.00420.x","ISSN":"00925853, 15405907","issue":"1","language":"en","page":"90-106","source":"DOI.org (Crossref)","title":"Ideological Congruence and Electoral Institutions","volume":"54","author":[{"family":"Golder","given":"Matt"},{"family":"Stramski","given":"Jacek"}],"issued":{"date-parts":[["2010",1]]}}},{"id":810,"uris":["http://zotero.org/users/local/uk8r6OrS/items/6IN3A4XB"],"uri":["http://zotero.org/users/local/uk8r6OrS/items/6IN3A4XB"],"itemData":{"id":810,"type":"article-journal","container-title":"Representation","DOI":"10.1080/00344893.2012.653248","ISSN":"0034-4893, 1749-4001","issue":"1","journalAbbreviation":"Representation","language":"en","page":"115-129","source":"DOI.org (Crossref)","title":"Individual Representation: A Different Approach to Politial Representation","title-short":"INDIVIDUAL REPRESENTATION","volume":"48","author":[{"family":"Ruedin","given":"Didier"}],"issued":{"date-parts":[["2012",4]]}}}],"schema":"https://github.com/citation-style-language/schema/raw/master/csl-citation.json"} </w:instrText>
      </w:r>
      <w:r w:rsidRPr="00250D10">
        <w:rPr>
          <w:rFonts w:ascii="Times New Roman" w:hAnsi="Times New Roman" w:cs="Times New Roman"/>
          <w:lang w:val="en-US"/>
        </w:rPr>
        <w:fldChar w:fldCharType="separate"/>
      </w:r>
      <w:r w:rsidRPr="00250D10">
        <w:rPr>
          <w:rFonts w:ascii="Times New Roman" w:hAnsi="Times New Roman" w:cs="Times New Roman"/>
          <w:lang w:val="en-US"/>
        </w:rPr>
        <w:t>(Golder and Stramski 2010; Ruedin 2012)</w:t>
      </w:r>
      <w:r w:rsidRPr="00250D10">
        <w:rPr>
          <w:rFonts w:ascii="Times New Roman" w:hAnsi="Times New Roman" w:cs="Times New Roman"/>
          <w:lang w:val="en-US"/>
        </w:rPr>
        <w:fldChar w:fldCharType="end"/>
      </w:r>
      <w:r w:rsidRPr="00250D10">
        <w:rPr>
          <w:rFonts w:ascii="Times New Roman" w:hAnsi="Times New Roman" w:cs="Times New Roman"/>
          <w:lang w:val="en-US"/>
        </w:rPr>
        <w:t xml:space="preserve">, though it is the one most frequently encountered in the literature. Extending the analyses to other conceptualizations is, however, beyond the scope of this study. </w:t>
      </w:r>
    </w:p>
  </w:footnote>
  <w:footnote w:id="7">
    <w:p w14:paraId="25D8D9EE" w14:textId="2A5C9152" w:rsidR="0051534B" w:rsidRPr="00250D10" w:rsidRDefault="0051534B" w:rsidP="00DB32B8">
      <w:pPr>
        <w:pStyle w:val="FootnoteText"/>
        <w:rPr>
          <w:rFonts w:ascii="Times New Roman" w:hAnsi="Times New Roman" w:cs="Times New Roman"/>
          <w:lang w:val="en-US"/>
        </w:rPr>
      </w:pPr>
      <w:r w:rsidRPr="00250D10">
        <w:rPr>
          <w:rStyle w:val="FootnoteReference"/>
          <w:rFonts w:ascii="Times New Roman" w:hAnsi="Times New Roman" w:cs="Times New Roman"/>
        </w:rPr>
        <w:footnoteRef/>
      </w:r>
      <w:r w:rsidRPr="00250D10">
        <w:rPr>
          <w:rFonts w:ascii="Times New Roman" w:hAnsi="Times New Roman" w:cs="Times New Roman"/>
          <w:lang w:val="en-US"/>
        </w:rPr>
        <w:t xml:space="preserve"> All codings were done by the authors. A second coding indicated this coding to be reliable (Kippendorf’s Alpha of 0.83).</w:t>
      </w:r>
    </w:p>
  </w:footnote>
  <w:footnote w:id="8">
    <w:p w14:paraId="2F36C936" w14:textId="00A371C6"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highlight w:val="yellow"/>
        </w:rPr>
        <w:footnoteRef/>
      </w:r>
      <w:r w:rsidRPr="00250D10">
        <w:rPr>
          <w:rFonts w:ascii="Times New Roman" w:hAnsi="Times New Roman" w:cs="Times New Roman"/>
          <w:highlight w:val="yellow"/>
          <w:lang w:val="en-US"/>
        </w:rPr>
        <w:t xml:space="preserve"> The maximum possible value is the size of the statement sample times two.</w:t>
      </w:r>
    </w:p>
  </w:footnote>
  <w:footnote w:id="9">
    <w:p w14:paraId="34130476" w14:textId="3B22DEB2"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highlight w:val="yellow"/>
        </w:rPr>
        <w:footnoteRef/>
      </w:r>
      <w:r w:rsidRPr="00250D10">
        <w:rPr>
          <w:rFonts w:ascii="Times New Roman" w:hAnsi="Times New Roman" w:cs="Times New Roman"/>
          <w:highlight w:val="yellow"/>
          <w:lang w:val="en-US"/>
        </w:rPr>
        <w:t xml:space="preserve"> To assess the robustness of the findings presented in Table 1, we conducted three additional analyses. First, we tested whether the results hold when OCV is aggregated across the entire sample of voters. The results, reported in the Appendix in Table A7, confirm the findings of Table 1. In addition, we tested whether similar results are found when we limit the analyses to statements belonging to one ideological dimensi</w:t>
      </w:r>
      <w:r>
        <w:rPr>
          <w:rFonts w:ascii="Times New Roman" w:hAnsi="Times New Roman" w:cs="Times New Roman"/>
          <w:highlight w:val="yellow"/>
          <w:lang w:val="en-US"/>
        </w:rPr>
        <w:t>on (economic or cultural). This</w:t>
      </w:r>
      <w:r w:rsidRPr="00250D10">
        <w:rPr>
          <w:rFonts w:ascii="Times New Roman" w:hAnsi="Times New Roman" w:cs="Times New Roman"/>
          <w:highlight w:val="yellow"/>
          <w:lang w:val="en-US"/>
        </w:rPr>
        <w:t xml:space="preserve"> proved to be the case, as is reported in Table A8 in the Appendix. Third, we tested and confirmed in Table A9 in the Appendix that the results hold the analyses are run for each of the six political parties separately.</w:t>
      </w:r>
    </w:p>
  </w:footnote>
  <w:footnote w:id="10">
    <w:p w14:paraId="587111BD" w14:textId="1D2BD9D1" w:rsidR="0051534B" w:rsidRPr="00250D10" w:rsidRDefault="0051534B">
      <w:pPr>
        <w:pStyle w:val="FootnoteText"/>
        <w:rPr>
          <w:rFonts w:ascii="Times New Roman" w:hAnsi="Times New Roman" w:cs="Times New Roman"/>
          <w:lang w:val="en-US"/>
        </w:rPr>
      </w:pPr>
      <w:r w:rsidRPr="00250D10">
        <w:rPr>
          <w:rStyle w:val="FootnoteReference"/>
          <w:rFonts w:ascii="Times New Roman" w:hAnsi="Times New Roman" w:cs="Times New Roman"/>
          <w:highlight w:val="yellow"/>
        </w:rPr>
        <w:footnoteRef/>
      </w:r>
      <w:r w:rsidRPr="00250D10">
        <w:rPr>
          <w:rFonts w:ascii="Times New Roman" w:hAnsi="Times New Roman" w:cs="Times New Roman"/>
          <w:highlight w:val="yellow"/>
          <w:lang w:val="en-US"/>
        </w:rPr>
        <w:t xml:space="preserve"> These analyses are performed on only the opinion congruence estimates of the first statement sample (step 1 in Figure 1). However, the results are similar if the estimates of the second sample are used.</w:t>
      </w:r>
      <w:r w:rsidRPr="00250D10">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85F6F"/>
    <w:multiLevelType w:val="hybridMultilevel"/>
    <w:tmpl w:val="1B5295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96"/>
    <w:rsid w:val="00000FF1"/>
    <w:rsid w:val="00001B74"/>
    <w:rsid w:val="0000236D"/>
    <w:rsid w:val="0000752C"/>
    <w:rsid w:val="00011C99"/>
    <w:rsid w:val="0002628A"/>
    <w:rsid w:val="000301FB"/>
    <w:rsid w:val="000316DB"/>
    <w:rsid w:val="000333AD"/>
    <w:rsid w:val="0003528D"/>
    <w:rsid w:val="0003648D"/>
    <w:rsid w:val="00044AAA"/>
    <w:rsid w:val="000468F0"/>
    <w:rsid w:val="00061683"/>
    <w:rsid w:val="00063404"/>
    <w:rsid w:val="00072481"/>
    <w:rsid w:val="0007278D"/>
    <w:rsid w:val="00076836"/>
    <w:rsid w:val="00082AB1"/>
    <w:rsid w:val="000836A8"/>
    <w:rsid w:val="0009676F"/>
    <w:rsid w:val="000A0EFA"/>
    <w:rsid w:val="000A2459"/>
    <w:rsid w:val="000A764F"/>
    <w:rsid w:val="000B3D04"/>
    <w:rsid w:val="000B6601"/>
    <w:rsid w:val="000B6A4B"/>
    <w:rsid w:val="000B7BA3"/>
    <w:rsid w:val="000C1CFA"/>
    <w:rsid w:val="000D0445"/>
    <w:rsid w:val="000D059E"/>
    <w:rsid w:val="000D449C"/>
    <w:rsid w:val="000D7C0A"/>
    <w:rsid w:val="000E64C3"/>
    <w:rsid w:val="000E7418"/>
    <w:rsid w:val="000F35FA"/>
    <w:rsid w:val="000F6608"/>
    <w:rsid w:val="0010247D"/>
    <w:rsid w:val="001052A0"/>
    <w:rsid w:val="00107DAF"/>
    <w:rsid w:val="00110C68"/>
    <w:rsid w:val="00112576"/>
    <w:rsid w:val="001149B9"/>
    <w:rsid w:val="00114C18"/>
    <w:rsid w:val="00114D67"/>
    <w:rsid w:val="00115F84"/>
    <w:rsid w:val="00117B78"/>
    <w:rsid w:val="00123B57"/>
    <w:rsid w:val="00123C68"/>
    <w:rsid w:val="001243A9"/>
    <w:rsid w:val="00124A68"/>
    <w:rsid w:val="0013037A"/>
    <w:rsid w:val="001343BC"/>
    <w:rsid w:val="0013529F"/>
    <w:rsid w:val="00137D25"/>
    <w:rsid w:val="0015016C"/>
    <w:rsid w:val="0015285F"/>
    <w:rsid w:val="0015410D"/>
    <w:rsid w:val="00154C41"/>
    <w:rsid w:val="0015624E"/>
    <w:rsid w:val="00161833"/>
    <w:rsid w:val="001676FF"/>
    <w:rsid w:val="00195CE0"/>
    <w:rsid w:val="00196626"/>
    <w:rsid w:val="001972A2"/>
    <w:rsid w:val="001A4AF4"/>
    <w:rsid w:val="001A7EF4"/>
    <w:rsid w:val="001B1041"/>
    <w:rsid w:val="001B49BF"/>
    <w:rsid w:val="001B7CB0"/>
    <w:rsid w:val="001C1C91"/>
    <w:rsid w:val="001C3889"/>
    <w:rsid w:val="001C41C2"/>
    <w:rsid w:val="001D0827"/>
    <w:rsid w:val="001D142A"/>
    <w:rsid w:val="001D534E"/>
    <w:rsid w:val="001E32B0"/>
    <w:rsid w:val="001E4483"/>
    <w:rsid w:val="001E78C0"/>
    <w:rsid w:val="001F4D4B"/>
    <w:rsid w:val="001F500B"/>
    <w:rsid w:val="001F555B"/>
    <w:rsid w:val="002059DA"/>
    <w:rsid w:val="0021436E"/>
    <w:rsid w:val="002147A8"/>
    <w:rsid w:val="00214E08"/>
    <w:rsid w:val="00215B40"/>
    <w:rsid w:val="002175C3"/>
    <w:rsid w:val="00224109"/>
    <w:rsid w:val="0023644C"/>
    <w:rsid w:val="00241936"/>
    <w:rsid w:val="00241EB2"/>
    <w:rsid w:val="00243C57"/>
    <w:rsid w:val="00243D4D"/>
    <w:rsid w:val="00243D87"/>
    <w:rsid w:val="00244D29"/>
    <w:rsid w:val="00245876"/>
    <w:rsid w:val="00245C52"/>
    <w:rsid w:val="00250D10"/>
    <w:rsid w:val="00252DCB"/>
    <w:rsid w:val="0025509A"/>
    <w:rsid w:val="00255D94"/>
    <w:rsid w:val="00256E32"/>
    <w:rsid w:val="00260C7C"/>
    <w:rsid w:val="00261F98"/>
    <w:rsid w:val="00265EEF"/>
    <w:rsid w:val="00272697"/>
    <w:rsid w:val="00277BD9"/>
    <w:rsid w:val="00281979"/>
    <w:rsid w:val="00282130"/>
    <w:rsid w:val="00283986"/>
    <w:rsid w:val="00283D48"/>
    <w:rsid w:val="00285391"/>
    <w:rsid w:val="00285FF0"/>
    <w:rsid w:val="0028614D"/>
    <w:rsid w:val="002866E3"/>
    <w:rsid w:val="002874AA"/>
    <w:rsid w:val="002914A0"/>
    <w:rsid w:val="002962B4"/>
    <w:rsid w:val="002976CF"/>
    <w:rsid w:val="00297C4F"/>
    <w:rsid w:val="002B167C"/>
    <w:rsid w:val="002B216F"/>
    <w:rsid w:val="002B5493"/>
    <w:rsid w:val="002B68A5"/>
    <w:rsid w:val="002B75D6"/>
    <w:rsid w:val="002B7728"/>
    <w:rsid w:val="002C0949"/>
    <w:rsid w:val="002C0BFF"/>
    <w:rsid w:val="002D5B7F"/>
    <w:rsid w:val="002D680F"/>
    <w:rsid w:val="002E2547"/>
    <w:rsid w:val="002E4F8F"/>
    <w:rsid w:val="002F0925"/>
    <w:rsid w:val="002F1F9A"/>
    <w:rsid w:val="002F2405"/>
    <w:rsid w:val="002F56E0"/>
    <w:rsid w:val="0030736B"/>
    <w:rsid w:val="0031566C"/>
    <w:rsid w:val="00320B21"/>
    <w:rsid w:val="0032236F"/>
    <w:rsid w:val="003225CA"/>
    <w:rsid w:val="00323770"/>
    <w:rsid w:val="0032424D"/>
    <w:rsid w:val="0032460D"/>
    <w:rsid w:val="003320F4"/>
    <w:rsid w:val="0033247B"/>
    <w:rsid w:val="003354D9"/>
    <w:rsid w:val="0033736B"/>
    <w:rsid w:val="00341782"/>
    <w:rsid w:val="00352BAB"/>
    <w:rsid w:val="00353EAA"/>
    <w:rsid w:val="0035472F"/>
    <w:rsid w:val="003551AC"/>
    <w:rsid w:val="00370AE7"/>
    <w:rsid w:val="0037143E"/>
    <w:rsid w:val="003715E0"/>
    <w:rsid w:val="0037289C"/>
    <w:rsid w:val="00381918"/>
    <w:rsid w:val="00382961"/>
    <w:rsid w:val="003945D5"/>
    <w:rsid w:val="00394C0E"/>
    <w:rsid w:val="003A2E8B"/>
    <w:rsid w:val="003A67A1"/>
    <w:rsid w:val="003A6D40"/>
    <w:rsid w:val="003A7D8B"/>
    <w:rsid w:val="003B2252"/>
    <w:rsid w:val="003B4C15"/>
    <w:rsid w:val="003B53AF"/>
    <w:rsid w:val="003B6C86"/>
    <w:rsid w:val="003C08F7"/>
    <w:rsid w:val="003C0AF9"/>
    <w:rsid w:val="003C2D7A"/>
    <w:rsid w:val="003C49F7"/>
    <w:rsid w:val="003C4BEB"/>
    <w:rsid w:val="003C5050"/>
    <w:rsid w:val="003C7F97"/>
    <w:rsid w:val="003D252C"/>
    <w:rsid w:val="003E0A28"/>
    <w:rsid w:val="003E0BB6"/>
    <w:rsid w:val="003E2377"/>
    <w:rsid w:val="003F346A"/>
    <w:rsid w:val="004047BE"/>
    <w:rsid w:val="00421129"/>
    <w:rsid w:val="00426948"/>
    <w:rsid w:val="004273E6"/>
    <w:rsid w:val="00427FE7"/>
    <w:rsid w:val="004357A4"/>
    <w:rsid w:val="00437C50"/>
    <w:rsid w:val="00441B02"/>
    <w:rsid w:val="00441C34"/>
    <w:rsid w:val="00441FD6"/>
    <w:rsid w:val="00442CBC"/>
    <w:rsid w:val="00443698"/>
    <w:rsid w:val="00446810"/>
    <w:rsid w:val="00446B8D"/>
    <w:rsid w:val="00452A2D"/>
    <w:rsid w:val="00452C42"/>
    <w:rsid w:val="0045489A"/>
    <w:rsid w:val="00454B7A"/>
    <w:rsid w:val="00456628"/>
    <w:rsid w:val="004620AA"/>
    <w:rsid w:val="00462881"/>
    <w:rsid w:val="004648EB"/>
    <w:rsid w:val="00465A15"/>
    <w:rsid w:val="0046667D"/>
    <w:rsid w:val="0047316F"/>
    <w:rsid w:val="004734ED"/>
    <w:rsid w:val="00483AB1"/>
    <w:rsid w:val="00485748"/>
    <w:rsid w:val="0048741F"/>
    <w:rsid w:val="00490C71"/>
    <w:rsid w:val="0049141B"/>
    <w:rsid w:val="004928B5"/>
    <w:rsid w:val="00493D59"/>
    <w:rsid w:val="00496752"/>
    <w:rsid w:val="004A0E4F"/>
    <w:rsid w:val="004A1BE6"/>
    <w:rsid w:val="004A3436"/>
    <w:rsid w:val="004A3563"/>
    <w:rsid w:val="004B0D13"/>
    <w:rsid w:val="004C39BD"/>
    <w:rsid w:val="004E5895"/>
    <w:rsid w:val="004E58DD"/>
    <w:rsid w:val="004F2CA6"/>
    <w:rsid w:val="004F54BE"/>
    <w:rsid w:val="004F6835"/>
    <w:rsid w:val="00502199"/>
    <w:rsid w:val="005139CD"/>
    <w:rsid w:val="0051534B"/>
    <w:rsid w:val="00516A2F"/>
    <w:rsid w:val="005220E3"/>
    <w:rsid w:val="005243B6"/>
    <w:rsid w:val="005269B8"/>
    <w:rsid w:val="00540D69"/>
    <w:rsid w:val="005464F7"/>
    <w:rsid w:val="005471A2"/>
    <w:rsid w:val="0054738B"/>
    <w:rsid w:val="00547D9F"/>
    <w:rsid w:val="005502D4"/>
    <w:rsid w:val="005519BB"/>
    <w:rsid w:val="0055582C"/>
    <w:rsid w:val="00561908"/>
    <w:rsid w:val="0056401A"/>
    <w:rsid w:val="00565A74"/>
    <w:rsid w:val="00567F60"/>
    <w:rsid w:val="005746B8"/>
    <w:rsid w:val="00575123"/>
    <w:rsid w:val="00576180"/>
    <w:rsid w:val="005800D6"/>
    <w:rsid w:val="005808AD"/>
    <w:rsid w:val="00580DA4"/>
    <w:rsid w:val="00581A5F"/>
    <w:rsid w:val="00583362"/>
    <w:rsid w:val="00584C61"/>
    <w:rsid w:val="00585988"/>
    <w:rsid w:val="00592769"/>
    <w:rsid w:val="005941EB"/>
    <w:rsid w:val="0059675D"/>
    <w:rsid w:val="005A309F"/>
    <w:rsid w:val="005A4BC1"/>
    <w:rsid w:val="005A785E"/>
    <w:rsid w:val="005B29E8"/>
    <w:rsid w:val="005B4C5A"/>
    <w:rsid w:val="005B5F76"/>
    <w:rsid w:val="005B7A4F"/>
    <w:rsid w:val="005C1C83"/>
    <w:rsid w:val="005C6012"/>
    <w:rsid w:val="005C6173"/>
    <w:rsid w:val="005C7591"/>
    <w:rsid w:val="005D2685"/>
    <w:rsid w:val="005D6235"/>
    <w:rsid w:val="005D7BA8"/>
    <w:rsid w:val="005E4CE5"/>
    <w:rsid w:val="005F343B"/>
    <w:rsid w:val="005F5431"/>
    <w:rsid w:val="005F7505"/>
    <w:rsid w:val="00621FDC"/>
    <w:rsid w:val="0062339D"/>
    <w:rsid w:val="00623632"/>
    <w:rsid w:val="00631426"/>
    <w:rsid w:val="006359DD"/>
    <w:rsid w:val="00637A4D"/>
    <w:rsid w:val="006406B7"/>
    <w:rsid w:val="006441D3"/>
    <w:rsid w:val="00646C73"/>
    <w:rsid w:val="00647047"/>
    <w:rsid w:val="00651E2E"/>
    <w:rsid w:val="006523D3"/>
    <w:rsid w:val="00652658"/>
    <w:rsid w:val="00652A3F"/>
    <w:rsid w:val="00652CE2"/>
    <w:rsid w:val="00657B2E"/>
    <w:rsid w:val="00664753"/>
    <w:rsid w:val="00666BB5"/>
    <w:rsid w:val="006671F9"/>
    <w:rsid w:val="0067549F"/>
    <w:rsid w:val="00680BDD"/>
    <w:rsid w:val="006837AE"/>
    <w:rsid w:val="00684338"/>
    <w:rsid w:val="00686D27"/>
    <w:rsid w:val="006900D5"/>
    <w:rsid w:val="006933AA"/>
    <w:rsid w:val="00696E53"/>
    <w:rsid w:val="00697C71"/>
    <w:rsid w:val="006A0F4B"/>
    <w:rsid w:val="006A3171"/>
    <w:rsid w:val="006B225C"/>
    <w:rsid w:val="006B3D63"/>
    <w:rsid w:val="006B486C"/>
    <w:rsid w:val="006B50C6"/>
    <w:rsid w:val="006B5858"/>
    <w:rsid w:val="006C6544"/>
    <w:rsid w:val="006D0AFF"/>
    <w:rsid w:val="006D6971"/>
    <w:rsid w:val="006E48F5"/>
    <w:rsid w:val="006F0E57"/>
    <w:rsid w:val="006F40CD"/>
    <w:rsid w:val="006F43BA"/>
    <w:rsid w:val="006F6419"/>
    <w:rsid w:val="00700BA3"/>
    <w:rsid w:val="00704197"/>
    <w:rsid w:val="00707DE7"/>
    <w:rsid w:val="007149E2"/>
    <w:rsid w:val="0072253C"/>
    <w:rsid w:val="00724D35"/>
    <w:rsid w:val="00730C8C"/>
    <w:rsid w:val="007321C6"/>
    <w:rsid w:val="00736A09"/>
    <w:rsid w:val="00737D82"/>
    <w:rsid w:val="00740AAA"/>
    <w:rsid w:val="00746CBB"/>
    <w:rsid w:val="00753913"/>
    <w:rsid w:val="00753D4E"/>
    <w:rsid w:val="00756D4C"/>
    <w:rsid w:val="00756D9C"/>
    <w:rsid w:val="00760A36"/>
    <w:rsid w:val="00761D8C"/>
    <w:rsid w:val="00766853"/>
    <w:rsid w:val="007670B2"/>
    <w:rsid w:val="00772C77"/>
    <w:rsid w:val="007753F2"/>
    <w:rsid w:val="0077697A"/>
    <w:rsid w:val="0078101D"/>
    <w:rsid w:val="00782624"/>
    <w:rsid w:val="00792E5A"/>
    <w:rsid w:val="00797A98"/>
    <w:rsid w:val="007A27F1"/>
    <w:rsid w:val="007A3A46"/>
    <w:rsid w:val="007A4A68"/>
    <w:rsid w:val="007A6E83"/>
    <w:rsid w:val="007B4A59"/>
    <w:rsid w:val="007C0785"/>
    <w:rsid w:val="007C283B"/>
    <w:rsid w:val="007C4700"/>
    <w:rsid w:val="007C7892"/>
    <w:rsid w:val="007E677C"/>
    <w:rsid w:val="007E7731"/>
    <w:rsid w:val="007F22C3"/>
    <w:rsid w:val="007F516F"/>
    <w:rsid w:val="007F5E7A"/>
    <w:rsid w:val="007F6469"/>
    <w:rsid w:val="00802C9A"/>
    <w:rsid w:val="00803A7A"/>
    <w:rsid w:val="00804DA1"/>
    <w:rsid w:val="008064A5"/>
    <w:rsid w:val="00807E60"/>
    <w:rsid w:val="00824EE3"/>
    <w:rsid w:val="00826379"/>
    <w:rsid w:val="00831FE6"/>
    <w:rsid w:val="00833FC3"/>
    <w:rsid w:val="00837A71"/>
    <w:rsid w:val="008419EF"/>
    <w:rsid w:val="00844359"/>
    <w:rsid w:val="0084482A"/>
    <w:rsid w:val="0084608A"/>
    <w:rsid w:val="00851C20"/>
    <w:rsid w:val="0085691C"/>
    <w:rsid w:val="00857BA1"/>
    <w:rsid w:val="00860A97"/>
    <w:rsid w:val="008617DE"/>
    <w:rsid w:val="00862AB0"/>
    <w:rsid w:val="008656CF"/>
    <w:rsid w:val="00870F74"/>
    <w:rsid w:val="008712BB"/>
    <w:rsid w:val="00872633"/>
    <w:rsid w:val="0087327F"/>
    <w:rsid w:val="00876A63"/>
    <w:rsid w:val="0089164B"/>
    <w:rsid w:val="00892C57"/>
    <w:rsid w:val="0089549D"/>
    <w:rsid w:val="008A0D2F"/>
    <w:rsid w:val="008A0F51"/>
    <w:rsid w:val="008B70A6"/>
    <w:rsid w:val="008D32B8"/>
    <w:rsid w:val="008D415A"/>
    <w:rsid w:val="008E14E8"/>
    <w:rsid w:val="008E422A"/>
    <w:rsid w:val="008E6408"/>
    <w:rsid w:val="00900AD0"/>
    <w:rsid w:val="00900DFD"/>
    <w:rsid w:val="009030CF"/>
    <w:rsid w:val="009073B5"/>
    <w:rsid w:val="009104F9"/>
    <w:rsid w:val="0091247C"/>
    <w:rsid w:val="00922667"/>
    <w:rsid w:val="009239A0"/>
    <w:rsid w:val="00931803"/>
    <w:rsid w:val="00931941"/>
    <w:rsid w:val="00933B84"/>
    <w:rsid w:val="0094025C"/>
    <w:rsid w:val="00941BE6"/>
    <w:rsid w:val="009420E5"/>
    <w:rsid w:val="0094290D"/>
    <w:rsid w:val="00945A58"/>
    <w:rsid w:val="009462AB"/>
    <w:rsid w:val="009570C4"/>
    <w:rsid w:val="009669BA"/>
    <w:rsid w:val="009730E3"/>
    <w:rsid w:val="009757E1"/>
    <w:rsid w:val="009803E4"/>
    <w:rsid w:val="009811F7"/>
    <w:rsid w:val="00986A5E"/>
    <w:rsid w:val="00987AFB"/>
    <w:rsid w:val="0099043B"/>
    <w:rsid w:val="00990D23"/>
    <w:rsid w:val="009920FD"/>
    <w:rsid w:val="00994AE0"/>
    <w:rsid w:val="009A1B38"/>
    <w:rsid w:val="009A1E62"/>
    <w:rsid w:val="009A33C4"/>
    <w:rsid w:val="009A3B4C"/>
    <w:rsid w:val="009A4F2C"/>
    <w:rsid w:val="009A74DC"/>
    <w:rsid w:val="009B069B"/>
    <w:rsid w:val="009B7A4D"/>
    <w:rsid w:val="009C1B92"/>
    <w:rsid w:val="009C5764"/>
    <w:rsid w:val="009C6283"/>
    <w:rsid w:val="009C6811"/>
    <w:rsid w:val="009D1DFD"/>
    <w:rsid w:val="009D43F6"/>
    <w:rsid w:val="009D4AFE"/>
    <w:rsid w:val="009D6481"/>
    <w:rsid w:val="009D6CE6"/>
    <w:rsid w:val="009E09A0"/>
    <w:rsid w:val="009E3DFC"/>
    <w:rsid w:val="009E7F6E"/>
    <w:rsid w:val="009F7DA9"/>
    <w:rsid w:val="00A012A1"/>
    <w:rsid w:val="00A01B71"/>
    <w:rsid w:val="00A03F82"/>
    <w:rsid w:val="00A05261"/>
    <w:rsid w:val="00A073D5"/>
    <w:rsid w:val="00A15ADE"/>
    <w:rsid w:val="00A16615"/>
    <w:rsid w:val="00A25214"/>
    <w:rsid w:val="00A27F82"/>
    <w:rsid w:val="00A36DDE"/>
    <w:rsid w:val="00A41FA9"/>
    <w:rsid w:val="00A454F5"/>
    <w:rsid w:val="00A5218A"/>
    <w:rsid w:val="00A54808"/>
    <w:rsid w:val="00A56283"/>
    <w:rsid w:val="00A63792"/>
    <w:rsid w:val="00A65DDC"/>
    <w:rsid w:val="00A7361E"/>
    <w:rsid w:val="00A75805"/>
    <w:rsid w:val="00A762D1"/>
    <w:rsid w:val="00A96FEA"/>
    <w:rsid w:val="00A97180"/>
    <w:rsid w:val="00AA11BF"/>
    <w:rsid w:val="00AA13B0"/>
    <w:rsid w:val="00AA6EF1"/>
    <w:rsid w:val="00AA7931"/>
    <w:rsid w:val="00AB30DD"/>
    <w:rsid w:val="00AB380A"/>
    <w:rsid w:val="00AB45AA"/>
    <w:rsid w:val="00AB5648"/>
    <w:rsid w:val="00AC2319"/>
    <w:rsid w:val="00AC256A"/>
    <w:rsid w:val="00AC5D55"/>
    <w:rsid w:val="00AD0F99"/>
    <w:rsid w:val="00AD15EF"/>
    <w:rsid w:val="00AD17F7"/>
    <w:rsid w:val="00AD4FD6"/>
    <w:rsid w:val="00AD64C8"/>
    <w:rsid w:val="00AD7E08"/>
    <w:rsid w:val="00AE1DC0"/>
    <w:rsid w:val="00AF1182"/>
    <w:rsid w:val="00AF199F"/>
    <w:rsid w:val="00AF1EC3"/>
    <w:rsid w:val="00AF7DC4"/>
    <w:rsid w:val="00B01645"/>
    <w:rsid w:val="00B13C97"/>
    <w:rsid w:val="00B1766F"/>
    <w:rsid w:val="00B17B17"/>
    <w:rsid w:val="00B22107"/>
    <w:rsid w:val="00B22DA6"/>
    <w:rsid w:val="00B2371E"/>
    <w:rsid w:val="00B3069F"/>
    <w:rsid w:val="00B31736"/>
    <w:rsid w:val="00B338B4"/>
    <w:rsid w:val="00B34D87"/>
    <w:rsid w:val="00B362DB"/>
    <w:rsid w:val="00B447A2"/>
    <w:rsid w:val="00B45D4F"/>
    <w:rsid w:val="00B46E7A"/>
    <w:rsid w:val="00B47106"/>
    <w:rsid w:val="00B51137"/>
    <w:rsid w:val="00B532C3"/>
    <w:rsid w:val="00B54B39"/>
    <w:rsid w:val="00B554F3"/>
    <w:rsid w:val="00B65DE3"/>
    <w:rsid w:val="00B704D7"/>
    <w:rsid w:val="00B74091"/>
    <w:rsid w:val="00B77AA4"/>
    <w:rsid w:val="00B82B2C"/>
    <w:rsid w:val="00B94754"/>
    <w:rsid w:val="00BA0F51"/>
    <w:rsid w:val="00BA32D9"/>
    <w:rsid w:val="00BA5A36"/>
    <w:rsid w:val="00BA78A0"/>
    <w:rsid w:val="00BB24C0"/>
    <w:rsid w:val="00BB2920"/>
    <w:rsid w:val="00BB7942"/>
    <w:rsid w:val="00BC038A"/>
    <w:rsid w:val="00BC1164"/>
    <w:rsid w:val="00BC7676"/>
    <w:rsid w:val="00BC78A4"/>
    <w:rsid w:val="00BD40AE"/>
    <w:rsid w:val="00BD655E"/>
    <w:rsid w:val="00BD7BDD"/>
    <w:rsid w:val="00BE0632"/>
    <w:rsid w:val="00BE1EC7"/>
    <w:rsid w:val="00BE2FAF"/>
    <w:rsid w:val="00BE4776"/>
    <w:rsid w:val="00BE697F"/>
    <w:rsid w:val="00BE7E26"/>
    <w:rsid w:val="00BF039D"/>
    <w:rsid w:val="00BF1DDA"/>
    <w:rsid w:val="00BF3533"/>
    <w:rsid w:val="00BF35F9"/>
    <w:rsid w:val="00BF512E"/>
    <w:rsid w:val="00BF56D8"/>
    <w:rsid w:val="00C0405D"/>
    <w:rsid w:val="00C11713"/>
    <w:rsid w:val="00C11C76"/>
    <w:rsid w:val="00C1306B"/>
    <w:rsid w:val="00C146BA"/>
    <w:rsid w:val="00C158F3"/>
    <w:rsid w:val="00C15F45"/>
    <w:rsid w:val="00C302F0"/>
    <w:rsid w:val="00C33A39"/>
    <w:rsid w:val="00C3429D"/>
    <w:rsid w:val="00C36902"/>
    <w:rsid w:val="00C40762"/>
    <w:rsid w:val="00C4312B"/>
    <w:rsid w:val="00C445B6"/>
    <w:rsid w:val="00C446C4"/>
    <w:rsid w:val="00C47005"/>
    <w:rsid w:val="00C500EA"/>
    <w:rsid w:val="00C50AD1"/>
    <w:rsid w:val="00C60BAB"/>
    <w:rsid w:val="00C7301C"/>
    <w:rsid w:val="00C74A5F"/>
    <w:rsid w:val="00C77BA7"/>
    <w:rsid w:val="00C81103"/>
    <w:rsid w:val="00C81A30"/>
    <w:rsid w:val="00C834BA"/>
    <w:rsid w:val="00C83752"/>
    <w:rsid w:val="00C84A9A"/>
    <w:rsid w:val="00C85052"/>
    <w:rsid w:val="00C9201F"/>
    <w:rsid w:val="00C95116"/>
    <w:rsid w:val="00C97A91"/>
    <w:rsid w:val="00CA1241"/>
    <w:rsid w:val="00CA4391"/>
    <w:rsid w:val="00CA4600"/>
    <w:rsid w:val="00CA6F85"/>
    <w:rsid w:val="00CB093D"/>
    <w:rsid w:val="00CB0C6F"/>
    <w:rsid w:val="00CC0990"/>
    <w:rsid w:val="00CC2D9A"/>
    <w:rsid w:val="00CD011E"/>
    <w:rsid w:val="00CE0478"/>
    <w:rsid w:val="00CE2C0E"/>
    <w:rsid w:val="00CE6748"/>
    <w:rsid w:val="00CE7D69"/>
    <w:rsid w:val="00CF1BAD"/>
    <w:rsid w:val="00CF2FF0"/>
    <w:rsid w:val="00CF51B5"/>
    <w:rsid w:val="00CF595E"/>
    <w:rsid w:val="00D00A20"/>
    <w:rsid w:val="00D07B67"/>
    <w:rsid w:val="00D10154"/>
    <w:rsid w:val="00D14C31"/>
    <w:rsid w:val="00D158D0"/>
    <w:rsid w:val="00D16608"/>
    <w:rsid w:val="00D20571"/>
    <w:rsid w:val="00D21D4F"/>
    <w:rsid w:val="00D246B1"/>
    <w:rsid w:val="00D252A2"/>
    <w:rsid w:val="00D326AF"/>
    <w:rsid w:val="00D32FEE"/>
    <w:rsid w:val="00D35BC7"/>
    <w:rsid w:val="00D3747D"/>
    <w:rsid w:val="00D37851"/>
    <w:rsid w:val="00D40367"/>
    <w:rsid w:val="00D40F13"/>
    <w:rsid w:val="00D45ED6"/>
    <w:rsid w:val="00D46F79"/>
    <w:rsid w:val="00D4737E"/>
    <w:rsid w:val="00D567CA"/>
    <w:rsid w:val="00D6504D"/>
    <w:rsid w:val="00D65907"/>
    <w:rsid w:val="00D7650E"/>
    <w:rsid w:val="00D77438"/>
    <w:rsid w:val="00D81A6A"/>
    <w:rsid w:val="00D87F94"/>
    <w:rsid w:val="00D91F1E"/>
    <w:rsid w:val="00D92F95"/>
    <w:rsid w:val="00D941C7"/>
    <w:rsid w:val="00D97BE0"/>
    <w:rsid w:val="00DA0242"/>
    <w:rsid w:val="00DA3394"/>
    <w:rsid w:val="00DA4357"/>
    <w:rsid w:val="00DA5A14"/>
    <w:rsid w:val="00DA6789"/>
    <w:rsid w:val="00DB32B8"/>
    <w:rsid w:val="00DB6EF1"/>
    <w:rsid w:val="00DC4D17"/>
    <w:rsid w:val="00DC763B"/>
    <w:rsid w:val="00DD093D"/>
    <w:rsid w:val="00DD1A77"/>
    <w:rsid w:val="00DD240E"/>
    <w:rsid w:val="00DD2D90"/>
    <w:rsid w:val="00DE24B4"/>
    <w:rsid w:val="00DE7621"/>
    <w:rsid w:val="00DF2EF8"/>
    <w:rsid w:val="00DF659E"/>
    <w:rsid w:val="00DF6C33"/>
    <w:rsid w:val="00DF7F0B"/>
    <w:rsid w:val="00E0218C"/>
    <w:rsid w:val="00E05378"/>
    <w:rsid w:val="00E079EC"/>
    <w:rsid w:val="00E1558B"/>
    <w:rsid w:val="00E20796"/>
    <w:rsid w:val="00E20C9E"/>
    <w:rsid w:val="00E212CC"/>
    <w:rsid w:val="00E21D9D"/>
    <w:rsid w:val="00E222DD"/>
    <w:rsid w:val="00E2520B"/>
    <w:rsid w:val="00E25779"/>
    <w:rsid w:val="00E33BF4"/>
    <w:rsid w:val="00E351F2"/>
    <w:rsid w:val="00E44C84"/>
    <w:rsid w:val="00E4515C"/>
    <w:rsid w:val="00E47866"/>
    <w:rsid w:val="00E51DD6"/>
    <w:rsid w:val="00E52C44"/>
    <w:rsid w:val="00E57C45"/>
    <w:rsid w:val="00E616D8"/>
    <w:rsid w:val="00E7592F"/>
    <w:rsid w:val="00E8257C"/>
    <w:rsid w:val="00E85F67"/>
    <w:rsid w:val="00E86FBD"/>
    <w:rsid w:val="00E91C19"/>
    <w:rsid w:val="00E91EE0"/>
    <w:rsid w:val="00EA4B71"/>
    <w:rsid w:val="00EA5EDF"/>
    <w:rsid w:val="00EA69FB"/>
    <w:rsid w:val="00EA6EA5"/>
    <w:rsid w:val="00EB0921"/>
    <w:rsid w:val="00EB3011"/>
    <w:rsid w:val="00EC26C1"/>
    <w:rsid w:val="00EC71E7"/>
    <w:rsid w:val="00ED4181"/>
    <w:rsid w:val="00ED4619"/>
    <w:rsid w:val="00ED551A"/>
    <w:rsid w:val="00EE10DD"/>
    <w:rsid w:val="00EE2EEF"/>
    <w:rsid w:val="00EE3164"/>
    <w:rsid w:val="00EE4554"/>
    <w:rsid w:val="00EE78F6"/>
    <w:rsid w:val="00EF0883"/>
    <w:rsid w:val="00F03967"/>
    <w:rsid w:val="00F03EF8"/>
    <w:rsid w:val="00F11410"/>
    <w:rsid w:val="00F13456"/>
    <w:rsid w:val="00F168F9"/>
    <w:rsid w:val="00F17A32"/>
    <w:rsid w:val="00F24713"/>
    <w:rsid w:val="00F32EB2"/>
    <w:rsid w:val="00F35D89"/>
    <w:rsid w:val="00F369FF"/>
    <w:rsid w:val="00F4147B"/>
    <w:rsid w:val="00F42B5C"/>
    <w:rsid w:val="00F44136"/>
    <w:rsid w:val="00F4507D"/>
    <w:rsid w:val="00F51856"/>
    <w:rsid w:val="00F5460E"/>
    <w:rsid w:val="00F641FF"/>
    <w:rsid w:val="00F71244"/>
    <w:rsid w:val="00F73E45"/>
    <w:rsid w:val="00F76652"/>
    <w:rsid w:val="00F83651"/>
    <w:rsid w:val="00F842DF"/>
    <w:rsid w:val="00F861BF"/>
    <w:rsid w:val="00F90F39"/>
    <w:rsid w:val="00F95179"/>
    <w:rsid w:val="00F9597B"/>
    <w:rsid w:val="00F97088"/>
    <w:rsid w:val="00F975EC"/>
    <w:rsid w:val="00FA694C"/>
    <w:rsid w:val="00FA76EF"/>
    <w:rsid w:val="00FA78F6"/>
    <w:rsid w:val="00FB1EB1"/>
    <w:rsid w:val="00FB6E4D"/>
    <w:rsid w:val="00FC0C6F"/>
    <w:rsid w:val="00FC17BC"/>
    <w:rsid w:val="00FC2888"/>
    <w:rsid w:val="00FC6228"/>
    <w:rsid w:val="00FC7333"/>
    <w:rsid w:val="00FD3D08"/>
    <w:rsid w:val="00FD7BB0"/>
    <w:rsid w:val="00FE0669"/>
    <w:rsid w:val="00FF021A"/>
    <w:rsid w:val="00FF07AB"/>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2739"/>
  <w15:docId w15:val="{E111109A-6219-479A-A882-2444F07A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44546A" w:themeColor="text2"/>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96"/>
    <w:pPr>
      <w:spacing w:line="360" w:lineRule="auto"/>
      <w:jc w:val="both"/>
    </w:pPr>
    <w:rPr>
      <w:rFonts w:asciiTheme="minorHAnsi" w:hAnsiTheme="minorHAnsi"/>
      <w:color w:val="auto"/>
      <w:sz w:val="22"/>
      <w:szCs w:val="22"/>
      <w:lang w:val="nl-NL"/>
    </w:rPr>
  </w:style>
  <w:style w:type="paragraph" w:styleId="Heading1">
    <w:name w:val="heading 1"/>
    <w:basedOn w:val="Normal"/>
    <w:next w:val="Normal"/>
    <w:link w:val="Heading1Char"/>
    <w:uiPriority w:val="9"/>
    <w:qFormat/>
    <w:rsid w:val="0072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796"/>
    <w:pPr>
      <w:spacing w:after="0" w:line="240" w:lineRule="auto"/>
    </w:pPr>
    <w:rPr>
      <w:rFonts w:asciiTheme="minorHAnsi" w:hAnsiTheme="minorHAnsi"/>
      <w:color w:val="auto"/>
      <w:sz w:val="22"/>
      <w:szCs w:val="22"/>
      <w:lang w:val="nl-NL"/>
    </w:rPr>
  </w:style>
  <w:style w:type="paragraph" w:styleId="Title">
    <w:name w:val="Title"/>
    <w:basedOn w:val="Normal"/>
    <w:next w:val="Normal"/>
    <w:link w:val="TitleChar"/>
    <w:uiPriority w:val="10"/>
    <w:qFormat/>
    <w:rsid w:val="00E207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796"/>
    <w:rPr>
      <w:rFonts w:asciiTheme="majorHAnsi" w:eastAsiaTheme="majorEastAsia" w:hAnsiTheme="majorHAnsi" w:cstheme="majorBidi"/>
      <w:color w:val="auto"/>
      <w:spacing w:val="-10"/>
      <w:kern w:val="28"/>
      <w:sz w:val="56"/>
      <w:szCs w:val="56"/>
      <w:lang w:val="nl-NL"/>
    </w:rPr>
  </w:style>
  <w:style w:type="paragraph" w:styleId="Caption">
    <w:name w:val="caption"/>
    <w:basedOn w:val="Normal"/>
    <w:next w:val="Normal"/>
    <w:uiPriority w:val="35"/>
    <w:unhideWhenUsed/>
    <w:qFormat/>
    <w:rsid w:val="00502199"/>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112576"/>
    <w:pPr>
      <w:spacing w:after="0" w:line="240" w:lineRule="auto"/>
    </w:pPr>
    <w:rPr>
      <w:sz w:val="20"/>
      <w:szCs w:val="20"/>
    </w:rPr>
  </w:style>
  <w:style w:type="character" w:customStyle="1" w:styleId="FootnoteTextChar">
    <w:name w:val="Footnote Text Char"/>
    <w:basedOn w:val="DefaultParagraphFont"/>
    <w:link w:val="FootnoteText"/>
    <w:uiPriority w:val="99"/>
    <w:rsid w:val="00112576"/>
    <w:rPr>
      <w:rFonts w:asciiTheme="minorHAnsi" w:hAnsiTheme="minorHAnsi"/>
      <w:color w:val="auto"/>
      <w:sz w:val="20"/>
      <w:szCs w:val="20"/>
      <w:lang w:val="nl-NL"/>
    </w:rPr>
  </w:style>
  <w:style w:type="character" w:styleId="FootnoteReference">
    <w:name w:val="footnote reference"/>
    <w:basedOn w:val="DefaultParagraphFont"/>
    <w:uiPriority w:val="99"/>
    <w:semiHidden/>
    <w:unhideWhenUsed/>
    <w:rsid w:val="00112576"/>
    <w:rPr>
      <w:vertAlign w:val="superscript"/>
    </w:rPr>
  </w:style>
  <w:style w:type="character" w:customStyle="1" w:styleId="Heading1Char">
    <w:name w:val="Heading 1 Char"/>
    <w:basedOn w:val="DefaultParagraphFont"/>
    <w:link w:val="Heading1"/>
    <w:uiPriority w:val="9"/>
    <w:rsid w:val="0072253C"/>
    <w:rPr>
      <w:rFonts w:asciiTheme="majorHAnsi" w:eastAsiaTheme="majorEastAsia" w:hAnsiTheme="majorHAnsi" w:cstheme="majorBidi"/>
      <w:color w:val="2E74B5" w:themeColor="accent1" w:themeShade="BF"/>
      <w:sz w:val="32"/>
      <w:szCs w:val="32"/>
      <w:lang w:val="nl-NL"/>
    </w:rPr>
  </w:style>
  <w:style w:type="paragraph" w:styleId="Bibliography">
    <w:name w:val="Bibliography"/>
    <w:basedOn w:val="Normal"/>
    <w:next w:val="Normal"/>
    <w:uiPriority w:val="37"/>
    <w:unhideWhenUsed/>
    <w:rsid w:val="00CF1BAD"/>
    <w:pPr>
      <w:spacing w:after="240" w:line="240" w:lineRule="auto"/>
      <w:ind w:left="720" w:hanging="720"/>
    </w:pPr>
  </w:style>
  <w:style w:type="paragraph" w:styleId="Header">
    <w:name w:val="header"/>
    <w:basedOn w:val="Normal"/>
    <w:link w:val="HeaderChar"/>
    <w:uiPriority w:val="99"/>
    <w:unhideWhenUsed/>
    <w:rsid w:val="007C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85"/>
    <w:rPr>
      <w:rFonts w:asciiTheme="minorHAnsi" w:hAnsiTheme="minorHAnsi"/>
      <w:color w:val="auto"/>
      <w:sz w:val="22"/>
      <w:szCs w:val="22"/>
      <w:lang w:val="nl-NL"/>
    </w:rPr>
  </w:style>
  <w:style w:type="paragraph" w:styleId="Footer">
    <w:name w:val="footer"/>
    <w:basedOn w:val="Normal"/>
    <w:link w:val="FooterChar"/>
    <w:uiPriority w:val="99"/>
    <w:unhideWhenUsed/>
    <w:rsid w:val="007C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85"/>
    <w:rPr>
      <w:rFonts w:asciiTheme="minorHAnsi" w:hAnsiTheme="minorHAnsi"/>
      <w:color w:val="auto"/>
      <w:sz w:val="22"/>
      <w:szCs w:val="22"/>
      <w:lang w:val="nl-NL"/>
    </w:rPr>
  </w:style>
  <w:style w:type="paragraph" w:styleId="BalloonText">
    <w:name w:val="Balloon Text"/>
    <w:basedOn w:val="Normal"/>
    <w:link w:val="BalloonTextChar"/>
    <w:uiPriority w:val="99"/>
    <w:semiHidden/>
    <w:unhideWhenUsed/>
    <w:rsid w:val="00C1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F3"/>
    <w:rPr>
      <w:rFonts w:ascii="Segoe UI" w:hAnsi="Segoe UI" w:cs="Segoe UI"/>
      <w:color w:val="auto"/>
      <w:lang w:val="nl-NL"/>
    </w:rPr>
  </w:style>
  <w:style w:type="character" w:styleId="CommentReference">
    <w:name w:val="annotation reference"/>
    <w:basedOn w:val="DefaultParagraphFont"/>
    <w:uiPriority w:val="99"/>
    <w:semiHidden/>
    <w:unhideWhenUsed/>
    <w:rsid w:val="000B7BA3"/>
    <w:rPr>
      <w:sz w:val="16"/>
      <w:szCs w:val="16"/>
    </w:rPr>
  </w:style>
  <w:style w:type="paragraph" w:styleId="CommentText">
    <w:name w:val="annotation text"/>
    <w:basedOn w:val="Normal"/>
    <w:link w:val="CommentTextChar"/>
    <w:uiPriority w:val="99"/>
    <w:unhideWhenUsed/>
    <w:rsid w:val="000B7BA3"/>
    <w:pPr>
      <w:spacing w:line="240" w:lineRule="auto"/>
    </w:pPr>
    <w:rPr>
      <w:sz w:val="20"/>
      <w:szCs w:val="20"/>
    </w:rPr>
  </w:style>
  <w:style w:type="character" w:customStyle="1" w:styleId="CommentTextChar">
    <w:name w:val="Comment Text Char"/>
    <w:basedOn w:val="DefaultParagraphFont"/>
    <w:link w:val="CommentText"/>
    <w:uiPriority w:val="99"/>
    <w:rsid w:val="000B7BA3"/>
    <w:rPr>
      <w:rFonts w:asciiTheme="minorHAnsi" w:hAnsiTheme="minorHAnsi"/>
      <w:color w:val="auto"/>
      <w:sz w:val="20"/>
      <w:szCs w:val="20"/>
      <w:lang w:val="nl-NL"/>
    </w:rPr>
  </w:style>
  <w:style w:type="paragraph" w:styleId="CommentSubject">
    <w:name w:val="annotation subject"/>
    <w:basedOn w:val="CommentText"/>
    <w:next w:val="CommentText"/>
    <w:link w:val="CommentSubjectChar"/>
    <w:uiPriority w:val="99"/>
    <w:semiHidden/>
    <w:unhideWhenUsed/>
    <w:rsid w:val="000B7BA3"/>
    <w:rPr>
      <w:b/>
      <w:bCs/>
    </w:rPr>
  </w:style>
  <w:style w:type="character" w:customStyle="1" w:styleId="CommentSubjectChar">
    <w:name w:val="Comment Subject Char"/>
    <w:basedOn w:val="CommentTextChar"/>
    <w:link w:val="CommentSubject"/>
    <w:uiPriority w:val="99"/>
    <w:semiHidden/>
    <w:rsid w:val="000B7BA3"/>
    <w:rPr>
      <w:rFonts w:asciiTheme="minorHAnsi" w:hAnsiTheme="minorHAnsi"/>
      <w:b/>
      <w:bCs/>
      <w:color w:val="auto"/>
      <w:sz w:val="20"/>
      <w:szCs w:val="20"/>
      <w:lang w:val="nl-NL"/>
    </w:rPr>
  </w:style>
  <w:style w:type="character" w:styleId="PlaceholderText">
    <w:name w:val="Placeholder Text"/>
    <w:basedOn w:val="DefaultParagraphFont"/>
    <w:uiPriority w:val="99"/>
    <w:semiHidden/>
    <w:rsid w:val="005269B8"/>
    <w:rPr>
      <w:color w:val="808080"/>
    </w:rPr>
  </w:style>
  <w:style w:type="paragraph" w:styleId="Revision">
    <w:name w:val="Revision"/>
    <w:hidden/>
    <w:uiPriority w:val="99"/>
    <w:semiHidden/>
    <w:rsid w:val="00844359"/>
    <w:pPr>
      <w:spacing w:after="0" w:line="240" w:lineRule="auto"/>
    </w:pPr>
    <w:rPr>
      <w:rFonts w:asciiTheme="minorHAnsi" w:hAnsiTheme="minorHAnsi"/>
      <w:color w:val="auto"/>
      <w:sz w:val="22"/>
      <w:szCs w:val="22"/>
      <w:lang w:val="nl-NL"/>
    </w:rPr>
  </w:style>
  <w:style w:type="character" w:styleId="EndnoteReference">
    <w:name w:val="endnote reference"/>
    <w:basedOn w:val="DefaultParagraphFont"/>
    <w:uiPriority w:val="99"/>
    <w:semiHidden/>
    <w:unhideWhenUsed/>
    <w:rsid w:val="00A52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344">
      <w:bodyDiv w:val="1"/>
      <w:marLeft w:val="0"/>
      <w:marRight w:val="0"/>
      <w:marTop w:val="0"/>
      <w:marBottom w:val="0"/>
      <w:divBdr>
        <w:top w:val="none" w:sz="0" w:space="0" w:color="auto"/>
        <w:left w:val="none" w:sz="0" w:space="0" w:color="auto"/>
        <w:bottom w:val="none" w:sz="0" w:space="0" w:color="auto"/>
        <w:right w:val="none" w:sz="0" w:space="0" w:color="auto"/>
      </w:divBdr>
    </w:div>
    <w:div w:id="65761798">
      <w:bodyDiv w:val="1"/>
      <w:marLeft w:val="0"/>
      <w:marRight w:val="0"/>
      <w:marTop w:val="0"/>
      <w:marBottom w:val="0"/>
      <w:divBdr>
        <w:top w:val="none" w:sz="0" w:space="0" w:color="auto"/>
        <w:left w:val="none" w:sz="0" w:space="0" w:color="auto"/>
        <w:bottom w:val="none" w:sz="0" w:space="0" w:color="auto"/>
        <w:right w:val="none" w:sz="0" w:space="0" w:color="auto"/>
      </w:divBdr>
    </w:div>
    <w:div w:id="82385572">
      <w:bodyDiv w:val="1"/>
      <w:marLeft w:val="0"/>
      <w:marRight w:val="0"/>
      <w:marTop w:val="0"/>
      <w:marBottom w:val="0"/>
      <w:divBdr>
        <w:top w:val="none" w:sz="0" w:space="0" w:color="auto"/>
        <w:left w:val="none" w:sz="0" w:space="0" w:color="auto"/>
        <w:bottom w:val="none" w:sz="0" w:space="0" w:color="auto"/>
        <w:right w:val="none" w:sz="0" w:space="0" w:color="auto"/>
      </w:divBdr>
    </w:div>
    <w:div w:id="222955330">
      <w:bodyDiv w:val="1"/>
      <w:marLeft w:val="0"/>
      <w:marRight w:val="0"/>
      <w:marTop w:val="0"/>
      <w:marBottom w:val="0"/>
      <w:divBdr>
        <w:top w:val="none" w:sz="0" w:space="0" w:color="auto"/>
        <w:left w:val="none" w:sz="0" w:space="0" w:color="auto"/>
        <w:bottom w:val="none" w:sz="0" w:space="0" w:color="auto"/>
        <w:right w:val="none" w:sz="0" w:space="0" w:color="auto"/>
      </w:divBdr>
    </w:div>
    <w:div w:id="329407834">
      <w:bodyDiv w:val="1"/>
      <w:marLeft w:val="0"/>
      <w:marRight w:val="0"/>
      <w:marTop w:val="0"/>
      <w:marBottom w:val="0"/>
      <w:divBdr>
        <w:top w:val="none" w:sz="0" w:space="0" w:color="auto"/>
        <w:left w:val="none" w:sz="0" w:space="0" w:color="auto"/>
        <w:bottom w:val="none" w:sz="0" w:space="0" w:color="auto"/>
        <w:right w:val="none" w:sz="0" w:space="0" w:color="auto"/>
      </w:divBdr>
    </w:div>
    <w:div w:id="446506674">
      <w:bodyDiv w:val="1"/>
      <w:marLeft w:val="0"/>
      <w:marRight w:val="0"/>
      <w:marTop w:val="0"/>
      <w:marBottom w:val="0"/>
      <w:divBdr>
        <w:top w:val="none" w:sz="0" w:space="0" w:color="auto"/>
        <w:left w:val="none" w:sz="0" w:space="0" w:color="auto"/>
        <w:bottom w:val="none" w:sz="0" w:space="0" w:color="auto"/>
        <w:right w:val="none" w:sz="0" w:space="0" w:color="auto"/>
      </w:divBdr>
    </w:div>
    <w:div w:id="681518168">
      <w:bodyDiv w:val="1"/>
      <w:marLeft w:val="0"/>
      <w:marRight w:val="0"/>
      <w:marTop w:val="0"/>
      <w:marBottom w:val="0"/>
      <w:divBdr>
        <w:top w:val="none" w:sz="0" w:space="0" w:color="auto"/>
        <w:left w:val="none" w:sz="0" w:space="0" w:color="auto"/>
        <w:bottom w:val="none" w:sz="0" w:space="0" w:color="auto"/>
        <w:right w:val="none" w:sz="0" w:space="0" w:color="auto"/>
      </w:divBdr>
    </w:div>
    <w:div w:id="957952996">
      <w:bodyDiv w:val="1"/>
      <w:marLeft w:val="0"/>
      <w:marRight w:val="0"/>
      <w:marTop w:val="0"/>
      <w:marBottom w:val="0"/>
      <w:divBdr>
        <w:top w:val="none" w:sz="0" w:space="0" w:color="auto"/>
        <w:left w:val="none" w:sz="0" w:space="0" w:color="auto"/>
        <w:bottom w:val="none" w:sz="0" w:space="0" w:color="auto"/>
        <w:right w:val="none" w:sz="0" w:space="0" w:color="auto"/>
      </w:divBdr>
    </w:div>
    <w:div w:id="1003750039">
      <w:bodyDiv w:val="1"/>
      <w:marLeft w:val="0"/>
      <w:marRight w:val="0"/>
      <w:marTop w:val="0"/>
      <w:marBottom w:val="0"/>
      <w:divBdr>
        <w:top w:val="none" w:sz="0" w:space="0" w:color="auto"/>
        <w:left w:val="none" w:sz="0" w:space="0" w:color="auto"/>
        <w:bottom w:val="none" w:sz="0" w:space="0" w:color="auto"/>
        <w:right w:val="none" w:sz="0" w:space="0" w:color="auto"/>
      </w:divBdr>
    </w:div>
    <w:div w:id="1172529421">
      <w:bodyDiv w:val="1"/>
      <w:marLeft w:val="0"/>
      <w:marRight w:val="0"/>
      <w:marTop w:val="0"/>
      <w:marBottom w:val="0"/>
      <w:divBdr>
        <w:top w:val="none" w:sz="0" w:space="0" w:color="auto"/>
        <w:left w:val="none" w:sz="0" w:space="0" w:color="auto"/>
        <w:bottom w:val="none" w:sz="0" w:space="0" w:color="auto"/>
        <w:right w:val="none" w:sz="0" w:space="0" w:color="auto"/>
      </w:divBdr>
    </w:div>
    <w:div w:id="1297296788">
      <w:bodyDiv w:val="1"/>
      <w:marLeft w:val="0"/>
      <w:marRight w:val="0"/>
      <w:marTop w:val="0"/>
      <w:marBottom w:val="0"/>
      <w:divBdr>
        <w:top w:val="none" w:sz="0" w:space="0" w:color="auto"/>
        <w:left w:val="none" w:sz="0" w:space="0" w:color="auto"/>
        <w:bottom w:val="none" w:sz="0" w:space="0" w:color="auto"/>
        <w:right w:val="none" w:sz="0" w:space="0" w:color="auto"/>
      </w:divBdr>
    </w:div>
    <w:div w:id="1933973444">
      <w:bodyDiv w:val="1"/>
      <w:marLeft w:val="0"/>
      <w:marRight w:val="0"/>
      <w:marTop w:val="0"/>
      <w:marBottom w:val="0"/>
      <w:divBdr>
        <w:top w:val="none" w:sz="0" w:space="0" w:color="auto"/>
        <w:left w:val="none" w:sz="0" w:space="0" w:color="auto"/>
        <w:bottom w:val="none" w:sz="0" w:space="0" w:color="auto"/>
        <w:right w:val="none" w:sz="0" w:space="0" w:color="auto"/>
      </w:divBdr>
    </w:div>
    <w:div w:id="1935748540">
      <w:bodyDiv w:val="1"/>
      <w:marLeft w:val="0"/>
      <w:marRight w:val="0"/>
      <w:marTop w:val="0"/>
      <w:marBottom w:val="0"/>
      <w:divBdr>
        <w:top w:val="none" w:sz="0" w:space="0" w:color="auto"/>
        <w:left w:val="none" w:sz="0" w:space="0" w:color="auto"/>
        <w:bottom w:val="none" w:sz="0" w:space="0" w:color="auto"/>
        <w:right w:val="none" w:sz="0" w:space="0" w:color="auto"/>
      </w:divBdr>
    </w:div>
    <w:div w:id="19836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1981-F552-47FD-B29C-1EA9654A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17338</Words>
  <Characters>98830</Characters>
  <Application>Microsoft Office Word</Application>
  <DocSecurity>0</DocSecurity>
  <Lines>823</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Luxembourg</Company>
  <LinksUpToDate>false</LinksUpToDate>
  <CharactersWithSpaces>115937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LESSCHAEVE</dc:creator>
  <cp:keywords/>
  <dc:description/>
  <cp:lastModifiedBy>Christophe LESSCHAEVE</cp:lastModifiedBy>
  <cp:revision>2</cp:revision>
  <dcterms:created xsi:type="dcterms:W3CDTF">2021-10-22T09:16:00Z</dcterms:created>
  <dcterms:modified xsi:type="dcterms:W3CDTF">2021-10-22T09:16:00Z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id="zNFxbYtK"/&gt;&lt;style id="http://www.zotero.org/styles/american-political-science-association" locale="en-US" hasBibliography="1" bibliographyStyleHasBeenSet="1"/&gt;&lt;prefs&gt;&lt;pref name="fieldType" valu</vt:lpwstr>
  </property>
  <property fmtid="{D5CDD505-2E9C-101B-9397-08002B2CF9AE}" pid="3" name="ZOTERO_PREF_2">
    <vt:lpwstr>e="Field"/&gt;&lt;/prefs&gt;&lt;/data&gt;</vt:lpwstr>
  </property>
</Properties>
</file>