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72BEC" w14:textId="77777777" w:rsidR="00E848EE" w:rsidRDefault="00E848EE" w:rsidP="00E848EE">
      <w:pPr>
        <w:jc w:val="center"/>
        <w:rPr>
          <w:b/>
        </w:rPr>
      </w:pPr>
    </w:p>
    <w:p w14:paraId="791CE03C" w14:textId="77777777" w:rsidR="00E848EE" w:rsidRDefault="00E848EE" w:rsidP="00E848EE">
      <w:pPr>
        <w:jc w:val="center"/>
        <w:rPr>
          <w:b/>
        </w:rPr>
      </w:pPr>
    </w:p>
    <w:p w14:paraId="400BE943" w14:textId="28D17AD4" w:rsidR="00E848EE" w:rsidRDefault="00E848EE" w:rsidP="00E848EE">
      <w:pPr>
        <w:rPr>
          <w:b/>
        </w:rPr>
      </w:pPr>
    </w:p>
    <w:p w14:paraId="24008E80" w14:textId="77777777" w:rsidR="00E848EE" w:rsidRDefault="00E848EE" w:rsidP="00E848EE">
      <w:pPr>
        <w:jc w:val="center"/>
        <w:rPr>
          <w:b/>
        </w:rPr>
      </w:pPr>
    </w:p>
    <w:p w14:paraId="44679233" w14:textId="77777777" w:rsidR="00E848EE" w:rsidRDefault="00E848EE" w:rsidP="00E848EE">
      <w:pPr>
        <w:jc w:val="center"/>
        <w:rPr>
          <w:b/>
        </w:rPr>
      </w:pPr>
    </w:p>
    <w:p w14:paraId="5460963A" w14:textId="77777777" w:rsidR="00E848EE" w:rsidRDefault="00E848EE" w:rsidP="00E848EE">
      <w:pPr>
        <w:jc w:val="center"/>
        <w:rPr>
          <w:b/>
        </w:rPr>
      </w:pPr>
    </w:p>
    <w:p w14:paraId="187017E6" w14:textId="77777777" w:rsidR="00E848EE" w:rsidRDefault="00E848EE" w:rsidP="00E848EE">
      <w:pPr>
        <w:jc w:val="center"/>
        <w:rPr>
          <w:b/>
          <w:sz w:val="32"/>
          <w:szCs w:val="32"/>
        </w:rPr>
      </w:pPr>
      <w:r>
        <w:rPr>
          <w:b/>
          <w:sz w:val="32"/>
          <w:szCs w:val="32"/>
        </w:rPr>
        <w:t>Warrior Candidates:</w:t>
      </w:r>
    </w:p>
    <w:p w14:paraId="1F518A74" w14:textId="77777777" w:rsidR="00E848EE" w:rsidRPr="006864EC" w:rsidRDefault="00E848EE" w:rsidP="00E848EE">
      <w:pPr>
        <w:jc w:val="center"/>
        <w:rPr>
          <w:b/>
          <w:sz w:val="32"/>
          <w:szCs w:val="32"/>
        </w:rPr>
      </w:pPr>
      <w:r w:rsidRPr="006864EC">
        <w:rPr>
          <w:b/>
          <w:sz w:val="32"/>
          <w:szCs w:val="32"/>
        </w:rPr>
        <w:t>Do Voters Value Combat Experience in Postwar Elections?</w:t>
      </w:r>
    </w:p>
    <w:p w14:paraId="16394AF3" w14:textId="77777777" w:rsidR="00E848EE" w:rsidRDefault="00E848EE" w:rsidP="00E848EE">
      <w:pPr>
        <w:jc w:val="center"/>
      </w:pPr>
      <w:bookmarkStart w:id="0" w:name="_GoBack"/>
      <w:bookmarkEnd w:id="0"/>
    </w:p>
    <w:p w14:paraId="2EFD18B5" w14:textId="77777777" w:rsidR="00E848EE" w:rsidRDefault="00E848EE" w:rsidP="00E848EE">
      <w:pPr>
        <w:jc w:val="center"/>
      </w:pPr>
    </w:p>
    <w:p w14:paraId="3EA995B8" w14:textId="77777777" w:rsidR="00E848EE" w:rsidRPr="0003506A" w:rsidRDefault="00E848EE" w:rsidP="00E848EE">
      <w:pPr>
        <w:jc w:val="center"/>
      </w:pPr>
      <w:r w:rsidRPr="0003506A">
        <w:t>Josip Glaurdi</w:t>
      </w:r>
      <w:r w:rsidRPr="0003506A">
        <w:rPr>
          <w:rFonts w:cs="Times New Roman"/>
        </w:rPr>
        <w:t>ć</w:t>
      </w:r>
      <w:r>
        <w:rPr>
          <w:rFonts w:cs="Times New Roman"/>
          <w:vertAlign w:val="superscript"/>
        </w:rPr>
        <w:t>1</w:t>
      </w:r>
      <w:r w:rsidRPr="0003506A">
        <w:t xml:space="preserve"> and Christophe Lesschaeve</w:t>
      </w:r>
    </w:p>
    <w:p w14:paraId="0AE19601" w14:textId="77777777" w:rsidR="00E848EE" w:rsidRPr="0003506A" w:rsidRDefault="00E848EE" w:rsidP="00E848EE">
      <w:pPr>
        <w:jc w:val="center"/>
      </w:pPr>
      <w:r w:rsidRPr="0003506A">
        <w:rPr>
          <w:i/>
        </w:rPr>
        <w:t>University of Luxembourg</w:t>
      </w:r>
    </w:p>
    <w:p w14:paraId="0B4455E5" w14:textId="77777777" w:rsidR="00E848EE" w:rsidRDefault="00E848EE" w:rsidP="00E848EE"/>
    <w:p w14:paraId="579FE823" w14:textId="77777777" w:rsidR="00E848EE" w:rsidRDefault="00E848EE" w:rsidP="00E848EE"/>
    <w:p w14:paraId="2C997E87" w14:textId="77777777" w:rsidR="00E848EE" w:rsidRDefault="00E848EE" w:rsidP="00E848EE"/>
    <w:p w14:paraId="1797C588" w14:textId="77777777" w:rsidR="00E848EE" w:rsidRDefault="00E848EE" w:rsidP="00E848EE"/>
    <w:p w14:paraId="3481A6A2" w14:textId="77777777" w:rsidR="00E848EE" w:rsidRDefault="00E848EE" w:rsidP="00E848EE"/>
    <w:p w14:paraId="6CE25F7A" w14:textId="77777777" w:rsidR="00E848EE" w:rsidRDefault="00E848EE" w:rsidP="00E848EE"/>
    <w:p w14:paraId="4375C83A" w14:textId="77777777" w:rsidR="00E848EE" w:rsidRDefault="00E848EE" w:rsidP="00E848EE"/>
    <w:p w14:paraId="757E2546" w14:textId="77777777" w:rsidR="006F558B" w:rsidRDefault="006F558B" w:rsidP="006F558B">
      <w:pPr>
        <w:jc w:val="center"/>
      </w:pPr>
      <w:r>
        <w:t xml:space="preserve">Orcid IDs: </w:t>
      </w:r>
    </w:p>
    <w:p w14:paraId="0368ED23" w14:textId="77777777" w:rsidR="006F558B" w:rsidRDefault="006F558B" w:rsidP="006F558B">
      <w:pPr>
        <w:jc w:val="center"/>
      </w:pPr>
      <w:hyperlink r:id="rId8" w:history="1">
        <w:r w:rsidRPr="006B620B">
          <w:rPr>
            <w:rStyle w:val="Hyperlink"/>
          </w:rPr>
          <w:t>https://orcid.org/0000-0001-6904-9986</w:t>
        </w:r>
      </w:hyperlink>
    </w:p>
    <w:p w14:paraId="6B5E112F" w14:textId="77777777" w:rsidR="006F558B" w:rsidRDefault="006F558B" w:rsidP="006F558B">
      <w:pPr>
        <w:jc w:val="center"/>
      </w:pPr>
      <w:hyperlink r:id="rId9" w:history="1">
        <w:r w:rsidRPr="006B620B">
          <w:rPr>
            <w:rStyle w:val="Hyperlink"/>
          </w:rPr>
          <w:t>https://orcid.org/0000-0002-0632-6760</w:t>
        </w:r>
      </w:hyperlink>
    </w:p>
    <w:p w14:paraId="55870184" w14:textId="77777777" w:rsidR="00E848EE" w:rsidRDefault="00E848EE" w:rsidP="00E848EE"/>
    <w:p w14:paraId="375205FC" w14:textId="77777777" w:rsidR="00E848EE" w:rsidRDefault="00E848EE" w:rsidP="00E848EE"/>
    <w:p w14:paraId="60BC7700" w14:textId="77777777" w:rsidR="00E848EE" w:rsidRDefault="00E848EE" w:rsidP="00E848EE"/>
    <w:p w14:paraId="392E2EC4" w14:textId="77777777" w:rsidR="00E848EE" w:rsidRDefault="00E848EE" w:rsidP="00E848EE"/>
    <w:p w14:paraId="3BC4E108" w14:textId="77777777" w:rsidR="00E848EE" w:rsidRDefault="00E848EE" w:rsidP="00E848EE"/>
    <w:p w14:paraId="0AF9C2DB" w14:textId="77777777" w:rsidR="00E848EE" w:rsidRDefault="00E848EE" w:rsidP="00E848EE">
      <w:pPr>
        <w:jc w:val="center"/>
      </w:pPr>
      <w:r>
        <w:rPr>
          <w:vertAlign w:val="superscript"/>
        </w:rPr>
        <w:t xml:space="preserve">1 </w:t>
      </w:r>
      <w:r>
        <w:t>Corresponding author</w:t>
      </w:r>
    </w:p>
    <w:p w14:paraId="2AB501F5" w14:textId="77777777" w:rsidR="00E848EE" w:rsidRPr="006864EC" w:rsidRDefault="00E848EE" w:rsidP="00E848EE">
      <w:pPr>
        <w:jc w:val="center"/>
      </w:pPr>
    </w:p>
    <w:p w14:paraId="7D18E8E5" w14:textId="77777777" w:rsidR="00E848EE" w:rsidRDefault="00E848EE" w:rsidP="00E848EE">
      <w:pPr>
        <w:jc w:val="center"/>
      </w:pPr>
      <w:r>
        <w:t>Institute of Political Science</w:t>
      </w:r>
    </w:p>
    <w:p w14:paraId="3FAB91AD" w14:textId="77777777" w:rsidR="00E848EE" w:rsidRDefault="00E848EE" w:rsidP="00E848EE">
      <w:pPr>
        <w:jc w:val="center"/>
      </w:pPr>
      <w:r>
        <w:t>University of Luxembourg</w:t>
      </w:r>
    </w:p>
    <w:p w14:paraId="340076AF" w14:textId="77777777" w:rsidR="00E848EE" w:rsidRDefault="00E848EE" w:rsidP="00E848EE">
      <w:pPr>
        <w:jc w:val="center"/>
      </w:pPr>
      <w:r>
        <w:t>2, avenue de l’Université</w:t>
      </w:r>
    </w:p>
    <w:p w14:paraId="10D5F371" w14:textId="77777777" w:rsidR="00E848EE" w:rsidRPr="00A57823" w:rsidRDefault="00E848EE" w:rsidP="00E848EE">
      <w:pPr>
        <w:jc w:val="center"/>
        <w:rPr>
          <w:lang w:val="de-DE"/>
        </w:rPr>
      </w:pPr>
      <w:r w:rsidRPr="00A57823">
        <w:rPr>
          <w:lang w:val="de-DE"/>
        </w:rPr>
        <w:t>L-4365 Esch-sur-Alzette</w:t>
      </w:r>
    </w:p>
    <w:p w14:paraId="7AE8DDAF" w14:textId="77777777" w:rsidR="00E848EE" w:rsidRPr="00A57823" w:rsidRDefault="00E848EE" w:rsidP="00E848EE">
      <w:pPr>
        <w:jc w:val="center"/>
        <w:rPr>
          <w:lang w:val="de-DE"/>
        </w:rPr>
      </w:pPr>
    </w:p>
    <w:p w14:paraId="528D8626" w14:textId="77777777" w:rsidR="00E848EE" w:rsidRPr="00A57823" w:rsidRDefault="00E848EE" w:rsidP="00E848EE">
      <w:pPr>
        <w:jc w:val="center"/>
        <w:rPr>
          <w:lang w:val="de-DE"/>
        </w:rPr>
      </w:pPr>
      <w:r w:rsidRPr="00A57823">
        <w:rPr>
          <w:lang w:val="de-DE"/>
        </w:rPr>
        <w:t>T +352 46 66 44 6259</w:t>
      </w:r>
    </w:p>
    <w:p w14:paraId="1A603826" w14:textId="77777777" w:rsidR="00E848EE" w:rsidRPr="00A57823" w:rsidRDefault="00E848EE" w:rsidP="00E848EE">
      <w:pPr>
        <w:jc w:val="center"/>
        <w:rPr>
          <w:lang w:val="de-DE"/>
        </w:rPr>
      </w:pPr>
    </w:p>
    <w:p w14:paraId="7856C332" w14:textId="77777777" w:rsidR="00E848EE" w:rsidRPr="00A57823" w:rsidRDefault="00E848EE" w:rsidP="00E848EE">
      <w:pPr>
        <w:jc w:val="center"/>
        <w:rPr>
          <w:lang w:val="de-DE"/>
        </w:rPr>
      </w:pPr>
      <w:hyperlink r:id="rId10" w:history="1">
        <w:r w:rsidRPr="00A57823">
          <w:rPr>
            <w:rStyle w:val="Hyperlink"/>
            <w:lang w:val="de-DE"/>
          </w:rPr>
          <w:t>josip.glaurdic@uni.lu</w:t>
        </w:r>
      </w:hyperlink>
    </w:p>
    <w:p w14:paraId="338B5A9D" w14:textId="77777777" w:rsidR="00E848EE" w:rsidRDefault="00E848EE" w:rsidP="00E848EE">
      <w:pPr>
        <w:jc w:val="center"/>
        <w:rPr>
          <w:lang w:val="de-DE"/>
        </w:rPr>
      </w:pPr>
      <w:hyperlink r:id="rId11" w:history="1">
        <w:r w:rsidRPr="00565E9C">
          <w:rPr>
            <w:rStyle w:val="Hyperlink"/>
            <w:lang w:val="de-DE"/>
          </w:rPr>
          <w:t>christophe.lesschaeve@uni.lu</w:t>
        </w:r>
      </w:hyperlink>
    </w:p>
    <w:p w14:paraId="041FFFD9" w14:textId="77777777" w:rsidR="00E848EE" w:rsidRDefault="00E848EE" w:rsidP="00E848EE">
      <w:pPr>
        <w:jc w:val="center"/>
        <w:rPr>
          <w:lang w:val="de-DE"/>
        </w:rPr>
      </w:pPr>
    </w:p>
    <w:p w14:paraId="5AA6CDE5" w14:textId="77777777" w:rsidR="00E848EE" w:rsidRPr="00A57823" w:rsidRDefault="00E848EE" w:rsidP="00E848EE">
      <w:pPr>
        <w:jc w:val="center"/>
      </w:pPr>
      <w:r w:rsidRPr="00A57823">
        <w:t>Authors unavailable 1-15 August</w:t>
      </w:r>
      <w:r>
        <w:t xml:space="preserve"> 2021</w:t>
      </w:r>
      <w:r w:rsidRPr="00A57823">
        <w:t>, except by email</w:t>
      </w:r>
      <w:r>
        <w:t>.</w:t>
      </w:r>
    </w:p>
    <w:p w14:paraId="702086FE" w14:textId="273C9CEA" w:rsidR="00E848EE" w:rsidRDefault="00E848EE">
      <w:pPr>
        <w:rPr>
          <w:b/>
        </w:rPr>
      </w:pPr>
      <w:r>
        <w:rPr>
          <w:b/>
        </w:rPr>
        <w:br w:type="page"/>
      </w:r>
    </w:p>
    <w:p w14:paraId="675AFA8A" w14:textId="46910665" w:rsidR="0003506A" w:rsidRDefault="0003506A" w:rsidP="0003506A">
      <w:r w:rsidRPr="006B6B14">
        <w:lastRenderedPageBreak/>
        <w:t>Electoral competition in postwar societies is often dominated by war veterans. The question whether vo</w:t>
      </w:r>
      <w:r>
        <w:t>ters actually reward candidates’</w:t>
      </w:r>
      <w:r w:rsidRPr="006B6B14">
        <w:t xml:space="preserve"> records of </w:t>
      </w:r>
      <w:r>
        <w:t xml:space="preserve">war </w:t>
      </w:r>
      <w:r w:rsidRPr="006B6B14">
        <w:t xml:space="preserve">service, however, remains open. We answer it using a unique dataset </w:t>
      </w:r>
      <w:r>
        <w:t>with</w:t>
      </w:r>
      <w:r w:rsidRPr="006B6B14">
        <w:t xml:space="preserve"> detailed information on the records of combat service of </w:t>
      </w:r>
      <w:r w:rsidR="00215BCE">
        <w:t xml:space="preserve">nearly </w:t>
      </w:r>
      <w:r w:rsidRPr="006B6B14">
        <w:t xml:space="preserve">four thousand candidates in two cycles of parliamentary elections </w:t>
      </w:r>
      <w:r>
        <w:t xml:space="preserve">held under proportional representation rules with preferential voting </w:t>
      </w:r>
      <w:r w:rsidRPr="006B6B14">
        <w:t>in Croatia</w:t>
      </w:r>
      <w:r>
        <w:t xml:space="preserve">. </w:t>
      </w:r>
      <w:r w:rsidRPr="006B6B14">
        <w:t xml:space="preserve">Our analysis shows </w:t>
      </w:r>
      <w:r>
        <w:t>war</w:t>
      </w:r>
      <w:r w:rsidRPr="006B6B14">
        <w:t xml:space="preserve"> veterans</w:t>
      </w:r>
      <w:r>
        <w:t>’ electoral performance to be</w:t>
      </w:r>
      <w:r w:rsidRPr="006B6B14">
        <w:t xml:space="preserve"> </w:t>
      </w:r>
      <w:r>
        <w:t>conditional on the</w:t>
      </w:r>
      <w:r w:rsidRPr="006B6B14">
        <w:t xml:space="preserve"> </w:t>
      </w:r>
      <w:r>
        <w:t>voters’</w:t>
      </w:r>
      <w:r w:rsidRPr="006B6B14">
        <w:t xml:space="preserve"> commun</w:t>
      </w:r>
      <w:r>
        <w:t>ities’ exposure to war violence:</w:t>
      </w:r>
      <w:r w:rsidRPr="006B6B14">
        <w:t xml:space="preserve"> combat veterans receive a sizeable electoral bonus </w:t>
      </w:r>
      <w:r>
        <w:t>i</w:t>
      </w:r>
      <w:r w:rsidRPr="006B6B14">
        <w:t>n areas whose populations wer</w:t>
      </w:r>
      <w:r>
        <w:t>e more exposed to war violence, but are penalized i</w:t>
      </w:r>
      <w:r w:rsidRPr="006B6B14">
        <w:t xml:space="preserve">n areas whose </w:t>
      </w:r>
      <w:r>
        <w:t>populations avoided destruction</w:t>
      </w:r>
      <w:r w:rsidRPr="006B6B14">
        <w:t>. This divergence is particularly pronounced for candidates of nationalist rightwing parties, demonstrating the importance of the interaction between lived war experiences and political ideology in postwar societies.</w:t>
      </w:r>
    </w:p>
    <w:p w14:paraId="44AF3AB7" w14:textId="25C60311" w:rsidR="008C411A" w:rsidRDefault="008C411A" w:rsidP="0003506A"/>
    <w:p w14:paraId="38706916" w14:textId="67C868FF" w:rsidR="008C411A" w:rsidRDefault="008C411A" w:rsidP="0003506A">
      <w:r w:rsidRPr="008C411A">
        <w:rPr>
          <w:i/>
        </w:rPr>
        <w:t>Keywords</w:t>
      </w:r>
      <w:r>
        <w:t>: postwar elections; voter choice; war veterans; preferential voting; Croatia.</w:t>
      </w:r>
    </w:p>
    <w:p w14:paraId="284A61EA" w14:textId="50AF496B" w:rsidR="0003506A" w:rsidRDefault="0003506A" w:rsidP="003B7FD4">
      <w:pPr>
        <w:jc w:val="center"/>
      </w:pPr>
    </w:p>
    <w:p w14:paraId="20DF82AD" w14:textId="428D249E" w:rsidR="00F24C0E" w:rsidRPr="0003506A" w:rsidRDefault="00F24C0E" w:rsidP="00F24C0E">
      <w:r>
        <w:br w:type="page"/>
      </w:r>
    </w:p>
    <w:p w14:paraId="489B296C" w14:textId="77777777" w:rsidR="000A673D" w:rsidRPr="0003506A" w:rsidRDefault="000A673D" w:rsidP="001738F5">
      <w:pPr>
        <w:spacing w:line="480" w:lineRule="auto"/>
        <w:rPr>
          <w:i/>
        </w:rPr>
      </w:pPr>
      <w:r w:rsidRPr="0003506A">
        <w:rPr>
          <w:i/>
        </w:rPr>
        <w:lastRenderedPageBreak/>
        <w:t>Never was so much owed by so many to so few.</w:t>
      </w:r>
    </w:p>
    <w:p w14:paraId="0390DECB" w14:textId="77777777" w:rsidR="000A673D" w:rsidRPr="0003506A" w:rsidRDefault="000A673D" w:rsidP="001738F5">
      <w:pPr>
        <w:spacing w:line="480" w:lineRule="auto"/>
        <w:jc w:val="right"/>
        <w:rPr>
          <w:i/>
        </w:rPr>
      </w:pPr>
      <w:r w:rsidRPr="0003506A">
        <w:rPr>
          <w:i/>
        </w:rPr>
        <w:tab/>
      </w:r>
      <w:r w:rsidRPr="0003506A">
        <w:rPr>
          <w:i/>
        </w:rPr>
        <w:tab/>
      </w:r>
      <w:r w:rsidRPr="0003506A">
        <w:rPr>
          <w:i/>
        </w:rPr>
        <w:tab/>
        <w:t>Winston Churchill, 1940</w:t>
      </w:r>
    </w:p>
    <w:p w14:paraId="67BFBAF4" w14:textId="77777777" w:rsidR="000A673D" w:rsidRPr="0003506A" w:rsidRDefault="000A673D" w:rsidP="001738F5">
      <w:pPr>
        <w:spacing w:line="480" w:lineRule="auto"/>
        <w:rPr>
          <w:i/>
        </w:rPr>
      </w:pPr>
      <w:r w:rsidRPr="0003506A">
        <w:rPr>
          <w:i/>
        </w:rPr>
        <w:t>Military men are just dumb, stupid animals to be used as pawns in foreign policy.</w:t>
      </w:r>
    </w:p>
    <w:p w14:paraId="41741F19" w14:textId="77777777" w:rsidR="000A673D" w:rsidRPr="0003506A" w:rsidRDefault="00983692" w:rsidP="001738F5">
      <w:pPr>
        <w:spacing w:line="480" w:lineRule="auto"/>
        <w:jc w:val="right"/>
      </w:pPr>
      <w:r w:rsidRPr="0003506A">
        <w:rPr>
          <w:i/>
        </w:rPr>
        <w:t>Henry Kissinger, 1974</w:t>
      </w:r>
    </w:p>
    <w:p w14:paraId="1ED9D09C" w14:textId="77777777" w:rsidR="000A673D" w:rsidRPr="0003506A" w:rsidRDefault="00983692" w:rsidP="001738F5">
      <w:pPr>
        <w:spacing w:line="480" w:lineRule="auto"/>
      </w:pPr>
      <w:r w:rsidRPr="0003506A">
        <w:t xml:space="preserve">Winston Churchill’s famous words captured the prevailing sentiment of gratitude of the British public to the Royal Air Force pilots who were fighting with extraordinary courage against the Luftwaffe in the Battle of Britain. Kissinger, on the other hand, allegedly coined his maxim to </w:t>
      </w:r>
      <w:r w:rsidR="00B02D17" w:rsidRPr="0003506A">
        <w:t>annoy</w:t>
      </w:r>
      <w:r w:rsidR="007A5D26" w:rsidRPr="0003506A">
        <w:t xml:space="preserve"> his rival,</w:t>
      </w:r>
      <w:r w:rsidR="00B02D17" w:rsidRPr="0003506A">
        <w:t xml:space="preserve"> the White House</w:t>
      </w:r>
      <w:r w:rsidR="007A5D26" w:rsidRPr="0003506A">
        <w:t xml:space="preserve"> Chief of Staff</w:t>
      </w:r>
      <w:r w:rsidR="00B02D17" w:rsidRPr="0003506A">
        <w:t xml:space="preserve"> General Alexander Haig, in the last days of the Vietnam War and the Nixon Presidency. These two quotes were not only the prod</w:t>
      </w:r>
      <w:r w:rsidR="00FB1CF3" w:rsidRPr="0003506A">
        <w:t xml:space="preserve">ucts of two very different men speaking in </w:t>
      </w:r>
      <w:r w:rsidR="00B02D17" w:rsidRPr="0003506A">
        <w:t>two very different historical contexts surrounding two very different wars. They</w:t>
      </w:r>
      <w:r w:rsidR="00FB1CF3" w:rsidRPr="0003506A">
        <w:t xml:space="preserve"> also </w:t>
      </w:r>
      <w:r w:rsidR="00B02D17" w:rsidRPr="0003506A">
        <w:t>capture</w:t>
      </w:r>
      <w:r w:rsidR="00FB1CF3" w:rsidRPr="0003506A">
        <w:t>d</w:t>
      </w:r>
      <w:r w:rsidR="00B02D17" w:rsidRPr="0003506A">
        <w:t xml:space="preserve"> two common stereotypes of men and women who served in combat: one of valor, patriotism, and sacrifice, and the other of mindless service as little more than cannon fodder.</w:t>
      </w:r>
      <w:r w:rsidR="007A5D26" w:rsidRPr="0003506A">
        <w:t xml:space="preserve"> How do these stereotypes translate to the world of electoral politics once the violence ends? Do war veterans who choose to run for office capitalize on presumably positive popular sentiment</w:t>
      </w:r>
      <w:r w:rsidR="003B4DD6" w:rsidRPr="0003506A">
        <w:t xml:space="preserve"> among voters, or are they penalized at least among some voters for their records of service</w:t>
      </w:r>
      <w:r w:rsidR="007A5D26" w:rsidRPr="0003506A">
        <w:t>? As examples ranging from Weimar Germany (</w:t>
      </w:r>
      <w:r w:rsidR="00B15863" w:rsidRPr="0003506A">
        <w:t>Ziemann 2012</w:t>
      </w:r>
      <w:r w:rsidR="007A5D26" w:rsidRPr="0003506A">
        <w:t>) through post-World War II United States (</w:t>
      </w:r>
      <w:r w:rsidR="00B15863" w:rsidRPr="0003506A">
        <w:t>Teigen 2018</w:t>
      </w:r>
      <w:r w:rsidR="007A5D26" w:rsidRPr="0003506A">
        <w:t>), to contemporary Kosovo (</w:t>
      </w:r>
      <w:r w:rsidR="000F1716" w:rsidRPr="0003506A">
        <w:t>Capussela 2015</w:t>
      </w:r>
      <w:r w:rsidR="007A5D26" w:rsidRPr="0003506A">
        <w:t xml:space="preserve">) demonstrate, war veterans have outsized political influence in postwar societies. But do voters actually value </w:t>
      </w:r>
      <w:r w:rsidR="00FB1CF3" w:rsidRPr="0003506A">
        <w:t>war veteran politicians’</w:t>
      </w:r>
      <w:r w:rsidR="007A5D26" w:rsidRPr="0003506A">
        <w:t xml:space="preserve"> records of service in combat?</w:t>
      </w:r>
    </w:p>
    <w:p w14:paraId="2524B1F0" w14:textId="77777777" w:rsidR="007A5D26" w:rsidRPr="0003506A" w:rsidRDefault="007A5D26" w:rsidP="001738F5">
      <w:pPr>
        <w:spacing w:line="480" w:lineRule="auto"/>
        <w:ind w:firstLine="720"/>
      </w:pPr>
      <w:r w:rsidRPr="0003506A">
        <w:t xml:space="preserve">The short answer to that question is that we do not know. </w:t>
      </w:r>
      <w:r w:rsidR="00B450C0" w:rsidRPr="0003506A">
        <w:t xml:space="preserve">The evidence we have from the United States, where </w:t>
      </w:r>
      <w:r w:rsidR="00AC5A21" w:rsidRPr="0003506A">
        <w:t xml:space="preserve">the relationship between political candidates’ records of combat service and their electoral fortunes </w:t>
      </w:r>
      <w:r w:rsidR="00B450C0" w:rsidRPr="0003506A">
        <w:t xml:space="preserve">has </w:t>
      </w:r>
      <w:r w:rsidR="00FB1CF3" w:rsidRPr="0003506A">
        <w:t xml:space="preserve">arguably </w:t>
      </w:r>
      <w:r w:rsidR="00B450C0" w:rsidRPr="0003506A">
        <w:t>been researched</w:t>
      </w:r>
      <w:r w:rsidR="002A6330" w:rsidRPr="0003506A">
        <w:t xml:space="preserve"> the most</w:t>
      </w:r>
      <w:r w:rsidR="00B450C0" w:rsidRPr="0003506A">
        <w:t>, is at best mixed</w:t>
      </w:r>
      <w:r w:rsidR="003B4DD6" w:rsidRPr="0003506A">
        <w:t xml:space="preserve"> and highly dependent on the wars in question</w:t>
      </w:r>
      <w:r w:rsidR="00B450C0" w:rsidRPr="0003506A">
        <w:t xml:space="preserve">. </w:t>
      </w:r>
      <w:r w:rsidR="00AC5A21" w:rsidRPr="0003506A">
        <w:t xml:space="preserve">Both </w:t>
      </w:r>
      <w:r w:rsidR="003B4DD6" w:rsidRPr="0003506A">
        <w:t xml:space="preserve">World War II heroes </w:t>
      </w:r>
      <w:r w:rsidR="00AC5A21" w:rsidRPr="0003506A">
        <w:t xml:space="preserve">and Vietnam War draft dodgers have </w:t>
      </w:r>
      <w:r w:rsidR="00AC5A21" w:rsidRPr="0003506A">
        <w:lastRenderedPageBreak/>
        <w:t xml:space="preserve">been elected to the Presidency. </w:t>
      </w:r>
      <w:r w:rsidR="00672195" w:rsidRPr="0003506A">
        <w:t>Tangible</w:t>
      </w:r>
      <w:r w:rsidR="00B450C0" w:rsidRPr="0003506A">
        <w:t xml:space="preserve"> evidence </w:t>
      </w:r>
      <w:r w:rsidR="00AC5A21" w:rsidRPr="0003506A">
        <w:t xml:space="preserve">on this issue </w:t>
      </w:r>
      <w:r w:rsidR="00B450C0" w:rsidRPr="0003506A">
        <w:t xml:space="preserve">from post-conflict societies whose populations experienced violence firsthand is </w:t>
      </w:r>
      <w:r w:rsidR="00FB1CF3" w:rsidRPr="0003506A">
        <w:t>even slimmer,</w:t>
      </w:r>
      <w:r w:rsidR="00AC5A21" w:rsidRPr="0003506A">
        <w:t xml:space="preserve"> arguably </w:t>
      </w:r>
      <w:r w:rsidR="00B450C0" w:rsidRPr="0003506A">
        <w:t>non-existent</w:t>
      </w:r>
      <w:r w:rsidR="00A04724" w:rsidRPr="0003506A">
        <w:t>. Obviously,</w:t>
      </w:r>
      <w:r w:rsidR="00672195" w:rsidRPr="0003506A">
        <w:t xml:space="preserve"> collecting reliable electoral data</w:t>
      </w:r>
      <w:r w:rsidR="00A04724" w:rsidRPr="0003506A">
        <w:t xml:space="preserve"> in post-conflict societies</w:t>
      </w:r>
      <w:r w:rsidR="002A6330" w:rsidRPr="0003506A">
        <w:t>, particularly related</w:t>
      </w:r>
      <w:r w:rsidR="00672195" w:rsidRPr="0003506A">
        <w:t xml:space="preserve"> to candidates’ war records</w:t>
      </w:r>
      <w:r w:rsidR="00A04724" w:rsidRPr="0003506A">
        <w:t>, can be exceptionally difficult</w:t>
      </w:r>
      <w:r w:rsidR="00672195" w:rsidRPr="0003506A">
        <w:t>.</w:t>
      </w:r>
      <w:r w:rsidR="00DD71C5" w:rsidRPr="0003506A">
        <w:t xml:space="preserve"> </w:t>
      </w:r>
      <w:r w:rsidR="00A04724" w:rsidRPr="0003506A">
        <w:t>Nevertheless, t</w:t>
      </w:r>
      <w:r w:rsidR="0035096A" w:rsidRPr="0003506A">
        <w:t>he</w:t>
      </w:r>
      <w:r w:rsidR="00DD71C5" w:rsidRPr="0003506A">
        <w:t xml:space="preserve"> inability </w:t>
      </w:r>
      <w:r w:rsidR="0035096A" w:rsidRPr="0003506A">
        <w:t xml:space="preserve">of the literature </w:t>
      </w:r>
      <w:r w:rsidR="00DD71C5" w:rsidRPr="0003506A">
        <w:t xml:space="preserve">to fully account for the drivers of voter choice in post-conflict societies – </w:t>
      </w:r>
      <w:r w:rsidR="00A04724" w:rsidRPr="0003506A">
        <w:t>especially</w:t>
      </w:r>
      <w:r w:rsidR="00DD71C5" w:rsidRPr="0003506A">
        <w:t xml:space="preserve"> </w:t>
      </w:r>
      <w:r w:rsidR="0035096A" w:rsidRPr="0003506A">
        <w:t>drivers</w:t>
      </w:r>
      <w:r w:rsidR="00DD71C5" w:rsidRPr="0003506A">
        <w:t xml:space="preserve"> related to the recent war past, which may be precluding </w:t>
      </w:r>
      <w:r w:rsidR="0035096A" w:rsidRPr="0003506A">
        <w:t xml:space="preserve">the politics in </w:t>
      </w:r>
      <w:r w:rsidR="00DD71C5" w:rsidRPr="0003506A">
        <w:t xml:space="preserve">these societies </w:t>
      </w:r>
      <w:r w:rsidR="0035096A" w:rsidRPr="0003506A">
        <w:t>from moving forward – has been regrettable.</w:t>
      </w:r>
    </w:p>
    <w:p w14:paraId="0BCAFFAF" w14:textId="2FE4C85E" w:rsidR="00FB1CF3" w:rsidRPr="0003506A" w:rsidRDefault="00FB1CF3" w:rsidP="001738F5">
      <w:pPr>
        <w:spacing w:line="480" w:lineRule="auto"/>
        <w:ind w:firstLine="720"/>
      </w:pPr>
      <w:r w:rsidRPr="0003506A">
        <w:t>We provide answers to the</w:t>
      </w:r>
      <w:r w:rsidR="007628C3" w:rsidRPr="0003506A">
        <w:t>se</w:t>
      </w:r>
      <w:r w:rsidRPr="0003506A">
        <w:t xml:space="preserve"> questions using a unique dataset on nearly four thousand candidates in the 2015 and 2016 parliamentary elections in Croatia, organized under proportional representation rules with preferential voting. </w:t>
      </w:r>
      <w:r w:rsidR="00773B35" w:rsidRPr="0003506A">
        <w:t xml:space="preserve">Our dataset includes information on the length of candidates’ combat service in Croatia’s armed and police forces during the country’s 1991-1995 War </w:t>
      </w:r>
      <w:r w:rsidR="002A6DE1" w:rsidRPr="0003506A">
        <w:t>of</w:t>
      </w:r>
      <w:r w:rsidR="00773B35" w:rsidRPr="0003506A">
        <w:t xml:space="preserve"> Independence. This information was publicly available</w:t>
      </w:r>
      <w:r w:rsidR="005803ED" w:rsidRPr="0003506A">
        <w:t xml:space="preserve"> (and hotly debated) in a dedicated online registry of war veterans </w:t>
      </w:r>
      <w:r w:rsidR="00773B35" w:rsidRPr="0003506A">
        <w:t>at the time of the two ele</w:t>
      </w:r>
      <w:r w:rsidR="00C927F0" w:rsidRPr="0003506A">
        <w:t>ctoral campaigns</w:t>
      </w:r>
      <w:r w:rsidR="00773B35" w:rsidRPr="0003506A">
        <w:t xml:space="preserve">, providing us with a unique test of how candidates’ war pasts are related to their electoral fortunes. We pair our candidate-level data with a string of variables on the level of Croatia’s </w:t>
      </w:r>
      <w:r w:rsidR="004A6239" w:rsidRPr="0003506A">
        <w:t xml:space="preserve">556 </w:t>
      </w:r>
      <w:r w:rsidR="00773B35" w:rsidRPr="0003506A">
        <w:t>relatively small municipalities, including information on the local population’s exposure to war violence.</w:t>
      </w:r>
      <w:r w:rsidR="004930B9" w:rsidRPr="0003506A">
        <w:t xml:space="preserve"> </w:t>
      </w:r>
      <w:r w:rsidR="00C927F0" w:rsidRPr="0003506A">
        <w:t>The results of our analysis</w:t>
      </w:r>
      <w:r w:rsidR="004930B9" w:rsidRPr="0003506A">
        <w:t xml:space="preserve"> are clear. Croatian voters, even two decades after the war, </w:t>
      </w:r>
      <w:r w:rsidR="00C2549F" w:rsidRPr="0003506A">
        <w:t xml:space="preserve">generally </w:t>
      </w:r>
      <w:r w:rsidR="004930B9" w:rsidRPr="0003506A">
        <w:t xml:space="preserve">reward veterans </w:t>
      </w:r>
      <w:r w:rsidR="00C2549F" w:rsidRPr="0003506A">
        <w:t xml:space="preserve">at the ballot box </w:t>
      </w:r>
      <w:r w:rsidR="005803ED" w:rsidRPr="0003506A">
        <w:t xml:space="preserve">for </w:t>
      </w:r>
      <w:r w:rsidR="004930B9" w:rsidRPr="0003506A">
        <w:t xml:space="preserve">their combat service. </w:t>
      </w:r>
      <w:r w:rsidR="0052533C" w:rsidRPr="0003506A">
        <w:t>Voters</w:t>
      </w:r>
      <w:r w:rsidR="00C927F0" w:rsidRPr="0003506A">
        <w:t xml:space="preserve"> do that</w:t>
      </w:r>
      <w:r w:rsidR="005803ED" w:rsidRPr="0003506A">
        <w:t xml:space="preserve">, however, conditional on </w:t>
      </w:r>
      <w:r w:rsidR="00C927F0" w:rsidRPr="0003506A">
        <w:t xml:space="preserve">their </w:t>
      </w:r>
      <w:r w:rsidR="00DB6EED" w:rsidRPr="0003506A">
        <w:t xml:space="preserve">own </w:t>
      </w:r>
      <w:r w:rsidR="005803ED" w:rsidRPr="0003506A">
        <w:t>communities’ exposure to war violence. In areas whose populations were more exposed to war violence, combat veterans r</w:t>
      </w:r>
      <w:r w:rsidR="00C2549F" w:rsidRPr="0003506A">
        <w:t>eceive a sizeable</w:t>
      </w:r>
      <w:r w:rsidR="005803ED" w:rsidRPr="0003506A">
        <w:t xml:space="preserve"> electoral bonus</w:t>
      </w:r>
      <w:r w:rsidR="00C2549F" w:rsidRPr="0003506A">
        <w:t xml:space="preserve">. In areas whose populations avoided destruction, however, combat veterans are actually penalized. This divergence is particularly </w:t>
      </w:r>
      <w:r w:rsidR="00C927F0" w:rsidRPr="0003506A">
        <w:t>pronounced</w:t>
      </w:r>
      <w:r w:rsidR="00C2549F" w:rsidRPr="0003506A">
        <w:t xml:space="preserve"> for candidates and voters of </w:t>
      </w:r>
      <w:r w:rsidR="00C927F0" w:rsidRPr="0003506A">
        <w:t xml:space="preserve">nationalist </w:t>
      </w:r>
      <w:r w:rsidR="00C2549F" w:rsidRPr="0003506A">
        <w:t>rightwing parties</w:t>
      </w:r>
      <w:r w:rsidR="00964199" w:rsidRPr="0003506A">
        <w:t xml:space="preserve"> that were decisively shaped by the 1991-1995 war</w:t>
      </w:r>
      <w:r w:rsidR="00C2549F" w:rsidRPr="0003506A">
        <w:t>,</w:t>
      </w:r>
      <w:r w:rsidR="00964199" w:rsidRPr="0003506A">
        <w:t xml:space="preserve"> demonstrating the importance of the interaction between </w:t>
      </w:r>
      <w:r w:rsidR="00964199" w:rsidRPr="0003506A">
        <w:lastRenderedPageBreak/>
        <w:t>lived war experiences and political ideology in postwar societies</w:t>
      </w:r>
      <w:r w:rsidR="00C927F0" w:rsidRPr="0003506A">
        <w:t>.</w:t>
      </w:r>
      <w:r w:rsidR="00EA01AA">
        <w:t xml:space="preserve"> </w:t>
      </w:r>
      <w:r w:rsidR="009939DC">
        <w:t>Although its War of</w:t>
      </w:r>
      <w:r w:rsidR="00FA0A73">
        <w:t xml:space="preserve"> Independence remains politically salient to this day, we believe </w:t>
      </w:r>
      <w:r w:rsidR="00EA01AA">
        <w:t xml:space="preserve">Croatia </w:t>
      </w:r>
      <w:r w:rsidR="00FA0A73">
        <w:t xml:space="preserve">actually </w:t>
      </w:r>
      <w:r w:rsidR="00EA01AA">
        <w:t xml:space="preserve">presents a particularly difficult case for our analysis due to the temporal distance of the </w:t>
      </w:r>
      <w:r w:rsidR="00FA0A73">
        <w:t>war</w:t>
      </w:r>
      <w:r w:rsidR="00EA01AA">
        <w:t xml:space="preserve"> from the two electoral campaigns, the decisive nature of the war’s </w:t>
      </w:r>
      <w:r w:rsidR="00FA0A73">
        <w:t>resolution in Croatia’s victory</w:t>
      </w:r>
      <w:r w:rsidR="00EA01AA">
        <w:t>, and the country’s move toward European integration. This suggests that the general thrust of our findings</w:t>
      </w:r>
      <w:r w:rsidR="0003312C">
        <w:t>, which show how war experiences affect the nature of postwar political competition,</w:t>
      </w:r>
      <w:r w:rsidR="00EA01AA">
        <w:t xml:space="preserve"> should be portable </w:t>
      </w:r>
      <w:r w:rsidR="0003312C">
        <w:t xml:space="preserve">to </w:t>
      </w:r>
      <w:r w:rsidR="00EA01AA">
        <w:t>other postwar settings</w:t>
      </w:r>
      <w:r w:rsidR="00FA0A73">
        <w:t>, though obviously more research in other contexts is needed to test our propositions</w:t>
      </w:r>
      <w:r w:rsidR="00EA01AA">
        <w:t xml:space="preserve">. </w:t>
      </w:r>
    </w:p>
    <w:p w14:paraId="05BF9898" w14:textId="77777777" w:rsidR="00131C54" w:rsidRPr="0003506A" w:rsidRDefault="00131C54" w:rsidP="001738F5">
      <w:pPr>
        <w:spacing w:line="480" w:lineRule="auto"/>
      </w:pPr>
    </w:p>
    <w:p w14:paraId="224DC5A7" w14:textId="77777777" w:rsidR="00131C54" w:rsidRPr="0003506A" w:rsidRDefault="00131C54" w:rsidP="001738F5">
      <w:pPr>
        <w:spacing w:line="480" w:lineRule="auto"/>
        <w:rPr>
          <w:rFonts w:cs="Times New Roman"/>
          <w:b/>
          <w:szCs w:val="24"/>
        </w:rPr>
      </w:pPr>
      <w:r w:rsidRPr="0003506A">
        <w:rPr>
          <w:rFonts w:cs="Times New Roman"/>
          <w:b/>
          <w:szCs w:val="24"/>
        </w:rPr>
        <w:t xml:space="preserve">Combat Veterans as Electoral Candidates: Valence, </w:t>
      </w:r>
      <w:r w:rsidR="001E21DA">
        <w:rPr>
          <w:rFonts w:cs="Times New Roman"/>
          <w:b/>
          <w:szCs w:val="24"/>
        </w:rPr>
        <w:t>Experiential Closeness</w:t>
      </w:r>
      <w:r w:rsidRPr="0003506A">
        <w:rPr>
          <w:rFonts w:cs="Times New Roman"/>
          <w:b/>
          <w:szCs w:val="24"/>
        </w:rPr>
        <w:t>, and Ideology</w:t>
      </w:r>
    </w:p>
    <w:p w14:paraId="1CA4679E" w14:textId="77777777" w:rsidR="00131C54" w:rsidRPr="0003506A" w:rsidRDefault="00131C54" w:rsidP="001738F5">
      <w:pPr>
        <w:spacing w:line="480" w:lineRule="auto"/>
        <w:rPr>
          <w:rFonts w:cs="Times New Roman"/>
          <w:szCs w:val="24"/>
        </w:rPr>
      </w:pPr>
      <w:r w:rsidRPr="0003506A">
        <w:rPr>
          <w:rFonts w:cs="Times New Roman"/>
          <w:szCs w:val="24"/>
        </w:rPr>
        <w:t>Research on the relationship between politicians’ military or war experience and their electoral fortunes has been dominated by contributions focused on the US context. Ever since the 1948 proposition by Albert Somit that military heroes had much higher chances of being elected to the presidency, the value of veteran status has been virtually taken for granted by the observers of US elections and the establishments of the two parties (Karsten 2012). The actual record of veteran candidates in electoral contests, however, has been rather mixed. Somit and Tanenhaus (1957) found veterans substantially overrepresented among both Republican and Democrat candidates in congressional election</w:t>
      </w:r>
      <w:r w:rsidR="00DB6EED" w:rsidRPr="0003506A">
        <w:rPr>
          <w:rFonts w:cs="Times New Roman"/>
          <w:szCs w:val="24"/>
        </w:rPr>
        <w:t>s of the early 1950s, but faring</w:t>
      </w:r>
      <w:r w:rsidRPr="0003506A">
        <w:rPr>
          <w:rFonts w:cs="Times New Roman"/>
          <w:szCs w:val="24"/>
        </w:rPr>
        <w:t xml:space="preserve"> no better or worse than their non-veteran counterparts at the ballot box. Looking at congressional elections five decades later, Teigen (2008) found veteran experience bringing a slight electoral advantage only to Republican nominees. Despite strong survey evidence of voters’ positive ratings of military leaders on their integrity, knowledge, abilities, and leadership in comparison to other traditional pools of political candidates (McDermott and Panagopoulos 2015), more recent experimental research has found that there was </w:t>
      </w:r>
      <w:r w:rsidRPr="0003506A">
        <w:rPr>
          <w:rFonts w:cs="Times New Roman"/>
          <w:szCs w:val="24"/>
        </w:rPr>
        <w:lastRenderedPageBreak/>
        <w:t>no across-the-board benefit for veteran candidates among American voters. Veterans seem to be considered more competent on defense and security issues (Teigen 2013), as well as more hawkish, but this translates only to an adjustment in the voter preference function concerning veteran Democrat candidates among some segments of the electorate (McDermott and Panagopoulos 2015). In other words, American voters do hold some stereotypical views of veteran candidates and use their military experience as a heuristic for policy and trait views. Nevertheless, it is unclear whether this translates into tangible electoral benefits for veteran candidates.</w:t>
      </w:r>
    </w:p>
    <w:p w14:paraId="6A27EAF8" w14:textId="77777777" w:rsidR="00131C54" w:rsidRPr="0003506A" w:rsidRDefault="00131C54" w:rsidP="001738F5">
      <w:pPr>
        <w:spacing w:line="480" w:lineRule="auto"/>
        <w:ind w:firstLine="720"/>
        <w:rPr>
          <w:rFonts w:cs="Times New Roman"/>
          <w:szCs w:val="24"/>
        </w:rPr>
      </w:pPr>
      <w:r w:rsidRPr="0003506A">
        <w:rPr>
          <w:rFonts w:cs="Times New Roman"/>
          <w:szCs w:val="24"/>
        </w:rPr>
        <w:t xml:space="preserve">More critical than this ambiguity regarding American voters’ views of politicians with records of military service, however, is the fact that we know very little about voters’ views of the candidates’ war pasts in societies with experiences of conflict on their own soil. A </w:t>
      </w:r>
      <w:r w:rsidR="007628C3" w:rsidRPr="0003506A">
        <w:rPr>
          <w:rFonts w:cs="Times New Roman"/>
          <w:szCs w:val="24"/>
        </w:rPr>
        <w:t>number</w:t>
      </w:r>
      <w:r w:rsidRPr="0003506A">
        <w:rPr>
          <w:rFonts w:cs="Times New Roman"/>
          <w:szCs w:val="24"/>
        </w:rPr>
        <w:t xml:space="preserve"> of aggregate-level findings from post-conflict polities demonstrates that electoral competition can be decisively determined by the patterns of violence and the population’s allegiances in the ended conflict (e.g. Costalli and Ruggeri 2019; Hadzic, Carlson, and Tavits 2020). We do not know, however, whether voters in post-conflict societies actually value individual candidates’ records of military service. Clearly, this has been the case due to a number of practical obstacles in conducting electoral research in post-conflict contexts. Post-conflict societies often have far from perfect democratic institutions and electoral competitions, not to mention that reliable </w:t>
      </w:r>
      <w:r w:rsidR="009201A8">
        <w:rPr>
          <w:rFonts w:cs="Times New Roman"/>
          <w:szCs w:val="24"/>
        </w:rPr>
        <w:t xml:space="preserve">systematic </w:t>
      </w:r>
      <w:r w:rsidRPr="0003506A">
        <w:rPr>
          <w:rFonts w:cs="Times New Roman"/>
          <w:szCs w:val="24"/>
        </w:rPr>
        <w:t>data on politicians’ war pasts is extremely hard to come by</w:t>
      </w:r>
      <w:r w:rsidR="009201A8">
        <w:rPr>
          <w:rFonts w:cs="Times New Roman"/>
          <w:szCs w:val="24"/>
        </w:rPr>
        <w:t xml:space="preserve"> for researchers</w:t>
      </w:r>
      <w:r w:rsidRPr="0003506A">
        <w:rPr>
          <w:rFonts w:cs="Times New Roman"/>
          <w:szCs w:val="24"/>
        </w:rPr>
        <w:t>. Notwithstanding these evident obstacles, however, the limitations of the literature in understanding the drivers of war-related voter choice in postwar polities is puzzling and unfortunate. Democratic electoral competition is often seen as the best way forward for post-conflict societies (</w:t>
      </w:r>
      <w:r w:rsidR="00DB4793" w:rsidRPr="0003506A">
        <w:rPr>
          <w:rFonts w:cs="Times New Roman"/>
          <w:szCs w:val="24"/>
        </w:rPr>
        <w:t>Flores and Nooruddin 2012</w:t>
      </w:r>
      <w:r w:rsidRPr="0003506A">
        <w:rPr>
          <w:rFonts w:cs="Times New Roman"/>
          <w:szCs w:val="24"/>
        </w:rPr>
        <w:t xml:space="preserve">). </w:t>
      </w:r>
      <w:r w:rsidR="00F966BB" w:rsidRPr="0003506A">
        <w:rPr>
          <w:rFonts w:cs="Times New Roman"/>
          <w:szCs w:val="24"/>
        </w:rPr>
        <w:t>I</w:t>
      </w:r>
      <w:r w:rsidRPr="0003506A">
        <w:rPr>
          <w:rFonts w:cs="Times New Roman"/>
          <w:szCs w:val="24"/>
        </w:rPr>
        <w:t>f voters make their choices based on candidates’ performance on the battlefield</w:t>
      </w:r>
      <w:r w:rsidR="0003312C">
        <w:rPr>
          <w:rFonts w:cs="Times New Roman"/>
          <w:szCs w:val="24"/>
        </w:rPr>
        <w:t xml:space="preserve"> in the ended conflict</w:t>
      </w:r>
      <w:r w:rsidRPr="0003506A">
        <w:rPr>
          <w:rFonts w:cs="Times New Roman"/>
          <w:szCs w:val="24"/>
        </w:rPr>
        <w:t xml:space="preserve">, </w:t>
      </w:r>
      <w:r w:rsidR="00F966BB" w:rsidRPr="0003506A">
        <w:rPr>
          <w:rFonts w:cs="Times New Roman"/>
          <w:szCs w:val="24"/>
        </w:rPr>
        <w:lastRenderedPageBreak/>
        <w:t xml:space="preserve">however, </w:t>
      </w:r>
      <w:r w:rsidRPr="0003506A">
        <w:rPr>
          <w:rFonts w:cs="Times New Roman"/>
          <w:szCs w:val="24"/>
        </w:rPr>
        <w:t xml:space="preserve">electoral competition could be </w:t>
      </w:r>
      <w:r w:rsidR="0003312C">
        <w:rPr>
          <w:rFonts w:cs="Times New Roman"/>
          <w:szCs w:val="24"/>
        </w:rPr>
        <w:t xml:space="preserve">– directly or indirectly – </w:t>
      </w:r>
      <w:r w:rsidRPr="0003506A">
        <w:rPr>
          <w:rFonts w:cs="Times New Roman"/>
          <w:szCs w:val="24"/>
        </w:rPr>
        <w:t>perpetuating the dynamics of the conflict and preventing postwar societies from moving on and leaving past in the past.</w:t>
      </w:r>
    </w:p>
    <w:p w14:paraId="186E0C61" w14:textId="77777777" w:rsidR="00131C54" w:rsidRPr="0003506A" w:rsidRDefault="00131C54" w:rsidP="001738F5">
      <w:pPr>
        <w:spacing w:line="480" w:lineRule="auto"/>
        <w:ind w:firstLine="720"/>
        <w:rPr>
          <w:rFonts w:cs="Times New Roman"/>
          <w:szCs w:val="24"/>
        </w:rPr>
      </w:pPr>
      <w:r w:rsidRPr="0003506A">
        <w:rPr>
          <w:rFonts w:cs="Times New Roman"/>
          <w:szCs w:val="24"/>
        </w:rPr>
        <w:t xml:space="preserve">Wars can obviously arise from a variety of prewar circumstances, and they can lead to a variety of postwar political developments. Candidates’ records of combat service, therefore, can serve as signals or heuristics for different traits and policy stances, depending on the context. Regardless of this context dependency, however, </w:t>
      </w:r>
      <w:r w:rsidR="00D560B3" w:rsidRPr="0003506A">
        <w:rPr>
          <w:rFonts w:cs="Times New Roman"/>
          <w:szCs w:val="24"/>
        </w:rPr>
        <w:t xml:space="preserve">we argue there are three pathways that could link combat service to electoral success: valence, </w:t>
      </w:r>
      <w:r w:rsidR="001E21DA">
        <w:rPr>
          <w:rFonts w:cs="Times New Roman"/>
          <w:szCs w:val="24"/>
        </w:rPr>
        <w:t>experiential closeness</w:t>
      </w:r>
      <w:r w:rsidR="00D560B3" w:rsidRPr="0003506A">
        <w:rPr>
          <w:rFonts w:cs="Times New Roman"/>
          <w:szCs w:val="24"/>
        </w:rPr>
        <w:t xml:space="preserve">, and ideology. First, </w:t>
      </w:r>
      <w:r w:rsidRPr="0003506A">
        <w:rPr>
          <w:rFonts w:cs="Times New Roman"/>
          <w:szCs w:val="24"/>
        </w:rPr>
        <w:t xml:space="preserve">it would be reasonable to assume that candidates’ military service is viewed as an indicator of their valence (Nyhuis 2016) in the eyes of the voters supporting the same side in the ended conflict. Service in combat could signify for these voters a number of positive traits such as courage, patriotism, initiative, leadership, sacrifice. </w:t>
      </w:r>
      <w:r w:rsidR="00994D96" w:rsidRPr="0003506A">
        <w:rPr>
          <w:rFonts w:cs="Times New Roman"/>
          <w:szCs w:val="24"/>
        </w:rPr>
        <w:t>I</w:t>
      </w:r>
      <w:r w:rsidRPr="0003506A">
        <w:rPr>
          <w:rFonts w:cs="Times New Roman"/>
          <w:szCs w:val="24"/>
        </w:rPr>
        <w:t xml:space="preserve">t could </w:t>
      </w:r>
      <w:r w:rsidR="00994D96" w:rsidRPr="0003506A">
        <w:rPr>
          <w:rFonts w:cs="Times New Roman"/>
          <w:szCs w:val="24"/>
        </w:rPr>
        <w:t xml:space="preserve">obviously </w:t>
      </w:r>
      <w:r w:rsidRPr="0003506A">
        <w:rPr>
          <w:rFonts w:cs="Times New Roman"/>
          <w:szCs w:val="24"/>
        </w:rPr>
        <w:t>also signify some negative traits such as extremism</w:t>
      </w:r>
      <w:r w:rsidR="00994D96" w:rsidRPr="0003506A">
        <w:rPr>
          <w:rFonts w:cs="Times New Roman"/>
          <w:szCs w:val="24"/>
        </w:rPr>
        <w:t>,</w:t>
      </w:r>
      <w:r w:rsidRPr="0003506A">
        <w:rPr>
          <w:rFonts w:cs="Times New Roman"/>
          <w:szCs w:val="24"/>
        </w:rPr>
        <w:t xml:space="preserve"> aggression,</w:t>
      </w:r>
      <w:r w:rsidR="00994D96" w:rsidRPr="0003506A">
        <w:rPr>
          <w:rFonts w:cs="Times New Roman"/>
          <w:szCs w:val="24"/>
        </w:rPr>
        <w:t xml:space="preserve"> or mindless and unquestioning service. O</w:t>
      </w:r>
      <w:r w:rsidRPr="0003506A">
        <w:rPr>
          <w:rFonts w:cs="Times New Roman"/>
          <w:szCs w:val="24"/>
        </w:rPr>
        <w:t>n balance</w:t>
      </w:r>
      <w:r w:rsidR="00994D96" w:rsidRPr="0003506A">
        <w:rPr>
          <w:rFonts w:cs="Times New Roman"/>
          <w:szCs w:val="24"/>
        </w:rPr>
        <w:t>, however,</w:t>
      </w:r>
      <w:r w:rsidRPr="0003506A">
        <w:rPr>
          <w:rFonts w:cs="Times New Roman"/>
          <w:szCs w:val="24"/>
        </w:rPr>
        <w:t xml:space="preserve"> it seems safe to propose that most voters would, all else equal, reward candidates with a record of service in armed combat </w:t>
      </w:r>
      <w:r w:rsidR="009201A8">
        <w:rPr>
          <w:rFonts w:cs="Times New Roman"/>
          <w:szCs w:val="24"/>
        </w:rPr>
        <w:t xml:space="preserve">on the side of the forces that fought for the voters’ side </w:t>
      </w:r>
      <w:r w:rsidRPr="0003506A">
        <w:rPr>
          <w:rFonts w:cs="Times New Roman"/>
          <w:szCs w:val="24"/>
        </w:rPr>
        <w:t xml:space="preserve">and that the extent of this reward should be proportional to the length of service. </w:t>
      </w:r>
      <w:r w:rsidR="009201A8">
        <w:rPr>
          <w:rFonts w:cs="Times New Roman"/>
          <w:szCs w:val="24"/>
        </w:rPr>
        <w:t xml:space="preserve">From </w:t>
      </w:r>
      <w:r w:rsidR="0003312C">
        <w:rPr>
          <w:rFonts w:cs="Times New Roman"/>
          <w:szCs w:val="24"/>
        </w:rPr>
        <w:t>what</w:t>
      </w:r>
      <w:r w:rsidR="009201A8">
        <w:rPr>
          <w:rFonts w:cs="Times New Roman"/>
          <w:szCs w:val="24"/>
        </w:rPr>
        <w:t xml:space="preserve"> we know about</w:t>
      </w:r>
      <w:r w:rsidR="0003312C">
        <w:rPr>
          <w:rFonts w:cs="Times New Roman"/>
          <w:szCs w:val="24"/>
        </w:rPr>
        <w:t xml:space="preserve"> wars and their effects on postwar politics (especially when it comes to </w:t>
      </w:r>
      <w:r w:rsidR="009201A8">
        <w:rPr>
          <w:rFonts w:cs="Times New Roman"/>
          <w:szCs w:val="24"/>
        </w:rPr>
        <w:t xml:space="preserve">wars </w:t>
      </w:r>
      <w:r w:rsidR="0003312C">
        <w:rPr>
          <w:rFonts w:cs="Times New Roman"/>
          <w:szCs w:val="24"/>
        </w:rPr>
        <w:t>of the sort fought in</w:t>
      </w:r>
      <w:r w:rsidR="009201A8">
        <w:rPr>
          <w:rFonts w:cs="Times New Roman"/>
          <w:szCs w:val="24"/>
        </w:rPr>
        <w:t xml:space="preserve"> former Yugoslavia</w:t>
      </w:r>
      <w:r w:rsidR="0003312C">
        <w:rPr>
          <w:rFonts w:cs="Times New Roman"/>
          <w:szCs w:val="24"/>
        </w:rPr>
        <w:t>),</w:t>
      </w:r>
      <w:r w:rsidR="009201A8">
        <w:rPr>
          <w:rFonts w:cs="Times New Roman"/>
          <w:szCs w:val="24"/>
        </w:rPr>
        <w:t xml:space="preserve"> we argue this would be the case even in conflicts where the armed forces often fought without regard for the conventions of war. </w:t>
      </w:r>
      <w:r w:rsidRPr="0003506A">
        <w:rPr>
          <w:rFonts w:cs="Times New Roman"/>
          <w:szCs w:val="24"/>
        </w:rPr>
        <w:t>We therefore hypothesize that:</w:t>
      </w:r>
    </w:p>
    <w:p w14:paraId="50DDA860" w14:textId="77777777" w:rsidR="00131C54" w:rsidRPr="0003506A" w:rsidRDefault="00131C54" w:rsidP="001738F5">
      <w:pPr>
        <w:spacing w:line="480" w:lineRule="auto"/>
        <w:ind w:left="720"/>
        <w:rPr>
          <w:rFonts w:cs="Times New Roman"/>
          <w:szCs w:val="24"/>
        </w:rPr>
      </w:pPr>
      <w:r w:rsidRPr="0003506A">
        <w:rPr>
          <w:rFonts w:cs="Times New Roman"/>
          <w:i/>
          <w:szCs w:val="24"/>
        </w:rPr>
        <w:t>H1: Candidates’ electoral performance has a significant and positive relationship with the length of their service in combat.</w:t>
      </w:r>
    </w:p>
    <w:p w14:paraId="62913B1F" w14:textId="77777777" w:rsidR="00131C54" w:rsidRPr="0003506A" w:rsidRDefault="00D560B3" w:rsidP="001738F5">
      <w:pPr>
        <w:spacing w:line="480" w:lineRule="auto"/>
        <w:ind w:firstLine="720"/>
        <w:rPr>
          <w:rFonts w:cs="Times New Roman"/>
          <w:szCs w:val="24"/>
        </w:rPr>
      </w:pPr>
      <w:r w:rsidRPr="0003506A">
        <w:rPr>
          <w:rFonts w:cs="Times New Roman"/>
          <w:szCs w:val="24"/>
        </w:rPr>
        <w:t xml:space="preserve">The second pathway linking combat experience with electoral success stems from experiential </w:t>
      </w:r>
      <w:r w:rsidR="001E21DA">
        <w:rPr>
          <w:rFonts w:cs="Times New Roman"/>
          <w:szCs w:val="24"/>
        </w:rPr>
        <w:t>closeness</w:t>
      </w:r>
      <w:r w:rsidR="001E21DA" w:rsidRPr="0003506A">
        <w:rPr>
          <w:rFonts w:cs="Times New Roman"/>
          <w:szCs w:val="24"/>
        </w:rPr>
        <w:t xml:space="preserve"> </w:t>
      </w:r>
      <w:r w:rsidRPr="0003506A">
        <w:rPr>
          <w:rFonts w:cs="Times New Roman"/>
          <w:szCs w:val="24"/>
        </w:rPr>
        <w:t>between veterans and voters who</w:t>
      </w:r>
      <w:r w:rsidR="001E21DA">
        <w:rPr>
          <w:rFonts w:cs="Times New Roman"/>
          <w:szCs w:val="24"/>
        </w:rPr>
        <w:t xml:space="preserve"> live in areas that</w:t>
      </w:r>
      <w:r w:rsidRPr="0003506A">
        <w:rPr>
          <w:rFonts w:cs="Times New Roman"/>
          <w:szCs w:val="24"/>
        </w:rPr>
        <w:t xml:space="preserve"> also experienced combat. Indeed, w</w:t>
      </w:r>
      <w:r w:rsidR="00131C54" w:rsidRPr="0003506A">
        <w:rPr>
          <w:rFonts w:cs="Times New Roman"/>
          <w:szCs w:val="24"/>
        </w:rPr>
        <w:t xml:space="preserve">ars do not affect societies and their populations uniformly. Some regions and some </w:t>
      </w:r>
      <w:r w:rsidR="00131C54" w:rsidRPr="0003506A">
        <w:rPr>
          <w:rFonts w:cs="Times New Roman"/>
          <w:szCs w:val="24"/>
        </w:rPr>
        <w:lastRenderedPageBreak/>
        <w:t xml:space="preserve">people are spared exposure to violence, and some end up being on the frontlines. It would be illusory to expect political candidates’ combat experience to be valued evenly across the whole electorate. </w:t>
      </w:r>
      <w:r w:rsidRPr="0003506A">
        <w:rPr>
          <w:rFonts w:cs="Times New Roman"/>
          <w:szCs w:val="24"/>
        </w:rPr>
        <w:t>This line of reasoning is supported by</w:t>
      </w:r>
      <w:r w:rsidR="00131C54" w:rsidRPr="0003506A">
        <w:rPr>
          <w:rFonts w:cs="Times New Roman"/>
          <w:szCs w:val="24"/>
        </w:rPr>
        <w:t xml:space="preserve"> a long line of research going back to the early studies of voter behavior in the United States (e.g. Campbell et al. 1960) that shows voters reward those candidates they are familiar with (André, Wauters, and Pilet 2012), as well as those who have the same sociodemographic characteristics. Voters are more likely to support candidates who share their ethnicity (McConnaughy et al. 2010), religion (Heath, Verniers, and Kumar 2015), gender (Van Erkel 2019), race (Philpot and Walton 2007), or social class (Heath 2015). These findings of voter-candidate socio-demographic </w:t>
      </w:r>
      <w:r w:rsidR="001E21DA">
        <w:rPr>
          <w:rFonts w:cs="Times New Roman"/>
          <w:szCs w:val="24"/>
        </w:rPr>
        <w:t>closeness</w:t>
      </w:r>
      <w:r w:rsidR="001E21DA" w:rsidRPr="0003506A">
        <w:rPr>
          <w:rFonts w:cs="Times New Roman"/>
          <w:szCs w:val="24"/>
        </w:rPr>
        <w:t xml:space="preserve"> </w:t>
      </w:r>
      <w:r w:rsidR="00131C54" w:rsidRPr="0003506A">
        <w:rPr>
          <w:rFonts w:cs="Times New Roman"/>
          <w:szCs w:val="24"/>
        </w:rPr>
        <w:t xml:space="preserve">having a significant effect on voter choice are portable across different geographic, temporal, and institutional contexts and are robust regardless of the type of electoral rules (proportional vs. majoritarian) or elections themselves (intra-party vs. inter-party, partisan vs. non-partisan). This is in many ways unsurprising. In elections, voters choose not only their policy representatives, but also their social representatives. It is understandable that one would expect candidates who come from similar social backgrounds or who have similar life experiences to represent one’s interests </w:t>
      </w:r>
      <w:r w:rsidR="00185FCE">
        <w:rPr>
          <w:rFonts w:cs="Times New Roman"/>
          <w:szCs w:val="24"/>
        </w:rPr>
        <w:t xml:space="preserve">when it comes to values as well as policy making </w:t>
      </w:r>
      <w:r w:rsidR="00131C54" w:rsidRPr="0003506A">
        <w:rPr>
          <w:rFonts w:cs="Times New Roman"/>
          <w:szCs w:val="24"/>
        </w:rPr>
        <w:t xml:space="preserve">more accurately and diligently (Cutler 2002). In the context of post-conflict societies, this </w:t>
      </w:r>
      <w:r w:rsidR="00D704A4">
        <w:rPr>
          <w:rFonts w:cs="Times New Roman"/>
          <w:szCs w:val="24"/>
        </w:rPr>
        <w:t>c</w:t>
      </w:r>
      <w:r w:rsidR="00131C54" w:rsidRPr="0003506A">
        <w:rPr>
          <w:rFonts w:cs="Times New Roman"/>
          <w:szCs w:val="24"/>
        </w:rPr>
        <w:t xml:space="preserve">ould mean that candidates’ experiences of combat service would be disproportionally valued by those who shared those experiences. This includes not only veterans, but also other voters and communities who were directly exposed to war violence. Candidates who served in combat should therefore do better in areas disproportionally affected by war violence because the electorates in these areas perceive war veteran candidates as experientially </w:t>
      </w:r>
      <w:r w:rsidR="001E21DA">
        <w:rPr>
          <w:rFonts w:cs="Times New Roman"/>
          <w:szCs w:val="24"/>
        </w:rPr>
        <w:t>close</w:t>
      </w:r>
      <w:r w:rsidR="00131C54" w:rsidRPr="0003506A">
        <w:rPr>
          <w:rFonts w:cs="Times New Roman"/>
          <w:szCs w:val="24"/>
        </w:rPr>
        <w:t xml:space="preserve">. </w:t>
      </w:r>
      <w:r w:rsidR="00D704A4">
        <w:rPr>
          <w:rFonts w:cs="Times New Roman"/>
          <w:szCs w:val="24"/>
        </w:rPr>
        <w:t xml:space="preserve">Although exposing the causal mechanism behind this connection, as well as testing for the possible </w:t>
      </w:r>
      <w:r w:rsidR="00D704A4">
        <w:rPr>
          <w:rFonts w:cs="Times New Roman"/>
          <w:szCs w:val="24"/>
        </w:rPr>
        <w:lastRenderedPageBreak/>
        <w:t>alternative explanations, is beyond the scope of this paper and will be the subject of further research, we feel confident in</w:t>
      </w:r>
      <w:r w:rsidR="00131C54" w:rsidRPr="0003506A">
        <w:rPr>
          <w:rFonts w:cs="Times New Roman"/>
          <w:szCs w:val="24"/>
        </w:rPr>
        <w:t xml:space="preserve"> hypothesiz</w:t>
      </w:r>
      <w:r w:rsidR="00D704A4">
        <w:rPr>
          <w:rFonts w:cs="Times New Roman"/>
          <w:szCs w:val="24"/>
        </w:rPr>
        <w:t>ing</w:t>
      </w:r>
      <w:r w:rsidR="00131C54" w:rsidRPr="0003506A">
        <w:rPr>
          <w:rFonts w:cs="Times New Roman"/>
          <w:szCs w:val="24"/>
        </w:rPr>
        <w:t xml:space="preserve"> that:</w:t>
      </w:r>
    </w:p>
    <w:p w14:paraId="789602B4" w14:textId="77777777" w:rsidR="00131C54" w:rsidRPr="0003506A" w:rsidRDefault="00131C54" w:rsidP="001738F5">
      <w:pPr>
        <w:spacing w:line="480" w:lineRule="auto"/>
        <w:ind w:left="720"/>
        <w:rPr>
          <w:rFonts w:cs="Times New Roman"/>
          <w:szCs w:val="24"/>
        </w:rPr>
      </w:pPr>
      <w:r w:rsidRPr="0003506A">
        <w:rPr>
          <w:rFonts w:cs="Times New Roman"/>
          <w:i/>
          <w:szCs w:val="24"/>
        </w:rPr>
        <w:t>H2: Candidates’ length of service in combat leads to a greater electoral bonus in areas more affected by war violence.</w:t>
      </w:r>
    </w:p>
    <w:p w14:paraId="2DF2A98E" w14:textId="77777777" w:rsidR="00131C54" w:rsidRPr="0003506A" w:rsidRDefault="00D560B3" w:rsidP="001738F5">
      <w:pPr>
        <w:spacing w:line="480" w:lineRule="auto"/>
        <w:ind w:firstLine="720"/>
        <w:rPr>
          <w:rFonts w:cs="Times New Roman"/>
          <w:szCs w:val="24"/>
        </w:rPr>
      </w:pPr>
      <w:r w:rsidRPr="0003506A">
        <w:rPr>
          <w:rFonts w:cs="Times New Roman"/>
          <w:szCs w:val="24"/>
        </w:rPr>
        <w:t>Thirdly and finally, service in combat</w:t>
      </w:r>
      <w:r w:rsidR="00131C54" w:rsidRPr="0003506A">
        <w:rPr>
          <w:rFonts w:cs="Times New Roman"/>
          <w:szCs w:val="24"/>
        </w:rPr>
        <w:t xml:space="preserve"> is not only a cue to voters about the candidates’ personality traits, their capacity for political leadership, or their ability to represent other people affected by war violence. It can also be a strong cue about potentially very important sets of political or ideological beliefs. As already mentioned, in the US context, military veterans are perceived as holding more interventionist foreign policy views (McDermott and Panagopoulos 2015). They are also perceived as more competent in policy areas such as defense and security, and they are believed to have personal traits such as strength and decisiveness. With defense and security belonging to a set of policy issues “owned” by the Republican Party, and the personality traits commonly associated with veterans also being commonly associated with Republicans (Hayes 2005), it is little wonder that American veterans are commonly more associated with the political right and that Republican voters are more willing to consider candidates of the other party if they are veterans (McDermott and Panagopoulos 2015).</w:t>
      </w:r>
    </w:p>
    <w:p w14:paraId="515F714B" w14:textId="77777777" w:rsidR="00131C54" w:rsidRPr="0003506A" w:rsidRDefault="00131C54" w:rsidP="001738F5">
      <w:pPr>
        <w:spacing w:line="480" w:lineRule="auto"/>
        <w:ind w:firstLine="720"/>
        <w:rPr>
          <w:rFonts w:cs="Times New Roman"/>
          <w:szCs w:val="24"/>
        </w:rPr>
      </w:pPr>
      <w:r w:rsidRPr="0003506A">
        <w:rPr>
          <w:rFonts w:cs="Times New Roman"/>
          <w:szCs w:val="24"/>
        </w:rPr>
        <w:t xml:space="preserve">There is no reason to believe that candidates’ combat experience would not act as strong ideological cues in postwar societies as well. All wars are inherently political. They are not only the continuation of politics by other means, as Clausewitz proposed two centuries ago, but they also create political reality and force individuals to take highly politicized positions. This is particularly the case in conflicts such as revolutions, insurrections, or civil wars where fighting is often done by ideologically committed volunteers, rather than regular conscript armies. Wars of Yugoslavia’s dissolution in the 1990s were exactly such conflicts. Although their roots were </w:t>
      </w:r>
      <w:r w:rsidRPr="0003506A">
        <w:rPr>
          <w:rFonts w:cs="Times New Roman"/>
          <w:szCs w:val="24"/>
        </w:rPr>
        <w:lastRenderedPageBreak/>
        <w:t>complex, one could safely say that they were driven by nationalist ideologies and the competing desires of different national groups to secure statehood and territorial sovereignty (Ramet 2006). It would therefore be reasonable to consider people who fought in these wars to be more likely to hold ideologically nationalist or rightwing views</w:t>
      </w:r>
      <w:r w:rsidR="00E92E36" w:rsidRPr="0003506A">
        <w:rPr>
          <w:rFonts w:cs="Times New Roman"/>
          <w:szCs w:val="24"/>
        </w:rPr>
        <w:t>, or for these views to be seen as more genuine and sincere by voters when held by someone who served in the war</w:t>
      </w:r>
      <w:r w:rsidRPr="0003506A">
        <w:rPr>
          <w:rFonts w:cs="Times New Roman"/>
          <w:szCs w:val="24"/>
        </w:rPr>
        <w:t>. Such an assumption is even more logical considering the nature of politics in the region in the two decades since the end of the wars. Political competition in the postwar polities of Southeast Europe has been decisively impacted by the unresolved grievances stemming from the wars, high profile cases in a failed attempt at internationalized transitional justice, as well as issues of how to care for the segments of the population directly affected by the war such as refugees, veterans, victims, and their families. Through this maelstrom, war veterans have more often than not found enthusiastic allies on the political right (Dolenec 2017). Therefore, it would be reasonable to assume that their combat service would be more valued among rightwing voters in general, and particularly among rightwing voters in areas disproportionally affected by war violence where these ideological commitments would be even more salient. This is why we finally hypothesize that:</w:t>
      </w:r>
    </w:p>
    <w:p w14:paraId="558A39BD" w14:textId="77777777" w:rsidR="00131C54" w:rsidRPr="0003506A" w:rsidRDefault="00131C54" w:rsidP="001738F5">
      <w:pPr>
        <w:spacing w:line="480" w:lineRule="auto"/>
        <w:ind w:left="720"/>
        <w:rPr>
          <w:rFonts w:cs="Times New Roman"/>
          <w:i/>
          <w:szCs w:val="24"/>
        </w:rPr>
      </w:pPr>
      <w:r w:rsidRPr="0003506A">
        <w:rPr>
          <w:rFonts w:cs="Times New Roman"/>
          <w:i/>
          <w:szCs w:val="24"/>
        </w:rPr>
        <w:t>H3:</w:t>
      </w:r>
      <w:r w:rsidRPr="0003506A">
        <w:rPr>
          <w:rFonts w:cs="Times New Roman"/>
          <w:szCs w:val="24"/>
        </w:rPr>
        <w:t xml:space="preserve"> </w:t>
      </w:r>
      <w:r w:rsidRPr="0003506A">
        <w:rPr>
          <w:rFonts w:cs="Times New Roman"/>
          <w:i/>
          <w:szCs w:val="24"/>
        </w:rPr>
        <w:t>Candidates’ length of service in combat leads to a greater electoral bonus among rightwing voters.</w:t>
      </w:r>
    </w:p>
    <w:p w14:paraId="32D5EC4A" w14:textId="77777777" w:rsidR="00131C54" w:rsidRPr="0003506A" w:rsidRDefault="00131C54" w:rsidP="001738F5">
      <w:pPr>
        <w:spacing w:line="480" w:lineRule="auto"/>
        <w:ind w:left="720"/>
        <w:rPr>
          <w:rFonts w:cs="Times New Roman"/>
          <w:szCs w:val="24"/>
        </w:rPr>
      </w:pPr>
      <w:r w:rsidRPr="0003506A">
        <w:rPr>
          <w:rFonts w:cs="Times New Roman"/>
          <w:i/>
          <w:szCs w:val="24"/>
        </w:rPr>
        <w:t>H3a: Candidates’ length of service in combat leads to a greater electoral bonus among rightwing voters in areas more affected by war violence.</w:t>
      </w:r>
    </w:p>
    <w:p w14:paraId="53D6AA8C" w14:textId="77777777" w:rsidR="00131C54" w:rsidRPr="0003506A" w:rsidRDefault="00131C54" w:rsidP="001738F5">
      <w:pPr>
        <w:spacing w:line="480" w:lineRule="auto"/>
      </w:pPr>
    </w:p>
    <w:p w14:paraId="6D59AAA0" w14:textId="77777777" w:rsidR="00131C54" w:rsidRPr="0003506A" w:rsidRDefault="00131C54" w:rsidP="001738F5">
      <w:pPr>
        <w:spacing w:line="480" w:lineRule="auto"/>
        <w:rPr>
          <w:rFonts w:cs="Times New Roman"/>
          <w:szCs w:val="24"/>
        </w:rPr>
      </w:pPr>
      <w:r w:rsidRPr="0003506A">
        <w:rPr>
          <w:rFonts w:cs="Times New Roman"/>
          <w:b/>
          <w:szCs w:val="24"/>
        </w:rPr>
        <w:t xml:space="preserve">Croatian Electoral Politics and the 1991-1995 War </w:t>
      </w:r>
      <w:r w:rsidR="002A6DE1" w:rsidRPr="0003506A">
        <w:rPr>
          <w:rFonts w:cs="Times New Roman"/>
          <w:b/>
          <w:szCs w:val="24"/>
        </w:rPr>
        <w:t>of</w:t>
      </w:r>
      <w:r w:rsidRPr="0003506A">
        <w:rPr>
          <w:rFonts w:cs="Times New Roman"/>
          <w:b/>
          <w:szCs w:val="24"/>
        </w:rPr>
        <w:t xml:space="preserve"> Independence</w:t>
      </w:r>
    </w:p>
    <w:p w14:paraId="23F3C04D" w14:textId="77777777" w:rsidR="00131C54" w:rsidRPr="0003506A" w:rsidRDefault="00131C54" w:rsidP="001738F5">
      <w:pPr>
        <w:spacing w:line="480" w:lineRule="auto"/>
        <w:rPr>
          <w:rFonts w:cs="Times New Roman"/>
          <w:szCs w:val="24"/>
        </w:rPr>
      </w:pPr>
      <w:r w:rsidRPr="0003506A">
        <w:rPr>
          <w:rFonts w:cs="Times New Roman"/>
          <w:szCs w:val="24"/>
        </w:rPr>
        <w:t xml:space="preserve">Croatia declared independence from Yugoslavia in June 1991. Violence exploded that summer, though the armed rebellion of the Croatian Serbs assisted by the </w:t>
      </w:r>
      <w:r w:rsidR="00550FE8" w:rsidRPr="0003506A">
        <w:rPr>
          <w:rFonts w:cs="Times New Roman"/>
          <w:szCs w:val="24"/>
        </w:rPr>
        <w:t xml:space="preserve">Belgrade </w:t>
      </w:r>
      <w:r w:rsidRPr="0003506A">
        <w:rPr>
          <w:rFonts w:cs="Times New Roman"/>
          <w:szCs w:val="24"/>
        </w:rPr>
        <w:t xml:space="preserve">regime of Slobodan </w:t>
      </w:r>
      <w:r w:rsidRPr="0003506A">
        <w:rPr>
          <w:rFonts w:cs="Times New Roman"/>
          <w:szCs w:val="24"/>
        </w:rPr>
        <w:lastRenderedPageBreak/>
        <w:t xml:space="preserve">Milošević started already a year earlier. By the time the war ended in the summer of 1995 with Croatia’s victory and the exodus of about 200 thousand Croatian Serbs, the death toll on both sides stood at 20,000, with 20% of the country’s population experiencing forcible displacement, 10% of the total housing stock destroyed, and direct war damages estimated at $50-80 billion (Vlada 1998). </w:t>
      </w:r>
    </w:p>
    <w:p w14:paraId="59250D55" w14:textId="27C6304F" w:rsidR="00131C54" w:rsidRPr="0003506A" w:rsidRDefault="00131C54" w:rsidP="001738F5">
      <w:pPr>
        <w:spacing w:line="480" w:lineRule="auto"/>
        <w:ind w:firstLine="720"/>
        <w:rPr>
          <w:rFonts w:cs="Times New Roman"/>
          <w:szCs w:val="24"/>
        </w:rPr>
      </w:pPr>
      <w:r w:rsidRPr="0003506A">
        <w:rPr>
          <w:rFonts w:cs="Times New Roman"/>
          <w:szCs w:val="24"/>
        </w:rPr>
        <w:t xml:space="preserve">The war </w:t>
      </w:r>
      <w:r w:rsidR="00937683" w:rsidRPr="0003506A">
        <w:rPr>
          <w:rFonts w:cs="Times New Roman"/>
          <w:szCs w:val="24"/>
        </w:rPr>
        <w:t xml:space="preserve">– known as Homeland War in Croatia – </w:t>
      </w:r>
      <w:r w:rsidRPr="0003506A">
        <w:rPr>
          <w:rFonts w:cs="Times New Roman"/>
          <w:szCs w:val="24"/>
        </w:rPr>
        <w:t xml:space="preserve">had a number of long-lasting effects not only on Croatia’s economy and society, but also on the nature of its political competition. About 20% of Croatia’s adult male population – some 300-350 thousand men – had direct experience of combat. Many of them organized after the war into highly influential veterans’ organizations and found welcoming partners on the political right, especially in the Croatian Democratic Union (HDZ) – the dominant center-right party that led Croatia into independence and throughout the war (Dolenec 2017). Croatia’s politics in the postwar period became defined by the </w:t>
      </w:r>
      <w:r w:rsidR="00DD44AE" w:rsidRPr="0003506A">
        <w:rPr>
          <w:rFonts w:cs="Times New Roman"/>
          <w:szCs w:val="24"/>
        </w:rPr>
        <w:t xml:space="preserve">effort of the HDZ to create a winning platform that merges contemporary concerns with the war past. On the one hand, the HDZ profiled itself as perhaps a more clientelist and protectionist, but still staunchly pro-European, version of the German Christian Democrats. On the other hand, it actively built the mythology of the Homeland War and dominated the </w:t>
      </w:r>
      <w:r w:rsidRPr="0003506A">
        <w:rPr>
          <w:rFonts w:cs="Times New Roman"/>
          <w:szCs w:val="24"/>
        </w:rPr>
        <w:t xml:space="preserve">debates about the causes, nature, and conduct of the war, as well as about the policies </w:t>
      </w:r>
      <w:r w:rsidR="00DB6EED" w:rsidRPr="0003506A">
        <w:rPr>
          <w:rFonts w:cs="Times New Roman"/>
          <w:szCs w:val="24"/>
        </w:rPr>
        <w:t xml:space="preserve">related </w:t>
      </w:r>
      <w:r w:rsidRPr="0003506A">
        <w:rPr>
          <w:rFonts w:cs="Times New Roman"/>
          <w:szCs w:val="24"/>
        </w:rPr>
        <w:t>to those who bore the br</w:t>
      </w:r>
      <w:r w:rsidR="00DB6EED" w:rsidRPr="0003506A">
        <w:rPr>
          <w:rFonts w:cs="Times New Roman"/>
          <w:szCs w:val="24"/>
        </w:rPr>
        <w:t>unt of the war effort</w:t>
      </w:r>
      <w:r w:rsidRPr="0003506A">
        <w:rPr>
          <w:rFonts w:cs="Times New Roman"/>
          <w:szCs w:val="24"/>
        </w:rPr>
        <w:t xml:space="preserve">. The extensive system of social benefits the HDZ implemented to cater to this population has arguably been the single most important policy area of clear distinction between the HDZ and its principal opponents, the Social Democrats (SDP). The clash between the two sides has been such that, upon coming to power in 2011, the SDP-led coalition made the registry of Croatia’s war veterans accessible online, ostensibly in an effort to publicly shame those veterans who gained their status fraudulently. Upon its return to power, the HDZ removed the registry from public view in </w:t>
      </w:r>
      <w:r w:rsidRPr="0003506A">
        <w:rPr>
          <w:rFonts w:cs="Times New Roman"/>
          <w:szCs w:val="24"/>
        </w:rPr>
        <w:lastRenderedPageBreak/>
        <w:t>December 2017, citing negligible number of cases of fraud discovered (Mochtak, Glaurdić, and Lesschaeve 2020).</w:t>
      </w:r>
      <w:r w:rsidR="002A2124">
        <w:rPr>
          <w:rFonts w:cs="Times New Roman"/>
          <w:szCs w:val="24"/>
        </w:rPr>
        <w:t xml:space="preserve"> </w:t>
      </w:r>
      <w:r w:rsidR="009939DC">
        <w:rPr>
          <w:rFonts w:cs="Times New Roman"/>
          <w:szCs w:val="24"/>
        </w:rPr>
        <w:t>Though notable</w:t>
      </w:r>
      <w:r w:rsidR="002A2124">
        <w:rPr>
          <w:rFonts w:cs="Times New Roman"/>
          <w:szCs w:val="24"/>
        </w:rPr>
        <w:t xml:space="preserve">, the clear distinctions between the main political camps in Croatia when it comes to the country’s recent war past </w:t>
      </w:r>
      <w:r w:rsidR="009939DC">
        <w:rPr>
          <w:rFonts w:cs="Times New Roman"/>
          <w:szCs w:val="24"/>
        </w:rPr>
        <w:t xml:space="preserve">and the different social groups created by war violence </w:t>
      </w:r>
      <w:r w:rsidR="002A2124">
        <w:rPr>
          <w:rFonts w:cs="Times New Roman"/>
          <w:szCs w:val="24"/>
        </w:rPr>
        <w:t>are rather common in most post-conflict societies. From the differences in the approach of the German Christian Democrats and Social Democrats toward the post-World War II expellees to the differences in the policies and discourse of the Serbian nationalists and liberals toward their country’s role</w:t>
      </w:r>
      <w:r w:rsidR="009939DC">
        <w:rPr>
          <w:rFonts w:cs="Times New Roman"/>
          <w:szCs w:val="24"/>
        </w:rPr>
        <w:t xml:space="preserve"> in the conflicts of the 1990s, political competition in post-conflict societies is often significantly affected by the recent past.</w:t>
      </w:r>
    </w:p>
    <w:p w14:paraId="7D7D5B07" w14:textId="77777777" w:rsidR="00131C54" w:rsidRPr="0003506A" w:rsidRDefault="00131C54" w:rsidP="001738F5">
      <w:pPr>
        <w:spacing w:line="480" w:lineRule="auto"/>
        <w:ind w:firstLine="720"/>
        <w:rPr>
          <w:rFonts w:cs="Times New Roman"/>
          <w:szCs w:val="24"/>
        </w:rPr>
      </w:pPr>
      <w:r w:rsidRPr="0003506A">
        <w:rPr>
          <w:rFonts w:cs="Times New Roman"/>
          <w:szCs w:val="24"/>
        </w:rPr>
        <w:t>Unsurprisingly, survey-based research has found veteran status to be one of the most dominant predictors of right-wing political allegiance in Croatia (Bagić and Kardov 2018; Lesschaeve 2019). Similarly, research on the level of Croatia’s communities has found local population’s exposure to war violence to be the strongest predictor of support for the HDZ, suggesting that Croatia’s political competition is dominated by this “nation-building” or “war-past” cleavage (Glaurdić and Vuković 2016). These findings are in line with a string of similar findings in other postwar societies – from contemporary Bosnia and Herzegovina (Hadzic, Carlson, and Tavits 2020) to post-World War II Italy (Costalli and Ruggeri 2019) – that show how exposure to and participation in war violence can dominate communities’ and individuals’ postwar political lives.</w:t>
      </w:r>
    </w:p>
    <w:p w14:paraId="4D1A23FD" w14:textId="77777777" w:rsidR="00131C54" w:rsidRPr="0003506A" w:rsidRDefault="00131C54" w:rsidP="001738F5">
      <w:pPr>
        <w:spacing w:line="480" w:lineRule="auto"/>
        <w:ind w:firstLine="720"/>
        <w:rPr>
          <w:rFonts w:cs="Times New Roman"/>
          <w:szCs w:val="24"/>
        </w:rPr>
      </w:pPr>
      <w:r w:rsidRPr="0003506A">
        <w:rPr>
          <w:rFonts w:cs="Times New Roman"/>
          <w:szCs w:val="24"/>
        </w:rPr>
        <w:t xml:space="preserve">One of the clearest ways in which exposure to and participation in war violence can affect individuals’ postwar political lives is by increasing their level of political engagement. The tendency of war veterans, particularly those personally involved in combat, to have higher levels of political engagement has been confirmed in polities with experiences of conflict as diverse as Uganda (Blattman 2009) </w:t>
      </w:r>
      <w:r w:rsidR="00550FE8" w:rsidRPr="0003506A">
        <w:rPr>
          <w:rFonts w:cs="Times New Roman"/>
          <w:szCs w:val="24"/>
        </w:rPr>
        <w:t>and</w:t>
      </w:r>
      <w:r w:rsidRPr="0003506A">
        <w:rPr>
          <w:rFonts w:cs="Times New Roman"/>
          <w:szCs w:val="24"/>
        </w:rPr>
        <w:t xml:space="preserve"> the United States (Leal and Teigen 2018). Croatia is no exception. </w:t>
      </w:r>
      <w:r w:rsidRPr="0003506A">
        <w:rPr>
          <w:rFonts w:cs="Times New Roman"/>
          <w:szCs w:val="24"/>
        </w:rPr>
        <w:lastRenderedPageBreak/>
        <w:t>Party politics in postwar Croatia has been dominated not only by debates related to the recent war past, but also by politicians with personal combat experiences. Figure 1 shows the proportion of male candidates and members of parliament who were com</w:t>
      </w:r>
      <w:r w:rsidR="00DB6EED" w:rsidRPr="0003506A">
        <w:rPr>
          <w:rFonts w:cs="Times New Roman"/>
          <w:szCs w:val="24"/>
        </w:rPr>
        <w:t xml:space="preserve">bat veterans and were nominated and </w:t>
      </w:r>
      <w:r w:rsidRPr="0003506A">
        <w:rPr>
          <w:rFonts w:cs="Times New Roman"/>
          <w:szCs w:val="24"/>
        </w:rPr>
        <w:t xml:space="preserve">elected on the electoral lists of the HDZ- and the SDP-led coalitions from the first </w:t>
      </w:r>
      <w:r w:rsidR="00DB6EED" w:rsidRPr="0003506A">
        <w:rPr>
          <w:rFonts w:cs="Times New Roman"/>
          <w:szCs w:val="24"/>
        </w:rPr>
        <w:t xml:space="preserve">truly </w:t>
      </w:r>
      <w:r w:rsidRPr="0003506A">
        <w:rPr>
          <w:rFonts w:cs="Times New Roman"/>
          <w:szCs w:val="24"/>
        </w:rPr>
        <w:t xml:space="preserve">postwar election in 2000 until 2016. </w:t>
      </w:r>
      <w:r w:rsidR="00483CFC">
        <w:rPr>
          <w:rFonts w:cs="Times New Roman"/>
          <w:szCs w:val="24"/>
        </w:rPr>
        <w:t xml:space="preserve">We focus here on male candidates since 95% of Croatian combat troops were men. If we included women in these comparisons, the difference between the two blocs would be even more pronounced since the HDZ nominates far fewer women than the SDP. </w:t>
      </w:r>
      <w:r w:rsidRPr="0003506A">
        <w:rPr>
          <w:rFonts w:cs="Times New Roman"/>
          <w:szCs w:val="24"/>
        </w:rPr>
        <w:t>It should be noted that more than 80% of Croatian MPs during this period have been elected from these two lists, so the trends shown in Figure 1 are more than indicative. As is immediately apparent, the center-right HDZ has consistently nominated more combat veterans among its male candidates than the center-left SDP, though both parties have substantially over-represented combat veterans in comparison to the general population. This over-representation has reached such heights that more than 50% of the HDZ’s male candidates were combat veterans in 2007 and 2011, and more than 50% of the HDZ’s male MPs were combat veterans in 2011. As a comparison, a decade and a half after World War II, about 40% of the adult male population in the United States and about 60% of members of Congress were veterans (Teigen 2018).</w:t>
      </w:r>
      <w:r w:rsidR="00994D96" w:rsidRPr="0003506A">
        <w:rPr>
          <w:rFonts w:cs="Times New Roman"/>
          <w:szCs w:val="24"/>
        </w:rPr>
        <w:t xml:space="preserve"> Croatia </w:t>
      </w:r>
      <w:r w:rsidR="006A39BC" w:rsidRPr="0003506A">
        <w:rPr>
          <w:rFonts w:cs="Times New Roman"/>
          <w:szCs w:val="24"/>
        </w:rPr>
        <w:t xml:space="preserve">thus perfectly </w:t>
      </w:r>
      <w:r w:rsidR="00994D96" w:rsidRPr="0003506A">
        <w:rPr>
          <w:rFonts w:cs="Times New Roman"/>
          <w:szCs w:val="24"/>
        </w:rPr>
        <w:t>fits the pattern of most postwar societies: war veterans have outsized political influence even decades after the violence had ended.</w:t>
      </w:r>
      <w:r w:rsidR="00483CFC">
        <w:rPr>
          <w:rFonts w:cs="Times New Roman"/>
          <w:szCs w:val="24"/>
        </w:rPr>
        <w:t xml:space="preserve"> These similarities between the trends observed in Croatia and those observed in other societies </w:t>
      </w:r>
      <w:r w:rsidR="006A0BAC">
        <w:rPr>
          <w:rFonts w:cs="Times New Roman"/>
          <w:szCs w:val="24"/>
        </w:rPr>
        <w:t>that</w:t>
      </w:r>
      <w:r w:rsidR="00566F8C">
        <w:rPr>
          <w:rFonts w:cs="Times New Roman"/>
          <w:szCs w:val="24"/>
        </w:rPr>
        <w:t xml:space="preserve"> experienced war</w:t>
      </w:r>
      <w:r w:rsidR="00483CFC">
        <w:rPr>
          <w:rFonts w:cs="Times New Roman"/>
          <w:szCs w:val="24"/>
        </w:rPr>
        <w:t xml:space="preserve"> convince us that, although we need to be cognizant of the specificities of the Croatian case, our findings should be portable across a range of cases of post-conflict polities.</w:t>
      </w:r>
    </w:p>
    <w:p w14:paraId="7EE371E7" w14:textId="77777777" w:rsidR="00131C54" w:rsidRPr="0003506A" w:rsidRDefault="00131C54" w:rsidP="001738F5">
      <w:pPr>
        <w:spacing w:line="480" w:lineRule="auto"/>
        <w:jc w:val="center"/>
        <w:rPr>
          <w:rFonts w:cs="Times New Roman"/>
          <w:szCs w:val="24"/>
        </w:rPr>
      </w:pPr>
      <w:r w:rsidRPr="0003506A">
        <w:rPr>
          <w:rFonts w:cs="Times New Roman"/>
          <w:szCs w:val="24"/>
        </w:rPr>
        <w:t>[Figure 1 about here]</w:t>
      </w:r>
    </w:p>
    <w:p w14:paraId="7C1E084D" w14:textId="77777777" w:rsidR="008C411A" w:rsidRDefault="008C411A" w:rsidP="001738F5">
      <w:pPr>
        <w:spacing w:line="480" w:lineRule="auto"/>
        <w:rPr>
          <w:rFonts w:cs="Times New Roman"/>
          <w:b/>
          <w:szCs w:val="24"/>
        </w:rPr>
      </w:pPr>
    </w:p>
    <w:p w14:paraId="7695B8AE" w14:textId="40FE7011" w:rsidR="00131C54" w:rsidRPr="0003506A" w:rsidRDefault="00DB6EED" w:rsidP="001738F5">
      <w:pPr>
        <w:spacing w:line="480" w:lineRule="auto"/>
        <w:rPr>
          <w:rFonts w:cs="Times New Roman"/>
          <w:b/>
          <w:szCs w:val="24"/>
        </w:rPr>
      </w:pPr>
      <w:r w:rsidRPr="0003506A">
        <w:rPr>
          <w:rFonts w:cs="Times New Roman"/>
          <w:b/>
          <w:szCs w:val="24"/>
        </w:rPr>
        <w:lastRenderedPageBreak/>
        <w:t>Data and M</w:t>
      </w:r>
      <w:r w:rsidR="00131C54" w:rsidRPr="0003506A">
        <w:rPr>
          <w:rFonts w:cs="Times New Roman"/>
          <w:b/>
          <w:szCs w:val="24"/>
        </w:rPr>
        <w:t>ethod</w:t>
      </w:r>
    </w:p>
    <w:p w14:paraId="68DADE86" w14:textId="15E2A7E9" w:rsidR="00F24C0E" w:rsidRPr="0003506A" w:rsidRDefault="00131C54" w:rsidP="001738F5">
      <w:pPr>
        <w:spacing w:line="480" w:lineRule="auto"/>
        <w:rPr>
          <w:rFonts w:cs="Times New Roman"/>
          <w:szCs w:val="24"/>
        </w:rPr>
      </w:pPr>
      <w:r w:rsidRPr="0003506A">
        <w:rPr>
          <w:rFonts w:cs="Times New Roman"/>
          <w:szCs w:val="24"/>
        </w:rPr>
        <w:t xml:space="preserve">To examine whether electoral performance of political candidates is dependent on their war past, we analyze the results of the 2015 and 2016 elections for the Croatian parliament. We make this choice for two reasons: 1) Croatian electoral rules and comprehensive reporting of results for these two elections; and 2) public availability of exceptionally detailed data on candidates’ war pasts during this period. All Croatian elections since 2000 have been held under proportional representation rules, with the country divided into ten districts, each electing fourteen MPs. Party lists, however, were closed until 2015 when they were partially opened. Since then, voters cast either a vote for a party list or a preference vote for one specific candidate on </w:t>
      </w:r>
      <w:r w:rsidR="00DB6EED" w:rsidRPr="0003506A">
        <w:rPr>
          <w:rFonts w:cs="Times New Roman"/>
          <w:szCs w:val="24"/>
        </w:rPr>
        <w:t>the</w:t>
      </w:r>
      <w:r w:rsidRPr="0003506A">
        <w:rPr>
          <w:rFonts w:cs="Times New Roman"/>
          <w:szCs w:val="24"/>
        </w:rPr>
        <w:t xml:space="preserve"> party list who can move up the list ranking if s/he gets more than 10% of all preference votes cast for their party’s candidates in the electoral district (Odbor za zakonodavstvo 2015). </w:t>
      </w:r>
      <w:r w:rsidR="00EF0F2E">
        <w:rPr>
          <w:rFonts w:cs="Times New Roman"/>
          <w:szCs w:val="24"/>
        </w:rPr>
        <w:t xml:space="preserve">In addition to candidates’ party affiliations and list placement, ballot materials also included candidates’ academic titles (if they chose to list them), address, and date of birth. </w:t>
      </w:r>
      <w:r w:rsidRPr="0003506A">
        <w:rPr>
          <w:rFonts w:cs="Times New Roman"/>
          <w:szCs w:val="24"/>
        </w:rPr>
        <w:t xml:space="preserve">Two thirds of Croatian voters have used the option of casting a preference vote in these two elections (66.6% in 2015 and 66.0% in 2016), making preferential voting comparatively much more popular than in other European countries with similar electoral systems. Croatian Electoral Commission reports votes for each candidate disaggregated to individual precincts, enabling us to match voting patterns with Croatia’s municipal structure. This is important because of the wealth of economic, sociodemographic, and war-related data on the level of Croatia’s relatively small (median population of less than 3000 inhabitants) 556 municipalities. Moreover, as discussed above, the Croatian Registry of War Veterans was publicly available during this period on a searchable online platform. This enabled not only us, but also the general public, to collect detailed data on the electoral candidates’ war pasts. Indeed, the extent of press coverage shows that politicians’ veteran status was under media </w:t>
      </w:r>
      <w:r w:rsidRPr="0003506A">
        <w:rPr>
          <w:rFonts w:cs="Times New Roman"/>
          <w:szCs w:val="24"/>
        </w:rPr>
        <w:lastRenderedPageBreak/>
        <w:t>and public scrutiny during this period, making it clear that voters not only had perfect information on this aspect of the candidates’ biographies, but also were exceptionally interested in it.</w:t>
      </w:r>
      <w:r w:rsidR="009F7FF4">
        <w:rPr>
          <w:rFonts w:cs="Times New Roman"/>
          <w:szCs w:val="24"/>
        </w:rPr>
        <w:t xml:space="preserve"> </w:t>
      </w:r>
      <w:r w:rsidR="009F7FF4" w:rsidRPr="001738F5">
        <w:rPr>
          <w:rFonts w:cs="Times New Roman"/>
          <w:szCs w:val="24"/>
        </w:rPr>
        <w:t xml:space="preserve">Within 24 hours of the Registry becoming public, </w:t>
      </w:r>
      <w:r w:rsidR="009F7FF4">
        <w:rPr>
          <w:rFonts w:cs="Times New Roman"/>
          <w:szCs w:val="24"/>
        </w:rPr>
        <w:t xml:space="preserve">for example, </w:t>
      </w:r>
      <w:r w:rsidR="009F7FF4" w:rsidRPr="001738F5">
        <w:rPr>
          <w:rFonts w:cs="Times New Roman"/>
          <w:szCs w:val="24"/>
        </w:rPr>
        <w:t>more than three million users logged in to its platform</w:t>
      </w:r>
      <w:r w:rsidR="009F7FF4">
        <w:rPr>
          <w:rFonts w:cs="Times New Roman"/>
          <w:szCs w:val="24"/>
        </w:rPr>
        <w:t>.</w:t>
      </w:r>
      <w:r w:rsidR="00F24C0E" w:rsidRPr="0003506A">
        <w:rPr>
          <w:rStyle w:val="EndnoteReference"/>
          <w:rFonts w:cs="Times New Roman"/>
          <w:szCs w:val="24"/>
        </w:rPr>
        <w:endnoteReference w:id="1"/>
      </w:r>
    </w:p>
    <w:p w14:paraId="2F97A980" w14:textId="710C9270" w:rsidR="00F24C0E" w:rsidRPr="0003506A" w:rsidRDefault="00131C54" w:rsidP="001738F5">
      <w:pPr>
        <w:spacing w:line="480" w:lineRule="auto"/>
        <w:ind w:firstLine="720"/>
        <w:rPr>
          <w:rFonts w:cs="Times New Roman"/>
          <w:szCs w:val="24"/>
        </w:rPr>
      </w:pPr>
      <w:r w:rsidRPr="0003506A">
        <w:rPr>
          <w:rFonts w:cs="Times New Roman"/>
          <w:szCs w:val="24"/>
        </w:rPr>
        <w:t>Here it should be noted that the level of information available in the Registry of War Veterans enabled us to model candidates’ war experience in a much more nuanced way than has been the case in comparable studies. Modelling veteran status dichotomously (or at best trichotomously) has a long tradition in political science, both when examining the differences between veterans and non-veterans in the general population and when investigating different electoral fortunes of political elites. This approach to studying the political impact of veteran status has hardly changed since it was introduced by Somit’s seminal 1948 study (e.g. Brady and Rappoport 1973;</w:t>
      </w:r>
      <w:r w:rsidRPr="0003506A">
        <w:rPr>
          <w:rFonts w:cs="Times New Roman"/>
          <w:szCs w:val="24"/>
        </w:rPr>
        <w:fldChar w:fldCharType="begin"/>
      </w:r>
      <w:r w:rsidRPr="0003506A">
        <w:rPr>
          <w:rFonts w:cs="Times New Roman"/>
          <w:szCs w:val="24"/>
        </w:rPr>
        <w:instrText xml:space="preserve"> ADDIN ZOTERO_ITEM CSL_CITATION {"citationID":"QgaOPoAl","properties":{"formattedCitation":"(1973)","plainCitation":"(1973)","noteIndex":0},"citationItems":[{"id":170,"uris":["http://zotero.org/users/local/uk8r6OrS/items/B46K82HG"],"uri":["http://zotero.org/users/local/uk8r6OrS/items/B46K82HG"],"itemData":{"id":170,"type":"article-journal","title":"Violence and Vietnam: a Comparison between Attitudes of Civilians and Veterans","container-title":"Human Relations","page":"735-752","volume":"26","issue":"6","source":"Crossref","abstract":"Based on a multidimensional concept of violence, this study introduces a questionnaire permitting the assessment of general and specific orientations toward violence, and compares responses obtained from six representative groups: middle-aged males, females, college males, females, enlisted Vietnam veterans, and serving field grade officers. Findings indicate that among the civilian groups, middle-aged males are most positive toward violence, while college females are least positive. In the enlisted veteran and officer samples, those who report heavy combat experience have the highest general violence scores. Factor analyses reveal specific attitude patterns for the different samples, with violence in the service of law and order being the major dimension of response variance. Several implications are discussed.","DOI":"10.1177/001872677302600604","ISSN":"0018-7267, 1741-282X","title-short":"Violence and Vietnam","language":"en","author":[{"family":"Brady","given":"David"},{"family":"Rappoport","given":"Leon"}],"issued":{"date-parts":[["1973",12]]}},"suppress-author":true}],"schema":"https://github.com/citation-style-language/schema/raw/master/csl-citation.json"} </w:instrText>
      </w:r>
      <w:r w:rsidRPr="0003506A">
        <w:rPr>
          <w:rFonts w:cs="Times New Roman"/>
          <w:szCs w:val="24"/>
        </w:rPr>
        <w:fldChar w:fldCharType="end"/>
      </w:r>
      <w:r w:rsidRPr="0003506A">
        <w:rPr>
          <w:rFonts w:cs="Times New Roman"/>
          <w:szCs w:val="24"/>
        </w:rPr>
        <w:t xml:space="preserve"> Klingler and Chatagnier 2014</w:t>
      </w:r>
      <w:r w:rsidRPr="0003506A">
        <w:rPr>
          <w:rFonts w:cs="Times New Roman"/>
          <w:szCs w:val="24"/>
        </w:rPr>
        <w:fldChar w:fldCharType="begin"/>
      </w:r>
      <w:r w:rsidRPr="0003506A">
        <w:rPr>
          <w:rFonts w:cs="Times New Roman"/>
          <w:szCs w:val="24"/>
        </w:rPr>
        <w:instrText xml:space="preserve"> ADDIN ZOTERO_ITEM CSL_CITATION {"citationID":"v2FW0Tyz","properties":{"formattedCitation":"(2014)","plainCitation":"(2014)","noteIndex":0},"citationItems":[{"id":208,"uris":["http://zotero.org/users/local/uk8r6OrS/items/DAXX4NRW"],"uri":["http://zotero.org/users/local/uk8r6OrS/items/DAXX4NRW"],"itemData":{"id":208,"type":"article-journal","title":"Are You Doing Your Part?: Veterans’ Political Attitudes and Heinlein’s Conception of Citizenship","container-title":"Armed Forces &amp; Society","page":"673-695","volume":"40","issue":"4","source":"Crossref","abstract":"Drawing from the concept of citizenship in the novel, Starship Troopers, we consider public opinion in a world in which “service guarantees citizenship.” We do this by examining the political attitudes of US (volunteer) veterans—a group generally neglected in the public opinion literature—relative to the adult population at large. Using data from the 2006 Cooperative Congressional Election Study, we demonstrate that, as a group, veterans tend to be more ideologically conservative and more likely to identify as Republican than their nonveteran counterparts. This finding holds for both individual issues and self-identification.","DOI":"10.1177/0095327X12471932","ISSN":"0095-327X, 1556-0848","title-short":"Are You Doing Your Part?","language":"en","author":[{"family":"Klingler","given":"Jonathan D."},{"family":"Chatagnier","given":"J. Tyson"}],"issued":{"date-parts":[["2014",10]]}},"suppress-author":true}],"schema":"https://github.com/citation-style-language/schema/raw/master/csl-citation.json"} </w:instrText>
      </w:r>
      <w:r w:rsidRPr="0003506A">
        <w:rPr>
          <w:rFonts w:cs="Times New Roman"/>
          <w:szCs w:val="24"/>
        </w:rPr>
        <w:fldChar w:fldCharType="end"/>
      </w:r>
      <w:r w:rsidRPr="0003506A">
        <w:rPr>
          <w:rFonts w:cs="Times New Roman"/>
          <w:szCs w:val="24"/>
        </w:rPr>
        <w:t xml:space="preserve">; McDermott and Panagopoulos 2015; Teigen 2018). Only a few attempts have been made to incorporate the intensity or duration of the combat experienced during military service (e.g. Grossman et al. 2015; Lesschaeve 2019). In this study, instead of relying on dichotomies or survey respondents’ self-reporting, we used the Registry of War Veterans to get information on the candidates’ number of days served in the combat sector of the Croatian armed and police forces during the War of Independence. In our view, our principal explanatory variable </w:t>
      </w:r>
      <w:r w:rsidRPr="0003506A">
        <w:rPr>
          <w:rFonts w:cs="Times New Roman"/>
          <w:i/>
          <w:szCs w:val="24"/>
        </w:rPr>
        <w:t xml:space="preserve">Combat days </w:t>
      </w:r>
      <w:r w:rsidRPr="0003506A">
        <w:rPr>
          <w:rFonts w:cs="Times New Roman"/>
          <w:szCs w:val="24"/>
        </w:rPr>
        <w:t>represents the most accurate and fine-grained measurement of veterans’ war service</w:t>
      </w:r>
      <w:r w:rsidR="006C7698">
        <w:rPr>
          <w:rFonts w:cs="Times New Roman"/>
          <w:szCs w:val="24"/>
        </w:rPr>
        <w:t>.</w:t>
      </w:r>
      <w:r w:rsidR="00F24C0E">
        <w:rPr>
          <w:rStyle w:val="EndnoteReference"/>
          <w:rFonts w:cs="Times New Roman"/>
          <w:szCs w:val="24"/>
        </w:rPr>
        <w:endnoteReference w:id="2"/>
      </w:r>
      <w:r w:rsidR="00F24C0E">
        <w:rPr>
          <w:rFonts w:cs="Times New Roman"/>
          <w:szCs w:val="24"/>
        </w:rPr>
        <w:t xml:space="preserve"> Our operationalization of this variable implies the assumption of a linear relationship between combat service and electoral results. We make this choice due to the resulting simplicity of interpretation and the elegance of our theoretical propositions. Nevertheless, as a robustness check, we also test all our models with veteran status as a dichotomous variable as well </w:t>
      </w:r>
      <w:r w:rsidR="00F24C0E">
        <w:rPr>
          <w:rFonts w:cs="Times New Roman"/>
          <w:szCs w:val="24"/>
        </w:rPr>
        <w:lastRenderedPageBreak/>
        <w:t xml:space="preserve">as with the cubic root of </w:t>
      </w:r>
      <w:r w:rsidR="00F24C0E" w:rsidRPr="00D238F6">
        <w:rPr>
          <w:rFonts w:cs="Times New Roman"/>
          <w:i/>
          <w:szCs w:val="24"/>
        </w:rPr>
        <w:t>Combat days</w:t>
      </w:r>
      <w:r w:rsidR="00F24C0E">
        <w:rPr>
          <w:rFonts w:cs="Times New Roman"/>
          <w:szCs w:val="24"/>
        </w:rPr>
        <w:t xml:space="preserve"> to account for possible diminishing electoral returns to combat service.</w:t>
      </w:r>
    </w:p>
    <w:p w14:paraId="0524A34A" w14:textId="77777777" w:rsidR="00F24C0E" w:rsidRDefault="00F24C0E" w:rsidP="001738F5">
      <w:pPr>
        <w:spacing w:line="480" w:lineRule="auto"/>
        <w:ind w:firstLine="720"/>
        <w:rPr>
          <w:rFonts w:cs="Times New Roman"/>
          <w:szCs w:val="24"/>
        </w:rPr>
      </w:pPr>
      <w:r w:rsidRPr="0003506A">
        <w:rPr>
          <w:rFonts w:cs="Times New Roman"/>
          <w:szCs w:val="24"/>
        </w:rPr>
        <w:t xml:space="preserve">While the two elections in question were only a year apart, the turnover in candidates was substantial. Of all candidates who ran in the 2015 election, only 15% participated in the 2016 election, resulting in the sample of 3806 unique and 4452 total candidates. Once again, in the Croatian electoral system, voters first have to choose which party they want to vote for, after which they can opt to cast a list vote, or a vote for a particular candidate. We are primarily interested in the second part, i.e. explaining why voters are attracted to a particular candidate and choose him/her over other candidates of his/her party, and over a list vote. Therefore, our dependent variable is the proportion of votes cast in favor of a candidate of all votes cast for the candidate’s party in a given municipality (list votes plus preferential votes). </w:t>
      </w:r>
      <w:r>
        <w:rPr>
          <w:rFonts w:cs="Times New Roman"/>
          <w:szCs w:val="24"/>
        </w:rPr>
        <w:t xml:space="preserve">This method follows the literature standard when it comes to studying vote preferences in open and flexible list systems </w:t>
      </w:r>
      <w:r w:rsidRPr="00333C0B">
        <w:rPr>
          <w:rFonts w:cs="Times New Roman"/>
          <w:szCs w:val="24"/>
        </w:rPr>
        <w:t>(Allik 2015; van Erkel and Thijssen 2016; Dettman, Pepinsky and Pierskalla 2017)</w:t>
      </w:r>
      <w:r>
        <w:rPr>
          <w:rFonts w:cs="Times New Roman"/>
          <w:szCs w:val="24"/>
        </w:rPr>
        <w:t xml:space="preserve">. </w:t>
      </w:r>
      <w:r w:rsidRPr="0003506A">
        <w:rPr>
          <w:rFonts w:cs="Times New Roman"/>
          <w:szCs w:val="24"/>
        </w:rPr>
        <w:t>In the analyses, however, we weight the observations by the absolute number of votes that are behind the proportion. This ensures that, for instance, 5 votes out of 10 is not considered equal to 500 votes out of 1000, because in that case results would be skewed toward the patterns found in small parties and small municipalities.</w:t>
      </w:r>
    </w:p>
    <w:p w14:paraId="21BD2BB0" w14:textId="4184224C" w:rsidR="00F24C0E" w:rsidRPr="0003506A" w:rsidRDefault="00F24C0E" w:rsidP="001738F5">
      <w:pPr>
        <w:spacing w:line="480" w:lineRule="auto"/>
        <w:ind w:firstLine="720"/>
        <w:rPr>
          <w:rFonts w:cs="Times New Roman"/>
          <w:szCs w:val="24"/>
        </w:rPr>
      </w:pPr>
      <w:r w:rsidRPr="0003506A">
        <w:rPr>
          <w:rFonts w:cs="Times New Roman"/>
          <w:szCs w:val="24"/>
        </w:rPr>
        <w:t>By disaggregating the election results on the municipal level, we essentially create a stacked dataset where candidate*municipality is the base unit of analysis</w:t>
      </w:r>
      <w:r>
        <w:rPr>
          <w:rFonts w:cs="Times New Roman"/>
          <w:szCs w:val="24"/>
        </w:rPr>
        <w:t>.</w:t>
      </w:r>
      <w:r>
        <w:rPr>
          <w:rStyle w:val="EndnoteReference"/>
          <w:rFonts w:cs="Times New Roman"/>
          <w:szCs w:val="24"/>
        </w:rPr>
        <w:endnoteReference w:id="3"/>
      </w:r>
      <w:r w:rsidRPr="0003506A">
        <w:rPr>
          <w:rFonts w:cs="Times New Roman"/>
          <w:szCs w:val="24"/>
        </w:rPr>
        <w:t xml:space="preserve"> This stacking procedure artificially inflates the number of observations at each level, and failing to account for this would result in an underestimation of the regression coefficients’ standard errors, and an overestimation of statistical significance (Rabe-Hesketh and Skrondal 2012). In addition, candidates are embedded in lists, which are in turn embedded in political parties. Given these various levels in </w:t>
      </w:r>
      <w:r w:rsidRPr="0003506A">
        <w:rPr>
          <w:rFonts w:cs="Times New Roman"/>
          <w:szCs w:val="24"/>
        </w:rPr>
        <w:lastRenderedPageBreak/>
        <w:t>the data, and because the dependent variable is a proportion, we employ a binomial multilevel regression</w:t>
      </w:r>
      <w:r>
        <w:rPr>
          <w:rStyle w:val="EndnoteReference"/>
          <w:rFonts w:cs="Times New Roman"/>
          <w:szCs w:val="24"/>
        </w:rPr>
        <w:endnoteReference w:id="4"/>
      </w:r>
      <w:r w:rsidRPr="0003506A">
        <w:rPr>
          <w:rFonts w:cs="Times New Roman"/>
          <w:szCs w:val="24"/>
        </w:rPr>
        <w:t xml:space="preserve"> with random intercepts for the candidate, list, party, and municipal level.</w:t>
      </w:r>
    </w:p>
    <w:p w14:paraId="7141C2F8" w14:textId="692F3A89" w:rsidR="00F24C0E" w:rsidRPr="0003506A" w:rsidRDefault="00F24C0E" w:rsidP="001738F5">
      <w:pPr>
        <w:spacing w:line="480" w:lineRule="auto"/>
        <w:ind w:firstLine="720"/>
        <w:rPr>
          <w:rFonts w:cs="Times New Roman"/>
          <w:szCs w:val="24"/>
        </w:rPr>
      </w:pPr>
      <w:r w:rsidRPr="0003506A">
        <w:rPr>
          <w:rFonts w:cs="Times New Roman"/>
          <w:szCs w:val="24"/>
        </w:rPr>
        <w:t xml:space="preserve">On the candidate level, we control for variables generally shown to have a significant effect on voters’ decision making: gender (Fulton 2014; Devroe and Wauters 2018), age (Tavits 2010; Dettman, Pepinsky, and Pierskalla 2017), incumbency (Dahlgaard 2016; Salas 2016; Dettman, Pepinsky, and Pierskalla 2017), academic title on the ballot (McDermott 2005; Tavits 2010; Jankowski 2016), and the ln-transformed distance between the candidate’s place of residence and the municipal center </w:t>
      </w:r>
      <w:r>
        <w:rPr>
          <w:rFonts w:cs="Times New Roman"/>
          <w:szCs w:val="24"/>
        </w:rPr>
        <w:t xml:space="preserve">to capture the </w:t>
      </w:r>
      <w:r w:rsidRPr="00BA32BB">
        <w:rPr>
          <w:rFonts w:cs="Times New Roman"/>
          <w:szCs w:val="24"/>
        </w:rPr>
        <w:t xml:space="preserve">decreasing marginal effect </w:t>
      </w:r>
      <w:r>
        <w:rPr>
          <w:rFonts w:cs="Times New Roman"/>
          <w:szCs w:val="24"/>
        </w:rPr>
        <w:t xml:space="preserve">of distance </w:t>
      </w:r>
      <w:r w:rsidRPr="00BA32BB">
        <w:rPr>
          <w:rFonts w:cs="Times New Roman"/>
          <w:szCs w:val="24"/>
        </w:rPr>
        <w:t xml:space="preserve">on voting patterns </w:t>
      </w:r>
      <w:r w:rsidRPr="0003506A">
        <w:rPr>
          <w:rFonts w:cs="Times New Roman"/>
          <w:szCs w:val="24"/>
        </w:rPr>
        <w:t>(Górecki and Marsh 2011; Arzheimer and Evans 2012; Jankowski 2016). Our models also include three variables capturing the candidates’ positioning on the election lists (</w:t>
      </w:r>
      <w:r w:rsidRPr="0003506A">
        <w:rPr>
          <w:rFonts w:cs="Times New Roman"/>
          <w:i/>
          <w:szCs w:val="24"/>
        </w:rPr>
        <w:t>List position</w:t>
      </w:r>
      <w:r w:rsidRPr="0003506A">
        <w:rPr>
          <w:rFonts w:cs="Times New Roman"/>
          <w:szCs w:val="24"/>
        </w:rPr>
        <w:t xml:space="preserve">, </w:t>
      </w:r>
      <w:r w:rsidRPr="0003506A">
        <w:rPr>
          <w:rFonts w:cs="Times New Roman"/>
          <w:i/>
          <w:szCs w:val="24"/>
        </w:rPr>
        <w:t>First list place</w:t>
      </w:r>
      <w:r w:rsidRPr="0003506A">
        <w:rPr>
          <w:rFonts w:cs="Times New Roman"/>
          <w:szCs w:val="24"/>
        </w:rPr>
        <w:t xml:space="preserve">, and </w:t>
      </w:r>
      <w:r w:rsidRPr="0003506A">
        <w:rPr>
          <w:rFonts w:cs="Times New Roman"/>
          <w:i/>
          <w:szCs w:val="24"/>
        </w:rPr>
        <w:t>Last list place</w:t>
      </w:r>
      <w:r w:rsidRPr="0003506A">
        <w:rPr>
          <w:rFonts w:cs="Times New Roman"/>
          <w:szCs w:val="24"/>
        </w:rPr>
        <w:t xml:space="preserve">). Candidates’ list placement has been consistently shown as having significant impact on voter decision making (Marcinkiewicz 2014; Blom-Hansen et al. 2016; Van Erkel and Thijssen 2016). In many ways, it can be understood as a proxy for the candidates’ “quality” or pre-election standing within the party, making it the most important set of control variables in our models. </w:t>
      </w:r>
      <w:r>
        <w:rPr>
          <w:rFonts w:cs="Times New Roman"/>
          <w:szCs w:val="24"/>
        </w:rPr>
        <w:t xml:space="preserve">All of these variables, except incumbency, are explicitly or implicitly (in the case of gender, which can be deduced from candidates’ names, and distance, which can be deduced from candidates’ addresses) in the ballot materials, and the candidates’ war service – if not already widely known in the community, as is often the case – was easily checkable online in the Registry of War Veterans. These variables capture the vast majority of variables used in similar studies of voter choice in PR systems with open lists, which should help alleviate concerns about the endogeneity of our explanatory variable of interest </w:t>
      </w:r>
      <w:r w:rsidRPr="00A16399">
        <w:rPr>
          <w:rFonts w:cs="Times New Roman"/>
          <w:i/>
          <w:szCs w:val="24"/>
        </w:rPr>
        <w:t>Combat days</w:t>
      </w:r>
      <w:r>
        <w:rPr>
          <w:rFonts w:cs="Times New Roman"/>
          <w:i/>
          <w:szCs w:val="24"/>
        </w:rPr>
        <w:t xml:space="preserve"> </w:t>
      </w:r>
      <w:r w:rsidRPr="00A16399">
        <w:rPr>
          <w:rFonts w:cs="Times New Roman"/>
          <w:szCs w:val="24"/>
        </w:rPr>
        <w:t>and help strengthen our causal claims</w:t>
      </w:r>
      <w:r>
        <w:rPr>
          <w:rFonts w:cs="Times New Roman"/>
          <w:szCs w:val="24"/>
        </w:rPr>
        <w:t xml:space="preserve">. </w:t>
      </w:r>
      <w:r w:rsidRPr="0003506A">
        <w:rPr>
          <w:rFonts w:cs="Times New Roman"/>
          <w:szCs w:val="24"/>
        </w:rPr>
        <w:t xml:space="preserve">On the level of party lists, we control for the number of war veteran candidates; total party vote (i.e. list + preference votes) in a given municipality; and party list ideology coded on a scale </w:t>
      </w:r>
      <w:r w:rsidRPr="0003506A">
        <w:rPr>
          <w:rFonts w:cs="Times New Roman"/>
          <w:szCs w:val="24"/>
        </w:rPr>
        <w:lastRenderedPageBreak/>
        <w:t>of 1-5 after reviewing party programs with 1 representing left, 2 center-left, 3 center, 4 center-right, and 5 right. Figure 2 shows the level of representation of veteran candidates on party lists across the ideological spectrum in the two elections, the proportion of preference votes they earned, and the average list position allocated to them by the parties. What is immediately apparent is that veterans are far more represented and better positioned on the lists of center-right and right parties. They also receive a clear bonus in preference votes from all voters, except from those voting for the parties on the far left end of the spectrum.</w:t>
      </w:r>
    </w:p>
    <w:p w14:paraId="02E1A19A" w14:textId="77777777" w:rsidR="00F24C0E" w:rsidRPr="0003506A" w:rsidRDefault="00F24C0E" w:rsidP="001738F5">
      <w:pPr>
        <w:spacing w:line="480" w:lineRule="auto"/>
        <w:jc w:val="center"/>
        <w:rPr>
          <w:rStyle w:val="CommentReference"/>
          <w:rFonts w:cs="Times New Roman"/>
          <w:szCs w:val="24"/>
        </w:rPr>
      </w:pPr>
      <w:r w:rsidRPr="0003506A">
        <w:rPr>
          <w:rFonts w:cs="Times New Roman"/>
          <w:szCs w:val="24"/>
        </w:rPr>
        <w:t>[Figure 2 about here]</w:t>
      </w:r>
    </w:p>
    <w:p w14:paraId="25014E04" w14:textId="77497395" w:rsidR="00F24C0E" w:rsidRPr="0003506A" w:rsidRDefault="00F24C0E" w:rsidP="00356882">
      <w:pPr>
        <w:spacing w:line="480" w:lineRule="auto"/>
        <w:ind w:firstLine="720"/>
        <w:rPr>
          <w:rFonts w:cs="Times New Roman"/>
          <w:szCs w:val="24"/>
        </w:rPr>
      </w:pPr>
      <w:r w:rsidRPr="0003506A">
        <w:rPr>
          <w:rFonts w:cs="Times New Roman"/>
          <w:szCs w:val="24"/>
        </w:rPr>
        <w:t>On the municipal level, we again follow the literature on preferential voting and control for variables generally considered to have potential effect on the propensity of the voters to cast preference, as opposed to list, votes: adult population’s average years of education; rate of unemployment; proportion of the population belonging to the ethnic majority, i.e. Croats; and the ln-transformed average weighted settlement size in the municipality as a measure of urbanization (André, Wauters, and Pilet 2012; Wauters et al. 2016). Additionally, as explained above, we are particularly interested in the community-level effects of exposure to war violence on voter choice. In other words, we want to see if voters from areas more affected by war violence are more likely to prefer candidates with combat experience. We measure exposure to war violence of the municipal population with the incidence of disability caused by war violence, which was captured in Croatia’s 2011 census.</w:t>
      </w:r>
      <w:r>
        <w:rPr>
          <w:rFonts w:cs="Times New Roman"/>
          <w:szCs w:val="24"/>
        </w:rPr>
        <w:t xml:space="preserve"> This is our variable </w:t>
      </w:r>
      <w:r w:rsidRPr="00D37572">
        <w:rPr>
          <w:rFonts w:cs="Times New Roman"/>
          <w:i/>
          <w:szCs w:val="24"/>
        </w:rPr>
        <w:t>War disabled</w:t>
      </w:r>
      <w:r>
        <w:rPr>
          <w:rFonts w:cs="Times New Roman"/>
          <w:szCs w:val="24"/>
        </w:rPr>
        <w:t>.</w:t>
      </w:r>
      <w:r>
        <w:rPr>
          <w:rStyle w:val="EndnoteReference"/>
          <w:rFonts w:cs="Times New Roman"/>
          <w:szCs w:val="24"/>
        </w:rPr>
        <w:endnoteReference w:id="5"/>
      </w:r>
      <w:r w:rsidRPr="0003506A">
        <w:rPr>
          <w:rFonts w:cs="Times New Roman"/>
          <w:szCs w:val="24"/>
        </w:rPr>
        <w:t xml:space="preserve"> Figure 3 shows two maps of Croatia. The top map shows the prevalence of war-related disability in municipal population according to the 2011 census, with the figures clearly varying based on the closeness of the lines of engagement between the two sides, shown on the map with the frontline at the time of the arrival of UN troops in early 1992. </w:t>
      </w:r>
      <w:r>
        <w:rPr>
          <w:rFonts w:cs="Times New Roman"/>
          <w:szCs w:val="24"/>
        </w:rPr>
        <w:t xml:space="preserve">It is important to note that this variable captures the war experiences of the whole </w:t>
      </w:r>
      <w:r>
        <w:rPr>
          <w:rFonts w:cs="Times New Roman"/>
          <w:szCs w:val="24"/>
        </w:rPr>
        <w:lastRenderedPageBreak/>
        <w:t xml:space="preserve">surviving population (i.e. without distinction whether they were veterans or civilians due to data limitations) currently living in the municipalities in question, and not the experiences of the population that </w:t>
      </w:r>
      <w:r w:rsidRPr="00D37572">
        <w:rPr>
          <w:rFonts w:cs="Times New Roman"/>
          <w:i/>
          <w:szCs w:val="24"/>
        </w:rPr>
        <w:t xml:space="preserve">used to </w:t>
      </w:r>
      <w:r>
        <w:rPr>
          <w:rFonts w:cs="Times New Roman"/>
          <w:szCs w:val="24"/>
        </w:rPr>
        <w:t xml:space="preserve">live in the municipalities at the time of the war due to possible migration during and after the conflict. We would argue this is exactly what researchers in our position would want as the variable captures the war experiences of the average voters in the municipality at the time of the elections in question. </w:t>
      </w:r>
      <w:r w:rsidRPr="0003506A">
        <w:rPr>
          <w:rFonts w:cs="Times New Roman"/>
          <w:szCs w:val="24"/>
        </w:rPr>
        <w:t xml:space="preserve">The bottom map, on the other hand, shows the prevalence of municipal preference votes allocated to veteran candidates, together with the borders of Croatia’s ten electoral districts. The juxtaposition of the two maps is highly indicative: while vote proportions are obviously also a factor of parties’ nomination strategies, the differences within electoral districts and their overlap with the patterns shown in the top map are striking. Finally, we account for differences between the 2015 and 2016 elections by including a dummy variable in all our models. The base model used to estimate the result for candidate </w:t>
      </w:r>
      <w:r w:rsidRPr="0003506A">
        <w:rPr>
          <w:rFonts w:cs="Times New Roman"/>
          <w:i/>
          <w:szCs w:val="24"/>
        </w:rPr>
        <w:t>i</w:t>
      </w:r>
      <w:r w:rsidRPr="0003506A">
        <w:rPr>
          <w:rFonts w:cs="Times New Roman"/>
          <w:szCs w:val="24"/>
        </w:rPr>
        <w:t xml:space="preserve">, on list </w:t>
      </w:r>
      <w:r w:rsidRPr="0003506A">
        <w:rPr>
          <w:rFonts w:cs="Times New Roman"/>
          <w:i/>
          <w:szCs w:val="24"/>
        </w:rPr>
        <w:t>j</w:t>
      </w:r>
      <w:r w:rsidRPr="0003506A">
        <w:rPr>
          <w:rFonts w:cs="Times New Roman"/>
          <w:szCs w:val="24"/>
        </w:rPr>
        <w:t xml:space="preserve">, of party </w:t>
      </w:r>
      <w:r w:rsidRPr="0003506A">
        <w:rPr>
          <w:rFonts w:cs="Times New Roman"/>
          <w:i/>
          <w:szCs w:val="24"/>
        </w:rPr>
        <w:t>k</w:t>
      </w:r>
      <w:r w:rsidRPr="0003506A">
        <w:rPr>
          <w:rFonts w:cs="Times New Roman"/>
          <w:szCs w:val="24"/>
        </w:rPr>
        <w:t xml:space="preserve">, and in municipality </w:t>
      </w:r>
      <w:r w:rsidRPr="0003506A">
        <w:rPr>
          <w:rFonts w:cs="Times New Roman"/>
          <w:i/>
          <w:szCs w:val="24"/>
        </w:rPr>
        <w:t>l</w:t>
      </w:r>
      <w:r w:rsidRPr="0003506A">
        <w:rPr>
          <w:rFonts w:cs="Times New Roman"/>
          <w:szCs w:val="24"/>
        </w:rPr>
        <w:t xml:space="preserve"> presented in the next section of the article can be written as follows:</w:t>
      </w:r>
    </w:p>
    <w:p w14:paraId="3E1AA45B" w14:textId="77777777" w:rsidR="00F24C0E" w:rsidRPr="0003506A" w:rsidRDefault="00F24C0E" w:rsidP="001738F5">
      <w:pPr>
        <w:spacing w:line="48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ijkl</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combat days</m:t>
                  </m:r>
                </m:e>
                <m:sub>
                  <m:r>
                    <w:rPr>
                      <w:rFonts w:ascii="Cambria Math" w:hAnsi="Cambria Math" w:cs="Times New Roman"/>
                      <w:szCs w:val="24"/>
                    </w:rPr>
                    <m:t>i</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gender</m:t>
                  </m:r>
                </m:e>
                <m:sub>
                  <m:r>
                    <w:rPr>
                      <w:rFonts w:ascii="Cambria Math" w:hAnsi="Cambria Math" w:cs="Times New Roman"/>
                      <w:szCs w:val="24"/>
                    </w:rPr>
                    <m:t>i</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age</m:t>
                  </m:r>
                </m:e>
                <m:sub>
                  <m:r>
                    <w:rPr>
                      <w:rFonts w:ascii="Cambria Math" w:hAnsi="Cambria Math" w:cs="Times New Roman"/>
                      <w:szCs w:val="24"/>
                    </w:rPr>
                    <m:t>i</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age squared</m:t>
                  </m:r>
                </m:e>
                <m:sub>
                  <m:r>
                    <w:rPr>
                      <w:rFonts w:ascii="Cambria Math" w:hAnsi="Cambria Math" w:cs="Times New Roman"/>
                      <w:szCs w:val="24"/>
                    </w:rPr>
                    <m:t>i</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list position</m:t>
                  </m:r>
                </m:e>
                <m:sub>
                  <m:r>
                    <w:rPr>
                      <w:rFonts w:ascii="Cambria Math" w:hAnsi="Cambria Math" w:cs="Times New Roman"/>
                      <w:szCs w:val="24"/>
                    </w:rPr>
                    <m:t>i</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first position</m:t>
                  </m:r>
                </m:e>
                <m:sub>
                  <m:r>
                    <w:rPr>
                      <w:rFonts w:ascii="Cambria Math" w:hAnsi="Cambria Math" w:cs="Times New Roman"/>
                      <w:szCs w:val="24"/>
                    </w:rPr>
                    <m:t>i</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last position</m:t>
                  </m:r>
                </m:e>
                <m:sub>
                  <m:r>
                    <w:rPr>
                      <w:rFonts w:ascii="Cambria Math" w:hAnsi="Cambria Math" w:cs="Times New Roman"/>
                      <w:szCs w:val="24"/>
                    </w:rPr>
                    <m:t>i</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incumbent</m:t>
                  </m:r>
                </m:e>
                <m:sub>
                  <m:r>
                    <w:rPr>
                      <w:rFonts w:ascii="Cambria Math" w:hAnsi="Cambria Math" w:cs="Times New Roman"/>
                      <w:szCs w:val="24"/>
                    </w:rPr>
                    <m:t>i</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academic title</m:t>
                  </m:r>
                </m:e>
                <m:sub>
                  <m:r>
                    <w:rPr>
                      <w:rFonts w:ascii="Cambria Math" w:hAnsi="Cambria Math" w:cs="Times New Roman"/>
                      <w:szCs w:val="24"/>
                    </w:rPr>
                    <m:t>i</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ln distance</m:t>
                  </m:r>
                </m:e>
                <m:sub>
                  <m:r>
                    <w:rPr>
                      <w:rFonts w:ascii="Cambria Math" w:hAnsi="Cambria Math" w:cs="Times New Roman"/>
                      <w:szCs w:val="24"/>
                    </w:rPr>
                    <m:t>il</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veterans on the list</m:t>
                  </m:r>
                </m:e>
                <m:sub>
                  <m:r>
                    <w:rPr>
                      <w:rFonts w:ascii="Cambria Math" w:hAnsi="Cambria Math" w:cs="Times New Roman"/>
                      <w:szCs w:val="24"/>
                    </w:rPr>
                    <m:t>j</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party score</m:t>
                  </m:r>
                </m:e>
                <m:sub>
                  <m:r>
                    <w:rPr>
                      <w:rFonts w:ascii="Cambria Math" w:hAnsi="Cambria Math" w:cs="Times New Roman"/>
                      <w:szCs w:val="24"/>
                    </w:rPr>
                    <m:t>jl</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ideology</m:t>
                  </m:r>
                </m:e>
                <m:sub>
                  <m:r>
                    <w:rPr>
                      <w:rFonts w:ascii="Cambria Math" w:hAnsi="Cambria Math" w:cs="Times New Roman"/>
                      <w:szCs w:val="24"/>
                    </w:rPr>
                    <m:t>k</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war disabled</m:t>
                  </m:r>
                </m:e>
                <m:sub>
                  <m:r>
                    <w:rPr>
                      <w:rFonts w:ascii="Cambria Math" w:hAnsi="Cambria Math" w:cs="Times New Roman"/>
                      <w:szCs w:val="24"/>
                    </w:rPr>
                    <m:t>l</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unemployment</m:t>
                  </m:r>
                </m:e>
                <m:sub>
                  <m:r>
                    <w:rPr>
                      <w:rFonts w:ascii="Cambria Math" w:hAnsi="Cambria Math" w:cs="Times New Roman"/>
                      <w:szCs w:val="24"/>
                    </w:rPr>
                    <m:t>l</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education</m:t>
                  </m:r>
                </m:e>
                <m:sub>
                  <m:r>
                    <w:rPr>
                      <w:rFonts w:ascii="Cambria Math" w:hAnsi="Cambria Math" w:cs="Times New Roman"/>
                      <w:szCs w:val="24"/>
                    </w:rPr>
                    <m:t>l</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urbanization</m:t>
                  </m:r>
                </m:e>
                <m:sub>
                  <m:r>
                    <w:rPr>
                      <w:rFonts w:ascii="Cambria Math" w:hAnsi="Cambria Math" w:cs="Times New Roman"/>
                      <w:szCs w:val="24"/>
                    </w:rPr>
                    <m:t>l</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sSub>
                <m:sSubPr>
                  <m:ctrlPr>
                    <w:rPr>
                      <w:rFonts w:ascii="Cambria Math" w:hAnsi="Cambria Math" w:cs="Times New Roman"/>
                      <w:i/>
                      <w:szCs w:val="24"/>
                    </w:rPr>
                  </m:ctrlPr>
                </m:sSubPr>
                <m:e>
                  <m:r>
                    <w:rPr>
                      <w:rFonts w:ascii="Cambria Math" w:hAnsi="Cambria Math" w:cs="Times New Roman"/>
                      <w:szCs w:val="24"/>
                    </w:rPr>
                    <m:t>% Croats</m:t>
                  </m:r>
                </m:e>
                <m:sub>
                  <m:r>
                    <w:rPr>
                      <w:rFonts w:ascii="Cambria Math" w:hAnsi="Cambria Math" w:cs="Times New Roman"/>
                      <w:szCs w:val="24"/>
                    </w:rPr>
                    <m:t>l</m:t>
                  </m:r>
                </m:sub>
              </m:sSub>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election dummy</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ζ</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ζ</m:t>
              </m:r>
            </m:e>
            <m:sub>
              <m:r>
                <w:rPr>
                  <w:rFonts w:ascii="Cambria Math" w:hAnsi="Cambria Math" w:cs="Times New Roman"/>
                  <w:szCs w:val="24"/>
                </w:rPr>
                <m:t>j</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ζ</m:t>
              </m:r>
            </m:e>
            <m:sub>
              <m:r>
                <w:rPr>
                  <w:rFonts w:ascii="Cambria Math" w:hAnsi="Cambria Math" w:cs="Times New Roman"/>
                  <w:szCs w:val="24"/>
                </w:rPr>
                <m:t>k</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ζ</m:t>
              </m:r>
            </m:e>
            <m:sub>
              <m:r>
                <w:rPr>
                  <w:rFonts w:ascii="Cambria Math" w:hAnsi="Cambria Math" w:cs="Times New Roman"/>
                  <w:szCs w:val="24"/>
                </w:rPr>
                <m:t>l</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ε</m:t>
              </m:r>
            </m:e>
            <m:sub>
              <m:r>
                <w:rPr>
                  <w:rFonts w:ascii="Cambria Math" w:hAnsi="Cambria Math" w:cs="Times New Roman"/>
                  <w:szCs w:val="24"/>
                </w:rPr>
                <m:t>ijkl</m:t>
              </m:r>
            </m:sub>
          </m:sSub>
        </m:oMath>
      </m:oMathPara>
    </w:p>
    <w:p w14:paraId="1F200AAE" w14:textId="77777777" w:rsidR="00F24C0E" w:rsidRPr="0003506A" w:rsidRDefault="00F24C0E" w:rsidP="001738F5">
      <w:pPr>
        <w:spacing w:line="480" w:lineRule="auto"/>
        <w:rPr>
          <w:rFonts w:cs="Times New Roman"/>
          <w:szCs w:val="24"/>
        </w:rPr>
      </w:pPr>
      <w:r w:rsidRPr="0003506A">
        <w:rPr>
          <w:rFonts w:cs="Times New Roman"/>
          <w:szCs w:val="24"/>
        </w:rPr>
        <w:t xml:space="preserve">We further test our hypotheses 2, 3, and 3a by estimating a series of cross-level interactive models between the variables </w:t>
      </w:r>
      <w:r w:rsidRPr="0003506A">
        <w:rPr>
          <w:rFonts w:cs="Times New Roman"/>
          <w:i/>
          <w:szCs w:val="24"/>
        </w:rPr>
        <w:t>Combat days</w:t>
      </w:r>
      <w:r w:rsidRPr="0003506A">
        <w:rPr>
          <w:rFonts w:cs="Times New Roman"/>
          <w:szCs w:val="24"/>
        </w:rPr>
        <w:t xml:space="preserve">, </w:t>
      </w:r>
      <w:r w:rsidRPr="0003506A">
        <w:rPr>
          <w:rFonts w:cs="Times New Roman"/>
          <w:i/>
          <w:szCs w:val="24"/>
        </w:rPr>
        <w:t>War disabled</w:t>
      </w:r>
      <w:r w:rsidRPr="0003506A">
        <w:rPr>
          <w:rFonts w:cs="Times New Roman"/>
          <w:szCs w:val="24"/>
        </w:rPr>
        <w:t xml:space="preserve">, and </w:t>
      </w:r>
      <w:r w:rsidRPr="0003506A">
        <w:rPr>
          <w:rFonts w:cs="Times New Roman"/>
          <w:i/>
          <w:szCs w:val="24"/>
        </w:rPr>
        <w:t>Ideology</w:t>
      </w:r>
      <w:r w:rsidRPr="0003506A">
        <w:rPr>
          <w:rFonts w:cs="Times New Roman"/>
          <w:szCs w:val="24"/>
        </w:rPr>
        <w:t>.</w:t>
      </w:r>
      <w:r>
        <w:rPr>
          <w:rFonts w:cs="Times New Roman"/>
          <w:szCs w:val="24"/>
        </w:rPr>
        <w:t xml:space="preserve"> </w:t>
      </w:r>
      <w:r>
        <w:rPr>
          <w:szCs w:val="24"/>
        </w:rPr>
        <w:t>Table 1</w:t>
      </w:r>
      <w:r w:rsidRPr="00614914">
        <w:rPr>
          <w:szCs w:val="24"/>
        </w:rPr>
        <w:t xml:space="preserve"> gives </w:t>
      </w:r>
      <w:r>
        <w:rPr>
          <w:szCs w:val="24"/>
        </w:rPr>
        <w:t>the summary statistics</w:t>
      </w:r>
      <w:r w:rsidRPr="00614914">
        <w:rPr>
          <w:szCs w:val="24"/>
        </w:rPr>
        <w:t xml:space="preserve"> of all variables.</w:t>
      </w:r>
    </w:p>
    <w:p w14:paraId="2B4683F6" w14:textId="77777777" w:rsidR="00F24C0E" w:rsidRDefault="00F24C0E" w:rsidP="001738F5">
      <w:pPr>
        <w:spacing w:line="480" w:lineRule="auto"/>
        <w:jc w:val="center"/>
        <w:rPr>
          <w:rFonts w:cs="Times New Roman"/>
          <w:szCs w:val="24"/>
        </w:rPr>
      </w:pPr>
      <w:r w:rsidRPr="0003506A">
        <w:rPr>
          <w:rFonts w:cs="Times New Roman"/>
          <w:szCs w:val="24"/>
        </w:rPr>
        <w:t>[Figure 3 about here]</w:t>
      </w:r>
    </w:p>
    <w:p w14:paraId="4B414A89" w14:textId="77777777" w:rsidR="00F24C0E" w:rsidRPr="0003506A" w:rsidRDefault="00F24C0E" w:rsidP="002652DD">
      <w:pPr>
        <w:spacing w:line="480" w:lineRule="auto"/>
        <w:jc w:val="center"/>
        <w:rPr>
          <w:rFonts w:cs="Times New Roman"/>
          <w:szCs w:val="24"/>
        </w:rPr>
      </w:pPr>
      <w:r w:rsidRPr="0003506A">
        <w:rPr>
          <w:rFonts w:cs="Times New Roman"/>
          <w:szCs w:val="24"/>
        </w:rPr>
        <w:t xml:space="preserve">[Table </w:t>
      </w:r>
      <w:r>
        <w:rPr>
          <w:rFonts w:cs="Times New Roman"/>
          <w:szCs w:val="24"/>
        </w:rPr>
        <w:t>1</w:t>
      </w:r>
      <w:r w:rsidRPr="0003506A">
        <w:rPr>
          <w:rFonts w:cs="Times New Roman"/>
          <w:szCs w:val="24"/>
        </w:rPr>
        <w:t xml:space="preserve"> about here]</w:t>
      </w:r>
    </w:p>
    <w:p w14:paraId="6D7A441E" w14:textId="77777777" w:rsidR="00F24C0E" w:rsidRDefault="00F24C0E" w:rsidP="001738F5">
      <w:pPr>
        <w:spacing w:line="480" w:lineRule="auto"/>
        <w:rPr>
          <w:b/>
        </w:rPr>
      </w:pPr>
    </w:p>
    <w:p w14:paraId="22D53F44" w14:textId="7298DD9A" w:rsidR="00F24C0E" w:rsidRPr="0003506A" w:rsidRDefault="00F24C0E" w:rsidP="001738F5">
      <w:pPr>
        <w:spacing w:line="480" w:lineRule="auto"/>
      </w:pPr>
      <w:r w:rsidRPr="0003506A">
        <w:rPr>
          <w:b/>
        </w:rPr>
        <w:t>Results</w:t>
      </w:r>
    </w:p>
    <w:p w14:paraId="23A0D0B4" w14:textId="28CC72D7" w:rsidR="00F24C0E" w:rsidRPr="0003506A" w:rsidRDefault="00F24C0E" w:rsidP="001738F5">
      <w:pPr>
        <w:spacing w:line="480" w:lineRule="auto"/>
      </w:pPr>
      <w:r w:rsidRPr="0003506A">
        <w:t xml:space="preserve">Table </w:t>
      </w:r>
      <w:r>
        <w:t>2</w:t>
      </w:r>
      <w:r w:rsidRPr="0003506A">
        <w:t xml:space="preserve"> presents the results of our findings, split up into four models that correspond to our four hypotheses</w:t>
      </w:r>
      <w:r>
        <w:t>.</w:t>
      </w:r>
      <w:r w:rsidRPr="0003506A">
        <w:t xml:space="preserve"> Our most basic proposition, expressed in hypothesis 1, was that candidates’ electoral performance had a significant and positive relationship with the length of their service in combat. As Model 1 shows, that is clearly the case. The variable </w:t>
      </w:r>
      <w:r w:rsidRPr="0003506A">
        <w:rPr>
          <w:i/>
        </w:rPr>
        <w:t>Combat days</w:t>
      </w:r>
      <w:r w:rsidRPr="0003506A">
        <w:t xml:space="preserve"> is in the expected direction and statistically significant at the 0.01 level. A candidate who served in the combat sector of the Croatian armed and police forces for the duration of the war (i.e. slightly over two thousand days) could expect to get 0.</w:t>
      </w:r>
      <w:r>
        <w:t>74</w:t>
      </w:r>
      <w:r w:rsidRPr="0003506A">
        <w:t xml:space="preserve"> percentage points more in preferential votes than the candidate who did not serve in the armed forces at all. We show this effect graphically in Figure 4. Considering that candidates received on average </w:t>
      </w:r>
      <w:r>
        <w:t>1.8</w:t>
      </w:r>
      <w:r w:rsidRPr="0003506A">
        <w:t xml:space="preserve">% preferential votes per municipality, this is a substantively important effect. </w:t>
      </w:r>
    </w:p>
    <w:p w14:paraId="6B7341E2" w14:textId="77777777" w:rsidR="00F24C0E" w:rsidRPr="0003506A" w:rsidRDefault="00F24C0E" w:rsidP="001738F5">
      <w:pPr>
        <w:spacing w:line="480" w:lineRule="auto"/>
        <w:jc w:val="center"/>
      </w:pPr>
      <w:r w:rsidRPr="0003506A">
        <w:t>[Figure 4 about here]</w:t>
      </w:r>
    </w:p>
    <w:p w14:paraId="3FB379A8" w14:textId="2E9ED88C" w:rsidR="00F24C0E" w:rsidRPr="004449FB" w:rsidRDefault="00F24C0E" w:rsidP="001738F5">
      <w:pPr>
        <w:spacing w:line="480" w:lineRule="auto"/>
        <w:ind w:firstLine="720"/>
      </w:pPr>
      <w:r>
        <w:t>Regarding covariates, w</w:t>
      </w:r>
      <w:r w:rsidRPr="004449FB">
        <w:t xml:space="preserve">omen are penalized by voters by 0.29 percentage points: a small, though statistically significant effect, showing Croatian voters’ mild bias against female candidates. Candidates’ age, here conceptualized through two variables </w:t>
      </w:r>
      <w:r w:rsidRPr="004449FB">
        <w:rPr>
          <w:i/>
        </w:rPr>
        <w:t xml:space="preserve">Age </w:t>
      </w:r>
      <w:r w:rsidRPr="004449FB">
        <w:t xml:space="preserve">and </w:t>
      </w:r>
      <w:r w:rsidRPr="004449FB">
        <w:rPr>
          <w:i/>
        </w:rPr>
        <w:t>Age</w:t>
      </w:r>
      <w:r w:rsidRPr="004449FB">
        <w:rPr>
          <w:i/>
          <w:vertAlign w:val="superscript"/>
        </w:rPr>
        <w:t>2</w:t>
      </w:r>
      <w:r w:rsidRPr="004449FB">
        <w:t>, does not seem to have an effect on preferential vote. Having an academic title on the ballot, on the other hand, increases the candidate’s preferential vote by 0.4 percentage points, in line with similar findings in other contexts (</w:t>
      </w:r>
      <w:r w:rsidRPr="004449FB">
        <w:rPr>
          <w:rFonts w:cs="Times New Roman"/>
          <w:szCs w:val="24"/>
        </w:rPr>
        <w:t>McDermott 2005; Tavits 2010; Jankowski 2016)</w:t>
      </w:r>
      <w:r w:rsidRPr="004449FB">
        <w:t>. Incumbency, here modeled as being a member of parliament or the government cabinet, does have a statistically significant and substantively notable effect, bringing incumbents additional 1.53 percentage points – again in line with similar findings in other geographic and temporal contexts (</w:t>
      </w:r>
      <w:r w:rsidRPr="004449FB">
        <w:rPr>
          <w:rFonts w:cs="Times New Roman"/>
          <w:szCs w:val="24"/>
        </w:rPr>
        <w:t>Dahlgaard 2016; Salas 2016; Dettman, Pepinsky, and Pierskalla 2017)</w:t>
      </w:r>
      <w:r w:rsidRPr="004449FB">
        <w:t xml:space="preserve">. We also confirm a string of findings on the </w:t>
      </w:r>
      <w:r w:rsidRPr="004449FB">
        <w:lastRenderedPageBreak/>
        <w:t>importance of candidates’ geographic closeness to the voters (</w:t>
      </w:r>
      <w:r w:rsidRPr="004449FB">
        <w:rPr>
          <w:rFonts w:cs="Times New Roman"/>
          <w:szCs w:val="24"/>
        </w:rPr>
        <w:t>Górecki and Marsh 2011; Arzheimer and Evans 2012; Jankowski 2016)</w:t>
      </w:r>
      <w:r w:rsidRPr="004449FB">
        <w:t>. Candidate who resides 100 km away from the municipality can expect nearly 0.81 percentage points fewer preferential votes than the candidate who resides in the municipality.</w:t>
      </w:r>
    </w:p>
    <w:p w14:paraId="634EF3ED" w14:textId="6384E310" w:rsidR="00F24C0E" w:rsidRPr="0003506A" w:rsidRDefault="00F24C0E" w:rsidP="001738F5">
      <w:pPr>
        <w:spacing w:line="480" w:lineRule="auto"/>
        <w:ind w:firstLine="720"/>
        <w:rPr>
          <w:rFonts w:cs="Times New Roman"/>
          <w:szCs w:val="24"/>
        </w:rPr>
      </w:pPr>
      <w:r w:rsidRPr="004449FB">
        <w:t xml:space="preserve">What seems to really make a difference, however, is candidates’ placement on the electoral lists. As stated above, list placement is obviously not random, but a proxy for the candidates’ overall standing in the party and among voters. The first candidate on the list receives on average more than 18 percentage points of all party votes. This is in sharp contrast to the other candidates, though we see a substantial uptick </w:t>
      </w:r>
      <w:r>
        <w:t>in the preferential</w:t>
      </w:r>
      <w:r w:rsidRPr="004449FB">
        <w:t xml:space="preserve"> votes for bottom candidate</w:t>
      </w:r>
      <w:r>
        <w:t>s</w:t>
      </w:r>
      <w:r w:rsidRPr="004449FB">
        <w:t>. All of this is in line with a long series of findings highlighting the importance of candidates’ list placement (</w:t>
      </w:r>
      <w:r w:rsidRPr="004449FB">
        <w:rPr>
          <w:rFonts w:cs="Times New Roman"/>
          <w:szCs w:val="24"/>
        </w:rPr>
        <w:t>Marcinkiewicz 2014; Blom-Hansen et al. 2016; Van Erkel and Thijssen 2016). Finally, when it comes to party-level and municipality-level findings, Model 1 suggests that voters of smaller parties are more likely to use preferential votes; and that preferential voting is more likely to be used in more rural areas with higher unemployment and lower overall level of education. This last finding runs counter to those who suggest preferential voting is more likely to be used by voters who have the personal resources (like education) needed to sufficiently distinguish among different candidates (André</w:t>
      </w:r>
      <w:r w:rsidRPr="0003506A">
        <w:rPr>
          <w:rFonts w:cs="Times New Roman"/>
          <w:szCs w:val="24"/>
        </w:rPr>
        <w:t>, Wauters, and Pilet 2012).</w:t>
      </w:r>
      <w:r>
        <w:rPr>
          <w:rFonts w:cs="Times New Roman"/>
          <w:szCs w:val="24"/>
        </w:rPr>
        <w:t xml:space="preserve"> </w:t>
      </w:r>
      <w:r w:rsidRPr="00A43F33">
        <w:rPr>
          <w:rFonts w:cs="Times New Roman"/>
        </w:rPr>
        <w:t>Figure</w:t>
      </w:r>
      <w:r>
        <w:rPr>
          <w:rFonts w:cs="Times New Roman"/>
        </w:rPr>
        <w:t>s A10 and A11 in the online appendix</w:t>
      </w:r>
      <w:r w:rsidRPr="00A43F33">
        <w:rPr>
          <w:rFonts w:cs="Times New Roman"/>
        </w:rPr>
        <w:t xml:space="preserve"> visualize the relation between the significant control variables and preferential votes.</w:t>
      </w:r>
    </w:p>
    <w:p w14:paraId="66F0B964" w14:textId="14C0CD11" w:rsidR="00F24C0E" w:rsidRPr="0003506A" w:rsidRDefault="00F24C0E" w:rsidP="001738F5">
      <w:pPr>
        <w:spacing w:line="480" w:lineRule="auto"/>
        <w:jc w:val="center"/>
        <w:rPr>
          <w:rFonts w:cs="Times New Roman"/>
          <w:szCs w:val="24"/>
        </w:rPr>
      </w:pPr>
      <w:r w:rsidRPr="0003506A">
        <w:rPr>
          <w:rFonts w:cs="Times New Roman"/>
          <w:szCs w:val="24"/>
        </w:rPr>
        <w:t xml:space="preserve">[Table </w:t>
      </w:r>
      <w:r>
        <w:rPr>
          <w:rFonts w:cs="Times New Roman"/>
          <w:szCs w:val="24"/>
        </w:rPr>
        <w:t>2</w:t>
      </w:r>
      <w:r w:rsidRPr="0003506A">
        <w:rPr>
          <w:rFonts w:cs="Times New Roman"/>
          <w:szCs w:val="24"/>
        </w:rPr>
        <w:t xml:space="preserve"> about here]</w:t>
      </w:r>
    </w:p>
    <w:p w14:paraId="3C05198E" w14:textId="4387D1D4" w:rsidR="00F24C0E" w:rsidRPr="0003506A" w:rsidRDefault="00F24C0E" w:rsidP="001738F5">
      <w:pPr>
        <w:spacing w:line="480" w:lineRule="auto"/>
        <w:ind w:firstLine="720"/>
      </w:pPr>
      <w:r w:rsidRPr="0003506A">
        <w:t xml:space="preserve">Our second hypothesis suggested that the level of voter support for candidates with experience of war combat was conditional on the level of voter communities’ exposure to war violence. We proposed this was the case because voters in municipalities affected by warfare could more easily relate to candidates with combat experience and </w:t>
      </w:r>
      <w:r>
        <w:t xml:space="preserve">potentially </w:t>
      </w:r>
      <w:r w:rsidRPr="0003506A">
        <w:t xml:space="preserve">because their policy </w:t>
      </w:r>
      <w:r w:rsidRPr="0003506A">
        <w:lastRenderedPageBreak/>
        <w:t xml:space="preserve">preferences were more likely to be in harmony. We test this proposition in Model 2 where we interact the variable </w:t>
      </w:r>
      <w:r w:rsidRPr="0003506A">
        <w:rPr>
          <w:i/>
        </w:rPr>
        <w:t>Combat days</w:t>
      </w:r>
      <w:r w:rsidRPr="0003506A">
        <w:t xml:space="preserve"> with the variable </w:t>
      </w:r>
      <w:r w:rsidRPr="0003506A">
        <w:rPr>
          <w:i/>
        </w:rPr>
        <w:t>War disabled</w:t>
      </w:r>
      <w:r w:rsidRPr="0003506A">
        <w:t xml:space="preserve">. As Table </w:t>
      </w:r>
      <w:r>
        <w:t>2</w:t>
      </w:r>
      <w:r w:rsidRPr="0003506A">
        <w:t xml:space="preserve"> shows, this interaction is highly statistically significant at the 0.001 level and is in the expected direction. We show this effect in Figure 5 where we present the effect of combat service on preferential vote in municipalities with comparatively few war disabled (i.e. one standard deviation below the mean) and in municipalities with comparatively many war disabled (i.e. one standard deviation above the mean). In municipalities less affected by war violence, candidates’ combat service actually decreases their appeal to voters, whereas the opposite is true in municipalities more affected by war violence. If we have two equal candidates, where one of them did not serve in combat and the other one served throughout the whole war, the non-veteran would be projected to win 2% and the veteran 1.7% of their party’s vote in a municipality relatively unaffected by war violence. In a municipality relatively strongly affected by war violence, however, this relationship flips, with the non-veteran now projected to win 1.7% and the veteran 3.1% of their party’s vote. This finding offers </w:t>
      </w:r>
      <w:r>
        <w:t>evidence in favor</w:t>
      </w:r>
      <w:r w:rsidRPr="0003506A">
        <w:t xml:space="preserve"> of our hypothesis 2</w:t>
      </w:r>
      <w:r>
        <w:t>, as well as its refinement</w:t>
      </w:r>
      <w:r w:rsidRPr="0003506A">
        <w:t xml:space="preserve">. The case is not only that voters in war-affected areas put a premium on candidates’ combat experience. Voters in areas less affected by war actually put a premium on candidates’ </w:t>
      </w:r>
      <w:r w:rsidRPr="0003506A">
        <w:rPr>
          <w:i/>
        </w:rPr>
        <w:t>lack</w:t>
      </w:r>
      <w:r w:rsidRPr="0003506A">
        <w:t xml:space="preserve"> of combat experience. They likely do that because they find such candidates closer both in experience and in policy preferences. Croatia’s extensive system of benefits for war veterans and war-affected areas is a constant bone of contention in Croatian politics (</w:t>
      </w:r>
      <w:r w:rsidRPr="0003506A">
        <w:rPr>
          <w:rFonts w:cs="Times New Roman"/>
        </w:rPr>
        <w:t>Ž</w:t>
      </w:r>
      <w:r w:rsidRPr="0003506A">
        <w:t>unec 2006). Voters in areas less affected by war violence likely see combat veterans as champions of that system and thus not working in their interest.</w:t>
      </w:r>
    </w:p>
    <w:p w14:paraId="2AB22977" w14:textId="77777777" w:rsidR="00F24C0E" w:rsidRPr="0003506A" w:rsidRDefault="00F24C0E" w:rsidP="001738F5">
      <w:pPr>
        <w:spacing w:line="480" w:lineRule="auto"/>
        <w:jc w:val="center"/>
      </w:pPr>
      <w:r w:rsidRPr="0003506A">
        <w:t>[Figure 5 about here]</w:t>
      </w:r>
    </w:p>
    <w:p w14:paraId="0FED7BA5" w14:textId="1C374C99" w:rsidR="00F24C0E" w:rsidRPr="0003506A" w:rsidRDefault="00F24C0E" w:rsidP="001738F5">
      <w:pPr>
        <w:spacing w:line="480" w:lineRule="auto"/>
        <w:ind w:firstLine="720"/>
        <w:rPr>
          <w:rFonts w:cs="Times New Roman"/>
        </w:rPr>
      </w:pPr>
      <w:r w:rsidRPr="0003506A">
        <w:t xml:space="preserve">Our hypothesis 3, on the other hand, proposed that the level of voter support for candidates with experience of war combat was conditional on their political ideology. We suggested that, due </w:t>
      </w:r>
      <w:r w:rsidRPr="0003506A">
        <w:lastRenderedPageBreak/>
        <w:t>to the nation-building nature of Croatia’s War of independence, combat experience would be particularly prized among voters of rightwing parties. Although data presented in Figure 2 suggested that was indeed the case, the results of our Model 3 suggest that this conclusion cannot be made</w:t>
      </w:r>
      <w:r>
        <w:t xml:space="preserve"> if we model candidates’ war experience through the variable </w:t>
      </w:r>
      <w:r>
        <w:rPr>
          <w:i/>
        </w:rPr>
        <w:t>Combat days</w:t>
      </w:r>
      <w:r w:rsidRPr="0003506A">
        <w:t xml:space="preserve">. The interaction between </w:t>
      </w:r>
      <w:r w:rsidRPr="0003506A">
        <w:rPr>
          <w:i/>
        </w:rPr>
        <w:t>Combat days</w:t>
      </w:r>
      <w:r w:rsidRPr="0003506A">
        <w:t xml:space="preserve"> and </w:t>
      </w:r>
      <w:r w:rsidRPr="0003506A">
        <w:rPr>
          <w:i/>
        </w:rPr>
        <w:t>Party ideology</w:t>
      </w:r>
      <w:r w:rsidRPr="0003506A">
        <w:t xml:space="preserve"> is statistically insignificant, thus </w:t>
      </w:r>
      <w:r>
        <w:t>offering evidence against</w:t>
      </w:r>
      <w:r w:rsidRPr="0003506A">
        <w:t xml:space="preserve"> our third hypothesis. Our hypothesis 3a, however, proposed that the relationship between </w:t>
      </w:r>
      <w:r w:rsidRPr="0003506A">
        <w:rPr>
          <w:i/>
        </w:rPr>
        <w:t>Party ideology</w:t>
      </w:r>
      <w:r w:rsidRPr="0003506A">
        <w:t xml:space="preserve">, </w:t>
      </w:r>
      <w:r w:rsidRPr="0003506A">
        <w:rPr>
          <w:i/>
        </w:rPr>
        <w:t>Combat days</w:t>
      </w:r>
      <w:r w:rsidRPr="0003506A">
        <w:t>, and candidates’ preferential votes could further be conditioned by the level of local exposure to war violence. Influenced by previous scholarship on the close relationship between exposure to war violence and the pattern of electoral support for the center-right HDZ (Glaurdi</w:t>
      </w:r>
      <w:r w:rsidRPr="0003506A">
        <w:rPr>
          <w:rFonts w:cs="Times New Roman"/>
        </w:rPr>
        <w:t xml:space="preserve">ć and Vuković 2016), we proposed that combat experience might work in favor of rightwing candidates particularly in war affected areas where ideological commitments would be more salient. We test this hypothesis in our Model 4 where we interact the variables </w:t>
      </w:r>
      <w:r w:rsidRPr="0003506A">
        <w:rPr>
          <w:rFonts w:cs="Times New Roman"/>
          <w:i/>
        </w:rPr>
        <w:t>Party ideology</w:t>
      </w:r>
      <w:r w:rsidRPr="0003506A">
        <w:rPr>
          <w:rFonts w:cs="Times New Roman"/>
        </w:rPr>
        <w:t xml:space="preserve">, </w:t>
      </w:r>
      <w:r w:rsidRPr="0003506A">
        <w:rPr>
          <w:rFonts w:cs="Times New Roman"/>
          <w:i/>
        </w:rPr>
        <w:t>Combat days</w:t>
      </w:r>
      <w:r w:rsidRPr="0003506A">
        <w:rPr>
          <w:rFonts w:cs="Times New Roman"/>
        </w:rPr>
        <w:t xml:space="preserve">, and </w:t>
      </w:r>
      <w:r w:rsidRPr="0003506A">
        <w:rPr>
          <w:rFonts w:cs="Times New Roman"/>
          <w:i/>
        </w:rPr>
        <w:t>War disabled</w:t>
      </w:r>
      <w:r w:rsidRPr="0003506A">
        <w:rPr>
          <w:rFonts w:cs="Times New Roman"/>
        </w:rPr>
        <w:t xml:space="preserve">. As the results in Table </w:t>
      </w:r>
      <w:r>
        <w:rPr>
          <w:rFonts w:cs="Times New Roman"/>
        </w:rPr>
        <w:t>2</w:t>
      </w:r>
      <w:r w:rsidRPr="0003506A">
        <w:rPr>
          <w:rFonts w:cs="Times New Roman"/>
        </w:rPr>
        <w:t xml:space="preserve"> show, our hypothesis 3a is </w:t>
      </w:r>
      <w:r>
        <w:rPr>
          <w:rFonts w:cs="Times New Roman"/>
        </w:rPr>
        <w:t>supported</w:t>
      </w:r>
      <w:r w:rsidRPr="0003506A">
        <w:rPr>
          <w:rFonts w:cs="Times New Roman"/>
        </w:rPr>
        <w:t>. The interaction is highly statistically significant and in the expected direction</w:t>
      </w:r>
      <w:r>
        <w:rPr>
          <w:rFonts w:cs="Times New Roman"/>
        </w:rPr>
        <w:t>.</w:t>
      </w:r>
      <w:r>
        <w:rPr>
          <w:rStyle w:val="EndnoteReference"/>
          <w:rFonts w:cs="Times New Roman"/>
        </w:rPr>
        <w:endnoteReference w:id="6"/>
      </w:r>
    </w:p>
    <w:p w14:paraId="24AD3260" w14:textId="34DD4849" w:rsidR="00F24C0E" w:rsidRDefault="00F24C0E" w:rsidP="001738F5">
      <w:pPr>
        <w:spacing w:line="480" w:lineRule="auto"/>
        <w:ind w:firstLine="720"/>
        <w:rPr>
          <w:rFonts w:cs="Times New Roman"/>
        </w:rPr>
      </w:pPr>
      <w:r w:rsidRPr="0003506A">
        <w:rPr>
          <w:rFonts w:cs="Times New Roman"/>
        </w:rPr>
        <w:t xml:space="preserve">We show this conditional relationship in Figure 6 where the left pane shows the effect of candidates’ service in combat on preferential votes for leftwing parties, conditional on municipalities’ exposure to war violence; and the right pane shows the same for the rightwing parties (leftwing here means one standard deviation, i.e. 1.45, below and rightwing means one standard deviation above the mean value for </w:t>
      </w:r>
      <w:r w:rsidRPr="0003506A">
        <w:rPr>
          <w:rFonts w:cs="Times New Roman"/>
          <w:i/>
        </w:rPr>
        <w:t>Party ideology</w:t>
      </w:r>
      <w:r w:rsidRPr="0003506A">
        <w:rPr>
          <w:rFonts w:cs="Times New Roman"/>
        </w:rPr>
        <w:t xml:space="preserve"> of 3.23). The relationship between </w:t>
      </w:r>
      <w:r w:rsidRPr="0003506A">
        <w:rPr>
          <w:rFonts w:cs="Times New Roman"/>
          <w:i/>
        </w:rPr>
        <w:t>Combat days</w:t>
      </w:r>
      <w:r w:rsidRPr="0003506A">
        <w:rPr>
          <w:rFonts w:cs="Times New Roman"/>
        </w:rPr>
        <w:t xml:space="preserve"> and </w:t>
      </w:r>
      <w:r w:rsidRPr="0003506A">
        <w:rPr>
          <w:rFonts w:cs="Times New Roman"/>
          <w:i/>
        </w:rPr>
        <w:t>War disabled</w:t>
      </w:r>
      <w:r w:rsidRPr="0003506A">
        <w:rPr>
          <w:rFonts w:cs="Times New Roman"/>
        </w:rPr>
        <w:t xml:space="preserve"> that we observed in Model 2 and Figure 5 seems to be largely driven by rightwing parties. Their candidates’ war past is especially important for their voters. Rightwing voters in areas less affected by war violence do not value candidates’ combat service, whereas those in areas more affected by war violence value it greatly. In our view, this finding </w:t>
      </w:r>
      <w:r>
        <w:rPr>
          <w:rFonts w:cs="Times New Roman"/>
        </w:rPr>
        <w:lastRenderedPageBreak/>
        <w:t>could be the reason why we did not find support for our third hypothesis, which looked at the relationship between the length of combat service and ideology in the aggregate. That finding in some ways captures</w:t>
      </w:r>
      <w:r w:rsidRPr="0003506A">
        <w:rPr>
          <w:rFonts w:cs="Times New Roman"/>
        </w:rPr>
        <w:t xml:space="preserve"> the Janus-like nature of the political right in postwar Croatia</w:t>
      </w:r>
      <w:r>
        <w:rPr>
          <w:rFonts w:cs="Times New Roman"/>
        </w:rPr>
        <w:t>: o</w:t>
      </w:r>
      <w:r w:rsidRPr="0003506A">
        <w:rPr>
          <w:rFonts w:cs="Times New Roman"/>
        </w:rPr>
        <w:t xml:space="preserve">n the one hand, </w:t>
      </w:r>
      <w:r>
        <w:rPr>
          <w:rFonts w:cs="Times New Roman"/>
        </w:rPr>
        <w:t>Croatian political right</w:t>
      </w:r>
      <w:r w:rsidRPr="0003506A">
        <w:rPr>
          <w:rFonts w:cs="Times New Roman"/>
        </w:rPr>
        <w:t xml:space="preserve"> is turned toward the past and the building of the mythology of Croatia’s Homeland War and a strong and loyal electorate among the war veterans and their families</w:t>
      </w:r>
      <w:r>
        <w:rPr>
          <w:rFonts w:cs="Times New Roman"/>
        </w:rPr>
        <w:t>; o</w:t>
      </w:r>
      <w:r w:rsidRPr="0003506A">
        <w:rPr>
          <w:rFonts w:cs="Times New Roman"/>
        </w:rPr>
        <w:t>n the other hand, it is driven (as well as torn) by more contemporary questions of economic development, corruption, and the role of political conservatism in policymaking. As Figure 6 suggests, rightwing voters in areas disproportionally affected by war violence are likely more drawn to the former, and those in areas disproportionally unaffected by war violence to the latter.</w:t>
      </w:r>
    </w:p>
    <w:p w14:paraId="237240A7" w14:textId="1DD85D16" w:rsidR="00F24C0E" w:rsidRDefault="00F24C0E" w:rsidP="001738F5">
      <w:pPr>
        <w:spacing w:line="480" w:lineRule="auto"/>
        <w:jc w:val="center"/>
        <w:rPr>
          <w:rFonts w:cs="Times New Roman"/>
        </w:rPr>
      </w:pPr>
      <w:r>
        <w:rPr>
          <w:rFonts w:cs="Times New Roman"/>
        </w:rPr>
        <w:t>[Figure 6 about here]</w:t>
      </w:r>
    </w:p>
    <w:p w14:paraId="4EEE6342" w14:textId="02A498A6" w:rsidR="00F24C0E" w:rsidRDefault="00F24C0E" w:rsidP="00844B2A">
      <w:pPr>
        <w:spacing w:line="480" w:lineRule="auto"/>
        <w:rPr>
          <w:rFonts w:cs="Times New Roman"/>
          <w:szCs w:val="24"/>
        </w:rPr>
      </w:pPr>
      <w:r>
        <w:rPr>
          <w:rFonts w:cs="Times New Roman"/>
        </w:rPr>
        <w:tab/>
        <w:t xml:space="preserve">This conclusion, however, is somewhat tempered by the fact that our robustness checks with </w:t>
      </w:r>
      <w:r w:rsidRPr="00842E10">
        <w:rPr>
          <w:rFonts w:cs="Times New Roman"/>
          <w:szCs w:val="24"/>
        </w:rPr>
        <w:t xml:space="preserve">a veteran/non-veteran dichotomy and a </w:t>
      </w:r>
      <w:r>
        <w:rPr>
          <w:rFonts w:cs="Times New Roman"/>
          <w:szCs w:val="24"/>
        </w:rPr>
        <w:t>non-linear operationalization</w:t>
      </w:r>
      <w:r w:rsidRPr="00842E10">
        <w:rPr>
          <w:rFonts w:cs="Times New Roman"/>
          <w:szCs w:val="24"/>
        </w:rPr>
        <w:t xml:space="preserve"> of </w:t>
      </w:r>
      <w:r w:rsidRPr="00842E10">
        <w:rPr>
          <w:rFonts w:cs="Times New Roman"/>
          <w:i/>
          <w:szCs w:val="24"/>
        </w:rPr>
        <w:t>Combat days</w:t>
      </w:r>
      <w:r w:rsidRPr="00842E10">
        <w:rPr>
          <w:rFonts w:cs="Times New Roman"/>
          <w:szCs w:val="24"/>
        </w:rPr>
        <w:t xml:space="preserve"> </w:t>
      </w:r>
      <w:r>
        <w:rPr>
          <w:rFonts w:cs="Times New Roman"/>
          <w:szCs w:val="24"/>
        </w:rPr>
        <w:t>did suggest, in</w:t>
      </w:r>
      <w:r w:rsidRPr="00842E10">
        <w:rPr>
          <w:rFonts w:cs="Times New Roman"/>
          <w:szCs w:val="24"/>
        </w:rPr>
        <w:t xml:space="preserve"> addition to confirming the results reported in Table 2, that the relation between </w:t>
      </w:r>
      <w:r w:rsidRPr="00844B2A">
        <w:rPr>
          <w:rFonts w:cs="Times New Roman"/>
          <w:szCs w:val="24"/>
        </w:rPr>
        <w:t>veteran status</w:t>
      </w:r>
      <w:r w:rsidRPr="00842E10">
        <w:rPr>
          <w:rFonts w:cs="Times New Roman"/>
          <w:szCs w:val="24"/>
        </w:rPr>
        <w:t xml:space="preserve"> and preferential votes </w:t>
      </w:r>
      <w:r>
        <w:rPr>
          <w:rFonts w:cs="Times New Roman"/>
          <w:szCs w:val="24"/>
        </w:rPr>
        <w:t>could</w:t>
      </w:r>
      <w:r w:rsidRPr="00842E10">
        <w:rPr>
          <w:rFonts w:cs="Times New Roman"/>
          <w:szCs w:val="24"/>
        </w:rPr>
        <w:t xml:space="preserve"> indeed </w:t>
      </w:r>
      <w:r>
        <w:rPr>
          <w:rFonts w:cs="Times New Roman"/>
          <w:szCs w:val="24"/>
        </w:rPr>
        <w:t xml:space="preserve">be </w:t>
      </w:r>
      <w:r w:rsidRPr="00842E10">
        <w:rPr>
          <w:rFonts w:cs="Times New Roman"/>
          <w:szCs w:val="24"/>
        </w:rPr>
        <w:t xml:space="preserve">dependent on </w:t>
      </w:r>
      <w:r w:rsidRPr="00842E10">
        <w:rPr>
          <w:rFonts w:cs="Times New Roman"/>
          <w:i/>
          <w:szCs w:val="24"/>
        </w:rPr>
        <w:t>Party ideology</w:t>
      </w:r>
      <w:r w:rsidRPr="00842E10">
        <w:rPr>
          <w:rFonts w:cs="Times New Roman"/>
          <w:szCs w:val="24"/>
        </w:rPr>
        <w:t xml:space="preserve"> in line with Hypothesis 3. </w:t>
      </w:r>
      <w:r>
        <w:rPr>
          <w:rFonts w:cs="Times New Roman"/>
          <w:szCs w:val="24"/>
        </w:rPr>
        <w:t xml:space="preserve">Since veteran status is normally modeled dichotomously in the literature, we present our analyses with a dichotomous variable </w:t>
      </w:r>
      <w:r>
        <w:rPr>
          <w:rFonts w:cs="Times New Roman"/>
          <w:i/>
          <w:szCs w:val="24"/>
        </w:rPr>
        <w:t xml:space="preserve">Combat veteran </w:t>
      </w:r>
      <w:r>
        <w:rPr>
          <w:rFonts w:cs="Times New Roman"/>
          <w:szCs w:val="24"/>
        </w:rPr>
        <w:t xml:space="preserve">in Table 3 here and we present the findings of the models with a cubic root transformation of </w:t>
      </w:r>
      <w:r>
        <w:rPr>
          <w:rFonts w:cs="Times New Roman"/>
          <w:i/>
          <w:szCs w:val="24"/>
        </w:rPr>
        <w:t xml:space="preserve">Combat days </w:t>
      </w:r>
      <w:r>
        <w:rPr>
          <w:rFonts w:cs="Times New Roman"/>
          <w:szCs w:val="24"/>
        </w:rPr>
        <w:t>in Table A2 in the Online Appendix (see also the accompanying figures A2-A9 in the appendix)</w:t>
      </w:r>
      <w:r w:rsidRPr="00842E10">
        <w:rPr>
          <w:rFonts w:cs="Times New Roman"/>
          <w:szCs w:val="24"/>
        </w:rPr>
        <w:t>.</w:t>
      </w:r>
    </w:p>
    <w:p w14:paraId="7F80C422" w14:textId="510826EB" w:rsidR="00F24C0E" w:rsidRDefault="00F24C0E" w:rsidP="00A103CF">
      <w:pPr>
        <w:spacing w:line="480" w:lineRule="auto"/>
        <w:jc w:val="center"/>
        <w:rPr>
          <w:rFonts w:cs="Times New Roman"/>
          <w:szCs w:val="24"/>
        </w:rPr>
      </w:pPr>
      <w:r>
        <w:rPr>
          <w:rFonts w:cs="Times New Roman"/>
          <w:szCs w:val="24"/>
        </w:rPr>
        <w:t>[Table 3 about here]</w:t>
      </w:r>
    </w:p>
    <w:p w14:paraId="15F3D242" w14:textId="2C646720" w:rsidR="00F24C0E" w:rsidRPr="0003506A" w:rsidRDefault="00F24C0E" w:rsidP="00A103CF">
      <w:pPr>
        <w:spacing w:line="480" w:lineRule="auto"/>
      </w:pPr>
    </w:p>
    <w:p w14:paraId="71270DD9" w14:textId="77777777" w:rsidR="00F24C0E" w:rsidRPr="0003506A" w:rsidRDefault="00F24C0E" w:rsidP="001738F5">
      <w:pPr>
        <w:spacing w:line="480" w:lineRule="auto"/>
      </w:pPr>
      <w:r w:rsidRPr="0003506A">
        <w:rPr>
          <w:b/>
        </w:rPr>
        <w:t>Conclusions</w:t>
      </w:r>
    </w:p>
    <w:p w14:paraId="024B2D1B" w14:textId="77777777" w:rsidR="00F24C0E" w:rsidRPr="0003506A" w:rsidRDefault="00F24C0E" w:rsidP="001738F5">
      <w:pPr>
        <w:spacing w:line="480" w:lineRule="auto"/>
      </w:pPr>
      <w:r w:rsidRPr="0003506A">
        <w:t xml:space="preserve">Over the past decade, our understanding of the relationship between conflict, democratization, and elections has improved dramatically. We know more about the conditions under which armed </w:t>
      </w:r>
      <w:r w:rsidRPr="0003506A">
        <w:lastRenderedPageBreak/>
        <w:t>groups transform into political parties (Manning and Smith 2016); about the effect of timing of post-conflict elections on conflict relapse and reconstruction (Flores and Nooruddin 2012); or about the impact of competitiveness on the propensity for post-conflict electoral violence (Cederman, Skrede Gleditsch, and Hug 2013). Our understanding of voter choice in postwar societies, however, remains rather limited, particularly when it comes to voters’ evaluation of candidates’ records of war service. This is a serious shortcoming. Michel Foucault (1997: 15) famously turned Clausewitz’s dictum on its head and proposed that politics is a continuation of war by other means. Elections, however, are supposed to mark the end of war and the onset of peace. They are supposed to help postwar societies transform from armed conflict to democratic competition. If postwar voters, however, make their choices based on their own, their communities’ or electoral candidates’ war pasts, it is questionable to which extent such a transformation is genuine or even possible.</w:t>
      </w:r>
    </w:p>
    <w:p w14:paraId="190E0E3F" w14:textId="09E492FF" w:rsidR="00F24C0E" w:rsidRPr="0003506A" w:rsidRDefault="00F24C0E" w:rsidP="001738F5">
      <w:pPr>
        <w:spacing w:line="480" w:lineRule="auto"/>
        <w:ind w:firstLine="720"/>
      </w:pPr>
      <w:r w:rsidRPr="0003506A">
        <w:t>This article shed</w:t>
      </w:r>
      <w:r>
        <w:t>s</w:t>
      </w:r>
      <w:r w:rsidRPr="0003506A">
        <w:t xml:space="preserve"> light on that question by analyzing a uniquely detailed and valuable dataset combining information on the level of nearly four thousand electoral candidates and more than five hundred communities in two electoral cycles in Croatia. </w:t>
      </w:r>
      <w:r>
        <w:t>Although recent war past has remained electorally salient in Croatia through the efforts of political entrepreneurs on the ideological right</w:t>
      </w:r>
      <w:r w:rsidRPr="0003506A">
        <w:t xml:space="preserve">, </w:t>
      </w:r>
      <w:r>
        <w:t xml:space="preserve">we believe </w:t>
      </w:r>
      <w:r w:rsidRPr="0003506A">
        <w:t xml:space="preserve">Croatia should be considered a particularly difficult testing ground for our propositions. </w:t>
      </w:r>
      <w:r>
        <w:t>Post-conflict politicization of war violence and policy differentiation toward different social strata disproportionally affected by conflict is par for the course in most post-conflict societies. Moreover, Croatia’s</w:t>
      </w:r>
      <w:r w:rsidRPr="0003506A">
        <w:t xml:space="preserve"> War of Independence ended two decades prior to the observed elections and it ended with a clear victory where the vanquished side was largely forced into exile. In other words, the conflict was temporally distant and the ethnic/national cleavage at the root of the war was no longer existent. Nevertheless, our analysis convincingly shows that even </w:t>
      </w:r>
      <w:r w:rsidRPr="0003506A">
        <w:lastRenderedPageBreak/>
        <w:t>two decades after a seemingly resolved armed conflict, voters to a substantial extent base their electoral preferences on their communities’ and political candidates’ war pasts. Voters generally reward candidates with records of combat service. This relationship is, however, conditional on the exposure to war violence of voters’ communities and on voters’ and candidates’ ideological orientations. In areas more affected by war violence, combat veterans are electorally rewarded. In areas less affected by war violence, they are electorally punished. This divergence is particularly pronounced for war veteran candidates of nationalist rightwing parties. We believe this finding, particularly in light of the geographic and historical context of post-Yugoslav space, underscores the importance of the interaction between lived war experiences and political ideology in postwar societies.</w:t>
      </w:r>
      <w:r>
        <w:t xml:space="preserve"> Moreover, we believe all of these findings would have been even stronger had our study been conducted in a post-war polity with a more temporally close and potentially still unresolved conflict.</w:t>
      </w:r>
    </w:p>
    <w:p w14:paraId="4B454B86" w14:textId="20E7EC06" w:rsidR="00A63710" w:rsidRPr="0003506A" w:rsidRDefault="00F24C0E" w:rsidP="001738F5">
      <w:pPr>
        <w:spacing w:line="480" w:lineRule="auto"/>
        <w:ind w:firstLine="720"/>
      </w:pPr>
      <w:r w:rsidRPr="0003506A">
        <w:t>Although our findings are obviously context specific, we believe they offer a broad array of portable lessons across a range of postwar polities. Replicating our study in other cases would admittedly be difficult. Not all post-conflict societies have free and fair elections with fine-grained data made available and electoral rules advantageous for answering research questions of our interest in place. Finding reliable data on candidates’ war pasts is even more difficult – in Croatia, these data were available during a brief window of time.</w:t>
      </w:r>
      <w:r w:rsidRPr="0003506A">
        <w:rPr>
          <w:rStyle w:val="EndnoteReference"/>
        </w:rPr>
        <w:endnoteReference w:id="7"/>
      </w:r>
      <w:r w:rsidRPr="0003506A">
        <w:t xml:space="preserve"> </w:t>
      </w:r>
      <w:r w:rsidR="006B7D5C">
        <w:t xml:space="preserve">Although some may view the availability and public prominence of these data in Croatia as a factor heightening their electoral relevance that may make our findings not portable, we are of a different view. The availability of the registry of war veterans certainly made our job easier, but we do not believe it changes the general thrust of our findings: when voters know </w:t>
      </w:r>
      <w:r w:rsidR="00090327">
        <w:t>a candidate</w:t>
      </w:r>
      <w:r w:rsidR="006B7D5C">
        <w:t>’</w:t>
      </w:r>
      <w:r w:rsidR="00090327">
        <w:t>s</w:t>
      </w:r>
      <w:r w:rsidR="006B7D5C">
        <w:t xml:space="preserve"> war past, it </w:t>
      </w:r>
      <w:r w:rsidR="00090327">
        <w:t>significantly affects</w:t>
      </w:r>
      <w:r w:rsidR="006B7D5C">
        <w:t xml:space="preserve"> their electoral choice. Besides, most candidates’ war pasts are generally known in local communities, no</w:t>
      </w:r>
      <w:r w:rsidR="00090327">
        <w:t>t least</w:t>
      </w:r>
      <w:r w:rsidR="006B7D5C">
        <w:t xml:space="preserve"> </w:t>
      </w:r>
      <w:r w:rsidR="006B7D5C">
        <w:lastRenderedPageBreak/>
        <w:t xml:space="preserve">because those candidates who fought in the war make sure to highlight it during the campaign. </w:t>
      </w:r>
      <w:r w:rsidR="00090327">
        <w:t>All of these are reasons why we believe</w:t>
      </w:r>
      <w:r w:rsidR="0041052C" w:rsidRPr="0003506A">
        <w:t xml:space="preserve"> that our principal observations would likely be confirmed in other similar settings. Wars are transformative experiences for individuals and </w:t>
      </w:r>
      <w:r w:rsidR="00962EB7" w:rsidRPr="0003506A">
        <w:t xml:space="preserve">their </w:t>
      </w:r>
      <w:r w:rsidR="0041052C" w:rsidRPr="0003506A">
        <w:t>communities.</w:t>
      </w:r>
      <w:r w:rsidR="00962EB7" w:rsidRPr="0003506A">
        <w:t xml:space="preserve"> They give people lessons about the world and about other people around them. They alter their political and economic needs and preferences. It is therefore perfectly understandable that voters would base at least part of their postwar electoral choices on those war experiences – their own and the experiences of political candidates. Just as it is perfectly understandable that this relationship would be conditioned by political ideology, particularly if that ideology is somehow related to the nature of the ended conflict. </w:t>
      </w:r>
      <w:r w:rsidR="00DD2765" w:rsidRPr="0003506A">
        <w:t>Whether this allows postwar societies to move forward and leave past in the past, however, is an open question.</w:t>
      </w:r>
    </w:p>
    <w:p w14:paraId="3C6F2CD8" w14:textId="77777777" w:rsidR="00DD2765" w:rsidRPr="0003506A" w:rsidRDefault="00DD2765" w:rsidP="001738F5">
      <w:pPr>
        <w:spacing w:line="480" w:lineRule="auto"/>
      </w:pPr>
    </w:p>
    <w:p w14:paraId="10183A28" w14:textId="77777777" w:rsidR="00DD2765" w:rsidRPr="0003506A" w:rsidRDefault="00DD2765" w:rsidP="001738F5">
      <w:pPr>
        <w:spacing w:line="480" w:lineRule="auto"/>
      </w:pPr>
    </w:p>
    <w:p w14:paraId="117D670E" w14:textId="6CD50774" w:rsidR="00DD2765" w:rsidRPr="00F24C0E" w:rsidRDefault="00DD2765" w:rsidP="00F24C0E">
      <w:pPr>
        <w:spacing w:line="480" w:lineRule="auto"/>
        <w:rPr>
          <w:b/>
        </w:rPr>
        <w:sectPr w:rsidR="00DD2765" w:rsidRPr="00F24C0E" w:rsidSect="00F24C0E">
          <w:footerReference w:type="default" r:id="rId12"/>
          <w:endnotePr>
            <w:numFmt w:val="decimal"/>
          </w:endnotePr>
          <w:type w:val="continuous"/>
          <w:pgSz w:w="12240" w:h="15840" w:code="1"/>
          <w:pgMar w:top="1440" w:right="1440" w:bottom="1440" w:left="1440" w:header="720" w:footer="720" w:gutter="0"/>
          <w:cols w:space="720"/>
          <w:docGrid w:linePitch="360"/>
        </w:sectPr>
      </w:pPr>
      <w:r w:rsidRPr="0003506A">
        <w:br w:type="page"/>
      </w:r>
      <w:r w:rsidR="00F24C0E">
        <w:lastRenderedPageBreak/>
        <w:t xml:space="preserve"> </w:t>
      </w:r>
      <w:r w:rsidR="00F24C0E">
        <w:rPr>
          <w:b/>
        </w:rPr>
        <w:t>Notes</w:t>
      </w:r>
    </w:p>
    <w:p w14:paraId="191D6FE8" w14:textId="77777777" w:rsidR="00F24C0E" w:rsidRPr="0003506A" w:rsidRDefault="00F24C0E" w:rsidP="00F24C0E">
      <w:pPr>
        <w:spacing w:line="480" w:lineRule="auto"/>
      </w:pPr>
      <w:r w:rsidRPr="0003506A">
        <w:rPr>
          <w:b/>
        </w:rPr>
        <w:lastRenderedPageBreak/>
        <w:t>References</w:t>
      </w:r>
    </w:p>
    <w:p w14:paraId="195AE848" w14:textId="77777777" w:rsidR="00F24C0E" w:rsidRDefault="00F24C0E" w:rsidP="00F24C0E">
      <w:pPr>
        <w:spacing w:line="480" w:lineRule="auto"/>
        <w:ind w:left="720" w:hanging="720"/>
        <w:rPr>
          <w:rFonts w:cs="Times New Roman"/>
          <w:szCs w:val="24"/>
        </w:rPr>
      </w:pPr>
      <w:r w:rsidRPr="00333C0B">
        <w:rPr>
          <w:rFonts w:cs="Times New Roman"/>
          <w:szCs w:val="24"/>
        </w:rPr>
        <w:t xml:space="preserve">Allik, Mirjam. 2015. “Who </w:t>
      </w:r>
      <w:r>
        <w:rPr>
          <w:rFonts w:cs="Times New Roman"/>
          <w:szCs w:val="24"/>
        </w:rPr>
        <w:t>s</w:t>
      </w:r>
      <w:r w:rsidRPr="00333C0B">
        <w:rPr>
          <w:rFonts w:cs="Times New Roman"/>
          <w:szCs w:val="24"/>
        </w:rPr>
        <w:t xml:space="preserve">tands in the </w:t>
      </w:r>
      <w:r>
        <w:rPr>
          <w:rFonts w:cs="Times New Roman"/>
          <w:szCs w:val="24"/>
        </w:rPr>
        <w:t>w</w:t>
      </w:r>
      <w:r w:rsidRPr="00333C0B">
        <w:rPr>
          <w:rFonts w:cs="Times New Roman"/>
          <w:szCs w:val="24"/>
        </w:rPr>
        <w:t xml:space="preserve">ay of </w:t>
      </w:r>
      <w:r>
        <w:rPr>
          <w:rFonts w:cs="Times New Roman"/>
          <w:szCs w:val="24"/>
        </w:rPr>
        <w:t>w</w:t>
      </w:r>
      <w:r w:rsidRPr="00333C0B">
        <w:rPr>
          <w:rFonts w:cs="Times New Roman"/>
          <w:szCs w:val="24"/>
        </w:rPr>
        <w:t xml:space="preserve">omen? Open vs. </w:t>
      </w:r>
      <w:r>
        <w:rPr>
          <w:rFonts w:cs="Times New Roman"/>
          <w:szCs w:val="24"/>
        </w:rPr>
        <w:t>c</w:t>
      </w:r>
      <w:r w:rsidRPr="00333C0B">
        <w:rPr>
          <w:rFonts w:cs="Times New Roman"/>
          <w:szCs w:val="24"/>
        </w:rPr>
        <w:t xml:space="preserve">losed </w:t>
      </w:r>
      <w:r>
        <w:rPr>
          <w:rFonts w:cs="Times New Roman"/>
          <w:szCs w:val="24"/>
        </w:rPr>
        <w:t>l</w:t>
      </w:r>
      <w:r w:rsidRPr="00333C0B">
        <w:rPr>
          <w:rFonts w:cs="Times New Roman"/>
          <w:szCs w:val="24"/>
        </w:rPr>
        <w:t xml:space="preserve">ists and </w:t>
      </w:r>
      <w:r>
        <w:rPr>
          <w:rFonts w:cs="Times New Roman"/>
          <w:szCs w:val="24"/>
        </w:rPr>
        <w:t>c</w:t>
      </w:r>
      <w:r w:rsidRPr="00333C0B">
        <w:rPr>
          <w:rFonts w:cs="Times New Roman"/>
          <w:szCs w:val="24"/>
        </w:rPr>
        <w:t xml:space="preserve">andidate </w:t>
      </w:r>
      <w:r>
        <w:rPr>
          <w:rFonts w:cs="Times New Roman"/>
          <w:szCs w:val="24"/>
        </w:rPr>
        <w:t>g</w:t>
      </w:r>
      <w:r w:rsidRPr="00333C0B">
        <w:rPr>
          <w:rFonts w:cs="Times New Roman"/>
          <w:szCs w:val="24"/>
        </w:rPr>
        <w:t xml:space="preserve">ender in Estonia.” </w:t>
      </w:r>
      <w:r w:rsidRPr="00333C0B">
        <w:rPr>
          <w:rFonts w:cs="Times New Roman"/>
          <w:i/>
          <w:szCs w:val="24"/>
        </w:rPr>
        <w:t>East European Politics</w:t>
      </w:r>
      <w:r w:rsidRPr="00333C0B">
        <w:rPr>
          <w:rFonts w:cs="Times New Roman"/>
          <w:szCs w:val="24"/>
        </w:rPr>
        <w:t xml:space="preserve"> 31(4): 429–</w:t>
      </w:r>
      <w:r>
        <w:rPr>
          <w:rFonts w:cs="Times New Roman"/>
          <w:szCs w:val="24"/>
        </w:rPr>
        <w:t>4</w:t>
      </w:r>
      <w:r w:rsidRPr="00333C0B">
        <w:rPr>
          <w:rFonts w:cs="Times New Roman"/>
          <w:szCs w:val="24"/>
        </w:rPr>
        <w:t>51.</w:t>
      </w:r>
    </w:p>
    <w:p w14:paraId="4F8DD332"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André, Audrey, Bram Wauters, and Jean-Benoit Pilet. 2012. “It’s not only about lists: Explaining preference voting in Belgium.” </w:t>
      </w:r>
      <w:r w:rsidRPr="0003506A">
        <w:rPr>
          <w:rFonts w:cs="Times New Roman"/>
          <w:i/>
          <w:szCs w:val="24"/>
        </w:rPr>
        <w:t>Journal of Elections, Public Opinion and Parties</w:t>
      </w:r>
      <w:r w:rsidRPr="0003506A">
        <w:rPr>
          <w:rFonts w:cs="Times New Roman"/>
          <w:szCs w:val="24"/>
        </w:rPr>
        <w:t xml:space="preserve"> 22(3): 293–313.</w:t>
      </w:r>
    </w:p>
    <w:p w14:paraId="0EEBF21E"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Arzheimer, Kai and Jocelyn Evans. 2012. “Geolocation and voting: Candidate-voter distance effects on party choice in the 2010 general election in England.” </w:t>
      </w:r>
      <w:r w:rsidRPr="0003506A">
        <w:rPr>
          <w:rFonts w:cs="Times New Roman"/>
          <w:i/>
          <w:szCs w:val="24"/>
        </w:rPr>
        <w:t>Political Geography</w:t>
      </w:r>
      <w:r w:rsidRPr="0003506A">
        <w:rPr>
          <w:rFonts w:cs="Times New Roman"/>
          <w:szCs w:val="24"/>
        </w:rPr>
        <w:t xml:space="preserve"> 31(5): 301–310.</w:t>
      </w:r>
    </w:p>
    <w:p w14:paraId="0CB43148"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Bagić, Dragan and Kruno Kardov. 2018. “Politička participacija i stranačke preferencije ratnih veterana u Hrvatskoj.” </w:t>
      </w:r>
      <w:r w:rsidRPr="0003506A">
        <w:rPr>
          <w:rFonts w:cs="Times New Roman"/>
          <w:i/>
          <w:szCs w:val="24"/>
        </w:rPr>
        <w:t>Politička misao</w:t>
      </w:r>
      <w:r w:rsidRPr="0003506A">
        <w:rPr>
          <w:rFonts w:cs="Times New Roman"/>
          <w:szCs w:val="24"/>
        </w:rPr>
        <w:t xml:space="preserve"> 55(3): 82–103.</w:t>
      </w:r>
    </w:p>
    <w:p w14:paraId="77D35C76"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Blattman, Christopher. 2009. “From violence to voting: War and political participation in Uganda.” </w:t>
      </w:r>
      <w:r w:rsidRPr="0003506A">
        <w:rPr>
          <w:rFonts w:cs="Times New Roman"/>
          <w:i/>
          <w:szCs w:val="24"/>
        </w:rPr>
        <w:t>American Political Science Review</w:t>
      </w:r>
      <w:r w:rsidRPr="0003506A">
        <w:rPr>
          <w:rFonts w:cs="Times New Roman"/>
          <w:szCs w:val="24"/>
        </w:rPr>
        <w:t xml:space="preserve"> 103(2): 231–247.</w:t>
      </w:r>
    </w:p>
    <w:p w14:paraId="028F1BBF"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Blom-Hansen, Jens, Jørgen Elklit, Søren Serritzlew, and Louise Riis Villadsen. 2016. “Ballot position and election results: Evidence from a natural experiment.” </w:t>
      </w:r>
      <w:r w:rsidRPr="0003506A">
        <w:rPr>
          <w:rFonts w:cs="Times New Roman"/>
          <w:i/>
          <w:szCs w:val="24"/>
        </w:rPr>
        <w:t>Electoral Studies</w:t>
      </w:r>
      <w:r w:rsidRPr="0003506A">
        <w:rPr>
          <w:rFonts w:cs="Times New Roman"/>
          <w:szCs w:val="24"/>
        </w:rPr>
        <w:t xml:space="preserve"> 44: 172–183.</w:t>
      </w:r>
    </w:p>
    <w:p w14:paraId="4728320C"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Brady, David and Leon Rappoport. 1973. “Violence and Vietnam: A comparison between attitudes of civilians and veterans.” </w:t>
      </w:r>
      <w:r w:rsidRPr="0003506A">
        <w:rPr>
          <w:rFonts w:cs="Times New Roman"/>
          <w:i/>
          <w:szCs w:val="24"/>
        </w:rPr>
        <w:t xml:space="preserve">Human Relations </w:t>
      </w:r>
      <w:r w:rsidRPr="0003506A">
        <w:rPr>
          <w:rFonts w:cs="Times New Roman"/>
          <w:szCs w:val="24"/>
        </w:rPr>
        <w:t>26(6): 735–752.</w:t>
      </w:r>
    </w:p>
    <w:p w14:paraId="6C14D106"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Campbell, Angus, Philip E. Converse, Warren E. Miller, and Donald E. Stokes. 1960. </w:t>
      </w:r>
      <w:r w:rsidRPr="0003506A">
        <w:rPr>
          <w:rFonts w:cs="Times New Roman"/>
          <w:i/>
          <w:szCs w:val="24"/>
        </w:rPr>
        <w:t>The American Voter</w:t>
      </w:r>
      <w:r w:rsidRPr="0003506A">
        <w:rPr>
          <w:rFonts w:cs="Times New Roman"/>
          <w:szCs w:val="24"/>
        </w:rPr>
        <w:t>. New York, NY: John Wiley.</w:t>
      </w:r>
    </w:p>
    <w:p w14:paraId="75A3BBC7"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Capussela, Andrea Lorenzo. 2015. </w:t>
      </w:r>
      <w:r w:rsidRPr="0003506A">
        <w:rPr>
          <w:rFonts w:cs="Times New Roman"/>
          <w:i/>
          <w:szCs w:val="24"/>
        </w:rPr>
        <w:t>State-building in Kosovo: Democracy, Corruption and the EU in the Balkans.</w:t>
      </w:r>
      <w:r w:rsidRPr="0003506A">
        <w:rPr>
          <w:rFonts w:cs="Times New Roman"/>
          <w:szCs w:val="24"/>
        </w:rPr>
        <w:t xml:space="preserve"> London: I.B. Tauris.</w:t>
      </w:r>
    </w:p>
    <w:p w14:paraId="2567B103" w14:textId="77777777" w:rsidR="00F24C0E" w:rsidRPr="0003506A" w:rsidRDefault="00F24C0E" w:rsidP="00F24C0E">
      <w:pPr>
        <w:spacing w:line="480" w:lineRule="auto"/>
        <w:ind w:left="720" w:hanging="720"/>
        <w:rPr>
          <w:rFonts w:cs="Times New Roman"/>
          <w:szCs w:val="24"/>
        </w:rPr>
      </w:pPr>
      <w:r w:rsidRPr="0003506A">
        <w:rPr>
          <w:rFonts w:cs="Times New Roman"/>
          <w:szCs w:val="24"/>
        </w:rPr>
        <w:lastRenderedPageBreak/>
        <w:t xml:space="preserve">Costalli, Stefano and Andrea Ruggeri. 2019. “The long-term electoral legacies of civil war in young democracies: Italy, 1946–1968.” </w:t>
      </w:r>
      <w:r w:rsidRPr="0003506A">
        <w:rPr>
          <w:rFonts w:cs="Times New Roman"/>
          <w:i/>
          <w:szCs w:val="24"/>
        </w:rPr>
        <w:t>Comparative Political Studies</w:t>
      </w:r>
      <w:r w:rsidRPr="0003506A">
        <w:rPr>
          <w:rFonts w:cs="Times New Roman"/>
          <w:szCs w:val="24"/>
        </w:rPr>
        <w:t xml:space="preserve"> 52(6): 927–961.</w:t>
      </w:r>
    </w:p>
    <w:p w14:paraId="15FE9357" w14:textId="77777777" w:rsidR="00F24C0E" w:rsidRDefault="00F24C0E" w:rsidP="00F24C0E">
      <w:pPr>
        <w:spacing w:line="480" w:lineRule="auto"/>
        <w:ind w:left="720" w:hanging="720"/>
        <w:rPr>
          <w:rFonts w:cs="Times New Roman"/>
          <w:szCs w:val="24"/>
        </w:rPr>
      </w:pPr>
      <w:r w:rsidRPr="0003506A">
        <w:rPr>
          <w:rFonts w:cs="Times New Roman"/>
          <w:szCs w:val="24"/>
        </w:rPr>
        <w:t xml:space="preserve">Dahlgaard, Jens Olav. 2016. “You just made it: Individual incumbency advantage under proportional representation.” </w:t>
      </w:r>
      <w:r w:rsidRPr="0003506A">
        <w:rPr>
          <w:rFonts w:cs="Times New Roman"/>
          <w:i/>
          <w:szCs w:val="24"/>
        </w:rPr>
        <w:t>Electoral Studies</w:t>
      </w:r>
      <w:r w:rsidRPr="0003506A">
        <w:rPr>
          <w:rFonts w:cs="Times New Roman"/>
          <w:szCs w:val="24"/>
        </w:rPr>
        <w:t xml:space="preserve"> 44: 319–328.</w:t>
      </w:r>
    </w:p>
    <w:p w14:paraId="62671C83" w14:textId="77777777" w:rsidR="00F24C0E" w:rsidRPr="0003506A" w:rsidRDefault="00F24C0E" w:rsidP="00F24C0E">
      <w:pPr>
        <w:spacing w:line="480" w:lineRule="auto"/>
        <w:ind w:left="720" w:hanging="720"/>
        <w:rPr>
          <w:rFonts w:cs="Times New Roman"/>
          <w:szCs w:val="24"/>
        </w:rPr>
      </w:pPr>
      <w:r w:rsidRPr="00333C0B">
        <w:rPr>
          <w:rFonts w:cs="Times New Roman"/>
          <w:szCs w:val="24"/>
        </w:rPr>
        <w:t xml:space="preserve">Dettman, Sebastian, Thomas B. Pepinsky, and Jan H. Pierskalla. 2017. “Incumbency </w:t>
      </w:r>
      <w:r>
        <w:rPr>
          <w:rFonts w:cs="Times New Roman"/>
          <w:szCs w:val="24"/>
        </w:rPr>
        <w:t>a</w:t>
      </w:r>
      <w:r w:rsidRPr="00333C0B">
        <w:rPr>
          <w:rFonts w:cs="Times New Roman"/>
          <w:szCs w:val="24"/>
        </w:rPr>
        <w:t xml:space="preserve">dvantage and </w:t>
      </w:r>
      <w:r>
        <w:rPr>
          <w:rFonts w:cs="Times New Roman"/>
          <w:szCs w:val="24"/>
        </w:rPr>
        <w:t>c</w:t>
      </w:r>
      <w:r w:rsidRPr="00333C0B">
        <w:rPr>
          <w:rFonts w:cs="Times New Roman"/>
          <w:szCs w:val="24"/>
        </w:rPr>
        <w:t xml:space="preserve">andidate </w:t>
      </w:r>
      <w:r>
        <w:rPr>
          <w:rFonts w:cs="Times New Roman"/>
          <w:szCs w:val="24"/>
        </w:rPr>
        <w:t>c</w:t>
      </w:r>
      <w:r w:rsidRPr="00333C0B">
        <w:rPr>
          <w:rFonts w:cs="Times New Roman"/>
          <w:szCs w:val="24"/>
        </w:rPr>
        <w:t xml:space="preserve">haracteristics in </w:t>
      </w:r>
      <w:r>
        <w:rPr>
          <w:rFonts w:cs="Times New Roman"/>
          <w:szCs w:val="24"/>
        </w:rPr>
        <w:t>o</w:t>
      </w:r>
      <w:r w:rsidRPr="00333C0B">
        <w:rPr>
          <w:rFonts w:cs="Times New Roman"/>
          <w:szCs w:val="24"/>
        </w:rPr>
        <w:t>pen-</w:t>
      </w:r>
      <w:r>
        <w:rPr>
          <w:rFonts w:cs="Times New Roman"/>
          <w:szCs w:val="24"/>
        </w:rPr>
        <w:t>l</w:t>
      </w:r>
      <w:r w:rsidRPr="00333C0B">
        <w:rPr>
          <w:rFonts w:cs="Times New Roman"/>
          <w:szCs w:val="24"/>
        </w:rPr>
        <w:t xml:space="preserve">ist </w:t>
      </w:r>
      <w:r>
        <w:rPr>
          <w:rFonts w:cs="Times New Roman"/>
          <w:szCs w:val="24"/>
        </w:rPr>
        <w:t>p</w:t>
      </w:r>
      <w:r w:rsidRPr="00333C0B">
        <w:rPr>
          <w:rFonts w:cs="Times New Roman"/>
          <w:szCs w:val="24"/>
        </w:rPr>
        <w:t xml:space="preserve">roportional </w:t>
      </w:r>
      <w:r>
        <w:rPr>
          <w:rFonts w:cs="Times New Roman"/>
          <w:szCs w:val="24"/>
        </w:rPr>
        <w:t>r</w:t>
      </w:r>
      <w:r w:rsidRPr="00333C0B">
        <w:rPr>
          <w:rFonts w:cs="Times New Roman"/>
          <w:szCs w:val="24"/>
        </w:rPr>
        <w:t xml:space="preserve">epresentation </w:t>
      </w:r>
      <w:r>
        <w:rPr>
          <w:rFonts w:cs="Times New Roman"/>
          <w:szCs w:val="24"/>
        </w:rPr>
        <w:t>s</w:t>
      </w:r>
      <w:r w:rsidRPr="00333C0B">
        <w:rPr>
          <w:rFonts w:cs="Times New Roman"/>
          <w:szCs w:val="24"/>
        </w:rPr>
        <w:t xml:space="preserve">ystems: Evidence from Indonesia.” </w:t>
      </w:r>
      <w:r w:rsidRPr="00333C0B">
        <w:rPr>
          <w:rFonts w:cs="Times New Roman"/>
          <w:i/>
          <w:szCs w:val="24"/>
        </w:rPr>
        <w:t>Electoral Studies</w:t>
      </w:r>
      <w:r w:rsidRPr="00333C0B">
        <w:rPr>
          <w:rFonts w:cs="Times New Roman"/>
          <w:szCs w:val="24"/>
        </w:rPr>
        <w:t xml:space="preserve"> 48: 111–20.</w:t>
      </w:r>
    </w:p>
    <w:p w14:paraId="28BDB85D"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Devroe, Robin and Bram Wauters. 2018. “Political gender stereotypes in a list-PR system with a high share of women MPs: Competent men versus leftist women?” </w:t>
      </w:r>
      <w:r w:rsidRPr="0003506A">
        <w:rPr>
          <w:rFonts w:cs="Times New Roman"/>
          <w:i/>
          <w:szCs w:val="24"/>
        </w:rPr>
        <w:t xml:space="preserve">Political Research Quarterly </w:t>
      </w:r>
      <w:r w:rsidRPr="0003506A">
        <w:rPr>
          <w:rFonts w:cs="Times New Roman"/>
          <w:szCs w:val="24"/>
        </w:rPr>
        <w:t>71(4): 788–800.</w:t>
      </w:r>
    </w:p>
    <w:p w14:paraId="11569B69" w14:textId="77777777" w:rsidR="00F24C0E" w:rsidRPr="0003506A" w:rsidRDefault="00F24C0E" w:rsidP="00F24C0E">
      <w:pPr>
        <w:spacing w:line="480" w:lineRule="auto"/>
        <w:ind w:left="720" w:hanging="720"/>
      </w:pPr>
      <w:r w:rsidRPr="0003506A">
        <w:t xml:space="preserve">Dolenec, Danijela. 2017. “A soldier’s state? Veterans and the welfare regime in Croatia.” </w:t>
      </w:r>
      <w:r w:rsidRPr="0003506A">
        <w:rPr>
          <w:i/>
        </w:rPr>
        <w:t>Anali Hrvatskog politološkog društva</w:t>
      </w:r>
      <w:r w:rsidRPr="0003506A">
        <w:t xml:space="preserve"> 14: 55</w:t>
      </w:r>
      <w:r w:rsidRPr="0003506A">
        <w:rPr>
          <w:rFonts w:cs="Times New Roman"/>
          <w:szCs w:val="24"/>
        </w:rPr>
        <w:t>–</w:t>
      </w:r>
      <w:r w:rsidRPr="0003506A">
        <w:t>77.</w:t>
      </w:r>
    </w:p>
    <w:p w14:paraId="4294B388" w14:textId="77777777" w:rsidR="00F24C0E" w:rsidRPr="0003506A" w:rsidRDefault="00F24C0E" w:rsidP="00F24C0E">
      <w:pPr>
        <w:spacing w:line="480" w:lineRule="auto"/>
        <w:ind w:left="720" w:hanging="720"/>
      </w:pPr>
      <w:r w:rsidRPr="0003506A">
        <w:t xml:space="preserve">Flores, Thomas Edward and Nooruddin, Irfan. 2012. “The effect of elections on postconflict peace and reconstruction.” </w:t>
      </w:r>
      <w:r w:rsidRPr="0003506A">
        <w:rPr>
          <w:i/>
        </w:rPr>
        <w:t>Journal of Politics</w:t>
      </w:r>
      <w:r w:rsidRPr="0003506A">
        <w:t xml:space="preserve"> 74(2): 558</w:t>
      </w:r>
      <w:r w:rsidRPr="0003506A">
        <w:rPr>
          <w:rFonts w:cs="Times New Roman"/>
          <w:szCs w:val="24"/>
        </w:rPr>
        <w:t>–</w:t>
      </w:r>
      <w:r w:rsidRPr="0003506A">
        <w:t>570.</w:t>
      </w:r>
    </w:p>
    <w:p w14:paraId="5DB83E93" w14:textId="77777777" w:rsidR="00F24C0E" w:rsidRPr="0003506A" w:rsidRDefault="00F24C0E" w:rsidP="00F24C0E">
      <w:pPr>
        <w:spacing w:line="480" w:lineRule="auto"/>
        <w:ind w:left="720" w:hanging="720"/>
      </w:pPr>
      <w:r w:rsidRPr="0003506A">
        <w:t xml:space="preserve">Foucault, Michel. 1997. </w:t>
      </w:r>
      <w:r w:rsidRPr="0003506A">
        <w:rPr>
          <w:i/>
        </w:rPr>
        <w:t xml:space="preserve">Society Must Be Defended: Lectures at the </w:t>
      </w:r>
      <w:r w:rsidRPr="0003506A">
        <w:rPr>
          <w:rFonts w:cs="Times New Roman"/>
          <w:i/>
        </w:rPr>
        <w:t>Collège</w:t>
      </w:r>
      <w:r w:rsidRPr="0003506A">
        <w:rPr>
          <w:i/>
        </w:rPr>
        <w:t xml:space="preserve"> de France, 1975-1976.</w:t>
      </w:r>
      <w:r w:rsidRPr="0003506A">
        <w:t xml:space="preserve"> New York: Picador.</w:t>
      </w:r>
    </w:p>
    <w:p w14:paraId="004562E6" w14:textId="77777777" w:rsidR="00F24C0E" w:rsidRPr="0003506A" w:rsidRDefault="00F24C0E" w:rsidP="00F24C0E">
      <w:pPr>
        <w:spacing w:line="480" w:lineRule="auto"/>
        <w:ind w:left="720" w:hanging="720"/>
      </w:pPr>
      <w:r w:rsidRPr="0003506A">
        <w:t xml:space="preserve">Fulton, Sarah A. 2014. “When gender matters: Macro-dynamics and micro-mechanisms.” </w:t>
      </w:r>
      <w:r w:rsidRPr="0003506A">
        <w:rPr>
          <w:i/>
        </w:rPr>
        <w:t>Political Behavior</w:t>
      </w:r>
      <w:r w:rsidRPr="0003506A">
        <w:t xml:space="preserve"> 36(3): 605–630.</w:t>
      </w:r>
    </w:p>
    <w:p w14:paraId="00EFCEB3" w14:textId="77777777" w:rsidR="00F24C0E" w:rsidRPr="0003506A" w:rsidRDefault="00F24C0E" w:rsidP="00F24C0E">
      <w:pPr>
        <w:spacing w:line="480" w:lineRule="auto"/>
        <w:ind w:left="720" w:hanging="720"/>
      </w:pPr>
      <w:r w:rsidRPr="0003506A">
        <w:t xml:space="preserve">Glaurdić, Josip and Vuk Vuković. 2016. “Voting after war: Legacy of conflict and the economy as determinants of electoral support in Croatia.” </w:t>
      </w:r>
      <w:r w:rsidRPr="0003506A">
        <w:rPr>
          <w:i/>
        </w:rPr>
        <w:t>Electoral Studies</w:t>
      </w:r>
      <w:r w:rsidRPr="0003506A">
        <w:t xml:space="preserve"> 42: 135</w:t>
      </w:r>
      <w:r w:rsidRPr="0003506A">
        <w:rPr>
          <w:rFonts w:cs="Times New Roman"/>
          <w:szCs w:val="24"/>
        </w:rPr>
        <w:t>–</w:t>
      </w:r>
      <w:r w:rsidRPr="0003506A">
        <w:t>145.</w:t>
      </w:r>
    </w:p>
    <w:p w14:paraId="0AD964E6" w14:textId="77777777" w:rsidR="00F24C0E" w:rsidRPr="0003506A" w:rsidRDefault="00F24C0E" w:rsidP="00F24C0E">
      <w:pPr>
        <w:spacing w:line="480" w:lineRule="auto"/>
        <w:ind w:left="720" w:hanging="720"/>
      </w:pPr>
      <w:r w:rsidRPr="0003506A">
        <w:t xml:space="preserve">Górecki, Maciej A. and Michael Marsh. 2011. “Not just ‘friends and neighbours’: Canvassing, geographic proximity and voter choice.” </w:t>
      </w:r>
      <w:r w:rsidRPr="0003506A">
        <w:rPr>
          <w:i/>
        </w:rPr>
        <w:t>European Journal of Political Research</w:t>
      </w:r>
      <w:r w:rsidRPr="0003506A">
        <w:t xml:space="preserve"> 51(5): 563</w:t>
      </w:r>
      <w:r w:rsidRPr="0003506A">
        <w:rPr>
          <w:rFonts w:cs="Times New Roman"/>
          <w:szCs w:val="24"/>
        </w:rPr>
        <w:t>–</w:t>
      </w:r>
      <w:r w:rsidRPr="0003506A">
        <w:t>582.</w:t>
      </w:r>
    </w:p>
    <w:p w14:paraId="5100926C" w14:textId="77777777" w:rsidR="00F24C0E" w:rsidRPr="0003506A" w:rsidRDefault="00F24C0E" w:rsidP="00F24C0E">
      <w:pPr>
        <w:spacing w:line="480" w:lineRule="auto"/>
        <w:ind w:left="720" w:hanging="720"/>
      </w:pPr>
      <w:r w:rsidRPr="0003506A">
        <w:lastRenderedPageBreak/>
        <w:t xml:space="preserve">Grossman, Guy, Devorah Manekin, and Dan Miodownik. 2015. “The political legacies of combat: Attitudes toward war and peace among Israeli ex-combatants.” </w:t>
      </w:r>
      <w:r w:rsidRPr="0003506A">
        <w:rPr>
          <w:i/>
        </w:rPr>
        <w:t>International Organization</w:t>
      </w:r>
      <w:r w:rsidRPr="0003506A">
        <w:t xml:space="preserve"> 69(4): 981</w:t>
      </w:r>
      <w:r w:rsidRPr="0003506A">
        <w:rPr>
          <w:rFonts w:cs="Times New Roman"/>
          <w:szCs w:val="24"/>
        </w:rPr>
        <w:t>–</w:t>
      </w:r>
      <w:r w:rsidRPr="0003506A">
        <w:t>1009.</w:t>
      </w:r>
    </w:p>
    <w:p w14:paraId="1DFE279B"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Hadzic, Dino, David Carlson, and Margit Tavits. 2020. “How exposure to violence affects ethnic voting.” </w:t>
      </w:r>
      <w:r w:rsidRPr="0003506A">
        <w:rPr>
          <w:rFonts w:cs="Times New Roman"/>
          <w:i/>
          <w:szCs w:val="24"/>
        </w:rPr>
        <w:t xml:space="preserve">British Journal of Political Science </w:t>
      </w:r>
      <w:r w:rsidRPr="0003506A">
        <w:rPr>
          <w:rFonts w:cs="Times New Roman"/>
          <w:szCs w:val="24"/>
        </w:rPr>
        <w:t>50(1): 345–362.</w:t>
      </w:r>
    </w:p>
    <w:p w14:paraId="3A422E24"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Hayes, Danny. 2005. “Candidate qualities through a partisan lens: A theory of trait ownership. </w:t>
      </w:r>
      <w:r w:rsidRPr="0003506A">
        <w:rPr>
          <w:rFonts w:cs="Times New Roman"/>
          <w:i/>
          <w:szCs w:val="24"/>
        </w:rPr>
        <w:t>American Journal of Political Science</w:t>
      </w:r>
      <w:r w:rsidRPr="0003506A">
        <w:rPr>
          <w:rFonts w:cs="Times New Roman"/>
          <w:szCs w:val="24"/>
        </w:rPr>
        <w:t xml:space="preserve"> 49(4): 908–923.</w:t>
      </w:r>
    </w:p>
    <w:p w14:paraId="17F0E3D6"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Heath, Oliver. 2015. “Policy representation, social representation and class voting in Britain.” </w:t>
      </w:r>
      <w:r w:rsidRPr="0003506A">
        <w:rPr>
          <w:rFonts w:cs="Times New Roman"/>
          <w:i/>
          <w:szCs w:val="24"/>
        </w:rPr>
        <w:t xml:space="preserve">British Journal of Political Science </w:t>
      </w:r>
      <w:r w:rsidRPr="0003506A">
        <w:rPr>
          <w:rFonts w:cs="Times New Roman"/>
          <w:szCs w:val="24"/>
        </w:rPr>
        <w:t>45(1): 173–193.</w:t>
      </w:r>
    </w:p>
    <w:p w14:paraId="0F614A88"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Heath, Oliver, Gilles Verniers, and Sanjay Kumar. 2015. “Do Muslim voters prefer Muslim candidates? Co-religiosity and voting behavior in India.” </w:t>
      </w:r>
      <w:r w:rsidRPr="0003506A">
        <w:rPr>
          <w:rFonts w:cs="Times New Roman"/>
          <w:i/>
          <w:szCs w:val="24"/>
        </w:rPr>
        <w:t>Electoral Studies</w:t>
      </w:r>
      <w:r w:rsidRPr="0003506A">
        <w:rPr>
          <w:rFonts w:cs="Times New Roman"/>
          <w:szCs w:val="24"/>
        </w:rPr>
        <w:t xml:space="preserve"> 38: 10-18.</w:t>
      </w:r>
    </w:p>
    <w:p w14:paraId="22750951"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Jankowski, Michael. 2016. “Voting for locals: Voters’ information processing strategies in open-list PR systems.” </w:t>
      </w:r>
      <w:r w:rsidRPr="0003506A">
        <w:rPr>
          <w:rFonts w:cs="Times New Roman"/>
          <w:i/>
          <w:szCs w:val="24"/>
        </w:rPr>
        <w:t>Electoral Studies</w:t>
      </w:r>
      <w:r w:rsidRPr="0003506A">
        <w:rPr>
          <w:rFonts w:cs="Times New Roman"/>
          <w:szCs w:val="24"/>
        </w:rPr>
        <w:t xml:space="preserve"> 43: 72–84.</w:t>
      </w:r>
    </w:p>
    <w:p w14:paraId="7EF32DF5"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Karsten, Peter. 2013. “Veteran electability to the presidency: A critique of the Somit thesis.” </w:t>
      </w:r>
      <w:r w:rsidRPr="0003506A">
        <w:rPr>
          <w:rFonts w:cs="Times New Roman"/>
          <w:i/>
          <w:szCs w:val="24"/>
        </w:rPr>
        <w:t>Armed Forces &amp; Society</w:t>
      </w:r>
      <w:r w:rsidRPr="0003506A">
        <w:rPr>
          <w:rFonts w:cs="Times New Roman"/>
          <w:szCs w:val="24"/>
        </w:rPr>
        <w:t xml:space="preserve"> 38(3): 486–499.</w:t>
      </w:r>
    </w:p>
    <w:p w14:paraId="5236FF6C" w14:textId="77777777" w:rsidR="00F24C0E" w:rsidRPr="0003506A" w:rsidRDefault="00F24C0E" w:rsidP="00F24C0E">
      <w:pPr>
        <w:spacing w:line="480" w:lineRule="auto"/>
        <w:ind w:left="720" w:hanging="720"/>
        <w:rPr>
          <w:rFonts w:cs="Times New Roman"/>
          <w:szCs w:val="24"/>
        </w:rPr>
      </w:pPr>
      <w:r w:rsidRPr="0003506A">
        <w:rPr>
          <w:rFonts w:cs="Times New Roman"/>
          <w:szCs w:val="24"/>
        </w:rPr>
        <w:t>Klingler, Jonathan D. and J. Tyson Chatagnier. 2014. “Are you doing your part? Veterans’ political attitudes and Heinlen’s conception of citizenship.”</w:t>
      </w:r>
      <w:r w:rsidRPr="0003506A">
        <w:rPr>
          <w:rFonts w:cs="Times New Roman"/>
          <w:i/>
          <w:szCs w:val="24"/>
        </w:rPr>
        <w:t xml:space="preserve"> Armed Forces &amp; Society</w:t>
      </w:r>
      <w:r w:rsidRPr="0003506A">
        <w:rPr>
          <w:rFonts w:cs="Times New Roman"/>
          <w:szCs w:val="24"/>
        </w:rPr>
        <w:t xml:space="preserve"> 40(4): 673–695.</w:t>
      </w:r>
    </w:p>
    <w:p w14:paraId="22F1AFF9"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Leal, David L. and Jeremy M. Teigen. 2018. “Military service and political participation in the United States: Institutional experience and the vote.” </w:t>
      </w:r>
      <w:r w:rsidRPr="0003506A">
        <w:rPr>
          <w:rFonts w:cs="Times New Roman"/>
          <w:i/>
          <w:szCs w:val="24"/>
        </w:rPr>
        <w:t>Electoral Studies</w:t>
      </w:r>
      <w:r w:rsidRPr="0003506A">
        <w:rPr>
          <w:rFonts w:cs="Times New Roman"/>
          <w:szCs w:val="24"/>
        </w:rPr>
        <w:t xml:space="preserve"> 53: 99–110.</w:t>
      </w:r>
    </w:p>
    <w:p w14:paraId="2CF89FDA"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Lesschaeve, Christophe. 2019. “Voting after violence: How combat experiences and postwar trauma affect veteran and voter party choices in Croatia’s 2003 postwar elections.” </w:t>
      </w:r>
      <w:r w:rsidRPr="0003506A">
        <w:rPr>
          <w:rFonts w:cs="Times New Roman"/>
          <w:i/>
          <w:szCs w:val="24"/>
        </w:rPr>
        <w:t>Armed Forces &amp; Society</w:t>
      </w:r>
      <w:r w:rsidRPr="0003506A">
        <w:rPr>
          <w:rFonts w:cs="Times New Roman"/>
          <w:szCs w:val="24"/>
        </w:rPr>
        <w:t xml:space="preserve"> Online first.</w:t>
      </w:r>
    </w:p>
    <w:p w14:paraId="5919311B" w14:textId="77777777" w:rsidR="00F24C0E" w:rsidRPr="0003506A" w:rsidRDefault="00F24C0E" w:rsidP="00F24C0E">
      <w:pPr>
        <w:spacing w:line="480" w:lineRule="auto"/>
        <w:ind w:left="720" w:hanging="720"/>
        <w:rPr>
          <w:rFonts w:cs="Times New Roman"/>
          <w:szCs w:val="24"/>
        </w:rPr>
      </w:pPr>
      <w:r w:rsidRPr="0003506A">
        <w:rPr>
          <w:rFonts w:cs="Times New Roman"/>
          <w:szCs w:val="24"/>
        </w:rPr>
        <w:lastRenderedPageBreak/>
        <w:t xml:space="preserve">Manning, Carrie and Ian Smith. 2016. “Political party formation by former armed opposition groups after civil war.” </w:t>
      </w:r>
      <w:r w:rsidRPr="0003506A">
        <w:rPr>
          <w:rFonts w:cs="Times New Roman"/>
          <w:i/>
          <w:szCs w:val="24"/>
        </w:rPr>
        <w:t>Democratization</w:t>
      </w:r>
      <w:r w:rsidRPr="0003506A">
        <w:rPr>
          <w:rFonts w:cs="Times New Roman"/>
          <w:szCs w:val="24"/>
        </w:rPr>
        <w:t xml:space="preserve"> 23(6): 972–989.</w:t>
      </w:r>
    </w:p>
    <w:p w14:paraId="367DBA84"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Marcinkiewicz, Kamil. 2014. “Electoral contexts that assist voter coordination: Ballot position effects in Poland.” </w:t>
      </w:r>
      <w:r w:rsidRPr="0003506A">
        <w:rPr>
          <w:rFonts w:cs="Times New Roman"/>
          <w:i/>
          <w:szCs w:val="24"/>
        </w:rPr>
        <w:t xml:space="preserve">Electoral Studies </w:t>
      </w:r>
      <w:r w:rsidRPr="0003506A">
        <w:rPr>
          <w:rFonts w:cs="Times New Roman"/>
          <w:szCs w:val="24"/>
        </w:rPr>
        <w:t>33: 322–334.</w:t>
      </w:r>
    </w:p>
    <w:p w14:paraId="10692E67"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McConnaughy, Corrine M., Ismail K. White, David L. Leal, and Jason P. Casellas. 2010. “A Latino on the ballot: Explaining coethnic voting among Latinos and the response of white Americans.” </w:t>
      </w:r>
      <w:r w:rsidRPr="0003506A">
        <w:rPr>
          <w:rFonts w:cs="Times New Roman"/>
          <w:i/>
          <w:szCs w:val="24"/>
        </w:rPr>
        <w:t>Journal of Politics</w:t>
      </w:r>
      <w:r w:rsidRPr="0003506A">
        <w:rPr>
          <w:rFonts w:cs="Times New Roman"/>
          <w:szCs w:val="24"/>
        </w:rPr>
        <w:t xml:space="preserve"> 72(4): 1199–1211.</w:t>
      </w:r>
    </w:p>
    <w:p w14:paraId="2E25CDBB"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McDermott, Monika L. 2005. “Candidate occupations and voter information shortcuts.” </w:t>
      </w:r>
      <w:r w:rsidRPr="0003506A">
        <w:rPr>
          <w:rFonts w:cs="Times New Roman"/>
          <w:i/>
          <w:szCs w:val="24"/>
        </w:rPr>
        <w:t xml:space="preserve">Journal of Politics </w:t>
      </w:r>
      <w:r w:rsidRPr="0003506A">
        <w:rPr>
          <w:rFonts w:cs="Times New Roman"/>
          <w:szCs w:val="24"/>
        </w:rPr>
        <w:t>67(1): 201–219.</w:t>
      </w:r>
    </w:p>
    <w:p w14:paraId="7B524E21"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McDermott, Monika L. and Costas Panagopoulos. 2015. “Be all that you can be: The electoral impact of military service as an information cue.” </w:t>
      </w:r>
      <w:r w:rsidRPr="0003506A">
        <w:rPr>
          <w:rFonts w:cs="Times New Roman"/>
          <w:i/>
          <w:szCs w:val="24"/>
        </w:rPr>
        <w:t>Political Research Quarterly</w:t>
      </w:r>
      <w:r w:rsidRPr="0003506A">
        <w:rPr>
          <w:rFonts w:cs="Times New Roman"/>
          <w:szCs w:val="24"/>
        </w:rPr>
        <w:t xml:space="preserve"> 68(2): 293–305.</w:t>
      </w:r>
    </w:p>
    <w:p w14:paraId="1F8C47F8" w14:textId="77777777" w:rsidR="00F24C0E" w:rsidRPr="0003506A" w:rsidRDefault="00F24C0E" w:rsidP="00F24C0E">
      <w:pPr>
        <w:spacing w:line="480" w:lineRule="auto"/>
        <w:ind w:left="720" w:hanging="720"/>
        <w:rPr>
          <w:rFonts w:cs="Times New Roman"/>
          <w:szCs w:val="24"/>
        </w:rPr>
      </w:pPr>
      <w:r w:rsidRPr="0003506A">
        <w:rPr>
          <w:rFonts w:cs="Times New Roman"/>
          <w:szCs w:val="24"/>
        </w:rPr>
        <w:t>Mochtak, Michal, Josip Glaurdić, and Christophe Lesschaeve. 2020. “Talking war: Representation, veterans, and ideology in postwar parliamentary debates.”</w:t>
      </w:r>
      <w:r>
        <w:rPr>
          <w:rFonts w:cs="Times New Roman"/>
          <w:szCs w:val="24"/>
        </w:rPr>
        <w:t xml:space="preserve"> </w:t>
      </w:r>
      <w:r w:rsidRPr="00483CFC">
        <w:rPr>
          <w:rFonts w:cs="Times New Roman"/>
          <w:i/>
          <w:szCs w:val="24"/>
        </w:rPr>
        <w:t>Government &amp; Opposition</w:t>
      </w:r>
      <w:r>
        <w:rPr>
          <w:rFonts w:cs="Times New Roman"/>
          <w:szCs w:val="24"/>
        </w:rPr>
        <w:t xml:space="preserve">, online first, </w:t>
      </w:r>
      <w:hyperlink r:id="rId13" w:history="1">
        <w:r w:rsidRPr="002E102F">
          <w:rPr>
            <w:rStyle w:val="Hyperlink"/>
            <w:rFonts w:cs="Times New Roman"/>
            <w:szCs w:val="24"/>
          </w:rPr>
          <w:t>https://doi.org/10.1017/gov.2020.25</w:t>
        </w:r>
      </w:hyperlink>
      <w:r>
        <w:rPr>
          <w:rFonts w:cs="Times New Roman"/>
          <w:szCs w:val="24"/>
        </w:rPr>
        <w:t>, 1–23.</w:t>
      </w:r>
    </w:p>
    <w:p w14:paraId="63B1B1DC"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Nyhuis, Dominic. 2016. “Electoral effects of candidate valence.” </w:t>
      </w:r>
      <w:r w:rsidRPr="0003506A">
        <w:rPr>
          <w:rFonts w:cs="Times New Roman"/>
          <w:i/>
          <w:szCs w:val="24"/>
        </w:rPr>
        <w:t>Electoral Studies</w:t>
      </w:r>
      <w:r w:rsidRPr="0003506A">
        <w:rPr>
          <w:rFonts w:cs="Times New Roman"/>
          <w:szCs w:val="24"/>
        </w:rPr>
        <w:t xml:space="preserve"> 42: 33–41.</w:t>
      </w:r>
    </w:p>
    <w:p w14:paraId="33012AAD"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Odbor za zakonodavstvo Hrvatskoga sabora. 2015. “Zakon o izborima zastupnika u Hrvatski sabor (pročišćeni tekst).” </w:t>
      </w:r>
      <w:r w:rsidRPr="0003506A">
        <w:rPr>
          <w:rFonts w:cs="Times New Roman"/>
          <w:i/>
          <w:szCs w:val="24"/>
        </w:rPr>
        <w:t>Narodne novine</w:t>
      </w:r>
      <w:r w:rsidRPr="0003506A">
        <w:rPr>
          <w:rFonts w:cs="Times New Roman"/>
          <w:szCs w:val="24"/>
        </w:rPr>
        <w:t xml:space="preserve"> 66(1259), 15 June.</w:t>
      </w:r>
    </w:p>
    <w:p w14:paraId="4ECEFBF3"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Philpot, Tasha S. and Hanes Walton Jr. 2007. “One of our own: Black female candidates and the voters who support them.” </w:t>
      </w:r>
      <w:r w:rsidRPr="0003506A">
        <w:rPr>
          <w:rFonts w:cs="Times New Roman"/>
          <w:i/>
          <w:szCs w:val="24"/>
        </w:rPr>
        <w:t>American Journal of Political Science</w:t>
      </w:r>
      <w:r w:rsidRPr="0003506A">
        <w:rPr>
          <w:rFonts w:cs="Times New Roman"/>
          <w:szCs w:val="24"/>
        </w:rPr>
        <w:t xml:space="preserve"> 51(1): 49–62.</w:t>
      </w:r>
    </w:p>
    <w:p w14:paraId="75A46F97"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Rabe-Hesketh, Sophia and Anders Skrondal. 2012. </w:t>
      </w:r>
      <w:r w:rsidRPr="0003506A">
        <w:rPr>
          <w:rFonts w:cs="Times New Roman"/>
          <w:i/>
          <w:szCs w:val="24"/>
        </w:rPr>
        <w:t>Multilevel and Longitudinal Modeling Using Stata</w:t>
      </w:r>
      <w:r w:rsidRPr="0003506A">
        <w:rPr>
          <w:rFonts w:cs="Times New Roman"/>
          <w:szCs w:val="24"/>
        </w:rPr>
        <w:t>. College Station, TX: Stata Press.</w:t>
      </w:r>
    </w:p>
    <w:p w14:paraId="4059FDA6" w14:textId="77777777" w:rsidR="00F24C0E" w:rsidRPr="0003506A" w:rsidRDefault="00F24C0E" w:rsidP="00F24C0E">
      <w:pPr>
        <w:spacing w:line="480" w:lineRule="auto"/>
        <w:ind w:left="720" w:hanging="720"/>
        <w:rPr>
          <w:rFonts w:cs="Times New Roman"/>
          <w:szCs w:val="24"/>
        </w:rPr>
      </w:pPr>
      <w:r w:rsidRPr="0003506A">
        <w:rPr>
          <w:rFonts w:cs="Times New Roman"/>
          <w:szCs w:val="24"/>
        </w:rPr>
        <w:lastRenderedPageBreak/>
        <w:t xml:space="preserve">Ramet, Sabrina P. 2006. </w:t>
      </w:r>
      <w:r w:rsidRPr="0003506A">
        <w:rPr>
          <w:rFonts w:cs="Times New Roman"/>
          <w:i/>
          <w:szCs w:val="24"/>
        </w:rPr>
        <w:t>The Three Yugoslavias: State Building and Legitimation, 1918-2005</w:t>
      </w:r>
      <w:r w:rsidRPr="0003506A">
        <w:rPr>
          <w:rFonts w:cs="Times New Roman"/>
          <w:szCs w:val="24"/>
        </w:rPr>
        <w:t>. Bloomington, IN: Indiana University Press.</w:t>
      </w:r>
    </w:p>
    <w:p w14:paraId="5764A4A4"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Salas, Christian. 2016. “Incumbency advantage in multimember districts: Evidence from congressional elections in Chile.” </w:t>
      </w:r>
      <w:r w:rsidRPr="0003506A">
        <w:rPr>
          <w:rFonts w:cs="Times New Roman"/>
          <w:i/>
          <w:szCs w:val="24"/>
        </w:rPr>
        <w:t>Electoral Studies</w:t>
      </w:r>
      <w:r w:rsidRPr="0003506A">
        <w:rPr>
          <w:rFonts w:cs="Times New Roman"/>
          <w:szCs w:val="24"/>
        </w:rPr>
        <w:t xml:space="preserve"> 42: 213–221.</w:t>
      </w:r>
    </w:p>
    <w:p w14:paraId="4B0D1187"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Somit, Albert. 1948. “The military hero as presidential candidate.” </w:t>
      </w:r>
      <w:r w:rsidRPr="0003506A">
        <w:rPr>
          <w:rFonts w:cs="Times New Roman"/>
          <w:i/>
          <w:szCs w:val="24"/>
        </w:rPr>
        <w:t>Public Opinion Quarterly</w:t>
      </w:r>
      <w:r w:rsidRPr="0003506A">
        <w:rPr>
          <w:rFonts w:cs="Times New Roman"/>
          <w:szCs w:val="24"/>
        </w:rPr>
        <w:t xml:space="preserve"> 12(2):192–200.</w:t>
      </w:r>
    </w:p>
    <w:p w14:paraId="4F663BBD" w14:textId="77777777" w:rsidR="00F24C0E" w:rsidRPr="0003506A" w:rsidRDefault="00F24C0E" w:rsidP="00F24C0E">
      <w:pPr>
        <w:spacing w:line="480" w:lineRule="auto"/>
        <w:ind w:left="720" w:hanging="720"/>
        <w:rPr>
          <w:rFonts w:cs="Times New Roman"/>
          <w:szCs w:val="24"/>
        </w:rPr>
      </w:pPr>
      <w:r w:rsidRPr="0003506A">
        <w:rPr>
          <w:rFonts w:cs="Times New Roman"/>
          <w:szCs w:val="24"/>
        </w:rPr>
        <w:t>Somit, Albert and Joseph Tanenhaus. 1957. “The veteran in the electoral process: The House of</w:t>
      </w:r>
    </w:p>
    <w:p w14:paraId="200E9761"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Representatives.” </w:t>
      </w:r>
      <w:r w:rsidRPr="0003506A">
        <w:rPr>
          <w:rFonts w:cs="Times New Roman"/>
          <w:i/>
          <w:szCs w:val="24"/>
        </w:rPr>
        <w:t>Journal of Politics</w:t>
      </w:r>
      <w:r w:rsidRPr="0003506A">
        <w:rPr>
          <w:rFonts w:cs="Times New Roman"/>
          <w:szCs w:val="24"/>
        </w:rPr>
        <w:t xml:space="preserve"> 19(2): 184–201.</w:t>
      </w:r>
    </w:p>
    <w:p w14:paraId="6AD23648"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Tavits, Margit. 2010. “Effect of local ties on electoral success and parliamentary behavior: The case of Estonia.” </w:t>
      </w:r>
      <w:r w:rsidRPr="0003506A">
        <w:rPr>
          <w:rFonts w:cs="Times New Roman"/>
          <w:i/>
          <w:szCs w:val="24"/>
        </w:rPr>
        <w:t>Party Politics</w:t>
      </w:r>
      <w:r w:rsidRPr="0003506A">
        <w:rPr>
          <w:rFonts w:cs="Times New Roman"/>
          <w:szCs w:val="24"/>
        </w:rPr>
        <w:t xml:space="preserve"> 16(2): 215–235.</w:t>
      </w:r>
    </w:p>
    <w:p w14:paraId="1D796464"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Teigen, Jeremy M. 2008. “Invoking military credentials in congressional elections, 2000–2006.” In </w:t>
      </w:r>
      <w:r w:rsidRPr="0003506A">
        <w:rPr>
          <w:rFonts w:cs="Times New Roman"/>
          <w:i/>
          <w:szCs w:val="24"/>
        </w:rPr>
        <w:t>Inside Defense: Understanding the U.S. Military in the 21</w:t>
      </w:r>
      <w:r w:rsidRPr="0003506A">
        <w:rPr>
          <w:rFonts w:cs="Times New Roman"/>
          <w:i/>
          <w:szCs w:val="24"/>
          <w:vertAlign w:val="superscript"/>
        </w:rPr>
        <w:t>st</w:t>
      </w:r>
      <w:r w:rsidRPr="0003506A">
        <w:rPr>
          <w:rFonts w:cs="Times New Roman"/>
          <w:i/>
          <w:szCs w:val="24"/>
        </w:rPr>
        <w:t xml:space="preserve"> Century</w:t>
      </w:r>
      <w:r w:rsidRPr="0003506A">
        <w:rPr>
          <w:rFonts w:cs="Times New Roman"/>
          <w:szCs w:val="24"/>
        </w:rPr>
        <w:t>, eds. Derek Reveron and Judith Stiehm (London: Palgrave Macmillan): 115–125.</w:t>
      </w:r>
    </w:p>
    <w:p w14:paraId="550D0A19" w14:textId="77777777" w:rsidR="00F24C0E" w:rsidRPr="0003506A" w:rsidRDefault="00F24C0E" w:rsidP="00F24C0E">
      <w:pPr>
        <w:spacing w:line="480" w:lineRule="auto"/>
        <w:ind w:left="720" w:hanging="720"/>
        <w:rPr>
          <w:rFonts w:cs="Times New Roman"/>
          <w:szCs w:val="24"/>
        </w:rPr>
      </w:pPr>
      <w:r w:rsidRPr="0003506A">
        <w:rPr>
          <w:rFonts w:cs="Times New Roman"/>
          <w:szCs w:val="24"/>
        </w:rPr>
        <w:t xml:space="preserve">Teigen, Jeremy M. 2013. “Military experience in elections and perceptions of issue competence: An experimental study with television ads.” </w:t>
      </w:r>
      <w:r w:rsidRPr="0003506A">
        <w:rPr>
          <w:rFonts w:cs="Times New Roman"/>
          <w:i/>
          <w:szCs w:val="24"/>
        </w:rPr>
        <w:t>Armed Forces &amp; Society</w:t>
      </w:r>
      <w:r w:rsidRPr="0003506A">
        <w:rPr>
          <w:rFonts w:cs="Times New Roman"/>
          <w:szCs w:val="24"/>
        </w:rPr>
        <w:t xml:space="preserve"> 39(3): 415–433.</w:t>
      </w:r>
    </w:p>
    <w:p w14:paraId="70493CA4" w14:textId="77777777" w:rsidR="00F24C0E" w:rsidRPr="0003506A" w:rsidRDefault="00F24C0E" w:rsidP="00F24C0E">
      <w:pPr>
        <w:spacing w:line="480" w:lineRule="auto"/>
        <w:ind w:left="720" w:hanging="720"/>
      </w:pPr>
      <w:r w:rsidRPr="0003506A">
        <w:t xml:space="preserve">Teigen, Jeremy M. 2018. </w:t>
      </w:r>
      <w:r w:rsidRPr="0003506A">
        <w:rPr>
          <w:i/>
        </w:rPr>
        <w:t>Why Veterans Run:</w:t>
      </w:r>
      <w:r w:rsidRPr="0003506A">
        <w:t xml:space="preserve"> </w:t>
      </w:r>
      <w:r w:rsidRPr="0003506A">
        <w:rPr>
          <w:i/>
        </w:rPr>
        <w:t>Military Service in American Presidential Elections, 1789</w:t>
      </w:r>
      <w:r w:rsidRPr="0003506A">
        <w:rPr>
          <w:rFonts w:cs="Times New Roman"/>
          <w:szCs w:val="24"/>
        </w:rPr>
        <w:t>–</w:t>
      </w:r>
      <w:r w:rsidRPr="0003506A">
        <w:rPr>
          <w:i/>
        </w:rPr>
        <w:t>2016</w:t>
      </w:r>
      <w:r w:rsidRPr="0003506A">
        <w:t>. Philadelphia, PA: Temple University Press.</w:t>
      </w:r>
    </w:p>
    <w:p w14:paraId="44A85E6F" w14:textId="77777777" w:rsidR="00F24C0E" w:rsidRPr="0003506A" w:rsidRDefault="00F24C0E" w:rsidP="00F24C0E">
      <w:pPr>
        <w:spacing w:line="480" w:lineRule="auto"/>
        <w:ind w:left="720" w:hanging="720"/>
      </w:pPr>
      <w:r w:rsidRPr="0003506A">
        <w:t xml:space="preserve">Van Erkel, Patrick F.A. 2019. “Sharing is caring: The role of voter-candidate similarities in intra-party electoral competition.” </w:t>
      </w:r>
      <w:r w:rsidRPr="0003506A">
        <w:rPr>
          <w:i/>
        </w:rPr>
        <w:t>European Political Science Review</w:t>
      </w:r>
      <w:r w:rsidRPr="0003506A">
        <w:t xml:space="preserve"> 11(1): 75</w:t>
      </w:r>
      <w:r w:rsidRPr="0003506A">
        <w:rPr>
          <w:rFonts w:cs="Times New Roman"/>
          <w:szCs w:val="24"/>
        </w:rPr>
        <w:t>–</w:t>
      </w:r>
      <w:r w:rsidRPr="0003506A">
        <w:t>89.</w:t>
      </w:r>
    </w:p>
    <w:p w14:paraId="0A3B8FBC" w14:textId="77777777" w:rsidR="00F24C0E" w:rsidRPr="0003506A" w:rsidRDefault="00F24C0E" w:rsidP="00F24C0E">
      <w:pPr>
        <w:spacing w:line="480" w:lineRule="auto"/>
        <w:ind w:left="720" w:hanging="720"/>
      </w:pPr>
      <w:r w:rsidRPr="0003506A">
        <w:t xml:space="preserve">Van Erkel, Patrick F.A. and Peter Thijssen. 2016. “The first one wins: Distilling the primacy effect.” </w:t>
      </w:r>
      <w:r w:rsidRPr="0003506A">
        <w:rPr>
          <w:i/>
        </w:rPr>
        <w:t>Electoral Studies</w:t>
      </w:r>
      <w:r w:rsidRPr="0003506A">
        <w:t xml:space="preserve"> 44: 245</w:t>
      </w:r>
      <w:r w:rsidRPr="0003506A">
        <w:rPr>
          <w:rFonts w:cs="Times New Roman"/>
          <w:szCs w:val="24"/>
        </w:rPr>
        <w:t>–</w:t>
      </w:r>
      <w:r w:rsidRPr="0003506A">
        <w:t>254.</w:t>
      </w:r>
    </w:p>
    <w:p w14:paraId="2A05D6BF" w14:textId="77777777" w:rsidR="00F24C0E" w:rsidRPr="0003506A" w:rsidRDefault="00F24C0E" w:rsidP="00F24C0E">
      <w:pPr>
        <w:spacing w:line="480" w:lineRule="auto"/>
        <w:ind w:left="720" w:hanging="720"/>
      </w:pPr>
      <w:r w:rsidRPr="0003506A">
        <w:t>Vlada Republike Hrvatske. 1998. Nastavak obnove ratom stradalih podru</w:t>
      </w:r>
      <w:r w:rsidRPr="0003506A">
        <w:rPr>
          <w:rFonts w:cs="Times New Roman"/>
        </w:rPr>
        <w:t>č</w:t>
      </w:r>
      <w:r w:rsidRPr="0003506A">
        <w:t xml:space="preserve">ja. </w:t>
      </w:r>
      <w:r w:rsidRPr="0003506A">
        <w:rPr>
          <w:i/>
        </w:rPr>
        <w:t>Narodne novine</w:t>
      </w:r>
      <w:r w:rsidRPr="0003506A">
        <w:t xml:space="preserve"> 159.</w:t>
      </w:r>
    </w:p>
    <w:p w14:paraId="3D0C20BF" w14:textId="77777777" w:rsidR="00F24C0E" w:rsidRPr="0003506A" w:rsidRDefault="00F24C0E" w:rsidP="00F24C0E">
      <w:pPr>
        <w:spacing w:line="480" w:lineRule="auto"/>
        <w:ind w:left="720" w:hanging="720"/>
      </w:pPr>
      <w:r w:rsidRPr="0003506A">
        <w:lastRenderedPageBreak/>
        <w:t>Wauters, Bram, Peter Thijssen, Peter van Aelst, and Jean-Benoit Pilet. 2016. “Centralized personalization at the expense of decentralized personalization. The decline of preferential voting in Belgium (2003</w:t>
      </w:r>
      <w:r w:rsidRPr="0003506A">
        <w:rPr>
          <w:rFonts w:cs="Times New Roman"/>
          <w:szCs w:val="24"/>
        </w:rPr>
        <w:t>–</w:t>
      </w:r>
      <w:r w:rsidRPr="0003506A">
        <w:t xml:space="preserve">2014).” </w:t>
      </w:r>
      <w:r w:rsidRPr="0003506A">
        <w:rPr>
          <w:i/>
        </w:rPr>
        <w:t>Party Politics</w:t>
      </w:r>
      <w:r w:rsidRPr="0003506A">
        <w:t xml:space="preserve"> 24(5): 511</w:t>
      </w:r>
      <w:r w:rsidRPr="0003506A">
        <w:rPr>
          <w:rFonts w:cs="Times New Roman"/>
          <w:szCs w:val="24"/>
        </w:rPr>
        <w:t>–</w:t>
      </w:r>
      <w:r w:rsidRPr="0003506A">
        <w:t>523.</w:t>
      </w:r>
    </w:p>
    <w:p w14:paraId="1551248B" w14:textId="77777777" w:rsidR="00F24C0E" w:rsidRPr="0003506A" w:rsidRDefault="00F24C0E" w:rsidP="00F24C0E">
      <w:pPr>
        <w:spacing w:line="480" w:lineRule="auto"/>
        <w:ind w:left="720" w:hanging="720"/>
      </w:pPr>
      <w:r w:rsidRPr="0003506A">
        <w:t xml:space="preserve">Ziemann, Benjamin. 2012. </w:t>
      </w:r>
      <w:r w:rsidRPr="0003506A">
        <w:rPr>
          <w:i/>
        </w:rPr>
        <w:t>Contested Commemorations: Republican War Veterans and Weimar Political Culture</w:t>
      </w:r>
      <w:r w:rsidRPr="0003506A">
        <w:t>. Cambridge, UK: Cambridge University Press.</w:t>
      </w:r>
    </w:p>
    <w:p w14:paraId="64F3A436" w14:textId="77777777" w:rsidR="00F24C0E" w:rsidRPr="0003506A" w:rsidRDefault="00F24C0E" w:rsidP="00F24C0E">
      <w:pPr>
        <w:spacing w:line="480" w:lineRule="auto"/>
        <w:ind w:left="720" w:hanging="720"/>
        <w:rPr>
          <w:rFonts w:cs="Times New Roman"/>
        </w:rPr>
      </w:pPr>
      <w:r w:rsidRPr="0003506A">
        <w:rPr>
          <w:rFonts w:cs="Times New Roman"/>
        </w:rPr>
        <w:t xml:space="preserve">Žunec, Ozren. 2006. “Apsolutna žrtva i relativna kompenzacija: proturječja društvenog položaja veterana i državne skrbi za ratne veterane i invalide.” </w:t>
      </w:r>
      <w:r w:rsidRPr="0003506A">
        <w:rPr>
          <w:rFonts w:cs="Times New Roman"/>
          <w:i/>
        </w:rPr>
        <w:t>Polemos</w:t>
      </w:r>
      <w:r w:rsidRPr="0003506A">
        <w:rPr>
          <w:rFonts w:cs="Times New Roman"/>
        </w:rPr>
        <w:t xml:space="preserve"> 9(2): 11</w:t>
      </w:r>
      <w:r w:rsidRPr="0003506A">
        <w:rPr>
          <w:rFonts w:cs="Times New Roman"/>
          <w:szCs w:val="24"/>
        </w:rPr>
        <w:t>–</w:t>
      </w:r>
      <w:r w:rsidRPr="0003506A">
        <w:rPr>
          <w:rFonts w:cs="Times New Roman"/>
        </w:rPr>
        <w:t>41.</w:t>
      </w:r>
    </w:p>
    <w:p w14:paraId="71EFA2E6" w14:textId="77777777" w:rsidR="00F24C0E" w:rsidRPr="0003506A" w:rsidRDefault="00F24C0E" w:rsidP="00F24C0E">
      <w:pPr>
        <w:spacing w:line="360" w:lineRule="auto"/>
      </w:pPr>
    </w:p>
    <w:p w14:paraId="4523EC3B" w14:textId="77777777" w:rsidR="00F24C0E" w:rsidRDefault="00F24C0E" w:rsidP="00F24C0E">
      <w:r w:rsidRPr="0003506A">
        <w:br w:type="page"/>
      </w:r>
    </w:p>
    <w:p w14:paraId="28CA898A" w14:textId="45E8C45A" w:rsidR="00F24C0E" w:rsidRDefault="00F24C0E" w:rsidP="008C411A">
      <w:pPr>
        <w:spacing w:line="480" w:lineRule="auto"/>
      </w:pPr>
      <w:r>
        <w:rPr>
          <w:b/>
        </w:rPr>
        <w:lastRenderedPageBreak/>
        <w:t>Biographies</w:t>
      </w:r>
    </w:p>
    <w:p w14:paraId="300BEC53" w14:textId="237EEB7E" w:rsidR="00F24C0E" w:rsidRDefault="00F24C0E" w:rsidP="008C411A">
      <w:pPr>
        <w:spacing w:line="480" w:lineRule="auto"/>
      </w:pPr>
      <w:r>
        <w:t>Josip Glaurdić is an Associate Professor of Political Science and Head of the Institute of Political Science at the University of Luxembourg. He is also Principal Investigator on the project Electoral Legacies of War (ELWar) funded by the European Research Council Starting Grant. He earned his PhD in political science from Yale University.</w:t>
      </w:r>
    </w:p>
    <w:p w14:paraId="5475E95E" w14:textId="77777777" w:rsidR="00F24C0E" w:rsidRDefault="00F24C0E" w:rsidP="008C411A">
      <w:pPr>
        <w:spacing w:line="480" w:lineRule="auto"/>
      </w:pPr>
    </w:p>
    <w:p w14:paraId="4A86A459" w14:textId="0DA073DF" w:rsidR="00F24C0E" w:rsidRDefault="00F24C0E" w:rsidP="008C411A">
      <w:pPr>
        <w:spacing w:line="480" w:lineRule="auto"/>
      </w:pPr>
      <w:r>
        <w:t>Christophe Lesschaeve is a Post-doctoral Research Associate at the Institute of Political Science, University of Luxembourg. His research interests focus on representation, issue congruence between voters and political elites, and vot</w:t>
      </w:r>
      <w:r w:rsidR="004F0EB0">
        <w:t>er behavio</w:t>
      </w:r>
      <w:r>
        <w:t>r</w:t>
      </w:r>
      <w:r w:rsidR="004F0EB0">
        <w:t xml:space="preserve"> – particularly in post-conflict societies</w:t>
      </w:r>
      <w:r>
        <w:t xml:space="preserve">. </w:t>
      </w:r>
      <w:r w:rsidR="004F0EB0">
        <w:t>He earned is PhD in political science from the University of Antwerp</w:t>
      </w:r>
      <w:r>
        <w:t>.</w:t>
      </w:r>
    </w:p>
    <w:p w14:paraId="5F89E08A" w14:textId="4D7A3BC0" w:rsidR="004F0EB0" w:rsidRDefault="004F0EB0" w:rsidP="00F24C0E"/>
    <w:p w14:paraId="6553090B" w14:textId="252CCF9B" w:rsidR="004F0EB0" w:rsidRDefault="004F0EB0">
      <w:r>
        <w:br w:type="page"/>
      </w:r>
    </w:p>
    <w:p w14:paraId="43253AC9" w14:textId="18B9FBBF" w:rsidR="004F0EB0" w:rsidRDefault="004F0EB0" w:rsidP="008C411A">
      <w:pPr>
        <w:spacing w:line="480" w:lineRule="auto"/>
      </w:pPr>
      <w:r>
        <w:rPr>
          <w:b/>
        </w:rPr>
        <w:lastRenderedPageBreak/>
        <w:t>Acknowledgements</w:t>
      </w:r>
    </w:p>
    <w:p w14:paraId="31FB8649" w14:textId="15033E99" w:rsidR="004F0EB0" w:rsidRPr="004F0EB0" w:rsidRDefault="004F0EB0" w:rsidP="008C411A">
      <w:pPr>
        <w:spacing w:line="480" w:lineRule="auto"/>
      </w:pPr>
      <w:r>
        <w:t>Research on this article was supported by the European Research Council Starting Grant 714589 to Josip Glaurdi</w:t>
      </w:r>
      <w:r>
        <w:rPr>
          <w:rFonts w:cs="Times New Roman"/>
        </w:rPr>
        <w:t>ć</w:t>
      </w:r>
      <w:r>
        <w:t>. The authors would like to thank Leo Fel and Ljubica Glaurdi</w:t>
      </w:r>
      <w:r>
        <w:rPr>
          <w:rFonts w:cs="Times New Roman"/>
        </w:rPr>
        <w:t>ć</w:t>
      </w:r>
      <w:r>
        <w:t xml:space="preserve"> for their research assistance. </w:t>
      </w:r>
    </w:p>
    <w:p w14:paraId="5A3537E6" w14:textId="3A4693DF" w:rsidR="008C411A" w:rsidRDefault="008C411A">
      <w:r>
        <w:br w:type="page"/>
      </w:r>
    </w:p>
    <w:p w14:paraId="40A3B286" w14:textId="33CD2098" w:rsidR="00F24C0E" w:rsidRPr="008C411A" w:rsidRDefault="008C411A" w:rsidP="00F24C0E">
      <w:r>
        <w:rPr>
          <w:b/>
        </w:rPr>
        <w:lastRenderedPageBreak/>
        <w:t>Data Availability</w:t>
      </w:r>
    </w:p>
    <w:p w14:paraId="408E4C91" w14:textId="0D5AB6DD" w:rsidR="008C411A" w:rsidRDefault="008C411A" w:rsidP="00F24C0E"/>
    <w:p w14:paraId="6C25F707" w14:textId="37C53C40" w:rsidR="008C411A" w:rsidRDefault="008C411A" w:rsidP="00F24C0E">
      <w:r>
        <w:t xml:space="preserve">All data used in this article are available at </w:t>
      </w:r>
      <w:hyperlink r:id="rId14" w:history="1">
        <w:r w:rsidRPr="00565E9C">
          <w:rPr>
            <w:rStyle w:val="Hyperlink"/>
          </w:rPr>
          <w:t>https://elwar.uni.lu/publications</w:t>
        </w:r>
      </w:hyperlink>
      <w:r>
        <w:t>.</w:t>
      </w:r>
    </w:p>
    <w:p w14:paraId="0A245337" w14:textId="77777777" w:rsidR="008C411A" w:rsidRPr="00F24C0E" w:rsidRDefault="008C411A" w:rsidP="00F24C0E"/>
    <w:p w14:paraId="41EF977C" w14:textId="56E8658A" w:rsidR="004F0EB0" w:rsidRDefault="004F0EB0">
      <w:r>
        <w:br w:type="page"/>
      </w:r>
    </w:p>
    <w:p w14:paraId="7ADF7764" w14:textId="77777777" w:rsidR="004F0EB0" w:rsidRPr="0003506A" w:rsidRDefault="004F0EB0" w:rsidP="004F0EB0">
      <w:pPr>
        <w:jc w:val="center"/>
        <w:rPr>
          <w:b/>
        </w:rPr>
      </w:pPr>
      <w:r w:rsidRPr="0003506A">
        <w:rPr>
          <w:b/>
        </w:rPr>
        <w:lastRenderedPageBreak/>
        <w:t xml:space="preserve">Table 1. </w:t>
      </w:r>
      <w:r>
        <w:rPr>
          <w:b/>
        </w:rPr>
        <w:t>Summary statistics</w:t>
      </w:r>
    </w:p>
    <w:p w14:paraId="69F42612" w14:textId="77777777" w:rsidR="004F0EB0" w:rsidRDefault="004F0EB0" w:rsidP="004F0EB0"/>
    <w:tbl>
      <w:tblPr>
        <w:tblW w:w="0" w:type="auto"/>
        <w:jc w:val="center"/>
        <w:tblLook w:val="04A0" w:firstRow="1" w:lastRow="0" w:firstColumn="1" w:lastColumn="0" w:noHBand="0" w:noVBand="1"/>
      </w:tblPr>
      <w:tblGrid>
        <w:gridCol w:w="1766"/>
        <w:gridCol w:w="766"/>
        <w:gridCol w:w="766"/>
        <w:gridCol w:w="600"/>
        <w:gridCol w:w="1232"/>
      </w:tblGrid>
      <w:tr w:rsidR="004F0EB0" w:rsidRPr="002652DD" w14:paraId="40988FB9" w14:textId="77777777" w:rsidTr="00C41A2C">
        <w:trPr>
          <w:trHeight w:val="300"/>
          <w:jc w:val="center"/>
        </w:trPr>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665834A"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Variable</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0F6A864D"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Mean</w:t>
            </w:r>
          </w:p>
        </w:tc>
        <w:tc>
          <w:tcPr>
            <w:tcW w:w="0" w:type="auto"/>
            <w:tcBorders>
              <w:top w:val="single" w:sz="4" w:space="0" w:color="auto"/>
              <w:left w:val="nil"/>
              <w:bottom w:val="single" w:sz="4" w:space="0" w:color="auto"/>
              <w:right w:val="nil"/>
            </w:tcBorders>
            <w:shd w:val="clear" w:color="auto" w:fill="auto"/>
            <w:noWrap/>
            <w:vAlign w:val="bottom"/>
            <w:hideMark/>
          </w:tcPr>
          <w:p w14:paraId="04AEF857"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S.E.</w:t>
            </w:r>
          </w:p>
        </w:tc>
        <w:tc>
          <w:tcPr>
            <w:tcW w:w="0" w:type="auto"/>
            <w:tcBorders>
              <w:top w:val="single" w:sz="4" w:space="0" w:color="auto"/>
              <w:left w:val="nil"/>
              <w:bottom w:val="single" w:sz="4" w:space="0" w:color="auto"/>
              <w:right w:val="nil"/>
            </w:tcBorders>
            <w:shd w:val="clear" w:color="auto" w:fill="auto"/>
            <w:noWrap/>
            <w:vAlign w:val="bottom"/>
            <w:hideMark/>
          </w:tcPr>
          <w:p w14:paraId="4779D634"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Min.</w:t>
            </w:r>
          </w:p>
        </w:tc>
        <w:tc>
          <w:tcPr>
            <w:tcW w:w="1232" w:type="dxa"/>
            <w:tcBorders>
              <w:top w:val="single" w:sz="4" w:space="0" w:color="auto"/>
              <w:left w:val="nil"/>
              <w:bottom w:val="single" w:sz="4" w:space="0" w:color="auto"/>
              <w:right w:val="nil"/>
            </w:tcBorders>
            <w:shd w:val="clear" w:color="auto" w:fill="auto"/>
            <w:noWrap/>
            <w:vAlign w:val="bottom"/>
            <w:hideMark/>
          </w:tcPr>
          <w:p w14:paraId="281B765D"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Max.</w:t>
            </w:r>
          </w:p>
        </w:tc>
      </w:tr>
      <w:tr w:rsidR="004F0EB0" w:rsidRPr="002652DD" w14:paraId="3A31F599" w14:textId="77777777" w:rsidTr="00C41A2C">
        <w:trPr>
          <w:trHeight w:val="300"/>
          <w:jc w:val="center"/>
        </w:trPr>
        <w:tc>
          <w:tcPr>
            <w:tcW w:w="0" w:type="auto"/>
            <w:tcBorders>
              <w:top w:val="single" w:sz="4" w:space="0" w:color="auto"/>
              <w:left w:val="nil"/>
              <w:bottom w:val="nil"/>
              <w:right w:val="single" w:sz="4" w:space="0" w:color="auto"/>
            </w:tcBorders>
            <w:shd w:val="clear" w:color="auto" w:fill="auto"/>
            <w:noWrap/>
            <w:vAlign w:val="bottom"/>
            <w:hideMark/>
          </w:tcPr>
          <w:p w14:paraId="37CE800D"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Combat days</w:t>
            </w:r>
          </w:p>
        </w:tc>
        <w:tc>
          <w:tcPr>
            <w:tcW w:w="0" w:type="auto"/>
            <w:tcBorders>
              <w:top w:val="single" w:sz="4" w:space="0" w:color="auto"/>
              <w:left w:val="single" w:sz="4" w:space="0" w:color="auto"/>
              <w:bottom w:val="nil"/>
              <w:right w:val="nil"/>
            </w:tcBorders>
            <w:shd w:val="clear" w:color="auto" w:fill="auto"/>
            <w:noWrap/>
            <w:vAlign w:val="bottom"/>
            <w:hideMark/>
          </w:tcPr>
          <w:p w14:paraId="08135662"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140.85</w:t>
            </w:r>
          </w:p>
        </w:tc>
        <w:tc>
          <w:tcPr>
            <w:tcW w:w="0" w:type="auto"/>
            <w:tcBorders>
              <w:top w:val="single" w:sz="4" w:space="0" w:color="auto"/>
              <w:left w:val="nil"/>
              <w:bottom w:val="nil"/>
              <w:right w:val="nil"/>
            </w:tcBorders>
            <w:shd w:val="clear" w:color="auto" w:fill="auto"/>
            <w:noWrap/>
            <w:vAlign w:val="bottom"/>
            <w:hideMark/>
          </w:tcPr>
          <w:p w14:paraId="68E5910A"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397.65</w:t>
            </w:r>
          </w:p>
        </w:tc>
        <w:tc>
          <w:tcPr>
            <w:tcW w:w="0" w:type="auto"/>
            <w:tcBorders>
              <w:top w:val="single" w:sz="4" w:space="0" w:color="auto"/>
              <w:left w:val="nil"/>
              <w:bottom w:val="nil"/>
              <w:right w:val="nil"/>
            </w:tcBorders>
            <w:shd w:val="clear" w:color="auto" w:fill="auto"/>
            <w:noWrap/>
            <w:vAlign w:val="bottom"/>
            <w:hideMark/>
          </w:tcPr>
          <w:p w14:paraId="49FA299D"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w:t>
            </w:r>
          </w:p>
        </w:tc>
        <w:tc>
          <w:tcPr>
            <w:tcW w:w="1232" w:type="dxa"/>
            <w:tcBorders>
              <w:top w:val="single" w:sz="4" w:space="0" w:color="auto"/>
              <w:left w:val="nil"/>
              <w:bottom w:val="nil"/>
              <w:right w:val="nil"/>
            </w:tcBorders>
            <w:shd w:val="clear" w:color="auto" w:fill="auto"/>
            <w:noWrap/>
            <w:vAlign w:val="bottom"/>
            <w:hideMark/>
          </w:tcPr>
          <w:p w14:paraId="1D1B44FA"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2157</w:t>
            </w:r>
          </w:p>
        </w:tc>
      </w:tr>
      <w:tr w:rsidR="004F0EB0" w:rsidRPr="002652DD" w14:paraId="7300EDB3"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29A7D310"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Gender</w:t>
            </w:r>
          </w:p>
        </w:tc>
        <w:tc>
          <w:tcPr>
            <w:tcW w:w="0" w:type="auto"/>
            <w:tcBorders>
              <w:top w:val="nil"/>
              <w:left w:val="single" w:sz="4" w:space="0" w:color="auto"/>
              <w:bottom w:val="nil"/>
              <w:right w:val="nil"/>
            </w:tcBorders>
            <w:shd w:val="clear" w:color="auto" w:fill="auto"/>
            <w:noWrap/>
            <w:vAlign w:val="bottom"/>
            <w:hideMark/>
          </w:tcPr>
          <w:p w14:paraId="2658D68B"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0.41</w:t>
            </w:r>
          </w:p>
        </w:tc>
        <w:tc>
          <w:tcPr>
            <w:tcW w:w="0" w:type="auto"/>
            <w:tcBorders>
              <w:top w:val="nil"/>
              <w:left w:val="nil"/>
              <w:bottom w:val="nil"/>
              <w:right w:val="nil"/>
            </w:tcBorders>
            <w:shd w:val="clear" w:color="auto" w:fill="auto"/>
            <w:noWrap/>
            <w:vAlign w:val="bottom"/>
            <w:hideMark/>
          </w:tcPr>
          <w:p w14:paraId="392B6225"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0.49</w:t>
            </w:r>
          </w:p>
        </w:tc>
        <w:tc>
          <w:tcPr>
            <w:tcW w:w="0" w:type="auto"/>
            <w:tcBorders>
              <w:top w:val="nil"/>
              <w:left w:val="nil"/>
              <w:bottom w:val="nil"/>
              <w:right w:val="nil"/>
            </w:tcBorders>
            <w:shd w:val="clear" w:color="auto" w:fill="auto"/>
            <w:noWrap/>
            <w:vAlign w:val="bottom"/>
            <w:hideMark/>
          </w:tcPr>
          <w:p w14:paraId="50610280"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w:t>
            </w:r>
          </w:p>
        </w:tc>
        <w:tc>
          <w:tcPr>
            <w:tcW w:w="1232" w:type="dxa"/>
            <w:tcBorders>
              <w:top w:val="nil"/>
              <w:left w:val="nil"/>
              <w:bottom w:val="nil"/>
              <w:right w:val="nil"/>
            </w:tcBorders>
            <w:shd w:val="clear" w:color="auto" w:fill="auto"/>
            <w:noWrap/>
            <w:vAlign w:val="bottom"/>
            <w:hideMark/>
          </w:tcPr>
          <w:p w14:paraId="34A9D945"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w:t>
            </w:r>
          </w:p>
        </w:tc>
      </w:tr>
      <w:tr w:rsidR="004F0EB0" w:rsidRPr="002652DD" w14:paraId="68B66153"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05ABF0BB"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Age</w:t>
            </w:r>
          </w:p>
        </w:tc>
        <w:tc>
          <w:tcPr>
            <w:tcW w:w="0" w:type="auto"/>
            <w:tcBorders>
              <w:top w:val="nil"/>
              <w:left w:val="single" w:sz="4" w:space="0" w:color="auto"/>
              <w:bottom w:val="nil"/>
              <w:right w:val="nil"/>
            </w:tcBorders>
            <w:shd w:val="clear" w:color="auto" w:fill="auto"/>
            <w:noWrap/>
            <w:vAlign w:val="bottom"/>
            <w:hideMark/>
          </w:tcPr>
          <w:p w14:paraId="303EDD6C"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46.68</w:t>
            </w:r>
          </w:p>
        </w:tc>
        <w:tc>
          <w:tcPr>
            <w:tcW w:w="0" w:type="auto"/>
            <w:tcBorders>
              <w:top w:val="nil"/>
              <w:left w:val="nil"/>
              <w:bottom w:val="nil"/>
              <w:right w:val="nil"/>
            </w:tcBorders>
            <w:shd w:val="clear" w:color="auto" w:fill="auto"/>
            <w:noWrap/>
            <w:vAlign w:val="bottom"/>
            <w:hideMark/>
          </w:tcPr>
          <w:p w14:paraId="76C14781"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13.10</w:t>
            </w:r>
          </w:p>
        </w:tc>
        <w:tc>
          <w:tcPr>
            <w:tcW w:w="0" w:type="auto"/>
            <w:tcBorders>
              <w:top w:val="nil"/>
              <w:left w:val="nil"/>
              <w:bottom w:val="nil"/>
              <w:right w:val="nil"/>
            </w:tcBorders>
            <w:shd w:val="clear" w:color="auto" w:fill="auto"/>
            <w:noWrap/>
            <w:vAlign w:val="bottom"/>
            <w:hideMark/>
          </w:tcPr>
          <w:p w14:paraId="6FE126CE"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18</w:t>
            </w:r>
          </w:p>
        </w:tc>
        <w:tc>
          <w:tcPr>
            <w:tcW w:w="1232" w:type="dxa"/>
            <w:tcBorders>
              <w:top w:val="nil"/>
              <w:left w:val="nil"/>
              <w:bottom w:val="nil"/>
              <w:right w:val="nil"/>
            </w:tcBorders>
            <w:shd w:val="clear" w:color="auto" w:fill="auto"/>
            <w:noWrap/>
            <w:vAlign w:val="bottom"/>
            <w:hideMark/>
          </w:tcPr>
          <w:p w14:paraId="2B9AB249"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96</w:t>
            </w:r>
          </w:p>
        </w:tc>
      </w:tr>
      <w:tr w:rsidR="004F0EB0" w:rsidRPr="002652DD" w14:paraId="25F151C8"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37C09FF1"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List position</w:t>
            </w:r>
          </w:p>
        </w:tc>
        <w:tc>
          <w:tcPr>
            <w:tcW w:w="0" w:type="auto"/>
            <w:tcBorders>
              <w:top w:val="nil"/>
              <w:left w:val="single" w:sz="4" w:space="0" w:color="auto"/>
              <w:bottom w:val="nil"/>
              <w:right w:val="nil"/>
            </w:tcBorders>
            <w:shd w:val="clear" w:color="auto" w:fill="auto"/>
            <w:noWrap/>
            <w:vAlign w:val="bottom"/>
            <w:hideMark/>
          </w:tcPr>
          <w:p w14:paraId="73C4C4E0"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7.50</w:t>
            </w:r>
          </w:p>
        </w:tc>
        <w:tc>
          <w:tcPr>
            <w:tcW w:w="0" w:type="auto"/>
            <w:tcBorders>
              <w:top w:val="nil"/>
              <w:left w:val="nil"/>
              <w:bottom w:val="nil"/>
              <w:right w:val="nil"/>
            </w:tcBorders>
            <w:shd w:val="clear" w:color="auto" w:fill="auto"/>
            <w:noWrap/>
            <w:vAlign w:val="bottom"/>
            <w:hideMark/>
          </w:tcPr>
          <w:p w14:paraId="5EC1CDE5"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4.03</w:t>
            </w:r>
          </w:p>
        </w:tc>
        <w:tc>
          <w:tcPr>
            <w:tcW w:w="0" w:type="auto"/>
            <w:tcBorders>
              <w:top w:val="nil"/>
              <w:left w:val="nil"/>
              <w:bottom w:val="nil"/>
              <w:right w:val="nil"/>
            </w:tcBorders>
            <w:shd w:val="clear" w:color="auto" w:fill="auto"/>
            <w:noWrap/>
            <w:vAlign w:val="bottom"/>
            <w:hideMark/>
          </w:tcPr>
          <w:p w14:paraId="4C04A23B"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w:t>
            </w:r>
          </w:p>
        </w:tc>
        <w:tc>
          <w:tcPr>
            <w:tcW w:w="1232" w:type="dxa"/>
            <w:tcBorders>
              <w:top w:val="nil"/>
              <w:left w:val="nil"/>
              <w:bottom w:val="nil"/>
              <w:right w:val="nil"/>
            </w:tcBorders>
            <w:shd w:val="clear" w:color="auto" w:fill="auto"/>
            <w:noWrap/>
            <w:vAlign w:val="bottom"/>
            <w:hideMark/>
          </w:tcPr>
          <w:p w14:paraId="68D09BAE"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14</w:t>
            </w:r>
          </w:p>
        </w:tc>
      </w:tr>
      <w:tr w:rsidR="004F0EB0" w:rsidRPr="002652DD" w14:paraId="5D6F224E"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35DB2AE4"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First list place</w:t>
            </w:r>
          </w:p>
        </w:tc>
        <w:tc>
          <w:tcPr>
            <w:tcW w:w="0" w:type="auto"/>
            <w:tcBorders>
              <w:top w:val="nil"/>
              <w:left w:val="single" w:sz="4" w:space="0" w:color="auto"/>
              <w:bottom w:val="nil"/>
              <w:right w:val="nil"/>
            </w:tcBorders>
            <w:shd w:val="clear" w:color="auto" w:fill="auto"/>
            <w:noWrap/>
            <w:vAlign w:val="bottom"/>
            <w:hideMark/>
          </w:tcPr>
          <w:p w14:paraId="34094060"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0.07</w:t>
            </w:r>
          </w:p>
        </w:tc>
        <w:tc>
          <w:tcPr>
            <w:tcW w:w="0" w:type="auto"/>
            <w:tcBorders>
              <w:top w:val="nil"/>
              <w:left w:val="nil"/>
              <w:bottom w:val="nil"/>
              <w:right w:val="nil"/>
            </w:tcBorders>
            <w:shd w:val="clear" w:color="auto" w:fill="auto"/>
            <w:noWrap/>
            <w:vAlign w:val="bottom"/>
            <w:hideMark/>
          </w:tcPr>
          <w:p w14:paraId="61F76AA8"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0.26</w:t>
            </w:r>
          </w:p>
        </w:tc>
        <w:tc>
          <w:tcPr>
            <w:tcW w:w="0" w:type="auto"/>
            <w:tcBorders>
              <w:top w:val="nil"/>
              <w:left w:val="nil"/>
              <w:bottom w:val="nil"/>
              <w:right w:val="nil"/>
            </w:tcBorders>
            <w:shd w:val="clear" w:color="auto" w:fill="auto"/>
            <w:noWrap/>
            <w:vAlign w:val="bottom"/>
            <w:hideMark/>
          </w:tcPr>
          <w:p w14:paraId="6BC38951"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w:t>
            </w:r>
          </w:p>
        </w:tc>
        <w:tc>
          <w:tcPr>
            <w:tcW w:w="1232" w:type="dxa"/>
            <w:tcBorders>
              <w:top w:val="nil"/>
              <w:left w:val="nil"/>
              <w:bottom w:val="nil"/>
              <w:right w:val="nil"/>
            </w:tcBorders>
            <w:shd w:val="clear" w:color="auto" w:fill="auto"/>
            <w:noWrap/>
            <w:vAlign w:val="bottom"/>
            <w:hideMark/>
          </w:tcPr>
          <w:p w14:paraId="4777E3E8"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w:t>
            </w:r>
          </w:p>
        </w:tc>
      </w:tr>
      <w:tr w:rsidR="004F0EB0" w:rsidRPr="002652DD" w14:paraId="58346375"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0B84012D"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Last list place</w:t>
            </w:r>
          </w:p>
        </w:tc>
        <w:tc>
          <w:tcPr>
            <w:tcW w:w="0" w:type="auto"/>
            <w:tcBorders>
              <w:top w:val="nil"/>
              <w:left w:val="single" w:sz="4" w:space="0" w:color="auto"/>
              <w:bottom w:val="nil"/>
              <w:right w:val="nil"/>
            </w:tcBorders>
            <w:shd w:val="clear" w:color="auto" w:fill="auto"/>
            <w:noWrap/>
            <w:vAlign w:val="bottom"/>
            <w:hideMark/>
          </w:tcPr>
          <w:p w14:paraId="622DD1F8"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0.07</w:t>
            </w:r>
          </w:p>
        </w:tc>
        <w:tc>
          <w:tcPr>
            <w:tcW w:w="0" w:type="auto"/>
            <w:tcBorders>
              <w:top w:val="nil"/>
              <w:left w:val="nil"/>
              <w:bottom w:val="nil"/>
              <w:right w:val="nil"/>
            </w:tcBorders>
            <w:shd w:val="clear" w:color="auto" w:fill="auto"/>
            <w:noWrap/>
            <w:vAlign w:val="bottom"/>
            <w:hideMark/>
          </w:tcPr>
          <w:p w14:paraId="12DD00E5"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0.26</w:t>
            </w:r>
          </w:p>
        </w:tc>
        <w:tc>
          <w:tcPr>
            <w:tcW w:w="0" w:type="auto"/>
            <w:tcBorders>
              <w:top w:val="nil"/>
              <w:left w:val="nil"/>
              <w:bottom w:val="nil"/>
              <w:right w:val="nil"/>
            </w:tcBorders>
            <w:shd w:val="clear" w:color="auto" w:fill="auto"/>
            <w:noWrap/>
            <w:vAlign w:val="bottom"/>
            <w:hideMark/>
          </w:tcPr>
          <w:p w14:paraId="437816F3"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w:t>
            </w:r>
          </w:p>
        </w:tc>
        <w:tc>
          <w:tcPr>
            <w:tcW w:w="1232" w:type="dxa"/>
            <w:tcBorders>
              <w:top w:val="nil"/>
              <w:left w:val="nil"/>
              <w:bottom w:val="nil"/>
              <w:right w:val="nil"/>
            </w:tcBorders>
            <w:shd w:val="clear" w:color="auto" w:fill="auto"/>
            <w:noWrap/>
            <w:vAlign w:val="bottom"/>
            <w:hideMark/>
          </w:tcPr>
          <w:p w14:paraId="7115463C"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w:t>
            </w:r>
          </w:p>
        </w:tc>
      </w:tr>
      <w:tr w:rsidR="004F0EB0" w:rsidRPr="002652DD" w14:paraId="75E00548"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6CD85C7D"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Incumbent</w:t>
            </w:r>
          </w:p>
        </w:tc>
        <w:tc>
          <w:tcPr>
            <w:tcW w:w="0" w:type="auto"/>
            <w:tcBorders>
              <w:top w:val="nil"/>
              <w:left w:val="single" w:sz="4" w:space="0" w:color="auto"/>
              <w:bottom w:val="nil"/>
              <w:right w:val="nil"/>
            </w:tcBorders>
            <w:shd w:val="clear" w:color="auto" w:fill="auto"/>
            <w:noWrap/>
            <w:vAlign w:val="bottom"/>
            <w:hideMark/>
          </w:tcPr>
          <w:p w14:paraId="43611136"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0.05</w:t>
            </w:r>
          </w:p>
        </w:tc>
        <w:tc>
          <w:tcPr>
            <w:tcW w:w="0" w:type="auto"/>
            <w:tcBorders>
              <w:top w:val="nil"/>
              <w:left w:val="nil"/>
              <w:bottom w:val="nil"/>
              <w:right w:val="nil"/>
            </w:tcBorders>
            <w:shd w:val="clear" w:color="auto" w:fill="auto"/>
            <w:noWrap/>
            <w:vAlign w:val="bottom"/>
            <w:hideMark/>
          </w:tcPr>
          <w:p w14:paraId="7DDE0A5F"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0.22</w:t>
            </w:r>
          </w:p>
        </w:tc>
        <w:tc>
          <w:tcPr>
            <w:tcW w:w="0" w:type="auto"/>
            <w:tcBorders>
              <w:top w:val="nil"/>
              <w:left w:val="nil"/>
              <w:bottom w:val="nil"/>
              <w:right w:val="nil"/>
            </w:tcBorders>
            <w:shd w:val="clear" w:color="auto" w:fill="auto"/>
            <w:noWrap/>
            <w:vAlign w:val="bottom"/>
            <w:hideMark/>
          </w:tcPr>
          <w:p w14:paraId="4A40E2D6"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w:t>
            </w:r>
          </w:p>
        </w:tc>
        <w:tc>
          <w:tcPr>
            <w:tcW w:w="1232" w:type="dxa"/>
            <w:tcBorders>
              <w:top w:val="nil"/>
              <w:left w:val="nil"/>
              <w:bottom w:val="nil"/>
              <w:right w:val="nil"/>
            </w:tcBorders>
            <w:shd w:val="clear" w:color="auto" w:fill="auto"/>
            <w:noWrap/>
            <w:vAlign w:val="bottom"/>
            <w:hideMark/>
          </w:tcPr>
          <w:p w14:paraId="364AFD31"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w:t>
            </w:r>
          </w:p>
        </w:tc>
      </w:tr>
      <w:tr w:rsidR="004F0EB0" w:rsidRPr="002652DD" w14:paraId="4C15CD9C"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2E379C1C"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Academic title</w:t>
            </w:r>
          </w:p>
        </w:tc>
        <w:tc>
          <w:tcPr>
            <w:tcW w:w="0" w:type="auto"/>
            <w:tcBorders>
              <w:top w:val="nil"/>
              <w:left w:val="single" w:sz="4" w:space="0" w:color="auto"/>
              <w:bottom w:val="nil"/>
              <w:right w:val="nil"/>
            </w:tcBorders>
            <w:shd w:val="clear" w:color="auto" w:fill="auto"/>
            <w:noWrap/>
            <w:vAlign w:val="bottom"/>
            <w:hideMark/>
          </w:tcPr>
          <w:p w14:paraId="266CA8E1"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0.16</w:t>
            </w:r>
          </w:p>
        </w:tc>
        <w:tc>
          <w:tcPr>
            <w:tcW w:w="0" w:type="auto"/>
            <w:tcBorders>
              <w:top w:val="nil"/>
              <w:left w:val="nil"/>
              <w:bottom w:val="nil"/>
              <w:right w:val="nil"/>
            </w:tcBorders>
            <w:shd w:val="clear" w:color="auto" w:fill="auto"/>
            <w:noWrap/>
            <w:vAlign w:val="bottom"/>
            <w:hideMark/>
          </w:tcPr>
          <w:p w14:paraId="319776E3"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0.36</w:t>
            </w:r>
          </w:p>
        </w:tc>
        <w:tc>
          <w:tcPr>
            <w:tcW w:w="0" w:type="auto"/>
            <w:tcBorders>
              <w:top w:val="nil"/>
              <w:left w:val="nil"/>
              <w:bottom w:val="nil"/>
              <w:right w:val="nil"/>
            </w:tcBorders>
            <w:shd w:val="clear" w:color="auto" w:fill="auto"/>
            <w:noWrap/>
            <w:vAlign w:val="bottom"/>
            <w:hideMark/>
          </w:tcPr>
          <w:p w14:paraId="1AB8B051"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w:t>
            </w:r>
          </w:p>
        </w:tc>
        <w:tc>
          <w:tcPr>
            <w:tcW w:w="1232" w:type="dxa"/>
            <w:tcBorders>
              <w:top w:val="nil"/>
              <w:left w:val="nil"/>
              <w:bottom w:val="nil"/>
              <w:right w:val="nil"/>
            </w:tcBorders>
            <w:shd w:val="clear" w:color="auto" w:fill="auto"/>
            <w:noWrap/>
            <w:vAlign w:val="bottom"/>
            <w:hideMark/>
          </w:tcPr>
          <w:p w14:paraId="3A50E2B3"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w:t>
            </w:r>
          </w:p>
        </w:tc>
      </w:tr>
      <w:tr w:rsidR="004F0EB0" w:rsidRPr="002652DD" w14:paraId="4D75B21B"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7B7DB8AD"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Distance (ln)</w:t>
            </w:r>
          </w:p>
        </w:tc>
        <w:tc>
          <w:tcPr>
            <w:tcW w:w="0" w:type="auto"/>
            <w:tcBorders>
              <w:top w:val="nil"/>
              <w:left w:val="single" w:sz="4" w:space="0" w:color="auto"/>
              <w:bottom w:val="nil"/>
              <w:right w:val="nil"/>
            </w:tcBorders>
            <w:shd w:val="clear" w:color="auto" w:fill="auto"/>
            <w:noWrap/>
            <w:vAlign w:val="bottom"/>
            <w:hideMark/>
          </w:tcPr>
          <w:p w14:paraId="2122D157"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10.76</w:t>
            </w:r>
          </w:p>
        </w:tc>
        <w:tc>
          <w:tcPr>
            <w:tcW w:w="0" w:type="auto"/>
            <w:tcBorders>
              <w:top w:val="nil"/>
              <w:left w:val="nil"/>
              <w:bottom w:val="nil"/>
              <w:right w:val="nil"/>
            </w:tcBorders>
            <w:shd w:val="clear" w:color="auto" w:fill="auto"/>
            <w:noWrap/>
            <w:vAlign w:val="bottom"/>
            <w:hideMark/>
          </w:tcPr>
          <w:p w14:paraId="4FC5C042"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0.98</w:t>
            </w:r>
          </w:p>
        </w:tc>
        <w:tc>
          <w:tcPr>
            <w:tcW w:w="0" w:type="auto"/>
            <w:tcBorders>
              <w:top w:val="nil"/>
              <w:left w:val="nil"/>
              <w:bottom w:val="nil"/>
              <w:right w:val="nil"/>
            </w:tcBorders>
            <w:shd w:val="clear" w:color="auto" w:fill="auto"/>
            <w:noWrap/>
            <w:vAlign w:val="bottom"/>
            <w:hideMark/>
          </w:tcPr>
          <w:p w14:paraId="706D9305"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w:t>
            </w:r>
          </w:p>
        </w:tc>
        <w:tc>
          <w:tcPr>
            <w:tcW w:w="1232" w:type="dxa"/>
            <w:tcBorders>
              <w:top w:val="nil"/>
              <w:left w:val="nil"/>
              <w:bottom w:val="nil"/>
              <w:right w:val="nil"/>
            </w:tcBorders>
            <w:shd w:val="clear" w:color="auto" w:fill="auto"/>
            <w:noWrap/>
            <w:vAlign w:val="bottom"/>
            <w:hideMark/>
          </w:tcPr>
          <w:p w14:paraId="36AE0800"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13.02</w:t>
            </w:r>
          </w:p>
        </w:tc>
      </w:tr>
      <w:tr w:rsidR="004F0EB0" w:rsidRPr="002652DD" w14:paraId="580EB975"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373E81F0"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Veterans on the list</w:t>
            </w:r>
          </w:p>
        </w:tc>
        <w:tc>
          <w:tcPr>
            <w:tcW w:w="0" w:type="auto"/>
            <w:tcBorders>
              <w:top w:val="nil"/>
              <w:left w:val="single" w:sz="4" w:space="0" w:color="auto"/>
              <w:bottom w:val="nil"/>
              <w:right w:val="nil"/>
            </w:tcBorders>
            <w:shd w:val="clear" w:color="auto" w:fill="auto"/>
            <w:noWrap/>
            <w:vAlign w:val="bottom"/>
            <w:hideMark/>
          </w:tcPr>
          <w:p w14:paraId="740B9CA4"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3.29</w:t>
            </w:r>
          </w:p>
        </w:tc>
        <w:tc>
          <w:tcPr>
            <w:tcW w:w="0" w:type="auto"/>
            <w:tcBorders>
              <w:top w:val="nil"/>
              <w:left w:val="nil"/>
              <w:bottom w:val="nil"/>
              <w:right w:val="nil"/>
            </w:tcBorders>
            <w:shd w:val="clear" w:color="auto" w:fill="auto"/>
            <w:noWrap/>
            <w:vAlign w:val="bottom"/>
            <w:hideMark/>
          </w:tcPr>
          <w:p w14:paraId="7C853237"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2.17</w:t>
            </w:r>
          </w:p>
        </w:tc>
        <w:tc>
          <w:tcPr>
            <w:tcW w:w="0" w:type="auto"/>
            <w:tcBorders>
              <w:top w:val="nil"/>
              <w:left w:val="nil"/>
              <w:bottom w:val="nil"/>
              <w:right w:val="nil"/>
            </w:tcBorders>
            <w:shd w:val="clear" w:color="auto" w:fill="auto"/>
            <w:noWrap/>
            <w:vAlign w:val="bottom"/>
            <w:hideMark/>
          </w:tcPr>
          <w:p w14:paraId="1CE464E3"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w:t>
            </w:r>
          </w:p>
        </w:tc>
        <w:tc>
          <w:tcPr>
            <w:tcW w:w="1232" w:type="dxa"/>
            <w:tcBorders>
              <w:top w:val="nil"/>
              <w:left w:val="nil"/>
              <w:bottom w:val="nil"/>
              <w:right w:val="nil"/>
            </w:tcBorders>
            <w:shd w:val="clear" w:color="auto" w:fill="auto"/>
            <w:noWrap/>
            <w:vAlign w:val="bottom"/>
            <w:hideMark/>
          </w:tcPr>
          <w:p w14:paraId="00FF2A84"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11</w:t>
            </w:r>
          </w:p>
        </w:tc>
      </w:tr>
      <w:tr w:rsidR="004F0EB0" w:rsidRPr="002652DD" w14:paraId="4F9A4F8E"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47ED9D7D"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Party vote (%)</w:t>
            </w:r>
          </w:p>
        </w:tc>
        <w:tc>
          <w:tcPr>
            <w:tcW w:w="0" w:type="auto"/>
            <w:tcBorders>
              <w:top w:val="nil"/>
              <w:left w:val="single" w:sz="4" w:space="0" w:color="auto"/>
              <w:bottom w:val="nil"/>
              <w:right w:val="nil"/>
            </w:tcBorders>
            <w:shd w:val="clear" w:color="auto" w:fill="auto"/>
            <w:noWrap/>
            <w:vAlign w:val="bottom"/>
            <w:hideMark/>
          </w:tcPr>
          <w:p w14:paraId="01BF9D81"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6.45</w:t>
            </w:r>
          </w:p>
        </w:tc>
        <w:tc>
          <w:tcPr>
            <w:tcW w:w="0" w:type="auto"/>
            <w:tcBorders>
              <w:top w:val="nil"/>
              <w:left w:val="nil"/>
              <w:bottom w:val="nil"/>
              <w:right w:val="nil"/>
            </w:tcBorders>
            <w:shd w:val="clear" w:color="auto" w:fill="auto"/>
            <w:noWrap/>
            <w:vAlign w:val="bottom"/>
            <w:hideMark/>
          </w:tcPr>
          <w:p w14:paraId="2F0A1037"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13.08</w:t>
            </w:r>
          </w:p>
        </w:tc>
        <w:tc>
          <w:tcPr>
            <w:tcW w:w="0" w:type="auto"/>
            <w:tcBorders>
              <w:top w:val="nil"/>
              <w:left w:val="nil"/>
              <w:bottom w:val="nil"/>
              <w:right w:val="nil"/>
            </w:tcBorders>
            <w:shd w:val="clear" w:color="auto" w:fill="auto"/>
            <w:noWrap/>
            <w:vAlign w:val="bottom"/>
            <w:hideMark/>
          </w:tcPr>
          <w:p w14:paraId="301CEA39"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w:t>
            </w:r>
          </w:p>
        </w:tc>
        <w:tc>
          <w:tcPr>
            <w:tcW w:w="1232" w:type="dxa"/>
            <w:tcBorders>
              <w:top w:val="nil"/>
              <w:left w:val="nil"/>
              <w:bottom w:val="nil"/>
              <w:right w:val="nil"/>
            </w:tcBorders>
            <w:shd w:val="clear" w:color="auto" w:fill="auto"/>
            <w:noWrap/>
            <w:vAlign w:val="bottom"/>
            <w:hideMark/>
          </w:tcPr>
          <w:p w14:paraId="605247D3"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85.9</w:t>
            </w:r>
          </w:p>
        </w:tc>
      </w:tr>
      <w:tr w:rsidR="004F0EB0" w:rsidRPr="002652DD" w14:paraId="2FD578D3"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6DEAD59F"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Party ideology</w:t>
            </w:r>
          </w:p>
        </w:tc>
        <w:tc>
          <w:tcPr>
            <w:tcW w:w="0" w:type="auto"/>
            <w:tcBorders>
              <w:top w:val="nil"/>
              <w:left w:val="single" w:sz="4" w:space="0" w:color="auto"/>
              <w:bottom w:val="nil"/>
              <w:right w:val="nil"/>
            </w:tcBorders>
            <w:shd w:val="clear" w:color="auto" w:fill="auto"/>
            <w:noWrap/>
            <w:vAlign w:val="bottom"/>
            <w:hideMark/>
          </w:tcPr>
          <w:p w14:paraId="65122933"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3.14</w:t>
            </w:r>
          </w:p>
        </w:tc>
        <w:tc>
          <w:tcPr>
            <w:tcW w:w="0" w:type="auto"/>
            <w:tcBorders>
              <w:top w:val="nil"/>
              <w:left w:val="nil"/>
              <w:bottom w:val="nil"/>
              <w:right w:val="nil"/>
            </w:tcBorders>
            <w:shd w:val="clear" w:color="auto" w:fill="auto"/>
            <w:noWrap/>
            <w:vAlign w:val="bottom"/>
            <w:hideMark/>
          </w:tcPr>
          <w:p w14:paraId="04C36DDC"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1.44</w:t>
            </w:r>
          </w:p>
        </w:tc>
        <w:tc>
          <w:tcPr>
            <w:tcW w:w="0" w:type="auto"/>
            <w:tcBorders>
              <w:top w:val="nil"/>
              <w:left w:val="nil"/>
              <w:bottom w:val="nil"/>
              <w:right w:val="nil"/>
            </w:tcBorders>
            <w:shd w:val="clear" w:color="auto" w:fill="auto"/>
            <w:noWrap/>
            <w:vAlign w:val="bottom"/>
            <w:hideMark/>
          </w:tcPr>
          <w:p w14:paraId="585A4CB7"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w:t>
            </w:r>
          </w:p>
        </w:tc>
        <w:tc>
          <w:tcPr>
            <w:tcW w:w="1232" w:type="dxa"/>
            <w:tcBorders>
              <w:top w:val="nil"/>
              <w:left w:val="nil"/>
              <w:bottom w:val="nil"/>
              <w:right w:val="nil"/>
            </w:tcBorders>
            <w:shd w:val="clear" w:color="auto" w:fill="auto"/>
            <w:noWrap/>
            <w:vAlign w:val="bottom"/>
            <w:hideMark/>
          </w:tcPr>
          <w:p w14:paraId="1B3DE060"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5</w:t>
            </w:r>
          </w:p>
        </w:tc>
      </w:tr>
      <w:tr w:rsidR="004F0EB0" w:rsidRPr="002652DD" w14:paraId="5A437C21"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2B89081A"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War disabled</w:t>
            </w:r>
          </w:p>
        </w:tc>
        <w:tc>
          <w:tcPr>
            <w:tcW w:w="0" w:type="auto"/>
            <w:tcBorders>
              <w:top w:val="nil"/>
              <w:left w:val="single" w:sz="4" w:space="0" w:color="auto"/>
              <w:bottom w:val="nil"/>
              <w:right w:val="nil"/>
            </w:tcBorders>
            <w:shd w:val="clear" w:color="auto" w:fill="auto"/>
            <w:noWrap/>
            <w:vAlign w:val="bottom"/>
            <w:hideMark/>
          </w:tcPr>
          <w:p w14:paraId="430891EE"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0.15</w:t>
            </w:r>
          </w:p>
        </w:tc>
        <w:tc>
          <w:tcPr>
            <w:tcW w:w="0" w:type="auto"/>
            <w:tcBorders>
              <w:top w:val="nil"/>
              <w:left w:val="nil"/>
              <w:bottom w:val="nil"/>
              <w:right w:val="nil"/>
            </w:tcBorders>
            <w:shd w:val="clear" w:color="auto" w:fill="auto"/>
            <w:noWrap/>
            <w:vAlign w:val="bottom"/>
            <w:hideMark/>
          </w:tcPr>
          <w:p w14:paraId="3AD3320D"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0.13</w:t>
            </w:r>
          </w:p>
        </w:tc>
        <w:tc>
          <w:tcPr>
            <w:tcW w:w="0" w:type="auto"/>
            <w:tcBorders>
              <w:top w:val="nil"/>
              <w:left w:val="nil"/>
              <w:bottom w:val="nil"/>
              <w:right w:val="nil"/>
            </w:tcBorders>
            <w:shd w:val="clear" w:color="auto" w:fill="auto"/>
            <w:noWrap/>
            <w:vAlign w:val="bottom"/>
            <w:hideMark/>
          </w:tcPr>
          <w:p w14:paraId="5333E75A"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w:t>
            </w:r>
          </w:p>
        </w:tc>
        <w:tc>
          <w:tcPr>
            <w:tcW w:w="1232" w:type="dxa"/>
            <w:tcBorders>
              <w:top w:val="nil"/>
              <w:left w:val="nil"/>
              <w:bottom w:val="nil"/>
              <w:right w:val="nil"/>
            </w:tcBorders>
            <w:shd w:val="clear" w:color="auto" w:fill="auto"/>
            <w:noWrap/>
            <w:vAlign w:val="bottom"/>
            <w:hideMark/>
          </w:tcPr>
          <w:p w14:paraId="093F3E3E"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1.03</w:t>
            </w:r>
          </w:p>
        </w:tc>
      </w:tr>
      <w:tr w:rsidR="004F0EB0" w:rsidRPr="002652DD" w14:paraId="70281C06"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69FDF340"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Unemployment</w:t>
            </w:r>
          </w:p>
        </w:tc>
        <w:tc>
          <w:tcPr>
            <w:tcW w:w="0" w:type="auto"/>
            <w:tcBorders>
              <w:top w:val="nil"/>
              <w:left w:val="single" w:sz="4" w:space="0" w:color="auto"/>
              <w:bottom w:val="nil"/>
              <w:right w:val="nil"/>
            </w:tcBorders>
            <w:shd w:val="clear" w:color="auto" w:fill="auto"/>
            <w:noWrap/>
            <w:vAlign w:val="bottom"/>
            <w:hideMark/>
          </w:tcPr>
          <w:p w14:paraId="4E69C25B"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0.18</w:t>
            </w:r>
          </w:p>
        </w:tc>
        <w:tc>
          <w:tcPr>
            <w:tcW w:w="0" w:type="auto"/>
            <w:tcBorders>
              <w:top w:val="nil"/>
              <w:left w:val="nil"/>
              <w:bottom w:val="nil"/>
              <w:right w:val="nil"/>
            </w:tcBorders>
            <w:shd w:val="clear" w:color="auto" w:fill="auto"/>
            <w:noWrap/>
            <w:vAlign w:val="bottom"/>
            <w:hideMark/>
          </w:tcPr>
          <w:p w14:paraId="4A51EA4F"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0.10</w:t>
            </w:r>
          </w:p>
        </w:tc>
        <w:tc>
          <w:tcPr>
            <w:tcW w:w="0" w:type="auto"/>
            <w:tcBorders>
              <w:top w:val="nil"/>
              <w:left w:val="nil"/>
              <w:bottom w:val="nil"/>
              <w:right w:val="nil"/>
            </w:tcBorders>
            <w:shd w:val="clear" w:color="auto" w:fill="auto"/>
            <w:noWrap/>
            <w:vAlign w:val="bottom"/>
            <w:hideMark/>
          </w:tcPr>
          <w:p w14:paraId="4396BCF4"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0.03</w:t>
            </w:r>
          </w:p>
        </w:tc>
        <w:tc>
          <w:tcPr>
            <w:tcW w:w="1232" w:type="dxa"/>
            <w:tcBorders>
              <w:top w:val="nil"/>
              <w:left w:val="nil"/>
              <w:bottom w:val="nil"/>
              <w:right w:val="nil"/>
            </w:tcBorders>
            <w:shd w:val="clear" w:color="auto" w:fill="auto"/>
            <w:noWrap/>
            <w:vAlign w:val="bottom"/>
            <w:hideMark/>
          </w:tcPr>
          <w:p w14:paraId="08DBB7D5"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0.53</w:t>
            </w:r>
          </w:p>
        </w:tc>
      </w:tr>
      <w:tr w:rsidR="004F0EB0" w:rsidRPr="002652DD" w14:paraId="1F811A7C"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4DC8147B"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Education</w:t>
            </w:r>
          </w:p>
        </w:tc>
        <w:tc>
          <w:tcPr>
            <w:tcW w:w="0" w:type="auto"/>
            <w:tcBorders>
              <w:top w:val="nil"/>
              <w:left w:val="single" w:sz="4" w:space="0" w:color="auto"/>
              <w:bottom w:val="nil"/>
              <w:right w:val="nil"/>
            </w:tcBorders>
            <w:shd w:val="clear" w:color="auto" w:fill="auto"/>
            <w:noWrap/>
            <w:vAlign w:val="bottom"/>
            <w:hideMark/>
          </w:tcPr>
          <w:p w14:paraId="0FC687BB"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9.85</w:t>
            </w:r>
          </w:p>
        </w:tc>
        <w:tc>
          <w:tcPr>
            <w:tcW w:w="0" w:type="auto"/>
            <w:tcBorders>
              <w:top w:val="nil"/>
              <w:left w:val="nil"/>
              <w:bottom w:val="nil"/>
              <w:right w:val="nil"/>
            </w:tcBorders>
            <w:shd w:val="clear" w:color="auto" w:fill="auto"/>
            <w:noWrap/>
            <w:vAlign w:val="bottom"/>
            <w:hideMark/>
          </w:tcPr>
          <w:p w14:paraId="4E51CAA1"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0.87</w:t>
            </w:r>
          </w:p>
        </w:tc>
        <w:tc>
          <w:tcPr>
            <w:tcW w:w="0" w:type="auto"/>
            <w:tcBorders>
              <w:top w:val="nil"/>
              <w:left w:val="nil"/>
              <w:bottom w:val="nil"/>
              <w:right w:val="nil"/>
            </w:tcBorders>
            <w:shd w:val="clear" w:color="auto" w:fill="auto"/>
            <w:noWrap/>
            <w:vAlign w:val="bottom"/>
            <w:hideMark/>
          </w:tcPr>
          <w:p w14:paraId="32D75715"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5.93</w:t>
            </w:r>
          </w:p>
        </w:tc>
        <w:tc>
          <w:tcPr>
            <w:tcW w:w="1232" w:type="dxa"/>
            <w:tcBorders>
              <w:top w:val="nil"/>
              <w:left w:val="nil"/>
              <w:bottom w:val="nil"/>
              <w:right w:val="nil"/>
            </w:tcBorders>
            <w:shd w:val="clear" w:color="auto" w:fill="auto"/>
            <w:noWrap/>
            <w:vAlign w:val="bottom"/>
            <w:hideMark/>
          </w:tcPr>
          <w:p w14:paraId="0A349D3E"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12.13</w:t>
            </w:r>
          </w:p>
        </w:tc>
      </w:tr>
      <w:tr w:rsidR="004F0EB0" w:rsidRPr="002652DD" w14:paraId="392FDF68" w14:textId="77777777" w:rsidTr="00C41A2C">
        <w:trPr>
          <w:trHeight w:val="300"/>
          <w:jc w:val="center"/>
        </w:trPr>
        <w:tc>
          <w:tcPr>
            <w:tcW w:w="0" w:type="auto"/>
            <w:tcBorders>
              <w:top w:val="nil"/>
              <w:left w:val="nil"/>
              <w:bottom w:val="nil"/>
              <w:right w:val="single" w:sz="4" w:space="0" w:color="auto"/>
            </w:tcBorders>
            <w:shd w:val="clear" w:color="auto" w:fill="auto"/>
            <w:noWrap/>
            <w:vAlign w:val="bottom"/>
            <w:hideMark/>
          </w:tcPr>
          <w:p w14:paraId="36E1BB0C"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Urbanization</w:t>
            </w:r>
          </w:p>
        </w:tc>
        <w:tc>
          <w:tcPr>
            <w:tcW w:w="0" w:type="auto"/>
            <w:tcBorders>
              <w:top w:val="nil"/>
              <w:left w:val="single" w:sz="4" w:space="0" w:color="auto"/>
              <w:bottom w:val="nil"/>
              <w:right w:val="nil"/>
            </w:tcBorders>
            <w:shd w:val="clear" w:color="auto" w:fill="auto"/>
            <w:noWrap/>
            <w:vAlign w:val="bottom"/>
            <w:hideMark/>
          </w:tcPr>
          <w:p w14:paraId="0CD19773"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6.92</w:t>
            </w:r>
          </w:p>
        </w:tc>
        <w:tc>
          <w:tcPr>
            <w:tcW w:w="0" w:type="auto"/>
            <w:tcBorders>
              <w:top w:val="nil"/>
              <w:left w:val="nil"/>
              <w:bottom w:val="nil"/>
              <w:right w:val="nil"/>
            </w:tcBorders>
            <w:shd w:val="clear" w:color="auto" w:fill="auto"/>
            <w:noWrap/>
            <w:vAlign w:val="bottom"/>
            <w:hideMark/>
          </w:tcPr>
          <w:p w14:paraId="5FABD351"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1.25</w:t>
            </w:r>
          </w:p>
        </w:tc>
        <w:tc>
          <w:tcPr>
            <w:tcW w:w="0" w:type="auto"/>
            <w:tcBorders>
              <w:top w:val="nil"/>
              <w:left w:val="nil"/>
              <w:bottom w:val="nil"/>
              <w:right w:val="nil"/>
            </w:tcBorders>
            <w:shd w:val="clear" w:color="auto" w:fill="auto"/>
            <w:noWrap/>
            <w:vAlign w:val="bottom"/>
            <w:hideMark/>
          </w:tcPr>
          <w:p w14:paraId="5DD6C1A3"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3.81</w:t>
            </w:r>
          </w:p>
        </w:tc>
        <w:tc>
          <w:tcPr>
            <w:tcW w:w="1232" w:type="dxa"/>
            <w:tcBorders>
              <w:top w:val="nil"/>
              <w:left w:val="nil"/>
              <w:bottom w:val="nil"/>
              <w:right w:val="nil"/>
            </w:tcBorders>
            <w:shd w:val="clear" w:color="auto" w:fill="auto"/>
            <w:noWrap/>
            <w:vAlign w:val="bottom"/>
            <w:hideMark/>
          </w:tcPr>
          <w:p w14:paraId="12CF63AF"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13.31</w:t>
            </w:r>
          </w:p>
        </w:tc>
      </w:tr>
      <w:tr w:rsidR="004F0EB0" w:rsidRPr="002652DD" w14:paraId="35D1A424" w14:textId="77777777" w:rsidTr="00C41A2C">
        <w:trPr>
          <w:trHeight w:val="300"/>
          <w:jc w:val="center"/>
        </w:trPr>
        <w:tc>
          <w:tcPr>
            <w:tcW w:w="0" w:type="auto"/>
            <w:tcBorders>
              <w:top w:val="nil"/>
              <w:left w:val="nil"/>
              <w:right w:val="single" w:sz="4" w:space="0" w:color="auto"/>
            </w:tcBorders>
            <w:shd w:val="clear" w:color="auto" w:fill="auto"/>
            <w:noWrap/>
            <w:vAlign w:val="bottom"/>
            <w:hideMark/>
          </w:tcPr>
          <w:p w14:paraId="7C9A6069"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 Croats</w:t>
            </w:r>
          </w:p>
        </w:tc>
        <w:tc>
          <w:tcPr>
            <w:tcW w:w="0" w:type="auto"/>
            <w:tcBorders>
              <w:top w:val="nil"/>
              <w:left w:val="single" w:sz="4" w:space="0" w:color="auto"/>
              <w:right w:val="nil"/>
            </w:tcBorders>
            <w:shd w:val="clear" w:color="auto" w:fill="auto"/>
            <w:noWrap/>
            <w:vAlign w:val="bottom"/>
            <w:hideMark/>
          </w:tcPr>
          <w:p w14:paraId="49718EDC"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88.87</w:t>
            </w:r>
          </w:p>
        </w:tc>
        <w:tc>
          <w:tcPr>
            <w:tcW w:w="0" w:type="auto"/>
            <w:tcBorders>
              <w:top w:val="nil"/>
              <w:left w:val="nil"/>
              <w:right w:val="nil"/>
            </w:tcBorders>
            <w:shd w:val="clear" w:color="auto" w:fill="auto"/>
            <w:noWrap/>
            <w:vAlign w:val="bottom"/>
            <w:hideMark/>
          </w:tcPr>
          <w:p w14:paraId="24826B5C"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17.14</w:t>
            </w:r>
          </w:p>
        </w:tc>
        <w:tc>
          <w:tcPr>
            <w:tcW w:w="0" w:type="auto"/>
            <w:tcBorders>
              <w:top w:val="nil"/>
              <w:left w:val="nil"/>
              <w:right w:val="nil"/>
            </w:tcBorders>
            <w:shd w:val="clear" w:color="auto" w:fill="auto"/>
            <w:noWrap/>
            <w:vAlign w:val="bottom"/>
            <w:hideMark/>
          </w:tcPr>
          <w:p w14:paraId="3A5D6F4E"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1.78</w:t>
            </w:r>
          </w:p>
        </w:tc>
        <w:tc>
          <w:tcPr>
            <w:tcW w:w="1232" w:type="dxa"/>
            <w:tcBorders>
              <w:top w:val="nil"/>
              <w:left w:val="nil"/>
              <w:right w:val="nil"/>
            </w:tcBorders>
            <w:shd w:val="clear" w:color="auto" w:fill="auto"/>
            <w:noWrap/>
            <w:vAlign w:val="bottom"/>
            <w:hideMark/>
          </w:tcPr>
          <w:p w14:paraId="2D83D6BC"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100</w:t>
            </w:r>
          </w:p>
        </w:tc>
      </w:tr>
      <w:tr w:rsidR="004F0EB0" w:rsidRPr="002652DD" w14:paraId="5B3E1DB6" w14:textId="77777777" w:rsidTr="00C41A2C">
        <w:trPr>
          <w:trHeight w:val="300"/>
          <w:jc w:val="center"/>
        </w:trPr>
        <w:tc>
          <w:tcPr>
            <w:tcW w:w="0" w:type="auto"/>
            <w:tcBorders>
              <w:top w:val="nil"/>
              <w:left w:val="nil"/>
              <w:bottom w:val="single" w:sz="4" w:space="0" w:color="auto"/>
              <w:right w:val="single" w:sz="4" w:space="0" w:color="auto"/>
            </w:tcBorders>
            <w:shd w:val="clear" w:color="auto" w:fill="auto"/>
            <w:noWrap/>
            <w:vAlign w:val="bottom"/>
            <w:hideMark/>
          </w:tcPr>
          <w:p w14:paraId="4692DB9C" w14:textId="77777777" w:rsidR="004F0EB0" w:rsidRPr="002652DD" w:rsidRDefault="004F0EB0" w:rsidP="00C41A2C">
            <w:pPr>
              <w:spacing w:line="240" w:lineRule="auto"/>
              <w:jc w:val="left"/>
              <w:rPr>
                <w:rFonts w:eastAsia="Times New Roman" w:cs="Times New Roman"/>
                <w:color w:val="000000"/>
                <w:sz w:val="20"/>
              </w:rPr>
            </w:pPr>
            <w:r w:rsidRPr="002652DD">
              <w:rPr>
                <w:rFonts w:eastAsia="Times New Roman" w:cs="Times New Roman"/>
                <w:color w:val="000000"/>
                <w:sz w:val="20"/>
              </w:rPr>
              <w:t>Election dummy</w:t>
            </w:r>
          </w:p>
        </w:tc>
        <w:tc>
          <w:tcPr>
            <w:tcW w:w="0" w:type="auto"/>
            <w:tcBorders>
              <w:top w:val="nil"/>
              <w:left w:val="single" w:sz="4" w:space="0" w:color="auto"/>
              <w:bottom w:val="single" w:sz="4" w:space="0" w:color="auto"/>
              <w:right w:val="nil"/>
            </w:tcBorders>
            <w:shd w:val="clear" w:color="auto" w:fill="auto"/>
            <w:noWrap/>
            <w:vAlign w:val="bottom"/>
            <w:hideMark/>
          </w:tcPr>
          <w:p w14:paraId="0AFFC40B"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0.51</w:t>
            </w:r>
          </w:p>
        </w:tc>
        <w:tc>
          <w:tcPr>
            <w:tcW w:w="0" w:type="auto"/>
            <w:tcBorders>
              <w:top w:val="nil"/>
              <w:left w:val="nil"/>
              <w:bottom w:val="single" w:sz="4" w:space="0" w:color="auto"/>
              <w:right w:val="nil"/>
            </w:tcBorders>
            <w:shd w:val="clear" w:color="auto" w:fill="auto"/>
            <w:noWrap/>
            <w:vAlign w:val="bottom"/>
            <w:hideMark/>
          </w:tcPr>
          <w:p w14:paraId="1110A1B5"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0.50</w:t>
            </w:r>
          </w:p>
        </w:tc>
        <w:tc>
          <w:tcPr>
            <w:tcW w:w="0" w:type="auto"/>
            <w:tcBorders>
              <w:top w:val="nil"/>
              <w:left w:val="nil"/>
              <w:bottom w:val="single" w:sz="4" w:space="0" w:color="auto"/>
              <w:right w:val="nil"/>
            </w:tcBorders>
            <w:shd w:val="clear" w:color="auto" w:fill="auto"/>
            <w:noWrap/>
            <w:vAlign w:val="bottom"/>
            <w:hideMark/>
          </w:tcPr>
          <w:p w14:paraId="461849B6"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0</w:t>
            </w:r>
          </w:p>
        </w:tc>
        <w:tc>
          <w:tcPr>
            <w:tcW w:w="1232" w:type="dxa"/>
            <w:tcBorders>
              <w:top w:val="nil"/>
              <w:left w:val="nil"/>
              <w:bottom w:val="single" w:sz="4" w:space="0" w:color="auto"/>
              <w:right w:val="nil"/>
            </w:tcBorders>
            <w:shd w:val="clear" w:color="auto" w:fill="auto"/>
            <w:noWrap/>
            <w:vAlign w:val="bottom"/>
            <w:hideMark/>
          </w:tcPr>
          <w:p w14:paraId="2CD0A45C" w14:textId="77777777" w:rsidR="004F0EB0" w:rsidRPr="002652DD" w:rsidRDefault="004F0EB0" w:rsidP="00C41A2C">
            <w:pPr>
              <w:spacing w:line="240" w:lineRule="auto"/>
              <w:jc w:val="center"/>
              <w:rPr>
                <w:rFonts w:eastAsia="Times New Roman" w:cs="Times New Roman"/>
                <w:color w:val="000000"/>
                <w:sz w:val="20"/>
              </w:rPr>
            </w:pPr>
            <w:r w:rsidRPr="002652DD">
              <w:rPr>
                <w:rFonts w:eastAsia="Times New Roman" w:cs="Times New Roman"/>
                <w:color w:val="000000"/>
                <w:sz w:val="20"/>
              </w:rPr>
              <w:t>1</w:t>
            </w:r>
          </w:p>
        </w:tc>
      </w:tr>
    </w:tbl>
    <w:p w14:paraId="7906A31C" w14:textId="557A058F" w:rsidR="004F0EB0" w:rsidRDefault="004F0EB0" w:rsidP="004F0EB0">
      <w:pPr>
        <w:jc w:val="center"/>
        <w:rPr>
          <w:b/>
        </w:rPr>
      </w:pPr>
    </w:p>
    <w:p w14:paraId="45343244" w14:textId="70FAAE52" w:rsidR="004F0EB0" w:rsidRDefault="004F0EB0">
      <w:pPr>
        <w:rPr>
          <w:b/>
        </w:rPr>
      </w:pPr>
      <w:r>
        <w:rPr>
          <w:b/>
        </w:rPr>
        <w:br w:type="page"/>
      </w:r>
    </w:p>
    <w:p w14:paraId="1C8A7B16" w14:textId="77777777" w:rsidR="004F0EB0" w:rsidRDefault="004F0EB0" w:rsidP="004F0EB0">
      <w:pPr>
        <w:jc w:val="center"/>
        <w:rPr>
          <w:b/>
        </w:rPr>
        <w:sectPr w:rsidR="004F0EB0" w:rsidSect="00F24C0E">
          <w:endnotePr>
            <w:numFmt w:val="decimal"/>
          </w:endnotePr>
          <w:pgSz w:w="12240" w:h="15840" w:code="1"/>
          <w:pgMar w:top="1440" w:right="1440" w:bottom="1440" w:left="1440" w:header="720" w:footer="720" w:gutter="0"/>
          <w:cols w:space="720"/>
          <w:docGrid w:linePitch="360"/>
        </w:sectPr>
      </w:pPr>
    </w:p>
    <w:p w14:paraId="0EAC5AC4" w14:textId="77777777" w:rsidR="004F0EB0" w:rsidRPr="00A103CF" w:rsidRDefault="004F0EB0" w:rsidP="004F0EB0">
      <w:pPr>
        <w:jc w:val="center"/>
        <w:rPr>
          <w:b/>
        </w:rPr>
      </w:pPr>
      <w:r w:rsidRPr="0003506A">
        <w:rPr>
          <w:b/>
        </w:rPr>
        <w:lastRenderedPageBreak/>
        <w:t xml:space="preserve">Table </w:t>
      </w:r>
      <w:r>
        <w:rPr>
          <w:b/>
        </w:rPr>
        <w:t>2</w:t>
      </w:r>
      <w:r w:rsidRPr="0003506A">
        <w:rPr>
          <w:b/>
        </w:rPr>
        <w:t>. Determinants of preferential vote</w:t>
      </w:r>
      <w:r>
        <w:rPr>
          <w:b/>
        </w:rPr>
        <w:t xml:space="preserve"> with </w:t>
      </w:r>
      <w:r>
        <w:rPr>
          <w:b/>
          <w:i/>
        </w:rPr>
        <w:t xml:space="preserve">Combat days </w:t>
      </w:r>
      <w:r>
        <w:rPr>
          <w:b/>
        </w:rPr>
        <w:t>as an explanatory variable</w:t>
      </w:r>
    </w:p>
    <w:p w14:paraId="0522D2C5" w14:textId="77777777" w:rsidR="004F0EB0" w:rsidRPr="0003506A" w:rsidRDefault="004F0EB0" w:rsidP="004F0EB0">
      <w:pPr>
        <w:jc w:val="center"/>
        <w:rPr>
          <w:b/>
        </w:rPr>
      </w:pPr>
    </w:p>
    <w:tbl>
      <w:tblPr>
        <w:tblStyle w:val="TableGrid"/>
        <w:tblW w:w="12588" w:type="dxa"/>
        <w:jc w:val="center"/>
        <w:tblLook w:val="04A0" w:firstRow="1" w:lastRow="0" w:firstColumn="1" w:lastColumn="0" w:noHBand="0" w:noVBand="1"/>
      </w:tblPr>
      <w:tblGrid>
        <w:gridCol w:w="3955"/>
        <w:gridCol w:w="810"/>
        <w:gridCol w:w="810"/>
        <w:gridCol w:w="540"/>
        <w:gridCol w:w="810"/>
        <w:gridCol w:w="810"/>
        <w:gridCol w:w="533"/>
        <w:gridCol w:w="817"/>
        <w:gridCol w:w="810"/>
        <w:gridCol w:w="540"/>
        <w:gridCol w:w="810"/>
        <w:gridCol w:w="810"/>
        <w:gridCol w:w="533"/>
      </w:tblGrid>
      <w:tr w:rsidR="004F0EB0" w:rsidRPr="0003506A" w14:paraId="25A8BA47" w14:textId="77777777" w:rsidTr="00C41A2C">
        <w:trPr>
          <w:trHeight w:val="288"/>
          <w:jc w:val="center"/>
        </w:trPr>
        <w:tc>
          <w:tcPr>
            <w:tcW w:w="3955" w:type="dxa"/>
            <w:tcBorders>
              <w:top w:val="single" w:sz="4" w:space="0" w:color="auto"/>
              <w:left w:val="nil"/>
              <w:bottom w:val="nil"/>
              <w:right w:val="single" w:sz="4" w:space="0" w:color="auto"/>
            </w:tcBorders>
            <w:noWrap/>
            <w:vAlign w:val="center"/>
            <w:hideMark/>
          </w:tcPr>
          <w:p w14:paraId="23FC8092" w14:textId="77777777" w:rsidR="004F0EB0" w:rsidRPr="0003506A" w:rsidRDefault="004F0EB0" w:rsidP="00C41A2C">
            <w:pPr>
              <w:rPr>
                <w:rFonts w:cs="Times New Roman"/>
                <w:sz w:val="20"/>
                <w:szCs w:val="20"/>
              </w:rPr>
            </w:pPr>
          </w:p>
        </w:tc>
        <w:tc>
          <w:tcPr>
            <w:tcW w:w="2160" w:type="dxa"/>
            <w:gridSpan w:val="3"/>
            <w:tcBorders>
              <w:top w:val="single" w:sz="4" w:space="0" w:color="auto"/>
              <w:left w:val="single" w:sz="4" w:space="0" w:color="auto"/>
              <w:bottom w:val="nil"/>
              <w:right w:val="single" w:sz="4" w:space="0" w:color="auto"/>
            </w:tcBorders>
            <w:noWrap/>
            <w:vAlign w:val="center"/>
            <w:hideMark/>
          </w:tcPr>
          <w:p w14:paraId="28DD32F0" w14:textId="77777777" w:rsidR="004F0EB0" w:rsidRPr="0003506A" w:rsidRDefault="004F0EB0" w:rsidP="00C41A2C">
            <w:pPr>
              <w:jc w:val="center"/>
              <w:rPr>
                <w:rFonts w:cs="Times New Roman"/>
                <w:sz w:val="20"/>
                <w:szCs w:val="20"/>
              </w:rPr>
            </w:pPr>
            <w:r w:rsidRPr="0003506A">
              <w:rPr>
                <w:rFonts w:cs="Times New Roman"/>
                <w:sz w:val="20"/>
                <w:szCs w:val="20"/>
              </w:rPr>
              <w:t>Model 1</w:t>
            </w:r>
          </w:p>
        </w:tc>
        <w:tc>
          <w:tcPr>
            <w:tcW w:w="2153" w:type="dxa"/>
            <w:gridSpan w:val="3"/>
            <w:tcBorders>
              <w:top w:val="single" w:sz="4" w:space="0" w:color="auto"/>
              <w:left w:val="single" w:sz="4" w:space="0" w:color="auto"/>
              <w:bottom w:val="nil"/>
              <w:right w:val="single" w:sz="4" w:space="0" w:color="auto"/>
            </w:tcBorders>
            <w:noWrap/>
            <w:vAlign w:val="center"/>
            <w:hideMark/>
          </w:tcPr>
          <w:p w14:paraId="48F7E91E" w14:textId="77777777" w:rsidR="004F0EB0" w:rsidRPr="0003506A" w:rsidRDefault="004F0EB0" w:rsidP="00C41A2C">
            <w:pPr>
              <w:jc w:val="center"/>
              <w:rPr>
                <w:rFonts w:cs="Times New Roman"/>
                <w:sz w:val="20"/>
                <w:szCs w:val="20"/>
              </w:rPr>
            </w:pPr>
            <w:r w:rsidRPr="0003506A">
              <w:rPr>
                <w:rFonts w:cs="Times New Roman"/>
                <w:sz w:val="20"/>
                <w:szCs w:val="20"/>
              </w:rPr>
              <w:t>Model 2</w:t>
            </w:r>
          </w:p>
        </w:tc>
        <w:tc>
          <w:tcPr>
            <w:tcW w:w="2167" w:type="dxa"/>
            <w:gridSpan w:val="3"/>
            <w:tcBorders>
              <w:top w:val="single" w:sz="4" w:space="0" w:color="auto"/>
              <w:left w:val="single" w:sz="4" w:space="0" w:color="auto"/>
              <w:bottom w:val="nil"/>
              <w:right w:val="single" w:sz="4" w:space="0" w:color="auto"/>
            </w:tcBorders>
            <w:noWrap/>
            <w:vAlign w:val="center"/>
            <w:hideMark/>
          </w:tcPr>
          <w:p w14:paraId="69B70C1F" w14:textId="77777777" w:rsidR="004F0EB0" w:rsidRPr="0003506A" w:rsidRDefault="004F0EB0" w:rsidP="00C41A2C">
            <w:pPr>
              <w:jc w:val="center"/>
              <w:rPr>
                <w:rFonts w:cs="Times New Roman"/>
                <w:sz w:val="20"/>
                <w:szCs w:val="20"/>
              </w:rPr>
            </w:pPr>
            <w:r w:rsidRPr="0003506A">
              <w:rPr>
                <w:rFonts w:cs="Times New Roman"/>
                <w:sz w:val="20"/>
                <w:szCs w:val="20"/>
              </w:rPr>
              <w:t>Model 3</w:t>
            </w:r>
          </w:p>
        </w:tc>
        <w:tc>
          <w:tcPr>
            <w:tcW w:w="2153" w:type="dxa"/>
            <w:gridSpan w:val="3"/>
            <w:tcBorders>
              <w:top w:val="single" w:sz="4" w:space="0" w:color="auto"/>
              <w:left w:val="single" w:sz="4" w:space="0" w:color="auto"/>
              <w:bottom w:val="nil"/>
              <w:right w:val="nil"/>
            </w:tcBorders>
            <w:noWrap/>
            <w:vAlign w:val="center"/>
            <w:hideMark/>
          </w:tcPr>
          <w:p w14:paraId="2E58F481" w14:textId="77777777" w:rsidR="004F0EB0" w:rsidRPr="0003506A" w:rsidRDefault="004F0EB0" w:rsidP="00C41A2C">
            <w:pPr>
              <w:jc w:val="center"/>
              <w:rPr>
                <w:rFonts w:cs="Times New Roman"/>
                <w:sz w:val="20"/>
                <w:szCs w:val="20"/>
              </w:rPr>
            </w:pPr>
            <w:r w:rsidRPr="0003506A">
              <w:rPr>
                <w:rFonts w:cs="Times New Roman"/>
                <w:sz w:val="20"/>
                <w:szCs w:val="20"/>
              </w:rPr>
              <w:t>Model 4</w:t>
            </w:r>
          </w:p>
        </w:tc>
      </w:tr>
      <w:tr w:rsidR="004F0EB0" w:rsidRPr="0003506A" w14:paraId="52745C06" w14:textId="77777777" w:rsidTr="00C41A2C">
        <w:trPr>
          <w:trHeight w:val="288"/>
          <w:jc w:val="center"/>
        </w:trPr>
        <w:tc>
          <w:tcPr>
            <w:tcW w:w="3955" w:type="dxa"/>
            <w:tcBorders>
              <w:top w:val="nil"/>
              <w:left w:val="nil"/>
              <w:bottom w:val="single" w:sz="4" w:space="0" w:color="auto"/>
              <w:right w:val="single" w:sz="4" w:space="0" w:color="auto"/>
            </w:tcBorders>
            <w:noWrap/>
            <w:vAlign w:val="center"/>
            <w:hideMark/>
          </w:tcPr>
          <w:p w14:paraId="54FEFF39" w14:textId="77777777" w:rsidR="004F0EB0" w:rsidRPr="0003506A" w:rsidRDefault="004F0EB0" w:rsidP="00C41A2C">
            <w:pPr>
              <w:rPr>
                <w:rFonts w:cs="Times New Roman"/>
                <w:sz w:val="20"/>
                <w:szCs w:val="20"/>
              </w:rPr>
            </w:pPr>
          </w:p>
        </w:tc>
        <w:tc>
          <w:tcPr>
            <w:tcW w:w="810" w:type="dxa"/>
            <w:tcBorders>
              <w:top w:val="nil"/>
              <w:left w:val="single" w:sz="4" w:space="0" w:color="auto"/>
              <w:bottom w:val="single" w:sz="4" w:space="0" w:color="auto"/>
              <w:right w:val="nil"/>
            </w:tcBorders>
            <w:noWrap/>
            <w:vAlign w:val="center"/>
            <w:hideMark/>
          </w:tcPr>
          <w:p w14:paraId="559207D8" w14:textId="77777777" w:rsidR="004F0EB0" w:rsidRPr="0003506A" w:rsidRDefault="004F0EB0" w:rsidP="00C41A2C">
            <w:pPr>
              <w:jc w:val="center"/>
              <w:rPr>
                <w:rFonts w:cs="Times New Roman"/>
                <w:sz w:val="20"/>
                <w:szCs w:val="20"/>
              </w:rPr>
            </w:pPr>
            <w:r w:rsidRPr="0003506A">
              <w:rPr>
                <w:rFonts w:cs="Times New Roman"/>
                <w:sz w:val="20"/>
                <w:szCs w:val="20"/>
              </w:rPr>
              <w:t>B</w:t>
            </w:r>
          </w:p>
        </w:tc>
        <w:tc>
          <w:tcPr>
            <w:tcW w:w="810" w:type="dxa"/>
            <w:tcBorders>
              <w:top w:val="nil"/>
              <w:left w:val="nil"/>
              <w:bottom w:val="single" w:sz="4" w:space="0" w:color="auto"/>
              <w:right w:val="nil"/>
            </w:tcBorders>
            <w:noWrap/>
            <w:vAlign w:val="center"/>
            <w:hideMark/>
          </w:tcPr>
          <w:p w14:paraId="5E43D703" w14:textId="77777777" w:rsidR="004F0EB0" w:rsidRPr="0003506A" w:rsidRDefault="004F0EB0" w:rsidP="00C41A2C">
            <w:pPr>
              <w:jc w:val="center"/>
              <w:rPr>
                <w:rFonts w:cs="Times New Roman"/>
                <w:sz w:val="20"/>
                <w:szCs w:val="20"/>
              </w:rPr>
            </w:pPr>
            <w:r w:rsidRPr="0003506A">
              <w:rPr>
                <w:rFonts w:cs="Times New Roman"/>
                <w:sz w:val="20"/>
                <w:szCs w:val="20"/>
              </w:rPr>
              <w:t>S.E.</w:t>
            </w:r>
          </w:p>
        </w:tc>
        <w:tc>
          <w:tcPr>
            <w:tcW w:w="540" w:type="dxa"/>
            <w:tcBorders>
              <w:top w:val="nil"/>
              <w:left w:val="nil"/>
              <w:bottom w:val="single" w:sz="4" w:space="0" w:color="auto"/>
              <w:right w:val="single" w:sz="4" w:space="0" w:color="auto"/>
            </w:tcBorders>
            <w:noWrap/>
            <w:vAlign w:val="center"/>
            <w:hideMark/>
          </w:tcPr>
          <w:p w14:paraId="6B9C7D5B" w14:textId="77777777" w:rsidR="004F0EB0" w:rsidRPr="0003506A" w:rsidRDefault="004F0EB0" w:rsidP="00C41A2C">
            <w:pPr>
              <w:jc w:val="center"/>
              <w:rPr>
                <w:rFonts w:cs="Times New Roman"/>
                <w:sz w:val="20"/>
                <w:szCs w:val="20"/>
              </w:rPr>
            </w:pPr>
            <w:r w:rsidRPr="0003506A">
              <w:rPr>
                <w:rFonts w:cs="Times New Roman"/>
                <w:sz w:val="20"/>
                <w:szCs w:val="20"/>
              </w:rPr>
              <w:t>Sig.</w:t>
            </w:r>
          </w:p>
        </w:tc>
        <w:tc>
          <w:tcPr>
            <w:tcW w:w="810" w:type="dxa"/>
            <w:tcBorders>
              <w:top w:val="nil"/>
              <w:left w:val="single" w:sz="4" w:space="0" w:color="auto"/>
              <w:bottom w:val="single" w:sz="4" w:space="0" w:color="auto"/>
              <w:right w:val="nil"/>
            </w:tcBorders>
            <w:noWrap/>
            <w:vAlign w:val="center"/>
            <w:hideMark/>
          </w:tcPr>
          <w:p w14:paraId="6D820225" w14:textId="77777777" w:rsidR="004F0EB0" w:rsidRPr="0003506A" w:rsidRDefault="004F0EB0" w:rsidP="00C41A2C">
            <w:pPr>
              <w:jc w:val="center"/>
              <w:rPr>
                <w:rFonts w:cs="Times New Roman"/>
                <w:sz w:val="20"/>
                <w:szCs w:val="20"/>
              </w:rPr>
            </w:pPr>
            <w:r w:rsidRPr="0003506A">
              <w:rPr>
                <w:rFonts w:cs="Times New Roman"/>
                <w:sz w:val="20"/>
                <w:szCs w:val="20"/>
              </w:rPr>
              <w:t>B</w:t>
            </w:r>
          </w:p>
        </w:tc>
        <w:tc>
          <w:tcPr>
            <w:tcW w:w="810" w:type="dxa"/>
            <w:tcBorders>
              <w:top w:val="nil"/>
              <w:left w:val="nil"/>
              <w:bottom w:val="single" w:sz="4" w:space="0" w:color="auto"/>
              <w:right w:val="nil"/>
            </w:tcBorders>
            <w:noWrap/>
            <w:vAlign w:val="center"/>
            <w:hideMark/>
          </w:tcPr>
          <w:p w14:paraId="2F992979" w14:textId="77777777" w:rsidR="004F0EB0" w:rsidRPr="0003506A" w:rsidRDefault="004F0EB0" w:rsidP="00C41A2C">
            <w:pPr>
              <w:jc w:val="center"/>
              <w:rPr>
                <w:rFonts w:cs="Times New Roman"/>
                <w:sz w:val="20"/>
                <w:szCs w:val="20"/>
              </w:rPr>
            </w:pPr>
            <w:r w:rsidRPr="0003506A">
              <w:rPr>
                <w:rFonts w:cs="Times New Roman"/>
                <w:sz w:val="20"/>
                <w:szCs w:val="20"/>
              </w:rPr>
              <w:t>S.E.</w:t>
            </w:r>
          </w:p>
        </w:tc>
        <w:tc>
          <w:tcPr>
            <w:tcW w:w="533" w:type="dxa"/>
            <w:tcBorders>
              <w:top w:val="nil"/>
              <w:left w:val="nil"/>
              <w:bottom w:val="single" w:sz="4" w:space="0" w:color="auto"/>
              <w:right w:val="single" w:sz="4" w:space="0" w:color="auto"/>
            </w:tcBorders>
            <w:noWrap/>
            <w:vAlign w:val="center"/>
            <w:hideMark/>
          </w:tcPr>
          <w:p w14:paraId="21D8CD51" w14:textId="77777777" w:rsidR="004F0EB0" w:rsidRPr="0003506A" w:rsidRDefault="004F0EB0" w:rsidP="00C41A2C">
            <w:pPr>
              <w:jc w:val="center"/>
              <w:rPr>
                <w:rFonts w:cs="Times New Roman"/>
                <w:sz w:val="20"/>
                <w:szCs w:val="20"/>
              </w:rPr>
            </w:pPr>
            <w:r w:rsidRPr="0003506A">
              <w:rPr>
                <w:rFonts w:cs="Times New Roman"/>
                <w:sz w:val="20"/>
                <w:szCs w:val="20"/>
              </w:rPr>
              <w:t>Sig.</w:t>
            </w:r>
          </w:p>
        </w:tc>
        <w:tc>
          <w:tcPr>
            <w:tcW w:w="817" w:type="dxa"/>
            <w:tcBorders>
              <w:top w:val="nil"/>
              <w:left w:val="single" w:sz="4" w:space="0" w:color="auto"/>
              <w:bottom w:val="single" w:sz="4" w:space="0" w:color="auto"/>
              <w:right w:val="nil"/>
            </w:tcBorders>
            <w:noWrap/>
            <w:vAlign w:val="center"/>
            <w:hideMark/>
          </w:tcPr>
          <w:p w14:paraId="15496569" w14:textId="77777777" w:rsidR="004F0EB0" w:rsidRPr="0003506A" w:rsidRDefault="004F0EB0" w:rsidP="00C41A2C">
            <w:pPr>
              <w:jc w:val="center"/>
              <w:rPr>
                <w:rFonts w:cs="Times New Roman"/>
                <w:sz w:val="20"/>
                <w:szCs w:val="20"/>
              </w:rPr>
            </w:pPr>
            <w:r w:rsidRPr="0003506A">
              <w:rPr>
                <w:rFonts w:cs="Times New Roman"/>
                <w:sz w:val="20"/>
                <w:szCs w:val="20"/>
              </w:rPr>
              <w:t>B</w:t>
            </w:r>
          </w:p>
        </w:tc>
        <w:tc>
          <w:tcPr>
            <w:tcW w:w="810" w:type="dxa"/>
            <w:tcBorders>
              <w:top w:val="nil"/>
              <w:left w:val="nil"/>
              <w:bottom w:val="single" w:sz="4" w:space="0" w:color="auto"/>
              <w:right w:val="nil"/>
            </w:tcBorders>
            <w:noWrap/>
            <w:vAlign w:val="center"/>
            <w:hideMark/>
          </w:tcPr>
          <w:p w14:paraId="3BC41D79" w14:textId="77777777" w:rsidR="004F0EB0" w:rsidRPr="0003506A" w:rsidRDefault="004F0EB0" w:rsidP="00C41A2C">
            <w:pPr>
              <w:jc w:val="center"/>
              <w:rPr>
                <w:rFonts w:cs="Times New Roman"/>
                <w:sz w:val="20"/>
                <w:szCs w:val="20"/>
              </w:rPr>
            </w:pPr>
            <w:r w:rsidRPr="0003506A">
              <w:rPr>
                <w:rFonts w:cs="Times New Roman"/>
                <w:sz w:val="20"/>
                <w:szCs w:val="20"/>
              </w:rPr>
              <w:t>S.E.</w:t>
            </w:r>
          </w:p>
        </w:tc>
        <w:tc>
          <w:tcPr>
            <w:tcW w:w="540" w:type="dxa"/>
            <w:tcBorders>
              <w:top w:val="nil"/>
              <w:left w:val="nil"/>
              <w:bottom w:val="single" w:sz="4" w:space="0" w:color="auto"/>
              <w:right w:val="single" w:sz="4" w:space="0" w:color="auto"/>
            </w:tcBorders>
            <w:noWrap/>
            <w:vAlign w:val="center"/>
            <w:hideMark/>
          </w:tcPr>
          <w:p w14:paraId="6DAB8ADD" w14:textId="77777777" w:rsidR="004F0EB0" w:rsidRPr="0003506A" w:rsidRDefault="004F0EB0" w:rsidP="00C41A2C">
            <w:pPr>
              <w:jc w:val="center"/>
              <w:rPr>
                <w:rFonts w:cs="Times New Roman"/>
                <w:sz w:val="20"/>
                <w:szCs w:val="20"/>
              </w:rPr>
            </w:pPr>
            <w:r w:rsidRPr="0003506A">
              <w:rPr>
                <w:rFonts w:cs="Times New Roman"/>
                <w:sz w:val="20"/>
                <w:szCs w:val="20"/>
              </w:rPr>
              <w:t>Sig.</w:t>
            </w:r>
          </w:p>
        </w:tc>
        <w:tc>
          <w:tcPr>
            <w:tcW w:w="810" w:type="dxa"/>
            <w:tcBorders>
              <w:top w:val="nil"/>
              <w:left w:val="single" w:sz="4" w:space="0" w:color="auto"/>
              <w:bottom w:val="single" w:sz="4" w:space="0" w:color="auto"/>
              <w:right w:val="nil"/>
            </w:tcBorders>
            <w:noWrap/>
            <w:vAlign w:val="center"/>
            <w:hideMark/>
          </w:tcPr>
          <w:p w14:paraId="68FB2D4E" w14:textId="77777777" w:rsidR="004F0EB0" w:rsidRPr="0003506A" w:rsidRDefault="004F0EB0" w:rsidP="00C41A2C">
            <w:pPr>
              <w:jc w:val="center"/>
              <w:rPr>
                <w:rFonts w:cs="Times New Roman"/>
                <w:sz w:val="20"/>
                <w:szCs w:val="20"/>
              </w:rPr>
            </w:pPr>
            <w:r w:rsidRPr="0003506A">
              <w:rPr>
                <w:rFonts w:cs="Times New Roman"/>
                <w:sz w:val="20"/>
                <w:szCs w:val="20"/>
              </w:rPr>
              <w:t>B</w:t>
            </w:r>
          </w:p>
        </w:tc>
        <w:tc>
          <w:tcPr>
            <w:tcW w:w="810" w:type="dxa"/>
            <w:tcBorders>
              <w:top w:val="nil"/>
              <w:left w:val="nil"/>
              <w:bottom w:val="single" w:sz="4" w:space="0" w:color="auto"/>
              <w:right w:val="nil"/>
            </w:tcBorders>
            <w:noWrap/>
            <w:vAlign w:val="center"/>
            <w:hideMark/>
          </w:tcPr>
          <w:p w14:paraId="0705EE45" w14:textId="77777777" w:rsidR="004F0EB0" w:rsidRPr="0003506A" w:rsidRDefault="004F0EB0" w:rsidP="00C41A2C">
            <w:pPr>
              <w:jc w:val="center"/>
              <w:rPr>
                <w:rFonts w:cs="Times New Roman"/>
                <w:sz w:val="20"/>
                <w:szCs w:val="20"/>
              </w:rPr>
            </w:pPr>
            <w:r w:rsidRPr="0003506A">
              <w:rPr>
                <w:rFonts w:cs="Times New Roman"/>
                <w:sz w:val="20"/>
                <w:szCs w:val="20"/>
              </w:rPr>
              <w:t>S.E.</w:t>
            </w:r>
          </w:p>
        </w:tc>
        <w:tc>
          <w:tcPr>
            <w:tcW w:w="533" w:type="dxa"/>
            <w:tcBorders>
              <w:top w:val="nil"/>
              <w:left w:val="nil"/>
              <w:bottom w:val="single" w:sz="4" w:space="0" w:color="auto"/>
              <w:right w:val="nil"/>
            </w:tcBorders>
            <w:noWrap/>
            <w:vAlign w:val="center"/>
            <w:hideMark/>
          </w:tcPr>
          <w:p w14:paraId="099273E2" w14:textId="77777777" w:rsidR="004F0EB0" w:rsidRPr="0003506A" w:rsidRDefault="004F0EB0" w:rsidP="00C41A2C">
            <w:pPr>
              <w:jc w:val="center"/>
              <w:rPr>
                <w:rFonts w:cs="Times New Roman"/>
                <w:sz w:val="20"/>
                <w:szCs w:val="20"/>
              </w:rPr>
            </w:pPr>
            <w:r w:rsidRPr="0003506A">
              <w:rPr>
                <w:rFonts w:cs="Times New Roman"/>
                <w:sz w:val="20"/>
                <w:szCs w:val="20"/>
              </w:rPr>
              <w:t>Sig.</w:t>
            </w:r>
          </w:p>
        </w:tc>
      </w:tr>
      <w:tr w:rsidR="004F0EB0" w:rsidRPr="0003506A" w14:paraId="76815B40" w14:textId="77777777" w:rsidTr="00C41A2C">
        <w:trPr>
          <w:trHeight w:val="288"/>
          <w:jc w:val="center"/>
        </w:trPr>
        <w:tc>
          <w:tcPr>
            <w:tcW w:w="3955" w:type="dxa"/>
            <w:tcBorders>
              <w:top w:val="single" w:sz="4" w:space="0" w:color="auto"/>
              <w:left w:val="nil"/>
              <w:bottom w:val="nil"/>
              <w:right w:val="single" w:sz="4" w:space="0" w:color="auto"/>
            </w:tcBorders>
            <w:noWrap/>
            <w:vAlign w:val="center"/>
            <w:hideMark/>
          </w:tcPr>
          <w:p w14:paraId="54FB317D" w14:textId="77777777" w:rsidR="004F0EB0" w:rsidRPr="0003506A" w:rsidRDefault="004F0EB0" w:rsidP="00C41A2C">
            <w:pPr>
              <w:rPr>
                <w:rFonts w:cs="Times New Roman"/>
                <w:sz w:val="20"/>
                <w:szCs w:val="20"/>
              </w:rPr>
            </w:pPr>
            <w:r w:rsidRPr="0003506A">
              <w:rPr>
                <w:rFonts w:cs="Times New Roman"/>
                <w:sz w:val="20"/>
                <w:szCs w:val="20"/>
              </w:rPr>
              <w:t>Combat days</w:t>
            </w:r>
          </w:p>
        </w:tc>
        <w:tc>
          <w:tcPr>
            <w:tcW w:w="810" w:type="dxa"/>
            <w:tcBorders>
              <w:top w:val="single" w:sz="4" w:space="0" w:color="auto"/>
              <w:left w:val="single" w:sz="4" w:space="0" w:color="auto"/>
              <w:bottom w:val="nil"/>
              <w:right w:val="nil"/>
            </w:tcBorders>
            <w:noWrap/>
            <w:vAlign w:val="center"/>
            <w:hideMark/>
          </w:tcPr>
          <w:p w14:paraId="43A6640C"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5x10</w:t>
            </w:r>
            <w:r w:rsidRPr="0003506A">
              <w:rPr>
                <w:rFonts w:cs="Times New Roman"/>
                <w:sz w:val="20"/>
                <w:szCs w:val="20"/>
                <w:vertAlign w:val="superscript"/>
              </w:rPr>
              <w:t>-5</w:t>
            </w:r>
          </w:p>
        </w:tc>
        <w:tc>
          <w:tcPr>
            <w:tcW w:w="810" w:type="dxa"/>
            <w:tcBorders>
              <w:top w:val="single" w:sz="4" w:space="0" w:color="auto"/>
              <w:left w:val="nil"/>
              <w:bottom w:val="nil"/>
              <w:right w:val="nil"/>
            </w:tcBorders>
            <w:noWrap/>
            <w:vAlign w:val="center"/>
            <w:hideMark/>
          </w:tcPr>
          <w:p w14:paraId="6158FFD1"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2x10</w:t>
            </w:r>
            <w:r w:rsidRPr="0003506A">
              <w:rPr>
                <w:rFonts w:cs="Times New Roman"/>
                <w:sz w:val="20"/>
                <w:szCs w:val="20"/>
                <w:vertAlign w:val="superscript"/>
              </w:rPr>
              <w:t>-5</w:t>
            </w:r>
          </w:p>
        </w:tc>
        <w:tc>
          <w:tcPr>
            <w:tcW w:w="540" w:type="dxa"/>
            <w:tcBorders>
              <w:top w:val="single" w:sz="4" w:space="0" w:color="auto"/>
              <w:left w:val="nil"/>
              <w:bottom w:val="nil"/>
              <w:right w:val="single" w:sz="4" w:space="0" w:color="auto"/>
            </w:tcBorders>
            <w:noWrap/>
            <w:vAlign w:val="center"/>
            <w:hideMark/>
          </w:tcPr>
          <w:p w14:paraId="2E5ADE80"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single" w:sz="4" w:space="0" w:color="auto"/>
              <w:left w:val="single" w:sz="4" w:space="0" w:color="auto"/>
              <w:bottom w:val="nil"/>
              <w:right w:val="nil"/>
            </w:tcBorders>
            <w:noWrap/>
            <w:vAlign w:val="center"/>
            <w:hideMark/>
          </w:tcPr>
          <w:p w14:paraId="6F16ABB7"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-7x10</w:t>
            </w:r>
            <w:r w:rsidRPr="0003506A">
              <w:rPr>
                <w:rFonts w:cs="Times New Roman"/>
                <w:sz w:val="20"/>
                <w:szCs w:val="20"/>
                <w:vertAlign w:val="superscript"/>
              </w:rPr>
              <w:t>-5</w:t>
            </w:r>
          </w:p>
        </w:tc>
        <w:tc>
          <w:tcPr>
            <w:tcW w:w="810" w:type="dxa"/>
            <w:tcBorders>
              <w:top w:val="single" w:sz="4" w:space="0" w:color="auto"/>
              <w:left w:val="nil"/>
              <w:bottom w:val="nil"/>
              <w:right w:val="nil"/>
            </w:tcBorders>
            <w:noWrap/>
            <w:vAlign w:val="center"/>
            <w:hideMark/>
          </w:tcPr>
          <w:p w14:paraId="53C675CE"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2x10</w:t>
            </w:r>
            <w:r w:rsidRPr="0003506A">
              <w:rPr>
                <w:rFonts w:cs="Times New Roman"/>
                <w:sz w:val="20"/>
                <w:szCs w:val="20"/>
                <w:vertAlign w:val="superscript"/>
              </w:rPr>
              <w:t>-5</w:t>
            </w:r>
          </w:p>
        </w:tc>
        <w:tc>
          <w:tcPr>
            <w:tcW w:w="533" w:type="dxa"/>
            <w:tcBorders>
              <w:top w:val="single" w:sz="4" w:space="0" w:color="auto"/>
              <w:left w:val="nil"/>
              <w:bottom w:val="nil"/>
              <w:right w:val="single" w:sz="4" w:space="0" w:color="auto"/>
            </w:tcBorders>
            <w:noWrap/>
            <w:vAlign w:val="center"/>
            <w:hideMark/>
          </w:tcPr>
          <w:p w14:paraId="7FA23015"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single" w:sz="4" w:space="0" w:color="auto"/>
              <w:left w:val="single" w:sz="4" w:space="0" w:color="auto"/>
              <w:bottom w:val="nil"/>
              <w:right w:val="nil"/>
            </w:tcBorders>
            <w:noWrap/>
            <w:vAlign w:val="center"/>
            <w:hideMark/>
          </w:tcPr>
          <w:p w14:paraId="0C1B8414"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-2x10</w:t>
            </w:r>
            <w:r w:rsidRPr="0003506A">
              <w:rPr>
                <w:rFonts w:cs="Times New Roman"/>
                <w:sz w:val="20"/>
                <w:szCs w:val="20"/>
                <w:vertAlign w:val="superscript"/>
              </w:rPr>
              <w:t>-5</w:t>
            </w:r>
          </w:p>
        </w:tc>
        <w:tc>
          <w:tcPr>
            <w:tcW w:w="810" w:type="dxa"/>
            <w:tcBorders>
              <w:top w:val="single" w:sz="4" w:space="0" w:color="auto"/>
              <w:left w:val="nil"/>
              <w:bottom w:val="nil"/>
              <w:right w:val="nil"/>
            </w:tcBorders>
            <w:noWrap/>
            <w:vAlign w:val="center"/>
            <w:hideMark/>
          </w:tcPr>
          <w:p w14:paraId="16A69CDB"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5x10</w:t>
            </w:r>
            <w:r w:rsidRPr="0003506A">
              <w:rPr>
                <w:rFonts w:cs="Times New Roman"/>
                <w:sz w:val="20"/>
                <w:szCs w:val="20"/>
                <w:vertAlign w:val="superscript"/>
              </w:rPr>
              <w:t>-5</w:t>
            </w:r>
          </w:p>
        </w:tc>
        <w:tc>
          <w:tcPr>
            <w:tcW w:w="540" w:type="dxa"/>
            <w:tcBorders>
              <w:top w:val="single" w:sz="4" w:space="0" w:color="auto"/>
              <w:left w:val="nil"/>
              <w:bottom w:val="nil"/>
              <w:right w:val="single" w:sz="4" w:space="0" w:color="auto"/>
            </w:tcBorders>
            <w:noWrap/>
            <w:vAlign w:val="center"/>
            <w:hideMark/>
          </w:tcPr>
          <w:p w14:paraId="10DC29C5" w14:textId="77777777" w:rsidR="004F0EB0" w:rsidRPr="0003506A" w:rsidRDefault="004F0EB0" w:rsidP="00C41A2C">
            <w:pPr>
              <w:jc w:val="center"/>
              <w:rPr>
                <w:rFonts w:cs="Times New Roman"/>
                <w:sz w:val="20"/>
                <w:szCs w:val="20"/>
              </w:rPr>
            </w:pPr>
          </w:p>
        </w:tc>
        <w:tc>
          <w:tcPr>
            <w:tcW w:w="810" w:type="dxa"/>
            <w:tcBorders>
              <w:top w:val="single" w:sz="4" w:space="0" w:color="auto"/>
              <w:left w:val="single" w:sz="4" w:space="0" w:color="auto"/>
              <w:bottom w:val="nil"/>
              <w:right w:val="nil"/>
            </w:tcBorders>
            <w:noWrap/>
            <w:vAlign w:val="center"/>
            <w:hideMark/>
          </w:tcPr>
          <w:p w14:paraId="693B247C"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4x10</w:t>
            </w:r>
            <w:r w:rsidRPr="0003506A">
              <w:rPr>
                <w:rFonts w:cs="Times New Roman"/>
                <w:sz w:val="20"/>
                <w:szCs w:val="20"/>
                <w:vertAlign w:val="superscript"/>
              </w:rPr>
              <w:t>-6</w:t>
            </w:r>
          </w:p>
        </w:tc>
        <w:tc>
          <w:tcPr>
            <w:tcW w:w="810" w:type="dxa"/>
            <w:tcBorders>
              <w:top w:val="single" w:sz="4" w:space="0" w:color="auto"/>
              <w:left w:val="nil"/>
              <w:bottom w:val="nil"/>
              <w:right w:val="nil"/>
            </w:tcBorders>
            <w:noWrap/>
            <w:vAlign w:val="center"/>
            <w:hideMark/>
          </w:tcPr>
          <w:p w14:paraId="1CF3928C"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5x10</w:t>
            </w:r>
            <w:r w:rsidRPr="0003506A">
              <w:rPr>
                <w:rFonts w:cs="Times New Roman"/>
                <w:sz w:val="20"/>
                <w:szCs w:val="20"/>
                <w:vertAlign w:val="superscript"/>
              </w:rPr>
              <w:t>-5</w:t>
            </w:r>
          </w:p>
        </w:tc>
        <w:tc>
          <w:tcPr>
            <w:tcW w:w="533" w:type="dxa"/>
            <w:tcBorders>
              <w:top w:val="single" w:sz="4" w:space="0" w:color="auto"/>
              <w:left w:val="nil"/>
              <w:bottom w:val="nil"/>
              <w:right w:val="nil"/>
            </w:tcBorders>
            <w:noWrap/>
            <w:vAlign w:val="center"/>
            <w:hideMark/>
          </w:tcPr>
          <w:p w14:paraId="4749D51C" w14:textId="77777777" w:rsidR="004F0EB0" w:rsidRPr="0003506A" w:rsidRDefault="004F0EB0" w:rsidP="00C41A2C">
            <w:pPr>
              <w:jc w:val="center"/>
              <w:rPr>
                <w:rFonts w:cs="Times New Roman"/>
                <w:sz w:val="20"/>
                <w:szCs w:val="20"/>
              </w:rPr>
            </w:pPr>
          </w:p>
        </w:tc>
      </w:tr>
      <w:tr w:rsidR="004F0EB0" w:rsidRPr="0003506A" w14:paraId="631B5397" w14:textId="77777777" w:rsidTr="00C41A2C">
        <w:trPr>
          <w:trHeight w:val="288"/>
          <w:jc w:val="center"/>
        </w:trPr>
        <w:tc>
          <w:tcPr>
            <w:tcW w:w="3955" w:type="dxa"/>
            <w:tcBorders>
              <w:top w:val="nil"/>
              <w:left w:val="nil"/>
              <w:bottom w:val="nil"/>
              <w:right w:val="single" w:sz="4" w:space="0" w:color="auto"/>
            </w:tcBorders>
            <w:noWrap/>
            <w:vAlign w:val="center"/>
            <w:hideMark/>
          </w:tcPr>
          <w:p w14:paraId="5B969C69" w14:textId="77777777" w:rsidR="004F0EB0" w:rsidRPr="0003506A" w:rsidRDefault="004F0EB0" w:rsidP="00C41A2C">
            <w:pPr>
              <w:rPr>
                <w:rFonts w:cs="Times New Roman"/>
                <w:sz w:val="20"/>
                <w:szCs w:val="20"/>
              </w:rPr>
            </w:pPr>
            <w:r w:rsidRPr="0003506A">
              <w:rPr>
                <w:rFonts w:cs="Times New Roman"/>
                <w:sz w:val="20"/>
                <w:szCs w:val="20"/>
              </w:rPr>
              <w:t>Gender</w:t>
            </w:r>
          </w:p>
        </w:tc>
        <w:tc>
          <w:tcPr>
            <w:tcW w:w="810" w:type="dxa"/>
            <w:tcBorders>
              <w:top w:val="nil"/>
              <w:left w:val="single" w:sz="4" w:space="0" w:color="auto"/>
              <w:bottom w:val="nil"/>
              <w:right w:val="nil"/>
            </w:tcBorders>
            <w:noWrap/>
            <w:vAlign w:val="center"/>
            <w:hideMark/>
          </w:tcPr>
          <w:p w14:paraId="3BFB5338" w14:textId="77777777" w:rsidR="004F0EB0" w:rsidRPr="0003506A" w:rsidRDefault="004F0EB0" w:rsidP="00C41A2C">
            <w:pPr>
              <w:jc w:val="center"/>
              <w:rPr>
                <w:rFonts w:cs="Times New Roman"/>
                <w:sz w:val="20"/>
                <w:szCs w:val="20"/>
              </w:rPr>
            </w:pPr>
            <w:r w:rsidRPr="0003506A">
              <w:rPr>
                <w:rFonts w:cs="Times New Roman"/>
                <w:sz w:val="20"/>
                <w:szCs w:val="20"/>
              </w:rPr>
              <w:t>-0.040</w:t>
            </w:r>
          </w:p>
        </w:tc>
        <w:tc>
          <w:tcPr>
            <w:tcW w:w="810" w:type="dxa"/>
            <w:tcBorders>
              <w:top w:val="nil"/>
              <w:left w:val="nil"/>
              <w:bottom w:val="nil"/>
              <w:right w:val="nil"/>
            </w:tcBorders>
            <w:noWrap/>
            <w:vAlign w:val="center"/>
            <w:hideMark/>
          </w:tcPr>
          <w:p w14:paraId="33B4547A" w14:textId="77777777" w:rsidR="004F0EB0" w:rsidRPr="0003506A" w:rsidRDefault="004F0EB0" w:rsidP="00C41A2C">
            <w:pPr>
              <w:jc w:val="center"/>
              <w:rPr>
                <w:rFonts w:cs="Times New Roman"/>
                <w:sz w:val="20"/>
                <w:szCs w:val="20"/>
              </w:rPr>
            </w:pPr>
            <w:r w:rsidRPr="0003506A">
              <w:rPr>
                <w:rFonts w:cs="Times New Roman"/>
                <w:sz w:val="20"/>
                <w:szCs w:val="20"/>
              </w:rPr>
              <w:t>0.013</w:t>
            </w:r>
          </w:p>
        </w:tc>
        <w:tc>
          <w:tcPr>
            <w:tcW w:w="540" w:type="dxa"/>
            <w:tcBorders>
              <w:top w:val="nil"/>
              <w:left w:val="nil"/>
              <w:bottom w:val="nil"/>
              <w:right w:val="single" w:sz="4" w:space="0" w:color="auto"/>
            </w:tcBorders>
            <w:noWrap/>
            <w:vAlign w:val="center"/>
            <w:hideMark/>
          </w:tcPr>
          <w:p w14:paraId="28198A96"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76E67428" w14:textId="77777777" w:rsidR="004F0EB0" w:rsidRPr="0003506A" w:rsidRDefault="004F0EB0" w:rsidP="00C41A2C">
            <w:pPr>
              <w:jc w:val="center"/>
              <w:rPr>
                <w:rFonts w:cs="Times New Roman"/>
                <w:sz w:val="20"/>
                <w:szCs w:val="20"/>
              </w:rPr>
            </w:pPr>
            <w:r w:rsidRPr="0003506A">
              <w:rPr>
                <w:rFonts w:cs="Times New Roman"/>
                <w:sz w:val="20"/>
                <w:szCs w:val="20"/>
              </w:rPr>
              <w:t>-0.041</w:t>
            </w:r>
          </w:p>
        </w:tc>
        <w:tc>
          <w:tcPr>
            <w:tcW w:w="810" w:type="dxa"/>
            <w:tcBorders>
              <w:top w:val="nil"/>
              <w:left w:val="nil"/>
              <w:bottom w:val="nil"/>
              <w:right w:val="nil"/>
            </w:tcBorders>
            <w:noWrap/>
            <w:vAlign w:val="center"/>
            <w:hideMark/>
          </w:tcPr>
          <w:p w14:paraId="0203104E" w14:textId="77777777" w:rsidR="004F0EB0" w:rsidRPr="0003506A" w:rsidRDefault="004F0EB0" w:rsidP="00C41A2C">
            <w:pPr>
              <w:jc w:val="center"/>
              <w:rPr>
                <w:rFonts w:cs="Times New Roman"/>
                <w:sz w:val="20"/>
                <w:szCs w:val="20"/>
              </w:rPr>
            </w:pPr>
            <w:r w:rsidRPr="0003506A">
              <w:rPr>
                <w:rFonts w:cs="Times New Roman"/>
                <w:sz w:val="20"/>
                <w:szCs w:val="20"/>
              </w:rPr>
              <w:t>0.013</w:t>
            </w:r>
          </w:p>
        </w:tc>
        <w:tc>
          <w:tcPr>
            <w:tcW w:w="533" w:type="dxa"/>
            <w:tcBorders>
              <w:top w:val="nil"/>
              <w:left w:val="nil"/>
              <w:bottom w:val="nil"/>
              <w:right w:val="single" w:sz="4" w:space="0" w:color="auto"/>
            </w:tcBorders>
            <w:noWrap/>
            <w:vAlign w:val="center"/>
            <w:hideMark/>
          </w:tcPr>
          <w:p w14:paraId="4A9537DC"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nil"/>
              <w:right w:val="nil"/>
            </w:tcBorders>
            <w:noWrap/>
            <w:vAlign w:val="center"/>
            <w:hideMark/>
          </w:tcPr>
          <w:p w14:paraId="598CBD40" w14:textId="77777777" w:rsidR="004F0EB0" w:rsidRPr="0003506A" w:rsidRDefault="004F0EB0" w:rsidP="00C41A2C">
            <w:pPr>
              <w:jc w:val="center"/>
              <w:rPr>
                <w:rFonts w:cs="Times New Roman"/>
                <w:sz w:val="20"/>
                <w:szCs w:val="20"/>
              </w:rPr>
            </w:pPr>
            <w:r w:rsidRPr="0003506A">
              <w:rPr>
                <w:rFonts w:cs="Times New Roman"/>
                <w:sz w:val="20"/>
                <w:szCs w:val="20"/>
              </w:rPr>
              <w:t>-0.041</w:t>
            </w:r>
          </w:p>
        </w:tc>
        <w:tc>
          <w:tcPr>
            <w:tcW w:w="810" w:type="dxa"/>
            <w:tcBorders>
              <w:top w:val="nil"/>
              <w:left w:val="nil"/>
              <w:bottom w:val="nil"/>
              <w:right w:val="nil"/>
            </w:tcBorders>
            <w:noWrap/>
            <w:vAlign w:val="center"/>
            <w:hideMark/>
          </w:tcPr>
          <w:p w14:paraId="0745384A" w14:textId="77777777" w:rsidR="004F0EB0" w:rsidRPr="0003506A" w:rsidRDefault="004F0EB0" w:rsidP="00C41A2C">
            <w:pPr>
              <w:jc w:val="center"/>
              <w:rPr>
                <w:rFonts w:cs="Times New Roman"/>
                <w:sz w:val="20"/>
                <w:szCs w:val="20"/>
              </w:rPr>
            </w:pPr>
            <w:r w:rsidRPr="0003506A">
              <w:rPr>
                <w:rFonts w:cs="Times New Roman"/>
                <w:sz w:val="20"/>
                <w:szCs w:val="20"/>
              </w:rPr>
              <w:t>0.013</w:t>
            </w:r>
          </w:p>
        </w:tc>
        <w:tc>
          <w:tcPr>
            <w:tcW w:w="540" w:type="dxa"/>
            <w:tcBorders>
              <w:top w:val="nil"/>
              <w:left w:val="nil"/>
              <w:bottom w:val="nil"/>
              <w:right w:val="single" w:sz="4" w:space="0" w:color="auto"/>
            </w:tcBorders>
            <w:noWrap/>
            <w:vAlign w:val="center"/>
            <w:hideMark/>
          </w:tcPr>
          <w:p w14:paraId="058D21EA"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125AB5DF" w14:textId="77777777" w:rsidR="004F0EB0" w:rsidRPr="0003506A" w:rsidRDefault="004F0EB0" w:rsidP="00C41A2C">
            <w:pPr>
              <w:jc w:val="center"/>
              <w:rPr>
                <w:rFonts w:cs="Times New Roman"/>
                <w:sz w:val="20"/>
                <w:szCs w:val="20"/>
              </w:rPr>
            </w:pPr>
            <w:r w:rsidRPr="0003506A">
              <w:rPr>
                <w:rFonts w:cs="Times New Roman"/>
                <w:sz w:val="20"/>
                <w:szCs w:val="20"/>
              </w:rPr>
              <w:t>-0.041</w:t>
            </w:r>
          </w:p>
        </w:tc>
        <w:tc>
          <w:tcPr>
            <w:tcW w:w="810" w:type="dxa"/>
            <w:tcBorders>
              <w:top w:val="nil"/>
              <w:left w:val="nil"/>
              <w:bottom w:val="nil"/>
              <w:right w:val="nil"/>
            </w:tcBorders>
            <w:noWrap/>
            <w:vAlign w:val="center"/>
            <w:hideMark/>
          </w:tcPr>
          <w:p w14:paraId="3CFFF7C4" w14:textId="77777777" w:rsidR="004F0EB0" w:rsidRPr="0003506A" w:rsidRDefault="004F0EB0" w:rsidP="00C41A2C">
            <w:pPr>
              <w:jc w:val="center"/>
              <w:rPr>
                <w:rFonts w:cs="Times New Roman"/>
                <w:sz w:val="20"/>
                <w:szCs w:val="20"/>
              </w:rPr>
            </w:pPr>
            <w:r w:rsidRPr="0003506A">
              <w:rPr>
                <w:rFonts w:cs="Times New Roman"/>
                <w:sz w:val="20"/>
                <w:szCs w:val="20"/>
              </w:rPr>
              <w:t>0.013</w:t>
            </w:r>
          </w:p>
        </w:tc>
        <w:tc>
          <w:tcPr>
            <w:tcW w:w="533" w:type="dxa"/>
            <w:tcBorders>
              <w:top w:val="nil"/>
              <w:left w:val="nil"/>
              <w:bottom w:val="nil"/>
              <w:right w:val="nil"/>
            </w:tcBorders>
            <w:noWrap/>
            <w:vAlign w:val="center"/>
            <w:hideMark/>
          </w:tcPr>
          <w:p w14:paraId="42D0E62E"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6A3F015A" w14:textId="77777777" w:rsidTr="00C41A2C">
        <w:trPr>
          <w:trHeight w:val="288"/>
          <w:jc w:val="center"/>
        </w:trPr>
        <w:tc>
          <w:tcPr>
            <w:tcW w:w="3955" w:type="dxa"/>
            <w:tcBorders>
              <w:top w:val="nil"/>
              <w:left w:val="nil"/>
              <w:bottom w:val="nil"/>
              <w:right w:val="single" w:sz="4" w:space="0" w:color="auto"/>
            </w:tcBorders>
            <w:noWrap/>
            <w:vAlign w:val="center"/>
            <w:hideMark/>
          </w:tcPr>
          <w:p w14:paraId="2A62C2BD" w14:textId="77777777" w:rsidR="004F0EB0" w:rsidRPr="0003506A" w:rsidRDefault="004F0EB0" w:rsidP="00C41A2C">
            <w:pPr>
              <w:rPr>
                <w:rFonts w:cs="Times New Roman"/>
                <w:sz w:val="20"/>
                <w:szCs w:val="20"/>
              </w:rPr>
            </w:pPr>
            <w:r w:rsidRPr="0003506A">
              <w:rPr>
                <w:rFonts w:cs="Times New Roman"/>
                <w:sz w:val="20"/>
                <w:szCs w:val="20"/>
              </w:rPr>
              <w:t>Age</w:t>
            </w:r>
          </w:p>
        </w:tc>
        <w:tc>
          <w:tcPr>
            <w:tcW w:w="810" w:type="dxa"/>
            <w:tcBorders>
              <w:top w:val="nil"/>
              <w:left w:val="single" w:sz="4" w:space="0" w:color="auto"/>
              <w:bottom w:val="nil"/>
              <w:right w:val="nil"/>
            </w:tcBorders>
            <w:noWrap/>
            <w:vAlign w:val="center"/>
            <w:hideMark/>
          </w:tcPr>
          <w:p w14:paraId="29D5A24E" w14:textId="77777777" w:rsidR="004F0EB0" w:rsidRPr="0003506A" w:rsidRDefault="004F0EB0" w:rsidP="00C41A2C">
            <w:pPr>
              <w:jc w:val="center"/>
              <w:rPr>
                <w:rFonts w:cs="Times New Roman"/>
                <w:sz w:val="20"/>
                <w:szCs w:val="20"/>
              </w:rPr>
            </w:pPr>
            <w:r w:rsidRPr="0003506A">
              <w:rPr>
                <w:rFonts w:cs="Times New Roman"/>
                <w:sz w:val="20"/>
                <w:szCs w:val="20"/>
              </w:rPr>
              <w:t>-0.005</w:t>
            </w:r>
          </w:p>
        </w:tc>
        <w:tc>
          <w:tcPr>
            <w:tcW w:w="810" w:type="dxa"/>
            <w:tcBorders>
              <w:top w:val="nil"/>
              <w:left w:val="nil"/>
              <w:bottom w:val="nil"/>
              <w:right w:val="nil"/>
            </w:tcBorders>
            <w:noWrap/>
            <w:vAlign w:val="center"/>
            <w:hideMark/>
          </w:tcPr>
          <w:p w14:paraId="03C0556B" w14:textId="77777777" w:rsidR="004F0EB0" w:rsidRPr="0003506A" w:rsidRDefault="004F0EB0" w:rsidP="00C41A2C">
            <w:pPr>
              <w:jc w:val="center"/>
              <w:rPr>
                <w:rFonts w:cs="Times New Roman"/>
                <w:sz w:val="20"/>
                <w:szCs w:val="20"/>
              </w:rPr>
            </w:pPr>
            <w:r w:rsidRPr="0003506A">
              <w:rPr>
                <w:rFonts w:cs="Times New Roman"/>
                <w:sz w:val="20"/>
                <w:szCs w:val="20"/>
              </w:rPr>
              <w:t>0.003</w:t>
            </w:r>
          </w:p>
        </w:tc>
        <w:tc>
          <w:tcPr>
            <w:tcW w:w="540" w:type="dxa"/>
            <w:tcBorders>
              <w:top w:val="nil"/>
              <w:left w:val="nil"/>
              <w:bottom w:val="nil"/>
              <w:right w:val="single" w:sz="4" w:space="0" w:color="auto"/>
            </w:tcBorders>
            <w:noWrap/>
            <w:vAlign w:val="center"/>
            <w:hideMark/>
          </w:tcPr>
          <w:p w14:paraId="04999D80"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143BF0C0" w14:textId="77777777" w:rsidR="004F0EB0" w:rsidRPr="0003506A" w:rsidRDefault="004F0EB0" w:rsidP="00C41A2C">
            <w:pPr>
              <w:jc w:val="center"/>
              <w:rPr>
                <w:rFonts w:cs="Times New Roman"/>
                <w:sz w:val="20"/>
                <w:szCs w:val="20"/>
              </w:rPr>
            </w:pPr>
            <w:r w:rsidRPr="0003506A">
              <w:rPr>
                <w:rFonts w:cs="Times New Roman"/>
                <w:sz w:val="20"/>
                <w:szCs w:val="20"/>
              </w:rPr>
              <w:t>-0.005</w:t>
            </w:r>
          </w:p>
        </w:tc>
        <w:tc>
          <w:tcPr>
            <w:tcW w:w="810" w:type="dxa"/>
            <w:tcBorders>
              <w:top w:val="nil"/>
              <w:left w:val="nil"/>
              <w:bottom w:val="nil"/>
              <w:right w:val="nil"/>
            </w:tcBorders>
            <w:noWrap/>
            <w:vAlign w:val="center"/>
            <w:hideMark/>
          </w:tcPr>
          <w:p w14:paraId="5A8FA088" w14:textId="77777777" w:rsidR="004F0EB0" w:rsidRPr="0003506A" w:rsidRDefault="004F0EB0" w:rsidP="00C41A2C">
            <w:pPr>
              <w:jc w:val="center"/>
              <w:rPr>
                <w:rFonts w:cs="Times New Roman"/>
                <w:sz w:val="20"/>
                <w:szCs w:val="20"/>
              </w:rPr>
            </w:pPr>
            <w:r w:rsidRPr="0003506A">
              <w:rPr>
                <w:rFonts w:cs="Times New Roman"/>
                <w:sz w:val="20"/>
                <w:szCs w:val="20"/>
              </w:rPr>
              <w:t>0.003</w:t>
            </w:r>
          </w:p>
        </w:tc>
        <w:tc>
          <w:tcPr>
            <w:tcW w:w="533" w:type="dxa"/>
            <w:tcBorders>
              <w:top w:val="nil"/>
              <w:left w:val="nil"/>
              <w:bottom w:val="nil"/>
              <w:right w:val="single" w:sz="4" w:space="0" w:color="auto"/>
            </w:tcBorders>
            <w:noWrap/>
            <w:vAlign w:val="center"/>
            <w:hideMark/>
          </w:tcPr>
          <w:p w14:paraId="530E76BE" w14:textId="77777777" w:rsidR="004F0EB0" w:rsidRPr="0003506A" w:rsidRDefault="004F0EB0" w:rsidP="00C41A2C">
            <w:pPr>
              <w:jc w:val="center"/>
              <w:rPr>
                <w:rFonts w:cs="Times New Roman"/>
                <w:sz w:val="20"/>
                <w:szCs w:val="20"/>
              </w:rPr>
            </w:pPr>
          </w:p>
        </w:tc>
        <w:tc>
          <w:tcPr>
            <w:tcW w:w="817" w:type="dxa"/>
            <w:tcBorders>
              <w:top w:val="nil"/>
              <w:left w:val="single" w:sz="4" w:space="0" w:color="auto"/>
              <w:bottom w:val="nil"/>
              <w:right w:val="nil"/>
            </w:tcBorders>
            <w:noWrap/>
            <w:vAlign w:val="center"/>
            <w:hideMark/>
          </w:tcPr>
          <w:p w14:paraId="6CEE4218" w14:textId="77777777" w:rsidR="004F0EB0" w:rsidRPr="0003506A" w:rsidRDefault="004F0EB0" w:rsidP="00C41A2C">
            <w:pPr>
              <w:jc w:val="center"/>
              <w:rPr>
                <w:rFonts w:cs="Times New Roman"/>
                <w:sz w:val="20"/>
                <w:szCs w:val="20"/>
              </w:rPr>
            </w:pPr>
            <w:r w:rsidRPr="0003506A">
              <w:rPr>
                <w:rFonts w:cs="Times New Roman"/>
                <w:sz w:val="20"/>
                <w:szCs w:val="20"/>
              </w:rPr>
              <w:t>-0.005</w:t>
            </w:r>
          </w:p>
        </w:tc>
        <w:tc>
          <w:tcPr>
            <w:tcW w:w="810" w:type="dxa"/>
            <w:tcBorders>
              <w:top w:val="nil"/>
              <w:left w:val="nil"/>
              <w:bottom w:val="nil"/>
              <w:right w:val="nil"/>
            </w:tcBorders>
            <w:noWrap/>
            <w:vAlign w:val="center"/>
            <w:hideMark/>
          </w:tcPr>
          <w:p w14:paraId="0B6A8237" w14:textId="77777777" w:rsidR="004F0EB0" w:rsidRPr="0003506A" w:rsidRDefault="004F0EB0" w:rsidP="00C41A2C">
            <w:pPr>
              <w:jc w:val="center"/>
              <w:rPr>
                <w:rFonts w:cs="Times New Roman"/>
                <w:sz w:val="20"/>
                <w:szCs w:val="20"/>
              </w:rPr>
            </w:pPr>
            <w:r w:rsidRPr="0003506A">
              <w:rPr>
                <w:rFonts w:cs="Times New Roman"/>
                <w:sz w:val="20"/>
                <w:szCs w:val="20"/>
              </w:rPr>
              <w:t>0.003</w:t>
            </w:r>
          </w:p>
        </w:tc>
        <w:tc>
          <w:tcPr>
            <w:tcW w:w="540" w:type="dxa"/>
            <w:tcBorders>
              <w:top w:val="nil"/>
              <w:left w:val="nil"/>
              <w:bottom w:val="nil"/>
              <w:right w:val="single" w:sz="4" w:space="0" w:color="auto"/>
            </w:tcBorders>
            <w:noWrap/>
            <w:vAlign w:val="center"/>
            <w:hideMark/>
          </w:tcPr>
          <w:p w14:paraId="10123640"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25B7E68E" w14:textId="77777777" w:rsidR="004F0EB0" w:rsidRPr="0003506A" w:rsidRDefault="004F0EB0" w:rsidP="00C41A2C">
            <w:pPr>
              <w:jc w:val="center"/>
              <w:rPr>
                <w:rFonts w:cs="Times New Roman"/>
                <w:sz w:val="20"/>
                <w:szCs w:val="20"/>
              </w:rPr>
            </w:pPr>
            <w:r w:rsidRPr="0003506A">
              <w:rPr>
                <w:rFonts w:cs="Times New Roman"/>
                <w:sz w:val="20"/>
                <w:szCs w:val="20"/>
              </w:rPr>
              <w:t>-0.005</w:t>
            </w:r>
          </w:p>
        </w:tc>
        <w:tc>
          <w:tcPr>
            <w:tcW w:w="810" w:type="dxa"/>
            <w:tcBorders>
              <w:top w:val="nil"/>
              <w:left w:val="nil"/>
              <w:bottom w:val="nil"/>
              <w:right w:val="nil"/>
            </w:tcBorders>
            <w:noWrap/>
            <w:vAlign w:val="center"/>
            <w:hideMark/>
          </w:tcPr>
          <w:p w14:paraId="1B149CFF" w14:textId="77777777" w:rsidR="004F0EB0" w:rsidRPr="0003506A" w:rsidRDefault="004F0EB0" w:rsidP="00C41A2C">
            <w:pPr>
              <w:jc w:val="center"/>
              <w:rPr>
                <w:rFonts w:cs="Times New Roman"/>
                <w:sz w:val="20"/>
                <w:szCs w:val="20"/>
              </w:rPr>
            </w:pPr>
            <w:r w:rsidRPr="0003506A">
              <w:rPr>
                <w:rFonts w:cs="Times New Roman"/>
                <w:sz w:val="20"/>
                <w:szCs w:val="20"/>
              </w:rPr>
              <w:t>0.003</w:t>
            </w:r>
          </w:p>
        </w:tc>
        <w:tc>
          <w:tcPr>
            <w:tcW w:w="533" w:type="dxa"/>
            <w:tcBorders>
              <w:top w:val="nil"/>
              <w:left w:val="nil"/>
              <w:bottom w:val="nil"/>
              <w:right w:val="nil"/>
            </w:tcBorders>
            <w:noWrap/>
            <w:vAlign w:val="center"/>
            <w:hideMark/>
          </w:tcPr>
          <w:p w14:paraId="00D79A16" w14:textId="77777777" w:rsidR="004F0EB0" w:rsidRPr="0003506A" w:rsidRDefault="004F0EB0" w:rsidP="00C41A2C">
            <w:pPr>
              <w:jc w:val="center"/>
              <w:rPr>
                <w:rFonts w:cs="Times New Roman"/>
                <w:sz w:val="20"/>
                <w:szCs w:val="20"/>
              </w:rPr>
            </w:pPr>
          </w:p>
        </w:tc>
      </w:tr>
      <w:tr w:rsidR="004F0EB0" w:rsidRPr="0003506A" w14:paraId="3E386963" w14:textId="77777777" w:rsidTr="00C41A2C">
        <w:trPr>
          <w:trHeight w:val="288"/>
          <w:jc w:val="center"/>
        </w:trPr>
        <w:tc>
          <w:tcPr>
            <w:tcW w:w="3955" w:type="dxa"/>
            <w:tcBorders>
              <w:top w:val="nil"/>
              <w:left w:val="nil"/>
              <w:bottom w:val="nil"/>
              <w:right w:val="single" w:sz="4" w:space="0" w:color="auto"/>
            </w:tcBorders>
            <w:noWrap/>
            <w:vAlign w:val="center"/>
            <w:hideMark/>
          </w:tcPr>
          <w:p w14:paraId="0E23BEDA" w14:textId="77777777" w:rsidR="004F0EB0" w:rsidRPr="0003506A" w:rsidRDefault="004F0EB0" w:rsidP="00C41A2C">
            <w:pPr>
              <w:rPr>
                <w:rFonts w:cs="Times New Roman"/>
                <w:sz w:val="20"/>
                <w:szCs w:val="20"/>
              </w:rPr>
            </w:pPr>
            <w:r w:rsidRPr="0003506A">
              <w:rPr>
                <w:rFonts w:cs="Times New Roman"/>
                <w:sz w:val="20"/>
                <w:szCs w:val="20"/>
              </w:rPr>
              <w:t>Age²</w:t>
            </w:r>
          </w:p>
        </w:tc>
        <w:tc>
          <w:tcPr>
            <w:tcW w:w="810" w:type="dxa"/>
            <w:tcBorders>
              <w:top w:val="nil"/>
              <w:left w:val="single" w:sz="4" w:space="0" w:color="auto"/>
              <w:bottom w:val="nil"/>
              <w:right w:val="nil"/>
            </w:tcBorders>
            <w:noWrap/>
            <w:vAlign w:val="center"/>
            <w:hideMark/>
          </w:tcPr>
          <w:p w14:paraId="0C5D7861"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4x10</w:t>
            </w:r>
            <w:r w:rsidRPr="0003506A">
              <w:rPr>
                <w:rFonts w:cs="Times New Roman"/>
                <w:sz w:val="20"/>
                <w:szCs w:val="20"/>
                <w:vertAlign w:val="superscript"/>
              </w:rPr>
              <w:t>-5</w:t>
            </w:r>
          </w:p>
        </w:tc>
        <w:tc>
          <w:tcPr>
            <w:tcW w:w="810" w:type="dxa"/>
            <w:tcBorders>
              <w:top w:val="nil"/>
              <w:left w:val="nil"/>
              <w:bottom w:val="nil"/>
              <w:right w:val="nil"/>
            </w:tcBorders>
            <w:noWrap/>
            <w:vAlign w:val="center"/>
            <w:hideMark/>
          </w:tcPr>
          <w:p w14:paraId="78DFEA24"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3x10</w:t>
            </w:r>
            <w:r w:rsidRPr="0003506A">
              <w:rPr>
                <w:rFonts w:cs="Times New Roman"/>
                <w:sz w:val="20"/>
                <w:szCs w:val="20"/>
                <w:vertAlign w:val="superscript"/>
              </w:rPr>
              <w:t>-5</w:t>
            </w:r>
          </w:p>
        </w:tc>
        <w:tc>
          <w:tcPr>
            <w:tcW w:w="540" w:type="dxa"/>
            <w:tcBorders>
              <w:top w:val="nil"/>
              <w:left w:val="nil"/>
              <w:bottom w:val="nil"/>
              <w:right w:val="single" w:sz="4" w:space="0" w:color="auto"/>
            </w:tcBorders>
            <w:noWrap/>
            <w:vAlign w:val="center"/>
            <w:hideMark/>
          </w:tcPr>
          <w:p w14:paraId="41265D2A"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77D0F849"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4x10</w:t>
            </w:r>
            <w:r w:rsidRPr="0003506A">
              <w:rPr>
                <w:rFonts w:cs="Times New Roman"/>
                <w:sz w:val="20"/>
                <w:szCs w:val="20"/>
                <w:vertAlign w:val="superscript"/>
              </w:rPr>
              <w:t>-5</w:t>
            </w:r>
          </w:p>
        </w:tc>
        <w:tc>
          <w:tcPr>
            <w:tcW w:w="810" w:type="dxa"/>
            <w:tcBorders>
              <w:top w:val="nil"/>
              <w:left w:val="nil"/>
              <w:bottom w:val="nil"/>
              <w:right w:val="nil"/>
            </w:tcBorders>
            <w:noWrap/>
            <w:vAlign w:val="center"/>
            <w:hideMark/>
          </w:tcPr>
          <w:p w14:paraId="26D1F52B"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3x10</w:t>
            </w:r>
            <w:r w:rsidRPr="0003506A">
              <w:rPr>
                <w:rFonts w:cs="Times New Roman"/>
                <w:sz w:val="20"/>
                <w:szCs w:val="20"/>
                <w:vertAlign w:val="superscript"/>
              </w:rPr>
              <w:t>-5</w:t>
            </w:r>
          </w:p>
        </w:tc>
        <w:tc>
          <w:tcPr>
            <w:tcW w:w="533" w:type="dxa"/>
            <w:tcBorders>
              <w:top w:val="nil"/>
              <w:left w:val="nil"/>
              <w:bottom w:val="nil"/>
              <w:right w:val="single" w:sz="4" w:space="0" w:color="auto"/>
            </w:tcBorders>
            <w:noWrap/>
            <w:vAlign w:val="center"/>
            <w:hideMark/>
          </w:tcPr>
          <w:p w14:paraId="5FB734C8" w14:textId="77777777" w:rsidR="004F0EB0" w:rsidRPr="0003506A" w:rsidRDefault="004F0EB0" w:rsidP="00C41A2C">
            <w:pPr>
              <w:jc w:val="center"/>
              <w:rPr>
                <w:rFonts w:cs="Times New Roman"/>
                <w:sz w:val="20"/>
                <w:szCs w:val="20"/>
              </w:rPr>
            </w:pPr>
          </w:p>
        </w:tc>
        <w:tc>
          <w:tcPr>
            <w:tcW w:w="817" w:type="dxa"/>
            <w:tcBorders>
              <w:top w:val="nil"/>
              <w:left w:val="single" w:sz="4" w:space="0" w:color="auto"/>
              <w:bottom w:val="nil"/>
              <w:right w:val="nil"/>
            </w:tcBorders>
            <w:noWrap/>
            <w:vAlign w:val="center"/>
            <w:hideMark/>
          </w:tcPr>
          <w:p w14:paraId="1270C569"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4x10</w:t>
            </w:r>
            <w:r w:rsidRPr="0003506A">
              <w:rPr>
                <w:rFonts w:cs="Times New Roman"/>
                <w:sz w:val="20"/>
                <w:szCs w:val="20"/>
                <w:vertAlign w:val="superscript"/>
              </w:rPr>
              <w:t>-5</w:t>
            </w:r>
          </w:p>
        </w:tc>
        <w:tc>
          <w:tcPr>
            <w:tcW w:w="810" w:type="dxa"/>
            <w:tcBorders>
              <w:top w:val="nil"/>
              <w:left w:val="nil"/>
              <w:bottom w:val="nil"/>
              <w:right w:val="nil"/>
            </w:tcBorders>
            <w:noWrap/>
            <w:vAlign w:val="center"/>
            <w:hideMark/>
          </w:tcPr>
          <w:p w14:paraId="0B51FE14"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3x10</w:t>
            </w:r>
            <w:r w:rsidRPr="0003506A">
              <w:rPr>
                <w:rFonts w:cs="Times New Roman"/>
                <w:sz w:val="20"/>
                <w:szCs w:val="20"/>
                <w:vertAlign w:val="superscript"/>
              </w:rPr>
              <w:t>-5</w:t>
            </w:r>
          </w:p>
        </w:tc>
        <w:tc>
          <w:tcPr>
            <w:tcW w:w="540" w:type="dxa"/>
            <w:tcBorders>
              <w:top w:val="nil"/>
              <w:left w:val="nil"/>
              <w:bottom w:val="nil"/>
              <w:right w:val="single" w:sz="4" w:space="0" w:color="auto"/>
            </w:tcBorders>
            <w:noWrap/>
            <w:vAlign w:val="center"/>
            <w:hideMark/>
          </w:tcPr>
          <w:p w14:paraId="638CE9D4"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2FF35C6F"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4x10</w:t>
            </w:r>
            <w:r w:rsidRPr="0003506A">
              <w:rPr>
                <w:rFonts w:cs="Times New Roman"/>
                <w:sz w:val="20"/>
                <w:szCs w:val="20"/>
                <w:vertAlign w:val="superscript"/>
              </w:rPr>
              <w:t>-5</w:t>
            </w:r>
          </w:p>
        </w:tc>
        <w:tc>
          <w:tcPr>
            <w:tcW w:w="810" w:type="dxa"/>
            <w:tcBorders>
              <w:top w:val="nil"/>
              <w:left w:val="nil"/>
              <w:bottom w:val="nil"/>
              <w:right w:val="nil"/>
            </w:tcBorders>
            <w:noWrap/>
            <w:vAlign w:val="center"/>
            <w:hideMark/>
          </w:tcPr>
          <w:p w14:paraId="262DCFD0"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3x10</w:t>
            </w:r>
            <w:r w:rsidRPr="0003506A">
              <w:rPr>
                <w:rFonts w:cs="Times New Roman"/>
                <w:sz w:val="20"/>
                <w:szCs w:val="20"/>
                <w:vertAlign w:val="superscript"/>
              </w:rPr>
              <w:t>-5</w:t>
            </w:r>
          </w:p>
        </w:tc>
        <w:tc>
          <w:tcPr>
            <w:tcW w:w="533" w:type="dxa"/>
            <w:tcBorders>
              <w:top w:val="nil"/>
              <w:left w:val="nil"/>
              <w:bottom w:val="nil"/>
              <w:right w:val="nil"/>
            </w:tcBorders>
            <w:noWrap/>
            <w:vAlign w:val="center"/>
            <w:hideMark/>
          </w:tcPr>
          <w:p w14:paraId="468A2EF6" w14:textId="77777777" w:rsidR="004F0EB0" w:rsidRPr="0003506A" w:rsidRDefault="004F0EB0" w:rsidP="00C41A2C">
            <w:pPr>
              <w:jc w:val="center"/>
              <w:rPr>
                <w:rFonts w:cs="Times New Roman"/>
                <w:sz w:val="20"/>
                <w:szCs w:val="20"/>
              </w:rPr>
            </w:pPr>
          </w:p>
        </w:tc>
      </w:tr>
      <w:tr w:rsidR="004F0EB0" w:rsidRPr="0003506A" w14:paraId="06D1F0E4" w14:textId="77777777" w:rsidTr="00C41A2C">
        <w:trPr>
          <w:trHeight w:val="288"/>
          <w:jc w:val="center"/>
        </w:trPr>
        <w:tc>
          <w:tcPr>
            <w:tcW w:w="3955" w:type="dxa"/>
            <w:tcBorders>
              <w:top w:val="nil"/>
              <w:left w:val="nil"/>
              <w:bottom w:val="nil"/>
              <w:right w:val="single" w:sz="4" w:space="0" w:color="auto"/>
            </w:tcBorders>
            <w:noWrap/>
            <w:vAlign w:val="center"/>
            <w:hideMark/>
          </w:tcPr>
          <w:p w14:paraId="152FC286" w14:textId="77777777" w:rsidR="004F0EB0" w:rsidRPr="0003506A" w:rsidRDefault="004F0EB0" w:rsidP="00C41A2C">
            <w:pPr>
              <w:rPr>
                <w:rFonts w:cs="Times New Roman"/>
                <w:sz w:val="20"/>
                <w:szCs w:val="20"/>
              </w:rPr>
            </w:pPr>
            <w:r w:rsidRPr="0003506A">
              <w:rPr>
                <w:rFonts w:cs="Times New Roman"/>
                <w:sz w:val="20"/>
                <w:szCs w:val="20"/>
              </w:rPr>
              <w:t>List position</w:t>
            </w:r>
          </w:p>
        </w:tc>
        <w:tc>
          <w:tcPr>
            <w:tcW w:w="810" w:type="dxa"/>
            <w:tcBorders>
              <w:top w:val="nil"/>
              <w:left w:val="single" w:sz="4" w:space="0" w:color="auto"/>
              <w:bottom w:val="nil"/>
              <w:right w:val="nil"/>
            </w:tcBorders>
            <w:noWrap/>
            <w:vAlign w:val="center"/>
            <w:hideMark/>
          </w:tcPr>
          <w:p w14:paraId="64465410" w14:textId="77777777" w:rsidR="004F0EB0" w:rsidRPr="0003506A" w:rsidRDefault="004F0EB0" w:rsidP="00C41A2C">
            <w:pPr>
              <w:jc w:val="center"/>
              <w:rPr>
                <w:rFonts w:cs="Times New Roman"/>
                <w:sz w:val="20"/>
                <w:szCs w:val="20"/>
              </w:rPr>
            </w:pPr>
            <w:r w:rsidRPr="0003506A">
              <w:rPr>
                <w:rFonts w:cs="Times New Roman"/>
                <w:sz w:val="20"/>
                <w:szCs w:val="20"/>
              </w:rPr>
              <w:t>-0.045</w:t>
            </w:r>
          </w:p>
        </w:tc>
        <w:tc>
          <w:tcPr>
            <w:tcW w:w="810" w:type="dxa"/>
            <w:tcBorders>
              <w:top w:val="nil"/>
              <w:left w:val="nil"/>
              <w:bottom w:val="nil"/>
              <w:right w:val="nil"/>
            </w:tcBorders>
            <w:noWrap/>
            <w:vAlign w:val="center"/>
            <w:hideMark/>
          </w:tcPr>
          <w:p w14:paraId="7913CB4B" w14:textId="77777777" w:rsidR="004F0EB0" w:rsidRPr="0003506A" w:rsidRDefault="004F0EB0" w:rsidP="00C41A2C">
            <w:pPr>
              <w:jc w:val="center"/>
              <w:rPr>
                <w:rFonts w:cs="Times New Roman"/>
                <w:sz w:val="20"/>
                <w:szCs w:val="20"/>
              </w:rPr>
            </w:pPr>
            <w:r w:rsidRPr="0003506A">
              <w:rPr>
                <w:rFonts w:cs="Times New Roman"/>
                <w:sz w:val="20"/>
                <w:szCs w:val="20"/>
              </w:rPr>
              <w:t>0.002</w:t>
            </w:r>
          </w:p>
        </w:tc>
        <w:tc>
          <w:tcPr>
            <w:tcW w:w="540" w:type="dxa"/>
            <w:tcBorders>
              <w:top w:val="nil"/>
              <w:left w:val="nil"/>
              <w:bottom w:val="nil"/>
              <w:right w:val="single" w:sz="4" w:space="0" w:color="auto"/>
            </w:tcBorders>
            <w:noWrap/>
            <w:vAlign w:val="center"/>
            <w:hideMark/>
          </w:tcPr>
          <w:p w14:paraId="076AE227"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2A72A6D8" w14:textId="77777777" w:rsidR="004F0EB0" w:rsidRPr="0003506A" w:rsidRDefault="004F0EB0" w:rsidP="00C41A2C">
            <w:pPr>
              <w:jc w:val="center"/>
              <w:rPr>
                <w:rFonts w:cs="Times New Roman"/>
                <w:sz w:val="20"/>
                <w:szCs w:val="20"/>
              </w:rPr>
            </w:pPr>
            <w:r w:rsidRPr="0003506A">
              <w:rPr>
                <w:rFonts w:cs="Times New Roman"/>
                <w:sz w:val="20"/>
                <w:szCs w:val="20"/>
              </w:rPr>
              <w:t>-0.045</w:t>
            </w:r>
          </w:p>
        </w:tc>
        <w:tc>
          <w:tcPr>
            <w:tcW w:w="810" w:type="dxa"/>
            <w:tcBorders>
              <w:top w:val="nil"/>
              <w:left w:val="nil"/>
              <w:bottom w:val="nil"/>
              <w:right w:val="nil"/>
            </w:tcBorders>
            <w:noWrap/>
            <w:vAlign w:val="center"/>
            <w:hideMark/>
          </w:tcPr>
          <w:p w14:paraId="0B777A8C" w14:textId="77777777" w:rsidR="004F0EB0" w:rsidRPr="0003506A" w:rsidRDefault="004F0EB0" w:rsidP="00C41A2C">
            <w:pPr>
              <w:jc w:val="center"/>
              <w:rPr>
                <w:rFonts w:cs="Times New Roman"/>
                <w:sz w:val="20"/>
                <w:szCs w:val="20"/>
              </w:rPr>
            </w:pPr>
            <w:r w:rsidRPr="0003506A">
              <w:rPr>
                <w:rFonts w:cs="Times New Roman"/>
                <w:sz w:val="20"/>
                <w:szCs w:val="20"/>
              </w:rPr>
              <w:t>0.002</w:t>
            </w:r>
          </w:p>
        </w:tc>
        <w:tc>
          <w:tcPr>
            <w:tcW w:w="533" w:type="dxa"/>
            <w:tcBorders>
              <w:top w:val="nil"/>
              <w:left w:val="nil"/>
              <w:bottom w:val="nil"/>
              <w:right w:val="single" w:sz="4" w:space="0" w:color="auto"/>
            </w:tcBorders>
            <w:noWrap/>
            <w:vAlign w:val="center"/>
            <w:hideMark/>
          </w:tcPr>
          <w:p w14:paraId="01A50AAE"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nil"/>
              <w:right w:val="nil"/>
            </w:tcBorders>
            <w:noWrap/>
            <w:vAlign w:val="center"/>
            <w:hideMark/>
          </w:tcPr>
          <w:p w14:paraId="33976311" w14:textId="77777777" w:rsidR="004F0EB0" w:rsidRPr="0003506A" w:rsidRDefault="004F0EB0" w:rsidP="00C41A2C">
            <w:pPr>
              <w:jc w:val="center"/>
              <w:rPr>
                <w:rFonts w:cs="Times New Roman"/>
                <w:sz w:val="20"/>
                <w:szCs w:val="20"/>
              </w:rPr>
            </w:pPr>
            <w:r w:rsidRPr="0003506A">
              <w:rPr>
                <w:rFonts w:cs="Times New Roman"/>
                <w:sz w:val="20"/>
                <w:szCs w:val="20"/>
              </w:rPr>
              <w:t>-0.045</w:t>
            </w:r>
          </w:p>
        </w:tc>
        <w:tc>
          <w:tcPr>
            <w:tcW w:w="810" w:type="dxa"/>
            <w:tcBorders>
              <w:top w:val="nil"/>
              <w:left w:val="nil"/>
              <w:bottom w:val="nil"/>
              <w:right w:val="nil"/>
            </w:tcBorders>
            <w:noWrap/>
            <w:vAlign w:val="center"/>
            <w:hideMark/>
          </w:tcPr>
          <w:p w14:paraId="51C0634F" w14:textId="77777777" w:rsidR="004F0EB0" w:rsidRPr="0003506A" w:rsidRDefault="004F0EB0" w:rsidP="00C41A2C">
            <w:pPr>
              <w:jc w:val="center"/>
              <w:rPr>
                <w:rFonts w:cs="Times New Roman"/>
                <w:sz w:val="20"/>
                <w:szCs w:val="20"/>
              </w:rPr>
            </w:pPr>
            <w:r w:rsidRPr="0003506A">
              <w:rPr>
                <w:rFonts w:cs="Times New Roman"/>
                <w:sz w:val="20"/>
                <w:szCs w:val="20"/>
              </w:rPr>
              <w:t>0.002</w:t>
            </w:r>
          </w:p>
        </w:tc>
        <w:tc>
          <w:tcPr>
            <w:tcW w:w="540" w:type="dxa"/>
            <w:tcBorders>
              <w:top w:val="nil"/>
              <w:left w:val="nil"/>
              <w:bottom w:val="nil"/>
              <w:right w:val="single" w:sz="4" w:space="0" w:color="auto"/>
            </w:tcBorders>
            <w:noWrap/>
            <w:vAlign w:val="center"/>
            <w:hideMark/>
          </w:tcPr>
          <w:p w14:paraId="5CAEB4C3"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355983F1" w14:textId="77777777" w:rsidR="004F0EB0" w:rsidRPr="0003506A" w:rsidRDefault="004F0EB0" w:rsidP="00C41A2C">
            <w:pPr>
              <w:jc w:val="center"/>
              <w:rPr>
                <w:rFonts w:cs="Times New Roman"/>
                <w:sz w:val="20"/>
                <w:szCs w:val="20"/>
              </w:rPr>
            </w:pPr>
            <w:r w:rsidRPr="0003506A">
              <w:rPr>
                <w:rFonts w:cs="Times New Roman"/>
                <w:sz w:val="20"/>
                <w:szCs w:val="20"/>
              </w:rPr>
              <w:t>-0.045</w:t>
            </w:r>
          </w:p>
        </w:tc>
        <w:tc>
          <w:tcPr>
            <w:tcW w:w="810" w:type="dxa"/>
            <w:tcBorders>
              <w:top w:val="nil"/>
              <w:left w:val="nil"/>
              <w:bottom w:val="nil"/>
              <w:right w:val="nil"/>
            </w:tcBorders>
            <w:noWrap/>
            <w:vAlign w:val="center"/>
            <w:hideMark/>
          </w:tcPr>
          <w:p w14:paraId="46278BFE" w14:textId="77777777" w:rsidR="004F0EB0" w:rsidRPr="0003506A" w:rsidRDefault="004F0EB0" w:rsidP="00C41A2C">
            <w:pPr>
              <w:jc w:val="center"/>
              <w:rPr>
                <w:rFonts w:cs="Times New Roman"/>
                <w:sz w:val="20"/>
                <w:szCs w:val="20"/>
              </w:rPr>
            </w:pPr>
            <w:r w:rsidRPr="0003506A">
              <w:rPr>
                <w:rFonts w:cs="Times New Roman"/>
                <w:sz w:val="20"/>
                <w:szCs w:val="20"/>
              </w:rPr>
              <w:t>0.002</w:t>
            </w:r>
          </w:p>
        </w:tc>
        <w:tc>
          <w:tcPr>
            <w:tcW w:w="533" w:type="dxa"/>
            <w:tcBorders>
              <w:top w:val="nil"/>
              <w:left w:val="nil"/>
              <w:bottom w:val="nil"/>
              <w:right w:val="nil"/>
            </w:tcBorders>
            <w:noWrap/>
            <w:vAlign w:val="center"/>
            <w:hideMark/>
          </w:tcPr>
          <w:p w14:paraId="76326823"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1FA98635" w14:textId="77777777" w:rsidTr="00C41A2C">
        <w:trPr>
          <w:trHeight w:val="288"/>
          <w:jc w:val="center"/>
        </w:trPr>
        <w:tc>
          <w:tcPr>
            <w:tcW w:w="3955" w:type="dxa"/>
            <w:tcBorders>
              <w:top w:val="nil"/>
              <w:left w:val="nil"/>
              <w:bottom w:val="nil"/>
              <w:right w:val="single" w:sz="4" w:space="0" w:color="auto"/>
            </w:tcBorders>
            <w:noWrap/>
            <w:vAlign w:val="center"/>
            <w:hideMark/>
          </w:tcPr>
          <w:p w14:paraId="3F131D24" w14:textId="77777777" w:rsidR="004F0EB0" w:rsidRPr="0003506A" w:rsidRDefault="004F0EB0" w:rsidP="00C41A2C">
            <w:pPr>
              <w:rPr>
                <w:rFonts w:cs="Times New Roman"/>
                <w:sz w:val="20"/>
                <w:szCs w:val="20"/>
              </w:rPr>
            </w:pPr>
            <w:r w:rsidRPr="0003506A">
              <w:rPr>
                <w:rFonts w:cs="Times New Roman"/>
                <w:sz w:val="20"/>
                <w:szCs w:val="20"/>
              </w:rPr>
              <w:t>First list place</w:t>
            </w:r>
          </w:p>
        </w:tc>
        <w:tc>
          <w:tcPr>
            <w:tcW w:w="810" w:type="dxa"/>
            <w:tcBorders>
              <w:top w:val="nil"/>
              <w:left w:val="single" w:sz="4" w:space="0" w:color="auto"/>
              <w:bottom w:val="nil"/>
              <w:right w:val="nil"/>
            </w:tcBorders>
            <w:noWrap/>
            <w:vAlign w:val="center"/>
            <w:hideMark/>
          </w:tcPr>
          <w:p w14:paraId="5B51BE66" w14:textId="77777777" w:rsidR="004F0EB0" w:rsidRPr="0003506A" w:rsidRDefault="004F0EB0" w:rsidP="00C41A2C">
            <w:pPr>
              <w:jc w:val="center"/>
              <w:rPr>
                <w:rFonts w:cs="Times New Roman"/>
                <w:sz w:val="20"/>
                <w:szCs w:val="20"/>
              </w:rPr>
            </w:pPr>
            <w:r w:rsidRPr="0003506A">
              <w:rPr>
                <w:rFonts w:cs="Times New Roman"/>
                <w:sz w:val="20"/>
                <w:szCs w:val="20"/>
              </w:rPr>
              <w:t>1.015</w:t>
            </w:r>
          </w:p>
        </w:tc>
        <w:tc>
          <w:tcPr>
            <w:tcW w:w="810" w:type="dxa"/>
            <w:tcBorders>
              <w:top w:val="nil"/>
              <w:left w:val="nil"/>
              <w:bottom w:val="nil"/>
              <w:right w:val="nil"/>
            </w:tcBorders>
            <w:noWrap/>
            <w:vAlign w:val="center"/>
            <w:hideMark/>
          </w:tcPr>
          <w:p w14:paraId="6A024477" w14:textId="77777777" w:rsidR="004F0EB0" w:rsidRPr="0003506A" w:rsidRDefault="004F0EB0" w:rsidP="00C41A2C">
            <w:pPr>
              <w:jc w:val="center"/>
              <w:rPr>
                <w:rFonts w:cs="Times New Roman"/>
                <w:sz w:val="20"/>
                <w:szCs w:val="20"/>
              </w:rPr>
            </w:pPr>
            <w:r w:rsidRPr="0003506A">
              <w:rPr>
                <w:rFonts w:cs="Times New Roman"/>
                <w:sz w:val="20"/>
                <w:szCs w:val="20"/>
              </w:rPr>
              <w:t>0.025</w:t>
            </w:r>
          </w:p>
        </w:tc>
        <w:tc>
          <w:tcPr>
            <w:tcW w:w="540" w:type="dxa"/>
            <w:tcBorders>
              <w:top w:val="nil"/>
              <w:left w:val="nil"/>
              <w:bottom w:val="nil"/>
              <w:right w:val="single" w:sz="4" w:space="0" w:color="auto"/>
            </w:tcBorders>
            <w:noWrap/>
            <w:vAlign w:val="center"/>
            <w:hideMark/>
          </w:tcPr>
          <w:p w14:paraId="74097B45"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2ACAF171" w14:textId="77777777" w:rsidR="004F0EB0" w:rsidRPr="0003506A" w:rsidRDefault="004F0EB0" w:rsidP="00C41A2C">
            <w:pPr>
              <w:jc w:val="center"/>
              <w:rPr>
                <w:rFonts w:cs="Times New Roman"/>
                <w:sz w:val="20"/>
                <w:szCs w:val="20"/>
              </w:rPr>
            </w:pPr>
            <w:r w:rsidRPr="0003506A">
              <w:rPr>
                <w:rFonts w:cs="Times New Roman"/>
                <w:sz w:val="20"/>
                <w:szCs w:val="20"/>
              </w:rPr>
              <w:t>1.018</w:t>
            </w:r>
          </w:p>
        </w:tc>
        <w:tc>
          <w:tcPr>
            <w:tcW w:w="810" w:type="dxa"/>
            <w:tcBorders>
              <w:top w:val="nil"/>
              <w:left w:val="nil"/>
              <w:bottom w:val="nil"/>
              <w:right w:val="nil"/>
            </w:tcBorders>
            <w:noWrap/>
            <w:vAlign w:val="center"/>
            <w:hideMark/>
          </w:tcPr>
          <w:p w14:paraId="469D3AC4" w14:textId="77777777" w:rsidR="004F0EB0" w:rsidRPr="0003506A" w:rsidRDefault="004F0EB0" w:rsidP="00C41A2C">
            <w:pPr>
              <w:jc w:val="center"/>
              <w:rPr>
                <w:rFonts w:cs="Times New Roman"/>
                <w:sz w:val="20"/>
                <w:szCs w:val="20"/>
              </w:rPr>
            </w:pPr>
            <w:r w:rsidRPr="0003506A">
              <w:rPr>
                <w:rFonts w:cs="Times New Roman"/>
                <w:sz w:val="20"/>
                <w:szCs w:val="20"/>
              </w:rPr>
              <w:t>0.025</w:t>
            </w:r>
          </w:p>
        </w:tc>
        <w:tc>
          <w:tcPr>
            <w:tcW w:w="533" w:type="dxa"/>
            <w:tcBorders>
              <w:top w:val="nil"/>
              <w:left w:val="nil"/>
              <w:bottom w:val="nil"/>
              <w:right w:val="single" w:sz="4" w:space="0" w:color="auto"/>
            </w:tcBorders>
            <w:noWrap/>
            <w:vAlign w:val="center"/>
            <w:hideMark/>
          </w:tcPr>
          <w:p w14:paraId="18E44C52"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nil"/>
              <w:right w:val="nil"/>
            </w:tcBorders>
            <w:noWrap/>
            <w:vAlign w:val="center"/>
            <w:hideMark/>
          </w:tcPr>
          <w:p w14:paraId="09509479" w14:textId="77777777" w:rsidR="004F0EB0" w:rsidRPr="0003506A" w:rsidRDefault="004F0EB0" w:rsidP="00C41A2C">
            <w:pPr>
              <w:jc w:val="center"/>
              <w:rPr>
                <w:rFonts w:cs="Times New Roman"/>
                <w:sz w:val="20"/>
                <w:szCs w:val="20"/>
              </w:rPr>
            </w:pPr>
            <w:r w:rsidRPr="0003506A">
              <w:rPr>
                <w:rFonts w:cs="Times New Roman"/>
                <w:sz w:val="20"/>
                <w:szCs w:val="20"/>
              </w:rPr>
              <w:t>1.015</w:t>
            </w:r>
          </w:p>
        </w:tc>
        <w:tc>
          <w:tcPr>
            <w:tcW w:w="810" w:type="dxa"/>
            <w:tcBorders>
              <w:top w:val="nil"/>
              <w:left w:val="nil"/>
              <w:bottom w:val="nil"/>
              <w:right w:val="nil"/>
            </w:tcBorders>
            <w:noWrap/>
            <w:vAlign w:val="center"/>
            <w:hideMark/>
          </w:tcPr>
          <w:p w14:paraId="735C9FA6" w14:textId="77777777" w:rsidR="004F0EB0" w:rsidRPr="0003506A" w:rsidRDefault="004F0EB0" w:rsidP="00C41A2C">
            <w:pPr>
              <w:jc w:val="center"/>
              <w:rPr>
                <w:rFonts w:cs="Times New Roman"/>
                <w:sz w:val="20"/>
                <w:szCs w:val="20"/>
              </w:rPr>
            </w:pPr>
            <w:r w:rsidRPr="0003506A">
              <w:rPr>
                <w:rFonts w:cs="Times New Roman"/>
                <w:sz w:val="20"/>
                <w:szCs w:val="20"/>
              </w:rPr>
              <w:t>0.025</w:t>
            </w:r>
          </w:p>
        </w:tc>
        <w:tc>
          <w:tcPr>
            <w:tcW w:w="540" w:type="dxa"/>
            <w:tcBorders>
              <w:top w:val="nil"/>
              <w:left w:val="nil"/>
              <w:bottom w:val="nil"/>
              <w:right w:val="single" w:sz="4" w:space="0" w:color="auto"/>
            </w:tcBorders>
            <w:noWrap/>
            <w:vAlign w:val="center"/>
            <w:hideMark/>
          </w:tcPr>
          <w:p w14:paraId="43659E43"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2C754D07" w14:textId="77777777" w:rsidR="004F0EB0" w:rsidRPr="0003506A" w:rsidRDefault="004F0EB0" w:rsidP="00C41A2C">
            <w:pPr>
              <w:jc w:val="center"/>
              <w:rPr>
                <w:rFonts w:cs="Times New Roman"/>
                <w:sz w:val="20"/>
                <w:szCs w:val="20"/>
              </w:rPr>
            </w:pPr>
            <w:r w:rsidRPr="0003506A">
              <w:rPr>
                <w:rFonts w:cs="Times New Roman"/>
                <w:sz w:val="20"/>
                <w:szCs w:val="20"/>
              </w:rPr>
              <w:t>1.017</w:t>
            </w:r>
          </w:p>
        </w:tc>
        <w:tc>
          <w:tcPr>
            <w:tcW w:w="810" w:type="dxa"/>
            <w:tcBorders>
              <w:top w:val="nil"/>
              <w:left w:val="nil"/>
              <w:bottom w:val="nil"/>
              <w:right w:val="nil"/>
            </w:tcBorders>
            <w:noWrap/>
            <w:vAlign w:val="center"/>
            <w:hideMark/>
          </w:tcPr>
          <w:p w14:paraId="2B18D378" w14:textId="77777777" w:rsidR="004F0EB0" w:rsidRPr="0003506A" w:rsidRDefault="004F0EB0" w:rsidP="00C41A2C">
            <w:pPr>
              <w:jc w:val="center"/>
              <w:rPr>
                <w:rFonts w:cs="Times New Roman"/>
                <w:sz w:val="20"/>
                <w:szCs w:val="20"/>
              </w:rPr>
            </w:pPr>
            <w:r w:rsidRPr="0003506A">
              <w:rPr>
                <w:rFonts w:cs="Times New Roman"/>
                <w:sz w:val="20"/>
                <w:szCs w:val="20"/>
              </w:rPr>
              <w:t>0.025</w:t>
            </w:r>
          </w:p>
        </w:tc>
        <w:tc>
          <w:tcPr>
            <w:tcW w:w="533" w:type="dxa"/>
            <w:tcBorders>
              <w:top w:val="nil"/>
              <w:left w:val="nil"/>
              <w:bottom w:val="nil"/>
              <w:right w:val="nil"/>
            </w:tcBorders>
            <w:noWrap/>
            <w:vAlign w:val="center"/>
            <w:hideMark/>
          </w:tcPr>
          <w:p w14:paraId="727578D5"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70C278BD" w14:textId="77777777" w:rsidTr="00C41A2C">
        <w:trPr>
          <w:trHeight w:val="288"/>
          <w:jc w:val="center"/>
        </w:trPr>
        <w:tc>
          <w:tcPr>
            <w:tcW w:w="3955" w:type="dxa"/>
            <w:tcBorders>
              <w:top w:val="nil"/>
              <w:left w:val="nil"/>
              <w:bottom w:val="nil"/>
              <w:right w:val="single" w:sz="4" w:space="0" w:color="auto"/>
            </w:tcBorders>
            <w:noWrap/>
            <w:vAlign w:val="center"/>
            <w:hideMark/>
          </w:tcPr>
          <w:p w14:paraId="458E586D" w14:textId="77777777" w:rsidR="004F0EB0" w:rsidRPr="0003506A" w:rsidRDefault="004F0EB0" w:rsidP="00C41A2C">
            <w:pPr>
              <w:rPr>
                <w:rFonts w:cs="Times New Roman"/>
                <w:sz w:val="20"/>
                <w:szCs w:val="20"/>
              </w:rPr>
            </w:pPr>
            <w:r w:rsidRPr="0003506A">
              <w:rPr>
                <w:rFonts w:cs="Times New Roman"/>
                <w:sz w:val="20"/>
                <w:szCs w:val="20"/>
              </w:rPr>
              <w:t>Last list place</w:t>
            </w:r>
          </w:p>
        </w:tc>
        <w:tc>
          <w:tcPr>
            <w:tcW w:w="810" w:type="dxa"/>
            <w:tcBorders>
              <w:top w:val="nil"/>
              <w:left w:val="single" w:sz="4" w:space="0" w:color="auto"/>
              <w:bottom w:val="nil"/>
              <w:right w:val="nil"/>
            </w:tcBorders>
            <w:noWrap/>
            <w:vAlign w:val="center"/>
            <w:hideMark/>
          </w:tcPr>
          <w:p w14:paraId="00E317C8" w14:textId="77777777" w:rsidR="004F0EB0" w:rsidRPr="0003506A" w:rsidRDefault="004F0EB0" w:rsidP="00C41A2C">
            <w:pPr>
              <w:jc w:val="center"/>
              <w:rPr>
                <w:rFonts w:cs="Times New Roman"/>
                <w:sz w:val="20"/>
                <w:szCs w:val="20"/>
              </w:rPr>
            </w:pPr>
            <w:r w:rsidRPr="0003506A">
              <w:rPr>
                <w:rFonts w:cs="Times New Roman"/>
                <w:sz w:val="20"/>
                <w:szCs w:val="20"/>
              </w:rPr>
              <w:t>0.427</w:t>
            </w:r>
          </w:p>
        </w:tc>
        <w:tc>
          <w:tcPr>
            <w:tcW w:w="810" w:type="dxa"/>
            <w:tcBorders>
              <w:top w:val="nil"/>
              <w:left w:val="nil"/>
              <w:bottom w:val="nil"/>
              <w:right w:val="nil"/>
            </w:tcBorders>
            <w:noWrap/>
            <w:vAlign w:val="center"/>
            <w:hideMark/>
          </w:tcPr>
          <w:p w14:paraId="23140064" w14:textId="77777777" w:rsidR="004F0EB0" w:rsidRPr="0003506A" w:rsidRDefault="004F0EB0" w:rsidP="00C41A2C">
            <w:pPr>
              <w:jc w:val="center"/>
              <w:rPr>
                <w:rFonts w:cs="Times New Roman"/>
                <w:sz w:val="20"/>
                <w:szCs w:val="20"/>
              </w:rPr>
            </w:pPr>
            <w:r w:rsidRPr="0003506A">
              <w:rPr>
                <w:rFonts w:cs="Times New Roman"/>
                <w:sz w:val="20"/>
                <w:szCs w:val="20"/>
              </w:rPr>
              <w:t>0.026</w:t>
            </w:r>
          </w:p>
        </w:tc>
        <w:tc>
          <w:tcPr>
            <w:tcW w:w="540" w:type="dxa"/>
            <w:tcBorders>
              <w:top w:val="nil"/>
              <w:left w:val="nil"/>
              <w:bottom w:val="nil"/>
              <w:right w:val="single" w:sz="4" w:space="0" w:color="auto"/>
            </w:tcBorders>
            <w:noWrap/>
            <w:vAlign w:val="center"/>
            <w:hideMark/>
          </w:tcPr>
          <w:p w14:paraId="515FC0AA"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616F11E9" w14:textId="77777777" w:rsidR="004F0EB0" w:rsidRPr="0003506A" w:rsidRDefault="004F0EB0" w:rsidP="00C41A2C">
            <w:pPr>
              <w:jc w:val="center"/>
              <w:rPr>
                <w:rFonts w:cs="Times New Roman"/>
                <w:sz w:val="20"/>
                <w:szCs w:val="20"/>
              </w:rPr>
            </w:pPr>
            <w:r w:rsidRPr="0003506A">
              <w:rPr>
                <w:rFonts w:cs="Times New Roman"/>
                <w:sz w:val="20"/>
                <w:szCs w:val="20"/>
              </w:rPr>
              <w:t>0.426</w:t>
            </w:r>
          </w:p>
        </w:tc>
        <w:tc>
          <w:tcPr>
            <w:tcW w:w="810" w:type="dxa"/>
            <w:tcBorders>
              <w:top w:val="nil"/>
              <w:left w:val="nil"/>
              <w:bottom w:val="nil"/>
              <w:right w:val="nil"/>
            </w:tcBorders>
            <w:noWrap/>
            <w:vAlign w:val="center"/>
            <w:hideMark/>
          </w:tcPr>
          <w:p w14:paraId="7D0EF933" w14:textId="77777777" w:rsidR="004F0EB0" w:rsidRPr="0003506A" w:rsidRDefault="004F0EB0" w:rsidP="00C41A2C">
            <w:pPr>
              <w:jc w:val="center"/>
              <w:rPr>
                <w:rFonts w:cs="Times New Roman"/>
                <w:sz w:val="20"/>
                <w:szCs w:val="20"/>
              </w:rPr>
            </w:pPr>
            <w:r w:rsidRPr="0003506A">
              <w:rPr>
                <w:rFonts w:cs="Times New Roman"/>
                <w:sz w:val="20"/>
                <w:szCs w:val="20"/>
              </w:rPr>
              <w:t>0.026</w:t>
            </w:r>
          </w:p>
        </w:tc>
        <w:tc>
          <w:tcPr>
            <w:tcW w:w="533" w:type="dxa"/>
            <w:tcBorders>
              <w:top w:val="nil"/>
              <w:left w:val="nil"/>
              <w:bottom w:val="nil"/>
              <w:right w:val="single" w:sz="4" w:space="0" w:color="auto"/>
            </w:tcBorders>
            <w:noWrap/>
            <w:vAlign w:val="center"/>
            <w:hideMark/>
          </w:tcPr>
          <w:p w14:paraId="427B0666"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nil"/>
              <w:right w:val="nil"/>
            </w:tcBorders>
            <w:noWrap/>
            <w:vAlign w:val="center"/>
            <w:hideMark/>
          </w:tcPr>
          <w:p w14:paraId="04B14E0D" w14:textId="77777777" w:rsidR="004F0EB0" w:rsidRPr="0003506A" w:rsidRDefault="004F0EB0" w:rsidP="00C41A2C">
            <w:pPr>
              <w:jc w:val="center"/>
              <w:rPr>
                <w:rFonts w:cs="Times New Roman"/>
                <w:sz w:val="20"/>
                <w:szCs w:val="20"/>
              </w:rPr>
            </w:pPr>
            <w:r w:rsidRPr="0003506A">
              <w:rPr>
                <w:rFonts w:cs="Times New Roman"/>
                <w:sz w:val="20"/>
                <w:szCs w:val="20"/>
              </w:rPr>
              <w:t>0.427</w:t>
            </w:r>
          </w:p>
        </w:tc>
        <w:tc>
          <w:tcPr>
            <w:tcW w:w="810" w:type="dxa"/>
            <w:tcBorders>
              <w:top w:val="nil"/>
              <w:left w:val="nil"/>
              <w:bottom w:val="nil"/>
              <w:right w:val="nil"/>
            </w:tcBorders>
            <w:noWrap/>
            <w:vAlign w:val="center"/>
            <w:hideMark/>
          </w:tcPr>
          <w:p w14:paraId="210BF7C8" w14:textId="77777777" w:rsidR="004F0EB0" w:rsidRPr="0003506A" w:rsidRDefault="004F0EB0" w:rsidP="00C41A2C">
            <w:pPr>
              <w:jc w:val="center"/>
              <w:rPr>
                <w:rFonts w:cs="Times New Roman"/>
                <w:sz w:val="20"/>
                <w:szCs w:val="20"/>
              </w:rPr>
            </w:pPr>
            <w:r w:rsidRPr="0003506A">
              <w:rPr>
                <w:rFonts w:cs="Times New Roman"/>
                <w:sz w:val="20"/>
                <w:szCs w:val="20"/>
              </w:rPr>
              <w:t>0.026</w:t>
            </w:r>
          </w:p>
        </w:tc>
        <w:tc>
          <w:tcPr>
            <w:tcW w:w="540" w:type="dxa"/>
            <w:tcBorders>
              <w:top w:val="nil"/>
              <w:left w:val="nil"/>
              <w:bottom w:val="nil"/>
              <w:right w:val="single" w:sz="4" w:space="0" w:color="auto"/>
            </w:tcBorders>
            <w:noWrap/>
            <w:vAlign w:val="center"/>
            <w:hideMark/>
          </w:tcPr>
          <w:p w14:paraId="632D69D4"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6041D05E" w14:textId="77777777" w:rsidR="004F0EB0" w:rsidRPr="0003506A" w:rsidRDefault="004F0EB0" w:rsidP="00C41A2C">
            <w:pPr>
              <w:jc w:val="center"/>
              <w:rPr>
                <w:rFonts w:cs="Times New Roman"/>
                <w:sz w:val="20"/>
                <w:szCs w:val="20"/>
              </w:rPr>
            </w:pPr>
            <w:r w:rsidRPr="0003506A">
              <w:rPr>
                <w:rFonts w:cs="Times New Roman"/>
                <w:sz w:val="20"/>
                <w:szCs w:val="20"/>
              </w:rPr>
              <w:t>0.426</w:t>
            </w:r>
          </w:p>
        </w:tc>
        <w:tc>
          <w:tcPr>
            <w:tcW w:w="810" w:type="dxa"/>
            <w:tcBorders>
              <w:top w:val="nil"/>
              <w:left w:val="nil"/>
              <w:bottom w:val="nil"/>
              <w:right w:val="nil"/>
            </w:tcBorders>
            <w:noWrap/>
            <w:vAlign w:val="center"/>
            <w:hideMark/>
          </w:tcPr>
          <w:p w14:paraId="57E384A2" w14:textId="77777777" w:rsidR="004F0EB0" w:rsidRPr="0003506A" w:rsidRDefault="004F0EB0" w:rsidP="00C41A2C">
            <w:pPr>
              <w:jc w:val="center"/>
              <w:rPr>
                <w:rFonts w:cs="Times New Roman"/>
                <w:sz w:val="20"/>
                <w:szCs w:val="20"/>
              </w:rPr>
            </w:pPr>
            <w:r w:rsidRPr="0003506A">
              <w:rPr>
                <w:rFonts w:cs="Times New Roman"/>
                <w:sz w:val="20"/>
                <w:szCs w:val="20"/>
              </w:rPr>
              <w:t>0.026</w:t>
            </w:r>
          </w:p>
        </w:tc>
        <w:tc>
          <w:tcPr>
            <w:tcW w:w="533" w:type="dxa"/>
            <w:tcBorders>
              <w:top w:val="nil"/>
              <w:left w:val="nil"/>
              <w:bottom w:val="nil"/>
              <w:right w:val="nil"/>
            </w:tcBorders>
            <w:noWrap/>
            <w:vAlign w:val="center"/>
            <w:hideMark/>
          </w:tcPr>
          <w:p w14:paraId="4E641690"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596630E8" w14:textId="77777777" w:rsidTr="00C41A2C">
        <w:trPr>
          <w:trHeight w:val="288"/>
          <w:jc w:val="center"/>
        </w:trPr>
        <w:tc>
          <w:tcPr>
            <w:tcW w:w="3955" w:type="dxa"/>
            <w:tcBorders>
              <w:top w:val="nil"/>
              <w:left w:val="nil"/>
              <w:bottom w:val="nil"/>
              <w:right w:val="single" w:sz="4" w:space="0" w:color="auto"/>
            </w:tcBorders>
            <w:noWrap/>
            <w:vAlign w:val="center"/>
            <w:hideMark/>
          </w:tcPr>
          <w:p w14:paraId="6F9ED01C" w14:textId="77777777" w:rsidR="004F0EB0" w:rsidRPr="0003506A" w:rsidRDefault="004F0EB0" w:rsidP="00C41A2C">
            <w:pPr>
              <w:rPr>
                <w:rFonts w:cs="Times New Roman"/>
                <w:sz w:val="20"/>
                <w:szCs w:val="20"/>
              </w:rPr>
            </w:pPr>
            <w:r w:rsidRPr="0003506A">
              <w:rPr>
                <w:rFonts w:cs="Times New Roman"/>
                <w:sz w:val="20"/>
                <w:szCs w:val="20"/>
              </w:rPr>
              <w:t>Incumbent</w:t>
            </w:r>
          </w:p>
        </w:tc>
        <w:tc>
          <w:tcPr>
            <w:tcW w:w="810" w:type="dxa"/>
            <w:tcBorders>
              <w:top w:val="nil"/>
              <w:left w:val="single" w:sz="4" w:space="0" w:color="auto"/>
              <w:bottom w:val="nil"/>
              <w:right w:val="nil"/>
            </w:tcBorders>
            <w:noWrap/>
            <w:vAlign w:val="center"/>
            <w:hideMark/>
          </w:tcPr>
          <w:p w14:paraId="3AA2C047" w14:textId="77777777" w:rsidR="004F0EB0" w:rsidRPr="0003506A" w:rsidRDefault="004F0EB0" w:rsidP="00C41A2C">
            <w:pPr>
              <w:jc w:val="center"/>
              <w:rPr>
                <w:rFonts w:cs="Times New Roman"/>
                <w:sz w:val="20"/>
                <w:szCs w:val="20"/>
              </w:rPr>
            </w:pPr>
            <w:r w:rsidRPr="0003506A">
              <w:rPr>
                <w:rFonts w:cs="Times New Roman"/>
                <w:sz w:val="20"/>
                <w:szCs w:val="20"/>
              </w:rPr>
              <w:t>0.265</w:t>
            </w:r>
          </w:p>
        </w:tc>
        <w:tc>
          <w:tcPr>
            <w:tcW w:w="810" w:type="dxa"/>
            <w:tcBorders>
              <w:top w:val="nil"/>
              <w:left w:val="nil"/>
              <w:bottom w:val="nil"/>
              <w:right w:val="nil"/>
            </w:tcBorders>
            <w:noWrap/>
            <w:vAlign w:val="center"/>
            <w:hideMark/>
          </w:tcPr>
          <w:p w14:paraId="10B7323F" w14:textId="77777777" w:rsidR="004F0EB0" w:rsidRPr="0003506A" w:rsidRDefault="004F0EB0" w:rsidP="00C41A2C">
            <w:pPr>
              <w:jc w:val="center"/>
              <w:rPr>
                <w:rFonts w:cs="Times New Roman"/>
                <w:sz w:val="20"/>
                <w:szCs w:val="20"/>
              </w:rPr>
            </w:pPr>
            <w:r w:rsidRPr="0003506A">
              <w:rPr>
                <w:rFonts w:cs="Times New Roman"/>
                <w:sz w:val="20"/>
                <w:szCs w:val="20"/>
              </w:rPr>
              <w:t>0.031</w:t>
            </w:r>
          </w:p>
        </w:tc>
        <w:tc>
          <w:tcPr>
            <w:tcW w:w="540" w:type="dxa"/>
            <w:tcBorders>
              <w:top w:val="nil"/>
              <w:left w:val="nil"/>
              <w:bottom w:val="nil"/>
              <w:right w:val="single" w:sz="4" w:space="0" w:color="auto"/>
            </w:tcBorders>
            <w:noWrap/>
            <w:vAlign w:val="center"/>
            <w:hideMark/>
          </w:tcPr>
          <w:p w14:paraId="5F0F552E"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6A43ABB0" w14:textId="77777777" w:rsidR="004F0EB0" w:rsidRPr="0003506A" w:rsidRDefault="004F0EB0" w:rsidP="00C41A2C">
            <w:pPr>
              <w:jc w:val="center"/>
              <w:rPr>
                <w:rFonts w:cs="Times New Roman"/>
                <w:sz w:val="20"/>
                <w:szCs w:val="20"/>
              </w:rPr>
            </w:pPr>
            <w:r w:rsidRPr="0003506A">
              <w:rPr>
                <w:rFonts w:cs="Times New Roman"/>
                <w:sz w:val="20"/>
                <w:szCs w:val="20"/>
              </w:rPr>
              <w:t>0.266</w:t>
            </w:r>
          </w:p>
        </w:tc>
        <w:tc>
          <w:tcPr>
            <w:tcW w:w="810" w:type="dxa"/>
            <w:tcBorders>
              <w:top w:val="nil"/>
              <w:left w:val="nil"/>
              <w:bottom w:val="nil"/>
              <w:right w:val="nil"/>
            </w:tcBorders>
            <w:noWrap/>
            <w:vAlign w:val="center"/>
            <w:hideMark/>
          </w:tcPr>
          <w:p w14:paraId="411E60F2" w14:textId="77777777" w:rsidR="004F0EB0" w:rsidRPr="0003506A" w:rsidRDefault="004F0EB0" w:rsidP="00C41A2C">
            <w:pPr>
              <w:jc w:val="center"/>
              <w:rPr>
                <w:rFonts w:cs="Times New Roman"/>
                <w:sz w:val="20"/>
                <w:szCs w:val="20"/>
              </w:rPr>
            </w:pPr>
            <w:r w:rsidRPr="0003506A">
              <w:rPr>
                <w:rFonts w:cs="Times New Roman"/>
                <w:sz w:val="20"/>
                <w:szCs w:val="20"/>
              </w:rPr>
              <w:t>0.030</w:t>
            </w:r>
          </w:p>
        </w:tc>
        <w:tc>
          <w:tcPr>
            <w:tcW w:w="533" w:type="dxa"/>
            <w:tcBorders>
              <w:top w:val="nil"/>
              <w:left w:val="nil"/>
              <w:bottom w:val="nil"/>
              <w:right w:val="single" w:sz="4" w:space="0" w:color="auto"/>
            </w:tcBorders>
            <w:noWrap/>
            <w:vAlign w:val="center"/>
            <w:hideMark/>
          </w:tcPr>
          <w:p w14:paraId="4579EDDE"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nil"/>
              <w:right w:val="nil"/>
            </w:tcBorders>
            <w:noWrap/>
            <w:vAlign w:val="center"/>
            <w:hideMark/>
          </w:tcPr>
          <w:p w14:paraId="71A74233" w14:textId="77777777" w:rsidR="004F0EB0" w:rsidRPr="0003506A" w:rsidRDefault="004F0EB0" w:rsidP="00C41A2C">
            <w:pPr>
              <w:jc w:val="center"/>
              <w:rPr>
                <w:rFonts w:cs="Times New Roman"/>
                <w:sz w:val="20"/>
                <w:szCs w:val="20"/>
              </w:rPr>
            </w:pPr>
            <w:r w:rsidRPr="0003506A">
              <w:rPr>
                <w:rFonts w:cs="Times New Roman"/>
                <w:sz w:val="20"/>
                <w:szCs w:val="20"/>
              </w:rPr>
              <w:t>0.265</w:t>
            </w:r>
          </w:p>
        </w:tc>
        <w:tc>
          <w:tcPr>
            <w:tcW w:w="810" w:type="dxa"/>
            <w:tcBorders>
              <w:top w:val="nil"/>
              <w:left w:val="nil"/>
              <w:bottom w:val="nil"/>
              <w:right w:val="nil"/>
            </w:tcBorders>
            <w:noWrap/>
            <w:vAlign w:val="center"/>
            <w:hideMark/>
          </w:tcPr>
          <w:p w14:paraId="38A39597" w14:textId="77777777" w:rsidR="004F0EB0" w:rsidRPr="0003506A" w:rsidRDefault="004F0EB0" w:rsidP="00C41A2C">
            <w:pPr>
              <w:jc w:val="center"/>
              <w:rPr>
                <w:rFonts w:cs="Times New Roman"/>
                <w:sz w:val="20"/>
                <w:szCs w:val="20"/>
              </w:rPr>
            </w:pPr>
            <w:r w:rsidRPr="0003506A">
              <w:rPr>
                <w:rFonts w:cs="Times New Roman"/>
                <w:sz w:val="20"/>
                <w:szCs w:val="20"/>
              </w:rPr>
              <w:t>0.031</w:t>
            </w:r>
          </w:p>
        </w:tc>
        <w:tc>
          <w:tcPr>
            <w:tcW w:w="540" w:type="dxa"/>
            <w:tcBorders>
              <w:top w:val="nil"/>
              <w:left w:val="nil"/>
              <w:bottom w:val="nil"/>
              <w:right w:val="single" w:sz="4" w:space="0" w:color="auto"/>
            </w:tcBorders>
            <w:noWrap/>
            <w:vAlign w:val="center"/>
            <w:hideMark/>
          </w:tcPr>
          <w:p w14:paraId="76AE8D75"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2175A5E9" w14:textId="77777777" w:rsidR="004F0EB0" w:rsidRPr="0003506A" w:rsidRDefault="004F0EB0" w:rsidP="00C41A2C">
            <w:pPr>
              <w:jc w:val="center"/>
              <w:rPr>
                <w:rFonts w:cs="Times New Roman"/>
                <w:sz w:val="20"/>
                <w:szCs w:val="20"/>
              </w:rPr>
            </w:pPr>
            <w:r w:rsidRPr="0003506A">
              <w:rPr>
                <w:rFonts w:cs="Times New Roman"/>
                <w:sz w:val="20"/>
                <w:szCs w:val="20"/>
              </w:rPr>
              <w:t>0.266</w:t>
            </w:r>
          </w:p>
        </w:tc>
        <w:tc>
          <w:tcPr>
            <w:tcW w:w="810" w:type="dxa"/>
            <w:tcBorders>
              <w:top w:val="nil"/>
              <w:left w:val="nil"/>
              <w:bottom w:val="nil"/>
              <w:right w:val="nil"/>
            </w:tcBorders>
            <w:noWrap/>
            <w:vAlign w:val="center"/>
            <w:hideMark/>
          </w:tcPr>
          <w:p w14:paraId="396A9E68" w14:textId="77777777" w:rsidR="004F0EB0" w:rsidRPr="0003506A" w:rsidRDefault="004F0EB0" w:rsidP="00C41A2C">
            <w:pPr>
              <w:jc w:val="center"/>
              <w:rPr>
                <w:rFonts w:cs="Times New Roman"/>
                <w:sz w:val="20"/>
                <w:szCs w:val="20"/>
              </w:rPr>
            </w:pPr>
            <w:r w:rsidRPr="0003506A">
              <w:rPr>
                <w:rFonts w:cs="Times New Roman"/>
                <w:sz w:val="20"/>
                <w:szCs w:val="20"/>
              </w:rPr>
              <w:t>0.030</w:t>
            </w:r>
          </w:p>
        </w:tc>
        <w:tc>
          <w:tcPr>
            <w:tcW w:w="533" w:type="dxa"/>
            <w:tcBorders>
              <w:top w:val="nil"/>
              <w:left w:val="nil"/>
              <w:bottom w:val="nil"/>
              <w:right w:val="nil"/>
            </w:tcBorders>
            <w:noWrap/>
            <w:vAlign w:val="center"/>
            <w:hideMark/>
          </w:tcPr>
          <w:p w14:paraId="4A4BCF8D"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479F4B96" w14:textId="77777777" w:rsidTr="00C41A2C">
        <w:trPr>
          <w:trHeight w:val="288"/>
          <w:jc w:val="center"/>
        </w:trPr>
        <w:tc>
          <w:tcPr>
            <w:tcW w:w="3955" w:type="dxa"/>
            <w:tcBorders>
              <w:top w:val="nil"/>
              <w:left w:val="nil"/>
              <w:bottom w:val="nil"/>
              <w:right w:val="single" w:sz="4" w:space="0" w:color="auto"/>
            </w:tcBorders>
            <w:noWrap/>
            <w:vAlign w:val="center"/>
            <w:hideMark/>
          </w:tcPr>
          <w:p w14:paraId="406F2892" w14:textId="77777777" w:rsidR="004F0EB0" w:rsidRPr="0003506A" w:rsidRDefault="004F0EB0" w:rsidP="00C41A2C">
            <w:pPr>
              <w:rPr>
                <w:rFonts w:cs="Times New Roman"/>
                <w:sz w:val="20"/>
                <w:szCs w:val="20"/>
              </w:rPr>
            </w:pPr>
            <w:r w:rsidRPr="0003506A">
              <w:rPr>
                <w:rFonts w:cs="Times New Roman"/>
                <w:sz w:val="20"/>
                <w:szCs w:val="20"/>
              </w:rPr>
              <w:t>Academic title</w:t>
            </w:r>
          </w:p>
        </w:tc>
        <w:tc>
          <w:tcPr>
            <w:tcW w:w="810" w:type="dxa"/>
            <w:tcBorders>
              <w:top w:val="nil"/>
              <w:left w:val="single" w:sz="4" w:space="0" w:color="auto"/>
              <w:bottom w:val="nil"/>
              <w:right w:val="nil"/>
            </w:tcBorders>
            <w:noWrap/>
            <w:vAlign w:val="center"/>
            <w:hideMark/>
          </w:tcPr>
          <w:p w14:paraId="03743F49" w14:textId="77777777" w:rsidR="004F0EB0" w:rsidRPr="0003506A" w:rsidRDefault="004F0EB0" w:rsidP="00C41A2C">
            <w:pPr>
              <w:jc w:val="center"/>
              <w:rPr>
                <w:rFonts w:cs="Times New Roman"/>
                <w:sz w:val="20"/>
                <w:szCs w:val="20"/>
              </w:rPr>
            </w:pPr>
            <w:r w:rsidRPr="0003506A">
              <w:rPr>
                <w:rFonts w:cs="Times New Roman"/>
                <w:sz w:val="20"/>
                <w:szCs w:val="20"/>
              </w:rPr>
              <w:t>0.084</w:t>
            </w:r>
          </w:p>
        </w:tc>
        <w:tc>
          <w:tcPr>
            <w:tcW w:w="810" w:type="dxa"/>
            <w:tcBorders>
              <w:top w:val="nil"/>
              <w:left w:val="nil"/>
              <w:bottom w:val="nil"/>
              <w:right w:val="nil"/>
            </w:tcBorders>
            <w:noWrap/>
            <w:vAlign w:val="center"/>
            <w:hideMark/>
          </w:tcPr>
          <w:p w14:paraId="1DAC899F" w14:textId="77777777" w:rsidR="004F0EB0" w:rsidRPr="0003506A" w:rsidRDefault="004F0EB0" w:rsidP="00C41A2C">
            <w:pPr>
              <w:jc w:val="center"/>
              <w:rPr>
                <w:rFonts w:cs="Times New Roman"/>
                <w:sz w:val="20"/>
                <w:szCs w:val="20"/>
              </w:rPr>
            </w:pPr>
            <w:r w:rsidRPr="0003506A">
              <w:rPr>
                <w:rFonts w:cs="Times New Roman"/>
                <w:sz w:val="20"/>
                <w:szCs w:val="20"/>
              </w:rPr>
              <w:t>0.021</w:t>
            </w:r>
          </w:p>
        </w:tc>
        <w:tc>
          <w:tcPr>
            <w:tcW w:w="540" w:type="dxa"/>
            <w:tcBorders>
              <w:top w:val="nil"/>
              <w:left w:val="nil"/>
              <w:bottom w:val="nil"/>
              <w:right w:val="single" w:sz="4" w:space="0" w:color="auto"/>
            </w:tcBorders>
            <w:noWrap/>
            <w:vAlign w:val="center"/>
            <w:hideMark/>
          </w:tcPr>
          <w:p w14:paraId="7F2851C7"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48D64843" w14:textId="77777777" w:rsidR="004F0EB0" w:rsidRPr="0003506A" w:rsidRDefault="004F0EB0" w:rsidP="00C41A2C">
            <w:pPr>
              <w:jc w:val="center"/>
              <w:rPr>
                <w:rFonts w:cs="Times New Roman"/>
                <w:sz w:val="20"/>
                <w:szCs w:val="20"/>
              </w:rPr>
            </w:pPr>
            <w:r w:rsidRPr="0003506A">
              <w:rPr>
                <w:rFonts w:cs="Times New Roman"/>
                <w:sz w:val="20"/>
                <w:szCs w:val="20"/>
              </w:rPr>
              <w:t>0.084</w:t>
            </w:r>
          </w:p>
        </w:tc>
        <w:tc>
          <w:tcPr>
            <w:tcW w:w="810" w:type="dxa"/>
            <w:tcBorders>
              <w:top w:val="nil"/>
              <w:left w:val="nil"/>
              <w:bottom w:val="nil"/>
              <w:right w:val="nil"/>
            </w:tcBorders>
            <w:noWrap/>
            <w:vAlign w:val="center"/>
            <w:hideMark/>
          </w:tcPr>
          <w:p w14:paraId="5F9F0DAD" w14:textId="77777777" w:rsidR="004F0EB0" w:rsidRPr="0003506A" w:rsidRDefault="004F0EB0" w:rsidP="00C41A2C">
            <w:pPr>
              <w:jc w:val="center"/>
              <w:rPr>
                <w:rFonts w:cs="Times New Roman"/>
                <w:sz w:val="20"/>
                <w:szCs w:val="20"/>
              </w:rPr>
            </w:pPr>
            <w:r w:rsidRPr="0003506A">
              <w:rPr>
                <w:rFonts w:cs="Times New Roman"/>
                <w:sz w:val="20"/>
                <w:szCs w:val="20"/>
              </w:rPr>
              <w:t>0.021</w:t>
            </w:r>
          </w:p>
        </w:tc>
        <w:tc>
          <w:tcPr>
            <w:tcW w:w="533" w:type="dxa"/>
            <w:tcBorders>
              <w:top w:val="nil"/>
              <w:left w:val="nil"/>
              <w:bottom w:val="nil"/>
              <w:right w:val="single" w:sz="4" w:space="0" w:color="auto"/>
            </w:tcBorders>
            <w:noWrap/>
            <w:vAlign w:val="center"/>
            <w:hideMark/>
          </w:tcPr>
          <w:p w14:paraId="73DC8FCB"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nil"/>
              <w:right w:val="nil"/>
            </w:tcBorders>
            <w:noWrap/>
            <w:vAlign w:val="center"/>
            <w:hideMark/>
          </w:tcPr>
          <w:p w14:paraId="6F8558CD" w14:textId="77777777" w:rsidR="004F0EB0" w:rsidRPr="0003506A" w:rsidRDefault="004F0EB0" w:rsidP="00C41A2C">
            <w:pPr>
              <w:jc w:val="center"/>
              <w:rPr>
                <w:rFonts w:cs="Times New Roman"/>
                <w:sz w:val="20"/>
                <w:szCs w:val="20"/>
              </w:rPr>
            </w:pPr>
            <w:r w:rsidRPr="0003506A">
              <w:rPr>
                <w:rFonts w:cs="Times New Roman"/>
                <w:sz w:val="20"/>
                <w:szCs w:val="20"/>
              </w:rPr>
              <w:t>0.085</w:t>
            </w:r>
          </w:p>
        </w:tc>
        <w:tc>
          <w:tcPr>
            <w:tcW w:w="810" w:type="dxa"/>
            <w:tcBorders>
              <w:top w:val="nil"/>
              <w:left w:val="nil"/>
              <w:bottom w:val="nil"/>
              <w:right w:val="nil"/>
            </w:tcBorders>
            <w:noWrap/>
            <w:vAlign w:val="center"/>
            <w:hideMark/>
          </w:tcPr>
          <w:p w14:paraId="69ACACA0" w14:textId="77777777" w:rsidR="004F0EB0" w:rsidRPr="0003506A" w:rsidRDefault="004F0EB0" w:rsidP="00C41A2C">
            <w:pPr>
              <w:jc w:val="center"/>
              <w:rPr>
                <w:rFonts w:cs="Times New Roman"/>
                <w:sz w:val="20"/>
                <w:szCs w:val="20"/>
              </w:rPr>
            </w:pPr>
            <w:r w:rsidRPr="0003506A">
              <w:rPr>
                <w:rFonts w:cs="Times New Roman"/>
                <w:sz w:val="20"/>
                <w:szCs w:val="20"/>
              </w:rPr>
              <w:t>0.021</w:t>
            </w:r>
          </w:p>
        </w:tc>
        <w:tc>
          <w:tcPr>
            <w:tcW w:w="540" w:type="dxa"/>
            <w:tcBorders>
              <w:top w:val="nil"/>
              <w:left w:val="nil"/>
              <w:bottom w:val="nil"/>
              <w:right w:val="single" w:sz="4" w:space="0" w:color="auto"/>
            </w:tcBorders>
            <w:noWrap/>
            <w:vAlign w:val="center"/>
            <w:hideMark/>
          </w:tcPr>
          <w:p w14:paraId="20677595"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3C16877B" w14:textId="77777777" w:rsidR="004F0EB0" w:rsidRPr="0003506A" w:rsidRDefault="004F0EB0" w:rsidP="00C41A2C">
            <w:pPr>
              <w:jc w:val="center"/>
              <w:rPr>
                <w:rFonts w:cs="Times New Roman"/>
                <w:sz w:val="20"/>
                <w:szCs w:val="20"/>
              </w:rPr>
            </w:pPr>
            <w:r w:rsidRPr="0003506A">
              <w:rPr>
                <w:rFonts w:cs="Times New Roman"/>
                <w:sz w:val="20"/>
                <w:szCs w:val="20"/>
              </w:rPr>
              <w:t>0.086</w:t>
            </w:r>
          </w:p>
        </w:tc>
        <w:tc>
          <w:tcPr>
            <w:tcW w:w="810" w:type="dxa"/>
            <w:tcBorders>
              <w:top w:val="nil"/>
              <w:left w:val="nil"/>
              <w:bottom w:val="nil"/>
              <w:right w:val="nil"/>
            </w:tcBorders>
            <w:noWrap/>
            <w:vAlign w:val="center"/>
            <w:hideMark/>
          </w:tcPr>
          <w:p w14:paraId="475855EC" w14:textId="77777777" w:rsidR="004F0EB0" w:rsidRPr="0003506A" w:rsidRDefault="004F0EB0" w:rsidP="00C41A2C">
            <w:pPr>
              <w:jc w:val="center"/>
              <w:rPr>
                <w:rFonts w:cs="Times New Roman"/>
                <w:sz w:val="20"/>
                <w:szCs w:val="20"/>
              </w:rPr>
            </w:pPr>
            <w:r w:rsidRPr="0003506A">
              <w:rPr>
                <w:rFonts w:cs="Times New Roman"/>
                <w:sz w:val="20"/>
                <w:szCs w:val="20"/>
              </w:rPr>
              <w:t>0.021</w:t>
            </w:r>
          </w:p>
        </w:tc>
        <w:tc>
          <w:tcPr>
            <w:tcW w:w="533" w:type="dxa"/>
            <w:tcBorders>
              <w:top w:val="nil"/>
              <w:left w:val="nil"/>
              <w:bottom w:val="nil"/>
              <w:right w:val="nil"/>
            </w:tcBorders>
            <w:noWrap/>
            <w:vAlign w:val="center"/>
            <w:hideMark/>
          </w:tcPr>
          <w:p w14:paraId="22E50937"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506CDE34" w14:textId="77777777" w:rsidTr="00C41A2C">
        <w:trPr>
          <w:trHeight w:val="288"/>
          <w:jc w:val="center"/>
        </w:trPr>
        <w:tc>
          <w:tcPr>
            <w:tcW w:w="3955" w:type="dxa"/>
            <w:tcBorders>
              <w:top w:val="nil"/>
              <w:left w:val="nil"/>
              <w:bottom w:val="nil"/>
              <w:right w:val="single" w:sz="4" w:space="0" w:color="auto"/>
            </w:tcBorders>
            <w:noWrap/>
            <w:vAlign w:val="center"/>
            <w:hideMark/>
          </w:tcPr>
          <w:p w14:paraId="452393B5" w14:textId="77777777" w:rsidR="004F0EB0" w:rsidRPr="0003506A" w:rsidRDefault="004F0EB0" w:rsidP="00C41A2C">
            <w:pPr>
              <w:rPr>
                <w:rFonts w:cs="Times New Roman"/>
                <w:sz w:val="20"/>
                <w:szCs w:val="20"/>
              </w:rPr>
            </w:pPr>
            <w:r w:rsidRPr="0003506A">
              <w:rPr>
                <w:rFonts w:cs="Times New Roman"/>
                <w:sz w:val="20"/>
                <w:szCs w:val="20"/>
              </w:rPr>
              <w:t>Distance (ln)</w:t>
            </w:r>
          </w:p>
        </w:tc>
        <w:tc>
          <w:tcPr>
            <w:tcW w:w="810" w:type="dxa"/>
            <w:tcBorders>
              <w:top w:val="nil"/>
              <w:left w:val="single" w:sz="4" w:space="0" w:color="auto"/>
              <w:bottom w:val="nil"/>
              <w:right w:val="nil"/>
            </w:tcBorders>
            <w:noWrap/>
            <w:vAlign w:val="center"/>
            <w:hideMark/>
          </w:tcPr>
          <w:p w14:paraId="00E654E9" w14:textId="77777777" w:rsidR="004F0EB0" w:rsidRPr="0003506A" w:rsidRDefault="004F0EB0" w:rsidP="00C41A2C">
            <w:pPr>
              <w:jc w:val="center"/>
              <w:rPr>
                <w:rFonts w:cs="Times New Roman"/>
                <w:sz w:val="20"/>
                <w:szCs w:val="20"/>
              </w:rPr>
            </w:pPr>
            <w:r w:rsidRPr="0003506A">
              <w:rPr>
                <w:rFonts w:cs="Times New Roman"/>
                <w:sz w:val="20"/>
                <w:szCs w:val="20"/>
              </w:rPr>
              <w:t>-0.272</w:t>
            </w:r>
          </w:p>
        </w:tc>
        <w:tc>
          <w:tcPr>
            <w:tcW w:w="810" w:type="dxa"/>
            <w:tcBorders>
              <w:top w:val="nil"/>
              <w:left w:val="nil"/>
              <w:bottom w:val="nil"/>
              <w:right w:val="nil"/>
            </w:tcBorders>
            <w:noWrap/>
            <w:vAlign w:val="center"/>
            <w:hideMark/>
          </w:tcPr>
          <w:p w14:paraId="1F540D11" w14:textId="77777777" w:rsidR="004F0EB0" w:rsidRPr="0003506A" w:rsidRDefault="004F0EB0" w:rsidP="00C41A2C">
            <w:pPr>
              <w:jc w:val="center"/>
              <w:rPr>
                <w:rFonts w:cs="Times New Roman"/>
                <w:sz w:val="20"/>
                <w:szCs w:val="20"/>
              </w:rPr>
            </w:pPr>
            <w:r w:rsidRPr="0003506A">
              <w:rPr>
                <w:rFonts w:cs="Times New Roman"/>
                <w:sz w:val="20"/>
                <w:szCs w:val="20"/>
              </w:rPr>
              <w:t>3x10</w:t>
            </w:r>
            <w:r w:rsidRPr="0003506A">
              <w:rPr>
                <w:rFonts w:cs="Times New Roman"/>
                <w:sz w:val="20"/>
                <w:szCs w:val="20"/>
                <w:vertAlign w:val="superscript"/>
              </w:rPr>
              <w:t>-4</w:t>
            </w:r>
          </w:p>
        </w:tc>
        <w:tc>
          <w:tcPr>
            <w:tcW w:w="540" w:type="dxa"/>
            <w:tcBorders>
              <w:top w:val="nil"/>
              <w:left w:val="nil"/>
              <w:bottom w:val="nil"/>
              <w:right w:val="single" w:sz="4" w:space="0" w:color="auto"/>
            </w:tcBorders>
            <w:noWrap/>
            <w:vAlign w:val="center"/>
            <w:hideMark/>
          </w:tcPr>
          <w:p w14:paraId="76861546"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10EB0A71" w14:textId="77777777" w:rsidR="004F0EB0" w:rsidRPr="0003506A" w:rsidRDefault="004F0EB0" w:rsidP="00C41A2C">
            <w:pPr>
              <w:jc w:val="center"/>
              <w:rPr>
                <w:rFonts w:cs="Times New Roman"/>
                <w:sz w:val="20"/>
                <w:szCs w:val="20"/>
              </w:rPr>
            </w:pPr>
            <w:r w:rsidRPr="0003506A">
              <w:rPr>
                <w:rFonts w:cs="Times New Roman"/>
                <w:sz w:val="20"/>
                <w:szCs w:val="20"/>
              </w:rPr>
              <w:t>-0.272</w:t>
            </w:r>
          </w:p>
        </w:tc>
        <w:tc>
          <w:tcPr>
            <w:tcW w:w="810" w:type="dxa"/>
            <w:tcBorders>
              <w:top w:val="nil"/>
              <w:left w:val="nil"/>
              <w:bottom w:val="nil"/>
              <w:right w:val="nil"/>
            </w:tcBorders>
            <w:noWrap/>
            <w:vAlign w:val="center"/>
            <w:hideMark/>
          </w:tcPr>
          <w:p w14:paraId="23FC516B" w14:textId="77777777" w:rsidR="004F0EB0" w:rsidRPr="0003506A" w:rsidRDefault="004F0EB0" w:rsidP="00C41A2C">
            <w:pPr>
              <w:jc w:val="center"/>
              <w:rPr>
                <w:rFonts w:cs="Times New Roman"/>
                <w:sz w:val="20"/>
                <w:szCs w:val="20"/>
              </w:rPr>
            </w:pPr>
            <w:r w:rsidRPr="0003506A">
              <w:rPr>
                <w:rFonts w:cs="Times New Roman"/>
                <w:sz w:val="20"/>
                <w:szCs w:val="20"/>
              </w:rPr>
              <w:t>3x10</w:t>
            </w:r>
            <w:r w:rsidRPr="0003506A">
              <w:rPr>
                <w:rFonts w:cs="Times New Roman"/>
                <w:sz w:val="20"/>
                <w:szCs w:val="20"/>
                <w:vertAlign w:val="superscript"/>
              </w:rPr>
              <w:t>-4</w:t>
            </w:r>
          </w:p>
        </w:tc>
        <w:tc>
          <w:tcPr>
            <w:tcW w:w="533" w:type="dxa"/>
            <w:tcBorders>
              <w:top w:val="nil"/>
              <w:left w:val="nil"/>
              <w:bottom w:val="nil"/>
              <w:right w:val="single" w:sz="4" w:space="0" w:color="auto"/>
            </w:tcBorders>
            <w:noWrap/>
            <w:vAlign w:val="center"/>
            <w:hideMark/>
          </w:tcPr>
          <w:p w14:paraId="21CC2A79"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nil"/>
              <w:right w:val="nil"/>
            </w:tcBorders>
            <w:noWrap/>
            <w:vAlign w:val="center"/>
            <w:hideMark/>
          </w:tcPr>
          <w:p w14:paraId="30862B11" w14:textId="77777777" w:rsidR="004F0EB0" w:rsidRPr="0003506A" w:rsidRDefault="004F0EB0" w:rsidP="00C41A2C">
            <w:pPr>
              <w:jc w:val="center"/>
              <w:rPr>
                <w:rFonts w:cs="Times New Roman"/>
                <w:sz w:val="20"/>
                <w:szCs w:val="20"/>
              </w:rPr>
            </w:pPr>
            <w:r w:rsidRPr="0003506A">
              <w:rPr>
                <w:rFonts w:cs="Times New Roman"/>
                <w:sz w:val="20"/>
                <w:szCs w:val="20"/>
              </w:rPr>
              <w:t>-0.272</w:t>
            </w:r>
          </w:p>
        </w:tc>
        <w:tc>
          <w:tcPr>
            <w:tcW w:w="810" w:type="dxa"/>
            <w:tcBorders>
              <w:top w:val="nil"/>
              <w:left w:val="nil"/>
              <w:bottom w:val="nil"/>
              <w:right w:val="nil"/>
            </w:tcBorders>
            <w:noWrap/>
            <w:vAlign w:val="center"/>
            <w:hideMark/>
          </w:tcPr>
          <w:p w14:paraId="262EED1D" w14:textId="77777777" w:rsidR="004F0EB0" w:rsidRPr="0003506A" w:rsidRDefault="004F0EB0" w:rsidP="00C41A2C">
            <w:pPr>
              <w:jc w:val="center"/>
              <w:rPr>
                <w:rFonts w:cs="Times New Roman"/>
                <w:sz w:val="20"/>
                <w:szCs w:val="20"/>
              </w:rPr>
            </w:pPr>
            <w:r w:rsidRPr="0003506A">
              <w:rPr>
                <w:rFonts w:cs="Times New Roman"/>
                <w:sz w:val="20"/>
                <w:szCs w:val="20"/>
              </w:rPr>
              <w:t>3x10</w:t>
            </w:r>
            <w:r w:rsidRPr="0003506A">
              <w:rPr>
                <w:rFonts w:cs="Times New Roman"/>
                <w:sz w:val="20"/>
                <w:szCs w:val="20"/>
                <w:vertAlign w:val="superscript"/>
              </w:rPr>
              <w:t>-4</w:t>
            </w:r>
          </w:p>
        </w:tc>
        <w:tc>
          <w:tcPr>
            <w:tcW w:w="540" w:type="dxa"/>
            <w:tcBorders>
              <w:top w:val="nil"/>
              <w:left w:val="nil"/>
              <w:bottom w:val="nil"/>
              <w:right w:val="single" w:sz="4" w:space="0" w:color="auto"/>
            </w:tcBorders>
            <w:noWrap/>
            <w:vAlign w:val="center"/>
            <w:hideMark/>
          </w:tcPr>
          <w:p w14:paraId="714B4561"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6FB17DE4" w14:textId="77777777" w:rsidR="004F0EB0" w:rsidRPr="0003506A" w:rsidRDefault="004F0EB0" w:rsidP="00C41A2C">
            <w:pPr>
              <w:jc w:val="center"/>
              <w:rPr>
                <w:rFonts w:cs="Times New Roman"/>
                <w:sz w:val="20"/>
                <w:szCs w:val="20"/>
              </w:rPr>
            </w:pPr>
            <w:r w:rsidRPr="0003506A">
              <w:rPr>
                <w:rFonts w:cs="Times New Roman"/>
                <w:sz w:val="20"/>
                <w:szCs w:val="20"/>
              </w:rPr>
              <w:t>-0.272</w:t>
            </w:r>
          </w:p>
        </w:tc>
        <w:tc>
          <w:tcPr>
            <w:tcW w:w="810" w:type="dxa"/>
            <w:tcBorders>
              <w:top w:val="nil"/>
              <w:left w:val="nil"/>
              <w:bottom w:val="nil"/>
              <w:right w:val="nil"/>
            </w:tcBorders>
            <w:noWrap/>
            <w:vAlign w:val="center"/>
            <w:hideMark/>
          </w:tcPr>
          <w:p w14:paraId="07378426" w14:textId="77777777" w:rsidR="004F0EB0" w:rsidRPr="0003506A" w:rsidRDefault="004F0EB0" w:rsidP="00C41A2C">
            <w:pPr>
              <w:jc w:val="center"/>
              <w:rPr>
                <w:rFonts w:cs="Times New Roman"/>
                <w:sz w:val="20"/>
                <w:szCs w:val="20"/>
              </w:rPr>
            </w:pPr>
            <w:r w:rsidRPr="0003506A">
              <w:rPr>
                <w:rFonts w:cs="Times New Roman"/>
                <w:sz w:val="20"/>
                <w:szCs w:val="20"/>
              </w:rPr>
              <w:t>3x10</w:t>
            </w:r>
            <w:r w:rsidRPr="0003506A">
              <w:rPr>
                <w:rFonts w:cs="Times New Roman"/>
                <w:sz w:val="20"/>
                <w:szCs w:val="20"/>
                <w:vertAlign w:val="superscript"/>
              </w:rPr>
              <w:t>-4</w:t>
            </w:r>
          </w:p>
        </w:tc>
        <w:tc>
          <w:tcPr>
            <w:tcW w:w="533" w:type="dxa"/>
            <w:tcBorders>
              <w:top w:val="nil"/>
              <w:left w:val="nil"/>
              <w:bottom w:val="nil"/>
              <w:right w:val="nil"/>
            </w:tcBorders>
            <w:noWrap/>
            <w:vAlign w:val="center"/>
            <w:hideMark/>
          </w:tcPr>
          <w:p w14:paraId="77D56411"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782DB13A" w14:textId="77777777" w:rsidTr="00C41A2C">
        <w:trPr>
          <w:trHeight w:val="288"/>
          <w:jc w:val="center"/>
        </w:trPr>
        <w:tc>
          <w:tcPr>
            <w:tcW w:w="3955" w:type="dxa"/>
            <w:tcBorders>
              <w:top w:val="nil"/>
              <w:left w:val="nil"/>
              <w:bottom w:val="nil"/>
              <w:right w:val="single" w:sz="4" w:space="0" w:color="auto"/>
            </w:tcBorders>
            <w:noWrap/>
            <w:vAlign w:val="center"/>
            <w:hideMark/>
          </w:tcPr>
          <w:p w14:paraId="7B955ECF" w14:textId="77777777" w:rsidR="004F0EB0" w:rsidRPr="0003506A" w:rsidRDefault="004F0EB0" w:rsidP="00C41A2C">
            <w:pPr>
              <w:rPr>
                <w:rFonts w:cs="Times New Roman"/>
                <w:sz w:val="20"/>
                <w:szCs w:val="20"/>
              </w:rPr>
            </w:pPr>
            <w:r w:rsidRPr="0003506A">
              <w:rPr>
                <w:rFonts w:cs="Times New Roman"/>
                <w:sz w:val="20"/>
                <w:szCs w:val="20"/>
              </w:rPr>
              <w:t>Veterans on the list</w:t>
            </w:r>
          </w:p>
        </w:tc>
        <w:tc>
          <w:tcPr>
            <w:tcW w:w="810" w:type="dxa"/>
            <w:tcBorders>
              <w:top w:val="nil"/>
              <w:left w:val="single" w:sz="4" w:space="0" w:color="auto"/>
              <w:bottom w:val="nil"/>
              <w:right w:val="nil"/>
            </w:tcBorders>
            <w:noWrap/>
            <w:vAlign w:val="center"/>
            <w:hideMark/>
          </w:tcPr>
          <w:p w14:paraId="2C6316F3" w14:textId="77777777" w:rsidR="004F0EB0" w:rsidRPr="0003506A" w:rsidRDefault="004F0EB0" w:rsidP="00C41A2C">
            <w:pPr>
              <w:jc w:val="center"/>
              <w:rPr>
                <w:rFonts w:cs="Times New Roman"/>
                <w:sz w:val="20"/>
                <w:szCs w:val="20"/>
              </w:rPr>
            </w:pPr>
            <w:r w:rsidRPr="0003506A">
              <w:rPr>
                <w:rFonts w:cs="Times New Roman"/>
                <w:sz w:val="20"/>
                <w:szCs w:val="20"/>
              </w:rPr>
              <w:t>0.006</w:t>
            </w:r>
          </w:p>
        </w:tc>
        <w:tc>
          <w:tcPr>
            <w:tcW w:w="810" w:type="dxa"/>
            <w:tcBorders>
              <w:top w:val="nil"/>
              <w:left w:val="nil"/>
              <w:bottom w:val="nil"/>
              <w:right w:val="nil"/>
            </w:tcBorders>
            <w:noWrap/>
            <w:vAlign w:val="center"/>
            <w:hideMark/>
          </w:tcPr>
          <w:p w14:paraId="7074238B" w14:textId="77777777" w:rsidR="004F0EB0" w:rsidRPr="0003506A" w:rsidRDefault="004F0EB0" w:rsidP="00C41A2C">
            <w:pPr>
              <w:jc w:val="center"/>
              <w:rPr>
                <w:rFonts w:cs="Times New Roman"/>
                <w:sz w:val="20"/>
                <w:szCs w:val="20"/>
              </w:rPr>
            </w:pPr>
            <w:r w:rsidRPr="0003506A">
              <w:rPr>
                <w:rFonts w:cs="Times New Roman"/>
                <w:sz w:val="20"/>
                <w:szCs w:val="20"/>
              </w:rPr>
              <w:t>0.006</w:t>
            </w:r>
          </w:p>
        </w:tc>
        <w:tc>
          <w:tcPr>
            <w:tcW w:w="540" w:type="dxa"/>
            <w:tcBorders>
              <w:top w:val="nil"/>
              <w:left w:val="nil"/>
              <w:bottom w:val="nil"/>
              <w:right w:val="single" w:sz="4" w:space="0" w:color="auto"/>
            </w:tcBorders>
            <w:noWrap/>
            <w:vAlign w:val="center"/>
            <w:hideMark/>
          </w:tcPr>
          <w:p w14:paraId="32847F56"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2015D931" w14:textId="77777777" w:rsidR="004F0EB0" w:rsidRPr="0003506A" w:rsidRDefault="004F0EB0" w:rsidP="00C41A2C">
            <w:pPr>
              <w:jc w:val="center"/>
              <w:rPr>
                <w:rFonts w:cs="Times New Roman"/>
                <w:sz w:val="20"/>
                <w:szCs w:val="20"/>
              </w:rPr>
            </w:pPr>
            <w:r w:rsidRPr="0003506A">
              <w:rPr>
                <w:rFonts w:cs="Times New Roman"/>
                <w:sz w:val="20"/>
                <w:szCs w:val="20"/>
              </w:rPr>
              <w:t>0.007</w:t>
            </w:r>
          </w:p>
        </w:tc>
        <w:tc>
          <w:tcPr>
            <w:tcW w:w="810" w:type="dxa"/>
            <w:tcBorders>
              <w:top w:val="nil"/>
              <w:left w:val="nil"/>
              <w:bottom w:val="nil"/>
              <w:right w:val="nil"/>
            </w:tcBorders>
            <w:noWrap/>
            <w:vAlign w:val="center"/>
            <w:hideMark/>
          </w:tcPr>
          <w:p w14:paraId="0139E334" w14:textId="77777777" w:rsidR="004F0EB0" w:rsidRPr="0003506A" w:rsidRDefault="004F0EB0" w:rsidP="00C41A2C">
            <w:pPr>
              <w:jc w:val="center"/>
              <w:rPr>
                <w:rFonts w:cs="Times New Roman"/>
                <w:sz w:val="20"/>
                <w:szCs w:val="20"/>
              </w:rPr>
            </w:pPr>
            <w:r w:rsidRPr="0003506A">
              <w:rPr>
                <w:rFonts w:cs="Times New Roman"/>
                <w:sz w:val="20"/>
                <w:szCs w:val="20"/>
              </w:rPr>
              <w:t>0.006</w:t>
            </w:r>
          </w:p>
        </w:tc>
        <w:tc>
          <w:tcPr>
            <w:tcW w:w="533" w:type="dxa"/>
            <w:tcBorders>
              <w:top w:val="nil"/>
              <w:left w:val="nil"/>
              <w:bottom w:val="nil"/>
              <w:right w:val="single" w:sz="4" w:space="0" w:color="auto"/>
            </w:tcBorders>
            <w:noWrap/>
            <w:vAlign w:val="center"/>
            <w:hideMark/>
          </w:tcPr>
          <w:p w14:paraId="24CDF06C" w14:textId="77777777" w:rsidR="004F0EB0" w:rsidRPr="0003506A" w:rsidRDefault="004F0EB0" w:rsidP="00C41A2C">
            <w:pPr>
              <w:jc w:val="center"/>
              <w:rPr>
                <w:rFonts w:cs="Times New Roman"/>
                <w:sz w:val="20"/>
                <w:szCs w:val="20"/>
              </w:rPr>
            </w:pPr>
          </w:p>
        </w:tc>
        <w:tc>
          <w:tcPr>
            <w:tcW w:w="817" w:type="dxa"/>
            <w:tcBorders>
              <w:top w:val="nil"/>
              <w:left w:val="single" w:sz="4" w:space="0" w:color="auto"/>
              <w:bottom w:val="nil"/>
              <w:right w:val="nil"/>
            </w:tcBorders>
            <w:noWrap/>
            <w:vAlign w:val="center"/>
            <w:hideMark/>
          </w:tcPr>
          <w:p w14:paraId="0B8D315C" w14:textId="77777777" w:rsidR="004F0EB0" w:rsidRPr="0003506A" w:rsidRDefault="004F0EB0" w:rsidP="00C41A2C">
            <w:pPr>
              <w:jc w:val="center"/>
              <w:rPr>
                <w:rFonts w:cs="Times New Roman"/>
                <w:sz w:val="20"/>
                <w:szCs w:val="20"/>
              </w:rPr>
            </w:pPr>
            <w:r w:rsidRPr="0003506A">
              <w:rPr>
                <w:rFonts w:cs="Times New Roman"/>
                <w:sz w:val="20"/>
                <w:szCs w:val="20"/>
              </w:rPr>
              <w:t>0.006</w:t>
            </w:r>
          </w:p>
        </w:tc>
        <w:tc>
          <w:tcPr>
            <w:tcW w:w="810" w:type="dxa"/>
            <w:tcBorders>
              <w:top w:val="nil"/>
              <w:left w:val="nil"/>
              <w:bottom w:val="nil"/>
              <w:right w:val="nil"/>
            </w:tcBorders>
            <w:noWrap/>
            <w:vAlign w:val="center"/>
            <w:hideMark/>
          </w:tcPr>
          <w:p w14:paraId="42AB5865" w14:textId="77777777" w:rsidR="004F0EB0" w:rsidRPr="0003506A" w:rsidRDefault="004F0EB0" w:rsidP="00C41A2C">
            <w:pPr>
              <w:jc w:val="center"/>
              <w:rPr>
                <w:rFonts w:cs="Times New Roman"/>
                <w:sz w:val="20"/>
                <w:szCs w:val="20"/>
              </w:rPr>
            </w:pPr>
            <w:r w:rsidRPr="0003506A">
              <w:rPr>
                <w:rFonts w:cs="Times New Roman"/>
                <w:sz w:val="20"/>
                <w:szCs w:val="20"/>
              </w:rPr>
              <w:t>0.006</w:t>
            </w:r>
          </w:p>
        </w:tc>
        <w:tc>
          <w:tcPr>
            <w:tcW w:w="540" w:type="dxa"/>
            <w:tcBorders>
              <w:top w:val="nil"/>
              <w:left w:val="nil"/>
              <w:bottom w:val="nil"/>
              <w:right w:val="single" w:sz="4" w:space="0" w:color="auto"/>
            </w:tcBorders>
            <w:noWrap/>
            <w:vAlign w:val="center"/>
            <w:hideMark/>
          </w:tcPr>
          <w:p w14:paraId="426B0534"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1EB36A45" w14:textId="77777777" w:rsidR="004F0EB0" w:rsidRPr="0003506A" w:rsidRDefault="004F0EB0" w:rsidP="00C41A2C">
            <w:pPr>
              <w:jc w:val="center"/>
              <w:rPr>
                <w:rFonts w:cs="Times New Roman"/>
                <w:sz w:val="20"/>
                <w:szCs w:val="20"/>
              </w:rPr>
            </w:pPr>
            <w:r w:rsidRPr="0003506A">
              <w:rPr>
                <w:rFonts w:cs="Times New Roman"/>
                <w:sz w:val="20"/>
                <w:szCs w:val="20"/>
              </w:rPr>
              <w:t>0.007</w:t>
            </w:r>
          </w:p>
        </w:tc>
        <w:tc>
          <w:tcPr>
            <w:tcW w:w="810" w:type="dxa"/>
            <w:tcBorders>
              <w:top w:val="nil"/>
              <w:left w:val="nil"/>
              <w:bottom w:val="nil"/>
              <w:right w:val="nil"/>
            </w:tcBorders>
            <w:noWrap/>
            <w:vAlign w:val="center"/>
            <w:hideMark/>
          </w:tcPr>
          <w:p w14:paraId="64008C64" w14:textId="77777777" w:rsidR="004F0EB0" w:rsidRPr="0003506A" w:rsidRDefault="004F0EB0" w:rsidP="00C41A2C">
            <w:pPr>
              <w:jc w:val="center"/>
              <w:rPr>
                <w:rFonts w:cs="Times New Roman"/>
                <w:sz w:val="20"/>
                <w:szCs w:val="20"/>
              </w:rPr>
            </w:pPr>
            <w:r w:rsidRPr="0003506A">
              <w:rPr>
                <w:rFonts w:cs="Times New Roman"/>
                <w:sz w:val="20"/>
                <w:szCs w:val="20"/>
              </w:rPr>
              <w:t>0.006</w:t>
            </w:r>
          </w:p>
        </w:tc>
        <w:tc>
          <w:tcPr>
            <w:tcW w:w="533" w:type="dxa"/>
            <w:tcBorders>
              <w:top w:val="nil"/>
              <w:left w:val="nil"/>
              <w:bottom w:val="nil"/>
              <w:right w:val="nil"/>
            </w:tcBorders>
            <w:noWrap/>
            <w:vAlign w:val="center"/>
            <w:hideMark/>
          </w:tcPr>
          <w:p w14:paraId="0416C26E" w14:textId="77777777" w:rsidR="004F0EB0" w:rsidRPr="0003506A" w:rsidRDefault="004F0EB0" w:rsidP="00C41A2C">
            <w:pPr>
              <w:jc w:val="center"/>
              <w:rPr>
                <w:rFonts w:cs="Times New Roman"/>
                <w:sz w:val="20"/>
                <w:szCs w:val="20"/>
              </w:rPr>
            </w:pPr>
          </w:p>
        </w:tc>
      </w:tr>
      <w:tr w:rsidR="004F0EB0" w:rsidRPr="0003506A" w14:paraId="1832C2A8" w14:textId="77777777" w:rsidTr="00C41A2C">
        <w:trPr>
          <w:trHeight w:val="288"/>
          <w:jc w:val="center"/>
        </w:trPr>
        <w:tc>
          <w:tcPr>
            <w:tcW w:w="3955" w:type="dxa"/>
            <w:tcBorders>
              <w:top w:val="nil"/>
              <w:left w:val="nil"/>
              <w:bottom w:val="nil"/>
              <w:right w:val="single" w:sz="4" w:space="0" w:color="auto"/>
            </w:tcBorders>
            <w:noWrap/>
            <w:vAlign w:val="center"/>
            <w:hideMark/>
          </w:tcPr>
          <w:p w14:paraId="0BF4F1EA" w14:textId="77777777" w:rsidR="004F0EB0" w:rsidRPr="0003506A" w:rsidRDefault="004F0EB0" w:rsidP="00C41A2C">
            <w:pPr>
              <w:rPr>
                <w:rFonts w:cs="Times New Roman"/>
                <w:sz w:val="20"/>
                <w:szCs w:val="20"/>
              </w:rPr>
            </w:pPr>
            <w:r w:rsidRPr="0003506A">
              <w:rPr>
                <w:rFonts w:cs="Times New Roman"/>
                <w:sz w:val="20"/>
                <w:szCs w:val="20"/>
              </w:rPr>
              <w:t>Party vote</w:t>
            </w:r>
          </w:p>
        </w:tc>
        <w:tc>
          <w:tcPr>
            <w:tcW w:w="810" w:type="dxa"/>
            <w:tcBorders>
              <w:top w:val="nil"/>
              <w:left w:val="single" w:sz="4" w:space="0" w:color="auto"/>
              <w:bottom w:val="nil"/>
              <w:right w:val="nil"/>
            </w:tcBorders>
            <w:noWrap/>
            <w:vAlign w:val="center"/>
            <w:hideMark/>
          </w:tcPr>
          <w:p w14:paraId="4EF14A97" w14:textId="77777777" w:rsidR="004F0EB0" w:rsidRPr="0003506A" w:rsidRDefault="004F0EB0" w:rsidP="00C41A2C">
            <w:pPr>
              <w:jc w:val="center"/>
              <w:rPr>
                <w:rFonts w:cs="Times New Roman"/>
                <w:sz w:val="20"/>
                <w:szCs w:val="20"/>
              </w:rPr>
            </w:pPr>
            <w:r w:rsidRPr="0003506A">
              <w:rPr>
                <w:rFonts w:cs="Times New Roman"/>
                <w:sz w:val="20"/>
                <w:szCs w:val="20"/>
              </w:rPr>
              <w:t>-0.134</w:t>
            </w:r>
          </w:p>
        </w:tc>
        <w:tc>
          <w:tcPr>
            <w:tcW w:w="810" w:type="dxa"/>
            <w:tcBorders>
              <w:top w:val="nil"/>
              <w:left w:val="nil"/>
              <w:bottom w:val="nil"/>
              <w:right w:val="nil"/>
            </w:tcBorders>
            <w:noWrap/>
            <w:vAlign w:val="center"/>
            <w:hideMark/>
          </w:tcPr>
          <w:p w14:paraId="19C75F9F" w14:textId="77777777" w:rsidR="004F0EB0" w:rsidRPr="0003506A" w:rsidRDefault="004F0EB0" w:rsidP="00C41A2C">
            <w:pPr>
              <w:jc w:val="center"/>
              <w:rPr>
                <w:rFonts w:cs="Times New Roman"/>
                <w:sz w:val="20"/>
                <w:szCs w:val="20"/>
              </w:rPr>
            </w:pPr>
            <w:r w:rsidRPr="0003506A">
              <w:rPr>
                <w:rFonts w:cs="Times New Roman"/>
                <w:sz w:val="20"/>
                <w:szCs w:val="20"/>
              </w:rPr>
              <w:t>0.005</w:t>
            </w:r>
          </w:p>
        </w:tc>
        <w:tc>
          <w:tcPr>
            <w:tcW w:w="540" w:type="dxa"/>
            <w:tcBorders>
              <w:top w:val="nil"/>
              <w:left w:val="nil"/>
              <w:bottom w:val="nil"/>
              <w:right w:val="single" w:sz="4" w:space="0" w:color="auto"/>
            </w:tcBorders>
            <w:noWrap/>
            <w:vAlign w:val="center"/>
            <w:hideMark/>
          </w:tcPr>
          <w:p w14:paraId="10AC054C"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3253E05E" w14:textId="77777777" w:rsidR="004F0EB0" w:rsidRPr="0003506A" w:rsidRDefault="004F0EB0" w:rsidP="00C41A2C">
            <w:pPr>
              <w:jc w:val="center"/>
              <w:rPr>
                <w:rFonts w:cs="Times New Roman"/>
                <w:sz w:val="20"/>
                <w:szCs w:val="20"/>
              </w:rPr>
            </w:pPr>
            <w:r w:rsidRPr="0003506A">
              <w:rPr>
                <w:rFonts w:cs="Times New Roman"/>
                <w:sz w:val="20"/>
                <w:szCs w:val="20"/>
              </w:rPr>
              <w:t>-0.155</w:t>
            </w:r>
          </w:p>
        </w:tc>
        <w:tc>
          <w:tcPr>
            <w:tcW w:w="810" w:type="dxa"/>
            <w:tcBorders>
              <w:top w:val="nil"/>
              <w:left w:val="nil"/>
              <w:bottom w:val="nil"/>
              <w:right w:val="nil"/>
            </w:tcBorders>
            <w:noWrap/>
            <w:vAlign w:val="center"/>
            <w:hideMark/>
          </w:tcPr>
          <w:p w14:paraId="56D352FC" w14:textId="77777777" w:rsidR="004F0EB0" w:rsidRPr="0003506A" w:rsidRDefault="004F0EB0" w:rsidP="00C41A2C">
            <w:pPr>
              <w:jc w:val="center"/>
              <w:rPr>
                <w:rFonts w:cs="Times New Roman"/>
                <w:sz w:val="20"/>
                <w:szCs w:val="20"/>
              </w:rPr>
            </w:pPr>
            <w:r w:rsidRPr="0003506A">
              <w:rPr>
                <w:rFonts w:cs="Times New Roman"/>
                <w:sz w:val="20"/>
                <w:szCs w:val="20"/>
              </w:rPr>
              <w:t>0.005</w:t>
            </w:r>
          </w:p>
        </w:tc>
        <w:tc>
          <w:tcPr>
            <w:tcW w:w="533" w:type="dxa"/>
            <w:tcBorders>
              <w:top w:val="nil"/>
              <w:left w:val="nil"/>
              <w:bottom w:val="nil"/>
              <w:right w:val="single" w:sz="4" w:space="0" w:color="auto"/>
            </w:tcBorders>
            <w:noWrap/>
            <w:vAlign w:val="center"/>
            <w:hideMark/>
          </w:tcPr>
          <w:p w14:paraId="0423696A"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nil"/>
              <w:right w:val="nil"/>
            </w:tcBorders>
            <w:noWrap/>
            <w:vAlign w:val="center"/>
            <w:hideMark/>
          </w:tcPr>
          <w:p w14:paraId="5D8FAF25" w14:textId="77777777" w:rsidR="004F0EB0" w:rsidRPr="0003506A" w:rsidRDefault="004F0EB0" w:rsidP="00C41A2C">
            <w:pPr>
              <w:jc w:val="center"/>
              <w:rPr>
                <w:rFonts w:cs="Times New Roman"/>
                <w:sz w:val="20"/>
                <w:szCs w:val="20"/>
              </w:rPr>
            </w:pPr>
            <w:r w:rsidRPr="0003506A">
              <w:rPr>
                <w:rFonts w:cs="Times New Roman"/>
                <w:sz w:val="20"/>
                <w:szCs w:val="20"/>
              </w:rPr>
              <w:t>-0.134</w:t>
            </w:r>
          </w:p>
        </w:tc>
        <w:tc>
          <w:tcPr>
            <w:tcW w:w="810" w:type="dxa"/>
            <w:tcBorders>
              <w:top w:val="nil"/>
              <w:left w:val="nil"/>
              <w:bottom w:val="nil"/>
              <w:right w:val="nil"/>
            </w:tcBorders>
            <w:noWrap/>
            <w:vAlign w:val="center"/>
            <w:hideMark/>
          </w:tcPr>
          <w:p w14:paraId="6C3EFBA6" w14:textId="77777777" w:rsidR="004F0EB0" w:rsidRPr="0003506A" w:rsidRDefault="004F0EB0" w:rsidP="00C41A2C">
            <w:pPr>
              <w:jc w:val="center"/>
              <w:rPr>
                <w:rFonts w:cs="Times New Roman"/>
                <w:sz w:val="20"/>
                <w:szCs w:val="20"/>
              </w:rPr>
            </w:pPr>
            <w:r w:rsidRPr="0003506A">
              <w:rPr>
                <w:rFonts w:cs="Times New Roman"/>
                <w:sz w:val="20"/>
                <w:szCs w:val="20"/>
              </w:rPr>
              <w:t>0.005</w:t>
            </w:r>
          </w:p>
        </w:tc>
        <w:tc>
          <w:tcPr>
            <w:tcW w:w="540" w:type="dxa"/>
            <w:tcBorders>
              <w:top w:val="nil"/>
              <w:left w:val="nil"/>
              <w:bottom w:val="nil"/>
              <w:right w:val="single" w:sz="4" w:space="0" w:color="auto"/>
            </w:tcBorders>
            <w:noWrap/>
            <w:vAlign w:val="center"/>
            <w:hideMark/>
          </w:tcPr>
          <w:p w14:paraId="47490E02"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58AB428F" w14:textId="77777777" w:rsidR="004F0EB0" w:rsidRPr="0003506A" w:rsidRDefault="004F0EB0" w:rsidP="00C41A2C">
            <w:pPr>
              <w:jc w:val="center"/>
              <w:rPr>
                <w:rFonts w:cs="Times New Roman"/>
                <w:sz w:val="20"/>
                <w:szCs w:val="20"/>
              </w:rPr>
            </w:pPr>
            <w:r w:rsidRPr="0003506A">
              <w:rPr>
                <w:rFonts w:cs="Times New Roman"/>
                <w:sz w:val="20"/>
                <w:szCs w:val="20"/>
              </w:rPr>
              <w:t>-0.120</w:t>
            </w:r>
          </w:p>
        </w:tc>
        <w:tc>
          <w:tcPr>
            <w:tcW w:w="810" w:type="dxa"/>
            <w:tcBorders>
              <w:top w:val="nil"/>
              <w:left w:val="nil"/>
              <w:bottom w:val="nil"/>
              <w:right w:val="nil"/>
            </w:tcBorders>
            <w:noWrap/>
            <w:vAlign w:val="center"/>
            <w:hideMark/>
          </w:tcPr>
          <w:p w14:paraId="3D254E01" w14:textId="77777777" w:rsidR="004F0EB0" w:rsidRPr="0003506A" w:rsidRDefault="004F0EB0" w:rsidP="00C41A2C">
            <w:pPr>
              <w:jc w:val="center"/>
              <w:rPr>
                <w:rFonts w:cs="Times New Roman"/>
                <w:sz w:val="20"/>
                <w:szCs w:val="20"/>
              </w:rPr>
            </w:pPr>
            <w:r w:rsidRPr="0003506A">
              <w:rPr>
                <w:rFonts w:cs="Times New Roman"/>
                <w:sz w:val="20"/>
                <w:szCs w:val="20"/>
              </w:rPr>
              <w:t>0.005</w:t>
            </w:r>
          </w:p>
        </w:tc>
        <w:tc>
          <w:tcPr>
            <w:tcW w:w="533" w:type="dxa"/>
            <w:tcBorders>
              <w:top w:val="nil"/>
              <w:left w:val="nil"/>
              <w:bottom w:val="nil"/>
              <w:right w:val="nil"/>
            </w:tcBorders>
            <w:noWrap/>
            <w:vAlign w:val="center"/>
            <w:hideMark/>
          </w:tcPr>
          <w:p w14:paraId="5B2E3EF9"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4605E709" w14:textId="77777777" w:rsidTr="00C41A2C">
        <w:trPr>
          <w:trHeight w:val="288"/>
          <w:jc w:val="center"/>
        </w:trPr>
        <w:tc>
          <w:tcPr>
            <w:tcW w:w="3955" w:type="dxa"/>
            <w:tcBorders>
              <w:top w:val="nil"/>
              <w:left w:val="nil"/>
              <w:bottom w:val="nil"/>
              <w:right w:val="single" w:sz="4" w:space="0" w:color="auto"/>
            </w:tcBorders>
            <w:noWrap/>
            <w:vAlign w:val="center"/>
            <w:hideMark/>
          </w:tcPr>
          <w:p w14:paraId="6E626598" w14:textId="77777777" w:rsidR="004F0EB0" w:rsidRPr="0003506A" w:rsidRDefault="004F0EB0" w:rsidP="00C41A2C">
            <w:pPr>
              <w:rPr>
                <w:rFonts w:cs="Times New Roman"/>
                <w:sz w:val="20"/>
                <w:szCs w:val="20"/>
              </w:rPr>
            </w:pPr>
            <w:r w:rsidRPr="0003506A">
              <w:rPr>
                <w:rFonts w:cs="Times New Roman"/>
                <w:sz w:val="20"/>
                <w:szCs w:val="20"/>
              </w:rPr>
              <w:t>Party ideology</w:t>
            </w:r>
          </w:p>
        </w:tc>
        <w:tc>
          <w:tcPr>
            <w:tcW w:w="810" w:type="dxa"/>
            <w:tcBorders>
              <w:top w:val="nil"/>
              <w:left w:val="single" w:sz="4" w:space="0" w:color="auto"/>
              <w:bottom w:val="nil"/>
              <w:right w:val="nil"/>
            </w:tcBorders>
            <w:noWrap/>
            <w:vAlign w:val="center"/>
            <w:hideMark/>
          </w:tcPr>
          <w:p w14:paraId="4FE06BC2" w14:textId="77777777" w:rsidR="004F0EB0" w:rsidRPr="0003506A" w:rsidRDefault="004F0EB0" w:rsidP="00C41A2C">
            <w:pPr>
              <w:jc w:val="center"/>
              <w:rPr>
                <w:rFonts w:cs="Times New Roman"/>
                <w:sz w:val="20"/>
                <w:szCs w:val="20"/>
              </w:rPr>
            </w:pPr>
            <w:r w:rsidRPr="0003506A">
              <w:rPr>
                <w:rFonts w:cs="Times New Roman"/>
                <w:sz w:val="20"/>
                <w:szCs w:val="20"/>
              </w:rPr>
              <w:t>0.028</w:t>
            </w:r>
          </w:p>
        </w:tc>
        <w:tc>
          <w:tcPr>
            <w:tcW w:w="810" w:type="dxa"/>
            <w:tcBorders>
              <w:top w:val="nil"/>
              <w:left w:val="nil"/>
              <w:bottom w:val="nil"/>
              <w:right w:val="nil"/>
            </w:tcBorders>
            <w:noWrap/>
            <w:vAlign w:val="center"/>
            <w:hideMark/>
          </w:tcPr>
          <w:p w14:paraId="6F92CEE9" w14:textId="77777777" w:rsidR="004F0EB0" w:rsidRPr="0003506A" w:rsidRDefault="004F0EB0" w:rsidP="00C41A2C">
            <w:pPr>
              <w:jc w:val="center"/>
              <w:rPr>
                <w:rFonts w:cs="Times New Roman"/>
                <w:sz w:val="20"/>
                <w:szCs w:val="20"/>
              </w:rPr>
            </w:pPr>
            <w:r w:rsidRPr="0003506A">
              <w:rPr>
                <w:rFonts w:cs="Times New Roman"/>
                <w:sz w:val="20"/>
                <w:szCs w:val="20"/>
              </w:rPr>
              <w:t>0.016</w:t>
            </w:r>
          </w:p>
        </w:tc>
        <w:tc>
          <w:tcPr>
            <w:tcW w:w="540" w:type="dxa"/>
            <w:tcBorders>
              <w:top w:val="nil"/>
              <w:left w:val="nil"/>
              <w:bottom w:val="nil"/>
              <w:right w:val="single" w:sz="4" w:space="0" w:color="auto"/>
            </w:tcBorders>
            <w:noWrap/>
            <w:vAlign w:val="center"/>
            <w:hideMark/>
          </w:tcPr>
          <w:p w14:paraId="6E18ADE3"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43D3D760" w14:textId="77777777" w:rsidR="004F0EB0" w:rsidRPr="0003506A" w:rsidRDefault="004F0EB0" w:rsidP="00C41A2C">
            <w:pPr>
              <w:jc w:val="center"/>
              <w:rPr>
                <w:rFonts w:cs="Times New Roman"/>
                <w:sz w:val="20"/>
                <w:szCs w:val="20"/>
              </w:rPr>
            </w:pPr>
            <w:r w:rsidRPr="0003506A">
              <w:rPr>
                <w:rFonts w:cs="Times New Roman"/>
                <w:sz w:val="20"/>
                <w:szCs w:val="20"/>
              </w:rPr>
              <w:t>0.029</w:t>
            </w:r>
          </w:p>
        </w:tc>
        <w:tc>
          <w:tcPr>
            <w:tcW w:w="810" w:type="dxa"/>
            <w:tcBorders>
              <w:top w:val="nil"/>
              <w:left w:val="nil"/>
              <w:bottom w:val="nil"/>
              <w:right w:val="nil"/>
            </w:tcBorders>
            <w:noWrap/>
            <w:vAlign w:val="center"/>
            <w:hideMark/>
          </w:tcPr>
          <w:p w14:paraId="30FA45BC" w14:textId="77777777" w:rsidR="004F0EB0" w:rsidRPr="0003506A" w:rsidRDefault="004F0EB0" w:rsidP="00C41A2C">
            <w:pPr>
              <w:jc w:val="center"/>
              <w:rPr>
                <w:rFonts w:cs="Times New Roman"/>
                <w:sz w:val="20"/>
                <w:szCs w:val="20"/>
              </w:rPr>
            </w:pPr>
            <w:r w:rsidRPr="0003506A">
              <w:rPr>
                <w:rFonts w:cs="Times New Roman"/>
                <w:sz w:val="20"/>
                <w:szCs w:val="20"/>
              </w:rPr>
              <w:t>0.016</w:t>
            </w:r>
          </w:p>
        </w:tc>
        <w:tc>
          <w:tcPr>
            <w:tcW w:w="533" w:type="dxa"/>
            <w:tcBorders>
              <w:top w:val="nil"/>
              <w:left w:val="nil"/>
              <w:bottom w:val="nil"/>
              <w:right w:val="single" w:sz="4" w:space="0" w:color="auto"/>
            </w:tcBorders>
            <w:noWrap/>
            <w:vAlign w:val="center"/>
            <w:hideMark/>
          </w:tcPr>
          <w:p w14:paraId="0C51F832" w14:textId="77777777" w:rsidR="004F0EB0" w:rsidRPr="0003506A" w:rsidRDefault="004F0EB0" w:rsidP="00C41A2C">
            <w:pPr>
              <w:jc w:val="center"/>
              <w:rPr>
                <w:rFonts w:cs="Times New Roman"/>
                <w:sz w:val="20"/>
                <w:szCs w:val="20"/>
              </w:rPr>
            </w:pPr>
          </w:p>
        </w:tc>
        <w:tc>
          <w:tcPr>
            <w:tcW w:w="817" w:type="dxa"/>
            <w:tcBorders>
              <w:top w:val="nil"/>
              <w:left w:val="single" w:sz="4" w:space="0" w:color="auto"/>
              <w:bottom w:val="nil"/>
              <w:right w:val="nil"/>
            </w:tcBorders>
            <w:noWrap/>
            <w:vAlign w:val="center"/>
            <w:hideMark/>
          </w:tcPr>
          <w:p w14:paraId="3FAB40CC" w14:textId="77777777" w:rsidR="004F0EB0" w:rsidRPr="0003506A" w:rsidRDefault="004F0EB0" w:rsidP="00C41A2C">
            <w:pPr>
              <w:jc w:val="center"/>
              <w:rPr>
                <w:rFonts w:cs="Times New Roman"/>
                <w:sz w:val="20"/>
                <w:szCs w:val="20"/>
              </w:rPr>
            </w:pPr>
            <w:r w:rsidRPr="0003506A">
              <w:rPr>
                <w:rFonts w:cs="Times New Roman"/>
                <w:sz w:val="20"/>
                <w:szCs w:val="20"/>
              </w:rPr>
              <w:t>0.026</w:t>
            </w:r>
          </w:p>
        </w:tc>
        <w:tc>
          <w:tcPr>
            <w:tcW w:w="810" w:type="dxa"/>
            <w:tcBorders>
              <w:top w:val="nil"/>
              <w:left w:val="nil"/>
              <w:bottom w:val="nil"/>
              <w:right w:val="nil"/>
            </w:tcBorders>
            <w:noWrap/>
            <w:vAlign w:val="center"/>
            <w:hideMark/>
          </w:tcPr>
          <w:p w14:paraId="27E1B983" w14:textId="77777777" w:rsidR="004F0EB0" w:rsidRPr="0003506A" w:rsidRDefault="004F0EB0" w:rsidP="00C41A2C">
            <w:pPr>
              <w:jc w:val="center"/>
              <w:rPr>
                <w:rFonts w:cs="Times New Roman"/>
                <w:sz w:val="20"/>
                <w:szCs w:val="20"/>
              </w:rPr>
            </w:pPr>
            <w:r w:rsidRPr="0003506A">
              <w:rPr>
                <w:rFonts w:cs="Times New Roman"/>
                <w:sz w:val="20"/>
                <w:szCs w:val="20"/>
              </w:rPr>
              <w:t>0.016</w:t>
            </w:r>
          </w:p>
        </w:tc>
        <w:tc>
          <w:tcPr>
            <w:tcW w:w="540" w:type="dxa"/>
            <w:tcBorders>
              <w:top w:val="nil"/>
              <w:left w:val="nil"/>
              <w:bottom w:val="nil"/>
              <w:right w:val="single" w:sz="4" w:space="0" w:color="auto"/>
            </w:tcBorders>
            <w:noWrap/>
            <w:vAlign w:val="center"/>
            <w:hideMark/>
          </w:tcPr>
          <w:p w14:paraId="1996A38B"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430CD3E1" w14:textId="77777777" w:rsidR="004F0EB0" w:rsidRPr="0003506A" w:rsidRDefault="004F0EB0" w:rsidP="00C41A2C">
            <w:pPr>
              <w:jc w:val="center"/>
              <w:rPr>
                <w:rFonts w:cs="Times New Roman"/>
                <w:sz w:val="20"/>
                <w:szCs w:val="20"/>
              </w:rPr>
            </w:pPr>
            <w:r w:rsidRPr="0003506A">
              <w:rPr>
                <w:rFonts w:cs="Times New Roman"/>
                <w:sz w:val="20"/>
                <w:szCs w:val="20"/>
              </w:rPr>
              <w:t>0.059</w:t>
            </w:r>
          </w:p>
        </w:tc>
        <w:tc>
          <w:tcPr>
            <w:tcW w:w="810" w:type="dxa"/>
            <w:tcBorders>
              <w:top w:val="nil"/>
              <w:left w:val="nil"/>
              <w:bottom w:val="nil"/>
              <w:right w:val="nil"/>
            </w:tcBorders>
            <w:noWrap/>
            <w:vAlign w:val="center"/>
            <w:hideMark/>
          </w:tcPr>
          <w:p w14:paraId="5E29240C" w14:textId="77777777" w:rsidR="004F0EB0" w:rsidRPr="0003506A" w:rsidRDefault="004F0EB0" w:rsidP="00C41A2C">
            <w:pPr>
              <w:jc w:val="center"/>
              <w:rPr>
                <w:rFonts w:cs="Times New Roman"/>
                <w:sz w:val="20"/>
                <w:szCs w:val="20"/>
              </w:rPr>
            </w:pPr>
            <w:r w:rsidRPr="0003506A">
              <w:rPr>
                <w:rFonts w:cs="Times New Roman"/>
                <w:sz w:val="20"/>
                <w:szCs w:val="20"/>
              </w:rPr>
              <w:t>0.016</w:t>
            </w:r>
          </w:p>
        </w:tc>
        <w:tc>
          <w:tcPr>
            <w:tcW w:w="533" w:type="dxa"/>
            <w:tcBorders>
              <w:top w:val="nil"/>
              <w:left w:val="nil"/>
              <w:bottom w:val="nil"/>
              <w:right w:val="nil"/>
            </w:tcBorders>
            <w:noWrap/>
            <w:vAlign w:val="center"/>
            <w:hideMark/>
          </w:tcPr>
          <w:p w14:paraId="6B58BADF"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463EF11A" w14:textId="77777777" w:rsidTr="00C41A2C">
        <w:trPr>
          <w:trHeight w:val="288"/>
          <w:jc w:val="center"/>
        </w:trPr>
        <w:tc>
          <w:tcPr>
            <w:tcW w:w="3955" w:type="dxa"/>
            <w:tcBorders>
              <w:top w:val="nil"/>
              <w:left w:val="nil"/>
              <w:bottom w:val="nil"/>
              <w:right w:val="single" w:sz="4" w:space="0" w:color="auto"/>
            </w:tcBorders>
            <w:noWrap/>
            <w:vAlign w:val="center"/>
            <w:hideMark/>
          </w:tcPr>
          <w:p w14:paraId="6B7D1F01" w14:textId="77777777" w:rsidR="004F0EB0" w:rsidRPr="0003506A" w:rsidRDefault="004F0EB0" w:rsidP="00C41A2C">
            <w:pPr>
              <w:rPr>
                <w:rFonts w:cs="Times New Roman"/>
                <w:sz w:val="20"/>
                <w:szCs w:val="20"/>
              </w:rPr>
            </w:pPr>
            <w:r w:rsidRPr="0003506A">
              <w:rPr>
                <w:rFonts w:cs="Times New Roman"/>
                <w:sz w:val="20"/>
                <w:szCs w:val="20"/>
              </w:rPr>
              <w:t>War disabled</w:t>
            </w:r>
          </w:p>
        </w:tc>
        <w:tc>
          <w:tcPr>
            <w:tcW w:w="810" w:type="dxa"/>
            <w:tcBorders>
              <w:top w:val="nil"/>
              <w:left w:val="single" w:sz="4" w:space="0" w:color="auto"/>
              <w:bottom w:val="nil"/>
              <w:right w:val="nil"/>
            </w:tcBorders>
            <w:noWrap/>
            <w:vAlign w:val="center"/>
            <w:hideMark/>
          </w:tcPr>
          <w:p w14:paraId="3A1B684B" w14:textId="77777777" w:rsidR="004F0EB0" w:rsidRPr="0003506A" w:rsidRDefault="004F0EB0" w:rsidP="00C41A2C">
            <w:pPr>
              <w:jc w:val="center"/>
              <w:rPr>
                <w:rFonts w:cs="Times New Roman"/>
                <w:sz w:val="20"/>
                <w:szCs w:val="20"/>
              </w:rPr>
            </w:pPr>
            <w:r w:rsidRPr="0003506A">
              <w:rPr>
                <w:rFonts w:cs="Times New Roman"/>
                <w:sz w:val="20"/>
                <w:szCs w:val="20"/>
              </w:rPr>
              <w:t>-0.036</w:t>
            </w:r>
          </w:p>
        </w:tc>
        <w:tc>
          <w:tcPr>
            <w:tcW w:w="810" w:type="dxa"/>
            <w:tcBorders>
              <w:top w:val="nil"/>
              <w:left w:val="nil"/>
              <w:bottom w:val="nil"/>
              <w:right w:val="nil"/>
            </w:tcBorders>
            <w:noWrap/>
            <w:vAlign w:val="center"/>
            <w:hideMark/>
          </w:tcPr>
          <w:p w14:paraId="487CD3B2" w14:textId="77777777" w:rsidR="004F0EB0" w:rsidRPr="0003506A" w:rsidRDefault="004F0EB0" w:rsidP="00C41A2C">
            <w:pPr>
              <w:jc w:val="center"/>
              <w:rPr>
                <w:rFonts w:cs="Times New Roman"/>
                <w:sz w:val="20"/>
                <w:szCs w:val="20"/>
              </w:rPr>
            </w:pPr>
            <w:r w:rsidRPr="0003506A">
              <w:rPr>
                <w:rFonts w:cs="Times New Roman"/>
                <w:sz w:val="20"/>
                <w:szCs w:val="20"/>
              </w:rPr>
              <w:t>0.039</w:t>
            </w:r>
          </w:p>
        </w:tc>
        <w:tc>
          <w:tcPr>
            <w:tcW w:w="540" w:type="dxa"/>
            <w:tcBorders>
              <w:top w:val="nil"/>
              <w:left w:val="nil"/>
              <w:bottom w:val="nil"/>
              <w:right w:val="single" w:sz="4" w:space="0" w:color="auto"/>
            </w:tcBorders>
            <w:noWrap/>
            <w:vAlign w:val="center"/>
            <w:hideMark/>
          </w:tcPr>
          <w:p w14:paraId="77D23452"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562E13C4" w14:textId="77777777" w:rsidR="004F0EB0" w:rsidRPr="0003506A" w:rsidRDefault="004F0EB0" w:rsidP="00C41A2C">
            <w:pPr>
              <w:jc w:val="center"/>
              <w:rPr>
                <w:rFonts w:cs="Times New Roman"/>
                <w:sz w:val="20"/>
                <w:szCs w:val="20"/>
              </w:rPr>
            </w:pPr>
            <w:r w:rsidRPr="0003506A">
              <w:rPr>
                <w:rFonts w:cs="Times New Roman"/>
                <w:sz w:val="20"/>
                <w:szCs w:val="20"/>
              </w:rPr>
              <w:t>-0.266</w:t>
            </w:r>
          </w:p>
        </w:tc>
        <w:tc>
          <w:tcPr>
            <w:tcW w:w="810" w:type="dxa"/>
            <w:tcBorders>
              <w:top w:val="nil"/>
              <w:left w:val="nil"/>
              <w:bottom w:val="nil"/>
              <w:right w:val="nil"/>
            </w:tcBorders>
            <w:noWrap/>
            <w:vAlign w:val="center"/>
            <w:hideMark/>
          </w:tcPr>
          <w:p w14:paraId="40B92849" w14:textId="77777777" w:rsidR="004F0EB0" w:rsidRPr="0003506A" w:rsidRDefault="004F0EB0" w:rsidP="00C41A2C">
            <w:pPr>
              <w:jc w:val="center"/>
              <w:rPr>
                <w:rFonts w:cs="Times New Roman"/>
                <w:sz w:val="20"/>
                <w:szCs w:val="20"/>
              </w:rPr>
            </w:pPr>
            <w:r w:rsidRPr="0003506A">
              <w:rPr>
                <w:rFonts w:cs="Times New Roman"/>
                <w:sz w:val="20"/>
                <w:szCs w:val="20"/>
              </w:rPr>
              <w:t>0.039</w:t>
            </w:r>
          </w:p>
        </w:tc>
        <w:tc>
          <w:tcPr>
            <w:tcW w:w="533" w:type="dxa"/>
            <w:tcBorders>
              <w:top w:val="nil"/>
              <w:left w:val="nil"/>
              <w:bottom w:val="nil"/>
              <w:right w:val="single" w:sz="4" w:space="0" w:color="auto"/>
            </w:tcBorders>
            <w:noWrap/>
            <w:vAlign w:val="center"/>
            <w:hideMark/>
          </w:tcPr>
          <w:p w14:paraId="1A4B4972"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nil"/>
              <w:right w:val="nil"/>
            </w:tcBorders>
            <w:noWrap/>
            <w:vAlign w:val="center"/>
            <w:hideMark/>
          </w:tcPr>
          <w:p w14:paraId="554D547C" w14:textId="77777777" w:rsidR="004F0EB0" w:rsidRPr="0003506A" w:rsidRDefault="004F0EB0" w:rsidP="00C41A2C">
            <w:pPr>
              <w:jc w:val="center"/>
              <w:rPr>
                <w:rFonts w:cs="Times New Roman"/>
                <w:sz w:val="20"/>
                <w:szCs w:val="20"/>
              </w:rPr>
            </w:pPr>
            <w:r w:rsidRPr="0003506A">
              <w:rPr>
                <w:rFonts w:cs="Times New Roman"/>
                <w:sz w:val="20"/>
                <w:szCs w:val="20"/>
              </w:rPr>
              <w:t>-0.036</w:t>
            </w:r>
          </w:p>
        </w:tc>
        <w:tc>
          <w:tcPr>
            <w:tcW w:w="810" w:type="dxa"/>
            <w:tcBorders>
              <w:top w:val="nil"/>
              <w:left w:val="nil"/>
              <w:bottom w:val="nil"/>
              <w:right w:val="nil"/>
            </w:tcBorders>
            <w:noWrap/>
            <w:vAlign w:val="center"/>
            <w:hideMark/>
          </w:tcPr>
          <w:p w14:paraId="12AEEA1F" w14:textId="77777777" w:rsidR="004F0EB0" w:rsidRPr="0003506A" w:rsidRDefault="004F0EB0" w:rsidP="00C41A2C">
            <w:pPr>
              <w:jc w:val="center"/>
              <w:rPr>
                <w:rFonts w:cs="Times New Roman"/>
                <w:sz w:val="20"/>
                <w:szCs w:val="20"/>
              </w:rPr>
            </w:pPr>
            <w:r w:rsidRPr="0003506A">
              <w:rPr>
                <w:rFonts w:cs="Times New Roman"/>
                <w:sz w:val="20"/>
                <w:szCs w:val="20"/>
              </w:rPr>
              <w:t>0.039</w:t>
            </w:r>
          </w:p>
        </w:tc>
        <w:tc>
          <w:tcPr>
            <w:tcW w:w="540" w:type="dxa"/>
            <w:tcBorders>
              <w:top w:val="nil"/>
              <w:left w:val="nil"/>
              <w:bottom w:val="nil"/>
              <w:right w:val="single" w:sz="4" w:space="0" w:color="auto"/>
            </w:tcBorders>
            <w:noWrap/>
            <w:vAlign w:val="center"/>
            <w:hideMark/>
          </w:tcPr>
          <w:p w14:paraId="5B586F44"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6AB172E5" w14:textId="77777777" w:rsidR="004F0EB0" w:rsidRPr="0003506A" w:rsidRDefault="004F0EB0" w:rsidP="00C41A2C">
            <w:pPr>
              <w:jc w:val="center"/>
              <w:rPr>
                <w:rFonts w:cs="Times New Roman"/>
                <w:sz w:val="20"/>
                <w:szCs w:val="20"/>
              </w:rPr>
            </w:pPr>
            <w:r w:rsidRPr="0003506A">
              <w:rPr>
                <w:rFonts w:cs="Times New Roman"/>
                <w:sz w:val="20"/>
                <w:szCs w:val="20"/>
              </w:rPr>
              <w:t>0.457</w:t>
            </w:r>
          </w:p>
        </w:tc>
        <w:tc>
          <w:tcPr>
            <w:tcW w:w="810" w:type="dxa"/>
            <w:tcBorders>
              <w:top w:val="nil"/>
              <w:left w:val="nil"/>
              <w:bottom w:val="nil"/>
              <w:right w:val="nil"/>
            </w:tcBorders>
            <w:noWrap/>
            <w:vAlign w:val="center"/>
            <w:hideMark/>
          </w:tcPr>
          <w:p w14:paraId="3491AA50" w14:textId="77777777" w:rsidR="004F0EB0" w:rsidRPr="0003506A" w:rsidRDefault="004F0EB0" w:rsidP="00C41A2C">
            <w:pPr>
              <w:jc w:val="center"/>
              <w:rPr>
                <w:rFonts w:cs="Times New Roman"/>
                <w:sz w:val="20"/>
                <w:szCs w:val="20"/>
              </w:rPr>
            </w:pPr>
            <w:r w:rsidRPr="0003506A">
              <w:rPr>
                <w:rFonts w:cs="Times New Roman"/>
                <w:sz w:val="20"/>
                <w:szCs w:val="20"/>
              </w:rPr>
              <w:t>0.043</w:t>
            </w:r>
          </w:p>
        </w:tc>
        <w:tc>
          <w:tcPr>
            <w:tcW w:w="533" w:type="dxa"/>
            <w:tcBorders>
              <w:top w:val="nil"/>
              <w:left w:val="nil"/>
              <w:bottom w:val="nil"/>
              <w:right w:val="nil"/>
            </w:tcBorders>
            <w:noWrap/>
            <w:vAlign w:val="center"/>
            <w:hideMark/>
          </w:tcPr>
          <w:p w14:paraId="533F80D9"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32478895" w14:textId="77777777" w:rsidTr="00C41A2C">
        <w:trPr>
          <w:trHeight w:val="288"/>
          <w:jc w:val="center"/>
        </w:trPr>
        <w:tc>
          <w:tcPr>
            <w:tcW w:w="3955" w:type="dxa"/>
            <w:tcBorders>
              <w:top w:val="nil"/>
              <w:left w:val="nil"/>
              <w:bottom w:val="nil"/>
              <w:right w:val="single" w:sz="4" w:space="0" w:color="auto"/>
            </w:tcBorders>
            <w:noWrap/>
            <w:vAlign w:val="center"/>
            <w:hideMark/>
          </w:tcPr>
          <w:p w14:paraId="77B45E57" w14:textId="77777777" w:rsidR="004F0EB0" w:rsidRPr="0003506A" w:rsidRDefault="004F0EB0" w:rsidP="00C41A2C">
            <w:pPr>
              <w:rPr>
                <w:rFonts w:cs="Times New Roman"/>
                <w:sz w:val="20"/>
                <w:szCs w:val="20"/>
              </w:rPr>
            </w:pPr>
            <w:r w:rsidRPr="0003506A">
              <w:rPr>
                <w:rFonts w:cs="Times New Roman"/>
                <w:sz w:val="20"/>
                <w:szCs w:val="20"/>
              </w:rPr>
              <w:t>Unemployment</w:t>
            </w:r>
          </w:p>
        </w:tc>
        <w:tc>
          <w:tcPr>
            <w:tcW w:w="810" w:type="dxa"/>
            <w:tcBorders>
              <w:top w:val="nil"/>
              <w:left w:val="single" w:sz="4" w:space="0" w:color="auto"/>
              <w:bottom w:val="nil"/>
              <w:right w:val="nil"/>
            </w:tcBorders>
            <w:noWrap/>
            <w:vAlign w:val="center"/>
            <w:hideMark/>
          </w:tcPr>
          <w:p w14:paraId="5D941F06" w14:textId="77777777" w:rsidR="004F0EB0" w:rsidRPr="0003506A" w:rsidRDefault="004F0EB0" w:rsidP="00C41A2C">
            <w:pPr>
              <w:jc w:val="center"/>
              <w:rPr>
                <w:rFonts w:cs="Times New Roman"/>
                <w:sz w:val="20"/>
                <w:szCs w:val="20"/>
              </w:rPr>
            </w:pPr>
            <w:r w:rsidRPr="0003506A">
              <w:rPr>
                <w:rFonts w:cs="Times New Roman"/>
                <w:sz w:val="20"/>
                <w:szCs w:val="20"/>
              </w:rPr>
              <w:t>0.283</w:t>
            </w:r>
          </w:p>
        </w:tc>
        <w:tc>
          <w:tcPr>
            <w:tcW w:w="810" w:type="dxa"/>
            <w:tcBorders>
              <w:top w:val="nil"/>
              <w:left w:val="nil"/>
              <w:bottom w:val="nil"/>
              <w:right w:val="nil"/>
            </w:tcBorders>
            <w:noWrap/>
            <w:vAlign w:val="center"/>
            <w:hideMark/>
          </w:tcPr>
          <w:p w14:paraId="167706EB" w14:textId="77777777" w:rsidR="004F0EB0" w:rsidRPr="0003506A" w:rsidRDefault="004F0EB0" w:rsidP="00C41A2C">
            <w:pPr>
              <w:jc w:val="center"/>
              <w:rPr>
                <w:rFonts w:cs="Times New Roman"/>
                <w:sz w:val="20"/>
                <w:szCs w:val="20"/>
              </w:rPr>
            </w:pPr>
            <w:r w:rsidRPr="0003506A">
              <w:rPr>
                <w:rFonts w:cs="Times New Roman"/>
                <w:sz w:val="20"/>
                <w:szCs w:val="20"/>
              </w:rPr>
              <w:t>0.064</w:t>
            </w:r>
          </w:p>
        </w:tc>
        <w:tc>
          <w:tcPr>
            <w:tcW w:w="540" w:type="dxa"/>
            <w:tcBorders>
              <w:top w:val="nil"/>
              <w:left w:val="nil"/>
              <w:bottom w:val="nil"/>
              <w:right w:val="single" w:sz="4" w:space="0" w:color="auto"/>
            </w:tcBorders>
            <w:noWrap/>
            <w:vAlign w:val="center"/>
            <w:hideMark/>
          </w:tcPr>
          <w:p w14:paraId="6F5121C3"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16891F1E" w14:textId="77777777" w:rsidR="004F0EB0" w:rsidRPr="0003506A" w:rsidRDefault="004F0EB0" w:rsidP="00C41A2C">
            <w:pPr>
              <w:jc w:val="center"/>
              <w:rPr>
                <w:rFonts w:cs="Times New Roman"/>
                <w:sz w:val="20"/>
                <w:szCs w:val="20"/>
              </w:rPr>
            </w:pPr>
            <w:r w:rsidRPr="0003506A">
              <w:rPr>
                <w:rFonts w:cs="Times New Roman"/>
                <w:sz w:val="20"/>
                <w:szCs w:val="20"/>
              </w:rPr>
              <w:t>0.321</w:t>
            </w:r>
          </w:p>
        </w:tc>
        <w:tc>
          <w:tcPr>
            <w:tcW w:w="810" w:type="dxa"/>
            <w:tcBorders>
              <w:top w:val="nil"/>
              <w:left w:val="nil"/>
              <w:bottom w:val="nil"/>
              <w:right w:val="nil"/>
            </w:tcBorders>
            <w:noWrap/>
            <w:vAlign w:val="center"/>
            <w:hideMark/>
          </w:tcPr>
          <w:p w14:paraId="257B7D52" w14:textId="77777777" w:rsidR="004F0EB0" w:rsidRPr="0003506A" w:rsidRDefault="004F0EB0" w:rsidP="00C41A2C">
            <w:pPr>
              <w:jc w:val="center"/>
              <w:rPr>
                <w:rFonts w:cs="Times New Roman"/>
                <w:sz w:val="20"/>
                <w:szCs w:val="20"/>
              </w:rPr>
            </w:pPr>
            <w:r w:rsidRPr="0003506A">
              <w:rPr>
                <w:rFonts w:cs="Times New Roman"/>
                <w:sz w:val="20"/>
                <w:szCs w:val="20"/>
              </w:rPr>
              <w:t>0.064</w:t>
            </w:r>
          </w:p>
        </w:tc>
        <w:tc>
          <w:tcPr>
            <w:tcW w:w="533" w:type="dxa"/>
            <w:tcBorders>
              <w:top w:val="nil"/>
              <w:left w:val="nil"/>
              <w:bottom w:val="nil"/>
              <w:right w:val="single" w:sz="4" w:space="0" w:color="auto"/>
            </w:tcBorders>
            <w:noWrap/>
            <w:vAlign w:val="center"/>
            <w:hideMark/>
          </w:tcPr>
          <w:p w14:paraId="0D8367D7"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nil"/>
              <w:right w:val="nil"/>
            </w:tcBorders>
            <w:noWrap/>
            <w:vAlign w:val="center"/>
            <w:hideMark/>
          </w:tcPr>
          <w:p w14:paraId="05336DAA" w14:textId="77777777" w:rsidR="004F0EB0" w:rsidRPr="0003506A" w:rsidRDefault="004F0EB0" w:rsidP="00C41A2C">
            <w:pPr>
              <w:jc w:val="center"/>
              <w:rPr>
                <w:rFonts w:cs="Times New Roman"/>
                <w:sz w:val="20"/>
                <w:szCs w:val="20"/>
              </w:rPr>
            </w:pPr>
            <w:r w:rsidRPr="0003506A">
              <w:rPr>
                <w:rFonts w:cs="Times New Roman"/>
                <w:sz w:val="20"/>
                <w:szCs w:val="20"/>
              </w:rPr>
              <w:t>0.286</w:t>
            </w:r>
          </w:p>
        </w:tc>
        <w:tc>
          <w:tcPr>
            <w:tcW w:w="810" w:type="dxa"/>
            <w:tcBorders>
              <w:top w:val="nil"/>
              <w:left w:val="nil"/>
              <w:bottom w:val="nil"/>
              <w:right w:val="nil"/>
            </w:tcBorders>
            <w:noWrap/>
            <w:vAlign w:val="center"/>
            <w:hideMark/>
          </w:tcPr>
          <w:p w14:paraId="2102BBF8" w14:textId="77777777" w:rsidR="004F0EB0" w:rsidRPr="0003506A" w:rsidRDefault="004F0EB0" w:rsidP="00C41A2C">
            <w:pPr>
              <w:jc w:val="center"/>
              <w:rPr>
                <w:rFonts w:cs="Times New Roman"/>
                <w:sz w:val="20"/>
                <w:szCs w:val="20"/>
              </w:rPr>
            </w:pPr>
            <w:r w:rsidRPr="0003506A">
              <w:rPr>
                <w:rFonts w:cs="Times New Roman"/>
                <w:sz w:val="20"/>
                <w:szCs w:val="20"/>
              </w:rPr>
              <w:t>0.065</w:t>
            </w:r>
          </w:p>
        </w:tc>
        <w:tc>
          <w:tcPr>
            <w:tcW w:w="540" w:type="dxa"/>
            <w:tcBorders>
              <w:top w:val="nil"/>
              <w:left w:val="nil"/>
              <w:bottom w:val="nil"/>
              <w:right w:val="single" w:sz="4" w:space="0" w:color="auto"/>
            </w:tcBorders>
            <w:noWrap/>
            <w:vAlign w:val="center"/>
            <w:hideMark/>
          </w:tcPr>
          <w:p w14:paraId="00F1EF31"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5C71D2F6" w14:textId="77777777" w:rsidR="004F0EB0" w:rsidRPr="0003506A" w:rsidRDefault="004F0EB0" w:rsidP="00C41A2C">
            <w:pPr>
              <w:jc w:val="center"/>
              <w:rPr>
                <w:rFonts w:cs="Times New Roman"/>
                <w:sz w:val="20"/>
                <w:szCs w:val="20"/>
              </w:rPr>
            </w:pPr>
            <w:r w:rsidRPr="0003506A">
              <w:rPr>
                <w:rFonts w:cs="Times New Roman"/>
                <w:sz w:val="20"/>
                <w:szCs w:val="20"/>
              </w:rPr>
              <w:t>0.299</w:t>
            </w:r>
          </w:p>
        </w:tc>
        <w:tc>
          <w:tcPr>
            <w:tcW w:w="810" w:type="dxa"/>
            <w:tcBorders>
              <w:top w:val="nil"/>
              <w:left w:val="nil"/>
              <w:bottom w:val="nil"/>
              <w:right w:val="nil"/>
            </w:tcBorders>
            <w:noWrap/>
            <w:vAlign w:val="center"/>
            <w:hideMark/>
          </w:tcPr>
          <w:p w14:paraId="15B70EFF" w14:textId="77777777" w:rsidR="004F0EB0" w:rsidRPr="0003506A" w:rsidRDefault="004F0EB0" w:rsidP="00C41A2C">
            <w:pPr>
              <w:jc w:val="center"/>
              <w:rPr>
                <w:rFonts w:cs="Times New Roman"/>
                <w:sz w:val="20"/>
                <w:szCs w:val="20"/>
              </w:rPr>
            </w:pPr>
            <w:r w:rsidRPr="0003506A">
              <w:rPr>
                <w:rFonts w:cs="Times New Roman"/>
                <w:sz w:val="20"/>
                <w:szCs w:val="20"/>
              </w:rPr>
              <w:t>0.065</w:t>
            </w:r>
          </w:p>
        </w:tc>
        <w:tc>
          <w:tcPr>
            <w:tcW w:w="533" w:type="dxa"/>
            <w:tcBorders>
              <w:top w:val="nil"/>
              <w:left w:val="nil"/>
              <w:bottom w:val="nil"/>
              <w:right w:val="nil"/>
            </w:tcBorders>
            <w:noWrap/>
            <w:vAlign w:val="center"/>
            <w:hideMark/>
          </w:tcPr>
          <w:p w14:paraId="2AC71398"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4564F18F" w14:textId="77777777" w:rsidTr="00C41A2C">
        <w:trPr>
          <w:trHeight w:val="288"/>
          <w:jc w:val="center"/>
        </w:trPr>
        <w:tc>
          <w:tcPr>
            <w:tcW w:w="3955" w:type="dxa"/>
            <w:tcBorders>
              <w:top w:val="nil"/>
              <w:left w:val="nil"/>
              <w:bottom w:val="nil"/>
              <w:right w:val="single" w:sz="4" w:space="0" w:color="auto"/>
            </w:tcBorders>
            <w:noWrap/>
            <w:vAlign w:val="center"/>
            <w:hideMark/>
          </w:tcPr>
          <w:p w14:paraId="7D4F9836" w14:textId="77777777" w:rsidR="004F0EB0" w:rsidRPr="0003506A" w:rsidRDefault="004F0EB0" w:rsidP="00C41A2C">
            <w:pPr>
              <w:rPr>
                <w:rFonts w:cs="Times New Roman"/>
                <w:sz w:val="20"/>
                <w:szCs w:val="20"/>
              </w:rPr>
            </w:pPr>
            <w:r w:rsidRPr="0003506A">
              <w:rPr>
                <w:rFonts w:cs="Times New Roman"/>
                <w:sz w:val="20"/>
                <w:szCs w:val="20"/>
              </w:rPr>
              <w:t>Education</w:t>
            </w:r>
          </w:p>
        </w:tc>
        <w:tc>
          <w:tcPr>
            <w:tcW w:w="810" w:type="dxa"/>
            <w:tcBorders>
              <w:top w:val="nil"/>
              <w:left w:val="single" w:sz="4" w:space="0" w:color="auto"/>
              <w:bottom w:val="nil"/>
              <w:right w:val="nil"/>
            </w:tcBorders>
            <w:noWrap/>
            <w:vAlign w:val="center"/>
            <w:hideMark/>
          </w:tcPr>
          <w:p w14:paraId="718F58E2" w14:textId="77777777" w:rsidR="004F0EB0" w:rsidRPr="0003506A" w:rsidRDefault="004F0EB0" w:rsidP="00C41A2C">
            <w:pPr>
              <w:jc w:val="center"/>
              <w:rPr>
                <w:rFonts w:cs="Times New Roman"/>
                <w:sz w:val="20"/>
                <w:szCs w:val="20"/>
              </w:rPr>
            </w:pPr>
            <w:r w:rsidRPr="0003506A">
              <w:rPr>
                <w:rFonts w:cs="Times New Roman"/>
                <w:sz w:val="20"/>
                <w:szCs w:val="20"/>
              </w:rPr>
              <w:t>-0.030</w:t>
            </w:r>
          </w:p>
        </w:tc>
        <w:tc>
          <w:tcPr>
            <w:tcW w:w="810" w:type="dxa"/>
            <w:tcBorders>
              <w:top w:val="nil"/>
              <w:left w:val="nil"/>
              <w:bottom w:val="nil"/>
              <w:right w:val="nil"/>
            </w:tcBorders>
            <w:noWrap/>
            <w:vAlign w:val="center"/>
            <w:hideMark/>
          </w:tcPr>
          <w:p w14:paraId="2351CD51" w14:textId="77777777" w:rsidR="004F0EB0" w:rsidRPr="0003506A" w:rsidRDefault="004F0EB0" w:rsidP="00C41A2C">
            <w:pPr>
              <w:jc w:val="center"/>
              <w:rPr>
                <w:rFonts w:cs="Times New Roman"/>
                <w:sz w:val="20"/>
                <w:szCs w:val="20"/>
              </w:rPr>
            </w:pPr>
            <w:r w:rsidRPr="0003506A">
              <w:rPr>
                <w:rFonts w:cs="Times New Roman"/>
                <w:sz w:val="20"/>
                <w:szCs w:val="20"/>
              </w:rPr>
              <w:t>0.008</w:t>
            </w:r>
          </w:p>
        </w:tc>
        <w:tc>
          <w:tcPr>
            <w:tcW w:w="540" w:type="dxa"/>
            <w:tcBorders>
              <w:top w:val="nil"/>
              <w:left w:val="nil"/>
              <w:bottom w:val="nil"/>
              <w:right w:val="single" w:sz="4" w:space="0" w:color="auto"/>
            </w:tcBorders>
            <w:noWrap/>
            <w:vAlign w:val="center"/>
            <w:hideMark/>
          </w:tcPr>
          <w:p w14:paraId="143E4F9B"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3580A31C" w14:textId="77777777" w:rsidR="004F0EB0" w:rsidRPr="0003506A" w:rsidRDefault="004F0EB0" w:rsidP="00C41A2C">
            <w:pPr>
              <w:jc w:val="center"/>
              <w:rPr>
                <w:rFonts w:cs="Times New Roman"/>
                <w:sz w:val="20"/>
                <w:szCs w:val="20"/>
              </w:rPr>
            </w:pPr>
            <w:r w:rsidRPr="0003506A">
              <w:rPr>
                <w:rFonts w:cs="Times New Roman"/>
                <w:sz w:val="20"/>
                <w:szCs w:val="20"/>
              </w:rPr>
              <w:t>-0.030</w:t>
            </w:r>
          </w:p>
        </w:tc>
        <w:tc>
          <w:tcPr>
            <w:tcW w:w="810" w:type="dxa"/>
            <w:tcBorders>
              <w:top w:val="nil"/>
              <w:left w:val="nil"/>
              <w:bottom w:val="nil"/>
              <w:right w:val="nil"/>
            </w:tcBorders>
            <w:noWrap/>
            <w:vAlign w:val="center"/>
            <w:hideMark/>
          </w:tcPr>
          <w:p w14:paraId="22FE2CAF" w14:textId="77777777" w:rsidR="004F0EB0" w:rsidRPr="0003506A" w:rsidRDefault="004F0EB0" w:rsidP="00C41A2C">
            <w:pPr>
              <w:jc w:val="center"/>
              <w:rPr>
                <w:rFonts w:cs="Times New Roman"/>
                <w:sz w:val="20"/>
                <w:szCs w:val="20"/>
              </w:rPr>
            </w:pPr>
            <w:r w:rsidRPr="0003506A">
              <w:rPr>
                <w:rFonts w:cs="Times New Roman"/>
                <w:sz w:val="20"/>
                <w:szCs w:val="20"/>
              </w:rPr>
              <w:t>0.008</w:t>
            </w:r>
          </w:p>
        </w:tc>
        <w:tc>
          <w:tcPr>
            <w:tcW w:w="533" w:type="dxa"/>
            <w:tcBorders>
              <w:top w:val="nil"/>
              <w:left w:val="nil"/>
              <w:bottom w:val="nil"/>
              <w:right w:val="single" w:sz="4" w:space="0" w:color="auto"/>
            </w:tcBorders>
            <w:noWrap/>
            <w:vAlign w:val="center"/>
            <w:hideMark/>
          </w:tcPr>
          <w:p w14:paraId="0C05024E"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nil"/>
              <w:right w:val="nil"/>
            </w:tcBorders>
            <w:noWrap/>
            <w:vAlign w:val="center"/>
            <w:hideMark/>
          </w:tcPr>
          <w:p w14:paraId="37361DD0" w14:textId="77777777" w:rsidR="004F0EB0" w:rsidRPr="0003506A" w:rsidRDefault="004F0EB0" w:rsidP="00C41A2C">
            <w:pPr>
              <w:jc w:val="center"/>
              <w:rPr>
                <w:rFonts w:cs="Times New Roman"/>
                <w:sz w:val="20"/>
                <w:szCs w:val="20"/>
              </w:rPr>
            </w:pPr>
            <w:r w:rsidRPr="0003506A">
              <w:rPr>
                <w:rFonts w:cs="Times New Roman"/>
                <w:sz w:val="20"/>
                <w:szCs w:val="20"/>
              </w:rPr>
              <w:t>-0.030</w:t>
            </w:r>
          </w:p>
        </w:tc>
        <w:tc>
          <w:tcPr>
            <w:tcW w:w="810" w:type="dxa"/>
            <w:tcBorders>
              <w:top w:val="nil"/>
              <w:left w:val="nil"/>
              <w:bottom w:val="nil"/>
              <w:right w:val="nil"/>
            </w:tcBorders>
            <w:noWrap/>
            <w:vAlign w:val="center"/>
            <w:hideMark/>
          </w:tcPr>
          <w:p w14:paraId="3222863C" w14:textId="77777777" w:rsidR="004F0EB0" w:rsidRPr="0003506A" w:rsidRDefault="004F0EB0" w:rsidP="00C41A2C">
            <w:pPr>
              <w:jc w:val="center"/>
              <w:rPr>
                <w:rFonts w:cs="Times New Roman"/>
                <w:sz w:val="20"/>
                <w:szCs w:val="20"/>
              </w:rPr>
            </w:pPr>
            <w:r w:rsidRPr="0003506A">
              <w:rPr>
                <w:rFonts w:cs="Times New Roman"/>
                <w:sz w:val="20"/>
                <w:szCs w:val="20"/>
              </w:rPr>
              <w:t>0.008</w:t>
            </w:r>
          </w:p>
        </w:tc>
        <w:tc>
          <w:tcPr>
            <w:tcW w:w="540" w:type="dxa"/>
            <w:tcBorders>
              <w:top w:val="nil"/>
              <w:left w:val="nil"/>
              <w:bottom w:val="nil"/>
              <w:right w:val="single" w:sz="4" w:space="0" w:color="auto"/>
            </w:tcBorders>
            <w:noWrap/>
            <w:vAlign w:val="center"/>
            <w:hideMark/>
          </w:tcPr>
          <w:p w14:paraId="7184852F"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03F650AB" w14:textId="77777777" w:rsidR="004F0EB0" w:rsidRPr="0003506A" w:rsidRDefault="004F0EB0" w:rsidP="00C41A2C">
            <w:pPr>
              <w:jc w:val="center"/>
              <w:rPr>
                <w:rFonts w:cs="Times New Roman"/>
                <w:sz w:val="20"/>
                <w:szCs w:val="20"/>
              </w:rPr>
            </w:pPr>
            <w:r w:rsidRPr="0003506A">
              <w:rPr>
                <w:rFonts w:cs="Times New Roman"/>
                <w:sz w:val="20"/>
                <w:szCs w:val="20"/>
              </w:rPr>
              <w:t>-0.029</w:t>
            </w:r>
          </w:p>
        </w:tc>
        <w:tc>
          <w:tcPr>
            <w:tcW w:w="810" w:type="dxa"/>
            <w:tcBorders>
              <w:top w:val="nil"/>
              <w:left w:val="nil"/>
              <w:bottom w:val="nil"/>
              <w:right w:val="nil"/>
            </w:tcBorders>
            <w:noWrap/>
            <w:vAlign w:val="center"/>
            <w:hideMark/>
          </w:tcPr>
          <w:p w14:paraId="1B815583" w14:textId="77777777" w:rsidR="004F0EB0" w:rsidRPr="0003506A" w:rsidRDefault="004F0EB0" w:rsidP="00C41A2C">
            <w:pPr>
              <w:jc w:val="center"/>
              <w:rPr>
                <w:rFonts w:cs="Times New Roman"/>
                <w:sz w:val="20"/>
                <w:szCs w:val="20"/>
              </w:rPr>
            </w:pPr>
            <w:r w:rsidRPr="0003506A">
              <w:rPr>
                <w:rFonts w:cs="Times New Roman"/>
                <w:sz w:val="20"/>
                <w:szCs w:val="20"/>
              </w:rPr>
              <w:t>0.008</w:t>
            </w:r>
          </w:p>
        </w:tc>
        <w:tc>
          <w:tcPr>
            <w:tcW w:w="533" w:type="dxa"/>
            <w:tcBorders>
              <w:top w:val="nil"/>
              <w:left w:val="nil"/>
              <w:bottom w:val="nil"/>
              <w:right w:val="nil"/>
            </w:tcBorders>
            <w:noWrap/>
            <w:vAlign w:val="center"/>
            <w:hideMark/>
          </w:tcPr>
          <w:p w14:paraId="4BBA4E91"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3B4347F2" w14:textId="77777777" w:rsidTr="00C41A2C">
        <w:trPr>
          <w:trHeight w:val="288"/>
          <w:jc w:val="center"/>
        </w:trPr>
        <w:tc>
          <w:tcPr>
            <w:tcW w:w="3955" w:type="dxa"/>
            <w:tcBorders>
              <w:top w:val="nil"/>
              <w:left w:val="nil"/>
              <w:bottom w:val="nil"/>
              <w:right w:val="single" w:sz="4" w:space="0" w:color="auto"/>
            </w:tcBorders>
            <w:noWrap/>
            <w:vAlign w:val="center"/>
            <w:hideMark/>
          </w:tcPr>
          <w:p w14:paraId="4C93CF78" w14:textId="77777777" w:rsidR="004F0EB0" w:rsidRPr="0003506A" w:rsidRDefault="004F0EB0" w:rsidP="00C41A2C">
            <w:pPr>
              <w:rPr>
                <w:rFonts w:cs="Times New Roman"/>
                <w:sz w:val="20"/>
                <w:szCs w:val="20"/>
              </w:rPr>
            </w:pPr>
            <w:r w:rsidRPr="0003506A">
              <w:rPr>
                <w:rFonts w:cs="Times New Roman"/>
                <w:sz w:val="20"/>
                <w:szCs w:val="20"/>
              </w:rPr>
              <w:t>Urbanization</w:t>
            </w:r>
          </w:p>
        </w:tc>
        <w:tc>
          <w:tcPr>
            <w:tcW w:w="810" w:type="dxa"/>
            <w:tcBorders>
              <w:top w:val="nil"/>
              <w:left w:val="single" w:sz="4" w:space="0" w:color="auto"/>
              <w:bottom w:val="nil"/>
              <w:right w:val="nil"/>
            </w:tcBorders>
            <w:noWrap/>
            <w:vAlign w:val="center"/>
            <w:hideMark/>
          </w:tcPr>
          <w:p w14:paraId="5D8B043C" w14:textId="77777777" w:rsidR="004F0EB0" w:rsidRPr="0003506A" w:rsidRDefault="004F0EB0" w:rsidP="00C41A2C">
            <w:pPr>
              <w:jc w:val="center"/>
              <w:rPr>
                <w:rFonts w:cs="Times New Roman"/>
                <w:sz w:val="20"/>
                <w:szCs w:val="20"/>
              </w:rPr>
            </w:pPr>
            <w:r w:rsidRPr="0003506A">
              <w:rPr>
                <w:rFonts w:cs="Times New Roman"/>
                <w:sz w:val="20"/>
                <w:szCs w:val="20"/>
              </w:rPr>
              <w:t>-0.015</w:t>
            </w:r>
          </w:p>
        </w:tc>
        <w:tc>
          <w:tcPr>
            <w:tcW w:w="810" w:type="dxa"/>
            <w:tcBorders>
              <w:top w:val="nil"/>
              <w:left w:val="nil"/>
              <w:bottom w:val="nil"/>
              <w:right w:val="nil"/>
            </w:tcBorders>
            <w:noWrap/>
            <w:vAlign w:val="center"/>
            <w:hideMark/>
          </w:tcPr>
          <w:p w14:paraId="392E633D" w14:textId="77777777" w:rsidR="004F0EB0" w:rsidRPr="0003506A" w:rsidRDefault="004F0EB0" w:rsidP="00C41A2C">
            <w:pPr>
              <w:jc w:val="center"/>
              <w:rPr>
                <w:rFonts w:cs="Times New Roman"/>
                <w:sz w:val="20"/>
                <w:szCs w:val="20"/>
              </w:rPr>
            </w:pPr>
            <w:r w:rsidRPr="0003506A">
              <w:rPr>
                <w:rFonts w:cs="Times New Roman"/>
                <w:sz w:val="20"/>
                <w:szCs w:val="20"/>
              </w:rPr>
              <w:t>0.004</w:t>
            </w:r>
          </w:p>
        </w:tc>
        <w:tc>
          <w:tcPr>
            <w:tcW w:w="540" w:type="dxa"/>
            <w:tcBorders>
              <w:top w:val="nil"/>
              <w:left w:val="nil"/>
              <w:bottom w:val="nil"/>
              <w:right w:val="single" w:sz="4" w:space="0" w:color="auto"/>
            </w:tcBorders>
            <w:noWrap/>
            <w:vAlign w:val="center"/>
            <w:hideMark/>
          </w:tcPr>
          <w:p w14:paraId="43A1F526"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3746926A" w14:textId="77777777" w:rsidR="004F0EB0" w:rsidRPr="0003506A" w:rsidRDefault="004F0EB0" w:rsidP="00C41A2C">
            <w:pPr>
              <w:jc w:val="center"/>
              <w:rPr>
                <w:rFonts w:cs="Times New Roman"/>
                <w:sz w:val="20"/>
                <w:szCs w:val="20"/>
              </w:rPr>
            </w:pPr>
            <w:r w:rsidRPr="0003506A">
              <w:rPr>
                <w:rFonts w:cs="Times New Roman"/>
                <w:sz w:val="20"/>
                <w:szCs w:val="20"/>
              </w:rPr>
              <w:t>-0.014</w:t>
            </w:r>
          </w:p>
        </w:tc>
        <w:tc>
          <w:tcPr>
            <w:tcW w:w="810" w:type="dxa"/>
            <w:tcBorders>
              <w:top w:val="nil"/>
              <w:left w:val="nil"/>
              <w:bottom w:val="nil"/>
              <w:right w:val="nil"/>
            </w:tcBorders>
            <w:noWrap/>
            <w:vAlign w:val="center"/>
            <w:hideMark/>
          </w:tcPr>
          <w:p w14:paraId="296BBDA8" w14:textId="77777777" w:rsidR="004F0EB0" w:rsidRPr="0003506A" w:rsidRDefault="004F0EB0" w:rsidP="00C41A2C">
            <w:pPr>
              <w:jc w:val="center"/>
              <w:rPr>
                <w:rFonts w:cs="Times New Roman"/>
                <w:sz w:val="20"/>
                <w:szCs w:val="20"/>
              </w:rPr>
            </w:pPr>
            <w:r w:rsidRPr="0003506A">
              <w:rPr>
                <w:rFonts w:cs="Times New Roman"/>
                <w:sz w:val="20"/>
                <w:szCs w:val="20"/>
              </w:rPr>
              <w:t>0.004</w:t>
            </w:r>
          </w:p>
        </w:tc>
        <w:tc>
          <w:tcPr>
            <w:tcW w:w="533" w:type="dxa"/>
            <w:tcBorders>
              <w:top w:val="nil"/>
              <w:left w:val="nil"/>
              <w:bottom w:val="nil"/>
              <w:right w:val="single" w:sz="4" w:space="0" w:color="auto"/>
            </w:tcBorders>
            <w:noWrap/>
            <w:vAlign w:val="center"/>
            <w:hideMark/>
          </w:tcPr>
          <w:p w14:paraId="2557A502"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nil"/>
              <w:right w:val="nil"/>
            </w:tcBorders>
            <w:noWrap/>
            <w:vAlign w:val="center"/>
            <w:hideMark/>
          </w:tcPr>
          <w:p w14:paraId="2E620270" w14:textId="77777777" w:rsidR="004F0EB0" w:rsidRPr="0003506A" w:rsidRDefault="004F0EB0" w:rsidP="00C41A2C">
            <w:pPr>
              <w:jc w:val="center"/>
              <w:rPr>
                <w:rFonts w:cs="Times New Roman"/>
                <w:sz w:val="20"/>
                <w:szCs w:val="20"/>
              </w:rPr>
            </w:pPr>
            <w:r w:rsidRPr="0003506A">
              <w:rPr>
                <w:rFonts w:cs="Times New Roman"/>
                <w:sz w:val="20"/>
                <w:szCs w:val="20"/>
              </w:rPr>
              <w:t>-0.015</w:t>
            </w:r>
          </w:p>
        </w:tc>
        <w:tc>
          <w:tcPr>
            <w:tcW w:w="810" w:type="dxa"/>
            <w:tcBorders>
              <w:top w:val="nil"/>
              <w:left w:val="nil"/>
              <w:bottom w:val="nil"/>
              <w:right w:val="nil"/>
            </w:tcBorders>
            <w:noWrap/>
            <w:vAlign w:val="center"/>
            <w:hideMark/>
          </w:tcPr>
          <w:p w14:paraId="01044BD2" w14:textId="77777777" w:rsidR="004F0EB0" w:rsidRPr="0003506A" w:rsidRDefault="004F0EB0" w:rsidP="00C41A2C">
            <w:pPr>
              <w:jc w:val="center"/>
              <w:rPr>
                <w:rFonts w:cs="Times New Roman"/>
                <w:sz w:val="20"/>
                <w:szCs w:val="20"/>
              </w:rPr>
            </w:pPr>
            <w:r w:rsidRPr="0003506A">
              <w:rPr>
                <w:rFonts w:cs="Times New Roman"/>
                <w:sz w:val="20"/>
                <w:szCs w:val="20"/>
              </w:rPr>
              <w:t>0.004</w:t>
            </w:r>
          </w:p>
        </w:tc>
        <w:tc>
          <w:tcPr>
            <w:tcW w:w="540" w:type="dxa"/>
            <w:tcBorders>
              <w:top w:val="nil"/>
              <w:left w:val="nil"/>
              <w:bottom w:val="nil"/>
              <w:right w:val="single" w:sz="4" w:space="0" w:color="auto"/>
            </w:tcBorders>
            <w:noWrap/>
            <w:vAlign w:val="center"/>
            <w:hideMark/>
          </w:tcPr>
          <w:p w14:paraId="1CDD758F"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nil"/>
              <w:right w:val="nil"/>
            </w:tcBorders>
            <w:noWrap/>
            <w:vAlign w:val="center"/>
            <w:hideMark/>
          </w:tcPr>
          <w:p w14:paraId="76F3A040" w14:textId="77777777" w:rsidR="004F0EB0" w:rsidRPr="0003506A" w:rsidRDefault="004F0EB0" w:rsidP="00C41A2C">
            <w:pPr>
              <w:jc w:val="center"/>
              <w:rPr>
                <w:rFonts w:cs="Times New Roman"/>
                <w:sz w:val="20"/>
                <w:szCs w:val="20"/>
              </w:rPr>
            </w:pPr>
            <w:r w:rsidRPr="0003506A">
              <w:rPr>
                <w:rFonts w:cs="Times New Roman"/>
                <w:sz w:val="20"/>
                <w:szCs w:val="20"/>
              </w:rPr>
              <w:t>-0.015</w:t>
            </w:r>
          </w:p>
        </w:tc>
        <w:tc>
          <w:tcPr>
            <w:tcW w:w="810" w:type="dxa"/>
            <w:tcBorders>
              <w:top w:val="nil"/>
              <w:left w:val="nil"/>
              <w:bottom w:val="nil"/>
              <w:right w:val="nil"/>
            </w:tcBorders>
            <w:noWrap/>
            <w:vAlign w:val="center"/>
            <w:hideMark/>
          </w:tcPr>
          <w:p w14:paraId="7B57B085" w14:textId="77777777" w:rsidR="004F0EB0" w:rsidRPr="0003506A" w:rsidRDefault="004F0EB0" w:rsidP="00C41A2C">
            <w:pPr>
              <w:jc w:val="center"/>
              <w:rPr>
                <w:rFonts w:cs="Times New Roman"/>
                <w:sz w:val="20"/>
                <w:szCs w:val="20"/>
              </w:rPr>
            </w:pPr>
            <w:r w:rsidRPr="0003506A">
              <w:rPr>
                <w:rFonts w:cs="Times New Roman"/>
                <w:sz w:val="20"/>
                <w:szCs w:val="20"/>
              </w:rPr>
              <w:t>0.004</w:t>
            </w:r>
          </w:p>
        </w:tc>
        <w:tc>
          <w:tcPr>
            <w:tcW w:w="533" w:type="dxa"/>
            <w:tcBorders>
              <w:top w:val="nil"/>
              <w:left w:val="nil"/>
              <w:bottom w:val="nil"/>
              <w:right w:val="nil"/>
            </w:tcBorders>
            <w:noWrap/>
            <w:vAlign w:val="center"/>
            <w:hideMark/>
          </w:tcPr>
          <w:p w14:paraId="6E1BCAE3"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3F24FDA4" w14:textId="77777777" w:rsidTr="00C41A2C">
        <w:trPr>
          <w:trHeight w:val="288"/>
          <w:jc w:val="center"/>
        </w:trPr>
        <w:tc>
          <w:tcPr>
            <w:tcW w:w="3955" w:type="dxa"/>
            <w:tcBorders>
              <w:top w:val="nil"/>
              <w:left w:val="nil"/>
              <w:bottom w:val="nil"/>
              <w:right w:val="single" w:sz="4" w:space="0" w:color="auto"/>
            </w:tcBorders>
            <w:noWrap/>
            <w:vAlign w:val="center"/>
            <w:hideMark/>
          </w:tcPr>
          <w:p w14:paraId="1F2BF4E5" w14:textId="77777777" w:rsidR="004F0EB0" w:rsidRPr="0003506A" w:rsidRDefault="004F0EB0" w:rsidP="00C41A2C">
            <w:pPr>
              <w:rPr>
                <w:rFonts w:cs="Times New Roman"/>
                <w:sz w:val="20"/>
                <w:szCs w:val="20"/>
              </w:rPr>
            </w:pPr>
            <w:r w:rsidRPr="0003506A">
              <w:rPr>
                <w:rFonts w:cs="Times New Roman"/>
                <w:sz w:val="20"/>
                <w:szCs w:val="20"/>
              </w:rPr>
              <w:t>% Croats</w:t>
            </w:r>
          </w:p>
        </w:tc>
        <w:tc>
          <w:tcPr>
            <w:tcW w:w="810" w:type="dxa"/>
            <w:tcBorders>
              <w:top w:val="nil"/>
              <w:left w:val="single" w:sz="4" w:space="0" w:color="auto"/>
              <w:bottom w:val="nil"/>
              <w:right w:val="nil"/>
            </w:tcBorders>
            <w:noWrap/>
            <w:vAlign w:val="center"/>
            <w:hideMark/>
          </w:tcPr>
          <w:p w14:paraId="745EB0D5" w14:textId="77777777" w:rsidR="004F0EB0" w:rsidRPr="0003506A" w:rsidRDefault="004F0EB0" w:rsidP="00C41A2C">
            <w:pPr>
              <w:jc w:val="center"/>
              <w:rPr>
                <w:rFonts w:cs="Times New Roman"/>
                <w:sz w:val="20"/>
                <w:szCs w:val="20"/>
              </w:rPr>
            </w:pPr>
            <w:r w:rsidRPr="0003506A">
              <w:rPr>
                <w:rFonts w:cs="Times New Roman"/>
                <w:sz w:val="20"/>
                <w:szCs w:val="20"/>
              </w:rPr>
              <w:t>-0.032</w:t>
            </w:r>
          </w:p>
        </w:tc>
        <w:tc>
          <w:tcPr>
            <w:tcW w:w="810" w:type="dxa"/>
            <w:tcBorders>
              <w:top w:val="nil"/>
              <w:left w:val="nil"/>
              <w:bottom w:val="nil"/>
              <w:right w:val="nil"/>
            </w:tcBorders>
            <w:noWrap/>
            <w:vAlign w:val="center"/>
            <w:hideMark/>
          </w:tcPr>
          <w:p w14:paraId="6FB2CBB2" w14:textId="77777777" w:rsidR="004F0EB0" w:rsidRPr="0003506A" w:rsidRDefault="004F0EB0" w:rsidP="00C41A2C">
            <w:pPr>
              <w:jc w:val="center"/>
              <w:rPr>
                <w:rFonts w:cs="Times New Roman"/>
                <w:sz w:val="20"/>
                <w:szCs w:val="20"/>
              </w:rPr>
            </w:pPr>
            <w:r w:rsidRPr="0003506A">
              <w:rPr>
                <w:rFonts w:cs="Times New Roman"/>
                <w:sz w:val="20"/>
                <w:szCs w:val="20"/>
              </w:rPr>
              <w:t>0.028</w:t>
            </w:r>
          </w:p>
        </w:tc>
        <w:tc>
          <w:tcPr>
            <w:tcW w:w="540" w:type="dxa"/>
            <w:tcBorders>
              <w:top w:val="nil"/>
              <w:left w:val="nil"/>
              <w:bottom w:val="nil"/>
              <w:right w:val="single" w:sz="4" w:space="0" w:color="auto"/>
            </w:tcBorders>
            <w:noWrap/>
            <w:vAlign w:val="center"/>
            <w:hideMark/>
          </w:tcPr>
          <w:p w14:paraId="393D504B"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003E24FE" w14:textId="77777777" w:rsidR="004F0EB0" w:rsidRPr="0003506A" w:rsidRDefault="004F0EB0" w:rsidP="00C41A2C">
            <w:pPr>
              <w:jc w:val="center"/>
              <w:rPr>
                <w:rFonts w:cs="Times New Roman"/>
                <w:sz w:val="20"/>
                <w:szCs w:val="20"/>
              </w:rPr>
            </w:pPr>
            <w:r w:rsidRPr="0003506A">
              <w:rPr>
                <w:rFonts w:cs="Times New Roman"/>
                <w:sz w:val="20"/>
                <w:szCs w:val="20"/>
              </w:rPr>
              <w:t>-0.026</w:t>
            </w:r>
          </w:p>
        </w:tc>
        <w:tc>
          <w:tcPr>
            <w:tcW w:w="810" w:type="dxa"/>
            <w:tcBorders>
              <w:top w:val="nil"/>
              <w:left w:val="nil"/>
              <w:bottom w:val="nil"/>
              <w:right w:val="nil"/>
            </w:tcBorders>
            <w:noWrap/>
            <w:vAlign w:val="center"/>
            <w:hideMark/>
          </w:tcPr>
          <w:p w14:paraId="6B1DCC48" w14:textId="77777777" w:rsidR="004F0EB0" w:rsidRPr="0003506A" w:rsidRDefault="004F0EB0" w:rsidP="00C41A2C">
            <w:pPr>
              <w:jc w:val="center"/>
              <w:rPr>
                <w:rFonts w:cs="Times New Roman"/>
                <w:sz w:val="20"/>
                <w:szCs w:val="20"/>
              </w:rPr>
            </w:pPr>
            <w:r w:rsidRPr="0003506A">
              <w:rPr>
                <w:rFonts w:cs="Times New Roman"/>
                <w:sz w:val="20"/>
                <w:szCs w:val="20"/>
              </w:rPr>
              <w:t>0.028</w:t>
            </w:r>
          </w:p>
        </w:tc>
        <w:tc>
          <w:tcPr>
            <w:tcW w:w="533" w:type="dxa"/>
            <w:tcBorders>
              <w:top w:val="nil"/>
              <w:left w:val="nil"/>
              <w:bottom w:val="nil"/>
              <w:right w:val="single" w:sz="4" w:space="0" w:color="auto"/>
            </w:tcBorders>
            <w:noWrap/>
            <w:vAlign w:val="center"/>
            <w:hideMark/>
          </w:tcPr>
          <w:p w14:paraId="7132E635" w14:textId="77777777" w:rsidR="004F0EB0" w:rsidRPr="0003506A" w:rsidRDefault="004F0EB0" w:rsidP="00C41A2C">
            <w:pPr>
              <w:jc w:val="center"/>
              <w:rPr>
                <w:rFonts w:cs="Times New Roman"/>
                <w:sz w:val="20"/>
                <w:szCs w:val="20"/>
              </w:rPr>
            </w:pPr>
          </w:p>
        </w:tc>
        <w:tc>
          <w:tcPr>
            <w:tcW w:w="817" w:type="dxa"/>
            <w:tcBorders>
              <w:top w:val="nil"/>
              <w:left w:val="single" w:sz="4" w:space="0" w:color="auto"/>
              <w:bottom w:val="nil"/>
              <w:right w:val="nil"/>
            </w:tcBorders>
            <w:noWrap/>
            <w:vAlign w:val="center"/>
            <w:hideMark/>
          </w:tcPr>
          <w:p w14:paraId="48B677D0" w14:textId="77777777" w:rsidR="004F0EB0" w:rsidRPr="0003506A" w:rsidRDefault="004F0EB0" w:rsidP="00C41A2C">
            <w:pPr>
              <w:jc w:val="center"/>
              <w:rPr>
                <w:rFonts w:cs="Times New Roman"/>
                <w:sz w:val="20"/>
                <w:szCs w:val="20"/>
              </w:rPr>
            </w:pPr>
            <w:r w:rsidRPr="0003506A">
              <w:rPr>
                <w:rFonts w:cs="Times New Roman"/>
                <w:sz w:val="20"/>
                <w:szCs w:val="20"/>
              </w:rPr>
              <w:t>-0.031</w:t>
            </w:r>
          </w:p>
        </w:tc>
        <w:tc>
          <w:tcPr>
            <w:tcW w:w="810" w:type="dxa"/>
            <w:tcBorders>
              <w:top w:val="nil"/>
              <w:left w:val="nil"/>
              <w:bottom w:val="nil"/>
              <w:right w:val="nil"/>
            </w:tcBorders>
            <w:noWrap/>
            <w:vAlign w:val="center"/>
            <w:hideMark/>
          </w:tcPr>
          <w:p w14:paraId="1B1F4A72" w14:textId="77777777" w:rsidR="004F0EB0" w:rsidRPr="0003506A" w:rsidRDefault="004F0EB0" w:rsidP="00C41A2C">
            <w:pPr>
              <w:jc w:val="center"/>
              <w:rPr>
                <w:rFonts w:cs="Times New Roman"/>
                <w:sz w:val="20"/>
                <w:szCs w:val="20"/>
              </w:rPr>
            </w:pPr>
            <w:r w:rsidRPr="0003506A">
              <w:rPr>
                <w:rFonts w:cs="Times New Roman"/>
                <w:sz w:val="20"/>
                <w:szCs w:val="20"/>
              </w:rPr>
              <w:t>0.028</w:t>
            </w:r>
          </w:p>
        </w:tc>
        <w:tc>
          <w:tcPr>
            <w:tcW w:w="540" w:type="dxa"/>
            <w:tcBorders>
              <w:top w:val="nil"/>
              <w:left w:val="nil"/>
              <w:bottom w:val="nil"/>
              <w:right w:val="single" w:sz="4" w:space="0" w:color="auto"/>
            </w:tcBorders>
            <w:noWrap/>
            <w:vAlign w:val="center"/>
            <w:hideMark/>
          </w:tcPr>
          <w:p w14:paraId="1A77AFC3"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7C9E9617" w14:textId="77777777" w:rsidR="004F0EB0" w:rsidRPr="0003506A" w:rsidRDefault="004F0EB0" w:rsidP="00C41A2C">
            <w:pPr>
              <w:jc w:val="center"/>
              <w:rPr>
                <w:rFonts w:cs="Times New Roman"/>
                <w:sz w:val="20"/>
                <w:szCs w:val="20"/>
              </w:rPr>
            </w:pPr>
            <w:r w:rsidRPr="0003506A">
              <w:rPr>
                <w:rFonts w:cs="Times New Roman"/>
                <w:sz w:val="20"/>
                <w:szCs w:val="20"/>
              </w:rPr>
              <w:t>-0.038</w:t>
            </w:r>
          </w:p>
        </w:tc>
        <w:tc>
          <w:tcPr>
            <w:tcW w:w="810" w:type="dxa"/>
            <w:tcBorders>
              <w:top w:val="nil"/>
              <w:left w:val="nil"/>
              <w:bottom w:val="nil"/>
              <w:right w:val="nil"/>
            </w:tcBorders>
            <w:noWrap/>
            <w:vAlign w:val="center"/>
            <w:hideMark/>
          </w:tcPr>
          <w:p w14:paraId="6AF0F0C8" w14:textId="77777777" w:rsidR="004F0EB0" w:rsidRPr="0003506A" w:rsidRDefault="004F0EB0" w:rsidP="00C41A2C">
            <w:pPr>
              <w:jc w:val="center"/>
              <w:rPr>
                <w:rFonts w:cs="Times New Roman"/>
                <w:sz w:val="20"/>
                <w:szCs w:val="20"/>
              </w:rPr>
            </w:pPr>
            <w:r w:rsidRPr="0003506A">
              <w:rPr>
                <w:rFonts w:cs="Times New Roman"/>
                <w:sz w:val="20"/>
                <w:szCs w:val="20"/>
              </w:rPr>
              <w:t>0.028</w:t>
            </w:r>
          </w:p>
        </w:tc>
        <w:tc>
          <w:tcPr>
            <w:tcW w:w="533" w:type="dxa"/>
            <w:tcBorders>
              <w:top w:val="nil"/>
              <w:left w:val="nil"/>
              <w:bottom w:val="nil"/>
              <w:right w:val="nil"/>
            </w:tcBorders>
            <w:noWrap/>
            <w:vAlign w:val="center"/>
            <w:hideMark/>
          </w:tcPr>
          <w:p w14:paraId="38520F62" w14:textId="77777777" w:rsidR="004F0EB0" w:rsidRPr="0003506A" w:rsidRDefault="004F0EB0" w:rsidP="00C41A2C">
            <w:pPr>
              <w:jc w:val="center"/>
              <w:rPr>
                <w:rFonts w:cs="Times New Roman"/>
                <w:sz w:val="20"/>
                <w:szCs w:val="20"/>
              </w:rPr>
            </w:pPr>
          </w:p>
        </w:tc>
      </w:tr>
      <w:tr w:rsidR="004F0EB0" w:rsidRPr="0003506A" w14:paraId="3635AC37" w14:textId="77777777" w:rsidTr="00C41A2C">
        <w:trPr>
          <w:trHeight w:val="288"/>
          <w:jc w:val="center"/>
        </w:trPr>
        <w:tc>
          <w:tcPr>
            <w:tcW w:w="3955" w:type="dxa"/>
            <w:tcBorders>
              <w:top w:val="nil"/>
              <w:left w:val="nil"/>
              <w:bottom w:val="nil"/>
              <w:right w:val="single" w:sz="4" w:space="0" w:color="auto"/>
            </w:tcBorders>
            <w:noWrap/>
            <w:vAlign w:val="center"/>
            <w:hideMark/>
          </w:tcPr>
          <w:p w14:paraId="09234AA8" w14:textId="77777777" w:rsidR="004F0EB0" w:rsidRPr="0003506A" w:rsidRDefault="004F0EB0" w:rsidP="00C41A2C">
            <w:pPr>
              <w:rPr>
                <w:rFonts w:cs="Times New Roman"/>
                <w:sz w:val="20"/>
                <w:szCs w:val="20"/>
              </w:rPr>
            </w:pPr>
            <w:r w:rsidRPr="0003506A">
              <w:rPr>
                <w:rFonts w:cs="Times New Roman"/>
                <w:sz w:val="20"/>
                <w:szCs w:val="20"/>
              </w:rPr>
              <w:t>Election dummy</w:t>
            </w:r>
          </w:p>
        </w:tc>
        <w:tc>
          <w:tcPr>
            <w:tcW w:w="810" w:type="dxa"/>
            <w:tcBorders>
              <w:top w:val="nil"/>
              <w:left w:val="single" w:sz="4" w:space="0" w:color="auto"/>
              <w:bottom w:val="nil"/>
              <w:right w:val="nil"/>
            </w:tcBorders>
            <w:noWrap/>
            <w:vAlign w:val="center"/>
            <w:hideMark/>
          </w:tcPr>
          <w:p w14:paraId="29F3CCD9" w14:textId="77777777" w:rsidR="004F0EB0" w:rsidRPr="0003506A" w:rsidRDefault="004F0EB0" w:rsidP="00C41A2C">
            <w:pPr>
              <w:jc w:val="center"/>
              <w:rPr>
                <w:rFonts w:cs="Times New Roman"/>
                <w:sz w:val="20"/>
                <w:szCs w:val="20"/>
              </w:rPr>
            </w:pPr>
            <w:r w:rsidRPr="0003506A">
              <w:rPr>
                <w:rFonts w:cs="Times New Roman"/>
                <w:sz w:val="20"/>
                <w:szCs w:val="20"/>
              </w:rPr>
              <w:t>0.008</w:t>
            </w:r>
          </w:p>
        </w:tc>
        <w:tc>
          <w:tcPr>
            <w:tcW w:w="810" w:type="dxa"/>
            <w:tcBorders>
              <w:top w:val="nil"/>
              <w:left w:val="nil"/>
              <w:bottom w:val="nil"/>
              <w:right w:val="nil"/>
            </w:tcBorders>
            <w:noWrap/>
            <w:vAlign w:val="center"/>
            <w:hideMark/>
          </w:tcPr>
          <w:p w14:paraId="0906750E" w14:textId="77777777" w:rsidR="004F0EB0" w:rsidRPr="0003506A" w:rsidRDefault="004F0EB0" w:rsidP="00C41A2C">
            <w:pPr>
              <w:jc w:val="center"/>
              <w:rPr>
                <w:rFonts w:cs="Times New Roman"/>
                <w:sz w:val="20"/>
                <w:szCs w:val="20"/>
              </w:rPr>
            </w:pPr>
            <w:r w:rsidRPr="0003506A">
              <w:rPr>
                <w:rFonts w:cs="Times New Roman"/>
                <w:sz w:val="20"/>
                <w:szCs w:val="20"/>
              </w:rPr>
              <w:t>0.023</w:t>
            </w:r>
          </w:p>
        </w:tc>
        <w:tc>
          <w:tcPr>
            <w:tcW w:w="540" w:type="dxa"/>
            <w:tcBorders>
              <w:top w:val="nil"/>
              <w:left w:val="nil"/>
              <w:bottom w:val="nil"/>
              <w:right w:val="single" w:sz="4" w:space="0" w:color="auto"/>
            </w:tcBorders>
            <w:noWrap/>
            <w:vAlign w:val="center"/>
            <w:hideMark/>
          </w:tcPr>
          <w:p w14:paraId="57C553DB"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482ED41F" w14:textId="77777777" w:rsidR="004F0EB0" w:rsidRPr="0003506A" w:rsidRDefault="004F0EB0" w:rsidP="00C41A2C">
            <w:pPr>
              <w:jc w:val="center"/>
              <w:rPr>
                <w:rFonts w:cs="Times New Roman"/>
                <w:sz w:val="20"/>
                <w:szCs w:val="20"/>
              </w:rPr>
            </w:pPr>
            <w:r w:rsidRPr="0003506A">
              <w:rPr>
                <w:rFonts w:cs="Times New Roman"/>
                <w:sz w:val="20"/>
                <w:szCs w:val="20"/>
              </w:rPr>
              <w:t>0.009</w:t>
            </w:r>
          </w:p>
        </w:tc>
        <w:tc>
          <w:tcPr>
            <w:tcW w:w="810" w:type="dxa"/>
            <w:tcBorders>
              <w:top w:val="nil"/>
              <w:left w:val="nil"/>
              <w:bottom w:val="nil"/>
              <w:right w:val="nil"/>
            </w:tcBorders>
            <w:noWrap/>
            <w:vAlign w:val="center"/>
            <w:hideMark/>
          </w:tcPr>
          <w:p w14:paraId="478C81C0" w14:textId="77777777" w:rsidR="004F0EB0" w:rsidRPr="0003506A" w:rsidRDefault="004F0EB0" w:rsidP="00C41A2C">
            <w:pPr>
              <w:jc w:val="center"/>
              <w:rPr>
                <w:rFonts w:cs="Times New Roman"/>
                <w:sz w:val="20"/>
                <w:szCs w:val="20"/>
              </w:rPr>
            </w:pPr>
            <w:r w:rsidRPr="0003506A">
              <w:rPr>
                <w:rFonts w:cs="Times New Roman"/>
                <w:sz w:val="20"/>
                <w:szCs w:val="20"/>
              </w:rPr>
              <w:t>0.023</w:t>
            </w:r>
          </w:p>
        </w:tc>
        <w:tc>
          <w:tcPr>
            <w:tcW w:w="533" w:type="dxa"/>
            <w:tcBorders>
              <w:top w:val="nil"/>
              <w:left w:val="nil"/>
              <w:bottom w:val="nil"/>
              <w:right w:val="single" w:sz="4" w:space="0" w:color="auto"/>
            </w:tcBorders>
            <w:noWrap/>
            <w:vAlign w:val="center"/>
            <w:hideMark/>
          </w:tcPr>
          <w:p w14:paraId="745A9071" w14:textId="77777777" w:rsidR="004F0EB0" w:rsidRPr="0003506A" w:rsidRDefault="004F0EB0" w:rsidP="00C41A2C">
            <w:pPr>
              <w:jc w:val="center"/>
              <w:rPr>
                <w:rFonts w:cs="Times New Roman"/>
                <w:sz w:val="20"/>
                <w:szCs w:val="20"/>
              </w:rPr>
            </w:pPr>
          </w:p>
        </w:tc>
        <w:tc>
          <w:tcPr>
            <w:tcW w:w="817" w:type="dxa"/>
            <w:tcBorders>
              <w:top w:val="nil"/>
              <w:left w:val="single" w:sz="4" w:space="0" w:color="auto"/>
              <w:bottom w:val="nil"/>
              <w:right w:val="nil"/>
            </w:tcBorders>
            <w:noWrap/>
            <w:vAlign w:val="center"/>
            <w:hideMark/>
          </w:tcPr>
          <w:p w14:paraId="51643C41" w14:textId="77777777" w:rsidR="004F0EB0" w:rsidRPr="0003506A" w:rsidRDefault="004F0EB0" w:rsidP="00C41A2C">
            <w:pPr>
              <w:jc w:val="center"/>
              <w:rPr>
                <w:rFonts w:cs="Times New Roman"/>
                <w:sz w:val="20"/>
                <w:szCs w:val="20"/>
              </w:rPr>
            </w:pPr>
            <w:r w:rsidRPr="0003506A">
              <w:rPr>
                <w:rFonts w:cs="Times New Roman"/>
                <w:sz w:val="20"/>
                <w:szCs w:val="20"/>
              </w:rPr>
              <w:t>0.009</w:t>
            </w:r>
          </w:p>
        </w:tc>
        <w:tc>
          <w:tcPr>
            <w:tcW w:w="810" w:type="dxa"/>
            <w:tcBorders>
              <w:top w:val="nil"/>
              <w:left w:val="nil"/>
              <w:bottom w:val="nil"/>
              <w:right w:val="nil"/>
            </w:tcBorders>
            <w:noWrap/>
            <w:vAlign w:val="center"/>
            <w:hideMark/>
          </w:tcPr>
          <w:p w14:paraId="0D687789" w14:textId="77777777" w:rsidR="004F0EB0" w:rsidRPr="0003506A" w:rsidRDefault="004F0EB0" w:rsidP="00C41A2C">
            <w:pPr>
              <w:jc w:val="center"/>
              <w:rPr>
                <w:rFonts w:cs="Times New Roman"/>
                <w:sz w:val="20"/>
                <w:szCs w:val="20"/>
              </w:rPr>
            </w:pPr>
            <w:r w:rsidRPr="0003506A">
              <w:rPr>
                <w:rFonts w:cs="Times New Roman"/>
                <w:sz w:val="20"/>
                <w:szCs w:val="20"/>
              </w:rPr>
              <w:t>0.023</w:t>
            </w:r>
          </w:p>
        </w:tc>
        <w:tc>
          <w:tcPr>
            <w:tcW w:w="540" w:type="dxa"/>
            <w:tcBorders>
              <w:top w:val="nil"/>
              <w:left w:val="nil"/>
              <w:bottom w:val="nil"/>
              <w:right w:val="single" w:sz="4" w:space="0" w:color="auto"/>
            </w:tcBorders>
            <w:noWrap/>
            <w:vAlign w:val="center"/>
            <w:hideMark/>
          </w:tcPr>
          <w:p w14:paraId="7BBE8826"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577A21A6" w14:textId="77777777" w:rsidR="004F0EB0" w:rsidRPr="0003506A" w:rsidRDefault="004F0EB0" w:rsidP="00C41A2C">
            <w:pPr>
              <w:jc w:val="center"/>
              <w:rPr>
                <w:rFonts w:cs="Times New Roman"/>
                <w:sz w:val="20"/>
                <w:szCs w:val="20"/>
              </w:rPr>
            </w:pPr>
            <w:r w:rsidRPr="0003506A">
              <w:rPr>
                <w:rFonts w:cs="Times New Roman"/>
                <w:sz w:val="20"/>
                <w:szCs w:val="20"/>
              </w:rPr>
              <w:t>0.009</w:t>
            </w:r>
          </w:p>
        </w:tc>
        <w:tc>
          <w:tcPr>
            <w:tcW w:w="810" w:type="dxa"/>
            <w:tcBorders>
              <w:top w:val="nil"/>
              <w:left w:val="nil"/>
              <w:bottom w:val="nil"/>
              <w:right w:val="nil"/>
            </w:tcBorders>
            <w:noWrap/>
            <w:vAlign w:val="center"/>
            <w:hideMark/>
          </w:tcPr>
          <w:p w14:paraId="0369C349" w14:textId="77777777" w:rsidR="004F0EB0" w:rsidRPr="0003506A" w:rsidRDefault="004F0EB0" w:rsidP="00C41A2C">
            <w:pPr>
              <w:jc w:val="center"/>
              <w:rPr>
                <w:rFonts w:cs="Times New Roman"/>
                <w:sz w:val="20"/>
                <w:szCs w:val="20"/>
              </w:rPr>
            </w:pPr>
            <w:r w:rsidRPr="0003506A">
              <w:rPr>
                <w:rFonts w:cs="Times New Roman"/>
                <w:sz w:val="20"/>
                <w:szCs w:val="20"/>
              </w:rPr>
              <w:t>0.023</w:t>
            </w:r>
          </w:p>
        </w:tc>
        <w:tc>
          <w:tcPr>
            <w:tcW w:w="533" w:type="dxa"/>
            <w:tcBorders>
              <w:top w:val="nil"/>
              <w:left w:val="nil"/>
              <w:bottom w:val="nil"/>
              <w:right w:val="nil"/>
            </w:tcBorders>
            <w:noWrap/>
            <w:vAlign w:val="center"/>
            <w:hideMark/>
          </w:tcPr>
          <w:p w14:paraId="0B75832A" w14:textId="77777777" w:rsidR="004F0EB0" w:rsidRPr="0003506A" w:rsidRDefault="004F0EB0" w:rsidP="00C41A2C">
            <w:pPr>
              <w:jc w:val="center"/>
              <w:rPr>
                <w:rFonts w:cs="Times New Roman"/>
                <w:sz w:val="20"/>
                <w:szCs w:val="20"/>
              </w:rPr>
            </w:pPr>
          </w:p>
        </w:tc>
      </w:tr>
      <w:tr w:rsidR="004F0EB0" w:rsidRPr="0003506A" w14:paraId="57843FAB" w14:textId="77777777" w:rsidTr="00C41A2C">
        <w:trPr>
          <w:trHeight w:val="288"/>
          <w:jc w:val="center"/>
        </w:trPr>
        <w:tc>
          <w:tcPr>
            <w:tcW w:w="3955" w:type="dxa"/>
            <w:tcBorders>
              <w:top w:val="nil"/>
              <w:left w:val="nil"/>
              <w:bottom w:val="nil"/>
              <w:right w:val="single" w:sz="4" w:space="0" w:color="auto"/>
            </w:tcBorders>
            <w:noWrap/>
            <w:vAlign w:val="center"/>
            <w:hideMark/>
          </w:tcPr>
          <w:p w14:paraId="441C782C" w14:textId="77777777" w:rsidR="004F0EB0" w:rsidRPr="0003506A" w:rsidRDefault="004F0EB0" w:rsidP="00C41A2C">
            <w:pPr>
              <w:rPr>
                <w:rFonts w:cs="Times New Roman"/>
                <w:sz w:val="20"/>
                <w:szCs w:val="20"/>
              </w:rPr>
            </w:pPr>
            <w:r w:rsidRPr="0003506A">
              <w:rPr>
                <w:rFonts w:cs="Times New Roman"/>
                <w:sz w:val="20"/>
                <w:szCs w:val="20"/>
              </w:rPr>
              <w:t>Combat days x War disabled</w:t>
            </w:r>
          </w:p>
        </w:tc>
        <w:tc>
          <w:tcPr>
            <w:tcW w:w="810" w:type="dxa"/>
            <w:tcBorders>
              <w:top w:val="nil"/>
              <w:left w:val="single" w:sz="4" w:space="0" w:color="auto"/>
              <w:bottom w:val="nil"/>
              <w:right w:val="nil"/>
            </w:tcBorders>
            <w:noWrap/>
            <w:vAlign w:val="center"/>
            <w:hideMark/>
          </w:tcPr>
          <w:p w14:paraId="133B00AF" w14:textId="77777777" w:rsidR="004F0EB0" w:rsidRPr="0003506A" w:rsidRDefault="004F0EB0" w:rsidP="00C41A2C">
            <w:pPr>
              <w:jc w:val="center"/>
              <w:rPr>
                <w:rFonts w:cs="Times New Roman"/>
                <w:sz w:val="20"/>
                <w:szCs w:val="20"/>
              </w:rPr>
            </w:pPr>
          </w:p>
        </w:tc>
        <w:tc>
          <w:tcPr>
            <w:tcW w:w="810" w:type="dxa"/>
            <w:tcBorders>
              <w:top w:val="nil"/>
              <w:left w:val="nil"/>
              <w:bottom w:val="nil"/>
              <w:right w:val="nil"/>
            </w:tcBorders>
            <w:noWrap/>
            <w:vAlign w:val="center"/>
            <w:hideMark/>
          </w:tcPr>
          <w:p w14:paraId="5996051A" w14:textId="77777777" w:rsidR="004F0EB0" w:rsidRPr="0003506A" w:rsidRDefault="004F0EB0" w:rsidP="00C41A2C">
            <w:pPr>
              <w:jc w:val="center"/>
              <w:rPr>
                <w:rFonts w:cs="Times New Roman"/>
                <w:sz w:val="20"/>
                <w:szCs w:val="20"/>
              </w:rPr>
            </w:pPr>
          </w:p>
        </w:tc>
        <w:tc>
          <w:tcPr>
            <w:tcW w:w="540" w:type="dxa"/>
            <w:tcBorders>
              <w:top w:val="nil"/>
              <w:left w:val="nil"/>
              <w:bottom w:val="nil"/>
              <w:right w:val="single" w:sz="4" w:space="0" w:color="auto"/>
            </w:tcBorders>
            <w:noWrap/>
            <w:vAlign w:val="center"/>
            <w:hideMark/>
          </w:tcPr>
          <w:p w14:paraId="6B4E93E1"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408C0BFC" w14:textId="77777777" w:rsidR="004F0EB0" w:rsidRPr="0003506A" w:rsidRDefault="004F0EB0" w:rsidP="00C41A2C">
            <w:pPr>
              <w:jc w:val="center"/>
              <w:rPr>
                <w:rFonts w:cs="Times New Roman"/>
                <w:sz w:val="20"/>
                <w:szCs w:val="20"/>
              </w:rPr>
            </w:pPr>
            <w:r w:rsidRPr="0003506A">
              <w:rPr>
                <w:rFonts w:cs="Times New Roman"/>
                <w:sz w:val="20"/>
                <w:szCs w:val="20"/>
              </w:rPr>
              <w:t>0.001</w:t>
            </w:r>
          </w:p>
        </w:tc>
        <w:tc>
          <w:tcPr>
            <w:tcW w:w="810" w:type="dxa"/>
            <w:tcBorders>
              <w:top w:val="nil"/>
              <w:left w:val="nil"/>
              <w:bottom w:val="nil"/>
              <w:right w:val="nil"/>
            </w:tcBorders>
            <w:noWrap/>
            <w:vAlign w:val="center"/>
            <w:hideMark/>
          </w:tcPr>
          <w:p w14:paraId="57B49617" w14:textId="77777777" w:rsidR="004F0EB0" w:rsidRPr="0003506A" w:rsidRDefault="004F0EB0" w:rsidP="00C41A2C">
            <w:pPr>
              <w:jc w:val="center"/>
              <w:rPr>
                <w:rFonts w:cs="Times New Roman"/>
                <w:sz w:val="20"/>
                <w:szCs w:val="20"/>
              </w:rPr>
            </w:pPr>
            <w:r w:rsidRPr="0003506A">
              <w:rPr>
                <w:rFonts w:cs="Times New Roman"/>
                <w:sz w:val="20"/>
                <w:szCs w:val="20"/>
              </w:rPr>
              <w:t>0.000</w:t>
            </w:r>
          </w:p>
        </w:tc>
        <w:tc>
          <w:tcPr>
            <w:tcW w:w="533" w:type="dxa"/>
            <w:tcBorders>
              <w:top w:val="nil"/>
              <w:left w:val="nil"/>
              <w:bottom w:val="nil"/>
              <w:right w:val="single" w:sz="4" w:space="0" w:color="auto"/>
            </w:tcBorders>
            <w:noWrap/>
            <w:vAlign w:val="center"/>
            <w:hideMark/>
          </w:tcPr>
          <w:p w14:paraId="45EEDE80"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nil"/>
              <w:right w:val="nil"/>
            </w:tcBorders>
            <w:noWrap/>
            <w:vAlign w:val="center"/>
            <w:hideMark/>
          </w:tcPr>
          <w:p w14:paraId="77DAAEC9" w14:textId="77777777" w:rsidR="004F0EB0" w:rsidRPr="0003506A" w:rsidRDefault="004F0EB0" w:rsidP="00C41A2C">
            <w:pPr>
              <w:jc w:val="center"/>
              <w:rPr>
                <w:rFonts w:cs="Times New Roman"/>
                <w:sz w:val="20"/>
                <w:szCs w:val="20"/>
              </w:rPr>
            </w:pPr>
          </w:p>
        </w:tc>
        <w:tc>
          <w:tcPr>
            <w:tcW w:w="810" w:type="dxa"/>
            <w:tcBorders>
              <w:top w:val="nil"/>
              <w:left w:val="nil"/>
              <w:bottom w:val="nil"/>
              <w:right w:val="nil"/>
            </w:tcBorders>
            <w:noWrap/>
            <w:vAlign w:val="center"/>
            <w:hideMark/>
          </w:tcPr>
          <w:p w14:paraId="1B705081" w14:textId="77777777" w:rsidR="004F0EB0" w:rsidRPr="0003506A" w:rsidRDefault="004F0EB0" w:rsidP="00C41A2C">
            <w:pPr>
              <w:jc w:val="center"/>
              <w:rPr>
                <w:rFonts w:cs="Times New Roman"/>
                <w:sz w:val="20"/>
                <w:szCs w:val="20"/>
              </w:rPr>
            </w:pPr>
          </w:p>
        </w:tc>
        <w:tc>
          <w:tcPr>
            <w:tcW w:w="540" w:type="dxa"/>
            <w:tcBorders>
              <w:top w:val="nil"/>
              <w:left w:val="nil"/>
              <w:bottom w:val="nil"/>
              <w:right w:val="single" w:sz="4" w:space="0" w:color="auto"/>
            </w:tcBorders>
            <w:noWrap/>
            <w:vAlign w:val="center"/>
            <w:hideMark/>
          </w:tcPr>
          <w:p w14:paraId="3ECD2587"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5F257C84"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-1x10</w:t>
            </w:r>
            <w:r w:rsidRPr="0003506A">
              <w:rPr>
                <w:rFonts w:cs="Times New Roman"/>
                <w:sz w:val="20"/>
                <w:szCs w:val="20"/>
                <w:vertAlign w:val="superscript"/>
              </w:rPr>
              <w:t>-4</w:t>
            </w:r>
          </w:p>
        </w:tc>
        <w:tc>
          <w:tcPr>
            <w:tcW w:w="810" w:type="dxa"/>
            <w:tcBorders>
              <w:top w:val="nil"/>
              <w:left w:val="nil"/>
              <w:bottom w:val="nil"/>
              <w:right w:val="nil"/>
            </w:tcBorders>
            <w:noWrap/>
            <w:vAlign w:val="center"/>
            <w:hideMark/>
          </w:tcPr>
          <w:p w14:paraId="3C26B0F1"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4x10</w:t>
            </w:r>
            <w:r w:rsidRPr="0003506A">
              <w:rPr>
                <w:rFonts w:cs="Times New Roman"/>
                <w:sz w:val="20"/>
                <w:szCs w:val="20"/>
                <w:vertAlign w:val="superscript"/>
              </w:rPr>
              <w:t>-5</w:t>
            </w:r>
          </w:p>
        </w:tc>
        <w:tc>
          <w:tcPr>
            <w:tcW w:w="533" w:type="dxa"/>
            <w:tcBorders>
              <w:top w:val="nil"/>
              <w:left w:val="nil"/>
              <w:bottom w:val="nil"/>
              <w:right w:val="nil"/>
            </w:tcBorders>
            <w:noWrap/>
            <w:vAlign w:val="center"/>
            <w:hideMark/>
          </w:tcPr>
          <w:p w14:paraId="335ED0FD"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25ECD741" w14:textId="77777777" w:rsidTr="00C41A2C">
        <w:trPr>
          <w:trHeight w:val="288"/>
          <w:jc w:val="center"/>
        </w:trPr>
        <w:tc>
          <w:tcPr>
            <w:tcW w:w="3955" w:type="dxa"/>
            <w:tcBorders>
              <w:top w:val="nil"/>
              <w:left w:val="nil"/>
              <w:bottom w:val="nil"/>
              <w:right w:val="single" w:sz="4" w:space="0" w:color="auto"/>
            </w:tcBorders>
            <w:noWrap/>
            <w:vAlign w:val="center"/>
            <w:hideMark/>
          </w:tcPr>
          <w:p w14:paraId="078B6116" w14:textId="77777777" w:rsidR="004F0EB0" w:rsidRPr="0003506A" w:rsidRDefault="004F0EB0" w:rsidP="00C41A2C">
            <w:pPr>
              <w:rPr>
                <w:rFonts w:cs="Times New Roman"/>
                <w:sz w:val="20"/>
                <w:szCs w:val="20"/>
              </w:rPr>
            </w:pPr>
            <w:r w:rsidRPr="0003506A">
              <w:rPr>
                <w:rFonts w:cs="Times New Roman"/>
                <w:sz w:val="20"/>
                <w:szCs w:val="20"/>
              </w:rPr>
              <w:t>Combat days x Party ideology</w:t>
            </w:r>
          </w:p>
        </w:tc>
        <w:tc>
          <w:tcPr>
            <w:tcW w:w="810" w:type="dxa"/>
            <w:tcBorders>
              <w:top w:val="nil"/>
              <w:left w:val="single" w:sz="4" w:space="0" w:color="auto"/>
              <w:bottom w:val="nil"/>
              <w:right w:val="nil"/>
            </w:tcBorders>
            <w:noWrap/>
            <w:vAlign w:val="center"/>
            <w:hideMark/>
          </w:tcPr>
          <w:p w14:paraId="091833EE" w14:textId="77777777" w:rsidR="004F0EB0" w:rsidRPr="0003506A" w:rsidRDefault="004F0EB0" w:rsidP="00C41A2C">
            <w:pPr>
              <w:jc w:val="center"/>
              <w:rPr>
                <w:rFonts w:cs="Times New Roman"/>
                <w:sz w:val="20"/>
                <w:szCs w:val="20"/>
              </w:rPr>
            </w:pPr>
          </w:p>
        </w:tc>
        <w:tc>
          <w:tcPr>
            <w:tcW w:w="810" w:type="dxa"/>
            <w:tcBorders>
              <w:top w:val="nil"/>
              <w:left w:val="nil"/>
              <w:bottom w:val="nil"/>
              <w:right w:val="nil"/>
            </w:tcBorders>
            <w:noWrap/>
            <w:vAlign w:val="center"/>
            <w:hideMark/>
          </w:tcPr>
          <w:p w14:paraId="008CE803" w14:textId="77777777" w:rsidR="004F0EB0" w:rsidRPr="0003506A" w:rsidRDefault="004F0EB0" w:rsidP="00C41A2C">
            <w:pPr>
              <w:jc w:val="center"/>
              <w:rPr>
                <w:rFonts w:cs="Times New Roman"/>
                <w:sz w:val="20"/>
                <w:szCs w:val="20"/>
              </w:rPr>
            </w:pPr>
          </w:p>
        </w:tc>
        <w:tc>
          <w:tcPr>
            <w:tcW w:w="540" w:type="dxa"/>
            <w:tcBorders>
              <w:top w:val="nil"/>
              <w:left w:val="nil"/>
              <w:bottom w:val="nil"/>
              <w:right w:val="single" w:sz="4" w:space="0" w:color="auto"/>
            </w:tcBorders>
            <w:noWrap/>
            <w:vAlign w:val="center"/>
            <w:hideMark/>
          </w:tcPr>
          <w:p w14:paraId="38AD778F"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71D072D4" w14:textId="77777777" w:rsidR="004F0EB0" w:rsidRPr="0003506A" w:rsidRDefault="004F0EB0" w:rsidP="00C41A2C">
            <w:pPr>
              <w:jc w:val="center"/>
              <w:rPr>
                <w:rFonts w:cs="Times New Roman"/>
                <w:sz w:val="20"/>
                <w:szCs w:val="20"/>
              </w:rPr>
            </w:pPr>
          </w:p>
        </w:tc>
        <w:tc>
          <w:tcPr>
            <w:tcW w:w="810" w:type="dxa"/>
            <w:tcBorders>
              <w:top w:val="nil"/>
              <w:left w:val="nil"/>
              <w:bottom w:val="nil"/>
              <w:right w:val="nil"/>
            </w:tcBorders>
            <w:noWrap/>
            <w:vAlign w:val="center"/>
            <w:hideMark/>
          </w:tcPr>
          <w:p w14:paraId="64D21810" w14:textId="77777777" w:rsidR="004F0EB0" w:rsidRPr="0003506A" w:rsidRDefault="004F0EB0" w:rsidP="00C41A2C">
            <w:pPr>
              <w:jc w:val="center"/>
              <w:rPr>
                <w:rFonts w:cs="Times New Roman"/>
                <w:sz w:val="20"/>
                <w:szCs w:val="20"/>
              </w:rPr>
            </w:pPr>
          </w:p>
        </w:tc>
        <w:tc>
          <w:tcPr>
            <w:tcW w:w="533" w:type="dxa"/>
            <w:tcBorders>
              <w:top w:val="nil"/>
              <w:left w:val="nil"/>
              <w:bottom w:val="nil"/>
              <w:right w:val="single" w:sz="4" w:space="0" w:color="auto"/>
            </w:tcBorders>
            <w:noWrap/>
            <w:vAlign w:val="center"/>
            <w:hideMark/>
          </w:tcPr>
          <w:p w14:paraId="6AF21120" w14:textId="77777777" w:rsidR="004F0EB0" w:rsidRPr="0003506A" w:rsidRDefault="004F0EB0" w:rsidP="00C41A2C">
            <w:pPr>
              <w:jc w:val="center"/>
              <w:rPr>
                <w:rFonts w:cs="Times New Roman"/>
                <w:sz w:val="20"/>
                <w:szCs w:val="20"/>
              </w:rPr>
            </w:pPr>
          </w:p>
        </w:tc>
        <w:tc>
          <w:tcPr>
            <w:tcW w:w="817" w:type="dxa"/>
            <w:tcBorders>
              <w:top w:val="nil"/>
              <w:left w:val="single" w:sz="4" w:space="0" w:color="auto"/>
              <w:bottom w:val="nil"/>
              <w:right w:val="nil"/>
            </w:tcBorders>
            <w:noWrap/>
            <w:vAlign w:val="center"/>
            <w:hideMark/>
          </w:tcPr>
          <w:p w14:paraId="6387E75E"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1x10</w:t>
            </w:r>
            <w:r w:rsidRPr="0003506A">
              <w:rPr>
                <w:rFonts w:cs="Times New Roman"/>
                <w:sz w:val="20"/>
                <w:szCs w:val="20"/>
                <w:vertAlign w:val="superscript"/>
              </w:rPr>
              <w:t>-5</w:t>
            </w:r>
          </w:p>
        </w:tc>
        <w:tc>
          <w:tcPr>
            <w:tcW w:w="810" w:type="dxa"/>
            <w:tcBorders>
              <w:top w:val="nil"/>
              <w:left w:val="nil"/>
              <w:bottom w:val="nil"/>
              <w:right w:val="nil"/>
            </w:tcBorders>
            <w:noWrap/>
            <w:vAlign w:val="center"/>
            <w:hideMark/>
          </w:tcPr>
          <w:p w14:paraId="6FC3ECF8"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1x10</w:t>
            </w:r>
            <w:r w:rsidRPr="0003506A">
              <w:rPr>
                <w:rFonts w:cs="Times New Roman"/>
                <w:sz w:val="20"/>
                <w:szCs w:val="20"/>
                <w:vertAlign w:val="superscript"/>
              </w:rPr>
              <w:t>-5</w:t>
            </w:r>
          </w:p>
        </w:tc>
        <w:tc>
          <w:tcPr>
            <w:tcW w:w="540" w:type="dxa"/>
            <w:tcBorders>
              <w:top w:val="nil"/>
              <w:left w:val="nil"/>
              <w:bottom w:val="nil"/>
              <w:right w:val="single" w:sz="4" w:space="0" w:color="auto"/>
            </w:tcBorders>
            <w:noWrap/>
            <w:vAlign w:val="center"/>
            <w:hideMark/>
          </w:tcPr>
          <w:p w14:paraId="4A66CE8B"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650E8C6D"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-2x10</w:t>
            </w:r>
            <w:r w:rsidRPr="0003506A">
              <w:rPr>
                <w:rFonts w:cs="Times New Roman"/>
                <w:sz w:val="20"/>
                <w:szCs w:val="20"/>
                <w:vertAlign w:val="superscript"/>
              </w:rPr>
              <w:t>-5</w:t>
            </w:r>
          </w:p>
        </w:tc>
        <w:tc>
          <w:tcPr>
            <w:tcW w:w="810" w:type="dxa"/>
            <w:tcBorders>
              <w:top w:val="nil"/>
              <w:left w:val="nil"/>
              <w:bottom w:val="nil"/>
              <w:right w:val="nil"/>
            </w:tcBorders>
            <w:noWrap/>
            <w:vAlign w:val="center"/>
            <w:hideMark/>
          </w:tcPr>
          <w:p w14:paraId="7A2E1AF2"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1x10</w:t>
            </w:r>
            <w:r w:rsidRPr="0003506A">
              <w:rPr>
                <w:rFonts w:cs="Times New Roman"/>
                <w:sz w:val="20"/>
                <w:szCs w:val="20"/>
                <w:vertAlign w:val="superscript"/>
              </w:rPr>
              <w:t>-5</w:t>
            </w:r>
          </w:p>
        </w:tc>
        <w:tc>
          <w:tcPr>
            <w:tcW w:w="533" w:type="dxa"/>
            <w:tcBorders>
              <w:top w:val="nil"/>
              <w:left w:val="nil"/>
              <w:bottom w:val="nil"/>
              <w:right w:val="nil"/>
            </w:tcBorders>
            <w:noWrap/>
            <w:vAlign w:val="center"/>
            <w:hideMark/>
          </w:tcPr>
          <w:p w14:paraId="55CC9E96" w14:textId="77777777" w:rsidR="004F0EB0" w:rsidRPr="0003506A" w:rsidRDefault="004F0EB0" w:rsidP="00C41A2C">
            <w:pPr>
              <w:jc w:val="center"/>
              <w:rPr>
                <w:rFonts w:cs="Times New Roman"/>
                <w:sz w:val="20"/>
                <w:szCs w:val="20"/>
              </w:rPr>
            </w:pPr>
          </w:p>
        </w:tc>
      </w:tr>
      <w:tr w:rsidR="004F0EB0" w:rsidRPr="0003506A" w14:paraId="4E4D4252" w14:textId="77777777" w:rsidTr="00C41A2C">
        <w:trPr>
          <w:trHeight w:val="288"/>
          <w:jc w:val="center"/>
        </w:trPr>
        <w:tc>
          <w:tcPr>
            <w:tcW w:w="3955" w:type="dxa"/>
            <w:tcBorders>
              <w:top w:val="nil"/>
              <w:left w:val="nil"/>
              <w:bottom w:val="nil"/>
              <w:right w:val="single" w:sz="4" w:space="0" w:color="auto"/>
            </w:tcBorders>
            <w:noWrap/>
            <w:vAlign w:val="center"/>
          </w:tcPr>
          <w:p w14:paraId="0A0AAEA2" w14:textId="77777777" w:rsidR="004F0EB0" w:rsidRPr="0003506A" w:rsidRDefault="004F0EB0" w:rsidP="00C41A2C">
            <w:pPr>
              <w:rPr>
                <w:rFonts w:cs="Times New Roman"/>
                <w:sz w:val="20"/>
                <w:szCs w:val="20"/>
              </w:rPr>
            </w:pPr>
            <w:r w:rsidRPr="0003506A">
              <w:rPr>
                <w:rFonts w:cs="Times New Roman"/>
                <w:sz w:val="20"/>
                <w:szCs w:val="20"/>
              </w:rPr>
              <w:t>War disabled x Party ideology</w:t>
            </w:r>
          </w:p>
        </w:tc>
        <w:tc>
          <w:tcPr>
            <w:tcW w:w="810" w:type="dxa"/>
            <w:tcBorders>
              <w:top w:val="nil"/>
              <w:left w:val="single" w:sz="4" w:space="0" w:color="auto"/>
              <w:bottom w:val="nil"/>
              <w:right w:val="nil"/>
            </w:tcBorders>
            <w:vAlign w:val="center"/>
          </w:tcPr>
          <w:p w14:paraId="56DA4468" w14:textId="77777777" w:rsidR="004F0EB0" w:rsidRPr="0003506A" w:rsidRDefault="004F0EB0" w:rsidP="00C41A2C">
            <w:pPr>
              <w:jc w:val="left"/>
              <w:rPr>
                <w:rFonts w:cs="Times New Roman"/>
                <w:sz w:val="20"/>
                <w:szCs w:val="20"/>
              </w:rPr>
            </w:pPr>
          </w:p>
        </w:tc>
        <w:tc>
          <w:tcPr>
            <w:tcW w:w="810" w:type="dxa"/>
            <w:tcBorders>
              <w:top w:val="nil"/>
              <w:left w:val="nil"/>
              <w:bottom w:val="nil"/>
              <w:right w:val="nil"/>
            </w:tcBorders>
            <w:noWrap/>
            <w:vAlign w:val="center"/>
          </w:tcPr>
          <w:p w14:paraId="0E7F3588" w14:textId="77777777" w:rsidR="004F0EB0" w:rsidRPr="0003506A" w:rsidRDefault="004F0EB0" w:rsidP="00C41A2C">
            <w:pPr>
              <w:jc w:val="center"/>
              <w:rPr>
                <w:rFonts w:cs="Times New Roman"/>
                <w:sz w:val="20"/>
                <w:szCs w:val="20"/>
              </w:rPr>
            </w:pPr>
          </w:p>
        </w:tc>
        <w:tc>
          <w:tcPr>
            <w:tcW w:w="540" w:type="dxa"/>
            <w:tcBorders>
              <w:top w:val="nil"/>
              <w:left w:val="nil"/>
              <w:bottom w:val="nil"/>
              <w:right w:val="single" w:sz="4" w:space="0" w:color="auto"/>
            </w:tcBorders>
            <w:noWrap/>
            <w:vAlign w:val="center"/>
          </w:tcPr>
          <w:p w14:paraId="41355D86"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tcPr>
          <w:p w14:paraId="3751C395" w14:textId="77777777" w:rsidR="004F0EB0" w:rsidRPr="0003506A" w:rsidRDefault="004F0EB0" w:rsidP="00C41A2C">
            <w:pPr>
              <w:jc w:val="center"/>
              <w:rPr>
                <w:rFonts w:cs="Times New Roman"/>
                <w:sz w:val="20"/>
                <w:szCs w:val="20"/>
              </w:rPr>
            </w:pPr>
          </w:p>
        </w:tc>
        <w:tc>
          <w:tcPr>
            <w:tcW w:w="810" w:type="dxa"/>
            <w:tcBorders>
              <w:top w:val="nil"/>
              <w:left w:val="nil"/>
              <w:bottom w:val="nil"/>
              <w:right w:val="nil"/>
            </w:tcBorders>
            <w:noWrap/>
            <w:vAlign w:val="center"/>
          </w:tcPr>
          <w:p w14:paraId="56C9062A" w14:textId="77777777" w:rsidR="004F0EB0" w:rsidRPr="0003506A" w:rsidRDefault="004F0EB0" w:rsidP="00C41A2C">
            <w:pPr>
              <w:jc w:val="center"/>
              <w:rPr>
                <w:rFonts w:cs="Times New Roman"/>
                <w:sz w:val="20"/>
                <w:szCs w:val="20"/>
              </w:rPr>
            </w:pPr>
          </w:p>
        </w:tc>
        <w:tc>
          <w:tcPr>
            <w:tcW w:w="533" w:type="dxa"/>
            <w:tcBorders>
              <w:top w:val="nil"/>
              <w:left w:val="nil"/>
              <w:bottom w:val="nil"/>
              <w:right w:val="single" w:sz="4" w:space="0" w:color="auto"/>
            </w:tcBorders>
            <w:noWrap/>
            <w:vAlign w:val="center"/>
          </w:tcPr>
          <w:p w14:paraId="78FE6DB1" w14:textId="77777777" w:rsidR="004F0EB0" w:rsidRPr="0003506A" w:rsidRDefault="004F0EB0" w:rsidP="00C41A2C">
            <w:pPr>
              <w:jc w:val="center"/>
              <w:rPr>
                <w:rFonts w:cs="Times New Roman"/>
                <w:sz w:val="20"/>
                <w:szCs w:val="20"/>
              </w:rPr>
            </w:pPr>
          </w:p>
        </w:tc>
        <w:tc>
          <w:tcPr>
            <w:tcW w:w="817" w:type="dxa"/>
            <w:tcBorders>
              <w:top w:val="nil"/>
              <w:left w:val="single" w:sz="4" w:space="0" w:color="auto"/>
              <w:bottom w:val="nil"/>
              <w:right w:val="nil"/>
            </w:tcBorders>
            <w:noWrap/>
            <w:vAlign w:val="center"/>
          </w:tcPr>
          <w:p w14:paraId="53C329D8" w14:textId="77777777" w:rsidR="004F0EB0" w:rsidRPr="0003506A" w:rsidRDefault="004F0EB0" w:rsidP="00C41A2C">
            <w:pPr>
              <w:jc w:val="center"/>
              <w:rPr>
                <w:rFonts w:cs="Times New Roman"/>
                <w:sz w:val="20"/>
                <w:szCs w:val="20"/>
              </w:rPr>
            </w:pPr>
          </w:p>
        </w:tc>
        <w:tc>
          <w:tcPr>
            <w:tcW w:w="810" w:type="dxa"/>
            <w:tcBorders>
              <w:top w:val="nil"/>
              <w:left w:val="nil"/>
              <w:bottom w:val="nil"/>
              <w:right w:val="nil"/>
            </w:tcBorders>
            <w:noWrap/>
            <w:vAlign w:val="center"/>
          </w:tcPr>
          <w:p w14:paraId="012917C4" w14:textId="77777777" w:rsidR="004F0EB0" w:rsidRPr="0003506A" w:rsidRDefault="004F0EB0" w:rsidP="00C41A2C">
            <w:pPr>
              <w:jc w:val="center"/>
              <w:rPr>
                <w:rFonts w:cs="Times New Roman"/>
                <w:sz w:val="20"/>
                <w:szCs w:val="20"/>
              </w:rPr>
            </w:pPr>
          </w:p>
        </w:tc>
        <w:tc>
          <w:tcPr>
            <w:tcW w:w="540" w:type="dxa"/>
            <w:tcBorders>
              <w:top w:val="nil"/>
              <w:left w:val="nil"/>
              <w:bottom w:val="nil"/>
              <w:right w:val="single" w:sz="4" w:space="0" w:color="auto"/>
            </w:tcBorders>
            <w:noWrap/>
            <w:vAlign w:val="center"/>
          </w:tcPr>
          <w:p w14:paraId="20817AF2"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tcPr>
          <w:p w14:paraId="225646FF" w14:textId="77777777" w:rsidR="004F0EB0" w:rsidRPr="0003506A" w:rsidRDefault="004F0EB0" w:rsidP="00C41A2C">
            <w:pPr>
              <w:jc w:val="center"/>
              <w:rPr>
                <w:rFonts w:cs="Times New Roman"/>
                <w:sz w:val="20"/>
                <w:szCs w:val="20"/>
              </w:rPr>
            </w:pPr>
            <w:r w:rsidRPr="0003506A">
              <w:rPr>
                <w:rFonts w:cs="Times New Roman"/>
                <w:sz w:val="20"/>
                <w:szCs w:val="20"/>
              </w:rPr>
              <w:t>-0.215</w:t>
            </w:r>
          </w:p>
        </w:tc>
        <w:tc>
          <w:tcPr>
            <w:tcW w:w="810" w:type="dxa"/>
            <w:tcBorders>
              <w:top w:val="nil"/>
              <w:left w:val="nil"/>
              <w:bottom w:val="nil"/>
              <w:right w:val="nil"/>
            </w:tcBorders>
            <w:noWrap/>
            <w:vAlign w:val="center"/>
          </w:tcPr>
          <w:p w14:paraId="62EE62A3" w14:textId="77777777" w:rsidR="004F0EB0" w:rsidRPr="0003506A" w:rsidRDefault="004F0EB0" w:rsidP="00C41A2C">
            <w:pPr>
              <w:jc w:val="center"/>
              <w:rPr>
                <w:rFonts w:cs="Times New Roman"/>
                <w:sz w:val="20"/>
                <w:szCs w:val="20"/>
              </w:rPr>
            </w:pPr>
            <w:r w:rsidRPr="0003506A">
              <w:rPr>
                <w:rFonts w:cs="Times New Roman"/>
                <w:sz w:val="20"/>
                <w:szCs w:val="20"/>
              </w:rPr>
              <w:t>0.006</w:t>
            </w:r>
          </w:p>
        </w:tc>
        <w:tc>
          <w:tcPr>
            <w:tcW w:w="533" w:type="dxa"/>
            <w:tcBorders>
              <w:top w:val="nil"/>
              <w:left w:val="nil"/>
              <w:bottom w:val="nil"/>
              <w:right w:val="nil"/>
            </w:tcBorders>
            <w:noWrap/>
            <w:vAlign w:val="center"/>
          </w:tcPr>
          <w:p w14:paraId="6E4B0009"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10C7E029" w14:textId="77777777" w:rsidTr="00C41A2C">
        <w:trPr>
          <w:trHeight w:val="288"/>
          <w:jc w:val="center"/>
        </w:trPr>
        <w:tc>
          <w:tcPr>
            <w:tcW w:w="3955" w:type="dxa"/>
            <w:tcBorders>
              <w:top w:val="nil"/>
              <w:left w:val="nil"/>
              <w:bottom w:val="nil"/>
              <w:right w:val="single" w:sz="4" w:space="0" w:color="auto"/>
            </w:tcBorders>
            <w:noWrap/>
            <w:vAlign w:val="center"/>
            <w:hideMark/>
          </w:tcPr>
          <w:p w14:paraId="04F610BF" w14:textId="77777777" w:rsidR="004F0EB0" w:rsidRPr="0003506A" w:rsidRDefault="004F0EB0" w:rsidP="00C41A2C">
            <w:pPr>
              <w:jc w:val="left"/>
              <w:rPr>
                <w:rFonts w:cs="Times New Roman"/>
                <w:sz w:val="20"/>
                <w:szCs w:val="20"/>
              </w:rPr>
            </w:pPr>
            <w:r w:rsidRPr="0003506A">
              <w:rPr>
                <w:rFonts w:cs="Times New Roman"/>
                <w:sz w:val="20"/>
                <w:szCs w:val="20"/>
              </w:rPr>
              <w:t>Combat days x War disabled x Party ideology</w:t>
            </w:r>
          </w:p>
        </w:tc>
        <w:tc>
          <w:tcPr>
            <w:tcW w:w="810" w:type="dxa"/>
            <w:tcBorders>
              <w:top w:val="nil"/>
              <w:left w:val="single" w:sz="4" w:space="0" w:color="auto"/>
              <w:bottom w:val="nil"/>
              <w:right w:val="nil"/>
            </w:tcBorders>
            <w:vAlign w:val="center"/>
          </w:tcPr>
          <w:p w14:paraId="6EED1167" w14:textId="77777777" w:rsidR="004F0EB0" w:rsidRPr="0003506A" w:rsidRDefault="004F0EB0" w:rsidP="00C41A2C">
            <w:pPr>
              <w:jc w:val="left"/>
              <w:rPr>
                <w:rFonts w:cs="Times New Roman"/>
                <w:sz w:val="20"/>
                <w:szCs w:val="20"/>
              </w:rPr>
            </w:pPr>
          </w:p>
        </w:tc>
        <w:tc>
          <w:tcPr>
            <w:tcW w:w="810" w:type="dxa"/>
            <w:tcBorders>
              <w:top w:val="nil"/>
              <w:left w:val="nil"/>
              <w:bottom w:val="nil"/>
              <w:right w:val="nil"/>
            </w:tcBorders>
            <w:noWrap/>
            <w:vAlign w:val="center"/>
            <w:hideMark/>
          </w:tcPr>
          <w:p w14:paraId="17C18818" w14:textId="77777777" w:rsidR="004F0EB0" w:rsidRPr="0003506A" w:rsidRDefault="004F0EB0" w:rsidP="00C41A2C">
            <w:pPr>
              <w:jc w:val="center"/>
              <w:rPr>
                <w:rFonts w:cs="Times New Roman"/>
                <w:sz w:val="20"/>
                <w:szCs w:val="20"/>
              </w:rPr>
            </w:pPr>
          </w:p>
        </w:tc>
        <w:tc>
          <w:tcPr>
            <w:tcW w:w="540" w:type="dxa"/>
            <w:tcBorders>
              <w:top w:val="nil"/>
              <w:left w:val="nil"/>
              <w:bottom w:val="nil"/>
              <w:right w:val="single" w:sz="4" w:space="0" w:color="auto"/>
            </w:tcBorders>
            <w:noWrap/>
            <w:vAlign w:val="center"/>
            <w:hideMark/>
          </w:tcPr>
          <w:p w14:paraId="768EB4F1"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5BC0728B" w14:textId="77777777" w:rsidR="004F0EB0" w:rsidRPr="0003506A" w:rsidRDefault="004F0EB0" w:rsidP="00C41A2C">
            <w:pPr>
              <w:jc w:val="center"/>
              <w:rPr>
                <w:rFonts w:cs="Times New Roman"/>
                <w:sz w:val="20"/>
                <w:szCs w:val="20"/>
              </w:rPr>
            </w:pPr>
          </w:p>
        </w:tc>
        <w:tc>
          <w:tcPr>
            <w:tcW w:w="810" w:type="dxa"/>
            <w:tcBorders>
              <w:top w:val="nil"/>
              <w:left w:val="nil"/>
              <w:bottom w:val="nil"/>
              <w:right w:val="nil"/>
            </w:tcBorders>
            <w:noWrap/>
            <w:vAlign w:val="center"/>
            <w:hideMark/>
          </w:tcPr>
          <w:p w14:paraId="00F7150B" w14:textId="77777777" w:rsidR="004F0EB0" w:rsidRPr="0003506A" w:rsidRDefault="004F0EB0" w:rsidP="00C41A2C">
            <w:pPr>
              <w:jc w:val="center"/>
              <w:rPr>
                <w:rFonts w:cs="Times New Roman"/>
                <w:sz w:val="20"/>
                <w:szCs w:val="20"/>
              </w:rPr>
            </w:pPr>
          </w:p>
        </w:tc>
        <w:tc>
          <w:tcPr>
            <w:tcW w:w="533" w:type="dxa"/>
            <w:tcBorders>
              <w:top w:val="nil"/>
              <w:left w:val="nil"/>
              <w:bottom w:val="nil"/>
              <w:right w:val="single" w:sz="4" w:space="0" w:color="auto"/>
            </w:tcBorders>
            <w:noWrap/>
            <w:vAlign w:val="center"/>
            <w:hideMark/>
          </w:tcPr>
          <w:p w14:paraId="21EEF29B" w14:textId="77777777" w:rsidR="004F0EB0" w:rsidRPr="0003506A" w:rsidRDefault="004F0EB0" w:rsidP="00C41A2C">
            <w:pPr>
              <w:jc w:val="center"/>
              <w:rPr>
                <w:rFonts w:cs="Times New Roman"/>
                <w:sz w:val="20"/>
                <w:szCs w:val="20"/>
              </w:rPr>
            </w:pPr>
          </w:p>
        </w:tc>
        <w:tc>
          <w:tcPr>
            <w:tcW w:w="817" w:type="dxa"/>
            <w:tcBorders>
              <w:top w:val="nil"/>
              <w:left w:val="single" w:sz="4" w:space="0" w:color="auto"/>
              <w:bottom w:val="nil"/>
              <w:right w:val="nil"/>
            </w:tcBorders>
            <w:noWrap/>
            <w:vAlign w:val="center"/>
            <w:hideMark/>
          </w:tcPr>
          <w:p w14:paraId="66DDF335" w14:textId="77777777" w:rsidR="004F0EB0" w:rsidRPr="0003506A" w:rsidRDefault="004F0EB0" w:rsidP="00C41A2C">
            <w:pPr>
              <w:jc w:val="center"/>
              <w:rPr>
                <w:rFonts w:cs="Times New Roman"/>
                <w:sz w:val="20"/>
                <w:szCs w:val="20"/>
              </w:rPr>
            </w:pPr>
          </w:p>
        </w:tc>
        <w:tc>
          <w:tcPr>
            <w:tcW w:w="810" w:type="dxa"/>
            <w:tcBorders>
              <w:top w:val="nil"/>
              <w:left w:val="nil"/>
              <w:bottom w:val="nil"/>
              <w:right w:val="nil"/>
            </w:tcBorders>
            <w:noWrap/>
            <w:vAlign w:val="center"/>
            <w:hideMark/>
          </w:tcPr>
          <w:p w14:paraId="6BC827DB" w14:textId="77777777" w:rsidR="004F0EB0" w:rsidRPr="0003506A" w:rsidRDefault="004F0EB0" w:rsidP="00C41A2C">
            <w:pPr>
              <w:jc w:val="center"/>
              <w:rPr>
                <w:rFonts w:cs="Times New Roman"/>
                <w:sz w:val="20"/>
                <w:szCs w:val="20"/>
              </w:rPr>
            </w:pPr>
          </w:p>
        </w:tc>
        <w:tc>
          <w:tcPr>
            <w:tcW w:w="540" w:type="dxa"/>
            <w:tcBorders>
              <w:top w:val="nil"/>
              <w:left w:val="nil"/>
              <w:bottom w:val="nil"/>
              <w:right w:val="single" w:sz="4" w:space="0" w:color="auto"/>
            </w:tcBorders>
            <w:noWrap/>
            <w:vAlign w:val="center"/>
            <w:hideMark/>
          </w:tcPr>
          <w:p w14:paraId="78ADFEC8" w14:textId="77777777" w:rsidR="004F0EB0" w:rsidRPr="0003506A" w:rsidRDefault="004F0EB0" w:rsidP="00C41A2C">
            <w:pPr>
              <w:jc w:val="center"/>
              <w:rPr>
                <w:rFonts w:cs="Times New Roman"/>
                <w:sz w:val="20"/>
                <w:szCs w:val="20"/>
              </w:rPr>
            </w:pPr>
          </w:p>
        </w:tc>
        <w:tc>
          <w:tcPr>
            <w:tcW w:w="810" w:type="dxa"/>
            <w:tcBorders>
              <w:top w:val="nil"/>
              <w:left w:val="single" w:sz="4" w:space="0" w:color="auto"/>
              <w:bottom w:val="nil"/>
              <w:right w:val="nil"/>
            </w:tcBorders>
            <w:noWrap/>
            <w:vAlign w:val="center"/>
            <w:hideMark/>
          </w:tcPr>
          <w:p w14:paraId="4614332B"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2x10</w:t>
            </w:r>
            <w:r w:rsidRPr="0003506A">
              <w:rPr>
                <w:rFonts w:cs="Times New Roman"/>
                <w:sz w:val="20"/>
                <w:szCs w:val="20"/>
                <w:vertAlign w:val="superscript"/>
              </w:rPr>
              <w:t>-4</w:t>
            </w:r>
          </w:p>
        </w:tc>
        <w:tc>
          <w:tcPr>
            <w:tcW w:w="810" w:type="dxa"/>
            <w:tcBorders>
              <w:top w:val="nil"/>
              <w:left w:val="nil"/>
              <w:bottom w:val="nil"/>
              <w:right w:val="nil"/>
            </w:tcBorders>
            <w:noWrap/>
            <w:vAlign w:val="center"/>
            <w:hideMark/>
          </w:tcPr>
          <w:p w14:paraId="0FFBE3D9" w14:textId="77777777" w:rsidR="004F0EB0" w:rsidRPr="0003506A" w:rsidRDefault="004F0EB0" w:rsidP="00C41A2C">
            <w:pPr>
              <w:jc w:val="center"/>
              <w:rPr>
                <w:rFonts w:cs="Times New Roman"/>
                <w:sz w:val="20"/>
                <w:szCs w:val="20"/>
                <w:vertAlign w:val="superscript"/>
              </w:rPr>
            </w:pPr>
            <w:r w:rsidRPr="0003506A">
              <w:rPr>
                <w:rFonts w:cs="Times New Roman"/>
                <w:sz w:val="20"/>
                <w:szCs w:val="20"/>
              </w:rPr>
              <w:t>1x10</w:t>
            </w:r>
            <w:r w:rsidRPr="0003506A">
              <w:rPr>
                <w:rFonts w:cs="Times New Roman"/>
                <w:sz w:val="20"/>
                <w:szCs w:val="20"/>
                <w:vertAlign w:val="superscript"/>
              </w:rPr>
              <w:t>-5</w:t>
            </w:r>
          </w:p>
        </w:tc>
        <w:tc>
          <w:tcPr>
            <w:tcW w:w="533" w:type="dxa"/>
            <w:tcBorders>
              <w:top w:val="nil"/>
              <w:left w:val="nil"/>
              <w:bottom w:val="nil"/>
              <w:right w:val="nil"/>
            </w:tcBorders>
            <w:noWrap/>
            <w:vAlign w:val="center"/>
            <w:hideMark/>
          </w:tcPr>
          <w:p w14:paraId="4D60AC89"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248A30E3" w14:textId="77777777" w:rsidTr="00C41A2C">
        <w:trPr>
          <w:trHeight w:val="288"/>
          <w:jc w:val="center"/>
        </w:trPr>
        <w:tc>
          <w:tcPr>
            <w:tcW w:w="3955" w:type="dxa"/>
            <w:tcBorders>
              <w:top w:val="nil"/>
              <w:left w:val="nil"/>
              <w:bottom w:val="single" w:sz="4" w:space="0" w:color="auto"/>
              <w:right w:val="single" w:sz="4" w:space="0" w:color="auto"/>
            </w:tcBorders>
            <w:noWrap/>
            <w:vAlign w:val="center"/>
            <w:hideMark/>
          </w:tcPr>
          <w:p w14:paraId="5EEF36F2" w14:textId="77777777" w:rsidR="004F0EB0" w:rsidRPr="0003506A" w:rsidRDefault="004F0EB0" w:rsidP="00C41A2C">
            <w:pPr>
              <w:rPr>
                <w:rFonts w:cs="Times New Roman"/>
                <w:sz w:val="20"/>
                <w:szCs w:val="20"/>
              </w:rPr>
            </w:pPr>
            <w:r w:rsidRPr="0003506A">
              <w:rPr>
                <w:rFonts w:cs="Times New Roman"/>
                <w:sz w:val="20"/>
                <w:szCs w:val="20"/>
              </w:rPr>
              <w:t>Intercept</w:t>
            </w:r>
          </w:p>
        </w:tc>
        <w:tc>
          <w:tcPr>
            <w:tcW w:w="810" w:type="dxa"/>
            <w:tcBorders>
              <w:top w:val="nil"/>
              <w:left w:val="single" w:sz="4" w:space="0" w:color="auto"/>
              <w:bottom w:val="single" w:sz="4" w:space="0" w:color="auto"/>
              <w:right w:val="nil"/>
            </w:tcBorders>
            <w:noWrap/>
            <w:vAlign w:val="center"/>
            <w:hideMark/>
          </w:tcPr>
          <w:p w14:paraId="1A1BC8A5" w14:textId="77777777" w:rsidR="004F0EB0" w:rsidRPr="0003506A" w:rsidRDefault="004F0EB0" w:rsidP="00C41A2C">
            <w:pPr>
              <w:jc w:val="center"/>
              <w:rPr>
                <w:rFonts w:cs="Times New Roman"/>
                <w:sz w:val="20"/>
                <w:szCs w:val="20"/>
              </w:rPr>
            </w:pPr>
            <w:r w:rsidRPr="0003506A">
              <w:rPr>
                <w:rFonts w:cs="Times New Roman"/>
                <w:sz w:val="20"/>
                <w:szCs w:val="20"/>
              </w:rPr>
              <w:t>1.494</w:t>
            </w:r>
          </w:p>
        </w:tc>
        <w:tc>
          <w:tcPr>
            <w:tcW w:w="810" w:type="dxa"/>
            <w:tcBorders>
              <w:top w:val="nil"/>
              <w:left w:val="nil"/>
              <w:bottom w:val="single" w:sz="4" w:space="0" w:color="auto"/>
              <w:right w:val="nil"/>
            </w:tcBorders>
            <w:noWrap/>
            <w:vAlign w:val="center"/>
            <w:hideMark/>
          </w:tcPr>
          <w:p w14:paraId="36ED168B" w14:textId="77777777" w:rsidR="004F0EB0" w:rsidRPr="0003506A" w:rsidRDefault="004F0EB0" w:rsidP="00C41A2C">
            <w:pPr>
              <w:jc w:val="center"/>
              <w:rPr>
                <w:rFonts w:cs="Times New Roman"/>
                <w:sz w:val="20"/>
                <w:szCs w:val="20"/>
              </w:rPr>
            </w:pPr>
            <w:r w:rsidRPr="0003506A">
              <w:rPr>
                <w:rFonts w:cs="Times New Roman"/>
                <w:sz w:val="20"/>
                <w:szCs w:val="20"/>
              </w:rPr>
              <w:t>0.112</w:t>
            </w:r>
          </w:p>
        </w:tc>
        <w:tc>
          <w:tcPr>
            <w:tcW w:w="540" w:type="dxa"/>
            <w:tcBorders>
              <w:top w:val="nil"/>
              <w:left w:val="nil"/>
              <w:bottom w:val="single" w:sz="4" w:space="0" w:color="auto"/>
              <w:right w:val="single" w:sz="4" w:space="0" w:color="auto"/>
            </w:tcBorders>
            <w:noWrap/>
            <w:vAlign w:val="center"/>
            <w:hideMark/>
          </w:tcPr>
          <w:p w14:paraId="4086999A"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single" w:sz="4" w:space="0" w:color="auto"/>
              <w:right w:val="nil"/>
            </w:tcBorders>
            <w:noWrap/>
            <w:vAlign w:val="center"/>
            <w:hideMark/>
          </w:tcPr>
          <w:p w14:paraId="06BF9140" w14:textId="77777777" w:rsidR="004F0EB0" w:rsidRPr="0003506A" w:rsidRDefault="004F0EB0" w:rsidP="00C41A2C">
            <w:pPr>
              <w:jc w:val="center"/>
              <w:rPr>
                <w:rFonts w:cs="Times New Roman"/>
                <w:sz w:val="20"/>
                <w:szCs w:val="20"/>
              </w:rPr>
            </w:pPr>
            <w:r w:rsidRPr="0003506A">
              <w:rPr>
                <w:rFonts w:cs="Times New Roman"/>
                <w:sz w:val="20"/>
                <w:szCs w:val="20"/>
              </w:rPr>
              <w:t>1.500</w:t>
            </w:r>
          </w:p>
        </w:tc>
        <w:tc>
          <w:tcPr>
            <w:tcW w:w="810" w:type="dxa"/>
            <w:tcBorders>
              <w:top w:val="nil"/>
              <w:left w:val="nil"/>
              <w:bottom w:val="single" w:sz="4" w:space="0" w:color="auto"/>
              <w:right w:val="nil"/>
            </w:tcBorders>
            <w:noWrap/>
            <w:vAlign w:val="center"/>
            <w:hideMark/>
          </w:tcPr>
          <w:p w14:paraId="7E33F1BA" w14:textId="77777777" w:rsidR="004F0EB0" w:rsidRPr="0003506A" w:rsidRDefault="004F0EB0" w:rsidP="00C41A2C">
            <w:pPr>
              <w:jc w:val="center"/>
              <w:rPr>
                <w:rFonts w:cs="Times New Roman"/>
                <w:sz w:val="20"/>
                <w:szCs w:val="20"/>
              </w:rPr>
            </w:pPr>
            <w:r w:rsidRPr="0003506A">
              <w:rPr>
                <w:rFonts w:cs="Times New Roman"/>
                <w:sz w:val="20"/>
                <w:szCs w:val="20"/>
              </w:rPr>
              <w:t>0.112</w:t>
            </w:r>
          </w:p>
        </w:tc>
        <w:tc>
          <w:tcPr>
            <w:tcW w:w="533" w:type="dxa"/>
            <w:tcBorders>
              <w:top w:val="nil"/>
              <w:left w:val="nil"/>
              <w:bottom w:val="single" w:sz="4" w:space="0" w:color="auto"/>
              <w:right w:val="single" w:sz="4" w:space="0" w:color="auto"/>
            </w:tcBorders>
            <w:noWrap/>
            <w:vAlign w:val="center"/>
            <w:hideMark/>
          </w:tcPr>
          <w:p w14:paraId="29CD7697"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7" w:type="dxa"/>
            <w:tcBorders>
              <w:top w:val="nil"/>
              <w:left w:val="single" w:sz="4" w:space="0" w:color="auto"/>
              <w:bottom w:val="single" w:sz="4" w:space="0" w:color="auto"/>
              <w:right w:val="nil"/>
            </w:tcBorders>
            <w:noWrap/>
            <w:vAlign w:val="center"/>
            <w:hideMark/>
          </w:tcPr>
          <w:p w14:paraId="4A4B48CF" w14:textId="77777777" w:rsidR="004F0EB0" w:rsidRPr="0003506A" w:rsidRDefault="004F0EB0" w:rsidP="00C41A2C">
            <w:pPr>
              <w:jc w:val="center"/>
              <w:rPr>
                <w:rFonts w:cs="Times New Roman"/>
                <w:sz w:val="20"/>
                <w:szCs w:val="20"/>
              </w:rPr>
            </w:pPr>
            <w:r w:rsidRPr="0003506A">
              <w:rPr>
                <w:rFonts w:cs="Times New Roman"/>
                <w:sz w:val="20"/>
                <w:szCs w:val="20"/>
              </w:rPr>
              <w:t>1.493</w:t>
            </w:r>
          </w:p>
        </w:tc>
        <w:tc>
          <w:tcPr>
            <w:tcW w:w="810" w:type="dxa"/>
            <w:tcBorders>
              <w:top w:val="nil"/>
              <w:left w:val="nil"/>
              <w:bottom w:val="single" w:sz="4" w:space="0" w:color="auto"/>
              <w:right w:val="nil"/>
            </w:tcBorders>
            <w:noWrap/>
            <w:vAlign w:val="center"/>
            <w:hideMark/>
          </w:tcPr>
          <w:p w14:paraId="453511C1" w14:textId="77777777" w:rsidR="004F0EB0" w:rsidRPr="0003506A" w:rsidRDefault="004F0EB0" w:rsidP="00C41A2C">
            <w:pPr>
              <w:jc w:val="center"/>
              <w:rPr>
                <w:rFonts w:cs="Times New Roman"/>
                <w:sz w:val="20"/>
                <w:szCs w:val="20"/>
              </w:rPr>
            </w:pPr>
            <w:r w:rsidRPr="0003506A">
              <w:rPr>
                <w:rFonts w:cs="Times New Roman"/>
                <w:sz w:val="20"/>
                <w:szCs w:val="20"/>
              </w:rPr>
              <w:t>0.111</w:t>
            </w:r>
          </w:p>
        </w:tc>
        <w:tc>
          <w:tcPr>
            <w:tcW w:w="540" w:type="dxa"/>
            <w:tcBorders>
              <w:top w:val="nil"/>
              <w:left w:val="nil"/>
              <w:bottom w:val="single" w:sz="4" w:space="0" w:color="auto"/>
              <w:right w:val="single" w:sz="4" w:space="0" w:color="auto"/>
            </w:tcBorders>
            <w:noWrap/>
            <w:vAlign w:val="center"/>
            <w:hideMark/>
          </w:tcPr>
          <w:p w14:paraId="1FF6E9D0" w14:textId="77777777" w:rsidR="004F0EB0" w:rsidRPr="0003506A" w:rsidRDefault="004F0EB0" w:rsidP="00C41A2C">
            <w:pPr>
              <w:jc w:val="center"/>
              <w:rPr>
                <w:rFonts w:cs="Times New Roman"/>
                <w:sz w:val="20"/>
                <w:szCs w:val="20"/>
              </w:rPr>
            </w:pPr>
            <w:r w:rsidRPr="0003506A">
              <w:rPr>
                <w:rFonts w:cs="Times New Roman"/>
                <w:sz w:val="20"/>
                <w:szCs w:val="20"/>
              </w:rPr>
              <w:t>***</w:t>
            </w:r>
          </w:p>
        </w:tc>
        <w:tc>
          <w:tcPr>
            <w:tcW w:w="810" w:type="dxa"/>
            <w:tcBorders>
              <w:top w:val="nil"/>
              <w:left w:val="single" w:sz="4" w:space="0" w:color="auto"/>
              <w:bottom w:val="single" w:sz="4" w:space="0" w:color="auto"/>
              <w:right w:val="nil"/>
            </w:tcBorders>
            <w:noWrap/>
            <w:vAlign w:val="center"/>
            <w:hideMark/>
          </w:tcPr>
          <w:p w14:paraId="5E749C17" w14:textId="77777777" w:rsidR="004F0EB0" w:rsidRPr="0003506A" w:rsidRDefault="004F0EB0" w:rsidP="00C41A2C">
            <w:pPr>
              <w:jc w:val="center"/>
              <w:rPr>
                <w:rFonts w:cs="Times New Roman"/>
                <w:sz w:val="20"/>
                <w:szCs w:val="20"/>
              </w:rPr>
            </w:pPr>
            <w:r w:rsidRPr="0003506A">
              <w:rPr>
                <w:rFonts w:cs="Times New Roman"/>
                <w:sz w:val="20"/>
                <w:szCs w:val="20"/>
              </w:rPr>
              <w:t>1.411</w:t>
            </w:r>
          </w:p>
        </w:tc>
        <w:tc>
          <w:tcPr>
            <w:tcW w:w="810" w:type="dxa"/>
            <w:tcBorders>
              <w:top w:val="nil"/>
              <w:left w:val="nil"/>
              <w:bottom w:val="single" w:sz="4" w:space="0" w:color="auto"/>
              <w:right w:val="nil"/>
            </w:tcBorders>
            <w:noWrap/>
            <w:vAlign w:val="center"/>
            <w:hideMark/>
          </w:tcPr>
          <w:p w14:paraId="3A94FBCB" w14:textId="77777777" w:rsidR="004F0EB0" w:rsidRPr="0003506A" w:rsidRDefault="004F0EB0" w:rsidP="00C41A2C">
            <w:pPr>
              <w:jc w:val="center"/>
              <w:rPr>
                <w:rFonts w:cs="Times New Roman"/>
                <w:sz w:val="20"/>
                <w:szCs w:val="20"/>
              </w:rPr>
            </w:pPr>
            <w:r w:rsidRPr="0003506A">
              <w:rPr>
                <w:rFonts w:cs="Times New Roman"/>
                <w:sz w:val="20"/>
                <w:szCs w:val="20"/>
              </w:rPr>
              <w:t>0.111</w:t>
            </w:r>
          </w:p>
        </w:tc>
        <w:tc>
          <w:tcPr>
            <w:tcW w:w="533" w:type="dxa"/>
            <w:tcBorders>
              <w:top w:val="nil"/>
              <w:left w:val="nil"/>
              <w:bottom w:val="single" w:sz="4" w:space="0" w:color="auto"/>
              <w:right w:val="nil"/>
            </w:tcBorders>
            <w:noWrap/>
            <w:vAlign w:val="center"/>
            <w:hideMark/>
          </w:tcPr>
          <w:p w14:paraId="008C61A2" w14:textId="77777777" w:rsidR="004F0EB0" w:rsidRPr="0003506A" w:rsidRDefault="004F0EB0" w:rsidP="00C41A2C">
            <w:pPr>
              <w:jc w:val="center"/>
              <w:rPr>
                <w:rFonts w:cs="Times New Roman"/>
                <w:sz w:val="20"/>
                <w:szCs w:val="20"/>
              </w:rPr>
            </w:pPr>
            <w:r w:rsidRPr="0003506A">
              <w:rPr>
                <w:rFonts w:cs="Times New Roman"/>
                <w:sz w:val="20"/>
                <w:szCs w:val="20"/>
              </w:rPr>
              <w:t>***</w:t>
            </w:r>
          </w:p>
        </w:tc>
      </w:tr>
      <w:tr w:rsidR="004F0EB0" w:rsidRPr="0003506A" w14:paraId="77992122" w14:textId="77777777" w:rsidTr="00C41A2C">
        <w:trPr>
          <w:trHeight w:val="288"/>
          <w:jc w:val="center"/>
        </w:trPr>
        <w:tc>
          <w:tcPr>
            <w:tcW w:w="3955" w:type="dxa"/>
            <w:tcBorders>
              <w:top w:val="single" w:sz="4" w:space="0" w:color="auto"/>
              <w:left w:val="nil"/>
              <w:bottom w:val="nil"/>
              <w:right w:val="single" w:sz="4" w:space="0" w:color="auto"/>
            </w:tcBorders>
            <w:noWrap/>
            <w:vAlign w:val="center"/>
            <w:hideMark/>
          </w:tcPr>
          <w:p w14:paraId="64822E4F" w14:textId="77777777" w:rsidR="004F0EB0" w:rsidRPr="0003506A" w:rsidRDefault="004F0EB0" w:rsidP="00C41A2C">
            <w:pPr>
              <w:jc w:val="left"/>
              <w:rPr>
                <w:rFonts w:cs="Times New Roman"/>
                <w:sz w:val="20"/>
                <w:szCs w:val="20"/>
              </w:rPr>
            </w:pPr>
            <w:r w:rsidRPr="0003506A">
              <w:rPr>
                <w:rFonts w:cs="Times New Roman"/>
                <w:sz w:val="20"/>
                <w:szCs w:val="20"/>
              </w:rPr>
              <w:t>n (Candidates, Parties, Municipalities)</w:t>
            </w:r>
          </w:p>
        </w:tc>
        <w:tc>
          <w:tcPr>
            <w:tcW w:w="2160" w:type="dxa"/>
            <w:gridSpan w:val="3"/>
            <w:tcBorders>
              <w:top w:val="single" w:sz="4" w:space="0" w:color="auto"/>
              <w:left w:val="single" w:sz="4" w:space="0" w:color="auto"/>
              <w:bottom w:val="nil"/>
              <w:right w:val="single" w:sz="4" w:space="0" w:color="auto"/>
            </w:tcBorders>
            <w:noWrap/>
            <w:vAlign w:val="center"/>
            <w:hideMark/>
          </w:tcPr>
          <w:p w14:paraId="71377ABB" w14:textId="77777777" w:rsidR="004F0EB0" w:rsidRPr="0003506A" w:rsidRDefault="004F0EB0" w:rsidP="00C41A2C">
            <w:pPr>
              <w:jc w:val="center"/>
              <w:rPr>
                <w:rFonts w:cs="Times New Roman"/>
                <w:sz w:val="20"/>
                <w:szCs w:val="20"/>
              </w:rPr>
            </w:pPr>
            <w:r w:rsidRPr="0003506A">
              <w:rPr>
                <w:rFonts w:cs="Times New Roman"/>
                <w:sz w:val="20"/>
                <w:szCs w:val="20"/>
              </w:rPr>
              <w:t>4452 / 50 / 556</w:t>
            </w:r>
          </w:p>
        </w:tc>
        <w:tc>
          <w:tcPr>
            <w:tcW w:w="2153" w:type="dxa"/>
            <w:gridSpan w:val="3"/>
            <w:tcBorders>
              <w:top w:val="single" w:sz="4" w:space="0" w:color="auto"/>
              <w:left w:val="single" w:sz="4" w:space="0" w:color="auto"/>
              <w:bottom w:val="nil"/>
              <w:right w:val="single" w:sz="4" w:space="0" w:color="auto"/>
            </w:tcBorders>
            <w:noWrap/>
            <w:vAlign w:val="center"/>
            <w:hideMark/>
          </w:tcPr>
          <w:p w14:paraId="786C3AFC" w14:textId="77777777" w:rsidR="004F0EB0" w:rsidRPr="0003506A" w:rsidRDefault="004F0EB0" w:rsidP="00C41A2C">
            <w:pPr>
              <w:jc w:val="center"/>
              <w:rPr>
                <w:rFonts w:cs="Times New Roman"/>
                <w:sz w:val="20"/>
                <w:szCs w:val="20"/>
              </w:rPr>
            </w:pPr>
            <w:r w:rsidRPr="0003506A">
              <w:rPr>
                <w:rFonts w:cs="Times New Roman"/>
                <w:sz w:val="20"/>
                <w:szCs w:val="20"/>
              </w:rPr>
              <w:t>4452 / 50 / 556</w:t>
            </w:r>
          </w:p>
        </w:tc>
        <w:tc>
          <w:tcPr>
            <w:tcW w:w="2167" w:type="dxa"/>
            <w:gridSpan w:val="3"/>
            <w:tcBorders>
              <w:top w:val="single" w:sz="4" w:space="0" w:color="auto"/>
              <w:left w:val="single" w:sz="4" w:space="0" w:color="auto"/>
              <w:bottom w:val="nil"/>
              <w:right w:val="single" w:sz="4" w:space="0" w:color="auto"/>
            </w:tcBorders>
            <w:noWrap/>
            <w:vAlign w:val="center"/>
            <w:hideMark/>
          </w:tcPr>
          <w:p w14:paraId="6B1FDAD8" w14:textId="77777777" w:rsidR="004F0EB0" w:rsidRPr="0003506A" w:rsidRDefault="004F0EB0" w:rsidP="00C41A2C">
            <w:pPr>
              <w:jc w:val="center"/>
              <w:rPr>
                <w:rFonts w:cs="Times New Roman"/>
                <w:sz w:val="20"/>
                <w:szCs w:val="20"/>
              </w:rPr>
            </w:pPr>
            <w:r w:rsidRPr="0003506A">
              <w:rPr>
                <w:rFonts w:cs="Times New Roman"/>
                <w:sz w:val="20"/>
                <w:szCs w:val="20"/>
              </w:rPr>
              <w:t>4452 / 50 / 556</w:t>
            </w:r>
          </w:p>
        </w:tc>
        <w:tc>
          <w:tcPr>
            <w:tcW w:w="2153" w:type="dxa"/>
            <w:gridSpan w:val="3"/>
            <w:tcBorders>
              <w:top w:val="single" w:sz="4" w:space="0" w:color="auto"/>
              <w:left w:val="single" w:sz="4" w:space="0" w:color="auto"/>
              <w:bottom w:val="nil"/>
              <w:right w:val="nil"/>
            </w:tcBorders>
            <w:noWrap/>
            <w:vAlign w:val="center"/>
            <w:hideMark/>
          </w:tcPr>
          <w:p w14:paraId="401B6FB4" w14:textId="77777777" w:rsidR="004F0EB0" w:rsidRPr="0003506A" w:rsidRDefault="004F0EB0" w:rsidP="00C41A2C">
            <w:pPr>
              <w:jc w:val="center"/>
              <w:rPr>
                <w:rFonts w:cs="Times New Roman"/>
                <w:sz w:val="20"/>
                <w:szCs w:val="20"/>
              </w:rPr>
            </w:pPr>
            <w:r w:rsidRPr="0003506A">
              <w:rPr>
                <w:rFonts w:cs="Times New Roman"/>
                <w:sz w:val="20"/>
                <w:szCs w:val="20"/>
              </w:rPr>
              <w:t>4452 / 50 / 556</w:t>
            </w:r>
          </w:p>
        </w:tc>
      </w:tr>
      <w:tr w:rsidR="004F0EB0" w:rsidRPr="0003506A" w14:paraId="053D583F" w14:textId="77777777" w:rsidTr="00C41A2C">
        <w:trPr>
          <w:trHeight w:val="288"/>
          <w:jc w:val="center"/>
        </w:trPr>
        <w:tc>
          <w:tcPr>
            <w:tcW w:w="3955" w:type="dxa"/>
            <w:tcBorders>
              <w:top w:val="nil"/>
              <w:left w:val="nil"/>
              <w:bottom w:val="single" w:sz="4" w:space="0" w:color="auto"/>
              <w:right w:val="single" w:sz="4" w:space="0" w:color="auto"/>
            </w:tcBorders>
            <w:noWrap/>
            <w:vAlign w:val="center"/>
            <w:hideMark/>
          </w:tcPr>
          <w:p w14:paraId="4898FFE6" w14:textId="77777777" w:rsidR="004F0EB0" w:rsidRPr="0003506A" w:rsidRDefault="004F0EB0" w:rsidP="00C41A2C">
            <w:pPr>
              <w:rPr>
                <w:rFonts w:cs="Times New Roman"/>
                <w:sz w:val="20"/>
                <w:szCs w:val="20"/>
              </w:rPr>
            </w:pPr>
            <w:r w:rsidRPr="0003506A">
              <w:rPr>
                <w:rFonts w:cs="Times New Roman"/>
                <w:sz w:val="20"/>
                <w:szCs w:val="20"/>
              </w:rPr>
              <w:t>∆ AIC</w:t>
            </w:r>
          </w:p>
        </w:tc>
        <w:tc>
          <w:tcPr>
            <w:tcW w:w="2160" w:type="dxa"/>
            <w:gridSpan w:val="3"/>
            <w:tcBorders>
              <w:top w:val="nil"/>
              <w:left w:val="single" w:sz="4" w:space="0" w:color="auto"/>
              <w:bottom w:val="single" w:sz="4" w:space="0" w:color="auto"/>
              <w:right w:val="single" w:sz="4" w:space="0" w:color="auto"/>
            </w:tcBorders>
            <w:noWrap/>
            <w:vAlign w:val="center"/>
            <w:hideMark/>
          </w:tcPr>
          <w:p w14:paraId="309DFFC9" w14:textId="77777777" w:rsidR="004F0EB0" w:rsidRPr="0003506A" w:rsidRDefault="004F0EB0" w:rsidP="00C41A2C">
            <w:pPr>
              <w:jc w:val="center"/>
              <w:rPr>
                <w:rFonts w:cs="Times New Roman"/>
                <w:sz w:val="20"/>
                <w:szCs w:val="20"/>
              </w:rPr>
            </w:pPr>
            <w:r w:rsidRPr="0003506A">
              <w:rPr>
                <w:rFonts w:cs="Times New Roman"/>
                <w:sz w:val="20"/>
                <w:szCs w:val="20"/>
              </w:rPr>
              <w:t>-1</w:t>
            </w:r>
            <w:r>
              <w:rPr>
                <w:rFonts w:cs="Times New Roman"/>
                <w:sz w:val="20"/>
                <w:szCs w:val="20"/>
              </w:rPr>
              <w:t>,</w:t>
            </w:r>
            <w:r w:rsidRPr="0003506A">
              <w:rPr>
                <w:rFonts w:cs="Times New Roman"/>
                <w:sz w:val="20"/>
                <w:szCs w:val="20"/>
              </w:rPr>
              <w:t>095</w:t>
            </w:r>
            <w:r>
              <w:rPr>
                <w:rFonts w:cs="Times New Roman"/>
                <w:sz w:val="20"/>
                <w:szCs w:val="20"/>
              </w:rPr>
              <w:t>,571</w:t>
            </w:r>
          </w:p>
        </w:tc>
        <w:tc>
          <w:tcPr>
            <w:tcW w:w="2153" w:type="dxa"/>
            <w:gridSpan w:val="3"/>
            <w:tcBorders>
              <w:top w:val="nil"/>
              <w:left w:val="single" w:sz="4" w:space="0" w:color="auto"/>
              <w:bottom w:val="single" w:sz="4" w:space="0" w:color="auto"/>
              <w:right w:val="single" w:sz="4" w:space="0" w:color="auto"/>
            </w:tcBorders>
            <w:noWrap/>
            <w:vAlign w:val="center"/>
            <w:hideMark/>
          </w:tcPr>
          <w:p w14:paraId="386A84B5" w14:textId="77777777" w:rsidR="004F0EB0" w:rsidRPr="0003506A" w:rsidRDefault="004F0EB0" w:rsidP="00C41A2C">
            <w:pPr>
              <w:jc w:val="center"/>
              <w:rPr>
                <w:rFonts w:cs="Times New Roman"/>
                <w:sz w:val="20"/>
                <w:szCs w:val="20"/>
              </w:rPr>
            </w:pPr>
            <w:r w:rsidRPr="0003506A">
              <w:rPr>
                <w:rFonts w:cs="Times New Roman"/>
                <w:sz w:val="20"/>
                <w:szCs w:val="20"/>
              </w:rPr>
              <w:t>-1</w:t>
            </w:r>
            <w:r>
              <w:rPr>
                <w:rFonts w:cs="Times New Roman"/>
                <w:sz w:val="20"/>
                <w:szCs w:val="20"/>
              </w:rPr>
              <w:t>,</w:t>
            </w:r>
            <w:r w:rsidRPr="0003506A">
              <w:rPr>
                <w:rFonts w:cs="Times New Roman"/>
                <w:sz w:val="20"/>
                <w:szCs w:val="20"/>
              </w:rPr>
              <w:t>101</w:t>
            </w:r>
            <w:r>
              <w:rPr>
                <w:rFonts w:cs="Times New Roman"/>
                <w:sz w:val="20"/>
                <w:szCs w:val="20"/>
              </w:rPr>
              <w:t>,585</w:t>
            </w:r>
          </w:p>
        </w:tc>
        <w:tc>
          <w:tcPr>
            <w:tcW w:w="2167" w:type="dxa"/>
            <w:gridSpan w:val="3"/>
            <w:tcBorders>
              <w:top w:val="nil"/>
              <w:left w:val="single" w:sz="4" w:space="0" w:color="auto"/>
              <w:bottom w:val="single" w:sz="4" w:space="0" w:color="auto"/>
              <w:right w:val="single" w:sz="4" w:space="0" w:color="auto"/>
            </w:tcBorders>
            <w:noWrap/>
            <w:vAlign w:val="center"/>
            <w:hideMark/>
          </w:tcPr>
          <w:p w14:paraId="6971E08E" w14:textId="77777777" w:rsidR="004F0EB0" w:rsidRPr="0003506A" w:rsidRDefault="004F0EB0" w:rsidP="00C41A2C">
            <w:pPr>
              <w:jc w:val="center"/>
              <w:rPr>
                <w:rFonts w:cs="Times New Roman"/>
                <w:sz w:val="20"/>
                <w:szCs w:val="20"/>
              </w:rPr>
            </w:pPr>
            <w:r w:rsidRPr="0003506A">
              <w:rPr>
                <w:rFonts w:cs="Times New Roman"/>
                <w:sz w:val="20"/>
                <w:szCs w:val="20"/>
              </w:rPr>
              <w:t>-1</w:t>
            </w:r>
            <w:r>
              <w:rPr>
                <w:rFonts w:cs="Times New Roman"/>
                <w:sz w:val="20"/>
                <w:szCs w:val="20"/>
              </w:rPr>
              <w:t>,</w:t>
            </w:r>
            <w:r w:rsidRPr="0003506A">
              <w:rPr>
                <w:rFonts w:cs="Times New Roman"/>
                <w:sz w:val="20"/>
                <w:szCs w:val="20"/>
              </w:rPr>
              <w:t>095</w:t>
            </w:r>
            <w:r>
              <w:rPr>
                <w:rFonts w:cs="Times New Roman"/>
                <w:sz w:val="20"/>
                <w:szCs w:val="20"/>
              </w:rPr>
              <w:t>,571</w:t>
            </w:r>
          </w:p>
        </w:tc>
        <w:tc>
          <w:tcPr>
            <w:tcW w:w="2153" w:type="dxa"/>
            <w:gridSpan w:val="3"/>
            <w:tcBorders>
              <w:top w:val="nil"/>
              <w:left w:val="single" w:sz="4" w:space="0" w:color="auto"/>
              <w:bottom w:val="single" w:sz="4" w:space="0" w:color="auto"/>
              <w:right w:val="nil"/>
            </w:tcBorders>
            <w:noWrap/>
            <w:vAlign w:val="center"/>
            <w:hideMark/>
          </w:tcPr>
          <w:p w14:paraId="50C08865" w14:textId="77777777" w:rsidR="004F0EB0" w:rsidRPr="0003506A" w:rsidRDefault="004F0EB0" w:rsidP="00C41A2C">
            <w:pPr>
              <w:jc w:val="center"/>
              <w:rPr>
                <w:rFonts w:cs="Times New Roman"/>
                <w:sz w:val="20"/>
                <w:szCs w:val="20"/>
              </w:rPr>
            </w:pPr>
            <w:r>
              <w:rPr>
                <w:rFonts w:cs="Times New Roman"/>
                <w:sz w:val="20"/>
                <w:szCs w:val="20"/>
              </w:rPr>
              <w:t>-1,103,073</w:t>
            </w:r>
          </w:p>
        </w:tc>
      </w:tr>
    </w:tbl>
    <w:p w14:paraId="1D6F1C4A" w14:textId="061A6F6E" w:rsidR="004F0EB0" w:rsidRDefault="004F0EB0" w:rsidP="004F0EB0">
      <w:pPr>
        <w:tabs>
          <w:tab w:val="left" w:pos="180"/>
        </w:tabs>
        <w:ind w:left="180" w:firstLine="540"/>
        <w:rPr>
          <w:sz w:val="20"/>
          <w:szCs w:val="20"/>
        </w:rPr>
      </w:pPr>
      <w:r w:rsidRPr="0003506A">
        <w:rPr>
          <w:sz w:val="20"/>
          <w:szCs w:val="20"/>
        </w:rPr>
        <w:t>Note: *p&lt;0.05; **p&lt;0.01; ***p&lt;0.001</w:t>
      </w:r>
      <w:r>
        <w:rPr>
          <w:sz w:val="20"/>
          <w:szCs w:val="20"/>
        </w:rPr>
        <w:t xml:space="preserve">; </w:t>
      </w:r>
      <w:r w:rsidRPr="0003506A">
        <w:rPr>
          <w:rFonts w:cs="Times New Roman"/>
          <w:sz w:val="20"/>
          <w:szCs w:val="20"/>
        </w:rPr>
        <w:t>∆ AIC</w:t>
      </w:r>
      <w:r w:rsidRPr="0003506A">
        <w:rPr>
          <w:sz w:val="20"/>
          <w:szCs w:val="20"/>
        </w:rPr>
        <w:t xml:space="preserve"> </w:t>
      </w:r>
      <w:r>
        <w:rPr>
          <w:sz w:val="20"/>
          <w:szCs w:val="20"/>
        </w:rPr>
        <w:t>indicates the decrease in AIC when compared to the empty model.</w:t>
      </w:r>
    </w:p>
    <w:p w14:paraId="3F317DF1" w14:textId="77777777" w:rsidR="004F0EB0" w:rsidRDefault="004F0EB0">
      <w:pPr>
        <w:rPr>
          <w:sz w:val="20"/>
          <w:szCs w:val="20"/>
        </w:rPr>
      </w:pPr>
      <w:r>
        <w:rPr>
          <w:sz w:val="20"/>
          <w:szCs w:val="20"/>
        </w:rPr>
        <w:br w:type="page"/>
      </w:r>
    </w:p>
    <w:p w14:paraId="061F1102" w14:textId="77777777" w:rsidR="004F0EB0" w:rsidRDefault="004F0EB0" w:rsidP="004F0EB0">
      <w:pPr>
        <w:jc w:val="center"/>
        <w:rPr>
          <w:rFonts w:cs="Times New Roman"/>
          <w:b/>
        </w:rPr>
      </w:pPr>
      <w:r w:rsidRPr="00BD1B09">
        <w:rPr>
          <w:rFonts w:cs="Times New Roman"/>
          <w:b/>
        </w:rPr>
        <w:lastRenderedPageBreak/>
        <w:t xml:space="preserve">Table </w:t>
      </w:r>
      <w:r>
        <w:rPr>
          <w:rFonts w:cs="Times New Roman"/>
          <w:b/>
        </w:rPr>
        <w:t>3</w:t>
      </w:r>
      <w:r w:rsidRPr="00BD1B09">
        <w:rPr>
          <w:rFonts w:cs="Times New Roman"/>
          <w:b/>
        </w:rPr>
        <w:t>. Determinants of preferential vote</w:t>
      </w:r>
      <w:r>
        <w:rPr>
          <w:rFonts w:cs="Times New Roman"/>
          <w:b/>
        </w:rPr>
        <w:t xml:space="preserve"> with the dichotomous </w:t>
      </w:r>
      <w:r w:rsidRPr="00891315">
        <w:rPr>
          <w:rFonts w:cs="Times New Roman"/>
          <w:b/>
          <w:i/>
        </w:rPr>
        <w:t>Combat veteran</w:t>
      </w:r>
      <w:r>
        <w:rPr>
          <w:rFonts w:cs="Times New Roman"/>
          <w:b/>
        </w:rPr>
        <w:t xml:space="preserve"> as an explanatory variable </w:t>
      </w:r>
    </w:p>
    <w:p w14:paraId="70DC2136" w14:textId="77777777" w:rsidR="004F0EB0" w:rsidRPr="00D134E4" w:rsidRDefault="004F0EB0" w:rsidP="004F0EB0">
      <w:pPr>
        <w:jc w:val="center"/>
        <w:rPr>
          <w:rFonts w:cs="Times New Roman"/>
          <w:b/>
        </w:rPr>
      </w:pPr>
    </w:p>
    <w:tbl>
      <w:tblPr>
        <w:tblW w:w="0" w:type="auto"/>
        <w:jc w:val="center"/>
        <w:tblLook w:val="04A0" w:firstRow="1" w:lastRow="0" w:firstColumn="1" w:lastColumn="0" w:noHBand="0" w:noVBand="1"/>
      </w:tblPr>
      <w:tblGrid>
        <w:gridCol w:w="4121"/>
        <w:gridCol w:w="850"/>
        <w:gridCol w:w="783"/>
        <w:gridCol w:w="533"/>
        <w:gridCol w:w="850"/>
        <w:gridCol w:w="783"/>
        <w:gridCol w:w="533"/>
        <w:gridCol w:w="850"/>
        <w:gridCol w:w="783"/>
        <w:gridCol w:w="533"/>
        <w:gridCol w:w="850"/>
        <w:gridCol w:w="783"/>
        <w:gridCol w:w="533"/>
      </w:tblGrid>
      <w:tr w:rsidR="004F0EB0" w:rsidRPr="00D134E4" w14:paraId="225B485A" w14:textId="77777777" w:rsidTr="00C41A2C">
        <w:trPr>
          <w:trHeight w:val="288"/>
          <w:jc w:val="center"/>
        </w:trPr>
        <w:tc>
          <w:tcPr>
            <w:tcW w:w="0" w:type="auto"/>
            <w:tcBorders>
              <w:top w:val="single" w:sz="8" w:space="0" w:color="auto"/>
              <w:left w:val="nil"/>
              <w:bottom w:val="nil"/>
              <w:right w:val="single" w:sz="8" w:space="0" w:color="auto"/>
            </w:tcBorders>
            <w:shd w:val="clear" w:color="auto" w:fill="auto"/>
            <w:noWrap/>
            <w:vAlign w:val="center"/>
            <w:hideMark/>
          </w:tcPr>
          <w:p w14:paraId="47F30A41"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gridSpan w:val="3"/>
            <w:tcBorders>
              <w:top w:val="single" w:sz="8" w:space="0" w:color="auto"/>
              <w:left w:val="nil"/>
              <w:bottom w:val="nil"/>
              <w:right w:val="single" w:sz="8" w:space="0" w:color="000000"/>
            </w:tcBorders>
            <w:shd w:val="clear" w:color="auto" w:fill="auto"/>
            <w:noWrap/>
            <w:vAlign w:val="center"/>
            <w:hideMark/>
          </w:tcPr>
          <w:p w14:paraId="51DD405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Model 1</w:t>
            </w:r>
          </w:p>
        </w:tc>
        <w:tc>
          <w:tcPr>
            <w:tcW w:w="0" w:type="auto"/>
            <w:gridSpan w:val="3"/>
            <w:tcBorders>
              <w:top w:val="single" w:sz="8" w:space="0" w:color="auto"/>
              <w:left w:val="nil"/>
              <w:bottom w:val="nil"/>
              <w:right w:val="single" w:sz="8" w:space="0" w:color="000000"/>
            </w:tcBorders>
            <w:shd w:val="clear" w:color="auto" w:fill="auto"/>
            <w:noWrap/>
            <w:vAlign w:val="center"/>
            <w:hideMark/>
          </w:tcPr>
          <w:p w14:paraId="2FFA5CEA"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Model 2</w:t>
            </w:r>
          </w:p>
        </w:tc>
        <w:tc>
          <w:tcPr>
            <w:tcW w:w="0" w:type="auto"/>
            <w:gridSpan w:val="3"/>
            <w:tcBorders>
              <w:top w:val="single" w:sz="8" w:space="0" w:color="auto"/>
              <w:left w:val="nil"/>
              <w:bottom w:val="nil"/>
              <w:right w:val="single" w:sz="8" w:space="0" w:color="000000"/>
            </w:tcBorders>
            <w:shd w:val="clear" w:color="auto" w:fill="auto"/>
            <w:noWrap/>
            <w:vAlign w:val="center"/>
            <w:hideMark/>
          </w:tcPr>
          <w:p w14:paraId="32CB5AE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Model 3</w:t>
            </w:r>
          </w:p>
        </w:tc>
        <w:tc>
          <w:tcPr>
            <w:tcW w:w="0" w:type="auto"/>
            <w:gridSpan w:val="3"/>
            <w:tcBorders>
              <w:top w:val="single" w:sz="8" w:space="0" w:color="auto"/>
              <w:left w:val="nil"/>
              <w:bottom w:val="nil"/>
              <w:right w:val="nil"/>
            </w:tcBorders>
            <w:shd w:val="clear" w:color="auto" w:fill="auto"/>
            <w:noWrap/>
            <w:vAlign w:val="center"/>
            <w:hideMark/>
          </w:tcPr>
          <w:p w14:paraId="3E6ACD8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Model 4</w:t>
            </w:r>
          </w:p>
        </w:tc>
      </w:tr>
      <w:tr w:rsidR="004F0EB0" w:rsidRPr="00D134E4" w14:paraId="71434DCC" w14:textId="77777777" w:rsidTr="00C41A2C">
        <w:trPr>
          <w:trHeight w:val="288"/>
          <w:jc w:val="center"/>
        </w:trPr>
        <w:tc>
          <w:tcPr>
            <w:tcW w:w="0" w:type="auto"/>
            <w:tcBorders>
              <w:top w:val="nil"/>
              <w:left w:val="nil"/>
              <w:bottom w:val="single" w:sz="8" w:space="0" w:color="auto"/>
              <w:right w:val="single" w:sz="8" w:space="0" w:color="auto"/>
            </w:tcBorders>
            <w:shd w:val="clear" w:color="auto" w:fill="auto"/>
            <w:noWrap/>
            <w:vAlign w:val="center"/>
            <w:hideMark/>
          </w:tcPr>
          <w:p w14:paraId="22F360CA"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single" w:sz="8" w:space="0" w:color="auto"/>
              <w:right w:val="nil"/>
            </w:tcBorders>
            <w:shd w:val="clear" w:color="auto" w:fill="auto"/>
            <w:noWrap/>
            <w:vAlign w:val="center"/>
            <w:hideMark/>
          </w:tcPr>
          <w:p w14:paraId="6DD4F2C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B</w:t>
            </w:r>
          </w:p>
        </w:tc>
        <w:tc>
          <w:tcPr>
            <w:tcW w:w="0" w:type="auto"/>
            <w:tcBorders>
              <w:top w:val="nil"/>
              <w:left w:val="nil"/>
              <w:bottom w:val="single" w:sz="8" w:space="0" w:color="auto"/>
              <w:right w:val="nil"/>
            </w:tcBorders>
            <w:shd w:val="clear" w:color="auto" w:fill="auto"/>
            <w:noWrap/>
            <w:vAlign w:val="center"/>
            <w:hideMark/>
          </w:tcPr>
          <w:p w14:paraId="1D72D4D9"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S.E.</w:t>
            </w:r>
          </w:p>
        </w:tc>
        <w:tc>
          <w:tcPr>
            <w:tcW w:w="0" w:type="auto"/>
            <w:tcBorders>
              <w:top w:val="nil"/>
              <w:left w:val="nil"/>
              <w:bottom w:val="single" w:sz="8" w:space="0" w:color="auto"/>
              <w:right w:val="single" w:sz="8" w:space="0" w:color="auto"/>
            </w:tcBorders>
            <w:shd w:val="clear" w:color="auto" w:fill="auto"/>
            <w:noWrap/>
            <w:vAlign w:val="center"/>
            <w:hideMark/>
          </w:tcPr>
          <w:p w14:paraId="595C5BC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Sig.</w:t>
            </w:r>
          </w:p>
        </w:tc>
        <w:tc>
          <w:tcPr>
            <w:tcW w:w="0" w:type="auto"/>
            <w:tcBorders>
              <w:top w:val="nil"/>
              <w:left w:val="nil"/>
              <w:bottom w:val="single" w:sz="8" w:space="0" w:color="auto"/>
              <w:right w:val="nil"/>
            </w:tcBorders>
            <w:shd w:val="clear" w:color="auto" w:fill="auto"/>
            <w:noWrap/>
            <w:vAlign w:val="center"/>
            <w:hideMark/>
          </w:tcPr>
          <w:p w14:paraId="4739BE0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B</w:t>
            </w:r>
          </w:p>
        </w:tc>
        <w:tc>
          <w:tcPr>
            <w:tcW w:w="0" w:type="auto"/>
            <w:tcBorders>
              <w:top w:val="nil"/>
              <w:left w:val="nil"/>
              <w:bottom w:val="single" w:sz="8" w:space="0" w:color="auto"/>
              <w:right w:val="nil"/>
            </w:tcBorders>
            <w:shd w:val="clear" w:color="auto" w:fill="auto"/>
            <w:noWrap/>
            <w:vAlign w:val="center"/>
            <w:hideMark/>
          </w:tcPr>
          <w:p w14:paraId="0D3CF3F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S.E.</w:t>
            </w:r>
          </w:p>
        </w:tc>
        <w:tc>
          <w:tcPr>
            <w:tcW w:w="0" w:type="auto"/>
            <w:tcBorders>
              <w:top w:val="nil"/>
              <w:left w:val="nil"/>
              <w:bottom w:val="single" w:sz="8" w:space="0" w:color="auto"/>
              <w:right w:val="single" w:sz="8" w:space="0" w:color="auto"/>
            </w:tcBorders>
            <w:shd w:val="clear" w:color="auto" w:fill="auto"/>
            <w:noWrap/>
            <w:vAlign w:val="center"/>
            <w:hideMark/>
          </w:tcPr>
          <w:p w14:paraId="7668B64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Sig.</w:t>
            </w:r>
          </w:p>
        </w:tc>
        <w:tc>
          <w:tcPr>
            <w:tcW w:w="0" w:type="auto"/>
            <w:tcBorders>
              <w:top w:val="nil"/>
              <w:left w:val="nil"/>
              <w:bottom w:val="single" w:sz="8" w:space="0" w:color="auto"/>
              <w:right w:val="nil"/>
            </w:tcBorders>
            <w:shd w:val="clear" w:color="auto" w:fill="auto"/>
            <w:noWrap/>
            <w:vAlign w:val="center"/>
            <w:hideMark/>
          </w:tcPr>
          <w:p w14:paraId="2A26AB2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B</w:t>
            </w:r>
          </w:p>
        </w:tc>
        <w:tc>
          <w:tcPr>
            <w:tcW w:w="0" w:type="auto"/>
            <w:tcBorders>
              <w:top w:val="nil"/>
              <w:left w:val="nil"/>
              <w:bottom w:val="single" w:sz="8" w:space="0" w:color="auto"/>
              <w:right w:val="nil"/>
            </w:tcBorders>
            <w:shd w:val="clear" w:color="auto" w:fill="auto"/>
            <w:noWrap/>
            <w:vAlign w:val="center"/>
            <w:hideMark/>
          </w:tcPr>
          <w:p w14:paraId="288192E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S.E.</w:t>
            </w:r>
          </w:p>
        </w:tc>
        <w:tc>
          <w:tcPr>
            <w:tcW w:w="0" w:type="auto"/>
            <w:tcBorders>
              <w:top w:val="nil"/>
              <w:left w:val="nil"/>
              <w:bottom w:val="single" w:sz="8" w:space="0" w:color="auto"/>
              <w:right w:val="single" w:sz="8" w:space="0" w:color="auto"/>
            </w:tcBorders>
            <w:shd w:val="clear" w:color="auto" w:fill="auto"/>
            <w:noWrap/>
            <w:vAlign w:val="center"/>
            <w:hideMark/>
          </w:tcPr>
          <w:p w14:paraId="0DEE3CB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Sig.</w:t>
            </w:r>
          </w:p>
        </w:tc>
        <w:tc>
          <w:tcPr>
            <w:tcW w:w="0" w:type="auto"/>
            <w:tcBorders>
              <w:top w:val="nil"/>
              <w:left w:val="nil"/>
              <w:bottom w:val="single" w:sz="8" w:space="0" w:color="auto"/>
              <w:right w:val="nil"/>
            </w:tcBorders>
            <w:shd w:val="clear" w:color="auto" w:fill="auto"/>
            <w:noWrap/>
            <w:vAlign w:val="center"/>
            <w:hideMark/>
          </w:tcPr>
          <w:p w14:paraId="079B9E7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B</w:t>
            </w:r>
          </w:p>
        </w:tc>
        <w:tc>
          <w:tcPr>
            <w:tcW w:w="0" w:type="auto"/>
            <w:tcBorders>
              <w:top w:val="nil"/>
              <w:left w:val="nil"/>
              <w:bottom w:val="single" w:sz="8" w:space="0" w:color="auto"/>
              <w:right w:val="nil"/>
            </w:tcBorders>
            <w:shd w:val="clear" w:color="auto" w:fill="auto"/>
            <w:noWrap/>
            <w:vAlign w:val="center"/>
            <w:hideMark/>
          </w:tcPr>
          <w:p w14:paraId="781BAD6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S.E.</w:t>
            </w:r>
          </w:p>
        </w:tc>
        <w:tc>
          <w:tcPr>
            <w:tcW w:w="0" w:type="auto"/>
            <w:tcBorders>
              <w:top w:val="nil"/>
              <w:left w:val="nil"/>
              <w:bottom w:val="single" w:sz="8" w:space="0" w:color="auto"/>
              <w:right w:val="nil"/>
            </w:tcBorders>
            <w:shd w:val="clear" w:color="auto" w:fill="auto"/>
            <w:noWrap/>
            <w:vAlign w:val="center"/>
            <w:hideMark/>
          </w:tcPr>
          <w:p w14:paraId="58D7FE4A"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Sig.</w:t>
            </w:r>
          </w:p>
        </w:tc>
      </w:tr>
      <w:tr w:rsidR="004F0EB0" w:rsidRPr="00D134E4" w14:paraId="330DF802"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3E0C810C"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Combat veteran</w:t>
            </w:r>
          </w:p>
        </w:tc>
        <w:tc>
          <w:tcPr>
            <w:tcW w:w="0" w:type="auto"/>
            <w:tcBorders>
              <w:top w:val="nil"/>
              <w:left w:val="nil"/>
              <w:bottom w:val="nil"/>
              <w:right w:val="nil"/>
            </w:tcBorders>
            <w:shd w:val="clear" w:color="auto" w:fill="auto"/>
            <w:noWrap/>
            <w:vAlign w:val="center"/>
            <w:hideMark/>
          </w:tcPr>
          <w:p w14:paraId="00BF7F9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0.06</w:t>
            </w:r>
          </w:p>
        </w:tc>
        <w:tc>
          <w:tcPr>
            <w:tcW w:w="0" w:type="auto"/>
            <w:tcBorders>
              <w:top w:val="nil"/>
              <w:left w:val="nil"/>
              <w:bottom w:val="nil"/>
              <w:right w:val="nil"/>
            </w:tcBorders>
            <w:shd w:val="clear" w:color="auto" w:fill="auto"/>
            <w:noWrap/>
            <w:vAlign w:val="center"/>
            <w:hideMark/>
          </w:tcPr>
          <w:p w14:paraId="4D8F136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0.02</w:t>
            </w:r>
          </w:p>
        </w:tc>
        <w:tc>
          <w:tcPr>
            <w:tcW w:w="0" w:type="auto"/>
            <w:tcBorders>
              <w:top w:val="nil"/>
              <w:left w:val="nil"/>
              <w:bottom w:val="nil"/>
              <w:right w:val="single" w:sz="8" w:space="0" w:color="auto"/>
            </w:tcBorders>
            <w:shd w:val="clear" w:color="auto" w:fill="auto"/>
            <w:noWrap/>
            <w:vAlign w:val="center"/>
            <w:hideMark/>
          </w:tcPr>
          <w:p w14:paraId="04E85C2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6124A55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-0.05</w:t>
            </w:r>
          </w:p>
        </w:tc>
        <w:tc>
          <w:tcPr>
            <w:tcW w:w="0" w:type="auto"/>
            <w:tcBorders>
              <w:top w:val="nil"/>
              <w:left w:val="nil"/>
              <w:bottom w:val="nil"/>
              <w:right w:val="nil"/>
            </w:tcBorders>
            <w:shd w:val="clear" w:color="auto" w:fill="auto"/>
            <w:noWrap/>
            <w:vAlign w:val="center"/>
            <w:hideMark/>
          </w:tcPr>
          <w:p w14:paraId="55E75AD6"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0.02</w:t>
            </w:r>
          </w:p>
        </w:tc>
        <w:tc>
          <w:tcPr>
            <w:tcW w:w="0" w:type="auto"/>
            <w:tcBorders>
              <w:top w:val="nil"/>
              <w:left w:val="nil"/>
              <w:bottom w:val="nil"/>
              <w:right w:val="single" w:sz="8" w:space="0" w:color="auto"/>
            </w:tcBorders>
            <w:shd w:val="clear" w:color="auto" w:fill="auto"/>
            <w:noWrap/>
            <w:vAlign w:val="center"/>
            <w:hideMark/>
          </w:tcPr>
          <w:p w14:paraId="27949CF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0B572FD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nil"/>
            </w:tcBorders>
            <w:shd w:val="clear" w:color="auto" w:fill="auto"/>
            <w:noWrap/>
            <w:vAlign w:val="center"/>
            <w:hideMark/>
          </w:tcPr>
          <w:p w14:paraId="2AD2F8B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single" w:sz="8" w:space="0" w:color="auto"/>
            </w:tcBorders>
            <w:shd w:val="clear" w:color="auto" w:fill="auto"/>
            <w:noWrap/>
            <w:vAlign w:val="center"/>
            <w:hideMark/>
          </w:tcPr>
          <w:p w14:paraId="7A9D35E3"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xml:space="preserve">   </w:t>
            </w:r>
          </w:p>
        </w:tc>
        <w:tc>
          <w:tcPr>
            <w:tcW w:w="0" w:type="auto"/>
            <w:tcBorders>
              <w:top w:val="nil"/>
              <w:left w:val="nil"/>
              <w:bottom w:val="nil"/>
              <w:right w:val="nil"/>
            </w:tcBorders>
            <w:shd w:val="clear" w:color="auto" w:fill="auto"/>
            <w:noWrap/>
            <w:vAlign w:val="center"/>
            <w:hideMark/>
          </w:tcPr>
          <w:p w14:paraId="7C292D6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52BF2CC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nil"/>
            </w:tcBorders>
            <w:shd w:val="clear" w:color="auto" w:fill="auto"/>
            <w:noWrap/>
            <w:vAlign w:val="center"/>
            <w:hideMark/>
          </w:tcPr>
          <w:p w14:paraId="0B255A83"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xml:space="preserve">   </w:t>
            </w:r>
          </w:p>
        </w:tc>
      </w:tr>
      <w:tr w:rsidR="004F0EB0" w:rsidRPr="00D134E4" w14:paraId="02B55FCB"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39F022D8"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Gender</w:t>
            </w:r>
          </w:p>
        </w:tc>
        <w:tc>
          <w:tcPr>
            <w:tcW w:w="0" w:type="auto"/>
            <w:tcBorders>
              <w:top w:val="nil"/>
              <w:left w:val="nil"/>
              <w:bottom w:val="nil"/>
              <w:right w:val="nil"/>
            </w:tcBorders>
            <w:shd w:val="clear" w:color="auto" w:fill="auto"/>
            <w:noWrap/>
            <w:vAlign w:val="center"/>
            <w:hideMark/>
          </w:tcPr>
          <w:p w14:paraId="4C75823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5310AE2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single" w:sz="8" w:space="0" w:color="auto"/>
            </w:tcBorders>
            <w:shd w:val="clear" w:color="auto" w:fill="auto"/>
            <w:noWrap/>
            <w:vAlign w:val="center"/>
            <w:hideMark/>
          </w:tcPr>
          <w:p w14:paraId="41F6D169"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xml:space="preserve">*  </w:t>
            </w:r>
          </w:p>
        </w:tc>
        <w:tc>
          <w:tcPr>
            <w:tcW w:w="0" w:type="auto"/>
            <w:tcBorders>
              <w:top w:val="nil"/>
              <w:left w:val="nil"/>
              <w:bottom w:val="nil"/>
              <w:right w:val="nil"/>
            </w:tcBorders>
            <w:shd w:val="clear" w:color="auto" w:fill="auto"/>
            <w:noWrap/>
            <w:vAlign w:val="center"/>
            <w:hideMark/>
          </w:tcPr>
          <w:p w14:paraId="34CC738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2279A9D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single" w:sz="8" w:space="0" w:color="auto"/>
            </w:tcBorders>
            <w:shd w:val="clear" w:color="auto" w:fill="auto"/>
            <w:noWrap/>
            <w:vAlign w:val="center"/>
            <w:hideMark/>
          </w:tcPr>
          <w:p w14:paraId="30763B4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xml:space="preserve">* </w:t>
            </w:r>
          </w:p>
        </w:tc>
        <w:tc>
          <w:tcPr>
            <w:tcW w:w="0" w:type="auto"/>
            <w:tcBorders>
              <w:top w:val="nil"/>
              <w:left w:val="nil"/>
              <w:bottom w:val="nil"/>
              <w:right w:val="nil"/>
            </w:tcBorders>
            <w:shd w:val="clear" w:color="auto" w:fill="auto"/>
            <w:noWrap/>
            <w:vAlign w:val="center"/>
            <w:hideMark/>
          </w:tcPr>
          <w:p w14:paraId="42CC20C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2C11546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single" w:sz="8" w:space="0" w:color="auto"/>
            </w:tcBorders>
            <w:shd w:val="clear" w:color="auto" w:fill="auto"/>
            <w:noWrap/>
            <w:vAlign w:val="center"/>
            <w:hideMark/>
          </w:tcPr>
          <w:p w14:paraId="2FE0719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xml:space="preserve">*  </w:t>
            </w:r>
          </w:p>
        </w:tc>
        <w:tc>
          <w:tcPr>
            <w:tcW w:w="0" w:type="auto"/>
            <w:tcBorders>
              <w:top w:val="nil"/>
              <w:left w:val="nil"/>
              <w:bottom w:val="nil"/>
              <w:right w:val="nil"/>
            </w:tcBorders>
            <w:shd w:val="clear" w:color="auto" w:fill="auto"/>
            <w:noWrap/>
            <w:vAlign w:val="center"/>
            <w:hideMark/>
          </w:tcPr>
          <w:p w14:paraId="5071F309"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3E8589E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nil"/>
            </w:tcBorders>
            <w:shd w:val="clear" w:color="auto" w:fill="auto"/>
            <w:noWrap/>
            <w:vAlign w:val="center"/>
            <w:hideMark/>
          </w:tcPr>
          <w:p w14:paraId="2408DA8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xml:space="preserve">*  </w:t>
            </w:r>
          </w:p>
        </w:tc>
      </w:tr>
      <w:tr w:rsidR="004F0EB0" w:rsidRPr="00D134E4" w14:paraId="0CBBD7D9"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032898EF"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Age</w:t>
            </w:r>
          </w:p>
        </w:tc>
        <w:tc>
          <w:tcPr>
            <w:tcW w:w="0" w:type="auto"/>
            <w:tcBorders>
              <w:top w:val="nil"/>
              <w:left w:val="nil"/>
              <w:bottom w:val="nil"/>
              <w:right w:val="nil"/>
            </w:tcBorders>
            <w:shd w:val="clear" w:color="auto" w:fill="auto"/>
            <w:noWrap/>
            <w:vAlign w:val="center"/>
            <w:hideMark/>
          </w:tcPr>
          <w:p w14:paraId="477FC66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-6x10-3</w:t>
            </w:r>
          </w:p>
        </w:tc>
        <w:tc>
          <w:tcPr>
            <w:tcW w:w="0" w:type="auto"/>
            <w:tcBorders>
              <w:top w:val="nil"/>
              <w:left w:val="nil"/>
              <w:bottom w:val="nil"/>
              <w:right w:val="nil"/>
            </w:tcBorders>
            <w:shd w:val="clear" w:color="auto" w:fill="auto"/>
            <w:noWrap/>
            <w:vAlign w:val="center"/>
            <w:hideMark/>
          </w:tcPr>
          <w:p w14:paraId="0BEBCD30"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3x10-3</w:t>
            </w:r>
          </w:p>
        </w:tc>
        <w:tc>
          <w:tcPr>
            <w:tcW w:w="0" w:type="auto"/>
            <w:tcBorders>
              <w:top w:val="nil"/>
              <w:left w:val="nil"/>
              <w:bottom w:val="nil"/>
              <w:right w:val="single" w:sz="8" w:space="0" w:color="auto"/>
            </w:tcBorders>
            <w:shd w:val="clear" w:color="auto" w:fill="auto"/>
            <w:noWrap/>
            <w:vAlign w:val="center"/>
            <w:hideMark/>
          </w:tcPr>
          <w:p w14:paraId="702B5FD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4B09685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-7x10-3</w:t>
            </w:r>
          </w:p>
        </w:tc>
        <w:tc>
          <w:tcPr>
            <w:tcW w:w="0" w:type="auto"/>
            <w:tcBorders>
              <w:top w:val="nil"/>
              <w:left w:val="nil"/>
              <w:bottom w:val="nil"/>
              <w:right w:val="nil"/>
            </w:tcBorders>
            <w:shd w:val="clear" w:color="auto" w:fill="auto"/>
            <w:noWrap/>
            <w:vAlign w:val="center"/>
            <w:hideMark/>
          </w:tcPr>
          <w:p w14:paraId="42F3CCC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3x10-3</w:t>
            </w:r>
          </w:p>
        </w:tc>
        <w:tc>
          <w:tcPr>
            <w:tcW w:w="0" w:type="auto"/>
            <w:tcBorders>
              <w:top w:val="nil"/>
              <w:left w:val="nil"/>
              <w:bottom w:val="nil"/>
              <w:right w:val="single" w:sz="8" w:space="0" w:color="auto"/>
            </w:tcBorders>
            <w:shd w:val="clear" w:color="auto" w:fill="auto"/>
            <w:noWrap/>
            <w:vAlign w:val="center"/>
            <w:hideMark/>
          </w:tcPr>
          <w:p w14:paraId="1E03067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751B005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-6x10-3</w:t>
            </w:r>
          </w:p>
        </w:tc>
        <w:tc>
          <w:tcPr>
            <w:tcW w:w="0" w:type="auto"/>
            <w:tcBorders>
              <w:top w:val="nil"/>
              <w:left w:val="nil"/>
              <w:bottom w:val="nil"/>
              <w:right w:val="nil"/>
            </w:tcBorders>
            <w:shd w:val="clear" w:color="auto" w:fill="auto"/>
            <w:noWrap/>
            <w:vAlign w:val="center"/>
            <w:hideMark/>
          </w:tcPr>
          <w:p w14:paraId="27E88A3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3x10-3</w:t>
            </w:r>
          </w:p>
        </w:tc>
        <w:tc>
          <w:tcPr>
            <w:tcW w:w="0" w:type="auto"/>
            <w:tcBorders>
              <w:top w:val="nil"/>
              <w:left w:val="nil"/>
              <w:bottom w:val="nil"/>
              <w:right w:val="single" w:sz="8" w:space="0" w:color="auto"/>
            </w:tcBorders>
            <w:shd w:val="clear" w:color="auto" w:fill="auto"/>
            <w:noWrap/>
            <w:vAlign w:val="center"/>
            <w:hideMark/>
          </w:tcPr>
          <w:p w14:paraId="1F0AD81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7E11A799"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-6x10-3</w:t>
            </w:r>
          </w:p>
        </w:tc>
        <w:tc>
          <w:tcPr>
            <w:tcW w:w="0" w:type="auto"/>
            <w:tcBorders>
              <w:top w:val="nil"/>
              <w:left w:val="nil"/>
              <w:bottom w:val="nil"/>
              <w:right w:val="nil"/>
            </w:tcBorders>
            <w:shd w:val="clear" w:color="auto" w:fill="auto"/>
            <w:noWrap/>
            <w:vAlign w:val="center"/>
            <w:hideMark/>
          </w:tcPr>
          <w:p w14:paraId="06579B56"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3x10-3</w:t>
            </w:r>
          </w:p>
        </w:tc>
        <w:tc>
          <w:tcPr>
            <w:tcW w:w="0" w:type="auto"/>
            <w:tcBorders>
              <w:top w:val="nil"/>
              <w:left w:val="nil"/>
              <w:bottom w:val="nil"/>
              <w:right w:val="nil"/>
            </w:tcBorders>
            <w:shd w:val="clear" w:color="auto" w:fill="auto"/>
            <w:noWrap/>
            <w:vAlign w:val="center"/>
            <w:hideMark/>
          </w:tcPr>
          <w:p w14:paraId="69EEE45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02BAD5F4"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1D545050"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Age²</w:t>
            </w:r>
          </w:p>
        </w:tc>
        <w:tc>
          <w:tcPr>
            <w:tcW w:w="0" w:type="auto"/>
            <w:tcBorders>
              <w:top w:val="nil"/>
              <w:left w:val="nil"/>
              <w:bottom w:val="nil"/>
              <w:right w:val="nil"/>
            </w:tcBorders>
            <w:shd w:val="clear" w:color="auto" w:fill="auto"/>
            <w:noWrap/>
            <w:vAlign w:val="center"/>
            <w:hideMark/>
          </w:tcPr>
          <w:p w14:paraId="4699D48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5x10-5</w:t>
            </w:r>
          </w:p>
        </w:tc>
        <w:tc>
          <w:tcPr>
            <w:tcW w:w="0" w:type="auto"/>
            <w:tcBorders>
              <w:top w:val="nil"/>
              <w:left w:val="nil"/>
              <w:bottom w:val="nil"/>
              <w:right w:val="nil"/>
            </w:tcBorders>
            <w:shd w:val="clear" w:color="auto" w:fill="auto"/>
            <w:noWrap/>
            <w:vAlign w:val="center"/>
            <w:hideMark/>
          </w:tcPr>
          <w:p w14:paraId="167BBD4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3x10-5</w:t>
            </w:r>
          </w:p>
        </w:tc>
        <w:tc>
          <w:tcPr>
            <w:tcW w:w="0" w:type="auto"/>
            <w:tcBorders>
              <w:top w:val="nil"/>
              <w:left w:val="nil"/>
              <w:bottom w:val="nil"/>
              <w:right w:val="single" w:sz="8" w:space="0" w:color="auto"/>
            </w:tcBorders>
            <w:shd w:val="clear" w:color="auto" w:fill="auto"/>
            <w:noWrap/>
            <w:vAlign w:val="center"/>
            <w:hideMark/>
          </w:tcPr>
          <w:p w14:paraId="24190C09"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6FEF746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5x10-5</w:t>
            </w:r>
          </w:p>
        </w:tc>
        <w:tc>
          <w:tcPr>
            <w:tcW w:w="0" w:type="auto"/>
            <w:tcBorders>
              <w:top w:val="nil"/>
              <w:left w:val="nil"/>
              <w:bottom w:val="nil"/>
              <w:right w:val="nil"/>
            </w:tcBorders>
            <w:shd w:val="clear" w:color="auto" w:fill="auto"/>
            <w:noWrap/>
            <w:vAlign w:val="center"/>
            <w:hideMark/>
          </w:tcPr>
          <w:p w14:paraId="5052A4E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3x10-5</w:t>
            </w:r>
          </w:p>
        </w:tc>
        <w:tc>
          <w:tcPr>
            <w:tcW w:w="0" w:type="auto"/>
            <w:tcBorders>
              <w:top w:val="nil"/>
              <w:left w:val="nil"/>
              <w:bottom w:val="nil"/>
              <w:right w:val="single" w:sz="8" w:space="0" w:color="auto"/>
            </w:tcBorders>
            <w:shd w:val="clear" w:color="auto" w:fill="auto"/>
            <w:noWrap/>
            <w:vAlign w:val="center"/>
            <w:hideMark/>
          </w:tcPr>
          <w:p w14:paraId="0D8C54EF"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5BA31EB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5x10-5</w:t>
            </w:r>
          </w:p>
        </w:tc>
        <w:tc>
          <w:tcPr>
            <w:tcW w:w="0" w:type="auto"/>
            <w:tcBorders>
              <w:top w:val="nil"/>
              <w:left w:val="nil"/>
              <w:bottom w:val="nil"/>
              <w:right w:val="nil"/>
            </w:tcBorders>
            <w:shd w:val="clear" w:color="auto" w:fill="auto"/>
            <w:noWrap/>
            <w:vAlign w:val="center"/>
            <w:hideMark/>
          </w:tcPr>
          <w:p w14:paraId="1BDDBCF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3x10-5</w:t>
            </w:r>
          </w:p>
        </w:tc>
        <w:tc>
          <w:tcPr>
            <w:tcW w:w="0" w:type="auto"/>
            <w:tcBorders>
              <w:top w:val="nil"/>
              <w:left w:val="nil"/>
              <w:bottom w:val="nil"/>
              <w:right w:val="single" w:sz="8" w:space="0" w:color="auto"/>
            </w:tcBorders>
            <w:shd w:val="clear" w:color="auto" w:fill="auto"/>
            <w:noWrap/>
            <w:vAlign w:val="center"/>
            <w:hideMark/>
          </w:tcPr>
          <w:p w14:paraId="24A797A4"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4C7139B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6x10-5</w:t>
            </w:r>
          </w:p>
        </w:tc>
        <w:tc>
          <w:tcPr>
            <w:tcW w:w="0" w:type="auto"/>
            <w:tcBorders>
              <w:top w:val="nil"/>
              <w:left w:val="nil"/>
              <w:bottom w:val="nil"/>
              <w:right w:val="nil"/>
            </w:tcBorders>
            <w:shd w:val="clear" w:color="auto" w:fill="auto"/>
            <w:noWrap/>
            <w:vAlign w:val="center"/>
            <w:hideMark/>
          </w:tcPr>
          <w:p w14:paraId="2EC09BE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3x10-5</w:t>
            </w:r>
          </w:p>
        </w:tc>
        <w:tc>
          <w:tcPr>
            <w:tcW w:w="0" w:type="auto"/>
            <w:tcBorders>
              <w:top w:val="nil"/>
              <w:left w:val="nil"/>
              <w:bottom w:val="nil"/>
              <w:right w:val="nil"/>
            </w:tcBorders>
            <w:shd w:val="clear" w:color="auto" w:fill="auto"/>
            <w:noWrap/>
            <w:vAlign w:val="center"/>
            <w:hideMark/>
          </w:tcPr>
          <w:p w14:paraId="2E295551" w14:textId="77777777" w:rsidR="004F0EB0" w:rsidRPr="00D134E4" w:rsidRDefault="004F0EB0" w:rsidP="00C41A2C">
            <w:pPr>
              <w:spacing w:line="240" w:lineRule="auto"/>
              <w:jc w:val="center"/>
              <w:rPr>
                <w:rFonts w:eastAsia="Times New Roman" w:cs="Times New Roman"/>
                <w:color w:val="000000"/>
                <w:sz w:val="20"/>
                <w:szCs w:val="20"/>
              </w:rPr>
            </w:pPr>
          </w:p>
        </w:tc>
      </w:tr>
      <w:tr w:rsidR="004F0EB0" w:rsidRPr="00D134E4" w14:paraId="64055D91"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54AE96BB"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List position</w:t>
            </w:r>
          </w:p>
        </w:tc>
        <w:tc>
          <w:tcPr>
            <w:tcW w:w="0" w:type="auto"/>
            <w:tcBorders>
              <w:top w:val="nil"/>
              <w:left w:val="nil"/>
              <w:bottom w:val="nil"/>
              <w:right w:val="nil"/>
            </w:tcBorders>
            <w:shd w:val="clear" w:color="auto" w:fill="auto"/>
            <w:noWrap/>
            <w:vAlign w:val="center"/>
            <w:hideMark/>
          </w:tcPr>
          <w:p w14:paraId="48D95A6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nil"/>
            </w:tcBorders>
            <w:shd w:val="clear" w:color="auto" w:fill="auto"/>
            <w:noWrap/>
            <w:vAlign w:val="center"/>
            <w:hideMark/>
          </w:tcPr>
          <w:p w14:paraId="556E036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0.00</w:t>
            </w:r>
          </w:p>
        </w:tc>
        <w:tc>
          <w:tcPr>
            <w:tcW w:w="0" w:type="auto"/>
            <w:tcBorders>
              <w:top w:val="nil"/>
              <w:left w:val="nil"/>
              <w:bottom w:val="nil"/>
              <w:right w:val="single" w:sz="8" w:space="0" w:color="auto"/>
            </w:tcBorders>
            <w:shd w:val="clear" w:color="auto" w:fill="auto"/>
            <w:noWrap/>
            <w:vAlign w:val="center"/>
            <w:hideMark/>
          </w:tcPr>
          <w:p w14:paraId="7886368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4FE7A3C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nil"/>
            </w:tcBorders>
            <w:shd w:val="clear" w:color="auto" w:fill="auto"/>
            <w:noWrap/>
            <w:vAlign w:val="center"/>
            <w:hideMark/>
          </w:tcPr>
          <w:p w14:paraId="0482DA2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0.00</w:t>
            </w:r>
          </w:p>
        </w:tc>
        <w:tc>
          <w:tcPr>
            <w:tcW w:w="0" w:type="auto"/>
            <w:tcBorders>
              <w:top w:val="nil"/>
              <w:left w:val="nil"/>
              <w:bottom w:val="nil"/>
              <w:right w:val="single" w:sz="8" w:space="0" w:color="auto"/>
            </w:tcBorders>
            <w:shd w:val="clear" w:color="auto" w:fill="auto"/>
            <w:noWrap/>
            <w:vAlign w:val="center"/>
            <w:hideMark/>
          </w:tcPr>
          <w:p w14:paraId="2AF7708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71A559B0"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nil"/>
            </w:tcBorders>
            <w:shd w:val="clear" w:color="auto" w:fill="auto"/>
            <w:noWrap/>
            <w:vAlign w:val="center"/>
            <w:hideMark/>
          </w:tcPr>
          <w:p w14:paraId="6F6EA2E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0.00</w:t>
            </w:r>
          </w:p>
        </w:tc>
        <w:tc>
          <w:tcPr>
            <w:tcW w:w="0" w:type="auto"/>
            <w:tcBorders>
              <w:top w:val="nil"/>
              <w:left w:val="nil"/>
              <w:bottom w:val="nil"/>
              <w:right w:val="single" w:sz="8" w:space="0" w:color="auto"/>
            </w:tcBorders>
            <w:shd w:val="clear" w:color="auto" w:fill="auto"/>
            <w:noWrap/>
            <w:vAlign w:val="center"/>
            <w:hideMark/>
          </w:tcPr>
          <w:p w14:paraId="026D772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3C81D6C9"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nil"/>
            </w:tcBorders>
            <w:shd w:val="clear" w:color="auto" w:fill="auto"/>
            <w:noWrap/>
            <w:vAlign w:val="center"/>
            <w:hideMark/>
          </w:tcPr>
          <w:p w14:paraId="5C19A3E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0.00</w:t>
            </w:r>
          </w:p>
        </w:tc>
        <w:tc>
          <w:tcPr>
            <w:tcW w:w="0" w:type="auto"/>
            <w:tcBorders>
              <w:top w:val="nil"/>
              <w:left w:val="nil"/>
              <w:bottom w:val="nil"/>
              <w:right w:val="nil"/>
            </w:tcBorders>
            <w:shd w:val="clear" w:color="auto" w:fill="auto"/>
            <w:noWrap/>
            <w:vAlign w:val="center"/>
            <w:hideMark/>
          </w:tcPr>
          <w:p w14:paraId="5EB1BF5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1293C006"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3CE36708"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First list place</w:t>
            </w:r>
          </w:p>
        </w:tc>
        <w:tc>
          <w:tcPr>
            <w:tcW w:w="0" w:type="auto"/>
            <w:tcBorders>
              <w:top w:val="nil"/>
              <w:left w:val="nil"/>
              <w:bottom w:val="nil"/>
              <w:right w:val="nil"/>
            </w:tcBorders>
            <w:shd w:val="clear" w:color="auto" w:fill="auto"/>
            <w:noWrap/>
            <w:vAlign w:val="center"/>
            <w:hideMark/>
          </w:tcPr>
          <w:p w14:paraId="7AF4723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1.02</w:t>
            </w:r>
          </w:p>
        </w:tc>
        <w:tc>
          <w:tcPr>
            <w:tcW w:w="0" w:type="auto"/>
            <w:tcBorders>
              <w:top w:val="nil"/>
              <w:left w:val="nil"/>
              <w:bottom w:val="nil"/>
              <w:right w:val="nil"/>
            </w:tcBorders>
            <w:shd w:val="clear" w:color="auto" w:fill="auto"/>
            <w:noWrap/>
            <w:vAlign w:val="center"/>
            <w:hideMark/>
          </w:tcPr>
          <w:p w14:paraId="0ECDF5A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single" w:sz="8" w:space="0" w:color="auto"/>
            </w:tcBorders>
            <w:shd w:val="clear" w:color="auto" w:fill="auto"/>
            <w:noWrap/>
            <w:vAlign w:val="center"/>
            <w:hideMark/>
          </w:tcPr>
          <w:p w14:paraId="0E54F8E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6CDE9B5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1.02</w:t>
            </w:r>
          </w:p>
        </w:tc>
        <w:tc>
          <w:tcPr>
            <w:tcW w:w="0" w:type="auto"/>
            <w:tcBorders>
              <w:top w:val="nil"/>
              <w:left w:val="nil"/>
              <w:bottom w:val="nil"/>
              <w:right w:val="nil"/>
            </w:tcBorders>
            <w:shd w:val="clear" w:color="auto" w:fill="auto"/>
            <w:noWrap/>
            <w:vAlign w:val="center"/>
            <w:hideMark/>
          </w:tcPr>
          <w:p w14:paraId="32F9A95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single" w:sz="8" w:space="0" w:color="auto"/>
            </w:tcBorders>
            <w:shd w:val="clear" w:color="auto" w:fill="auto"/>
            <w:noWrap/>
            <w:vAlign w:val="center"/>
            <w:hideMark/>
          </w:tcPr>
          <w:p w14:paraId="2EE1BDD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253C3E5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1.02</w:t>
            </w:r>
          </w:p>
        </w:tc>
        <w:tc>
          <w:tcPr>
            <w:tcW w:w="0" w:type="auto"/>
            <w:tcBorders>
              <w:top w:val="nil"/>
              <w:left w:val="nil"/>
              <w:bottom w:val="nil"/>
              <w:right w:val="nil"/>
            </w:tcBorders>
            <w:shd w:val="clear" w:color="auto" w:fill="auto"/>
            <w:noWrap/>
            <w:vAlign w:val="center"/>
            <w:hideMark/>
          </w:tcPr>
          <w:p w14:paraId="13305EA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single" w:sz="8" w:space="0" w:color="auto"/>
            </w:tcBorders>
            <w:shd w:val="clear" w:color="auto" w:fill="auto"/>
            <w:noWrap/>
            <w:vAlign w:val="center"/>
            <w:hideMark/>
          </w:tcPr>
          <w:p w14:paraId="41AC1EB6"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0322F12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1.02</w:t>
            </w:r>
          </w:p>
        </w:tc>
        <w:tc>
          <w:tcPr>
            <w:tcW w:w="0" w:type="auto"/>
            <w:tcBorders>
              <w:top w:val="nil"/>
              <w:left w:val="nil"/>
              <w:bottom w:val="nil"/>
              <w:right w:val="nil"/>
            </w:tcBorders>
            <w:shd w:val="clear" w:color="auto" w:fill="auto"/>
            <w:noWrap/>
            <w:vAlign w:val="center"/>
            <w:hideMark/>
          </w:tcPr>
          <w:p w14:paraId="6E893DA0"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220E1DA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5CA028A1"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493A566F"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Last list place</w:t>
            </w:r>
          </w:p>
        </w:tc>
        <w:tc>
          <w:tcPr>
            <w:tcW w:w="0" w:type="auto"/>
            <w:tcBorders>
              <w:top w:val="nil"/>
              <w:left w:val="nil"/>
              <w:bottom w:val="nil"/>
              <w:right w:val="nil"/>
            </w:tcBorders>
            <w:shd w:val="clear" w:color="auto" w:fill="auto"/>
            <w:noWrap/>
            <w:vAlign w:val="center"/>
            <w:hideMark/>
          </w:tcPr>
          <w:p w14:paraId="5E12B94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0.43</w:t>
            </w:r>
          </w:p>
        </w:tc>
        <w:tc>
          <w:tcPr>
            <w:tcW w:w="0" w:type="auto"/>
            <w:tcBorders>
              <w:top w:val="nil"/>
              <w:left w:val="nil"/>
              <w:bottom w:val="nil"/>
              <w:right w:val="nil"/>
            </w:tcBorders>
            <w:shd w:val="clear" w:color="auto" w:fill="auto"/>
            <w:noWrap/>
            <w:vAlign w:val="center"/>
            <w:hideMark/>
          </w:tcPr>
          <w:p w14:paraId="0F5A307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single" w:sz="8" w:space="0" w:color="auto"/>
            </w:tcBorders>
            <w:shd w:val="clear" w:color="auto" w:fill="auto"/>
            <w:noWrap/>
            <w:vAlign w:val="center"/>
            <w:hideMark/>
          </w:tcPr>
          <w:p w14:paraId="1202C32A"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0F05EBF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0.43</w:t>
            </w:r>
          </w:p>
        </w:tc>
        <w:tc>
          <w:tcPr>
            <w:tcW w:w="0" w:type="auto"/>
            <w:tcBorders>
              <w:top w:val="nil"/>
              <w:left w:val="nil"/>
              <w:bottom w:val="nil"/>
              <w:right w:val="nil"/>
            </w:tcBorders>
            <w:shd w:val="clear" w:color="auto" w:fill="auto"/>
            <w:noWrap/>
            <w:vAlign w:val="center"/>
            <w:hideMark/>
          </w:tcPr>
          <w:p w14:paraId="713B188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single" w:sz="8" w:space="0" w:color="auto"/>
            </w:tcBorders>
            <w:shd w:val="clear" w:color="auto" w:fill="auto"/>
            <w:noWrap/>
            <w:vAlign w:val="center"/>
            <w:hideMark/>
          </w:tcPr>
          <w:p w14:paraId="032A030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7DC254A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0.43</w:t>
            </w:r>
          </w:p>
        </w:tc>
        <w:tc>
          <w:tcPr>
            <w:tcW w:w="0" w:type="auto"/>
            <w:tcBorders>
              <w:top w:val="nil"/>
              <w:left w:val="nil"/>
              <w:bottom w:val="nil"/>
              <w:right w:val="nil"/>
            </w:tcBorders>
            <w:shd w:val="clear" w:color="auto" w:fill="auto"/>
            <w:noWrap/>
            <w:vAlign w:val="center"/>
            <w:hideMark/>
          </w:tcPr>
          <w:p w14:paraId="23360D8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single" w:sz="8" w:space="0" w:color="auto"/>
            </w:tcBorders>
            <w:shd w:val="clear" w:color="auto" w:fill="auto"/>
            <w:noWrap/>
            <w:vAlign w:val="center"/>
            <w:hideMark/>
          </w:tcPr>
          <w:p w14:paraId="6BB16E1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10DA8E0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0.43</w:t>
            </w:r>
          </w:p>
        </w:tc>
        <w:tc>
          <w:tcPr>
            <w:tcW w:w="0" w:type="auto"/>
            <w:tcBorders>
              <w:top w:val="nil"/>
              <w:left w:val="nil"/>
              <w:bottom w:val="nil"/>
              <w:right w:val="nil"/>
            </w:tcBorders>
            <w:shd w:val="clear" w:color="auto" w:fill="auto"/>
            <w:noWrap/>
            <w:vAlign w:val="center"/>
            <w:hideMark/>
          </w:tcPr>
          <w:p w14:paraId="2B886D0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2BCC6DE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233D77F7"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074384CE"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Incumbent</w:t>
            </w:r>
          </w:p>
        </w:tc>
        <w:tc>
          <w:tcPr>
            <w:tcW w:w="0" w:type="auto"/>
            <w:tcBorders>
              <w:top w:val="nil"/>
              <w:left w:val="nil"/>
              <w:bottom w:val="nil"/>
              <w:right w:val="nil"/>
            </w:tcBorders>
            <w:shd w:val="clear" w:color="auto" w:fill="auto"/>
            <w:noWrap/>
            <w:vAlign w:val="center"/>
            <w:hideMark/>
          </w:tcPr>
          <w:p w14:paraId="444A7DE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0.26</w:t>
            </w:r>
          </w:p>
        </w:tc>
        <w:tc>
          <w:tcPr>
            <w:tcW w:w="0" w:type="auto"/>
            <w:tcBorders>
              <w:top w:val="nil"/>
              <w:left w:val="nil"/>
              <w:bottom w:val="nil"/>
              <w:right w:val="nil"/>
            </w:tcBorders>
            <w:shd w:val="clear" w:color="auto" w:fill="auto"/>
            <w:noWrap/>
            <w:vAlign w:val="center"/>
            <w:hideMark/>
          </w:tcPr>
          <w:p w14:paraId="78CD8B3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single" w:sz="8" w:space="0" w:color="auto"/>
            </w:tcBorders>
            <w:shd w:val="clear" w:color="auto" w:fill="auto"/>
            <w:noWrap/>
            <w:vAlign w:val="center"/>
            <w:hideMark/>
          </w:tcPr>
          <w:p w14:paraId="0062BDF0"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671D448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0.27</w:t>
            </w:r>
          </w:p>
        </w:tc>
        <w:tc>
          <w:tcPr>
            <w:tcW w:w="0" w:type="auto"/>
            <w:tcBorders>
              <w:top w:val="nil"/>
              <w:left w:val="nil"/>
              <w:bottom w:val="nil"/>
              <w:right w:val="nil"/>
            </w:tcBorders>
            <w:shd w:val="clear" w:color="auto" w:fill="auto"/>
            <w:noWrap/>
            <w:vAlign w:val="center"/>
            <w:hideMark/>
          </w:tcPr>
          <w:p w14:paraId="68DACC8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single" w:sz="8" w:space="0" w:color="auto"/>
            </w:tcBorders>
            <w:shd w:val="clear" w:color="auto" w:fill="auto"/>
            <w:noWrap/>
            <w:vAlign w:val="center"/>
            <w:hideMark/>
          </w:tcPr>
          <w:p w14:paraId="2CE63FD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182B4C2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0.27</w:t>
            </w:r>
          </w:p>
        </w:tc>
        <w:tc>
          <w:tcPr>
            <w:tcW w:w="0" w:type="auto"/>
            <w:tcBorders>
              <w:top w:val="nil"/>
              <w:left w:val="nil"/>
              <w:bottom w:val="nil"/>
              <w:right w:val="nil"/>
            </w:tcBorders>
            <w:shd w:val="clear" w:color="auto" w:fill="auto"/>
            <w:noWrap/>
            <w:vAlign w:val="center"/>
            <w:hideMark/>
          </w:tcPr>
          <w:p w14:paraId="50147CF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single" w:sz="8" w:space="0" w:color="auto"/>
            </w:tcBorders>
            <w:shd w:val="clear" w:color="auto" w:fill="auto"/>
            <w:noWrap/>
            <w:vAlign w:val="center"/>
            <w:hideMark/>
          </w:tcPr>
          <w:p w14:paraId="3D0A9D3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5B3E3B7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0.27</w:t>
            </w:r>
          </w:p>
        </w:tc>
        <w:tc>
          <w:tcPr>
            <w:tcW w:w="0" w:type="auto"/>
            <w:tcBorders>
              <w:top w:val="nil"/>
              <w:left w:val="nil"/>
              <w:bottom w:val="nil"/>
              <w:right w:val="nil"/>
            </w:tcBorders>
            <w:shd w:val="clear" w:color="auto" w:fill="auto"/>
            <w:noWrap/>
            <w:vAlign w:val="center"/>
            <w:hideMark/>
          </w:tcPr>
          <w:p w14:paraId="7D7D3BE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48709CD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7B52ECE3"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082FF761"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Academic title</w:t>
            </w:r>
          </w:p>
        </w:tc>
        <w:tc>
          <w:tcPr>
            <w:tcW w:w="0" w:type="auto"/>
            <w:tcBorders>
              <w:top w:val="nil"/>
              <w:left w:val="nil"/>
              <w:bottom w:val="nil"/>
              <w:right w:val="nil"/>
            </w:tcBorders>
            <w:shd w:val="clear" w:color="auto" w:fill="auto"/>
            <w:noWrap/>
            <w:vAlign w:val="center"/>
            <w:hideMark/>
          </w:tcPr>
          <w:p w14:paraId="3332040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0.08</w:t>
            </w:r>
          </w:p>
        </w:tc>
        <w:tc>
          <w:tcPr>
            <w:tcW w:w="0" w:type="auto"/>
            <w:tcBorders>
              <w:top w:val="nil"/>
              <w:left w:val="nil"/>
              <w:bottom w:val="nil"/>
              <w:right w:val="nil"/>
            </w:tcBorders>
            <w:shd w:val="clear" w:color="auto" w:fill="auto"/>
            <w:noWrap/>
            <w:vAlign w:val="center"/>
            <w:hideMark/>
          </w:tcPr>
          <w:p w14:paraId="20D063F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0.02</w:t>
            </w:r>
          </w:p>
        </w:tc>
        <w:tc>
          <w:tcPr>
            <w:tcW w:w="0" w:type="auto"/>
            <w:tcBorders>
              <w:top w:val="nil"/>
              <w:left w:val="nil"/>
              <w:bottom w:val="nil"/>
              <w:right w:val="single" w:sz="8" w:space="0" w:color="auto"/>
            </w:tcBorders>
            <w:shd w:val="clear" w:color="auto" w:fill="auto"/>
            <w:noWrap/>
            <w:vAlign w:val="center"/>
            <w:hideMark/>
          </w:tcPr>
          <w:p w14:paraId="7596FCA0"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3C666B6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0.08</w:t>
            </w:r>
          </w:p>
        </w:tc>
        <w:tc>
          <w:tcPr>
            <w:tcW w:w="0" w:type="auto"/>
            <w:tcBorders>
              <w:top w:val="nil"/>
              <w:left w:val="nil"/>
              <w:bottom w:val="nil"/>
              <w:right w:val="nil"/>
            </w:tcBorders>
            <w:shd w:val="clear" w:color="auto" w:fill="auto"/>
            <w:noWrap/>
            <w:vAlign w:val="center"/>
            <w:hideMark/>
          </w:tcPr>
          <w:p w14:paraId="4034249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0.02</w:t>
            </w:r>
          </w:p>
        </w:tc>
        <w:tc>
          <w:tcPr>
            <w:tcW w:w="0" w:type="auto"/>
            <w:tcBorders>
              <w:top w:val="nil"/>
              <w:left w:val="nil"/>
              <w:bottom w:val="nil"/>
              <w:right w:val="single" w:sz="8" w:space="0" w:color="auto"/>
            </w:tcBorders>
            <w:shd w:val="clear" w:color="auto" w:fill="auto"/>
            <w:noWrap/>
            <w:vAlign w:val="center"/>
            <w:hideMark/>
          </w:tcPr>
          <w:p w14:paraId="2B6D8A1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2457027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0.09</w:t>
            </w:r>
          </w:p>
        </w:tc>
        <w:tc>
          <w:tcPr>
            <w:tcW w:w="0" w:type="auto"/>
            <w:tcBorders>
              <w:top w:val="nil"/>
              <w:left w:val="nil"/>
              <w:bottom w:val="nil"/>
              <w:right w:val="nil"/>
            </w:tcBorders>
            <w:shd w:val="clear" w:color="auto" w:fill="auto"/>
            <w:noWrap/>
            <w:vAlign w:val="center"/>
            <w:hideMark/>
          </w:tcPr>
          <w:p w14:paraId="3905BFC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0.02</w:t>
            </w:r>
          </w:p>
        </w:tc>
        <w:tc>
          <w:tcPr>
            <w:tcW w:w="0" w:type="auto"/>
            <w:tcBorders>
              <w:top w:val="nil"/>
              <w:left w:val="nil"/>
              <w:bottom w:val="nil"/>
              <w:right w:val="single" w:sz="8" w:space="0" w:color="auto"/>
            </w:tcBorders>
            <w:shd w:val="clear" w:color="auto" w:fill="auto"/>
            <w:noWrap/>
            <w:vAlign w:val="center"/>
            <w:hideMark/>
          </w:tcPr>
          <w:p w14:paraId="2C9C2D5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7E84EEF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0.09</w:t>
            </w:r>
          </w:p>
        </w:tc>
        <w:tc>
          <w:tcPr>
            <w:tcW w:w="0" w:type="auto"/>
            <w:tcBorders>
              <w:top w:val="nil"/>
              <w:left w:val="nil"/>
              <w:bottom w:val="nil"/>
              <w:right w:val="nil"/>
            </w:tcBorders>
            <w:shd w:val="clear" w:color="auto" w:fill="auto"/>
            <w:noWrap/>
            <w:vAlign w:val="center"/>
            <w:hideMark/>
          </w:tcPr>
          <w:p w14:paraId="4CD19EE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0.02</w:t>
            </w:r>
          </w:p>
        </w:tc>
        <w:tc>
          <w:tcPr>
            <w:tcW w:w="0" w:type="auto"/>
            <w:tcBorders>
              <w:top w:val="nil"/>
              <w:left w:val="nil"/>
              <w:bottom w:val="nil"/>
              <w:right w:val="nil"/>
            </w:tcBorders>
            <w:shd w:val="clear" w:color="auto" w:fill="auto"/>
            <w:noWrap/>
            <w:vAlign w:val="center"/>
            <w:hideMark/>
          </w:tcPr>
          <w:p w14:paraId="20C9DDE9"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47227E51"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3756B7FA"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Distance (ln)</w:t>
            </w:r>
          </w:p>
        </w:tc>
        <w:tc>
          <w:tcPr>
            <w:tcW w:w="0" w:type="auto"/>
            <w:tcBorders>
              <w:top w:val="nil"/>
              <w:left w:val="nil"/>
              <w:bottom w:val="nil"/>
              <w:right w:val="nil"/>
            </w:tcBorders>
            <w:shd w:val="clear" w:color="auto" w:fill="auto"/>
            <w:noWrap/>
            <w:vAlign w:val="center"/>
            <w:hideMark/>
          </w:tcPr>
          <w:p w14:paraId="14DCC0D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-0.27</w:t>
            </w:r>
          </w:p>
        </w:tc>
        <w:tc>
          <w:tcPr>
            <w:tcW w:w="0" w:type="auto"/>
            <w:tcBorders>
              <w:top w:val="nil"/>
              <w:left w:val="nil"/>
              <w:bottom w:val="nil"/>
              <w:right w:val="nil"/>
            </w:tcBorders>
            <w:shd w:val="clear" w:color="auto" w:fill="auto"/>
            <w:noWrap/>
            <w:vAlign w:val="center"/>
            <w:hideMark/>
          </w:tcPr>
          <w:p w14:paraId="73DFF6B0"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0.00</w:t>
            </w:r>
          </w:p>
        </w:tc>
        <w:tc>
          <w:tcPr>
            <w:tcW w:w="0" w:type="auto"/>
            <w:tcBorders>
              <w:top w:val="nil"/>
              <w:left w:val="nil"/>
              <w:bottom w:val="nil"/>
              <w:right w:val="single" w:sz="8" w:space="0" w:color="auto"/>
            </w:tcBorders>
            <w:shd w:val="clear" w:color="auto" w:fill="auto"/>
            <w:noWrap/>
            <w:vAlign w:val="center"/>
            <w:hideMark/>
          </w:tcPr>
          <w:p w14:paraId="7207A94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2AF720C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-0.27</w:t>
            </w:r>
          </w:p>
        </w:tc>
        <w:tc>
          <w:tcPr>
            <w:tcW w:w="0" w:type="auto"/>
            <w:tcBorders>
              <w:top w:val="nil"/>
              <w:left w:val="nil"/>
              <w:bottom w:val="nil"/>
              <w:right w:val="nil"/>
            </w:tcBorders>
            <w:shd w:val="clear" w:color="auto" w:fill="auto"/>
            <w:noWrap/>
            <w:vAlign w:val="center"/>
            <w:hideMark/>
          </w:tcPr>
          <w:p w14:paraId="65B14D7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0.00</w:t>
            </w:r>
          </w:p>
        </w:tc>
        <w:tc>
          <w:tcPr>
            <w:tcW w:w="0" w:type="auto"/>
            <w:tcBorders>
              <w:top w:val="nil"/>
              <w:left w:val="nil"/>
              <w:bottom w:val="nil"/>
              <w:right w:val="single" w:sz="8" w:space="0" w:color="auto"/>
            </w:tcBorders>
            <w:shd w:val="clear" w:color="auto" w:fill="auto"/>
            <w:noWrap/>
            <w:vAlign w:val="center"/>
            <w:hideMark/>
          </w:tcPr>
          <w:p w14:paraId="5DF643B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4B8FDF9A"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-0.27</w:t>
            </w:r>
          </w:p>
        </w:tc>
        <w:tc>
          <w:tcPr>
            <w:tcW w:w="0" w:type="auto"/>
            <w:tcBorders>
              <w:top w:val="nil"/>
              <w:left w:val="nil"/>
              <w:bottom w:val="nil"/>
              <w:right w:val="nil"/>
            </w:tcBorders>
            <w:shd w:val="clear" w:color="auto" w:fill="auto"/>
            <w:noWrap/>
            <w:vAlign w:val="center"/>
            <w:hideMark/>
          </w:tcPr>
          <w:p w14:paraId="6981EBE9"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0.00</w:t>
            </w:r>
          </w:p>
        </w:tc>
        <w:tc>
          <w:tcPr>
            <w:tcW w:w="0" w:type="auto"/>
            <w:tcBorders>
              <w:top w:val="nil"/>
              <w:left w:val="nil"/>
              <w:bottom w:val="nil"/>
              <w:right w:val="single" w:sz="8" w:space="0" w:color="auto"/>
            </w:tcBorders>
            <w:shd w:val="clear" w:color="auto" w:fill="auto"/>
            <w:noWrap/>
            <w:vAlign w:val="center"/>
            <w:hideMark/>
          </w:tcPr>
          <w:p w14:paraId="38444919"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2EB51CC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-0.27</w:t>
            </w:r>
          </w:p>
        </w:tc>
        <w:tc>
          <w:tcPr>
            <w:tcW w:w="0" w:type="auto"/>
            <w:tcBorders>
              <w:top w:val="nil"/>
              <w:left w:val="nil"/>
              <w:bottom w:val="nil"/>
              <w:right w:val="nil"/>
            </w:tcBorders>
            <w:shd w:val="clear" w:color="auto" w:fill="auto"/>
            <w:noWrap/>
            <w:vAlign w:val="center"/>
            <w:hideMark/>
          </w:tcPr>
          <w:p w14:paraId="751E9A5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0.00</w:t>
            </w:r>
          </w:p>
        </w:tc>
        <w:tc>
          <w:tcPr>
            <w:tcW w:w="0" w:type="auto"/>
            <w:tcBorders>
              <w:top w:val="nil"/>
              <w:left w:val="nil"/>
              <w:bottom w:val="nil"/>
              <w:right w:val="nil"/>
            </w:tcBorders>
            <w:shd w:val="clear" w:color="auto" w:fill="auto"/>
            <w:noWrap/>
            <w:vAlign w:val="center"/>
            <w:hideMark/>
          </w:tcPr>
          <w:p w14:paraId="321412D0"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61917167"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1154D194"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Veterans on the list</w:t>
            </w:r>
          </w:p>
        </w:tc>
        <w:tc>
          <w:tcPr>
            <w:tcW w:w="0" w:type="auto"/>
            <w:tcBorders>
              <w:top w:val="nil"/>
              <w:left w:val="nil"/>
              <w:bottom w:val="nil"/>
              <w:right w:val="nil"/>
            </w:tcBorders>
            <w:shd w:val="clear" w:color="auto" w:fill="auto"/>
            <w:noWrap/>
            <w:vAlign w:val="center"/>
            <w:hideMark/>
          </w:tcPr>
          <w:p w14:paraId="7DF8E0A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5x10-3</w:t>
            </w:r>
          </w:p>
        </w:tc>
        <w:tc>
          <w:tcPr>
            <w:tcW w:w="0" w:type="auto"/>
            <w:tcBorders>
              <w:top w:val="nil"/>
              <w:left w:val="nil"/>
              <w:bottom w:val="nil"/>
              <w:right w:val="nil"/>
            </w:tcBorders>
            <w:shd w:val="clear" w:color="auto" w:fill="auto"/>
            <w:noWrap/>
            <w:vAlign w:val="center"/>
            <w:hideMark/>
          </w:tcPr>
          <w:p w14:paraId="4FD0126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6x10-3</w:t>
            </w:r>
          </w:p>
        </w:tc>
        <w:tc>
          <w:tcPr>
            <w:tcW w:w="0" w:type="auto"/>
            <w:tcBorders>
              <w:top w:val="nil"/>
              <w:left w:val="nil"/>
              <w:bottom w:val="nil"/>
              <w:right w:val="single" w:sz="8" w:space="0" w:color="auto"/>
            </w:tcBorders>
            <w:shd w:val="clear" w:color="auto" w:fill="auto"/>
            <w:noWrap/>
            <w:vAlign w:val="center"/>
            <w:hideMark/>
          </w:tcPr>
          <w:p w14:paraId="7C5E02A7"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3D98C4B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5x10-3</w:t>
            </w:r>
          </w:p>
        </w:tc>
        <w:tc>
          <w:tcPr>
            <w:tcW w:w="0" w:type="auto"/>
            <w:tcBorders>
              <w:top w:val="nil"/>
              <w:left w:val="nil"/>
              <w:bottom w:val="nil"/>
              <w:right w:val="nil"/>
            </w:tcBorders>
            <w:shd w:val="clear" w:color="auto" w:fill="auto"/>
            <w:noWrap/>
            <w:vAlign w:val="center"/>
            <w:hideMark/>
          </w:tcPr>
          <w:p w14:paraId="28BE963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6x10-3</w:t>
            </w:r>
          </w:p>
        </w:tc>
        <w:tc>
          <w:tcPr>
            <w:tcW w:w="0" w:type="auto"/>
            <w:tcBorders>
              <w:top w:val="nil"/>
              <w:left w:val="nil"/>
              <w:bottom w:val="nil"/>
              <w:right w:val="single" w:sz="8" w:space="0" w:color="auto"/>
            </w:tcBorders>
            <w:shd w:val="clear" w:color="auto" w:fill="auto"/>
            <w:noWrap/>
            <w:vAlign w:val="center"/>
            <w:hideMark/>
          </w:tcPr>
          <w:p w14:paraId="32967721"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5165061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4x10-3</w:t>
            </w:r>
          </w:p>
        </w:tc>
        <w:tc>
          <w:tcPr>
            <w:tcW w:w="0" w:type="auto"/>
            <w:tcBorders>
              <w:top w:val="nil"/>
              <w:left w:val="nil"/>
              <w:bottom w:val="nil"/>
              <w:right w:val="nil"/>
            </w:tcBorders>
            <w:shd w:val="clear" w:color="auto" w:fill="auto"/>
            <w:noWrap/>
            <w:vAlign w:val="center"/>
            <w:hideMark/>
          </w:tcPr>
          <w:p w14:paraId="2BA705F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6x10-3</w:t>
            </w:r>
          </w:p>
        </w:tc>
        <w:tc>
          <w:tcPr>
            <w:tcW w:w="0" w:type="auto"/>
            <w:tcBorders>
              <w:top w:val="nil"/>
              <w:left w:val="nil"/>
              <w:bottom w:val="nil"/>
              <w:right w:val="single" w:sz="8" w:space="0" w:color="auto"/>
            </w:tcBorders>
            <w:shd w:val="clear" w:color="auto" w:fill="auto"/>
            <w:noWrap/>
            <w:vAlign w:val="center"/>
            <w:hideMark/>
          </w:tcPr>
          <w:p w14:paraId="419D4A6C"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4A3CDBB6"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5x10-3</w:t>
            </w:r>
          </w:p>
        </w:tc>
        <w:tc>
          <w:tcPr>
            <w:tcW w:w="0" w:type="auto"/>
            <w:tcBorders>
              <w:top w:val="nil"/>
              <w:left w:val="nil"/>
              <w:bottom w:val="nil"/>
              <w:right w:val="nil"/>
            </w:tcBorders>
            <w:shd w:val="clear" w:color="auto" w:fill="auto"/>
            <w:noWrap/>
            <w:vAlign w:val="center"/>
            <w:hideMark/>
          </w:tcPr>
          <w:p w14:paraId="1BC5C41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6x10-3</w:t>
            </w:r>
          </w:p>
        </w:tc>
        <w:tc>
          <w:tcPr>
            <w:tcW w:w="0" w:type="auto"/>
            <w:tcBorders>
              <w:top w:val="nil"/>
              <w:left w:val="nil"/>
              <w:bottom w:val="nil"/>
              <w:right w:val="nil"/>
            </w:tcBorders>
            <w:shd w:val="clear" w:color="auto" w:fill="auto"/>
            <w:noWrap/>
            <w:vAlign w:val="center"/>
            <w:hideMark/>
          </w:tcPr>
          <w:p w14:paraId="0D005A36" w14:textId="77777777" w:rsidR="004F0EB0" w:rsidRPr="00D134E4" w:rsidRDefault="004F0EB0" w:rsidP="00C41A2C">
            <w:pPr>
              <w:spacing w:line="240" w:lineRule="auto"/>
              <w:jc w:val="center"/>
              <w:rPr>
                <w:rFonts w:eastAsia="Times New Roman" w:cs="Times New Roman"/>
                <w:color w:val="000000"/>
                <w:sz w:val="20"/>
                <w:szCs w:val="20"/>
              </w:rPr>
            </w:pPr>
          </w:p>
        </w:tc>
      </w:tr>
      <w:tr w:rsidR="004F0EB0" w:rsidRPr="00D134E4" w14:paraId="30022210"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23B86791"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Party vote</w:t>
            </w:r>
          </w:p>
        </w:tc>
        <w:tc>
          <w:tcPr>
            <w:tcW w:w="0" w:type="auto"/>
            <w:tcBorders>
              <w:top w:val="nil"/>
              <w:left w:val="nil"/>
              <w:bottom w:val="nil"/>
              <w:right w:val="nil"/>
            </w:tcBorders>
            <w:shd w:val="clear" w:color="auto" w:fill="auto"/>
            <w:noWrap/>
            <w:vAlign w:val="center"/>
            <w:hideMark/>
          </w:tcPr>
          <w:p w14:paraId="7469F5C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-0.13</w:t>
            </w:r>
          </w:p>
        </w:tc>
        <w:tc>
          <w:tcPr>
            <w:tcW w:w="0" w:type="auto"/>
            <w:tcBorders>
              <w:top w:val="nil"/>
              <w:left w:val="nil"/>
              <w:bottom w:val="nil"/>
              <w:right w:val="nil"/>
            </w:tcBorders>
            <w:shd w:val="clear" w:color="auto" w:fill="auto"/>
            <w:noWrap/>
            <w:vAlign w:val="center"/>
            <w:hideMark/>
          </w:tcPr>
          <w:p w14:paraId="20068D7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single" w:sz="8" w:space="0" w:color="auto"/>
            </w:tcBorders>
            <w:shd w:val="clear" w:color="auto" w:fill="auto"/>
            <w:noWrap/>
            <w:vAlign w:val="center"/>
            <w:hideMark/>
          </w:tcPr>
          <w:p w14:paraId="366CD9B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08E99ED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-0.15</w:t>
            </w:r>
          </w:p>
        </w:tc>
        <w:tc>
          <w:tcPr>
            <w:tcW w:w="0" w:type="auto"/>
            <w:tcBorders>
              <w:top w:val="nil"/>
              <w:left w:val="nil"/>
              <w:bottom w:val="nil"/>
              <w:right w:val="nil"/>
            </w:tcBorders>
            <w:shd w:val="clear" w:color="auto" w:fill="auto"/>
            <w:noWrap/>
            <w:vAlign w:val="center"/>
            <w:hideMark/>
          </w:tcPr>
          <w:p w14:paraId="057EA77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single" w:sz="8" w:space="0" w:color="auto"/>
            </w:tcBorders>
            <w:shd w:val="clear" w:color="auto" w:fill="auto"/>
            <w:noWrap/>
            <w:vAlign w:val="center"/>
            <w:hideMark/>
          </w:tcPr>
          <w:p w14:paraId="66EC785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18D2A80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-0.13</w:t>
            </w:r>
          </w:p>
        </w:tc>
        <w:tc>
          <w:tcPr>
            <w:tcW w:w="0" w:type="auto"/>
            <w:tcBorders>
              <w:top w:val="nil"/>
              <w:left w:val="nil"/>
              <w:bottom w:val="nil"/>
              <w:right w:val="nil"/>
            </w:tcBorders>
            <w:shd w:val="clear" w:color="auto" w:fill="auto"/>
            <w:noWrap/>
            <w:vAlign w:val="center"/>
            <w:hideMark/>
          </w:tcPr>
          <w:p w14:paraId="64860F3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single" w:sz="8" w:space="0" w:color="auto"/>
            </w:tcBorders>
            <w:shd w:val="clear" w:color="auto" w:fill="auto"/>
            <w:noWrap/>
            <w:vAlign w:val="center"/>
            <w:hideMark/>
          </w:tcPr>
          <w:p w14:paraId="060324BA"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41A4A25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-0.11</w:t>
            </w:r>
          </w:p>
        </w:tc>
        <w:tc>
          <w:tcPr>
            <w:tcW w:w="0" w:type="auto"/>
            <w:tcBorders>
              <w:top w:val="nil"/>
              <w:left w:val="nil"/>
              <w:bottom w:val="nil"/>
              <w:right w:val="nil"/>
            </w:tcBorders>
            <w:shd w:val="clear" w:color="auto" w:fill="auto"/>
            <w:noWrap/>
            <w:vAlign w:val="center"/>
            <w:hideMark/>
          </w:tcPr>
          <w:p w14:paraId="63F4312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nil"/>
            </w:tcBorders>
            <w:shd w:val="clear" w:color="auto" w:fill="auto"/>
            <w:noWrap/>
            <w:vAlign w:val="center"/>
            <w:hideMark/>
          </w:tcPr>
          <w:p w14:paraId="2A0F8230"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06C0C143"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5CE1833F"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Party ideology</w:t>
            </w:r>
          </w:p>
        </w:tc>
        <w:tc>
          <w:tcPr>
            <w:tcW w:w="0" w:type="auto"/>
            <w:tcBorders>
              <w:top w:val="nil"/>
              <w:left w:val="nil"/>
              <w:bottom w:val="nil"/>
              <w:right w:val="nil"/>
            </w:tcBorders>
            <w:shd w:val="clear" w:color="auto" w:fill="auto"/>
            <w:noWrap/>
            <w:vAlign w:val="center"/>
            <w:hideMark/>
          </w:tcPr>
          <w:p w14:paraId="5274F40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6BC1CEA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single" w:sz="8" w:space="0" w:color="auto"/>
            </w:tcBorders>
            <w:shd w:val="clear" w:color="auto" w:fill="auto"/>
            <w:noWrap/>
            <w:vAlign w:val="center"/>
            <w:hideMark/>
          </w:tcPr>
          <w:p w14:paraId="0523073D"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2BD965C9"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4E22937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0.02</w:t>
            </w:r>
          </w:p>
        </w:tc>
        <w:tc>
          <w:tcPr>
            <w:tcW w:w="0" w:type="auto"/>
            <w:tcBorders>
              <w:top w:val="nil"/>
              <w:left w:val="nil"/>
              <w:bottom w:val="nil"/>
              <w:right w:val="single" w:sz="8" w:space="0" w:color="auto"/>
            </w:tcBorders>
            <w:shd w:val="clear" w:color="auto" w:fill="auto"/>
            <w:noWrap/>
            <w:vAlign w:val="center"/>
            <w:hideMark/>
          </w:tcPr>
          <w:p w14:paraId="1F7FB54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w:t>
            </w:r>
          </w:p>
        </w:tc>
        <w:tc>
          <w:tcPr>
            <w:tcW w:w="0" w:type="auto"/>
            <w:tcBorders>
              <w:top w:val="nil"/>
              <w:left w:val="nil"/>
              <w:bottom w:val="nil"/>
              <w:right w:val="nil"/>
            </w:tcBorders>
            <w:shd w:val="clear" w:color="auto" w:fill="auto"/>
            <w:noWrap/>
            <w:vAlign w:val="center"/>
            <w:hideMark/>
          </w:tcPr>
          <w:p w14:paraId="0159A94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0.02</w:t>
            </w:r>
          </w:p>
        </w:tc>
        <w:tc>
          <w:tcPr>
            <w:tcW w:w="0" w:type="auto"/>
            <w:tcBorders>
              <w:top w:val="nil"/>
              <w:left w:val="nil"/>
              <w:bottom w:val="nil"/>
              <w:right w:val="nil"/>
            </w:tcBorders>
            <w:shd w:val="clear" w:color="auto" w:fill="auto"/>
            <w:noWrap/>
            <w:vAlign w:val="center"/>
            <w:hideMark/>
          </w:tcPr>
          <w:p w14:paraId="67C0C04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0.02</w:t>
            </w:r>
          </w:p>
        </w:tc>
        <w:tc>
          <w:tcPr>
            <w:tcW w:w="0" w:type="auto"/>
            <w:tcBorders>
              <w:top w:val="nil"/>
              <w:left w:val="nil"/>
              <w:bottom w:val="nil"/>
              <w:right w:val="single" w:sz="8" w:space="0" w:color="auto"/>
            </w:tcBorders>
            <w:shd w:val="clear" w:color="auto" w:fill="auto"/>
            <w:noWrap/>
            <w:vAlign w:val="center"/>
            <w:hideMark/>
          </w:tcPr>
          <w:p w14:paraId="689CF3FA"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6848AC1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0.06</w:t>
            </w:r>
          </w:p>
        </w:tc>
        <w:tc>
          <w:tcPr>
            <w:tcW w:w="0" w:type="auto"/>
            <w:tcBorders>
              <w:top w:val="nil"/>
              <w:left w:val="nil"/>
              <w:bottom w:val="nil"/>
              <w:right w:val="nil"/>
            </w:tcBorders>
            <w:shd w:val="clear" w:color="auto" w:fill="auto"/>
            <w:noWrap/>
            <w:vAlign w:val="center"/>
            <w:hideMark/>
          </w:tcPr>
          <w:p w14:paraId="46FFBCC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0.02</w:t>
            </w:r>
          </w:p>
        </w:tc>
        <w:tc>
          <w:tcPr>
            <w:tcW w:w="0" w:type="auto"/>
            <w:tcBorders>
              <w:top w:val="nil"/>
              <w:left w:val="nil"/>
              <w:bottom w:val="nil"/>
              <w:right w:val="nil"/>
            </w:tcBorders>
            <w:shd w:val="clear" w:color="auto" w:fill="auto"/>
            <w:noWrap/>
            <w:vAlign w:val="center"/>
            <w:hideMark/>
          </w:tcPr>
          <w:p w14:paraId="5BF951B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018CDC89"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2BC2CA68"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War disabled</w:t>
            </w:r>
          </w:p>
        </w:tc>
        <w:tc>
          <w:tcPr>
            <w:tcW w:w="0" w:type="auto"/>
            <w:tcBorders>
              <w:top w:val="nil"/>
              <w:left w:val="nil"/>
              <w:bottom w:val="nil"/>
              <w:right w:val="nil"/>
            </w:tcBorders>
            <w:shd w:val="clear" w:color="auto" w:fill="auto"/>
            <w:noWrap/>
            <w:vAlign w:val="center"/>
            <w:hideMark/>
          </w:tcPr>
          <w:p w14:paraId="6ADBD1E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nil"/>
            </w:tcBorders>
            <w:shd w:val="clear" w:color="auto" w:fill="auto"/>
            <w:noWrap/>
            <w:vAlign w:val="center"/>
            <w:hideMark/>
          </w:tcPr>
          <w:p w14:paraId="0E1111E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single" w:sz="8" w:space="0" w:color="auto"/>
            </w:tcBorders>
            <w:shd w:val="clear" w:color="auto" w:fill="auto"/>
            <w:noWrap/>
            <w:vAlign w:val="center"/>
            <w:hideMark/>
          </w:tcPr>
          <w:p w14:paraId="3FE92D6D"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xml:space="preserve">   </w:t>
            </w:r>
          </w:p>
        </w:tc>
        <w:tc>
          <w:tcPr>
            <w:tcW w:w="0" w:type="auto"/>
            <w:tcBorders>
              <w:top w:val="nil"/>
              <w:left w:val="nil"/>
              <w:bottom w:val="nil"/>
              <w:right w:val="nil"/>
            </w:tcBorders>
            <w:shd w:val="clear" w:color="auto" w:fill="auto"/>
            <w:noWrap/>
            <w:vAlign w:val="center"/>
            <w:hideMark/>
          </w:tcPr>
          <w:p w14:paraId="6F808C4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-0.31</w:t>
            </w:r>
          </w:p>
        </w:tc>
        <w:tc>
          <w:tcPr>
            <w:tcW w:w="0" w:type="auto"/>
            <w:tcBorders>
              <w:top w:val="nil"/>
              <w:left w:val="nil"/>
              <w:bottom w:val="nil"/>
              <w:right w:val="nil"/>
            </w:tcBorders>
            <w:shd w:val="clear" w:color="auto" w:fill="auto"/>
            <w:noWrap/>
            <w:vAlign w:val="center"/>
            <w:hideMark/>
          </w:tcPr>
          <w:p w14:paraId="31919BC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single" w:sz="8" w:space="0" w:color="auto"/>
            </w:tcBorders>
            <w:shd w:val="clear" w:color="auto" w:fill="auto"/>
            <w:noWrap/>
            <w:vAlign w:val="center"/>
            <w:hideMark/>
          </w:tcPr>
          <w:p w14:paraId="3A117550"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4ACE4000"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nil"/>
            </w:tcBorders>
            <w:shd w:val="clear" w:color="auto" w:fill="auto"/>
            <w:noWrap/>
            <w:vAlign w:val="center"/>
            <w:hideMark/>
          </w:tcPr>
          <w:p w14:paraId="657A13D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single" w:sz="8" w:space="0" w:color="auto"/>
            </w:tcBorders>
            <w:shd w:val="clear" w:color="auto" w:fill="auto"/>
            <w:noWrap/>
            <w:vAlign w:val="center"/>
            <w:hideMark/>
          </w:tcPr>
          <w:p w14:paraId="17582920"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xml:space="preserve">   </w:t>
            </w:r>
          </w:p>
        </w:tc>
        <w:tc>
          <w:tcPr>
            <w:tcW w:w="0" w:type="auto"/>
            <w:tcBorders>
              <w:top w:val="nil"/>
              <w:left w:val="nil"/>
              <w:bottom w:val="nil"/>
              <w:right w:val="nil"/>
            </w:tcBorders>
            <w:shd w:val="clear" w:color="auto" w:fill="auto"/>
            <w:noWrap/>
            <w:vAlign w:val="center"/>
            <w:hideMark/>
          </w:tcPr>
          <w:p w14:paraId="2C2E7A6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0.40</w:t>
            </w:r>
          </w:p>
        </w:tc>
        <w:tc>
          <w:tcPr>
            <w:tcW w:w="0" w:type="auto"/>
            <w:tcBorders>
              <w:top w:val="nil"/>
              <w:left w:val="nil"/>
              <w:bottom w:val="nil"/>
              <w:right w:val="nil"/>
            </w:tcBorders>
            <w:shd w:val="clear" w:color="auto" w:fill="auto"/>
            <w:noWrap/>
            <w:vAlign w:val="center"/>
            <w:hideMark/>
          </w:tcPr>
          <w:p w14:paraId="0E1BA49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nil"/>
            </w:tcBorders>
            <w:shd w:val="clear" w:color="auto" w:fill="auto"/>
            <w:noWrap/>
            <w:vAlign w:val="center"/>
            <w:hideMark/>
          </w:tcPr>
          <w:p w14:paraId="55859AB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4BD61520"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13F531E3"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Unemployment</w:t>
            </w:r>
          </w:p>
        </w:tc>
        <w:tc>
          <w:tcPr>
            <w:tcW w:w="0" w:type="auto"/>
            <w:tcBorders>
              <w:top w:val="nil"/>
              <w:left w:val="nil"/>
              <w:bottom w:val="nil"/>
              <w:right w:val="nil"/>
            </w:tcBorders>
            <w:shd w:val="clear" w:color="auto" w:fill="auto"/>
            <w:noWrap/>
            <w:vAlign w:val="center"/>
            <w:hideMark/>
          </w:tcPr>
          <w:p w14:paraId="40879B3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0.28</w:t>
            </w:r>
          </w:p>
        </w:tc>
        <w:tc>
          <w:tcPr>
            <w:tcW w:w="0" w:type="auto"/>
            <w:tcBorders>
              <w:top w:val="nil"/>
              <w:left w:val="nil"/>
              <w:bottom w:val="nil"/>
              <w:right w:val="nil"/>
            </w:tcBorders>
            <w:shd w:val="clear" w:color="auto" w:fill="auto"/>
            <w:noWrap/>
            <w:vAlign w:val="center"/>
            <w:hideMark/>
          </w:tcPr>
          <w:p w14:paraId="2D59A85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0.06</w:t>
            </w:r>
          </w:p>
        </w:tc>
        <w:tc>
          <w:tcPr>
            <w:tcW w:w="0" w:type="auto"/>
            <w:tcBorders>
              <w:top w:val="nil"/>
              <w:left w:val="nil"/>
              <w:bottom w:val="nil"/>
              <w:right w:val="single" w:sz="8" w:space="0" w:color="auto"/>
            </w:tcBorders>
            <w:shd w:val="clear" w:color="auto" w:fill="auto"/>
            <w:noWrap/>
            <w:vAlign w:val="center"/>
            <w:hideMark/>
          </w:tcPr>
          <w:p w14:paraId="639AF0C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4A1516A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0.32</w:t>
            </w:r>
          </w:p>
        </w:tc>
        <w:tc>
          <w:tcPr>
            <w:tcW w:w="0" w:type="auto"/>
            <w:tcBorders>
              <w:top w:val="nil"/>
              <w:left w:val="nil"/>
              <w:bottom w:val="nil"/>
              <w:right w:val="nil"/>
            </w:tcBorders>
            <w:shd w:val="clear" w:color="auto" w:fill="auto"/>
            <w:noWrap/>
            <w:vAlign w:val="center"/>
            <w:hideMark/>
          </w:tcPr>
          <w:p w14:paraId="2613F71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0.07</w:t>
            </w:r>
          </w:p>
        </w:tc>
        <w:tc>
          <w:tcPr>
            <w:tcW w:w="0" w:type="auto"/>
            <w:tcBorders>
              <w:top w:val="nil"/>
              <w:left w:val="nil"/>
              <w:bottom w:val="nil"/>
              <w:right w:val="single" w:sz="8" w:space="0" w:color="auto"/>
            </w:tcBorders>
            <w:shd w:val="clear" w:color="auto" w:fill="auto"/>
            <w:noWrap/>
            <w:vAlign w:val="center"/>
            <w:hideMark/>
          </w:tcPr>
          <w:p w14:paraId="66FBEE9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69FC4B7A"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0.29</w:t>
            </w:r>
          </w:p>
        </w:tc>
        <w:tc>
          <w:tcPr>
            <w:tcW w:w="0" w:type="auto"/>
            <w:tcBorders>
              <w:top w:val="nil"/>
              <w:left w:val="nil"/>
              <w:bottom w:val="nil"/>
              <w:right w:val="nil"/>
            </w:tcBorders>
            <w:shd w:val="clear" w:color="auto" w:fill="auto"/>
            <w:noWrap/>
            <w:vAlign w:val="center"/>
            <w:hideMark/>
          </w:tcPr>
          <w:p w14:paraId="0EE86B8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0.06</w:t>
            </w:r>
          </w:p>
        </w:tc>
        <w:tc>
          <w:tcPr>
            <w:tcW w:w="0" w:type="auto"/>
            <w:tcBorders>
              <w:top w:val="nil"/>
              <w:left w:val="nil"/>
              <w:bottom w:val="nil"/>
              <w:right w:val="single" w:sz="8" w:space="0" w:color="auto"/>
            </w:tcBorders>
            <w:shd w:val="clear" w:color="auto" w:fill="auto"/>
            <w:noWrap/>
            <w:vAlign w:val="center"/>
            <w:hideMark/>
          </w:tcPr>
          <w:p w14:paraId="0570E1B9"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56902FFA"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0.30</w:t>
            </w:r>
          </w:p>
        </w:tc>
        <w:tc>
          <w:tcPr>
            <w:tcW w:w="0" w:type="auto"/>
            <w:tcBorders>
              <w:top w:val="nil"/>
              <w:left w:val="nil"/>
              <w:bottom w:val="nil"/>
              <w:right w:val="nil"/>
            </w:tcBorders>
            <w:shd w:val="clear" w:color="auto" w:fill="auto"/>
            <w:noWrap/>
            <w:vAlign w:val="center"/>
            <w:hideMark/>
          </w:tcPr>
          <w:p w14:paraId="748D656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0.06</w:t>
            </w:r>
          </w:p>
        </w:tc>
        <w:tc>
          <w:tcPr>
            <w:tcW w:w="0" w:type="auto"/>
            <w:tcBorders>
              <w:top w:val="nil"/>
              <w:left w:val="nil"/>
              <w:bottom w:val="nil"/>
              <w:right w:val="nil"/>
            </w:tcBorders>
            <w:shd w:val="clear" w:color="auto" w:fill="auto"/>
            <w:noWrap/>
            <w:vAlign w:val="center"/>
            <w:hideMark/>
          </w:tcPr>
          <w:p w14:paraId="6F77391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348A6A3A"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6EF54A82"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Education</w:t>
            </w:r>
          </w:p>
        </w:tc>
        <w:tc>
          <w:tcPr>
            <w:tcW w:w="0" w:type="auto"/>
            <w:tcBorders>
              <w:top w:val="nil"/>
              <w:left w:val="nil"/>
              <w:bottom w:val="nil"/>
              <w:right w:val="nil"/>
            </w:tcBorders>
            <w:shd w:val="clear" w:color="auto" w:fill="auto"/>
            <w:noWrap/>
            <w:vAlign w:val="center"/>
            <w:hideMark/>
          </w:tcPr>
          <w:p w14:paraId="53384DE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3212116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single" w:sz="8" w:space="0" w:color="auto"/>
            </w:tcBorders>
            <w:shd w:val="clear" w:color="auto" w:fill="auto"/>
            <w:noWrap/>
            <w:vAlign w:val="center"/>
            <w:hideMark/>
          </w:tcPr>
          <w:p w14:paraId="7A327ED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7E3A24C6"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17A1B23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single" w:sz="8" w:space="0" w:color="auto"/>
            </w:tcBorders>
            <w:shd w:val="clear" w:color="auto" w:fill="auto"/>
            <w:noWrap/>
            <w:vAlign w:val="center"/>
            <w:hideMark/>
          </w:tcPr>
          <w:p w14:paraId="313E022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32E571C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274AB07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single" w:sz="8" w:space="0" w:color="auto"/>
            </w:tcBorders>
            <w:shd w:val="clear" w:color="auto" w:fill="auto"/>
            <w:noWrap/>
            <w:vAlign w:val="center"/>
            <w:hideMark/>
          </w:tcPr>
          <w:p w14:paraId="775FAE06"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2CA4074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2BB711D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nil"/>
            </w:tcBorders>
            <w:shd w:val="clear" w:color="auto" w:fill="auto"/>
            <w:noWrap/>
            <w:vAlign w:val="center"/>
            <w:hideMark/>
          </w:tcPr>
          <w:p w14:paraId="29336A86"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4009152A"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3D19FADA"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Urbanization</w:t>
            </w:r>
          </w:p>
        </w:tc>
        <w:tc>
          <w:tcPr>
            <w:tcW w:w="0" w:type="auto"/>
            <w:tcBorders>
              <w:top w:val="nil"/>
              <w:left w:val="nil"/>
              <w:bottom w:val="nil"/>
              <w:right w:val="nil"/>
            </w:tcBorders>
            <w:shd w:val="clear" w:color="auto" w:fill="auto"/>
            <w:noWrap/>
            <w:vAlign w:val="center"/>
            <w:hideMark/>
          </w:tcPr>
          <w:p w14:paraId="28B9577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-0.02</w:t>
            </w:r>
          </w:p>
        </w:tc>
        <w:tc>
          <w:tcPr>
            <w:tcW w:w="0" w:type="auto"/>
            <w:tcBorders>
              <w:top w:val="nil"/>
              <w:left w:val="nil"/>
              <w:bottom w:val="nil"/>
              <w:right w:val="nil"/>
            </w:tcBorders>
            <w:shd w:val="clear" w:color="auto" w:fill="auto"/>
            <w:noWrap/>
            <w:vAlign w:val="center"/>
            <w:hideMark/>
          </w:tcPr>
          <w:p w14:paraId="695E052A"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0.00</w:t>
            </w:r>
          </w:p>
        </w:tc>
        <w:tc>
          <w:tcPr>
            <w:tcW w:w="0" w:type="auto"/>
            <w:tcBorders>
              <w:top w:val="nil"/>
              <w:left w:val="nil"/>
              <w:bottom w:val="nil"/>
              <w:right w:val="single" w:sz="8" w:space="0" w:color="auto"/>
            </w:tcBorders>
            <w:shd w:val="clear" w:color="auto" w:fill="auto"/>
            <w:noWrap/>
            <w:vAlign w:val="center"/>
            <w:hideMark/>
          </w:tcPr>
          <w:p w14:paraId="56F9034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29FFD7F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nil"/>
            </w:tcBorders>
            <w:shd w:val="clear" w:color="auto" w:fill="auto"/>
            <w:noWrap/>
            <w:vAlign w:val="center"/>
            <w:hideMark/>
          </w:tcPr>
          <w:p w14:paraId="570E084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0.00</w:t>
            </w:r>
          </w:p>
        </w:tc>
        <w:tc>
          <w:tcPr>
            <w:tcW w:w="0" w:type="auto"/>
            <w:tcBorders>
              <w:top w:val="nil"/>
              <w:left w:val="nil"/>
              <w:bottom w:val="nil"/>
              <w:right w:val="single" w:sz="8" w:space="0" w:color="auto"/>
            </w:tcBorders>
            <w:shd w:val="clear" w:color="auto" w:fill="auto"/>
            <w:noWrap/>
            <w:vAlign w:val="center"/>
            <w:hideMark/>
          </w:tcPr>
          <w:p w14:paraId="505FB5C6"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xml:space="preserve">** </w:t>
            </w:r>
          </w:p>
        </w:tc>
        <w:tc>
          <w:tcPr>
            <w:tcW w:w="0" w:type="auto"/>
            <w:tcBorders>
              <w:top w:val="nil"/>
              <w:left w:val="nil"/>
              <w:bottom w:val="nil"/>
              <w:right w:val="nil"/>
            </w:tcBorders>
            <w:shd w:val="clear" w:color="auto" w:fill="auto"/>
            <w:noWrap/>
            <w:vAlign w:val="center"/>
            <w:hideMark/>
          </w:tcPr>
          <w:p w14:paraId="02CD590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-0.02</w:t>
            </w:r>
          </w:p>
        </w:tc>
        <w:tc>
          <w:tcPr>
            <w:tcW w:w="0" w:type="auto"/>
            <w:tcBorders>
              <w:top w:val="nil"/>
              <w:left w:val="nil"/>
              <w:bottom w:val="nil"/>
              <w:right w:val="nil"/>
            </w:tcBorders>
            <w:shd w:val="clear" w:color="auto" w:fill="auto"/>
            <w:noWrap/>
            <w:vAlign w:val="center"/>
            <w:hideMark/>
          </w:tcPr>
          <w:p w14:paraId="1ADE25A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0.00</w:t>
            </w:r>
          </w:p>
        </w:tc>
        <w:tc>
          <w:tcPr>
            <w:tcW w:w="0" w:type="auto"/>
            <w:tcBorders>
              <w:top w:val="nil"/>
              <w:left w:val="nil"/>
              <w:bottom w:val="nil"/>
              <w:right w:val="single" w:sz="8" w:space="0" w:color="auto"/>
            </w:tcBorders>
            <w:shd w:val="clear" w:color="auto" w:fill="auto"/>
            <w:noWrap/>
            <w:vAlign w:val="center"/>
            <w:hideMark/>
          </w:tcPr>
          <w:p w14:paraId="57587BD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78950DE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nil"/>
            </w:tcBorders>
            <w:shd w:val="clear" w:color="auto" w:fill="auto"/>
            <w:noWrap/>
            <w:vAlign w:val="center"/>
            <w:hideMark/>
          </w:tcPr>
          <w:p w14:paraId="094416D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0.00</w:t>
            </w:r>
          </w:p>
        </w:tc>
        <w:tc>
          <w:tcPr>
            <w:tcW w:w="0" w:type="auto"/>
            <w:tcBorders>
              <w:top w:val="nil"/>
              <w:left w:val="nil"/>
              <w:bottom w:val="nil"/>
              <w:right w:val="nil"/>
            </w:tcBorders>
            <w:shd w:val="clear" w:color="auto" w:fill="auto"/>
            <w:noWrap/>
            <w:vAlign w:val="center"/>
            <w:hideMark/>
          </w:tcPr>
          <w:p w14:paraId="142DE72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550A2D49"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377DB1DE"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 Croats</w:t>
            </w:r>
          </w:p>
        </w:tc>
        <w:tc>
          <w:tcPr>
            <w:tcW w:w="0" w:type="auto"/>
            <w:tcBorders>
              <w:top w:val="nil"/>
              <w:left w:val="nil"/>
              <w:bottom w:val="nil"/>
              <w:right w:val="nil"/>
            </w:tcBorders>
            <w:shd w:val="clear" w:color="auto" w:fill="auto"/>
            <w:noWrap/>
            <w:vAlign w:val="center"/>
            <w:hideMark/>
          </w:tcPr>
          <w:p w14:paraId="6C1D61A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3E38DD06"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single" w:sz="8" w:space="0" w:color="auto"/>
            </w:tcBorders>
            <w:shd w:val="clear" w:color="auto" w:fill="auto"/>
            <w:noWrap/>
            <w:vAlign w:val="center"/>
            <w:hideMark/>
          </w:tcPr>
          <w:p w14:paraId="26840B6B"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xml:space="preserve">   </w:t>
            </w:r>
          </w:p>
        </w:tc>
        <w:tc>
          <w:tcPr>
            <w:tcW w:w="0" w:type="auto"/>
            <w:tcBorders>
              <w:top w:val="nil"/>
              <w:left w:val="nil"/>
              <w:bottom w:val="nil"/>
              <w:right w:val="nil"/>
            </w:tcBorders>
            <w:shd w:val="clear" w:color="auto" w:fill="auto"/>
            <w:noWrap/>
            <w:vAlign w:val="center"/>
            <w:hideMark/>
          </w:tcPr>
          <w:p w14:paraId="32B6D25A"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2AB08F4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single" w:sz="8" w:space="0" w:color="auto"/>
            </w:tcBorders>
            <w:shd w:val="clear" w:color="auto" w:fill="auto"/>
            <w:noWrap/>
            <w:vAlign w:val="center"/>
            <w:hideMark/>
          </w:tcPr>
          <w:p w14:paraId="5276572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xml:space="preserve">   </w:t>
            </w:r>
          </w:p>
        </w:tc>
        <w:tc>
          <w:tcPr>
            <w:tcW w:w="0" w:type="auto"/>
            <w:tcBorders>
              <w:top w:val="nil"/>
              <w:left w:val="nil"/>
              <w:bottom w:val="nil"/>
              <w:right w:val="nil"/>
            </w:tcBorders>
            <w:shd w:val="clear" w:color="auto" w:fill="auto"/>
            <w:noWrap/>
            <w:vAlign w:val="center"/>
            <w:hideMark/>
          </w:tcPr>
          <w:p w14:paraId="20FB9A9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6F6657A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single" w:sz="8" w:space="0" w:color="auto"/>
            </w:tcBorders>
            <w:shd w:val="clear" w:color="auto" w:fill="auto"/>
            <w:noWrap/>
            <w:vAlign w:val="center"/>
            <w:hideMark/>
          </w:tcPr>
          <w:p w14:paraId="443CFEAD"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xml:space="preserve">   </w:t>
            </w:r>
          </w:p>
        </w:tc>
        <w:tc>
          <w:tcPr>
            <w:tcW w:w="0" w:type="auto"/>
            <w:tcBorders>
              <w:top w:val="nil"/>
              <w:left w:val="nil"/>
              <w:bottom w:val="nil"/>
              <w:right w:val="nil"/>
            </w:tcBorders>
            <w:shd w:val="clear" w:color="auto" w:fill="auto"/>
            <w:noWrap/>
            <w:vAlign w:val="center"/>
            <w:hideMark/>
          </w:tcPr>
          <w:p w14:paraId="7303136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nil"/>
            </w:tcBorders>
            <w:shd w:val="clear" w:color="auto" w:fill="auto"/>
            <w:noWrap/>
            <w:vAlign w:val="center"/>
            <w:hideMark/>
          </w:tcPr>
          <w:p w14:paraId="580D41F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0FA8AD39"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xml:space="preserve">   </w:t>
            </w:r>
          </w:p>
        </w:tc>
      </w:tr>
      <w:tr w:rsidR="004F0EB0" w:rsidRPr="00D134E4" w14:paraId="45F6B74B"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02783199"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Election dummy</w:t>
            </w:r>
          </w:p>
        </w:tc>
        <w:tc>
          <w:tcPr>
            <w:tcW w:w="0" w:type="auto"/>
            <w:tcBorders>
              <w:top w:val="nil"/>
              <w:left w:val="nil"/>
              <w:bottom w:val="nil"/>
              <w:right w:val="nil"/>
            </w:tcBorders>
            <w:shd w:val="clear" w:color="auto" w:fill="auto"/>
            <w:noWrap/>
            <w:vAlign w:val="center"/>
            <w:hideMark/>
          </w:tcPr>
          <w:p w14:paraId="5813798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9x10-3</w:t>
            </w:r>
          </w:p>
        </w:tc>
        <w:tc>
          <w:tcPr>
            <w:tcW w:w="0" w:type="auto"/>
            <w:tcBorders>
              <w:top w:val="nil"/>
              <w:left w:val="nil"/>
              <w:bottom w:val="nil"/>
              <w:right w:val="nil"/>
            </w:tcBorders>
            <w:shd w:val="clear" w:color="auto" w:fill="auto"/>
            <w:noWrap/>
            <w:vAlign w:val="center"/>
            <w:hideMark/>
          </w:tcPr>
          <w:p w14:paraId="7E29D35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2x10-2</w:t>
            </w:r>
          </w:p>
        </w:tc>
        <w:tc>
          <w:tcPr>
            <w:tcW w:w="0" w:type="auto"/>
            <w:tcBorders>
              <w:top w:val="nil"/>
              <w:left w:val="nil"/>
              <w:bottom w:val="nil"/>
              <w:right w:val="single" w:sz="8" w:space="0" w:color="auto"/>
            </w:tcBorders>
            <w:shd w:val="clear" w:color="auto" w:fill="auto"/>
            <w:noWrap/>
            <w:vAlign w:val="center"/>
            <w:hideMark/>
          </w:tcPr>
          <w:p w14:paraId="259D69ED"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22F5814A"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9x10-3</w:t>
            </w:r>
          </w:p>
        </w:tc>
        <w:tc>
          <w:tcPr>
            <w:tcW w:w="0" w:type="auto"/>
            <w:tcBorders>
              <w:top w:val="nil"/>
              <w:left w:val="nil"/>
              <w:bottom w:val="nil"/>
              <w:right w:val="nil"/>
            </w:tcBorders>
            <w:shd w:val="clear" w:color="auto" w:fill="auto"/>
            <w:noWrap/>
            <w:vAlign w:val="center"/>
            <w:hideMark/>
          </w:tcPr>
          <w:p w14:paraId="3F6DC5B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2x10-2</w:t>
            </w:r>
          </w:p>
        </w:tc>
        <w:tc>
          <w:tcPr>
            <w:tcW w:w="0" w:type="auto"/>
            <w:tcBorders>
              <w:top w:val="nil"/>
              <w:left w:val="nil"/>
              <w:bottom w:val="nil"/>
              <w:right w:val="single" w:sz="8" w:space="0" w:color="auto"/>
            </w:tcBorders>
            <w:shd w:val="clear" w:color="auto" w:fill="auto"/>
            <w:noWrap/>
            <w:vAlign w:val="center"/>
            <w:hideMark/>
          </w:tcPr>
          <w:p w14:paraId="714671B7"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368565D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9x10-3</w:t>
            </w:r>
          </w:p>
        </w:tc>
        <w:tc>
          <w:tcPr>
            <w:tcW w:w="0" w:type="auto"/>
            <w:tcBorders>
              <w:top w:val="nil"/>
              <w:left w:val="nil"/>
              <w:bottom w:val="nil"/>
              <w:right w:val="nil"/>
            </w:tcBorders>
            <w:shd w:val="clear" w:color="auto" w:fill="auto"/>
            <w:noWrap/>
            <w:vAlign w:val="center"/>
            <w:hideMark/>
          </w:tcPr>
          <w:p w14:paraId="36A042A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2x10-2</w:t>
            </w:r>
          </w:p>
        </w:tc>
        <w:tc>
          <w:tcPr>
            <w:tcW w:w="0" w:type="auto"/>
            <w:tcBorders>
              <w:top w:val="nil"/>
              <w:left w:val="nil"/>
              <w:bottom w:val="nil"/>
              <w:right w:val="single" w:sz="8" w:space="0" w:color="auto"/>
            </w:tcBorders>
            <w:shd w:val="clear" w:color="auto" w:fill="auto"/>
            <w:noWrap/>
            <w:vAlign w:val="center"/>
            <w:hideMark/>
          </w:tcPr>
          <w:p w14:paraId="3D2A6CFE"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1FA4221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9x10-3</w:t>
            </w:r>
          </w:p>
        </w:tc>
        <w:tc>
          <w:tcPr>
            <w:tcW w:w="0" w:type="auto"/>
            <w:tcBorders>
              <w:top w:val="nil"/>
              <w:left w:val="nil"/>
              <w:bottom w:val="nil"/>
              <w:right w:val="nil"/>
            </w:tcBorders>
            <w:shd w:val="clear" w:color="auto" w:fill="auto"/>
            <w:noWrap/>
            <w:vAlign w:val="center"/>
            <w:hideMark/>
          </w:tcPr>
          <w:p w14:paraId="76BBBF30"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2x10-2</w:t>
            </w:r>
          </w:p>
        </w:tc>
        <w:tc>
          <w:tcPr>
            <w:tcW w:w="0" w:type="auto"/>
            <w:tcBorders>
              <w:top w:val="nil"/>
              <w:left w:val="nil"/>
              <w:bottom w:val="nil"/>
              <w:right w:val="nil"/>
            </w:tcBorders>
            <w:shd w:val="clear" w:color="auto" w:fill="auto"/>
            <w:noWrap/>
            <w:vAlign w:val="center"/>
            <w:hideMark/>
          </w:tcPr>
          <w:p w14:paraId="1BA28C8D" w14:textId="77777777" w:rsidR="004F0EB0" w:rsidRPr="00D134E4" w:rsidRDefault="004F0EB0" w:rsidP="00C41A2C">
            <w:pPr>
              <w:spacing w:line="240" w:lineRule="auto"/>
              <w:jc w:val="center"/>
              <w:rPr>
                <w:rFonts w:eastAsia="Times New Roman" w:cs="Times New Roman"/>
                <w:color w:val="000000"/>
                <w:sz w:val="20"/>
                <w:szCs w:val="20"/>
              </w:rPr>
            </w:pPr>
          </w:p>
        </w:tc>
      </w:tr>
      <w:tr w:rsidR="004F0EB0" w:rsidRPr="00D134E4" w14:paraId="3321AD0C"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24E28952"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Combat veteran x War disabled</w:t>
            </w:r>
          </w:p>
        </w:tc>
        <w:tc>
          <w:tcPr>
            <w:tcW w:w="0" w:type="auto"/>
            <w:tcBorders>
              <w:top w:val="nil"/>
              <w:left w:val="nil"/>
              <w:bottom w:val="nil"/>
              <w:right w:val="nil"/>
            </w:tcBorders>
            <w:shd w:val="clear" w:color="auto" w:fill="auto"/>
            <w:noWrap/>
            <w:vAlign w:val="center"/>
            <w:hideMark/>
          </w:tcPr>
          <w:p w14:paraId="21BAD6CC" w14:textId="77777777" w:rsidR="004F0EB0" w:rsidRPr="00D134E4" w:rsidRDefault="004F0EB0" w:rsidP="00C41A2C">
            <w:pPr>
              <w:spacing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17CF18F1" w14:textId="77777777" w:rsidR="004F0EB0" w:rsidRPr="00D134E4" w:rsidRDefault="004F0EB0" w:rsidP="00C41A2C">
            <w:pPr>
              <w:spacing w:line="240" w:lineRule="auto"/>
              <w:rPr>
                <w:rFonts w:eastAsia="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7EFC9E4D"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3C51FE7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0.66</w:t>
            </w:r>
          </w:p>
        </w:tc>
        <w:tc>
          <w:tcPr>
            <w:tcW w:w="0" w:type="auto"/>
            <w:tcBorders>
              <w:top w:val="nil"/>
              <w:left w:val="nil"/>
              <w:bottom w:val="nil"/>
              <w:right w:val="nil"/>
            </w:tcBorders>
            <w:shd w:val="clear" w:color="auto" w:fill="auto"/>
            <w:noWrap/>
            <w:vAlign w:val="center"/>
            <w:hideMark/>
          </w:tcPr>
          <w:p w14:paraId="309CC77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single" w:sz="8" w:space="0" w:color="auto"/>
            </w:tcBorders>
            <w:shd w:val="clear" w:color="auto" w:fill="auto"/>
            <w:noWrap/>
            <w:vAlign w:val="center"/>
            <w:hideMark/>
          </w:tcPr>
          <w:p w14:paraId="099D1A1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nil"/>
              <w:right w:val="nil"/>
            </w:tcBorders>
            <w:shd w:val="clear" w:color="auto" w:fill="auto"/>
            <w:noWrap/>
            <w:vAlign w:val="center"/>
            <w:hideMark/>
          </w:tcPr>
          <w:p w14:paraId="6AFDBEFD" w14:textId="77777777" w:rsidR="004F0EB0" w:rsidRPr="00D134E4" w:rsidRDefault="004F0EB0" w:rsidP="00C41A2C">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2394CE52" w14:textId="77777777" w:rsidR="004F0EB0" w:rsidRPr="00D134E4" w:rsidRDefault="004F0EB0" w:rsidP="00C41A2C">
            <w:pPr>
              <w:spacing w:line="240" w:lineRule="auto"/>
              <w:rPr>
                <w:rFonts w:eastAsia="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1EBBF489"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2BA0EFF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582248B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0.04</w:t>
            </w:r>
          </w:p>
        </w:tc>
        <w:tc>
          <w:tcPr>
            <w:tcW w:w="0" w:type="auto"/>
            <w:tcBorders>
              <w:top w:val="nil"/>
              <w:left w:val="nil"/>
              <w:bottom w:val="nil"/>
              <w:right w:val="nil"/>
            </w:tcBorders>
            <w:shd w:val="clear" w:color="auto" w:fill="auto"/>
            <w:noWrap/>
            <w:vAlign w:val="center"/>
            <w:hideMark/>
          </w:tcPr>
          <w:p w14:paraId="364C95F5" w14:textId="77777777" w:rsidR="004F0EB0" w:rsidRPr="00D134E4" w:rsidRDefault="004F0EB0" w:rsidP="00C41A2C">
            <w:pPr>
              <w:spacing w:line="240" w:lineRule="auto"/>
              <w:jc w:val="center"/>
              <w:rPr>
                <w:rFonts w:eastAsia="Times New Roman" w:cs="Times New Roman"/>
                <w:color w:val="000000"/>
                <w:sz w:val="20"/>
                <w:szCs w:val="20"/>
              </w:rPr>
            </w:pPr>
          </w:p>
        </w:tc>
      </w:tr>
      <w:tr w:rsidR="004F0EB0" w:rsidRPr="00D134E4" w14:paraId="1A24A5D8"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2DF8856B"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Combat veteran x Party ideology</w:t>
            </w:r>
          </w:p>
        </w:tc>
        <w:tc>
          <w:tcPr>
            <w:tcW w:w="0" w:type="auto"/>
            <w:tcBorders>
              <w:top w:val="nil"/>
              <w:left w:val="nil"/>
              <w:bottom w:val="nil"/>
              <w:right w:val="nil"/>
            </w:tcBorders>
            <w:shd w:val="clear" w:color="auto" w:fill="auto"/>
            <w:noWrap/>
            <w:vAlign w:val="center"/>
            <w:hideMark/>
          </w:tcPr>
          <w:p w14:paraId="32232E77" w14:textId="77777777" w:rsidR="004F0EB0" w:rsidRPr="00D134E4" w:rsidRDefault="004F0EB0" w:rsidP="00C41A2C">
            <w:pPr>
              <w:spacing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0ABA67D8" w14:textId="77777777" w:rsidR="004F0EB0" w:rsidRPr="00D134E4" w:rsidRDefault="004F0EB0" w:rsidP="00C41A2C">
            <w:pPr>
              <w:spacing w:line="240" w:lineRule="auto"/>
              <w:rPr>
                <w:rFonts w:eastAsia="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2C2E906D"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11677FF7" w14:textId="77777777" w:rsidR="004F0EB0" w:rsidRPr="00D134E4" w:rsidRDefault="004F0EB0" w:rsidP="00C41A2C">
            <w:pPr>
              <w:spacing w:line="240" w:lineRule="auto"/>
              <w:rPr>
                <w:rFonts w:eastAsia="Times New Roman" w:cs="Times New Roman"/>
                <w:color w:val="000000"/>
                <w:szCs w:val="24"/>
              </w:rPr>
            </w:pPr>
          </w:p>
        </w:tc>
        <w:tc>
          <w:tcPr>
            <w:tcW w:w="0" w:type="auto"/>
            <w:tcBorders>
              <w:top w:val="nil"/>
              <w:left w:val="nil"/>
              <w:bottom w:val="nil"/>
              <w:right w:val="nil"/>
            </w:tcBorders>
            <w:shd w:val="clear" w:color="auto" w:fill="auto"/>
            <w:noWrap/>
            <w:vAlign w:val="center"/>
            <w:hideMark/>
          </w:tcPr>
          <w:p w14:paraId="4AA4DC74" w14:textId="77777777" w:rsidR="004F0EB0" w:rsidRPr="00D134E4" w:rsidRDefault="004F0EB0" w:rsidP="00C41A2C">
            <w:pPr>
              <w:spacing w:line="240" w:lineRule="auto"/>
              <w:rPr>
                <w:rFonts w:eastAsia="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31AA310C"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69286A3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0.03</w:t>
            </w:r>
          </w:p>
        </w:tc>
        <w:tc>
          <w:tcPr>
            <w:tcW w:w="0" w:type="auto"/>
            <w:tcBorders>
              <w:top w:val="nil"/>
              <w:left w:val="nil"/>
              <w:bottom w:val="nil"/>
              <w:right w:val="nil"/>
            </w:tcBorders>
            <w:shd w:val="clear" w:color="auto" w:fill="auto"/>
            <w:noWrap/>
            <w:vAlign w:val="center"/>
            <w:hideMark/>
          </w:tcPr>
          <w:p w14:paraId="4E7F4CB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single" w:sz="8" w:space="0" w:color="auto"/>
            </w:tcBorders>
            <w:shd w:val="clear" w:color="auto" w:fill="auto"/>
            <w:noWrap/>
            <w:vAlign w:val="center"/>
            <w:hideMark/>
          </w:tcPr>
          <w:p w14:paraId="04AF040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xml:space="preserve">** </w:t>
            </w:r>
          </w:p>
        </w:tc>
        <w:tc>
          <w:tcPr>
            <w:tcW w:w="0" w:type="auto"/>
            <w:tcBorders>
              <w:top w:val="nil"/>
              <w:left w:val="nil"/>
              <w:bottom w:val="nil"/>
              <w:right w:val="nil"/>
            </w:tcBorders>
            <w:shd w:val="clear" w:color="auto" w:fill="auto"/>
            <w:noWrap/>
            <w:vAlign w:val="center"/>
            <w:hideMark/>
          </w:tcPr>
          <w:p w14:paraId="493ABB4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-8x10-3</w:t>
            </w:r>
          </w:p>
        </w:tc>
        <w:tc>
          <w:tcPr>
            <w:tcW w:w="0" w:type="auto"/>
            <w:tcBorders>
              <w:top w:val="nil"/>
              <w:left w:val="nil"/>
              <w:bottom w:val="nil"/>
              <w:right w:val="nil"/>
            </w:tcBorders>
            <w:shd w:val="clear" w:color="auto" w:fill="auto"/>
            <w:noWrap/>
            <w:vAlign w:val="center"/>
            <w:hideMark/>
          </w:tcPr>
          <w:p w14:paraId="6D2EEC0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1x10-2</w:t>
            </w:r>
          </w:p>
        </w:tc>
        <w:tc>
          <w:tcPr>
            <w:tcW w:w="0" w:type="auto"/>
            <w:tcBorders>
              <w:top w:val="nil"/>
              <w:left w:val="nil"/>
              <w:bottom w:val="nil"/>
              <w:right w:val="nil"/>
            </w:tcBorders>
            <w:shd w:val="clear" w:color="auto" w:fill="auto"/>
            <w:noWrap/>
            <w:vAlign w:val="center"/>
            <w:hideMark/>
          </w:tcPr>
          <w:p w14:paraId="3C22B272" w14:textId="77777777" w:rsidR="004F0EB0" w:rsidRPr="00D134E4" w:rsidRDefault="004F0EB0" w:rsidP="00C41A2C">
            <w:pPr>
              <w:spacing w:line="240" w:lineRule="auto"/>
              <w:jc w:val="center"/>
              <w:rPr>
                <w:rFonts w:eastAsia="Times New Roman" w:cs="Times New Roman"/>
                <w:color w:val="000000"/>
                <w:sz w:val="20"/>
                <w:szCs w:val="20"/>
              </w:rPr>
            </w:pPr>
          </w:p>
        </w:tc>
      </w:tr>
      <w:tr w:rsidR="004F0EB0" w:rsidRPr="00D134E4" w14:paraId="3D897680"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0AFB0E90"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War disabled x Party ideology</w:t>
            </w:r>
          </w:p>
        </w:tc>
        <w:tc>
          <w:tcPr>
            <w:tcW w:w="0" w:type="auto"/>
            <w:tcBorders>
              <w:top w:val="nil"/>
              <w:left w:val="nil"/>
              <w:bottom w:val="nil"/>
              <w:right w:val="nil"/>
            </w:tcBorders>
            <w:shd w:val="clear" w:color="auto" w:fill="auto"/>
            <w:vAlign w:val="center"/>
            <w:hideMark/>
          </w:tcPr>
          <w:p w14:paraId="5C6A5B8A" w14:textId="77777777" w:rsidR="004F0EB0" w:rsidRPr="00D134E4" w:rsidRDefault="004F0EB0" w:rsidP="00C41A2C">
            <w:pPr>
              <w:spacing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7746A3EE" w14:textId="77777777" w:rsidR="004F0EB0" w:rsidRPr="00D134E4" w:rsidRDefault="004F0EB0" w:rsidP="00C41A2C">
            <w:pPr>
              <w:spacing w:line="240" w:lineRule="auto"/>
              <w:rPr>
                <w:rFonts w:eastAsia="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6C0BE9C1"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w:t>
            </w:r>
          </w:p>
        </w:tc>
        <w:tc>
          <w:tcPr>
            <w:tcW w:w="0" w:type="auto"/>
            <w:tcBorders>
              <w:top w:val="nil"/>
              <w:left w:val="nil"/>
              <w:bottom w:val="nil"/>
              <w:right w:val="nil"/>
            </w:tcBorders>
            <w:shd w:val="clear" w:color="auto" w:fill="auto"/>
            <w:noWrap/>
            <w:vAlign w:val="center"/>
            <w:hideMark/>
          </w:tcPr>
          <w:p w14:paraId="20137A8A" w14:textId="77777777" w:rsidR="004F0EB0" w:rsidRPr="00D134E4" w:rsidRDefault="004F0EB0" w:rsidP="00C41A2C">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2650C97D" w14:textId="77777777" w:rsidR="004F0EB0" w:rsidRPr="00D134E4" w:rsidRDefault="004F0EB0" w:rsidP="00C41A2C">
            <w:pPr>
              <w:spacing w:line="240" w:lineRule="auto"/>
              <w:jc w:val="center"/>
              <w:rPr>
                <w:rFonts w:eastAsia="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044E9396"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w:t>
            </w:r>
          </w:p>
        </w:tc>
        <w:tc>
          <w:tcPr>
            <w:tcW w:w="0" w:type="auto"/>
            <w:tcBorders>
              <w:top w:val="nil"/>
              <w:left w:val="nil"/>
              <w:bottom w:val="nil"/>
              <w:right w:val="nil"/>
            </w:tcBorders>
            <w:shd w:val="clear" w:color="auto" w:fill="auto"/>
            <w:noWrap/>
            <w:vAlign w:val="center"/>
            <w:hideMark/>
          </w:tcPr>
          <w:p w14:paraId="5580866E" w14:textId="77777777" w:rsidR="004F0EB0" w:rsidRPr="00D134E4" w:rsidRDefault="004F0EB0" w:rsidP="00C41A2C">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3EB218DB" w14:textId="77777777" w:rsidR="004F0EB0" w:rsidRPr="00D134E4" w:rsidRDefault="004F0EB0" w:rsidP="00C41A2C">
            <w:pPr>
              <w:spacing w:line="240" w:lineRule="auto"/>
              <w:jc w:val="center"/>
              <w:rPr>
                <w:rFonts w:eastAsia="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51705CCE"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w:t>
            </w:r>
          </w:p>
        </w:tc>
        <w:tc>
          <w:tcPr>
            <w:tcW w:w="0" w:type="auto"/>
            <w:tcBorders>
              <w:top w:val="nil"/>
              <w:left w:val="nil"/>
              <w:bottom w:val="nil"/>
              <w:right w:val="nil"/>
            </w:tcBorders>
            <w:shd w:val="clear" w:color="auto" w:fill="auto"/>
            <w:noWrap/>
            <w:vAlign w:val="center"/>
            <w:hideMark/>
          </w:tcPr>
          <w:p w14:paraId="5EA51D1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-0.22</w:t>
            </w:r>
          </w:p>
        </w:tc>
        <w:tc>
          <w:tcPr>
            <w:tcW w:w="0" w:type="auto"/>
            <w:tcBorders>
              <w:top w:val="nil"/>
              <w:left w:val="nil"/>
              <w:bottom w:val="nil"/>
              <w:right w:val="nil"/>
            </w:tcBorders>
            <w:shd w:val="clear" w:color="auto" w:fill="auto"/>
            <w:noWrap/>
            <w:vAlign w:val="center"/>
            <w:hideMark/>
          </w:tcPr>
          <w:p w14:paraId="7F5A7F9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nil"/>
            </w:tcBorders>
            <w:shd w:val="clear" w:color="auto" w:fill="auto"/>
            <w:noWrap/>
            <w:vAlign w:val="center"/>
            <w:hideMark/>
          </w:tcPr>
          <w:p w14:paraId="4DDD4AC0"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7027A742" w14:textId="77777777" w:rsidTr="00C41A2C">
        <w:trPr>
          <w:trHeight w:val="288"/>
          <w:jc w:val="center"/>
        </w:trPr>
        <w:tc>
          <w:tcPr>
            <w:tcW w:w="0" w:type="auto"/>
            <w:tcBorders>
              <w:top w:val="nil"/>
              <w:left w:val="nil"/>
              <w:bottom w:val="nil"/>
              <w:right w:val="single" w:sz="8" w:space="0" w:color="auto"/>
            </w:tcBorders>
            <w:shd w:val="clear" w:color="auto" w:fill="auto"/>
            <w:noWrap/>
            <w:vAlign w:val="center"/>
            <w:hideMark/>
          </w:tcPr>
          <w:p w14:paraId="5D93E2AB"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Combat veteran x War disabled x Party ideology</w:t>
            </w:r>
          </w:p>
        </w:tc>
        <w:tc>
          <w:tcPr>
            <w:tcW w:w="0" w:type="auto"/>
            <w:tcBorders>
              <w:top w:val="nil"/>
              <w:left w:val="nil"/>
              <w:bottom w:val="nil"/>
              <w:right w:val="nil"/>
            </w:tcBorders>
            <w:shd w:val="clear" w:color="auto" w:fill="auto"/>
            <w:vAlign w:val="center"/>
            <w:hideMark/>
          </w:tcPr>
          <w:p w14:paraId="0D6B8F9E" w14:textId="77777777" w:rsidR="004F0EB0" w:rsidRPr="00D134E4" w:rsidRDefault="004F0EB0" w:rsidP="00C41A2C">
            <w:pPr>
              <w:spacing w:line="240" w:lineRule="auto"/>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72715D8A" w14:textId="77777777" w:rsidR="004F0EB0" w:rsidRPr="00D134E4" w:rsidRDefault="004F0EB0" w:rsidP="00C41A2C">
            <w:pPr>
              <w:spacing w:line="240" w:lineRule="auto"/>
              <w:rPr>
                <w:rFonts w:eastAsia="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021E595E"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615723B8" w14:textId="77777777" w:rsidR="004F0EB0" w:rsidRPr="00D134E4" w:rsidRDefault="004F0EB0" w:rsidP="00C41A2C">
            <w:pPr>
              <w:spacing w:line="240" w:lineRule="auto"/>
              <w:rPr>
                <w:rFonts w:eastAsia="Times New Roman" w:cs="Times New Roman"/>
                <w:color w:val="000000"/>
                <w:szCs w:val="24"/>
              </w:rPr>
            </w:pPr>
          </w:p>
        </w:tc>
        <w:tc>
          <w:tcPr>
            <w:tcW w:w="0" w:type="auto"/>
            <w:tcBorders>
              <w:top w:val="nil"/>
              <w:left w:val="nil"/>
              <w:bottom w:val="nil"/>
              <w:right w:val="nil"/>
            </w:tcBorders>
            <w:shd w:val="clear" w:color="auto" w:fill="auto"/>
            <w:noWrap/>
            <w:vAlign w:val="center"/>
            <w:hideMark/>
          </w:tcPr>
          <w:p w14:paraId="67022901" w14:textId="77777777" w:rsidR="004F0EB0" w:rsidRPr="00D134E4" w:rsidRDefault="004F0EB0" w:rsidP="00C41A2C">
            <w:pPr>
              <w:spacing w:line="240" w:lineRule="auto"/>
              <w:rPr>
                <w:rFonts w:eastAsia="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58EBF011"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6E659ACF" w14:textId="77777777" w:rsidR="004F0EB0" w:rsidRPr="00D134E4" w:rsidRDefault="004F0EB0" w:rsidP="00C41A2C">
            <w:pPr>
              <w:spacing w:line="240" w:lineRule="auto"/>
              <w:rPr>
                <w:rFonts w:eastAsia="Times New Roman" w:cs="Times New Roman"/>
                <w:color w:val="000000"/>
                <w:szCs w:val="24"/>
              </w:rPr>
            </w:pPr>
          </w:p>
        </w:tc>
        <w:tc>
          <w:tcPr>
            <w:tcW w:w="0" w:type="auto"/>
            <w:tcBorders>
              <w:top w:val="nil"/>
              <w:left w:val="nil"/>
              <w:bottom w:val="nil"/>
              <w:right w:val="nil"/>
            </w:tcBorders>
            <w:shd w:val="clear" w:color="auto" w:fill="auto"/>
            <w:noWrap/>
            <w:vAlign w:val="center"/>
            <w:hideMark/>
          </w:tcPr>
          <w:p w14:paraId="4AF0E0D9" w14:textId="77777777" w:rsidR="004F0EB0" w:rsidRPr="00D134E4" w:rsidRDefault="004F0EB0" w:rsidP="00C41A2C">
            <w:pPr>
              <w:spacing w:line="240" w:lineRule="auto"/>
              <w:rPr>
                <w:rFonts w:eastAsia="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15EEC32B" w14:textId="77777777" w:rsidR="004F0EB0" w:rsidRPr="00D134E4" w:rsidRDefault="004F0EB0" w:rsidP="00C41A2C">
            <w:pPr>
              <w:spacing w:line="240" w:lineRule="auto"/>
              <w:rPr>
                <w:rFonts w:eastAsia="Times New Roman" w:cs="Times New Roman"/>
                <w:color w:val="000000"/>
                <w:szCs w:val="24"/>
              </w:rPr>
            </w:pPr>
            <w:r w:rsidRPr="00D134E4">
              <w:rPr>
                <w:rFonts w:eastAsia="Times New Roman" w:cs="Times New Roman"/>
                <w:color w:val="000000"/>
                <w:szCs w:val="24"/>
              </w:rPr>
              <w:t> </w:t>
            </w:r>
          </w:p>
        </w:tc>
        <w:tc>
          <w:tcPr>
            <w:tcW w:w="0" w:type="auto"/>
            <w:tcBorders>
              <w:top w:val="nil"/>
              <w:left w:val="nil"/>
              <w:bottom w:val="nil"/>
              <w:right w:val="nil"/>
            </w:tcBorders>
            <w:shd w:val="clear" w:color="auto" w:fill="auto"/>
            <w:noWrap/>
            <w:vAlign w:val="center"/>
            <w:hideMark/>
          </w:tcPr>
          <w:p w14:paraId="03C2166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0.21</w:t>
            </w:r>
          </w:p>
        </w:tc>
        <w:tc>
          <w:tcPr>
            <w:tcW w:w="0" w:type="auto"/>
            <w:tcBorders>
              <w:top w:val="nil"/>
              <w:left w:val="nil"/>
              <w:bottom w:val="nil"/>
              <w:right w:val="nil"/>
            </w:tcBorders>
            <w:shd w:val="clear" w:color="auto" w:fill="auto"/>
            <w:noWrap/>
            <w:vAlign w:val="center"/>
            <w:hideMark/>
          </w:tcPr>
          <w:p w14:paraId="47E20F5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nil"/>
              <w:right w:val="nil"/>
            </w:tcBorders>
            <w:shd w:val="clear" w:color="auto" w:fill="auto"/>
            <w:noWrap/>
            <w:vAlign w:val="center"/>
            <w:hideMark/>
          </w:tcPr>
          <w:p w14:paraId="46742120"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7692FC93" w14:textId="77777777" w:rsidTr="00C41A2C">
        <w:trPr>
          <w:trHeight w:val="288"/>
          <w:jc w:val="center"/>
        </w:trPr>
        <w:tc>
          <w:tcPr>
            <w:tcW w:w="0" w:type="auto"/>
            <w:tcBorders>
              <w:top w:val="nil"/>
              <w:left w:val="nil"/>
              <w:bottom w:val="single" w:sz="8" w:space="0" w:color="auto"/>
              <w:right w:val="single" w:sz="8" w:space="0" w:color="auto"/>
            </w:tcBorders>
            <w:shd w:val="clear" w:color="auto" w:fill="auto"/>
            <w:noWrap/>
            <w:vAlign w:val="center"/>
            <w:hideMark/>
          </w:tcPr>
          <w:p w14:paraId="3C4878A0"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Intercept</w:t>
            </w:r>
          </w:p>
        </w:tc>
        <w:tc>
          <w:tcPr>
            <w:tcW w:w="0" w:type="auto"/>
            <w:tcBorders>
              <w:top w:val="nil"/>
              <w:left w:val="nil"/>
              <w:bottom w:val="single" w:sz="8" w:space="0" w:color="auto"/>
              <w:right w:val="nil"/>
            </w:tcBorders>
            <w:shd w:val="clear" w:color="auto" w:fill="auto"/>
            <w:noWrap/>
            <w:vAlign w:val="center"/>
            <w:hideMark/>
          </w:tcPr>
          <w:p w14:paraId="43487076"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1.52</w:t>
            </w:r>
          </w:p>
        </w:tc>
        <w:tc>
          <w:tcPr>
            <w:tcW w:w="0" w:type="auto"/>
            <w:tcBorders>
              <w:top w:val="nil"/>
              <w:left w:val="nil"/>
              <w:bottom w:val="single" w:sz="8" w:space="0" w:color="auto"/>
              <w:right w:val="nil"/>
            </w:tcBorders>
            <w:shd w:val="clear" w:color="auto" w:fill="auto"/>
            <w:noWrap/>
            <w:vAlign w:val="center"/>
            <w:hideMark/>
          </w:tcPr>
          <w:p w14:paraId="4D0F2CA4"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0.11</w:t>
            </w:r>
          </w:p>
        </w:tc>
        <w:tc>
          <w:tcPr>
            <w:tcW w:w="0" w:type="auto"/>
            <w:tcBorders>
              <w:top w:val="nil"/>
              <w:left w:val="nil"/>
              <w:bottom w:val="single" w:sz="8" w:space="0" w:color="auto"/>
              <w:right w:val="single" w:sz="8" w:space="0" w:color="auto"/>
            </w:tcBorders>
            <w:shd w:val="clear" w:color="auto" w:fill="auto"/>
            <w:noWrap/>
            <w:vAlign w:val="center"/>
            <w:hideMark/>
          </w:tcPr>
          <w:p w14:paraId="5A307E3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single" w:sz="8" w:space="0" w:color="auto"/>
              <w:right w:val="nil"/>
            </w:tcBorders>
            <w:shd w:val="clear" w:color="auto" w:fill="auto"/>
            <w:noWrap/>
            <w:vAlign w:val="center"/>
            <w:hideMark/>
          </w:tcPr>
          <w:p w14:paraId="11681B98"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0.66</w:t>
            </w:r>
          </w:p>
        </w:tc>
        <w:tc>
          <w:tcPr>
            <w:tcW w:w="0" w:type="auto"/>
            <w:tcBorders>
              <w:top w:val="nil"/>
              <w:left w:val="nil"/>
              <w:bottom w:val="single" w:sz="8" w:space="0" w:color="auto"/>
              <w:right w:val="nil"/>
            </w:tcBorders>
            <w:shd w:val="clear" w:color="auto" w:fill="auto"/>
            <w:noWrap/>
            <w:vAlign w:val="center"/>
            <w:hideMark/>
          </w:tcPr>
          <w:p w14:paraId="61F74E7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0.01</w:t>
            </w:r>
          </w:p>
        </w:tc>
        <w:tc>
          <w:tcPr>
            <w:tcW w:w="0" w:type="auto"/>
            <w:tcBorders>
              <w:top w:val="nil"/>
              <w:left w:val="nil"/>
              <w:bottom w:val="single" w:sz="8" w:space="0" w:color="auto"/>
              <w:right w:val="single" w:sz="8" w:space="0" w:color="auto"/>
            </w:tcBorders>
            <w:shd w:val="clear" w:color="auto" w:fill="auto"/>
            <w:noWrap/>
            <w:vAlign w:val="center"/>
            <w:hideMark/>
          </w:tcPr>
          <w:p w14:paraId="678AFB0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single" w:sz="8" w:space="0" w:color="auto"/>
              <w:right w:val="nil"/>
            </w:tcBorders>
            <w:shd w:val="clear" w:color="auto" w:fill="auto"/>
            <w:noWrap/>
            <w:vAlign w:val="center"/>
            <w:hideMark/>
          </w:tcPr>
          <w:p w14:paraId="59CE4CA2"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1.53</w:t>
            </w:r>
          </w:p>
        </w:tc>
        <w:tc>
          <w:tcPr>
            <w:tcW w:w="0" w:type="auto"/>
            <w:tcBorders>
              <w:top w:val="nil"/>
              <w:left w:val="nil"/>
              <w:bottom w:val="single" w:sz="8" w:space="0" w:color="auto"/>
              <w:right w:val="nil"/>
            </w:tcBorders>
            <w:shd w:val="clear" w:color="auto" w:fill="auto"/>
            <w:noWrap/>
            <w:vAlign w:val="center"/>
            <w:hideMark/>
          </w:tcPr>
          <w:p w14:paraId="5A5EC90D"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0.11</w:t>
            </w:r>
          </w:p>
        </w:tc>
        <w:tc>
          <w:tcPr>
            <w:tcW w:w="0" w:type="auto"/>
            <w:tcBorders>
              <w:top w:val="nil"/>
              <w:left w:val="nil"/>
              <w:bottom w:val="single" w:sz="8" w:space="0" w:color="auto"/>
              <w:right w:val="single" w:sz="8" w:space="0" w:color="auto"/>
            </w:tcBorders>
            <w:shd w:val="clear" w:color="auto" w:fill="auto"/>
            <w:noWrap/>
            <w:vAlign w:val="center"/>
            <w:hideMark/>
          </w:tcPr>
          <w:p w14:paraId="0153EEA3"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c>
          <w:tcPr>
            <w:tcW w:w="0" w:type="auto"/>
            <w:tcBorders>
              <w:top w:val="nil"/>
              <w:left w:val="nil"/>
              <w:bottom w:val="single" w:sz="8" w:space="0" w:color="auto"/>
              <w:right w:val="nil"/>
            </w:tcBorders>
            <w:shd w:val="clear" w:color="auto" w:fill="auto"/>
            <w:noWrap/>
            <w:vAlign w:val="center"/>
            <w:hideMark/>
          </w:tcPr>
          <w:p w14:paraId="0BF6A0C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1.46</w:t>
            </w:r>
          </w:p>
        </w:tc>
        <w:tc>
          <w:tcPr>
            <w:tcW w:w="0" w:type="auto"/>
            <w:tcBorders>
              <w:top w:val="nil"/>
              <w:left w:val="nil"/>
              <w:bottom w:val="single" w:sz="8" w:space="0" w:color="auto"/>
              <w:right w:val="nil"/>
            </w:tcBorders>
            <w:shd w:val="clear" w:color="auto" w:fill="auto"/>
            <w:noWrap/>
            <w:vAlign w:val="center"/>
            <w:hideMark/>
          </w:tcPr>
          <w:p w14:paraId="0F83E485"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0.11</w:t>
            </w:r>
          </w:p>
        </w:tc>
        <w:tc>
          <w:tcPr>
            <w:tcW w:w="0" w:type="auto"/>
            <w:tcBorders>
              <w:top w:val="nil"/>
              <w:left w:val="nil"/>
              <w:bottom w:val="single" w:sz="8" w:space="0" w:color="auto"/>
              <w:right w:val="nil"/>
            </w:tcBorders>
            <w:shd w:val="clear" w:color="auto" w:fill="auto"/>
            <w:noWrap/>
            <w:vAlign w:val="center"/>
            <w:hideMark/>
          </w:tcPr>
          <w:p w14:paraId="51E26D96"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w:t>
            </w:r>
          </w:p>
        </w:tc>
      </w:tr>
      <w:tr w:rsidR="004F0EB0" w:rsidRPr="00D134E4" w14:paraId="28A876A3" w14:textId="77777777" w:rsidTr="00C41A2C">
        <w:trPr>
          <w:trHeight w:val="288"/>
          <w:jc w:val="center"/>
        </w:trPr>
        <w:tc>
          <w:tcPr>
            <w:tcW w:w="0" w:type="auto"/>
            <w:tcBorders>
              <w:top w:val="nil"/>
              <w:left w:val="nil"/>
              <w:right w:val="single" w:sz="8" w:space="0" w:color="auto"/>
            </w:tcBorders>
            <w:shd w:val="clear" w:color="auto" w:fill="auto"/>
            <w:noWrap/>
            <w:vAlign w:val="center"/>
            <w:hideMark/>
          </w:tcPr>
          <w:p w14:paraId="7FF09D44"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n (Candidates, Parties, Municipalities)</w:t>
            </w:r>
          </w:p>
        </w:tc>
        <w:tc>
          <w:tcPr>
            <w:tcW w:w="0" w:type="auto"/>
            <w:gridSpan w:val="3"/>
            <w:tcBorders>
              <w:top w:val="single" w:sz="8" w:space="0" w:color="auto"/>
              <w:left w:val="nil"/>
              <w:right w:val="single" w:sz="8" w:space="0" w:color="000000"/>
            </w:tcBorders>
            <w:shd w:val="clear" w:color="auto" w:fill="auto"/>
            <w:noWrap/>
            <w:vAlign w:val="center"/>
            <w:hideMark/>
          </w:tcPr>
          <w:p w14:paraId="4CCE424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4452 / 50 / 556</w:t>
            </w:r>
          </w:p>
        </w:tc>
        <w:tc>
          <w:tcPr>
            <w:tcW w:w="0" w:type="auto"/>
            <w:gridSpan w:val="3"/>
            <w:tcBorders>
              <w:top w:val="single" w:sz="8" w:space="0" w:color="auto"/>
              <w:left w:val="nil"/>
              <w:right w:val="single" w:sz="8" w:space="0" w:color="000000"/>
            </w:tcBorders>
            <w:shd w:val="clear" w:color="auto" w:fill="auto"/>
            <w:noWrap/>
            <w:vAlign w:val="center"/>
            <w:hideMark/>
          </w:tcPr>
          <w:p w14:paraId="1FD23C8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4452 / 50 / 556</w:t>
            </w:r>
          </w:p>
        </w:tc>
        <w:tc>
          <w:tcPr>
            <w:tcW w:w="0" w:type="auto"/>
            <w:gridSpan w:val="3"/>
            <w:tcBorders>
              <w:top w:val="single" w:sz="8" w:space="0" w:color="auto"/>
              <w:left w:val="nil"/>
              <w:right w:val="single" w:sz="8" w:space="0" w:color="000000"/>
            </w:tcBorders>
            <w:shd w:val="clear" w:color="auto" w:fill="auto"/>
            <w:noWrap/>
            <w:vAlign w:val="center"/>
            <w:hideMark/>
          </w:tcPr>
          <w:p w14:paraId="5F697FA7"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4452 / 50 / 556</w:t>
            </w:r>
          </w:p>
        </w:tc>
        <w:tc>
          <w:tcPr>
            <w:tcW w:w="0" w:type="auto"/>
            <w:gridSpan w:val="3"/>
            <w:tcBorders>
              <w:top w:val="single" w:sz="8" w:space="0" w:color="auto"/>
              <w:left w:val="nil"/>
              <w:right w:val="nil"/>
            </w:tcBorders>
            <w:shd w:val="clear" w:color="auto" w:fill="auto"/>
            <w:noWrap/>
            <w:vAlign w:val="center"/>
            <w:hideMark/>
          </w:tcPr>
          <w:p w14:paraId="6D531DB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4452 / 50 / 556</w:t>
            </w:r>
          </w:p>
        </w:tc>
      </w:tr>
      <w:tr w:rsidR="004F0EB0" w:rsidRPr="00D134E4" w14:paraId="22430029" w14:textId="77777777" w:rsidTr="00C41A2C">
        <w:trPr>
          <w:trHeight w:val="288"/>
          <w:jc w:val="center"/>
        </w:trPr>
        <w:tc>
          <w:tcPr>
            <w:tcW w:w="0" w:type="auto"/>
            <w:tcBorders>
              <w:top w:val="nil"/>
              <w:left w:val="nil"/>
              <w:bottom w:val="single" w:sz="4" w:space="0" w:color="auto"/>
              <w:right w:val="single" w:sz="8" w:space="0" w:color="auto"/>
            </w:tcBorders>
            <w:shd w:val="clear" w:color="auto" w:fill="auto"/>
            <w:noWrap/>
            <w:vAlign w:val="center"/>
            <w:hideMark/>
          </w:tcPr>
          <w:p w14:paraId="61DC0DAD" w14:textId="77777777" w:rsidR="004F0EB0" w:rsidRPr="00D134E4" w:rsidRDefault="004F0EB0" w:rsidP="00C41A2C">
            <w:pPr>
              <w:spacing w:line="240" w:lineRule="auto"/>
              <w:rPr>
                <w:rFonts w:eastAsia="Times New Roman" w:cs="Times New Roman"/>
                <w:color w:val="000000"/>
                <w:sz w:val="20"/>
                <w:szCs w:val="20"/>
              </w:rPr>
            </w:pPr>
            <w:r w:rsidRPr="00D134E4">
              <w:rPr>
                <w:rFonts w:eastAsia="Times New Roman" w:cs="Times New Roman"/>
                <w:color w:val="000000"/>
                <w:sz w:val="20"/>
                <w:szCs w:val="20"/>
              </w:rPr>
              <w:t>∆ AIC</w:t>
            </w:r>
          </w:p>
        </w:tc>
        <w:tc>
          <w:tcPr>
            <w:tcW w:w="0" w:type="auto"/>
            <w:gridSpan w:val="3"/>
            <w:tcBorders>
              <w:top w:val="nil"/>
              <w:left w:val="nil"/>
              <w:bottom w:val="single" w:sz="4" w:space="0" w:color="auto"/>
              <w:right w:val="single" w:sz="8" w:space="0" w:color="000000"/>
            </w:tcBorders>
            <w:shd w:val="clear" w:color="auto" w:fill="auto"/>
            <w:noWrap/>
            <w:vAlign w:val="center"/>
            <w:hideMark/>
          </w:tcPr>
          <w:p w14:paraId="5205841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w:t>
            </w:r>
            <w:r w:rsidRPr="005047FC">
              <w:rPr>
                <w:rFonts w:eastAsia="Times New Roman" w:cs="Times New Roman"/>
                <w:color w:val="000000"/>
                <w:sz w:val="20"/>
                <w:szCs w:val="20"/>
              </w:rPr>
              <w:t>-1</w:t>
            </w:r>
            <w:r>
              <w:rPr>
                <w:rFonts w:eastAsia="Times New Roman" w:cs="Times New Roman"/>
                <w:color w:val="000000"/>
                <w:sz w:val="20"/>
                <w:szCs w:val="20"/>
              </w:rPr>
              <w:t>,</w:t>
            </w:r>
            <w:r w:rsidRPr="005047FC">
              <w:rPr>
                <w:rFonts w:eastAsia="Times New Roman" w:cs="Times New Roman"/>
                <w:color w:val="000000"/>
                <w:sz w:val="20"/>
                <w:szCs w:val="20"/>
              </w:rPr>
              <w:t>095</w:t>
            </w:r>
            <w:r>
              <w:rPr>
                <w:rFonts w:eastAsia="Times New Roman" w:cs="Times New Roman"/>
                <w:color w:val="000000"/>
                <w:sz w:val="20"/>
                <w:szCs w:val="20"/>
              </w:rPr>
              <w:t>,</w:t>
            </w:r>
            <w:r w:rsidRPr="005047FC">
              <w:rPr>
                <w:rFonts w:eastAsia="Times New Roman" w:cs="Times New Roman"/>
                <w:color w:val="000000"/>
                <w:sz w:val="20"/>
                <w:szCs w:val="20"/>
              </w:rPr>
              <w:t>574.6</w:t>
            </w:r>
          </w:p>
        </w:tc>
        <w:tc>
          <w:tcPr>
            <w:tcW w:w="0" w:type="auto"/>
            <w:gridSpan w:val="3"/>
            <w:tcBorders>
              <w:top w:val="nil"/>
              <w:left w:val="nil"/>
              <w:bottom w:val="single" w:sz="4" w:space="0" w:color="auto"/>
              <w:right w:val="single" w:sz="8" w:space="0" w:color="000000"/>
            </w:tcBorders>
            <w:shd w:val="clear" w:color="auto" w:fill="auto"/>
            <w:noWrap/>
            <w:vAlign w:val="center"/>
            <w:hideMark/>
          </w:tcPr>
          <w:p w14:paraId="38A9ECFB"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w:t>
            </w:r>
            <w:r w:rsidRPr="005047FC">
              <w:rPr>
                <w:rFonts w:eastAsia="Times New Roman" w:cs="Times New Roman"/>
                <w:color w:val="000000"/>
                <w:sz w:val="20"/>
                <w:szCs w:val="20"/>
              </w:rPr>
              <w:t>-1</w:t>
            </w:r>
            <w:r>
              <w:rPr>
                <w:rFonts w:eastAsia="Times New Roman" w:cs="Times New Roman"/>
                <w:color w:val="000000"/>
                <w:sz w:val="20"/>
                <w:szCs w:val="20"/>
              </w:rPr>
              <w:t>,</w:t>
            </w:r>
            <w:r w:rsidRPr="005047FC">
              <w:rPr>
                <w:rFonts w:eastAsia="Times New Roman" w:cs="Times New Roman"/>
                <w:color w:val="000000"/>
                <w:sz w:val="20"/>
                <w:szCs w:val="20"/>
              </w:rPr>
              <w:t>099</w:t>
            </w:r>
            <w:r>
              <w:rPr>
                <w:rFonts w:eastAsia="Times New Roman" w:cs="Times New Roman"/>
                <w:color w:val="000000"/>
                <w:sz w:val="20"/>
                <w:szCs w:val="20"/>
              </w:rPr>
              <w:t>,</w:t>
            </w:r>
            <w:r w:rsidRPr="005047FC">
              <w:rPr>
                <w:rFonts w:eastAsia="Times New Roman" w:cs="Times New Roman"/>
                <w:color w:val="000000"/>
                <w:sz w:val="20"/>
                <w:szCs w:val="20"/>
              </w:rPr>
              <w:t>575.1</w:t>
            </w:r>
          </w:p>
        </w:tc>
        <w:tc>
          <w:tcPr>
            <w:tcW w:w="0" w:type="auto"/>
            <w:gridSpan w:val="3"/>
            <w:tcBorders>
              <w:top w:val="nil"/>
              <w:left w:val="nil"/>
              <w:bottom w:val="single" w:sz="4" w:space="0" w:color="auto"/>
              <w:right w:val="single" w:sz="8" w:space="0" w:color="000000"/>
            </w:tcBorders>
            <w:shd w:val="clear" w:color="auto" w:fill="auto"/>
            <w:noWrap/>
            <w:vAlign w:val="center"/>
            <w:hideMark/>
          </w:tcPr>
          <w:p w14:paraId="69F5259C"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w:t>
            </w:r>
            <w:r w:rsidRPr="005047FC">
              <w:rPr>
                <w:rFonts w:eastAsia="Times New Roman" w:cs="Times New Roman"/>
                <w:color w:val="000000"/>
                <w:sz w:val="20"/>
                <w:szCs w:val="20"/>
              </w:rPr>
              <w:t>-1</w:t>
            </w:r>
            <w:r>
              <w:rPr>
                <w:rFonts w:eastAsia="Times New Roman" w:cs="Times New Roman"/>
                <w:color w:val="000000"/>
                <w:sz w:val="20"/>
                <w:szCs w:val="20"/>
              </w:rPr>
              <w:t>,</w:t>
            </w:r>
            <w:r w:rsidRPr="005047FC">
              <w:rPr>
                <w:rFonts w:eastAsia="Times New Roman" w:cs="Times New Roman"/>
                <w:color w:val="000000"/>
                <w:sz w:val="20"/>
                <w:szCs w:val="20"/>
              </w:rPr>
              <w:t>095</w:t>
            </w:r>
            <w:r>
              <w:rPr>
                <w:rFonts w:eastAsia="Times New Roman" w:cs="Times New Roman"/>
                <w:color w:val="000000"/>
                <w:sz w:val="20"/>
                <w:szCs w:val="20"/>
              </w:rPr>
              <w:t>,</w:t>
            </w:r>
            <w:r w:rsidRPr="005047FC">
              <w:rPr>
                <w:rFonts w:eastAsia="Times New Roman" w:cs="Times New Roman"/>
                <w:color w:val="000000"/>
                <w:sz w:val="20"/>
                <w:szCs w:val="20"/>
              </w:rPr>
              <w:t>580</w:t>
            </w:r>
          </w:p>
        </w:tc>
        <w:tc>
          <w:tcPr>
            <w:tcW w:w="0" w:type="auto"/>
            <w:gridSpan w:val="3"/>
            <w:tcBorders>
              <w:top w:val="nil"/>
              <w:left w:val="nil"/>
              <w:bottom w:val="single" w:sz="4" w:space="0" w:color="auto"/>
              <w:right w:val="nil"/>
            </w:tcBorders>
            <w:shd w:val="clear" w:color="auto" w:fill="auto"/>
            <w:noWrap/>
            <w:vAlign w:val="center"/>
            <w:hideMark/>
          </w:tcPr>
          <w:p w14:paraId="7CB0B5FF" w14:textId="77777777" w:rsidR="004F0EB0" w:rsidRPr="00D134E4" w:rsidRDefault="004F0EB0" w:rsidP="00C41A2C">
            <w:pPr>
              <w:spacing w:line="240" w:lineRule="auto"/>
              <w:jc w:val="center"/>
              <w:rPr>
                <w:rFonts w:eastAsia="Times New Roman" w:cs="Times New Roman"/>
                <w:color w:val="000000"/>
                <w:sz w:val="20"/>
                <w:szCs w:val="20"/>
              </w:rPr>
            </w:pPr>
            <w:r w:rsidRPr="00D134E4">
              <w:rPr>
                <w:rFonts w:eastAsia="Times New Roman" w:cs="Times New Roman"/>
                <w:color w:val="000000"/>
                <w:sz w:val="20"/>
                <w:szCs w:val="20"/>
              </w:rPr>
              <w:t> </w:t>
            </w:r>
            <w:r w:rsidRPr="005047FC">
              <w:rPr>
                <w:rFonts w:eastAsia="Times New Roman" w:cs="Times New Roman"/>
                <w:color w:val="000000"/>
                <w:sz w:val="20"/>
                <w:szCs w:val="20"/>
              </w:rPr>
              <w:t>-1</w:t>
            </w:r>
            <w:r>
              <w:rPr>
                <w:rFonts w:eastAsia="Times New Roman" w:cs="Times New Roman"/>
                <w:color w:val="000000"/>
                <w:sz w:val="20"/>
                <w:szCs w:val="20"/>
              </w:rPr>
              <w:t>,</w:t>
            </w:r>
            <w:r w:rsidRPr="005047FC">
              <w:rPr>
                <w:rFonts w:eastAsia="Times New Roman" w:cs="Times New Roman"/>
                <w:color w:val="000000"/>
                <w:sz w:val="20"/>
                <w:szCs w:val="20"/>
              </w:rPr>
              <w:t>100</w:t>
            </w:r>
            <w:r>
              <w:rPr>
                <w:rFonts w:eastAsia="Times New Roman" w:cs="Times New Roman"/>
                <w:color w:val="000000"/>
                <w:sz w:val="20"/>
                <w:szCs w:val="20"/>
              </w:rPr>
              <w:t>,</w:t>
            </w:r>
            <w:r w:rsidRPr="005047FC">
              <w:rPr>
                <w:rFonts w:eastAsia="Times New Roman" w:cs="Times New Roman"/>
                <w:color w:val="000000"/>
                <w:sz w:val="20"/>
                <w:szCs w:val="20"/>
              </w:rPr>
              <w:t>824.8</w:t>
            </w:r>
          </w:p>
        </w:tc>
      </w:tr>
      <w:tr w:rsidR="004F0EB0" w:rsidRPr="00D134E4" w14:paraId="1A59894A" w14:textId="77777777" w:rsidTr="00C41A2C">
        <w:trPr>
          <w:trHeight w:val="288"/>
          <w:jc w:val="center"/>
        </w:trPr>
        <w:tc>
          <w:tcPr>
            <w:tcW w:w="0" w:type="auto"/>
            <w:gridSpan w:val="13"/>
            <w:tcBorders>
              <w:top w:val="single" w:sz="4" w:space="0" w:color="auto"/>
              <w:left w:val="nil"/>
            </w:tcBorders>
            <w:shd w:val="clear" w:color="auto" w:fill="auto"/>
            <w:noWrap/>
            <w:vAlign w:val="center"/>
          </w:tcPr>
          <w:p w14:paraId="7F69D692" w14:textId="77777777" w:rsidR="004F0EB0" w:rsidRPr="00D134E4" w:rsidRDefault="004F0EB0" w:rsidP="00C41A2C">
            <w:pPr>
              <w:spacing w:line="240" w:lineRule="auto"/>
              <w:ind w:firstLine="698"/>
              <w:rPr>
                <w:rFonts w:eastAsia="Times New Roman" w:cs="Times New Roman"/>
                <w:color w:val="000000"/>
                <w:sz w:val="20"/>
                <w:szCs w:val="20"/>
              </w:rPr>
            </w:pPr>
            <w:r w:rsidRPr="00D134E4">
              <w:rPr>
                <w:rFonts w:cs="Times New Roman"/>
                <w:sz w:val="20"/>
                <w:szCs w:val="20"/>
              </w:rPr>
              <w:t>Note: *p&lt;0.05; **p&lt;0.01; ***p&lt;0.001; ∆ AIC indicates the decrease in AIC when compared to the empty model.</w:t>
            </w:r>
          </w:p>
        </w:tc>
      </w:tr>
    </w:tbl>
    <w:p w14:paraId="77F4A53C" w14:textId="77777777" w:rsidR="004F0EB0" w:rsidRPr="00DD2765" w:rsidRDefault="004F0EB0" w:rsidP="004F0EB0">
      <w:pPr>
        <w:tabs>
          <w:tab w:val="left" w:pos="180"/>
        </w:tabs>
        <w:rPr>
          <w:sz w:val="20"/>
          <w:szCs w:val="20"/>
        </w:rPr>
      </w:pPr>
      <w:r w:rsidRPr="0003506A">
        <w:rPr>
          <w:sz w:val="20"/>
          <w:szCs w:val="20"/>
        </w:rPr>
        <w:fldChar w:fldCharType="begin"/>
      </w:r>
      <w:r w:rsidRPr="0003506A">
        <w:rPr>
          <w:sz w:val="20"/>
          <w:szCs w:val="20"/>
        </w:rPr>
        <w:instrText xml:space="preserve"> LINK Excel.Sheet.12 "C:\\Data\\ELWar\\Publications\\Sabor Veterans\\Figures\\Sabor veterans_result tables2.xlsx" "final!R1C1:R27C13" \a \f 5 \h  \* MERGEFORMAT </w:instrText>
      </w:r>
      <w:r w:rsidRPr="0003506A">
        <w:rPr>
          <w:sz w:val="20"/>
          <w:szCs w:val="20"/>
        </w:rPr>
        <w:fldChar w:fldCharType="end"/>
      </w:r>
    </w:p>
    <w:p w14:paraId="5A8DC3D2" w14:textId="77777777" w:rsidR="004F0EB0" w:rsidRDefault="004F0EB0" w:rsidP="00F24C0E">
      <w:pPr>
        <w:sectPr w:rsidR="004F0EB0" w:rsidSect="004F0EB0">
          <w:endnotePr>
            <w:numFmt w:val="decimal"/>
          </w:endnotePr>
          <w:pgSz w:w="15840" w:h="12240" w:orient="landscape" w:code="1"/>
          <w:pgMar w:top="1440" w:right="1440" w:bottom="1440" w:left="1440" w:header="720" w:footer="720" w:gutter="0"/>
          <w:cols w:space="720"/>
          <w:docGrid w:linePitch="360"/>
        </w:sectPr>
      </w:pPr>
    </w:p>
    <w:p w14:paraId="1149585B" w14:textId="5128E3B5" w:rsidR="00F24C0E" w:rsidRPr="0003506A" w:rsidRDefault="00F24C0E" w:rsidP="004F0EB0">
      <w:pPr>
        <w:jc w:val="center"/>
        <w:rPr>
          <w:rFonts w:cs="Times New Roman"/>
          <w:b/>
          <w:szCs w:val="24"/>
        </w:rPr>
      </w:pPr>
      <w:r w:rsidRPr="0003506A">
        <w:rPr>
          <w:rFonts w:cs="Times New Roman"/>
          <w:b/>
          <w:szCs w:val="24"/>
        </w:rPr>
        <w:lastRenderedPageBreak/>
        <w:t>Figure 1. Combat veterans in Croatian postwar parliamentary elections 2000-2016</w:t>
      </w:r>
    </w:p>
    <w:p w14:paraId="45CF45D8" w14:textId="77777777" w:rsidR="00F24C0E" w:rsidRPr="0003506A" w:rsidRDefault="00F24C0E" w:rsidP="00F24C0E">
      <w:pPr>
        <w:jc w:val="center"/>
        <w:rPr>
          <w:rFonts w:cs="Times New Roman"/>
          <w:szCs w:val="24"/>
        </w:rPr>
      </w:pPr>
    </w:p>
    <w:p w14:paraId="3BB73E72" w14:textId="77777777" w:rsidR="00F24C0E" w:rsidRPr="0003506A" w:rsidRDefault="00F24C0E" w:rsidP="00F24C0E">
      <w:pPr>
        <w:jc w:val="center"/>
        <w:rPr>
          <w:rFonts w:cs="Times New Roman"/>
          <w:szCs w:val="24"/>
        </w:rPr>
      </w:pPr>
      <w:r w:rsidRPr="0003506A">
        <w:rPr>
          <w:noProof/>
        </w:rPr>
        <w:drawing>
          <wp:inline distT="0" distB="0" distL="0" distR="0" wp14:anchorId="1CBDE262" wp14:editId="3BA289D1">
            <wp:extent cx="5943600" cy="3406775"/>
            <wp:effectExtent l="0" t="0" r="0" b="3175"/>
            <wp:docPr id="1" name="Chart 1">
              <a:extLst xmlns:a="http://schemas.openxmlformats.org/drawingml/2006/main">
                <a:ext uri="{FF2B5EF4-FFF2-40B4-BE49-F238E27FC236}">
                  <a16:creationId xmlns:a16="http://schemas.microsoft.com/office/drawing/2014/main" id="{802FBC01-5A91-4AA8-A0A1-B627F1F1D9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E3601F" w14:textId="77777777" w:rsidR="00F24C0E" w:rsidRPr="0003506A" w:rsidRDefault="00F24C0E" w:rsidP="00F24C0E">
      <w:pPr>
        <w:jc w:val="center"/>
        <w:rPr>
          <w:rFonts w:cs="Times New Roman"/>
          <w:szCs w:val="24"/>
        </w:rPr>
      </w:pPr>
    </w:p>
    <w:p w14:paraId="50EB74C1" w14:textId="77777777" w:rsidR="00F24C0E" w:rsidRPr="0003506A" w:rsidRDefault="00F24C0E" w:rsidP="00F24C0E">
      <w:pPr>
        <w:rPr>
          <w:rFonts w:cs="Times New Roman"/>
          <w:szCs w:val="24"/>
        </w:rPr>
      </w:pPr>
      <w:r w:rsidRPr="0003506A">
        <w:rPr>
          <w:rFonts w:cs="Times New Roman"/>
          <w:szCs w:val="24"/>
        </w:rPr>
        <w:br w:type="page"/>
      </w:r>
    </w:p>
    <w:p w14:paraId="73EAF4BD" w14:textId="77777777" w:rsidR="00F24C0E" w:rsidRPr="0003506A" w:rsidRDefault="00F24C0E" w:rsidP="00F24C0E">
      <w:pPr>
        <w:jc w:val="center"/>
        <w:rPr>
          <w:rFonts w:cs="Times New Roman"/>
          <w:b/>
          <w:szCs w:val="24"/>
        </w:rPr>
      </w:pPr>
      <w:r w:rsidRPr="0003506A">
        <w:rPr>
          <w:rFonts w:cs="Times New Roman"/>
          <w:b/>
          <w:szCs w:val="24"/>
        </w:rPr>
        <w:lastRenderedPageBreak/>
        <w:t>Figure 2. Combat veteran candidates in 2015 and 2016 elections by ideology</w:t>
      </w:r>
    </w:p>
    <w:p w14:paraId="17BBF4B1" w14:textId="77777777" w:rsidR="00F24C0E" w:rsidRPr="0003506A" w:rsidRDefault="00F24C0E" w:rsidP="00F24C0E">
      <w:pPr>
        <w:jc w:val="center"/>
        <w:rPr>
          <w:rFonts w:cs="Times New Roman"/>
          <w:b/>
          <w:szCs w:val="24"/>
        </w:rPr>
      </w:pPr>
    </w:p>
    <w:p w14:paraId="20A6F1DC" w14:textId="77777777" w:rsidR="00F24C0E" w:rsidRPr="0003506A" w:rsidRDefault="00F24C0E" w:rsidP="00F24C0E">
      <w:pPr>
        <w:jc w:val="center"/>
        <w:rPr>
          <w:rFonts w:cs="Times New Roman"/>
          <w:b/>
          <w:szCs w:val="24"/>
        </w:rPr>
      </w:pPr>
      <w:r w:rsidRPr="0003506A">
        <w:rPr>
          <w:noProof/>
        </w:rPr>
        <w:drawing>
          <wp:inline distT="0" distB="0" distL="0" distR="0" wp14:anchorId="658DE3F3" wp14:editId="0F6ED6FE">
            <wp:extent cx="5943600" cy="3742690"/>
            <wp:effectExtent l="0" t="0" r="0" b="10160"/>
            <wp:docPr id="2" name="Chart 2">
              <a:extLst xmlns:a="http://schemas.openxmlformats.org/drawingml/2006/main">
                <a:ext uri="{FF2B5EF4-FFF2-40B4-BE49-F238E27FC236}">
                  <a16:creationId xmlns:a16="http://schemas.microsoft.com/office/drawing/2014/main" id="{802FBC01-5A91-4AA8-A0A1-B627F1F1D9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994A4E" w14:textId="77777777" w:rsidR="00F24C0E" w:rsidRPr="0003506A" w:rsidRDefault="00F24C0E" w:rsidP="00F24C0E">
      <w:pPr>
        <w:jc w:val="center"/>
        <w:rPr>
          <w:rFonts w:cs="Times New Roman"/>
          <w:b/>
          <w:szCs w:val="24"/>
        </w:rPr>
      </w:pPr>
    </w:p>
    <w:p w14:paraId="76C473D1" w14:textId="77777777" w:rsidR="00F24C0E" w:rsidRPr="0003506A" w:rsidRDefault="00F24C0E" w:rsidP="00F24C0E">
      <w:pPr>
        <w:rPr>
          <w:rFonts w:cs="Times New Roman"/>
          <w:b/>
          <w:szCs w:val="24"/>
        </w:rPr>
      </w:pPr>
      <w:r w:rsidRPr="0003506A">
        <w:rPr>
          <w:rFonts w:cs="Times New Roman"/>
          <w:b/>
          <w:szCs w:val="24"/>
        </w:rPr>
        <w:br w:type="page"/>
      </w:r>
    </w:p>
    <w:p w14:paraId="699BFED3" w14:textId="77777777" w:rsidR="00F24C0E" w:rsidRPr="0003506A" w:rsidRDefault="00F24C0E" w:rsidP="00F24C0E">
      <w:pPr>
        <w:jc w:val="center"/>
        <w:rPr>
          <w:rFonts w:cs="Times New Roman"/>
          <w:b/>
          <w:szCs w:val="24"/>
        </w:rPr>
      </w:pPr>
      <w:r w:rsidRPr="0003506A">
        <w:rPr>
          <w:rFonts w:cs="Times New Roman"/>
          <w:b/>
          <w:szCs w:val="24"/>
        </w:rPr>
        <w:lastRenderedPageBreak/>
        <w:t>Figure 3. War disability and votes for combat veterans in 2015 and 2016</w:t>
      </w:r>
    </w:p>
    <w:p w14:paraId="208BE60E" w14:textId="77777777" w:rsidR="00F24C0E" w:rsidRPr="0003506A" w:rsidRDefault="00F24C0E" w:rsidP="00F24C0E">
      <w:pPr>
        <w:jc w:val="center"/>
        <w:rPr>
          <w:rFonts w:cs="Times New Roman"/>
          <w:b/>
          <w:szCs w:val="24"/>
        </w:rPr>
      </w:pPr>
    </w:p>
    <w:p w14:paraId="3205752A" w14:textId="77777777" w:rsidR="00F24C0E" w:rsidRPr="0003506A" w:rsidRDefault="00F24C0E" w:rsidP="00F24C0E">
      <w:pPr>
        <w:jc w:val="center"/>
        <w:rPr>
          <w:rFonts w:cs="Times New Roman"/>
          <w:b/>
          <w:szCs w:val="24"/>
        </w:rPr>
      </w:pPr>
      <w:r w:rsidRPr="0003506A">
        <w:rPr>
          <w:rFonts w:cs="Times New Roman"/>
          <w:b/>
          <w:noProof/>
          <w:szCs w:val="24"/>
        </w:rPr>
        <w:drawing>
          <wp:inline distT="0" distB="0" distL="0" distR="0" wp14:anchorId="2A3A8F76" wp14:editId="239E7CC2">
            <wp:extent cx="3795931" cy="7589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r map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00360" cy="7598375"/>
                    </a:xfrm>
                    <a:prstGeom prst="rect">
                      <a:avLst/>
                    </a:prstGeom>
                  </pic:spPr>
                </pic:pic>
              </a:graphicData>
            </a:graphic>
          </wp:inline>
        </w:drawing>
      </w:r>
      <w:r w:rsidRPr="0003506A">
        <w:rPr>
          <w:rFonts w:cs="Times New Roman"/>
          <w:b/>
          <w:szCs w:val="24"/>
        </w:rPr>
        <w:br w:type="page"/>
      </w:r>
    </w:p>
    <w:p w14:paraId="166C8A14" w14:textId="77777777" w:rsidR="00F24C0E" w:rsidRDefault="00F24C0E" w:rsidP="00F24C0E">
      <w:pPr>
        <w:jc w:val="center"/>
        <w:rPr>
          <w:rFonts w:cs="Times New Roman"/>
          <w:b/>
          <w:szCs w:val="24"/>
        </w:rPr>
      </w:pPr>
      <w:r w:rsidRPr="0003506A">
        <w:rPr>
          <w:rFonts w:cs="Times New Roman"/>
          <w:b/>
          <w:szCs w:val="24"/>
        </w:rPr>
        <w:lastRenderedPageBreak/>
        <w:t>Figure 4. Effect of candidates’ service in combat on preferential votes</w:t>
      </w:r>
    </w:p>
    <w:p w14:paraId="5CF9CF1F" w14:textId="77777777" w:rsidR="00F24C0E" w:rsidRPr="0003506A" w:rsidRDefault="00F24C0E" w:rsidP="00F24C0E">
      <w:pPr>
        <w:jc w:val="center"/>
        <w:rPr>
          <w:rFonts w:cs="Times New Roman"/>
          <w:b/>
          <w:szCs w:val="24"/>
        </w:rPr>
      </w:pPr>
    </w:p>
    <w:p w14:paraId="768BB864" w14:textId="77777777" w:rsidR="00F24C0E" w:rsidRPr="0003506A" w:rsidRDefault="00F24C0E" w:rsidP="00F24C0E">
      <w:pPr>
        <w:jc w:val="center"/>
        <w:rPr>
          <w:rFonts w:cs="Times New Roman"/>
          <w:b/>
          <w:szCs w:val="24"/>
        </w:rPr>
      </w:pPr>
      <w:r w:rsidRPr="000846AE">
        <w:rPr>
          <w:rFonts w:cs="Times New Roman"/>
          <w:b/>
          <w:noProof/>
          <w:szCs w:val="24"/>
        </w:rPr>
        <w:drawing>
          <wp:inline distT="0" distB="0" distL="0" distR="0" wp14:anchorId="1224DE9E" wp14:editId="2B7D1975">
            <wp:extent cx="5943600" cy="3566160"/>
            <wp:effectExtent l="0" t="0" r="0" b="0"/>
            <wp:docPr id="6" name="Picture 6" descr="C:\Dropbox\Luxembourg\Candidates HR\Results 2020\graph.mode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opbox\Luxembourg\Candidates HR\Results 2020\graph.model.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692DD640" w14:textId="77777777" w:rsidR="00F24C0E" w:rsidRPr="0003506A" w:rsidRDefault="00F24C0E" w:rsidP="00F24C0E">
      <w:pPr>
        <w:jc w:val="center"/>
        <w:rPr>
          <w:rFonts w:cs="Times New Roman"/>
          <w:b/>
          <w:szCs w:val="24"/>
        </w:rPr>
      </w:pPr>
    </w:p>
    <w:p w14:paraId="1E815441" w14:textId="77777777" w:rsidR="00F24C0E" w:rsidRPr="0003506A" w:rsidRDefault="00F24C0E" w:rsidP="00F24C0E">
      <w:pPr>
        <w:jc w:val="center"/>
        <w:rPr>
          <w:rFonts w:cs="Times New Roman"/>
          <w:b/>
          <w:szCs w:val="24"/>
        </w:rPr>
      </w:pPr>
    </w:p>
    <w:p w14:paraId="628A16E1" w14:textId="77777777" w:rsidR="00F24C0E" w:rsidRPr="0003506A" w:rsidRDefault="00F24C0E" w:rsidP="00F24C0E">
      <w:pPr>
        <w:rPr>
          <w:rFonts w:cs="Times New Roman"/>
          <w:b/>
          <w:szCs w:val="24"/>
        </w:rPr>
      </w:pPr>
      <w:r w:rsidRPr="0003506A">
        <w:rPr>
          <w:rFonts w:cs="Times New Roman"/>
          <w:b/>
          <w:szCs w:val="24"/>
        </w:rPr>
        <w:br w:type="page"/>
      </w:r>
    </w:p>
    <w:p w14:paraId="669CAAB3" w14:textId="77777777" w:rsidR="00F24C0E" w:rsidRPr="0003506A" w:rsidRDefault="00F24C0E" w:rsidP="00F24C0E">
      <w:pPr>
        <w:jc w:val="center"/>
        <w:rPr>
          <w:rFonts w:cs="Times New Roman"/>
          <w:b/>
          <w:szCs w:val="24"/>
        </w:rPr>
      </w:pPr>
      <w:r w:rsidRPr="0003506A">
        <w:rPr>
          <w:rFonts w:cs="Times New Roman"/>
          <w:b/>
          <w:szCs w:val="24"/>
        </w:rPr>
        <w:lastRenderedPageBreak/>
        <w:t>Figure 5. Effect of candidates’ service in combat on preferential votes, conditional on municipalities’ exposure to war violence</w:t>
      </w:r>
    </w:p>
    <w:p w14:paraId="234D83A0" w14:textId="77777777" w:rsidR="00F24C0E" w:rsidRPr="0003506A" w:rsidRDefault="00F24C0E" w:rsidP="00F24C0E">
      <w:pPr>
        <w:jc w:val="center"/>
        <w:rPr>
          <w:rFonts w:cs="Times New Roman"/>
          <w:b/>
          <w:szCs w:val="24"/>
        </w:rPr>
      </w:pPr>
    </w:p>
    <w:p w14:paraId="6FBF487F" w14:textId="77777777" w:rsidR="00F24C0E" w:rsidRPr="0003506A" w:rsidRDefault="00F24C0E" w:rsidP="00F24C0E">
      <w:pPr>
        <w:jc w:val="center"/>
        <w:rPr>
          <w:rFonts w:cs="Times New Roman"/>
          <w:b/>
          <w:szCs w:val="24"/>
        </w:rPr>
      </w:pPr>
      <w:r w:rsidRPr="000846AE">
        <w:rPr>
          <w:rFonts w:cs="Times New Roman"/>
          <w:b/>
          <w:noProof/>
          <w:szCs w:val="24"/>
        </w:rPr>
        <w:drawing>
          <wp:inline distT="0" distB="0" distL="0" distR="0" wp14:anchorId="794670F9" wp14:editId="1E68E7A3">
            <wp:extent cx="5943600" cy="3566160"/>
            <wp:effectExtent l="0" t="0" r="0" b="0"/>
            <wp:docPr id="7" name="Picture 7" descr="C:\Dropbox\Luxembourg\Candidates HR\Results 2020\graph.mode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ropbox\Luxembourg\Candidates HR\Results 2020\graph.model.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184D12E5" w14:textId="77777777" w:rsidR="00F24C0E" w:rsidRPr="0003506A" w:rsidRDefault="00F24C0E" w:rsidP="00F24C0E">
      <w:pPr>
        <w:jc w:val="center"/>
        <w:rPr>
          <w:rFonts w:cs="Times New Roman"/>
          <w:b/>
          <w:szCs w:val="24"/>
        </w:rPr>
      </w:pPr>
    </w:p>
    <w:p w14:paraId="5FDA9E40" w14:textId="77777777" w:rsidR="00F24C0E" w:rsidRPr="0003506A" w:rsidRDefault="00F24C0E" w:rsidP="00F24C0E">
      <w:pPr>
        <w:rPr>
          <w:rFonts w:cs="Times New Roman"/>
          <w:b/>
          <w:szCs w:val="24"/>
        </w:rPr>
      </w:pPr>
      <w:r w:rsidRPr="0003506A">
        <w:rPr>
          <w:rFonts w:cs="Times New Roman"/>
          <w:b/>
          <w:szCs w:val="24"/>
        </w:rPr>
        <w:br w:type="page"/>
      </w:r>
    </w:p>
    <w:p w14:paraId="60F5ECE4" w14:textId="77777777" w:rsidR="00F24C0E" w:rsidRPr="0003506A" w:rsidRDefault="00F24C0E" w:rsidP="00F24C0E">
      <w:pPr>
        <w:jc w:val="center"/>
        <w:rPr>
          <w:rFonts w:cs="Times New Roman"/>
          <w:b/>
          <w:szCs w:val="24"/>
        </w:rPr>
      </w:pPr>
      <w:r w:rsidRPr="0003506A">
        <w:rPr>
          <w:rFonts w:cs="Times New Roman"/>
          <w:b/>
          <w:szCs w:val="24"/>
        </w:rPr>
        <w:lastRenderedPageBreak/>
        <w:t>Figure 6. Effect of candidates’ service in combat on preferential votes for leftwing and rightwing parties, conditional on municipalities’ exposure to war violence</w:t>
      </w:r>
    </w:p>
    <w:p w14:paraId="558DD964" w14:textId="77777777" w:rsidR="00F24C0E" w:rsidRPr="0003506A" w:rsidRDefault="00F24C0E" w:rsidP="00F24C0E">
      <w:pPr>
        <w:jc w:val="center"/>
        <w:rPr>
          <w:rFonts w:cs="Times New Roman"/>
          <w:b/>
          <w:szCs w:val="24"/>
        </w:rPr>
      </w:pPr>
    </w:p>
    <w:p w14:paraId="3DD9C71E" w14:textId="77777777" w:rsidR="00F24C0E" w:rsidRPr="0003506A" w:rsidRDefault="00F24C0E" w:rsidP="00F24C0E">
      <w:pPr>
        <w:jc w:val="center"/>
        <w:rPr>
          <w:rFonts w:cs="Times New Roman"/>
          <w:b/>
          <w:szCs w:val="24"/>
        </w:rPr>
      </w:pPr>
      <w:r w:rsidRPr="000846AE">
        <w:rPr>
          <w:rFonts w:cs="Times New Roman"/>
          <w:b/>
          <w:noProof/>
          <w:szCs w:val="24"/>
        </w:rPr>
        <w:drawing>
          <wp:inline distT="0" distB="0" distL="0" distR="0" wp14:anchorId="398B1056" wp14:editId="26FE8EF5">
            <wp:extent cx="5943600" cy="3566160"/>
            <wp:effectExtent l="0" t="0" r="0" b="0"/>
            <wp:docPr id="9" name="Picture 9" descr="C:\Dropbox\Luxembourg\Candidates HR\Results 2020\graph.mode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ropbox\Luxembourg\Candidates HR\Results 2020\graph.model.4.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51C7F9DA" w14:textId="081A907C" w:rsidR="00F24C0E" w:rsidRDefault="00F24C0E" w:rsidP="00F24C0E"/>
    <w:sectPr w:rsidR="00F24C0E" w:rsidSect="004F0EB0">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7D479" w14:textId="77777777" w:rsidR="00AF06DA" w:rsidRDefault="00AF06DA" w:rsidP="00DD71C5">
      <w:pPr>
        <w:spacing w:line="240" w:lineRule="auto"/>
      </w:pPr>
      <w:r>
        <w:separator/>
      </w:r>
    </w:p>
  </w:endnote>
  <w:endnote w:type="continuationSeparator" w:id="0">
    <w:p w14:paraId="4E81185E" w14:textId="77777777" w:rsidR="00AF06DA" w:rsidRDefault="00AF06DA" w:rsidP="00DD71C5">
      <w:pPr>
        <w:spacing w:line="240" w:lineRule="auto"/>
      </w:pPr>
      <w:r>
        <w:continuationSeparator/>
      </w:r>
    </w:p>
  </w:endnote>
  <w:endnote w:id="1">
    <w:p w14:paraId="0C0B6DE6" w14:textId="77777777" w:rsidR="00F24C0E" w:rsidRPr="001738F5" w:rsidRDefault="00F24C0E" w:rsidP="006C7698">
      <w:pPr>
        <w:pStyle w:val="EndnoteText"/>
        <w:spacing w:line="480" w:lineRule="auto"/>
        <w:rPr>
          <w:rFonts w:cs="Times New Roman"/>
          <w:sz w:val="24"/>
          <w:szCs w:val="24"/>
        </w:rPr>
      </w:pPr>
      <w:r w:rsidRPr="001738F5">
        <w:rPr>
          <w:rStyle w:val="EndnoteReference"/>
          <w:rFonts w:cs="Times New Roman"/>
          <w:sz w:val="24"/>
          <w:szCs w:val="24"/>
        </w:rPr>
        <w:endnoteRef/>
      </w:r>
      <w:r w:rsidRPr="000E79D9">
        <w:rPr>
          <w:rFonts w:cs="Times New Roman"/>
          <w:sz w:val="24"/>
          <w:szCs w:val="24"/>
          <w:lang w:val="nl-BE"/>
        </w:rPr>
        <w:t xml:space="preserve"> M.L. 2012. “Registar branitelja ruši sve rekorde.” </w:t>
      </w:r>
      <w:r w:rsidRPr="001738F5">
        <w:rPr>
          <w:rFonts w:cs="Times New Roman"/>
          <w:i/>
          <w:sz w:val="24"/>
          <w:szCs w:val="24"/>
        </w:rPr>
        <w:t>Index.hr</w:t>
      </w:r>
      <w:r w:rsidRPr="001738F5">
        <w:rPr>
          <w:rFonts w:cs="Times New Roman"/>
          <w:sz w:val="24"/>
          <w:szCs w:val="24"/>
        </w:rPr>
        <w:t xml:space="preserve">. Available at: </w:t>
      </w:r>
      <w:hyperlink r:id="rId1" w:history="1">
        <w:r w:rsidRPr="001738F5">
          <w:rPr>
            <w:rStyle w:val="Hyperlink"/>
            <w:rFonts w:cs="Times New Roman"/>
            <w:sz w:val="24"/>
            <w:szCs w:val="24"/>
          </w:rPr>
          <w:t>https://www.index.hr/vijesti/clanak/Registar-branitelja-rusi-sve-rekorde-U-nesto-vise-od-24-sata-registar-pretrazilo-tri-milijuna-posjetitelja!/653387.aspx</w:t>
        </w:r>
      </w:hyperlink>
      <w:r w:rsidRPr="001738F5">
        <w:rPr>
          <w:rFonts w:cs="Times New Roman"/>
          <w:sz w:val="24"/>
          <w:szCs w:val="24"/>
        </w:rPr>
        <w:t xml:space="preserve"> (last accessed </w:t>
      </w:r>
      <w:r>
        <w:rPr>
          <w:rFonts w:cs="Times New Roman"/>
          <w:sz w:val="24"/>
          <w:szCs w:val="24"/>
        </w:rPr>
        <w:t>10</w:t>
      </w:r>
      <w:r w:rsidRPr="001738F5">
        <w:rPr>
          <w:rFonts w:cs="Times New Roman"/>
          <w:sz w:val="24"/>
          <w:szCs w:val="24"/>
        </w:rPr>
        <w:t xml:space="preserve"> </w:t>
      </w:r>
      <w:r>
        <w:rPr>
          <w:rFonts w:cs="Times New Roman"/>
          <w:sz w:val="24"/>
          <w:szCs w:val="24"/>
        </w:rPr>
        <w:t>December</w:t>
      </w:r>
      <w:r w:rsidRPr="001738F5">
        <w:rPr>
          <w:rFonts w:cs="Times New Roman"/>
          <w:sz w:val="24"/>
          <w:szCs w:val="24"/>
        </w:rPr>
        <w:t xml:space="preserve"> 2020).</w:t>
      </w:r>
    </w:p>
  </w:endnote>
  <w:endnote w:id="2">
    <w:p w14:paraId="2D83CDD9" w14:textId="7EF8D978" w:rsidR="00F24C0E" w:rsidRPr="00495233" w:rsidRDefault="00F24C0E" w:rsidP="006C7698">
      <w:pPr>
        <w:pStyle w:val="EndnoteText"/>
        <w:spacing w:line="480" w:lineRule="auto"/>
        <w:rPr>
          <w:rFonts w:cs="Times New Roman"/>
        </w:rPr>
      </w:pPr>
      <w:r w:rsidRPr="003F585B">
        <w:rPr>
          <w:rStyle w:val="EndnoteReference"/>
          <w:rFonts w:cs="Times New Roman"/>
          <w:sz w:val="24"/>
        </w:rPr>
        <w:endnoteRef/>
      </w:r>
      <w:r w:rsidRPr="003F585B">
        <w:rPr>
          <w:rFonts w:cs="Times New Roman"/>
          <w:sz w:val="24"/>
        </w:rPr>
        <w:t xml:space="preserve"> About 23</w:t>
      </w:r>
      <w:r>
        <w:rPr>
          <w:rFonts w:cs="Times New Roman"/>
          <w:sz w:val="24"/>
        </w:rPr>
        <w:t>%</w:t>
      </w:r>
      <w:r w:rsidRPr="003F585B">
        <w:rPr>
          <w:rFonts w:cs="Times New Roman"/>
          <w:sz w:val="24"/>
        </w:rPr>
        <w:t xml:space="preserve"> of candidates </w:t>
      </w:r>
      <w:r>
        <w:rPr>
          <w:rFonts w:cs="Times New Roman"/>
          <w:sz w:val="24"/>
        </w:rPr>
        <w:t>were combat veterans</w:t>
      </w:r>
      <w:r w:rsidRPr="003F585B">
        <w:rPr>
          <w:rFonts w:cs="Times New Roman"/>
          <w:sz w:val="24"/>
        </w:rPr>
        <w:t xml:space="preserve">. The distribution of </w:t>
      </w:r>
      <w:r w:rsidRPr="006C7698">
        <w:rPr>
          <w:rFonts w:cs="Times New Roman"/>
          <w:i/>
          <w:sz w:val="24"/>
        </w:rPr>
        <w:t>Combat days</w:t>
      </w:r>
      <w:r w:rsidRPr="003F585B">
        <w:rPr>
          <w:rFonts w:cs="Times New Roman"/>
          <w:sz w:val="24"/>
        </w:rPr>
        <w:t xml:space="preserve"> can be viewed in the </w:t>
      </w:r>
      <w:r>
        <w:rPr>
          <w:rFonts w:cs="Times New Roman"/>
          <w:sz w:val="24"/>
        </w:rPr>
        <w:t xml:space="preserve">Online </w:t>
      </w:r>
      <w:r w:rsidRPr="003F585B">
        <w:rPr>
          <w:rFonts w:cs="Times New Roman"/>
          <w:sz w:val="24"/>
        </w:rPr>
        <w:t>Appendix in Figure A1.</w:t>
      </w:r>
    </w:p>
  </w:endnote>
  <w:endnote w:id="3">
    <w:p w14:paraId="347CC7A3" w14:textId="3F7792E9" w:rsidR="00F24C0E" w:rsidRPr="00010F49" w:rsidRDefault="00F24C0E" w:rsidP="006C7698">
      <w:pPr>
        <w:pStyle w:val="EndnoteText"/>
        <w:spacing w:line="480" w:lineRule="auto"/>
        <w:rPr>
          <w:rFonts w:cs="Times New Roman"/>
        </w:rPr>
      </w:pPr>
      <w:r w:rsidRPr="009A7763">
        <w:rPr>
          <w:rStyle w:val="EndnoteReference"/>
          <w:rFonts w:cs="Times New Roman"/>
          <w:sz w:val="24"/>
        </w:rPr>
        <w:endnoteRef/>
      </w:r>
      <w:r w:rsidRPr="009A7763">
        <w:rPr>
          <w:rFonts w:cs="Times New Roman"/>
          <w:sz w:val="24"/>
        </w:rPr>
        <w:t xml:space="preserve"> As a robustness check, we reran the analyses with the votes not disaggregated on the municipal level. The results, reported in the </w:t>
      </w:r>
      <w:r>
        <w:rPr>
          <w:rFonts w:cs="Times New Roman"/>
          <w:sz w:val="24"/>
        </w:rPr>
        <w:t xml:space="preserve">Online </w:t>
      </w:r>
      <w:r w:rsidRPr="009A7763">
        <w:rPr>
          <w:rFonts w:cs="Times New Roman"/>
          <w:sz w:val="24"/>
        </w:rPr>
        <w:t>Appendix in Table A1, co</w:t>
      </w:r>
      <w:r>
        <w:rPr>
          <w:rFonts w:cs="Times New Roman"/>
          <w:sz w:val="24"/>
        </w:rPr>
        <w:t>nfirm the findings reported in Table 2</w:t>
      </w:r>
      <w:r w:rsidRPr="009A7763">
        <w:rPr>
          <w:rFonts w:cs="Times New Roman"/>
          <w:sz w:val="24"/>
        </w:rPr>
        <w:t>.</w:t>
      </w:r>
    </w:p>
  </w:endnote>
  <w:endnote w:id="4">
    <w:p w14:paraId="32038ED5" w14:textId="77777777" w:rsidR="00F24C0E" w:rsidRPr="00333C0B" w:rsidRDefault="00F24C0E" w:rsidP="006C7698">
      <w:pPr>
        <w:pStyle w:val="EndnoteText"/>
        <w:spacing w:line="480" w:lineRule="auto"/>
        <w:rPr>
          <w:rFonts w:cs="Times New Roman"/>
        </w:rPr>
      </w:pPr>
      <w:r w:rsidRPr="00333C0B">
        <w:rPr>
          <w:rStyle w:val="EndnoteReference"/>
          <w:rFonts w:cs="Times New Roman"/>
          <w:sz w:val="24"/>
        </w:rPr>
        <w:endnoteRef/>
      </w:r>
      <w:r w:rsidRPr="00333C0B">
        <w:rPr>
          <w:rFonts w:cs="Times New Roman"/>
          <w:sz w:val="24"/>
        </w:rPr>
        <w:t xml:space="preserve"> Several studies (</w:t>
      </w:r>
      <w:r>
        <w:rPr>
          <w:rFonts w:cs="Times New Roman"/>
          <w:sz w:val="24"/>
        </w:rPr>
        <w:t>e.g.</w:t>
      </w:r>
      <w:r w:rsidRPr="00333C0B">
        <w:rPr>
          <w:rFonts w:cs="Times New Roman"/>
          <w:sz w:val="24"/>
        </w:rPr>
        <w:t xml:space="preserve"> Allik, 2015; van Erkel and Thijssen, 201</w:t>
      </w:r>
      <w:r>
        <w:rPr>
          <w:rFonts w:cs="Times New Roman"/>
          <w:sz w:val="24"/>
        </w:rPr>
        <w:t>6) rely on a linear model with</w:t>
      </w:r>
      <w:r w:rsidRPr="00333C0B">
        <w:rPr>
          <w:rFonts w:cs="Times New Roman"/>
          <w:sz w:val="24"/>
        </w:rPr>
        <w:t xml:space="preserve"> log-transformed </w:t>
      </w:r>
      <w:r>
        <w:rPr>
          <w:rFonts w:cs="Times New Roman"/>
          <w:sz w:val="24"/>
        </w:rPr>
        <w:t xml:space="preserve">vote proportions as the </w:t>
      </w:r>
      <w:r w:rsidRPr="00333C0B">
        <w:rPr>
          <w:rFonts w:cs="Times New Roman"/>
          <w:sz w:val="24"/>
        </w:rPr>
        <w:t xml:space="preserve">dependent variable instead of a binomial model. </w:t>
      </w:r>
      <w:r>
        <w:rPr>
          <w:rFonts w:cs="Times New Roman"/>
          <w:sz w:val="24"/>
        </w:rPr>
        <w:t>S</w:t>
      </w:r>
      <w:r w:rsidRPr="00333C0B">
        <w:rPr>
          <w:rFonts w:cs="Times New Roman"/>
          <w:sz w:val="24"/>
        </w:rPr>
        <w:t xml:space="preserve">ince both approaches arrive at similar results, as </w:t>
      </w:r>
      <w:r>
        <w:rPr>
          <w:rFonts w:cs="Times New Roman"/>
          <w:sz w:val="24"/>
        </w:rPr>
        <w:t xml:space="preserve">our </w:t>
      </w:r>
      <w:r w:rsidRPr="00333C0B">
        <w:rPr>
          <w:rFonts w:cs="Times New Roman"/>
          <w:sz w:val="24"/>
        </w:rPr>
        <w:t>robustness checks showed, we report the findings of the more straightforward binomial model here.</w:t>
      </w:r>
    </w:p>
  </w:endnote>
  <w:endnote w:id="5">
    <w:p w14:paraId="4D8B5A51" w14:textId="77777777" w:rsidR="00F24C0E" w:rsidRPr="008A1DFD" w:rsidRDefault="00F24C0E" w:rsidP="006C7698">
      <w:pPr>
        <w:pStyle w:val="EndnoteText"/>
        <w:spacing w:line="480" w:lineRule="auto"/>
        <w:rPr>
          <w:rFonts w:cs="Times New Roman"/>
          <w:sz w:val="24"/>
          <w:szCs w:val="24"/>
        </w:rPr>
      </w:pPr>
      <w:r w:rsidRPr="008A1DFD">
        <w:rPr>
          <w:rStyle w:val="EndnoteReference"/>
          <w:rFonts w:cs="Times New Roman"/>
          <w:sz w:val="24"/>
          <w:szCs w:val="24"/>
        </w:rPr>
        <w:endnoteRef/>
      </w:r>
      <w:r w:rsidRPr="008A1DFD">
        <w:rPr>
          <w:rFonts w:cs="Times New Roman"/>
          <w:sz w:val="24"/>
          <w:szCs w:val="24"/>
        </w:rPr>
        <w:t xml:space="preserve"> </w:t>
      </w:r>
      <w:r>
        <w:rPr>
          <w:rFonts w:cs="Times New Roman"/>
          <w:sz w:val="24"/>
          <w:szCs w:val="24"/>
        </w:rPr>
        <w:t>C</w:t>
      </w:r>
      <w:r w:rsidRPr="008A1DFD">
        <w:rPr>
          <w:rFonts w:cs="Times New Roman"/>
          <w:sz w:val="24"/>
          <w:szCs w:val="24"/>
        </w:rPr>
        <w:t>ommunity-level effects of exposure to war violence could also originate from the experience</w:t>
      </w:r>
      <w:r>
        <w:rPr>
          <w:rFonts w:cs="Times New Roman"/>
          <w:sz w:val="24"/>
          <w:szCs w:val="24"/>
        </w:rPr>
        <w:t>s</w:t>
      </w:r>
      <w:r w:rsidRPr="008A1DFD">
        <w:rPr>
          <w:rFonts w:cs="Times New Roman"/>
          <w:sz w:val="24"/>
          <w:szCs w:val="24"/>
        </w:rPr>
        <w:t xml:space="preserve"> of neighboring municipalities. However, we argue that the present operationalization constitutes a conservative estimation of community-level war exposure</w:t>
      </w:r>
      <w:r>
        <w:rPr>
          <w:rFonts w:cs="Times New Roman"/>
          <w:sz w:val="24"/>
          <w:szCs w:val="24"/>
        </w:rPr>
        <w:t>’s effect</w:t>
      </w:r>
      <w:r w:rsidRPr="008A1DFD">
        <w:rPr>
          <w:rFonts w:cs="Times New Roman"/>
          <w:sz w:val="24"/>
          <w:szCs w:val="24"/>
        </w:rPr>
        <w:t xml:space="preserve"> on vote</w:t>
      </w:r>
      <w:r>
        <w:rPr>
          <w:rFonts w:cs="Times New Roman"/>
          <w:sz w:val="24"/>
          <w:szCs w:val="24"/>
        </w:rPr>
        <w:t>r</w:t>
      </w:r>
      <w:r w:rsidRPr="008A1DFD">
        <w:rPr>
          <w:rFonts w:cs="Times New Roman"/>
          <w:sz w:val="24"/>
          <w:szCs w:val="24"/>
        </w:rPr>
        <w:t xml:space="preserve"> choice. The concern is essentially that vote</w:t>
      </w:r>
      <w:r>
        <w:rPr>
          <w:rFonts w:cs="Times New Roman"/>
          <w:sz w:val="24"/>
          <w:szCs w:val="24"/>
        </w:rPr>
        <w:t>r</w:t>
      </w:r>
      <w:r w:rsidRPr="008A1DFD">
        <w:rPr>
          <w:rFonts w:cs="Times New Roman"/>
          <w:sz w:val="24"/>
          <w:szCs w:val="24"/>
        </w:rPr>
        <w:t xml:space="preserve"> choices in municipalities with low war exposure are similar to </w:t>
      </w:r>
      <w:r>
        <w:rPr>
          <w:rFonts w:cs="Times New Roman"/>
          <w:sz w:val="24"/>
          <w:szCs w:val="24"/>
        </w:rPr>
        <w:t>those</w:t>
      </w:r>
      <w:r w:rsidRPr="008A1DFD">
        <w:rPr>
          <w:rFonts w:cs="Times New Roman"/>
          <w:sz w:val="24"/>
          <w:szCs w:val="24"/>
        </w:rPr>
        <w:t xml:space="preserve"> in high war exposure municipalities because of their proximity to the latter. The extent to which this is true makes the variable </w:t>
      </w:r>
      <w:r w:rsidRPr="00D37572">
        <w:rPr>
          <w:rFonts w:cs="Times New Roman"/>
          <w:i/>
          <w:sz w:val="24"/>
          <w:szCs w:val="24"/>
        </w:rPr>
        <w:t>War disabled</w:t>
      </w:r>
      <w:r w:rsidRPr="008A1DFD">
        <w:rPr>
          <w:rFonts w:cs="Times New Roman"/>
          <w:sz w:val="24"/>
          <w:szCs w:val="24"/>
        </w:rPr>
        <w:t xml:space="preserve"> a weaker predictor of voter choice. Arguably, had we been able to </w:t>
      </w:r>
      <w:r>
        <w:rPr>
          <w:rFonts w:cs="Times New Roman"/>
          <w:sz w:val="24"/>
          <w:szCs w:val="24"/>
        </w:rPr>
        <w:t xml:space="preserve">better capture geographical correlational structures, the effect of the variable would have been stronger. As a result, the relation between </w:t>
      </w:r>
      <w:r w:rsidRPr="00D37572">
        <w:rPr>
          <w:rFonts w:cs="Times New Roman"/>
          <w:i/>
          <w:sz w:val="24"/>
          <w:szCs w:val="24"/>
        </w:rPr>
        <w:t>War disabled</w:t>
      </w:r>
      <w:r>
        <w:rPr>
          <w:rFonts w:cs="Times New Roman"/>
          <w:sz w:val="24"/>
          <w:szCs w:val="24"/>
        </w:rPr>
        <w:t xml:space="preserve"> and voter choice reported below underestimates their ‘true’ relation, rendering the analyses more conservative tests of our hypotheses.</w:t>
      </w:r>
    </w:p>
  </w:endnote>
  <w:endnote w:id="6">
    <w:p w14:paraId="60BE0155" w14:textId="77777777" w:rsidR="00F24C0E" w:rsidRPr="00F7187F" w:rsidRDefault="00F24C0E" w:rsidP="006C7698">
      <w:pPr>
        <w:pStyle w:val="EndnoteText"/>
        <w:spacing w:line="480" w:lineRule="auto"/>
        <w:rPr>
          <w:rFonts w:cs="Times New Roman"/>
        </w:rPr>
      </w:pPr>
      <w:r w:rsidRPr="00F7187F">
        <w:rPr>
          <w:rStyle w:val="EndnoteReference"/>
          <w:rFonts w:cs="Times New Roman"/>
          <w:sz w:val="24"/>
        </w:rPr>
        <w:endnoteRef/>
      </w:r>
      <w:r w:rsidRPr="00F7187F">
        <w:rPr>
          <w:rFonts w:cs="Times New Roman"/>
          <w:sz w:val="24"/>
        </w:rPr>
        <w:t xml:space="preserve"> While there is a relation between </w:t>
      </w:r>
      <w:r w:rsidRPr="00D37572">
        <w:rPr>
          <w:rFonts w:cs="Times New Roman"/>
          <w:i/>
          <w:sz w:val="24"/>
        </w:rPr>
        <w:t>Combat days</w:t>
      </w:r>
      <w:r w:rsidRPr="00F7187F">
        <w:rPr>
          <w:rFonts w:cs="Times New Roman"/>
          <w:sz w:val="24"/>
        </w:rPr>
        <w:t xml:space="preserve"> and </w:t>
      </w:r>
      <w:r w:rsidRPr="00D37572">
        <w:rPr>
          <w:rFonts w:cs="Times New Roman"/>
          <w:i/>
          <w:sz w:val="24"/>
        </w:rPr>
        <w:t>Party ideology</w:t>
      </w:r>
      <w:r w:rsidRPr="00F7187F">
        <w:rPr>
          <w:rFonts w:cs="Times New Roman"/>
          <w:sz w:val="24"/>
        </w:rPr>
        <w:t xml:space="preserve">, this correlation (r = 0.17) is not nearly high enough to raise concerns about the validity of the analyses. Furthermore, when </w:t>
      </w:r>
      <w:r>
        <w:rPr>
          <w:rFonts w:cs="Times New Roman"/>
          <w:sz w:val="24"/>
        </w:rPr>
        <w:t xml:space="preserve">we ran </w:t>
      </w:r>
      <w:r w:rsidRPr="00F7187F">
        <w:rPr>
          <w:rFonts w:cs="Times New Roman"/>
          <w:sz w:val="24"/>
        </w:rPr>
        <w:t xml:space="preserve">Model 2, with the interaction between </w:t>
      </w:r>
      <w:r w:rsidRPr="00D37572">
        <w:rPr>
          <w:rFonts w:cs="Times New Roman"/>
          <w:i/>
          <w:sz w:val="24"/>
        </w:rPr>
        <w:t>Combat days</w:t>
      </w:r>
      <w:r w:rsidRPr="00F7187F">
        <w:rPr>
          <w:rFonts w:cs="Times New Roman"/>
          <w:sz w:val="24"/>
        </w:rPr>
        <w:t xml:space="preserve"> and </w:t>
      </w:r>
      <w:r w:rsidRPr="00D37572">
        <w:rPr>
          <w:rFonts w:cs="Times New Roman"/>
          <w:i/>
          <w:sz w:val="24"/>
        </w:rPr>
        <w:t>War disabled</w:t>
      </w:r>
      <w:r w:rsidRPr="00F7187F">
        <w:rPr>
          <w:rFonts w:cs="Times New Roman"/>
          <w:sz w:val="24"/>
        </w:rPr>
        <w:t>, separate</w:t>
      </w:r>
      <w:r>
        <w:rPr>
          <w:rFonts w:cs="Times New Roman"/>
          <w:sz w:val="24"/>
        </w:rPr>
        <w:t>ly</w:t>
      </w:r>
      <w:r w:rsidRPr="00F7187F">
        <w:rPr>
          <w:rFonts w:cs="Times New Roman"/>
          <w:sz w:val="24"/>
        </w:rPr>
        <w:t xml:space="preserve"> for left- and right</w:t>
      </w:r>
      <w:r>
        <w:rPr>
          <w:rFonts w:cs="Times New Roman"/>
          <w:sz w:val="24"/>
        </w:rPr>
        <w:t>-</w:t>
      </w:r>
      <w:r w:rsidRPr="00F7187F">
        <w:rPr>
          <w:rFonts w:cs="Times New Roman"/>
          <w:sz w:val="24"/>
        </w:rPr>
        <w:t>wing parties, the conclusions of Model 4 were corroborated</w:t>
      </w:r>
      <w:r>
        <w:rPr>
          <w:rFonts w:cs="Times New Roman"/>
          <w:sz w:val="24"/>
        </w:rPr>
        <w:t xml:space="preserve"> (see Table A5 in the Appendix)</w:t>
      </w:r>
      <w:r w:rsidRPr="00F7187F">
        <w:rPr>
          <w:rFonts w:cs="Times New Roman"/>
          <w:sz w:val="24"/>
        </w:rPr>
        <w:t>.</w:t>
      </w:r>
    </w:p>
  </w:endnote>
  <w:endnote w:id="7">
    <w:p w14:paraId="744616DB" w14:textId="256E9B61" w:rsidR="00F24C0E" w:rsidRDefault="00F24C0E" w:rsidP="006C7698">
      <w:pPr>
        <w:pStyle w:val="EndnoteText"/>
        <w:spacing w:line="480" w:lineRule="auto"/>
        <w:rPr>
          <w:rFonts w:cs="Times New Roman"/>
          <w:sz w:val="24"/>
          <w:szCs w:val="24"/>
        </w:rPr>
      </w:pPr>
      <w:r w:rsidRPr="001738F5">
        <w:rPr>
          <w:rStyle w:val="EndnoteReference"/>
          <w:rFonts w:cs="Times New Roman"/>
          <w:sz w:val="24"/>
          <w:szCs w:val="24"/>
        </w:rPr>
        <w:endnoteRef/>
      </w:r>
      <w:r w:rsidRPr="001738F5">
        <w:rPr>
          <w:rFonts w:cs="Times New Roman"/>
          <w:sz w:val="24"/>
          <w:szCs w:val="24"/>
        </w:rPr>
        <w:t xml:space="preserve"> In early 2020, the Ministry of Veterans’ Affairs of the Federation of Bosnia and Herzegovina made its registry of war veterans available online (</w:t>
      </w:r>
      <w:hyperlink r:id="rId2" w:history="1">
        <w:r w:rsidRPr="001738F5">
          <w:rPr>
            <w:rStyle w:val="Hyperlink"/>
            <w:rFonts w:cs="Times New Roman"/>
            <w:sz w:val="24"/>
            <w:szCs w:val="24"/>
          </w:rPr>
          <w:t>https://registri.fmbi.gov.ba/</w:t>
        </w:r>
      </w:hyperlink>
      <w:r w:rsidRPr="001738F5">
        <w:rPr>
          <w:rFonts w:cs="Times New Roman"/>
          <w:sz w:val="24"/>
          <w:szCs w:val="24"/>
        </w:rPr>
        <w:t>). It remains to be seen for how long.</w:t>
      </w:r>
    </w:p>
    <w:p w14:paraId="1F4B9828" w14:textId="77777777" w:rsidR="00F24C0E" w:rsidRPr="001738F5" w:rsidRDefault="00F24C0E" w:rsidP="006C7698">
      <w:pPr>
        <w:pStyle w:val="EndnoteText"/>
        <w:spacing w:line="480" w:lineRule="auto"/>
        <w:rPr>
          <w:rFonts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773648"/>
      <w:docPartObj>
        <w:docPartGallery w:val="Page Numbers (Bottom of Page)"/>
        <w:docPartUnique/>
      </w:docPartObj>
    </w:sdtPr>
    <w:sdtEndPr>
      <w:rPr>
        <w:noProof/>
      </w:rPr>
    </w:sdtEndPr>
    <w:sdtContent>
      <w:p w14:paraId="69A24533" w14:textId="6E1D1BA7" w:rsidR="00E848EE" w:rsidRDefault="00E848EE">
        <w:pPr>
          <w:pStyle w:val="Footer"/>
          <w:jc w:val="center"/>
        </w:pPr>
        <w:r>
          <w:fldChar w:fldCharType="begin"/>
        </w:r>
        <w:r>
          <w:instrText xml:space="preserve"> PAGE   \* MERGEFORMAT </w:instrText>
        </w:r>
        <w:r>
          <w:fldChar w:fldCharType="separate"/>
        </w:r>
        <w:r w:rsidR="008C411A">
          <w:rPr>
            <w:noProof/>
          </w:rPr>
          <w:t>21</w:t>
        </w:r>
        <w:r>
          <w:rPr>
            <w:noProof/>
          </w:rPr>
          <w:fldChar w:fldCharType="end"/>
        </w:r>
      </w:p>
    </w:sdtContent>
  </w:sdt>
  <w:p w14:paraId="114594EA" w14:textId="77777777" w:rsidR="00E848EE" w:rsidRDefault="00E84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A9083" w14:textId="77777777" w:rsidR="00AF06DA" w:rsidRDefault="00AF06DA" w:rsidP="00DD71C5">
      <w:pPr>
        <w:spacing w:line="240" w:lineRule="auto"/>
      </w:pPr>
      <w:r>
        <w:separator/>
      </w:r>
    </w:p>
  </w:footnote>
  <w:footnote w:type="continuationSeparator" w:id="0">
    <w:p w14:paraId="0C77D5A2" w14:textId="77777777" w:rsidR="00AF06DA" w:rsidRDefault="00AF06DA" w:rsidP="00DD71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C177E"/>
    <w:multiLevelType w:val="hybridMultilevel"/>
    <w:tmpl w:val="F93280AC"/>
    <w:lvl w:ilvl="0" w:tplc="E88282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nl-BE" w:vendorID="64" w:dllVersion="131078" w:nlCheck="1" w:checkStyle="0"/>
  <w:activeWritingStyle w:appName="MSWord" w:lang="en-US" w:vendorID="64" w:dllVersion="131078" w:nlCheck="1" w:checkStyle="1"/>
  <w:activeWritingStyle w:appName="MSWord" w:lang="de-DE" w:vendorID="64" w:dllVersion="131078" w:nlCheck="1" w:checkStyle="0"/>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D4"/>
    <w:rsid w:val="00010F49"/>
    <w:rsid w:val="0003312C"/>
    <w:rsid w:val="0003506A"/>
    <w:rsid w:val="0003696B"/>
    <w:rsid w:val="00053E24"/>
    <w:rsid w:val="000710CF"/>
    <w:rsid w:val="000846AE"/>
    <w:rsid w:val="00090327"/>
    <w:rsid w:val="000A673D"/>
    <w:rsid w:val="000E79D9"/>
    <w:rsid w:val="000F1716"/>
    <w:rsid w:val="001255A4"/>
    <w:rsid w:val="00131C54"/>
    <w:rsid w:val="0014787A"/>
    <w:rsid w:val="0016265C"/>
    <w:rsid w:val="001738F5"/>
    <w:rsid w:val="00185FCE"/>
    <w:rsid w:val="001B5435"/>
    <w:rsid w:val="001E1035"/>
    <w:rsid w:val="001E21DA"/>
    <w:rsid w:val="001E2484"/>
    <w:rsid w:val="00215BCE"/>
    <w:rsid w:val="00217A63"/>
    <w:rsid w:val="002252DB"/>
    <w:rsid w:val="002569F6"/>
    <w:rsid w:val="002652DD"/>
    <w:rsid w:val="002924AF"/>
    <w:rsid w:val="002A2124"/>
    <w:rsid w:val="002A6330"/>
    <w:rsid w:val="002A6DE1"/>
    <w:rsid w:val="002D0689"/>
    <w:rsid w:val="002D30C0"/>
    <w:rsid w:val="00312756"/>
    <w:rsid w:val="00324C00"/>
    <w:rsid w:val="00333C0B"/>
    <w:rsid w:val="003472A9"/>
    <w:rsid w:val="0035096A"/>
    <w:rsid w:val="00356882"/>
    <w:rsid w:val="00383D62"/>
    <w:rsid w:val="003952E2"/>
    <w:rsid w:val="003B4DD6"/>
    <w:rsid w:val="003B7FD4"/>
    <w:rsid w:val="003F585B"/>
    <w:rsid w:val="00404985"/>
    <w:rsid w:val="004103C6"/>
    <w:rsid w:val="0041052C"/>
    <w:rsid w:val="004449FB"/>
    <w:rsid w:val="0045338A"/>
    <w:rsid w:val="00483CFC"/>
    <w:rsid w:val="00485E7E"/>
    <w:rsid w:val="004930B9"/>
    <w:rsid w:val="00495233"/>
    <w:rsid w:val="004A6239"/>
    <w:rsid w:val="004B1CC0"/>
    <w:rsid w:val="004D38F7"/>
    <w:rsid w:val="004F09AA"/>
    <w:rsid w:val="004F0EB0"/>
    <w:rsid w:val="00504CF8"/>
    <w:rsid w:val="00520FDB"/>
    <w:rsid w:val="0052170B"/>
    <w:rsid w:val="0052533C"/>
    <w:rsid w:val="00550FE8"/>
    <w:rsid w:val="00556477"/>
    <w:rsid w:val="00566F8C"/>
    <w:rsid w:val="005803ED"/>
    <w:rsid w:val="0058467A"/>
    <w:rsid w:val="00605C5C"/>
    <w:rsid w:val="0061435C"/>
    <w:rsid w:val="00626FED"/>
    <w:rsid w:val="006466F9"/>
    <w:rsid w:val="006518EF"/>
    <w:rsid w:val="00672195"/>
    <w:rsid w:val="00674D4B"/>
    <w:rsid w:val="006A0BAC"/>
    <w:rsid w:val="006A39BC"/>
    <w:rsid w:val="006A5FA0"/>
    <w:rsid w:val="006A7D20"/>
    <w:rsid w:val="006B77B3"/>
    <w:rsid w:val="006B7D5C"/>
    <w:rsid w:val="006C6662"/>
    <w:rsid w:val="006C7698"/>
    <w:rsid w:val="006F558B"/>
    <w:rsid w:val="006F5C62"/>
    <w:rsid w:val="007100EB"/>
    <w:rsid w:val="007320D6"/>
    <w:rsid w:val="007446C8"/>
    <w:rsid w:val="0075717B"/>
    <w:rsid w:val="007628C3"/>
    <w:rsid w:val="00773B35"/>
    <w:rsid w:val="00777ECB"/>
    <w:rsid w:val="007A24D8"/>
    <w:rsid w:val="007A5D26"/>
    <w:rsid w:val="007A68B7"/>
    <w:rsid w:val="00802061"/>
    <w:rsid w:val="00827320"/>
    <w:rsid w:val="00842E10"/>
    <w:rsid w:val="00844B2A"/>
    <w:rsid w:val="008A1DFD"/>
    <w:rsid w:val="008A4D9B"/>
    <w:rsid w:val="008C411A"/>
    <w:rsid w:val="008C5238"/>
    <w:rsid w:val="00911ECC"/>
    <w:rsid w:val="00912C66"/>
    <w:rsid w:val="009201A8"/>
    <w:rsid w:val="00930247"/>
    <w:rsid w:val="00933822"/>
    <w:rsid w:val="00937683"/>
    <w:rsid w:val="00960D44"/>
    <w:rsid w:val="00962EB7"/>
    <w:rsid w:val="00963212"/>
    <w:rsid w:val="00964199"/>
    <w:rsid w:val="00981C03"/>
    <w:rsid w:val="00983692"/>
    <w:rsid w:val="009939DC"/>
    <w:rsid w:val="00994D96"/>
    <w:rsid w:val="009A7763"/>
    <w:rsid w:val="009E46ED"/>
    <w:rsid w:val="009F4AA6"/>
    <w:rsid w:val="009F7FF4"/>
    <w:rsid w:val="00A04724"/>
    <w:rsid w:val="00A103CF"/>
    <w:rsid w:val="00A11048"/>
    <w:rsid w:val="00A141A6"/>
    <w:rsid w:val="00A16399"/>
    <w:rsid w:val="00A33093"/>
    <w:rsid w:val="00A43F33"/>
    <w:rsid w:val="00A63710"/>
    <w:rsid w:val="00A64976"/>
    <w:rsid w:val="00A94C2E"/>
    <w:rsid w:val="00AA2739"/>
    <w:rsid w:val="00AC5A21"/>
    <w:rsid w:val="00AC7C8B"/>
    <w:rsid w:val="00AD6559"/>
    <w:rsid w:val="00AF06DA"/>
    <w:rsid w:val="00AF74D4"/>
    <w:rsid w:val="00B0068C"/>
    <w:rsid w:val="00B01119"/>
    <w:rsid w:val="00B02D17"/>
    <w:rsid w:val="00B066EC"/>
    <w:rsid w:val="00B15863"/>
    <w:rsid w:val="00B44312"/>
    <w:rsid w:val="00B450C0"/>
    <w:rsid w:val="00B50C53"/>
    <w:rsid w:val="00B57D44"/>
    <w:rsid w:val="00B640D9"/>
    <w:rsid w:val="00B8594F"/>
    <w:rsid w:val="00B9168D"/>
    <w:rsid w:val="00BA32BB"/>
    <w:rsid w:val="00BB631D"/>
    <w:rsid w:val="00BC4922"/>
    <w:rsid w:val="00BD2D96"/>
    <w:rsid w:val="00BE2771"/>
    <w:rsid w:val="00C12ADA"/>
    <w:rsid w:val="00C2549F"/>
    <w:rsid w:val="00C56CFC"/>
    <w:rsid w:val="00C804E1"/>
    <w:rsid w:val="00C8428C"/>
    <w:rsid w:val="00C85BB2"/>
    <w:rsid w:val="00C927F0"/>
    <w:rsid w:val="00CB3365"/>
    <w:rsid w:val="00CD5DC6"/>
    <w:rsid w:val="00CF35A4"/>
    <w:rsid w:val="00D007A5"/>
    <w:rsid w:val="00D21454"/>
    <w:rsid w:val="00D238F6"/>
    <w:rsid w:val="00D37572"/>
    <w:rsid w:val="00D378C9"/>
    <w:rsid w:val="00D42FEB"/>
    <w:rsid w:val="00D55D48"/>
    <w:rsid w:val="00D560B3"/>
    <w:rsid w:val="00D56B6F"/>
    <w:rsid w:val="00D60479"/>
    <w:rsid w:val="00D65CEA"/>
    <w:rsid w:val="00D704A4"/>
    <w:rsid w:val="00DB4793"/>
    <w:rsid w:val="00DB6EED"/>
    <w:rsid w:val="00DD2765"/>
    <w:rsid w:val="00DD44AE"/>
    <w:rsid w:val="00DD71C5"/>
    <w:rsid w:val="00E010BD"/>
    <w:rsid w:val="00E33222"/>
    <w:rsid w:val="00E62992"/>
    <w:rsid w:val="00E65C63"/>
    <w:rsid w:val="00E803CC"/>
    <w:rsid w:val="00E848EE"/>
    <w:rsid w:val="00E92E36"/>
    <w:rsid w:val="00EA01AA"/>
    <w:rsid w:val="00EA3DED"/>
    <w:rsid w:val="00ED4535"/>
    <w:rsid w:val="00EF0F2E"/>
    <w:rsid w:val="00F03661"/>
    <w:rsid w:val="00F03CC2"/>
    <w:rsid w:val="00F04F35"/>
    <w:rsid w:val="00F10475"/>
    <w:rsid w:val="00F10D75"/>
    <w:rsid w:val="00F24C0E"/>
    <w:rsid w:val="00F273A5"/>
    <w:rsid w:val="00F659D3"/>
    <w:rsid w:val="00F7187F"/>
    <w:rsid w:val="00F7322E"/>
    <w:rsid w:val="00F966BB"/>
    <w:rsid w:val="00F97234"/>
    <w:rsid w:val="00FA0A73"/>
    <w:rsid w:val="00FA1D64"/>
    <w:rsid w:val="00FA22EF"/>
    <w:rsid w:val="00FB1CF3"/>
    <w:rsid w:val="00FC2D3D"/>
    <w:rsid w:val="00FE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0358"/>
  <w15:chartTrackingRefBased/>
  <w15:docId w15:val="{79F3EB55-C843-4901-928D-CF27F408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73D"/>
    <w:pPr>
      <w:ind w:left="720"/>
      <w:contextualSpacing/>
    </w:pPr>
  </w:style>
  <w:style w:type="paragraph" w:styleId="Header">
    <w:name w:val="header"/>
    <w:basedOn w:val="Normal"/>
    <w:link w:val="HeaderChar"/>
    <w:uiPriority w:val="99"/>
    <w:unhideWhenUsed/>
    <w:rsid w:val="00DD71C5"/>
    <w:pPr>
      <w:tabs>
        <w:tab w:val="center" w:pos="4680"/>
        <w:tab w:val="right" w:pos="9360"/>
      </w:tabs>
      <w:spacing w:line="240" w:lineRule="auto"/>
    </w:pPr>
  </w:style>
  <w:style w:type="character" w:customStyle="1" w:styleId="HeaderChar">
    <w:name w:val="Header Char"/>
    <w:basedOn w:val="DefaultParagraphFont"/>
    <w:link w:val="Header"/>
    <w:uiPriority w:val="99"/>
    <w:rsid w:val="00DD71C5"/>
  </w:style>
  <w:style w:type="paragraph" w:styleId="Footer">
    <w:name w:val="footer"/>
    <w:basedOn w:val="Normal"/>
    <w:link w:val="FooterChar"/>
    <w:uiPriority w:val="99"/>
    <w:unhideWhenUsed/>
    <w:rsid w:val="00DD71C5"/>
    <w:pPr>
      <w:tabs>
        <w:tab w:val="center" w:pos="4680"/>
        <w:tab w:val="right" w:pos="9360"/>
      </w:tabs>
      <w:spacing w:line="240" w:lineRule="auto"/>
    </w:pPr>
  </w:style>
  <w:style w:type="character" w:customStyle="1" w:styleId="FooterChar">
    <w:name w:val="Footer Char"/>
    <w:basedOn w:val="DefaultParagraphFont"/>
    <w:link w:val="Footer"/>
    <w:uiPriority w:val="99"/>
    <w:rsid w:val="00DD71C5"/>
  </w:style>
  <w:style w:type="character" w:styleId="CommentReference">
    <w:name w:val="annotation reference"/>
    <w:basedOn w:val="DefaultParagraphFont"/>
    <w:uiPriority w:val="99"/>
    <w:semiHidden/>
    <w:unhideWhenUsed/>
    <w:rsid w:val="00131C54"/>
    <w:rPr>
      <w:sz w:val="16"/>
      <w:szCs w:val="16"/>
    </w:rPr>
  </w:style>
  <w:style w:type="paragraph" w:styleId="FootnoteText">
    <w:name w:val="footnote text"/>
    <w:basedOn w:val="Normal"/>
    <w:link w:val="FootnoteTextChar"/>
    <w:uiPriority w:val="99"/>
    <w:semiHidden/>
    <w:unhideWhenUsed/>
    <w:rsid w:val="00131C54"/>
    <w:pPr>
      <w:spacing w:line="240" w:lineRule="auto"/>
      <w:jc w:val="left"/>
    </w:pPr>
    <w:rPr>
      <w:rFonts w:ascii="Calibri" w:hAnsi="Calibri"/>
      <w:sz w:val="20"/>
      <w:szCs w:val="20"/>
    </w:rPr>
  </w:style>
  <w:style w:type="character" w:customStyle="1" w:styleId="FootnoteTextChar">
    <w:name w:val="Footnote Text Char"/>
    <w:basedOn w:val="DefaultParagraphFont"/>
    <w:link w:val="FootnoteText"/>
    <w:uiPriority w:val="99"/>
    <w:semiHidden/>
    <w:rsid w:val="00131C54"/>
    <w:rPr>
      <w:rFonts w:ascii="Calibri" w:hAnsi="Calibri"/>
      <w:sz w:val="20"/>
      <w:szCs w:val="20"/>
    </w:rPr>
  </w:style>
  <w:style w:type="character" w:styleId="FootnoteReference">
    <w:name w:val="footnote reference"/>
    <w:basedOn w:val="DefaultParagraphFont"/>
    <w:uiPriority w:val="99"/>
    <w:semiHidden/>
    <w:unhideWhenUsed/>
    <w:rsid w:val="00131C54"/>
    <w:rPr>
      <w:vertAlign w:val="superscript"/>
    </w:rPr>
  </w:style>
  <w:style w:type="character" w:styleId="Hyperlink">
    <w:name w:val="Hyperlink"/>
    <w:basedOn w:val="DefaultParagraphFont"/>
    <w:uiPriority w:val="99"/>
    <w:unhideWhenUsed/>
    <w:rsid w:val="00131C54"/>
    <w:rPr>
      <w:color w:val="0563C1" w:themeColor="hyperlink"/>
      <w:u w:val="single"/>
    </w:rPr>
  </w:style>
  <w:style w:type="paragraph" w:styleId="BalloonText">
    <w:name w:val="Balloon Text"/>
    <w:basedOn w:val="Normal"/>
    <w:link w:val="BalloonTextChar"/>
    <w:uiPriority w:val="99"/>
    <w:semiHidden/>
    <w:unhideWhenUsed/>
    <w:rsid w:val="006466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6F9"/>
    <w:rPr>
      <w:rFonts w:ascii="Segoe UI" w:hAnsi="Segoe UI" w:cs="Segoe UI"/>
      <w:sz w:val="18"/>
      <w:szCs w:val="18"/>
    </w:rPr>
  </w:style>
  <w:style w:type="table" w:styleId="TableGrid">
    <w:name w:val="Table Grid"/>
    <w:basedOn w:val="TableNormal"/>
    <w:uiPriority w:val="39"/>
    <w:rsid w:val="00DD27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F7FF4"/>
    <w:rPr>
      <w:color w:val="954F72" w:themeColor="followedHyperlink"/>
      <w:u w:val="single"/>
    </w:rPr>
  </w:style>
  <w:style w:type="paragraph" w:styleId="Bibliography">
    <w:name w:val="Bibliography"/>
    <w:basedOn w:val="Normal"/>
    <w:next w:val="Normal"/>
    <w:uiPriority w:val="37"/>
    <w:semiHidden/>
    <w:unhideWhenUsed/>
    <w:rsid w:val="00333C0B"/>
  </w:style>
  <w:style w:type="paragraph" w:styleId="CommentText">
    <w:name w:val="annotation text"/>
    <w:basedOn w:val="Normal"/>
    <w:link w:val="CommentTextChar"/>
    <w:uiPriority w:val="99"/>
    <w:semiHidden/>
    <w:unhideWhenUsed/>
    <w:rsid w:val="006C7698"/>
    <w:pPr>
      <w:spacing w:line="240" w:lineRule="auto"/>
    </w:pPr>
    <w:rPr>
      <w:sz w:val="20"/>
      <w:szCs w:val="20"/>
    </w:rPr>
  </w:style>
  <w:style w:type="character" w:customStyle="1" w:styleId="CommentTextChar">
    <w:name w:val="Comment Text Char"/>
    <w:basedOn w:val="DefaultParagraphFont"/>
    <w:link w:val="CommentText"/>
    <w:uiPriority w:val="99"/>
    <w:semiHidden/>
    <w:rsid w:val="006C7698"/>
    <w:rPr>
      <w:sz w:val="20"/>
      <w:szCs w:val="20"/>
    </w:rPr>
  </w:style>
  <w:style w:type="paragraph" w:styleId="CommentSubject">
    <w:name w:val="annotation subject"/>
    <w:basedOn w:val="CommentText"/>
    <w:next w:val="CommentText"/>
    <w:link w:val="CommentSubjectChar"/>
    <w:uiPriority w:val="99"/>
    <w:semiHidden/>
    <w:unhideWhenUsed/>
    <w:rsid w:val="006C7698"/>
    <w:rPr>
      <w:b/>
      <w:bCs/>
    </w:rPr>
  </w:style>
  <w:style w:type="character" w:customStyle="1" w:styleId="CommentSubjectChar">
    <w:name w:val="Comment Subject Char"/>
    <w:basedOn w:val="CommentTextChar"/>
    <w:link w:val="CommentSubject"/>
    <w:uiPriority w:val="99"/>
    <w:semiHidden/>
    <w:rsid w:val="006C7698"/>
    <w:rPr>
      <w:b/>
      <w:bCs/>
      <w:sz w:val="20"/>
      <w:szCs w:val="20"/>
    </w:rPr>
  </w:style>
  <w:style w:type="paragraph" w:styleId="EndnoteText">
    <w:name w:val="endnote text"/>
    <w:basedOn w:val="Normal"/>
    <w:link w:val="EndnoteTextChar"/>
    <w:uiPriority w:val="99"/>
    <w:semiHidden/>
    <w:unhideWhenUsed/>
    <w:rsid w:val="00F24C0E"/>
    <w:pPr>
      <w:spacing w:line="240" w:lineRule="auto"/>
    </w:pPr>
    <w:rPr>
      <w:sz w:val="20"/>
      <w:szCs w:val="20"/>
    </w:rPr>
  </w:style>
  <w:style w:type="character" w:customStyle="1" w:styleId="EndnoteTextChar">
    <w:name w:val="Endnote Text Char"/>
    <w:basedOn w:val="DefaultParagraphFont"/>
    <w:link w:val="EndnoteText"/>
    <w:uiPriority w:val="99"/>
    <w:semiHidden/>
    <w:rsid w:val="00F24C0E"/>
    <w:rPr>
      <w:sz w:val="20"/>
      <w:szCs w:val="20"/>
    </w:rPr>
  </w:style>
  <w:style w:type="character" w:styleId="EndnoteReference">
    <w:name w:val="endnote reference"/>
    <w:basedOn w:val="DefaultParagraphFont"/>
    <w:uiPriority w:val="99"/>
    <w:semiHidden/>
    <w:unhideWhenUsed/>
    <w:rsid w:val="00F24C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04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904-9986" TargetMode="External"/><Relationship Id="rId13" Type="http://schemas.openxmlformats.org/officeDocument/2006/relationships/hyperlink" Target="https://doi.org/10.1017/gov.2020.25"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lesschaeve@uni.lu"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josip.glaurdic@uni.lu"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orcid.org/0000-0002-0632-6760" TargetMode="External"/><Relationship Id="rId14" Type="http://schemas.openxmlformats.org/officeDocument/2006/relationships/hyperlink" Target="https://elwar.uni.lu/publications"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registri.fmbi.gov.ba/" TargetMode="External"/><Relationship Id="rId1" Type="http://schemas.openxmlformats.org/officeDocument/2006/relationships/hyperlink" Target="https://www.index.hr/vijesti/clanak/Registar-branitelja-rusi-sve-rekorde-U-nesto-vise-od-24-sata-registar-pretrazilo-tri-milijuna-posjetitelja!/653387.asp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ata\ELWar\Publications\Sabor%20Women\Data\sabor_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ata\ELWar\Publications\Sabor%20Women\Data\sabor_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65347600780672E-2"/>
          <c:y val="4.1388703392504639E-2"/>
          <c:w val="0.90584225048791978"/>
          <c:h val="0.71300716953717236"/>
        </c:manualLayout>
      </c:layout>
      <c:barChart>
        <c:barDir val="col"/>
        <c:grouping val="clustered"/>
        <c:varyColors val="0"/>
        <c:ser>
          <c:idx val="0"/>
          <c:order val="0"/>
          <c:tx>
            <c:strRef>
              <c:f>Veterans!$BR$1</c:f>
              <c:strCache>
                <c:ptCount val="1"/>
                <c:pt idx="0">
                  <c:v>Combat veterans among male HDZ candidates</c:v>
                </c:pt>
              </c:strCache>
            </c:strRef>
          </c:tx>
          <c:spPr>
            <a:solidFill>
              <a:schemeClr val="tx1">
                <a:lumMod val="65000"/>
                <a:lumOff val="35000"/>
              </a:schemeClr>
            </a:solidFill>
            <a:ln>
              <a:solidFill>
                <a:schemeClr val="tx1"/>
              </a:solidFill>
            </a:ln>
            <a:effectLst/>
          </c:spPr>
          <c:invertIfNegative val="0"/>
          <c:cat>
            <c:numRef>
              <c:f>Veterans!$BG$2:$BG$7</c:f>
              <c:numCache>
                <c:formatCode>General</c:formatCode>
                <c:ptCount val="6"/>
                <c:pt idx="0">
                  <c:v>2000</c:v>
                </c:pt>
                <c:pt idx="1">
                  <c:v>2003</c:v>
                </c:pt>
                <c:pt idx="2">
                  <c:v>2007</c:v>
                </c:pt>
                <c:pt idx="3">
                  <c:v>2011</c:v>
                </c:pt>
                <c:pt idx="4">
                  <c:v>2015</c:v>
                </c:pt>
                <c:pt idx="5">
                  <c:v>2016</c:v>
                </c:pt>
              </c:numCache>
            </c:numRef>
          </c:cat>
          <c:val>
            <c:numRef>
              <c:f>Veterans!$BR$2:$BR$7</c:f>
              <c:numCache>
                <c:formatCode>0%</c:formatCode>
                <c:ptCount val="6"/>
                <c:pt idx="0">
                  <c:v>0.41666666666666669</c:v>
                </c:pt>
                <c:pt idx="1">
                  <c:v>0.44347826086956521</c:v>
                </c:pt>
                <c:pt idx="2">
                  <c:v>0.53097345132743368</c:v>
                </c:pt>
                <c:pt idx="3">
                  <c:v>0.5092592592592593</c:v>
                </c:pt>
                <c:pt idx="4">
                  <c:v>0.47706422018348627</c:v>
                </c:pt>
                <c:pt idx="5">
                  <c:v>0.43269230769230771</c:v>
                </c:pt>
              </c:numCache>
            </c:numRef>
          </c:val>
          <c:extLst>
            <c:ext xmlns:c16="http://schemas.microsoft.com/office/drawing/2014/chart" uri="{C3380CC4-5D6E-409C-BE32-E72D297353CC}">
              <c16:uniqueId val="{00000000-C0D2-4A77-A2B4-1420B27B2CE8}"/>
            </c:ext>
          </c:extLst>
        </c:ser>
        <c:ser>
          <c:idx val="1"/>
          <c:order val="1"/>
          <c:tx>
            <c:strRef>
              <c:f>Veterans!$BS$1</c:f>
              <c:strCache>
                <c:ptCount val="1"/>
                <c:pt idx="0">
                  <c:v>Combat veterans among male SDP candidates</c:v>
                </c:pt>
              </c:strCache>
            </c:strRef>
          </c:tx>
          <c:spPr>
            <a:solidFill>
              <a:schemeClr val="bg1">
                <a:lumMod val="75000"/>
              </a:schemeClr>
            </a:solidFill>
            <a:ln>
              <a:solidFill>
                <a:schemeClr val="tx1"/>
              </a:solidFill>
            </a:ln>
            <a:effectLst/>
          </c:spPr>
          <c:invertIfNegative val="0"/>
          <c:cat>
            <c:numRef>
              <c:f>Veterans!$BG$2:$BG$7</c:f>
              <c:numCache>
                <c:formatCode>General</c:formatCode>
                <c:ptCount val="6"/>
                <c:pt idx="0">
                  <c:v>2000</c:v>
                </c:pt>
                <c:pt idx="1">
                  <c:v>2003</c:v>
                </c:pt>
                <c:pt idx="2">
                  <c:v>2007</c:v>
                </c:pt>
                <c:pt idx="3">
                  <c:v>2011</c:v>
                </c:pt>
                <c:pt idx="4">
                  <c:v>2015</c:v>
                </c:pt>
                <c:pt idx="5">
                  <c:v>2016</c:v>
                </c:pt>
              </c:numCache>
            </c:numRef>
          </c:cat>
          <c:val>
            <c:numRef>
              <c:f>Veterans!$BS$2:$BS$7</c:f>
              <c:numCache>
                <c:formatCode>0%</c:formatCode>
                <c:ptCount val="6"/>
                <c:pt idx="0">
                  <c:v>0.28712871287128711</c:v>
                </c:pt>
                <c:pt idx="1">
                  <c:v>0.34831460674157305</c:v>
                </c:pt>
                <c:pt idx="2">
                  <c:v>0.33673469387755101</c:v>
                </c:pt>
                <c:pt idx="3">
                  <c:v>0.32989690721649484</c:v>
                </c:pt>
                <c:pt idx="4">
                  <c:v>0.32142857142857145</c:v>
                </c:pt>
                <c:pt idx="5">
                  <c:v>0.30952380952380953</c:v>
                </c:pt>
              </c:numCache>
            </c:numRef>
          </c:val>
          <c:extLst>
            <c:ext xmlns:c16="http://schemas.microsoft.com/office/drawing/2014/chart" uri="{C3380CC4-5D6E-409C-BE32-E72D297353CC}">
              <c16:uniqueId val="{00000001-C0D2-4A77-A2B4-1420B27B2CE8}"/>
            </c:ext>
          </c:extLst>
        </c:ser>
        <c:dLbls>
          <c:showLegendKey val="0"/>
          <c:showVal val="0"/>
          <c:showCatName val="0"/>
          <c:showSerName val="0"/>
          <c:showPercent val="0"/>
          <c:showBubbleSize val="0"/>
        </c:dLbls>
        <c:gapWidth val="150"/>
        <c:axId val="415087592"/>
        <c:axId val="415089560"/>
      </c:barChart>
      <c:lineChart>
        <c:grouping val="standard"/>
        <c:varyColors val="0"/>
        <c:ser>
          <c:idx val="2"/>
          <c:order val="2"/>
          <c:tx>
            <c:strRef>
              <c:f>Veterans!$BT$1</c:f>
              <c:strCache>
                <c:ptCount val="1"/>
                <c:pt idx="0">
                  <c:v>Combat veterans among male HDZ MPs</c:v>
                </c:pt>
              </c:strCache>
            </c:strRef>
          </c:tx>
          <c:spPr>
            <a:ln w="28575" cap="rnd">
              <a:solidFill>
                <a:schemeClr val="tx1"/>
              </a:solidFill>
              <a:prstDash val="sysDash"/>
              <a:round/>
            </a:ln>
            <a:effectLst/>
          </c:spPr>
          <c:marker>
            <c:symbol val="none"/>
          </c:marker>
          <c:val>
            <c:numRef>
              <c:f>Veterans!$BT$2:$BT$7</c:f>
              <c:numCache>
                <c:formatCode>0%</c:formatCode>
                <c:ptCount val="6"/>
                <c:pt idx="0">
                  <c:v>0.33333333333333331</c:v>
                </c:pt>
                <c:pt idx="1">
                  <c:v>0.41818181818181815</c:v>
                </c:pt>
                <c:pt idx="2">
                  <c:v>0.40384615384615385</c:v>
                </c:pt>
                <c:pt idx="3">
                  <c:v>0.54054054054054057</c:v>
                </c:pt>
                <c:pt idx="4">
                  <c:v>0.48076923076923078</c:v>
                </c:pt>
                <c:pt idx="5">
                  <c:v>0.44444444444444442</c:v>
                </c:pt>
              </c:numCache>
            </c:numRef>
          </c:val>
          <c:smooth val="0"/>
          <c:extLst>
            <c:ext xmlns:c16="http://schemas.microsoft.com/office/drawing/2014/chart" uri="{C3380CC4-5D6E-409C-BE32-E72D297353CC}">
              <c16:uniqueId val="{00000002-C0D2-4A77-A2B4-1420B27B2CE8}"/>
            </c:ext>
          </c:extLst>
        </c:ser>
        <c:ser>
          <c:idx val="3"/>
          <c:order val="3"/>
          <c:tx>
            <c:strRef>
              <c:f>Veterans!$BU$1</c:f>
              <c:strCache>
                <c:ptCount val="1"/>
                <c:pt idx="0">
                  <c:v>Combat veterans among male SDP MPs</c:v>
                </c:pt>
              </c:strCache>
            </c:strRef>
          </c:tx>
          <c:spPr>
            <a:ln w="28575" cap="rnd">
              <a:solidFill>
                <a:schemeClr val="bg1">
                  <a:lumMod val="65000"/>
                </a:schemeClr>
              </a:solidFill>
              <a:prstDash val="sysDash"/>
              <a:round/>
            </a:ln>
            <a:effectLst/>
          </c:spPr>
          <c:marker>
            <c:symbol val="none"/>
          </c:marker>
          <c:val>
            <c:numRef>
              <c:f>Veterans!$BU$2:$BU$7</c:f>
              <c:numCache>
                <c:formatCode>0%</c:formatCode>
                <c:ptCount val="6"/>
                <c:pt idx="0">
                  <c:v>0.16981132075471697</c:v>
                </c:pt>
                <c:pt idx="1">
                  <c:v>0.22580645161290322</c:v>
                </c:pt>
                <c:pt idx="2">
                  <c:v>0.34210526315789475</c:v>
                </c:pt>
                <c:pt idx="3">
                  <c:v>0.34482758620689657</c:v>
                </c:pt>
                <c:pt idx="4">
                  <c:v>0.32558139534883723</c:v>
                </c:pt>
                <c:pt idx="5">
                  <c:v>0.27272727272727271</c:v>
                </c:pt>
              </c:numCache>
            </c:numRef>
          </c:val>
          <c:smooth val="0"/>
          <c:extLst>
            <c:ext xmlns:c16="http://schemas.microsoft.com/office/drawing/2014/chart" uri="{C3380CC4-5D6E-409C-BE32-E72D297353CC}">
              <c16:uniqueId val="{00000003-C0D2-4A77-A2B4-1420B27B2CE8}"/>
            </c:ext>
          </c:extLst>
        </c:ser>
        <c:dLbls>
          <c:showLegendKey val="0"/>
          <c:showVal val="0"/>
          <c:showCatName val="0"/>
          <c:showSerName val="0"/>
          <c:showPercent val="0"/>
          <c:showBubbleSize val="0"/>
        </c:dLbls>
        <c:marker val="1"/>
        <c:smooth val="0"/>
        <c:axId val="415087592"/>
        <c:axId val="415089560"/>
      </c:lineChart>
      <c:catAx>
        <c:axId val="41508759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15089560"/>
        <c:crosses val="autoZero"/>
        <c:auto val="1"/>
        <c:lblAlgn val="ctr"/>
        <c:lblOffset val="100"/>
        <c:noMultiLvlLbl val="0"/>
      </c:catAx>
      <c:valAx>
        <c:axId val="415089560"/>
        <c:scaling>
          <c:orientation val="minMax"/>
          <c:max val="0.60000000000000009"/>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15087592"/>
        <c:crosses val="autoZero"/>
        <c:crossBetween val="between"/>
        <c:majorUnit val="0.1"/>
      </c:valAx>
      <c:spPr>
        <a:noFill/>
        <a:ln>
          <a:noFill/>
        </a:ln>
        <a:effectLst/>
      </c:spPr>
    </c:plotArea>
    <c:legend>
      <c:legendPos val="b"/>
      <c:layout>
        <c:manualLayout>
          <c:xMode val="edge"/>
          <c:yMode val="edge"/>
          <c:x val="1.8837420883486822E-2"/>
          <c:y val="0.86578935058860218"/>
          <c:w val="0.96024702024466391"/>
          <c:h val="0.1144086692133780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Veterans!$R$1</c:f>
              <c:strCache>
                <c:ptCount val="1"/>
                <c:pt idx="0">
                  <c:v>% veteran candidates</c:v>
                </c:pt>
              </c:strCache>
            </c:strRef>
          </c:tx>
          <c:spPr>
            <a:solidFill>
              <a:schemeClr val="bg1">
                <a:lumMod val="75000"/>
              </a:schemeClr>
            </a:solidFill>
            <a:ln>
              <a:solidFill>
                <a:schemeClr val="tx1"/>
              </a:solidFill>
            </a:ln>
            <a:effectLst/>
          </c:spPr>
          <c:invertIfNegative val="0"/>
          <c:cat>
            <c:strRef>
              <c:f>Veterans!$G$2:$G$6</c:f>
              <c:strCache>
                <c:ptCount val="5"/>
                <c:pt idx="0">
                  <c:v>Left</c:v>
                </c:pt>
                <c:pt idx="1">
                  <c:v>Center-left</c:v>
                </c:pt>
                <c:pt idx="2">
                  <c:v>Center</c:v>
                </c:pt>
                <c:pt idx="3">
                  <c:v>Center-right</c:v>
                </c:pt>
                <c:pt idx="4">
                  <c:v>Right</c:v>
                </c:pt>
              </c:strCache>
            </c:strRef>
          </c:cat>
          <c:val>
            <c:numRef>
              <c:f>Veterans!$R$2:$R$6</c:f>
              <c:numCache>
                <c:formatCode>0%</c:formatCode>
                <c:ptCount val="5"/>
                <c:pt idx="0">
                  <c:v>0.16159999999999999</c:v>
                </c:pt>
                <c:pt idx="1">
                  <c:v>0.18440000000000001</c:v>
                </c:pt>
                <c:pt idx="2">
                  <c:v>0.1928</c:v>
                </c:pt>
                <c:pt idx="3">
                  <c:v>0.26840000000000003</c:v>
                </c:pt>
                <c:pt idx="4">
                  <c:v>0.34439999999999998</c:v>
                </c:pt>
              </c:numCache>
            </c:numRef>
          </c:val>
          <c:extLst>
            <c:ext xmlns:c16="http://schemas.microsoft.com/office/drawing/2014/chart" uri="{C3380CC4-5D6E-409C-BE32-E72D297353CC}">
              <c16:uniqueId val="{00000000-8FA3-4C6E-A3D8-99839C3FF1A4}"/>
            </c:ext>
          </c:extLst>
        </c:ser>
        <c:ser>
          <c:idx val="1"/>
          <c:order val="1"/>
          <c:tx>
            <c:strRef>
              <c:f>Veterans!$S$1</c:f>
              <c:strCache>
                <c:ptCount val="1"/>
                <c:pt idx="0">
                  <c:v>% votes to veterans</c:v>
                </c:pt>
              </c:strCache>
            </c:strRef>
          </c:tx>
          <c:spPr>
            <a:solidFill>
              <a:schemeClr val="tx1">
                <a:lumMod val="65000"/>
                <a:lumOff val="35000"/>
              </a:schemeClr>
            </a:solidFill>
            <a:ln>
              <a:solidFill>
                <a:schemeClr val="tx1"/>
              </a:solidFill>
            </a:ln>
            <a:effectLst/>
          </c:spPr>
          <c:invertIfNegative val="0"/>
          <c:cat>
            <c:strRef>
              <c:f>Veterans!$G$2:$G$6</c:f>
              <c:strCache>
                <c:ptCount val="5"/>
                <c:pt idx="0">
                  <c:v>Left</c:v>
                </c:pt>
                <c:pt idx="1">
                  <c:v>Center-left</c:v>
                </c:pt>
                <c:pt idx="2">
                  <c:v>Center</c:v>
                </c:pt>
                <c:pt idx="3">
                  <c:v>Center-right</c:v>
                </c:pt>
                <c:pt idx="4">
                  <c:v>Right</c:v>
                </c:pt>
              </c:strCache>
            </c:strRef>
          </c:cat>
          <c:val>
            <c:numRef>
              <c:f>Veterans!$S$2:$S$6</c:f>
              <c:numCache>
                <c:formatCode>0%</c:formatCode>
                <c:ptCount val="5"/>
                <c:pt idx="0">
                  <c:v>0.1203</c:v>
                </c:pt>
                <c:pt idx="1">
                  <c:v>0.2336</c:v>
                </c:pt>
                <c:pt idx="2">
                  <c:v>0.2384</c:v>
                </c:pt>
                <c:pt idx="3">
                  <c:v>0.45079999999999998</c:v>
                </c:pt>
                <c:pt idx="4">
                  <c:v>0.5171</c:v>
                </c:pt>
              </c:numCache>
            </c:numRef>
          </c:val>
          <c:extLst>
            <c:ext xmlns:c16="http://schemas.microsoft.com/office/drawing/2014/chart" uri="{C3380CC4-5D6E-409C-BE32-E72D297353CC}">
              <c16:uniqueId val="{00000001-8FA3-4C6E-A3D8-99839C3FF1A4}"/>
            </c:ext>
          </c:extLst>
        </c:ser>
        <c:dLbls>
          <c:showLegendKey val="0"/>
          <c:showVal val="0"/>
          <c:showCatName val="0"/>
          <c:showSerName val="0"/>
          <c:showPercent val="0"/>
          <c:showBubbleSize val="0"/>
        </c:dLbls>
        <c:gapWidth val="150"/>
        <c:axId val="415087592"/>
        <c:axId val="415089560"/>
      </c:barChart>
      <c:lineChart>
        <c:grouping val="standard"/>
        <c:varyColors val="0"/>
        <c:ser>
          <c:idx val="2"/>
          <c:order val="2"/>
          <c:tx>
            <c:strRef>
              <c:f>Veterans!$T$1</c:f>
              <c:strCache>
                <c:ptCount val="1"/>
                <c:pt idx="0">
                  <c:v>Average veterans' list position</c:v>
                </c:pt>
              </c:strCache>
            </c:strRef>
          </c:tx>
          <c:spPr>
            <a:ln w="28575" cap="rnd">
              <a:solidFill>
                <a:schemeClr val="tx1">
                  <a:lumMod val="95000"/>
                  <a:lumOff val="5000"/>
                </a:schemeClr>
              </a:solidFill>
              <a:prstDash val="sysDash"/>
              <a:round/>
            </a:ln>
            <a:effectLst/>
          </c:spPr>
          <c:marker>
            <c:symbol val="none"/>
          </c:marker>
          <c:cat>
            <c:strRef>
              <c:f>Veterans!$G$2:$G$6</c:f>
              <c:strCache>
                <c:ptCount val="5"/>
                <c:pt idx="0">
                  <c:v>Left</c:v>
                </c:pt>
                <c:pt idx="1">
                  <c:v>Center-left</c:v>
                </c:pt>
                <c:pt idx="2">
                  <c:v>Center</c:v>
                </c:pt>
                <c:pt idx="3">
                  <c:v>Center-right</c:v>
                </c:pt>
                <c:pt idx="4">
                  <c:v>Right</c:v>
                </c:pt>
              </c:strCache>
            </c:strRef>
          </c:cat>
          <c:val>
            <c:numRef>
              <c:f>Veterans!$T$2:$T$6</c:f>
              <c:numCache>
                <c:formatCode>General</c:formatCode>
                <c:ptCount val="5"/>
                <c:pt idx="0">
                  <c:v>7.04</c:v>
                </c:pt>
                <c:pt idx="1">
                  <c:v>6.8</c:v>
                </c:pt>
                <c:pt idx="2">
                  <c:v>6.53</c:v>
                </c:pt>
                <c:pt idx="3">
                  <c:v>6.52</c:v>
                </c:pt>
                <c:pt idx="4">
                  <c:v>6.64</c:v>
                </c:pt>
              </c:numCache>
            </c:numRef>
          </c:val>
          <c:smooth val="0"/>
          <c:extLst>
            <c:ext xmlns:c16="http://schemas.microsoft.com/office/drawing/2014/chart" uri="{C3380CC4-5D6E-409C-BE32-E72D297353CC}">
              <c16:uniqueId val="{00000002-8FA3-4C6E-A3D8-99839C3FF1A4}"/>
            </c:ext>
          </c:extLst>
        </c:ser>
        <c:dLbls>
          <c:showLegendKey val="0"/>
          <c:showVal val="0"/>
          <c:showCatName val="0"/>
          <c:showSerName val="0"/>
          <c:showPercent val="0"/>
          <c:showBubbleSize val="0"/>
        </c:dLbls>
        <c:marker val="1"/>
        <c:smooth val="0"/>
        <c:axId val="551549976"/>
        <c:axId val="628315392"/>
      </c:lineChart>
      <c:catAx>
        <c:axId val="41508759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15089560"/>
        <c:crosses val="autoZero"/>
        <c:auto val="1"/>
        <c:lblAlgn val="ctr"/>
        <c:lblOffset val="100"/>
        <c:noMultiLvlLbl val="0"/>
      </c:catAx>
      <c:valAx>
        <c:axId val="415089560"/>
        <c:scaling>
          <c:orientation val="minMax"/>
          <c:max val="0.60000000000000009"/>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veteran candidates and votes to veterans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15087592"/>
        <c:crosses val="autoZero"/>
        <c:crossBetween val="between"/>
        <c:majorUnit val="0.1"/>
      </c:valAx>
      <c:valAx>
        <c:axId val="628315392"/>
        <c:scaling>
          <c:orientation val="maxMin"/>
          <c:max val="8"/>
          <c:min val="5"/>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veterans' list position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51549976"/>
        <c:crosses val="max"/>
        <c:crossBetween val="between"/>
        <c:majorUnit val="1"/>
      </c:valAx>
      <c:catAx>
        <c:axId val="551549976"/>
        <c:scaling>
          <c:orientation val="minMax"/>
        </c:scaling>
        <c:delete val="1"/>
        <c:axPos val="t"/>
        <c:numFmt formatCode="General" sourceLinked="1"/>
        <c:majorTickMark val="out"/>
        <c:minorTickMark val="none"/>
        <c:tickLblPos val="nextTo"/>
        <c:crossAx val="6283153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7530-3870-44A3-9661-D46601B2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10628</Words>
  <Characters>60586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GLAURDIC</dc:creator>
  <cp:keywords/>
  <dc:description/>
  <cp:lastModifiedBy>Josip Glaurdic</cp:lastModifiedBy>
  <cp:revision>3</cp:revision>
  <cp:lastPrinted>2020-06-24T07:31:00Z</cp:lastPrinted>
  <dcterms:created xsi:type="dcterms:W3CDTF">2021-07-31T13:39:00Z</dcterms:created>
  <dcterms:modified xsi:type="dcterms:W3CDTF">2021-07-31T13:51:00Z</dcterms:modified>
</cp:coreProperties>
</file>