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E2EE2" w14:textId="24C29E51" w:rsidR="003676C6" w:rsidRPr="0022448B" w:rsidRDefault="000A5B94" w:rsidP="00C44C84">
      <w:pPr>
        <w:jc w:val="center"/>
        <w:rPr>
          <w:b/>
          <w:bCs/>
          <w:lang w:val="en-GB"/>
        </w:rPr>
      </w:pPr>
      <w:r w:rsidRPr="0022448B">
        <w:rPr>
          <w:b/>
          <w:bCs/>
          <w:lang w:val="en-GB"/>
        </w:rPr>
        <w:t xml:space="preserve">The reintroduction of internal </w:t>
      </w:r>
      <w:r w:rsidR="0076118E" w:rsidRPr="0022448B">
        <w:rPr>
          <w:b/>
          <w:bCs/>
          <w:lang w:val="en-GB"/>
        </w:rPr>
        <w:t>EU</w:t>
      </w:r>
      <w:r w:rsidRPr="0022448B">
        <w:rPr>
          <w:b/>
          <w:bCs/>
          <w:lang w:val="en-GB"/>
        </w:rPr>
        <w:t xml:space="preserve"> border controls</w:t>
      </w:r>
      <w:r w:rsidR="00E071D4" w:rsidRPr="0022448B">
        <w:rPr>
          <w:b/>
          <w:bCs/>
          <w:lang w:val="en-GB"/>
        </w:rPr>
        <w:t xml:space="preserve">: </w:t>
      </w:r>
      <w:r w:rsidRPr="0022448B">
        <w:rPr>
          <w:b/>
          <w:bCs/>
          <w:lang w:val="en-GB"/>
        </w:rPr>
        <w:t xml:space="preserve">a disproportionate, ineffective and illegal </w:t>
      </w:r>
      <w:r w:rsidR="00B221E0" w:rsidRPr="0022448B">
        <w:rPr>
          <w:b/>
          <w:bCs/>
          <w:lang w:val="en-GB"/>
        </w:rPr>
        <w:t>instrument</w:t>
      </w:r>
      <w:r w:rsidRPr="0022448B">
        <w:rPr>
          <w:b/>
          <w:bCs/>
          <w:lang w:val="en-GB"/>
        </w:rPr>
        <w:t xml:space="preserve"> of combating the </w:t>
      </w:r>
      <w:r w:rsidR="001522CD" w:rsidRPr="0022448B">
        <w:rPr>
          <w:b/>
          <w:bCs/>
          <w:lang w:val="en-GB"/>
        </w:rPr>
        <w:t>pandemic</w:t>
      </w:r>
    </w:p>
    <w:p w14:paraId="1089633B" w14:textId="77777777" w:rsidR="000A5B94" w:rsidRPr="0022448B" w:rsidRDefault="000A5B94" w:rsidP="003A356D">
      <w:pPr>
        <w:rPr>
          <w:lang w:val="en-GB"/>
        </w:rPr>
      </w:pPr>
    </w:p>
    <w:p w14:paraId="01B07AB8" w14:textId="195DEDBA" w:rsidR="000A5B94" w:rsidRPr="0022448B" w:rsidRDefault="00C62FEE" w:rsidP="0076118E">
      <w:pPr>
        <w:pStyle w:val="Textkrper"/>
        <w:rPr>
          <w:rFonts w:ascii="Times New Roman" w:hAnsi="Times New Roman" w:cs="Times New Roman"/>
          <w:lang w:val="en-GB"/>
        </w:rPr>
      </w:pPr>
      <w:r w:rsidRPr="0022448B">
        <w:rPr>
          <w:lang w:val="en-GB"/>
        </w:rPr>
        <w:t>In March 2020</w:t>
      </w:r>
      <w:r w:rsidR="00BC1465" w:rsidRPr="0022448B">
        <w:rPr>
          <w:lang w:val="en-GB"/>
        </w:rPr>
        <w:t xml:space="preserve">, </w:t>
      </w:r>
      <w:r w:rsidR="001B14C1" w:rsidRPr="0022448B">
        <w:rPr>
          <w:lang w:val="en-GB"/>
        </w:rPr>
        <w:t xml:space="preserve">during the </w:t>
      </w:r>
      <w:r w:rsidR="00BC1465" w:rsidRPr="0022448B">
        <w:rPr>
          <w:lang w:val="en-GB"/>
        </w:rPr>
        <w:t xml:space="preserve">first wave of the COVID-19 </w:t>
      </w:r>
      <w:r w:rsidR="0076118E" w:rsidRPr="0022448B">
        <w:rPr>
          <w:lang w:val="en-GB"/>
        </w:rPr>
        <w:t>(</w:t>
      </w:r>
      <w:r w:rsidR="0076118E" w:rsidRPr="0022448B">
        <w:rPr>
          <w:i/>
          <w:iCs/>
          <w:lang w:val="en-GB"/>
        </w:rPr>
        <w:t>Coronavirus SARS-CoV-2</w:t>
      </w:r>
      <w:r w:rsidR="0076118E" w:rsidRPr="0022448B">
        <w:rPr>
          <w:lang w:val="en-GB"/>
        </w:rPr>
        <w:t xml:space="preserve">) </w:t>
      </w:r>
      <w:r w:rsidR="00BC1465" w:rsidRPr="0022448B">
        <w:rPr>
          <w:lang w:val="en-GB"/>
        </w:rPr>
        <w:t xml:space="preserve">pandemic </w:t>
      </w:r>
      <w:r w:rsidR="001B14C1" w:rsidRPr="0022448B">
        <w:rPr>
          <w:lang w:val="en-GB"/>
        </w:rPr>
        <w:t>in Europe</w:t>
      </w:r>
      <w:r w:rsidR="00BC1465" w:rsidRPr="0022448B">
        <w:rPr>
          <w:lang w:val="en-GB"/>
        </w:rPr>
        <w:t xml:space="preserve">, </w:t>
      </w:r>
      <w:r w:rsidRPr="0022448B">
        <w:rPr>
          <w:lang w:val="en-GB"/>
        </w:rPr>
        <w:t xml:space="preserve">several Member States, including the Federal Republic of Germany, saw fit to resort to the reintroduction of border controls with some of their neighbours, including the Grand Duchy of </w:t>
      </w:r>
      <w:r w:rsidR="00BC1465" w:rsidRPr="0022448B">
        <w:rPr>
          <w:lang w:val="en-GB"/>
        </w:rPr>
        <w:t>Luxembourg</w:t>
      </w:r>
      <w:r w:rsidRPr="0022448B">
        <w:rPr>
          <w:lang w:val="en-GB"/>
        </w:rPr>
        <w:t xml:space="preserve">. </w:t>
      </w:r>
      <w:r w:rsidR="00E071D4" w:rsidRPr="0022448B">
        <w:rPr>
          <w:lang w:val="en-GB"/>
        </w:rPr>
        <w:t xml:space="preserve">This reintroduction was </w:t>
      </w:r>
      <w:r w:rsidR="001D4907" w:rsidRPr="0022448B">
        <w:rPr>
          <w:lang w:val="en-GB"/>
        </w:rPr>
        <w:t xml:space="preserve">then </w:t>
      </w:r>
      <w:r w:rsidR="004D1EDB" w:rsidRPr="0022448B">
        <w:rPr>
          <w:lang w:val="en-GB"/>
        </w:rPr>
        <w:t xml:space="preserve">justified </w:t>
      </w:r>
      <w:r w:rsidR="00E071D4" w:rsidRPr="0022448B">
        <w:rPr>
          <w:lang w:val="en-GB"/>
        </w:rPr>
        <w:t xml:space="preserve">by the </w:t>
      </w:r>
      <w:r w:rsidR="00996A25" w:rsidRPr="0022448B">
        <w:rPr>
          <w:lang w:val="en-GB"/>
        </w:rPr>
        <w:t xml:space="preserve">urgency and </w:t>
      </w:r>
      <w:r w:rsidR="00E071D4" w:rsidRPr="0022448B">
        <w:rPr>
          <w:lang w:val="en-GB"/>
        </w:rPr>
        <w:t xml:space="preserve">the need to </w:t>
      </w:r>
      <w:r w:rsidR="001917E5" w:rsidRPr="0022448B">
        <w:rPr>
          <w:lang w:val="en-GB"/>
        </w:rPr>
        <w:t xml:space="preserve">contain the spread of the virus. </w:t>
      </w:r>
      <w:r w:rsidR="00686E6D" w:rsidRPr="0022448B">
        <w:rPr>
          <w:lang w:val="en-GB"/>
        </w:rPr>
        <w:t>So that there is no misunderstanding</w:t>
      </w:r>
      <w:r w:rsidR="00AD54F6" w:rsidRPr="0022448B">
        <w:rPr>
          <w:lang w:val="en-GB"/>
        </w:rPr>
        <w:t>:</w:t>
      </w:r>
      <w:r w:rsidR="004E5326" w:rsidRPr="0022448B">
        <w:rPr>
          <w:lang w:val="en-GB"/>
        </w:rPr>
        <w:t xml:space="preserve"> these were </w:t>
      </w:r>
      <w:r w:rsidR="0054294C" w:rsidRPr="0022448B">
        <w:rPr>
          <w:lang w:val="en-GB"/>
        </w:rPr>
        <w:t xml:space="preserve">exclusively </w:t>
      </w:r>
      <w:r w:rsidR="004E5326" w:rsidRPr="0022448B">
        <w:rPr>
          <w:lang w:val="en-GB"/>
        </w:rPr>
        <w:t xml:space="preserve">identity checks and checks on documents </w:t>
      </w:r>
      <w:r w:rsidR="002B6269">
        <w:rPr>
          <w:lang w:val="en-GB"/>
        </w:rPr>
        <w:t>authorizing</w:t>
      </w:r>
      <w:r w:rsidR="004E5326" w:rsidRPr="0022448B">
        <w:rPr>
          <w:lang w:val="en-GB"/>
        </w:rPr>
        <w:t xml:space="preserve"> their holders to cross borders and not health checks to detect carriers of the virus.</w:t>
      </w:r>
    </w:p>
    <w:p w14:paraId="6A60A5BB" w14:textId="15314D0B" w:rsidR="00C62FEE" w:rsidRPr="0022448B" w:rsidRDefault="00C62FEE" w:rsidP="003A356D">
      <w:pPr>
        <w:rPr>
          <w:lang w:val="en-GB"/>
        </w:rPr>
      </w:pPr>
      <w:r w:rsidRPr="0022448B">
        <w:rPr>
          <w:lang w:val="en-GB"/>
        </w:rPr>
        <w:t xml:space="preserve">This contribution aims to establish, using the </w:t>
      </w:r>
      <w:r w:rsidR="0046446B" w:rsidRPr="0022448B">
        <w:rPr>
          <w:lang w:val="en-GB"/>
        </w:rPr>
        <w:t xml:space="preserve">example of the German-Luxemburg border controls, </w:t>
      </w:r>
      <w:r w:rsidRPr="0022448B">
        <w:rPr>
          <w:lang w:val="en-GB"/>
        </w:rPr>
        <w:t xml:space="preserve">that the use of </w:t>
      </w:r>
      <w:r w:rsidR="00FC64A2" w:rsidRPr="0022448B">
        <w:rPr>
          <w:lang w:val="en-GB"/>
        </w:rPr>
        <w:t xml:space="preserve">this extraordinary means does </w:t>
      </w:r>
      <w:r w:rsidR="001D4907" w:rsidRPr="0022448B">
        <w:rPr>
          <w:lang w:val="en-GB"/>
        </w:rPr>
        <w:t>not</w:t>
      </w:r>
      <w:r w:rsidR="00FC64A2" w:rsidRPr="0022448B">
        <w:rPr>
          <w:lang w:val="en-GB"/>
        </w:rPr>
        <w:t xml:space="preserve"> stand the test of its effectiveness, proportionality </w:t>
      </w:r>
      <w:r w:rsidR="001D4907" w:rsidRPr="0022448B">
        <w:rPr>
          <w:lang w:val="en-GB"/>
        </w:rPr>
        <w:t xml:space="preserve">and even less of </w:t>
      </w:r>
      <w:r w:rsidR="00FC64A2" w:rsidRPr="0022448B">
        <w:rPr>
          <w:lang w:val="en-GB"/>
        </w:rPr>
        <w:t xml:space="preserve">its legality. To the </w:t>
      </w:r>
      <w:r w:rsidR="00721F7F" w:rsidRPr="0022448B">
        <w:rPr>
          <w:lang w:val="en-GB"/>
        </w:rPr>
        <w:t xml:space="preserve">extent that the perpetrator was himself a victim of this extraordinary measure, he </w:t>
      </w:r>
      <w:r w:rsidR="008368A0" w:rsidRPr="0022448B">
        <w:rPr>
          <w:lang w:val="en-GB"/>
        </w:rPr>
        <w:t xml:space="preserve">may be </w:t>
      </w:r>
      <w:r w:rsidR="00721F7F" w:rsidRPr="0022448B">
        <w:rPr>
          <w:lang w:val="en-GB"/>
        </w:rPr>
        <w:t xml:space="preserve">forgiven for the </w:t>
      </w:r>
      <w:r w:rsidR="008368A0" w:rsidRPr="0022448B">
        <w:rPr>
          <w:lang w:val="en-GB"/>
        </w:rPr>
        <w:t>somewhat militant character of the following lines.</w:t>
      </w:r>
    </w:p>
    <w:p w14:paraId="18C2DC51" w14:textId="71165173" w:rsidR="00FC64A2" w:rsidRPr="0022448B" w:rsidRDefault="00FC64A2" w:rsidP="003A356D">
      <w:pPr>
        <w:rPr>
          <w:lang w:val="en-GB"/>
        </w:rPr>
      </w:pPr>
      <w:r w:rsidRPr="0022448B">
        <w:rPr>
          <w:lang w:val="en-GB"/>
        </w:rPr>
        <w:t xml:space="preserve">The German </w:t>
      </w:r>
      <w:r w:rsidR="00074E1D" w:rsidRPr="0022448B">
        <w:rPr>
          <w:lang w:val="en-GB"/>
        </w:rPr>
        <w:t xml:space="preserve">Minister of the </w:t>
      </w:r>
      <w:r w:rsidRPr="0022448B">
        <w:rPr>
          <w:lang w:val="en-GB"/>
        </w:rPr>
        <w:t xml:space="preserve">Interior, Mr </w:t>
      </w:r>
      <w:r w:rsidRPr="0022448B">
        <w:rPr>
          <w:i/>
          <w:iCs/>
          <w:lang w:val="en-GB"/>
        </w:rPr>
        <w:t>Horst Seehofer</w:t>
      </w:r>
      <w:r w:rsidR="000A647E" w:rsidRPr="0022448B">
        <w:rPr>
          <w:lang w:val="en-GB"/>
        </w:rPr>
        <w:t xml:space="preserve">, </w:t>
      </w:r>
      <w:r w:rsidR="003E2180" w:rsidRPr="0022448B">
        <w:rPr>
          <w:lang w:val="en-GB"/>
        </w:rPr>
        <w:t xml:space="preserve">who took this decision on behalf of Germany, may have invoked the European Union </w:t>
      </w:r>
      <w:r w:rsidR="009F2958" w:rsidRPr="0022448B">
        <w:rPr>
          <w:lang w:val="en-GB"/>
        </w:rPr>
        <w:t xml:space="preserve">(EU) </w:t>
      </w:r>
      <w:r w:rsidR="003E2180" w:rsidRPr="0022448B">
        <w:rPr>
          <w:lang w:val="en-GB"/>
        </w:rPr>
        <w:t xml:space="preserve">Border Code as the legal basis for his </w:t>
      </w:r>
      <w:r w:rsidR="004D52E4" w:rsidRPr="0022448B">
        <w:rPr>
          <w:lang w:val="en-GB"/>
        </w:rPr>
        <w:t xml:space="preserve">decision to reintroduce </w:t>
      </w:r>
      <w:r w:rsidR="006E5650" w:rsidRPr="0022448B">
        <w:rPr>
          <w:lang w:val="en-GB"/>
        </w:rPr>
        <w:t xml:space="preserve">internal border controls </w:t>
      </w:r>
      <w:r w:rsidR="004D52E4" w:rsidRPr="0022448B">
        <w:rPr>
          <w:lang w:val="en-GB"/>
        </w:rPr>
        <w:t xml:space="preserve">in the </w:t>
      </w:r>
      <w:r w:rsidR="006E5650" w:rsidRPr="0022448B">
        <w:rPr>
          <w:lang w:val="en-GB"/>
        </w:rPr>
        <w:t xml:space="preserve">Schengen </w:t>
      </w:r>
      <w:r w:rsidR="004D52E4" w:rsidRPr="0022448B">
        <w:rPr>
          <w:lang w:val="en-GB"/>
        </w:rPr>
        <w:t xml:space="preserve">area, </w:t>
      </w:r>
      <w:r w:rsidR="006E5650" w:rsidRPr="0022448B">
        <w:rPr>
          <w:lang w:val="en-GB"/>
        </w:rPr>
        <w:t>but it must be question</w:t>
      </w:r>
      <w:r w:rsidR="00311E58" w:rsidRPr="0022448B">
        <w:rPr>
          <w:lang w:val="en-GB"/>
        </w:rPr>
        <w:t>ed</w:t>
      </w:r>
      <w:r w:rsidR="006E5650" w:rsidRPr="0022448B">
        <w:rPr>
          <w:lang w:val="en-GB"/>
        </w:rPr>
        <w:t xml:space="preserve"> whether he </w:t>
      </w:r>
      <w:r w:rsidR="004D1EDB" w:rsidRPr="0022448B">
        <w:rPr>
          <w:lang w:val="en-GB"/>
        </w:rPr>
        <w:t xml:space="preserve">has </w:t>
      </w:r>
      <w:r w:rsidR="006E5650" w:rsidRPr="0022448B">
        <w:rPr>
          <w:lang w:val="en-GB"/>
        </w:rPr>
        <w:t xml:space="preserve">complied with the letter and spirit of </w:t>
      </w:r>
      <w:r w:rsidR="001917E5" w:rsidRPr="0022448B">
        <w:rPr>
          <w:lang w:val="en-GB"/>
        </w:rPr>
        <w:t>this regulation</w:t>
      </w:r>
      <w:r w:rsidR="006E5650" w:rsidRPr="0022448B">
        <w:rPr>
          <w:lang w:val="en-GB"/>
        </w:rPr>
        <w:t xml:space="preserve">. </w:t>
      </w:r>
    </w:p>
    <w:p w14:paraId="068AD0B1" w14:textId="0EC8EA3C" w:rsidR="00FC64A2" w:rsidRPr="0022448B" w:rsidRDefault="004951CD" w:rsidP="003A356D">
      <w:pPr>
        <w:rPr>
          <w:lang w:val="en-GB"/>
        </w:rPr>
      </w:pPr>
      <w:r w:rsidRPr="0022448B">
        <w:rPr>
          <w:lang w:val="en-GB"/>
        </w:rPr>
        <w:t xml:space="preserve">An in-depth analysis of the provisions of this Borders Code (I.) shows indeed that the unilateral decision taken by Minister </w:t>
      </w:r>
      <w:r w:rsidRPr="0022448B">
        <w:rPr>
          <w:i/>
          <w:iCs/>
          <w:lang w:val="en-GB"/>
        </w:rPr>
        <w:t xml:space="preserve">Seehofer was </w:t>
      </w:r>
      <w:r w:rsidR="00F73AE2" w:rsidRPr="0022448B">
        <w:rPr>
          <w:lang w:val="en-GB"/>
        </w:rPr>
        <w:t>taken arbitrarily (II.) and does not stand the test of its validity under Union law (III.)</w:t>
      </w:r>
    </w:p>
    <w:p w14:paraId="72BFFD3A" w14:textId="77777777" w:rsidR="008368A0" w:rsidRPr="0022448B" w:rsidRDefault="008368A0" w:rsidP="003A356D">
      <w:pPr>
        <w:rPr>
          <w:lang w:val="en-GB"/>
        </w:rPr>
      </w:pPr>
    </w:p>
    <w:p w14:paraId="1AA13B21" w14:textId="024AA52C" w:rsidR="0046446B" w:rsidRPr="0022448B" w:rsidRDefault="0046446B" w:rsidP="004133F0">
      <w:pPr>
        <w:pStyle w:val="berschrift1"/>
        <w:rPr>
          <w:lang w:val="en-GB"/>
        </w:rPr>
      </w:pPr>
      <w:r w:rsidRPr="0022448B">
        <w:rPr>
          <w:lang w:val="en-GB"/>
        </w:rPr>
        <w:t>The legal framework for internal border controls</w:t>
      </w:r>
      <w:r w:rsidR="00D26627" w:rsidRPr="0022448B">
        <w:rPr>
          <w:lang w:val="en-GB"/>
        </w:rPr>
        <w:t>: The EU Borders Code</w:t>
      </w:r>
    </w:p>
    <w:p w14:paraId="43D96059" w14:textId="77777777" w:rsidR="008368A0" w:rsidRPr="0022448B" w:rsidRDefault="008368A0" w:rsidP="003A356D">
      <w:pPr>
        <w:pStyle w:val="Textkrper"/>
        <w:rPr>
          <w:w w:val="110"/>
          <w:lang w:val="en-GB"/>
        </w:rPr>
      </w:pPr>
    </w:p>
    <w:p w14:paraId="59A669C4" w14:textId="4A629ACC" w:rsidR="009F2958" w:rsidRPr="0022448B" w:rsidRDefault="00630CD9" w:rsidP="003A356D">
      <w:pPr>
        <w:pStyle w:val="Textkrper"/>
        <w:rPr>
          <w:w w:val="110"/>
          <w:lang w:val="en-GB"/>
        </w:rPr>
      </w:pPr>
      <w:r w:rsidRPr="0022448B">
        <w:rPr>
          <w:w w:val="110"/>
          <w:lang w:val="en-GB"/>
        </w:rPr>
        <w:t xml:space="preserve">The </w:t>
      </w:r>
      <w:r w:rsidR="008755D8" w:rsidRPr="0022448B">
        <w:rPr>
          <w:w w:val="110"/>
          <w:lang w:val="en-GB"/>
        </w:rPr>
        <w:t xml:space="preserve">European Union </w:t>
      </w:r>
      <w:r w:rsidR="005532C0" w:rsidRPr="0022448B">
        <w:rPr>
          <w:w w:val="110"/>
          <w:lang w:val="en-GB"/>
        </w:rPr>
        <w:t>Borders Code</w:t>
      </w:r>
      <w:r w:rsidR="004D1EDB" w:rsidRPr="0022448B">
        <w:rPr>
          <w:w w:val="110"/>
          <w:lang w:val="en-GB"/>
        </w:rPr>
        <w:t xml:space="preserve">, </w:t>
      </w:r>
      <w:r w:rsidR="008755D8" w:rsidRPr="0022448B">
        <w:rPr>
          <w:w w:val="110"/>
          <w:lang w:val="en-GB"/>
        </w:rPr>
        <w:t xml:space="preserve">also known as the </w:t>
      </w:r>
      <w:r w:rsidR="005532C0" w:rsidRPr="0022448B">
        <w:rPr>
          <w:w w:val="110"/>
          <w:lang w:val="en-GB"/>
        </w:rPr>
        <w:t xml:space="preserve">Schengen </w:t>
      </w:r>
      <w:r w:rsidR="008755D8" w:rsidRPr="0022448B">
        <w:rPr>
          <w:w w:val="110"/>
          <w:lang w:val="en-GB"/>
        </w:rPr>
        <w:t xml:space="preserve">Borders </w:t>
      </w:r>
      <w:r w:rsidR="008755D8" w:rsidRPr="0022448B">
        <w:rPr>
          <w:w w:val="110"/>
          <w:lang w:val="en-GB"/>
        </w:rPr>
        <w:lastRenderedPageBreak/>
        <w:t xml:space="preserve">Code </w:t>
      </w:r>
      <w:r w:rsidR="005532C0" w:rsidRPr="0022448B">
        <w:rPr>
          <w:w w:val="110"/>
          <w:lang w:val="en-GB"/>
        </w:rPr>
        <w:t>(SBC)</w:t>
      </w:r>
      <w:r w:rsidR="004D1EDB" w:rsidRPr="0022448B">
        <w:rPr>
          <w:w w:val="110"/>
          <w:lang w:val="en-GB"/>
        </w:rPr>
        <w:t xml:space="preserve">, </w:t>
      </w:r>
      <w:r w:rsidR="00285429" w:rsidRPr="0022448B">
        <w:rPr>
          <w:w w:val="110"/>
          <w:lang w:val="en-GB"/>
        </w:rPr>
        <w:t>was adopted in 2016.</w:t>
      </w:r>
      <w:r w:rsidR="008755D8" w:rsidRPr="0022448B">
        <w:rPr>
          <w:rStyle w:val="Funotenzeichen"/>
          <w:w w:val="110"/>
          <w:lang w:val="en-GB"/>
        </w:rPr>
        <w:footnoteReference w:id="1"/>
      </w:r>
      <w:r w:rsidR="00285429" w:rsidRPr="0022448B">
        <w:rPr>
          <w:w w:val="110"/>
          <w:lang w:val="en-GB"/>
        </w:rPr>
        <w:t xml:space="preserve"> A consolidated version</w:t>
      </w:r>
      <w:r w:rsidR="00074E1D" w:rsidRPr="0022448B">
        <w:rPr>
          <w:w w:val="110"/>
          <w:lang w:val="en-GB"/>
        </w:rPr>
        <w:t xml:space="preserve">, </w:t>
      </w:r>
      <w:r w:rsidR="00B23664" w:rsidRPr="0022448B">
        <w:rPr>
          <w:w w:val="110"/>
          <w:lang w:val="en-GB"/>
        </w:rPr>
        <w:t xml:space="preserve">dated 11 June 2019 and </w:t>
      </w:r>
      <w:r w:rsidR="00285429" w:rsidRPr="0022448B">
        <w:rPr>
          <w:w w:val="110"/>
          <w:lang w:val="en-GB"/>
        </w:rPr>
        <w:t xml:space="preserve">containing the amendments made to </w:t>
      </w:r>
      <w:r w:rsidR="00784C76" w:rsidRPr="0022448B">
        <w:rPr>
          <w:w w:val="110"/>
          <w:lang w:val="en-GB"/>
        </w:rPr>
        <w:t>it</w:t>
      </w:r>
      <w:r w:rsidR="00074E1D" w:rsidRPr="0022448B">
        <w:rPr>
          <w:w w:val="110"/>
          <w:lang w:val="en-GB"/>
        </w:rPr>
        <w:t xml:space="preserve">, </w:t>
      </w:r>
      <w:r w:rsidR="00285429" w:rsidRPr="0022448B">
        <w:rPr>
          <w:w w:val="110"/>
          <w:lang w:val="en-GB"/>
        </w:rPr>
        <w:t xml:space="preserve">is available on the EU website. </w:t>
      </w:r>
      <w:r w:rsidR="00285429" w:rsidRPr="0022448B">
        <w:rPr>
          <w:rStyle w:val="Funotenzeichen"/>
          <w:w w:val="110"/>
          <w:lang w:val="en-GB"/>
        </w:rPr>
        <w:footnoteReference w:id="2"/>
      </w:r>
    </w:p>
    <w:p w14:paraId="00FB99FF" w14:textId="22141CF9" w:rsidR="00E55114" w:rsidRPr="0022448B" w:rsidRDefault="00B23664" w:rsidP="003A356D">
      <w:pPr>
        <w:pStyle w:val="Textkrper"/>
        <w:rPr>
          <w:w w:val="110"/>
          <w:lang w:val="en-GB"/>
        </w:rPr>
      </w:pPr>
      <w:r w:rsidRPr="0022448B">
        <w:rPr>
          <w:w w:val="110"/>
          <w:lang w:val="en-GB"/>
        </w:rPr>
        <w:t xml:space="preserve">This </w:t>
      </w:r>
      <w:r w:rsidR="002B6269">
        <w:rPr>
          <w:w w:val="110"/>
          <w:lang w:val="en-GB"/>
        </w:rPr>
        <w:t>regulation</w:t>
      </w:r>
      <w:r w:rsidRPr="0022448B">
        <w:rPr>
          <w:w w:val="110"/>
          <w:lang w:val="en-GB"/>
        </w:rPr>
        <w:t xml:space="preserve"> was adopted on the </w:t>
      </w:r>
      <w:r w:rsidR="00BC1BC1" w:rsidRPr="0022448B">
        <w:rPr>
          <w:w w:val="110"/>
          <w:lang w:val="en-GB"/>
        </w:rPr>
        <w:t xml:space="preserve">legal basis of </w:t>
      </w:r>
      <w:r w:rsidR="00BC1BC1" w:rsidRPr="0022448B">
        <w:rPr>
          <w:rFonts w:eastAsia="Times New Roman"/>
          <w:lang w:val="en-GB"/>
        </w:rPr>
        <w:t>Article</w:t>
      </w:r>
      <w:r w:rsidR="002B6269">
        <w:rPr>
          <w:rFonts w:eastAsia="Times New Roman"/>
          <w:lang w:val="en-GB"/>
        </w:rPr>
        <w:t> </w:t>
      </w:r>
      <w:r w:rsidR="00BC1BC1" w:rsidRPr="0022448B">
        <w:rPr>
          <w:rFonts w:eastAsia="Times New Roman"/>
          <w:lang w:val="en-GB"/>
        </w:rPr>
        <w:t>77(2)</w:t>
      </w:r>
      <w:r w:rsidR="00AC300D" w:rsidRPr="0022448B">
        <w:rPr>
          <w:rFonts w:eastAsia="Times New Roman"/>
          <w:lang w:val="en-GB"/>
        </w:rPr>
        <w:t xml:space="preserve"> </w:t>
      </w:r>
      <w:r w:rsidR="00BC1BC1" w:rsidRPr="0022448B">
        <w:rPr>
          <w:rFonts w:eastAsia="Times New Roman"/>
          <w:lang w:val="en-GB"/>
        </w:rPr>
        <w:t xml:space="preserve">(b) and (e) of the </w:t>
      </w:r>
      <w:r w:rsidR="00784C76" w:rsidRPr="0022448B">
        <w:rPr>
          <w:rFonts w:eastAsia="Times New Roman"/>
          <w:lang w:val="en-GB"/>
        </w:rPr>
        <w:t xml:space="preserve">Treaty on the Functioning of the EU (TFEU), </w:t>
      </w:r>
      <w:r w:rsidR="00BC1BC1" w:rsidRPr="0022448B">
        <w:rPr>
          <w:rFonts w:eastAsia="Times New Roman"/>
          <w:lang w:val="en-GB"/>
        </w:rPr>
        <w:t xml:space="preserve">which specifically provides </w:t>
      </w:r>
      <w:r w:rsidR="00E55114" w:rsidRPr="0022448B">
        <w:rPr>
          <w:rFonts w:eastAsia="Times New Roman"/>
          <w:lang w:val="en-GB"/>
        </w:rPr>
        <w:t xml:space="preserve">that </w:t>
      </w:r>
      <w:r w:rsidR="006E6F10" w:rsidRPr="0022448B">
        <w:rPr>
          <w:lang w:val="en-GB"/>
        </w:rPr>
        <w:t>“</w:t>
      </w:r>
      <w:r w:rsidR="00E55114" w:rsidRPr="0022448B">
        <w:rPr>
          <w:lang w:val="en-GB"/>
        </w:rPr>
        <w:t xml:space="preserve">the European Parliament and the Council, acting in accordance with the ordinary legislative procedure, shall adopt measures on </w:t>
      </w:r>
      <w:r w:rsidR="002E02FF" w:rsidRPr="0022448B">
        <w:rPr>
          <w:lang w:val="en-GB"/>
        </w:rPr>
        <w:t xml:space="preserve">(...) the </w:t>
      </w:r>
      <w:r w:rsidR="002E02FF" w:rsidRPr="0022448B">
        <w:rPr>
          <w:rFonts w:eastAsia="Times New Roman"/>
          <w:lang w:val="en-GB"/>
        </w:rPr>
        <w:t>checks to which persons crossing external borders are subject</w:t>
      </w:r>
      <w:r w:rsidR="00AD54F6" w:rsidRPr="0022448B">
        <w:rPr>
          <w:rFonts w:eastAsia="Times New Roman"/>
          <w:lang w:val="en-GB"/>
        </w:rPr>
        <w:t xml:space="preserve"> </w:t>
      </w:r>
      <w:r w:rsidR="002E02FF" w:rsidRPr="0022448B">
        <w:rPr>
          <w:rFonts w:eastAsia="Times New Roman"/>
          <w:lang w:val="en-GB"/>
        </w:rPr>
        <w:sym w:font="Symbol" w:char="F05B"/>
      </w:r>
      <w:r w:rsidR="002E02FF" w:rsidRPr="0022448B">
        <w:rPr>
          <w:rFonts w:eastAsia="Times New Roman"/>
          <w:lang w:val="en-GB"/>
        </w:rPr>
        <w:t>and</w:t>
      </w:r>
      <w:r w:rsidR="002E02FF" w:rsidRPr="0022448B">
        <w:rPr>
          <w:rFonts w:eastAsia="Times New Roman"/>
          <w:lang w:val="en-GB"/>
        </w:rPr>
        <w:sym w:font="Symbol" w:char="F05D"/>
      </w:r>
      <w:r w:rsidR="00AD54F6" w:rsidRPr="0022448B">
        <w:rPr>
          <w:rFonts w:eastAsia="Times New Roman"/>
          <w:lang w:val="en-GB"/>
        </w:rPr>
        <w:t xml:space="preserve"> </w:t>
      </w:r>
      <w:r w:rsidR="00E55114" w:rsidRPr="0022448B">
        <w:rPr>
          <w:rFonts w:eastAsia="Times New Roman"/>
          <w:lang w:val="en-GB"/>
        </w:rPr>
        <w:t>the absence of any checks on persons, whatever their nationality, when crossing internal borders</w:t>
      </w:r>
      <w:r w:rsidR="006E6F10" w:rsidRPr="0022448B">
        <w:rPr>
          <w:rFonts w:eastAsia="Times New Roman"/>
          <w:lang w:val="en-GB"/>
        </w:rPr>
        <w:t>”</w:t>
      </w:r>
      <w:r w:rsidR="00E55114" w:rsidRPr="0022448B">
        <w:rPr>
          <w:rFonts w:eastAsia="Times New Roman"/>
          <w:lang w:val="en-GB"/>
        </w:rPr>
        <w:t>.</w:t>
      </w:r>
    </w:p>
    <w:p w14:paraId="7C761FA4" w14:textId="6885A702" w:rsidR="00630CD9" w:rsidRPr="0022448B" w:rsidRDefault="000B440E" w:rsidP="003A356D">
      <w:pPr>
        <w:pStyle w:val="Textkrper"/>
        <w:rPr>
          <w:w w:val="110"/>
          <w:lang w:val="en-GB"/>
        </w:rPr>
      </w:pPr>
      <w:r w:rsidRPr="0022448B">
        <w:rPr>
          <w:w w:val="110"/>
          <w:lang w:val="en-GB"/>
        </w:rPr>
        <w:t xml:space="preserve">Since the principle is </w:t>
      </w:r>
      <w:r w:rsidR="00E54F6C" w:rsidRPr="0022448B">
        <w:rPr>
          <w:w w:val="110"/>
          <w:lang w:val="en-GB"/>
        </w:rPr>
        <w:t xml:space="preserve">thus </w:t>
      </w:r>
      <w:r w:rsidRPr="0022448B">
        <w:rPr>
          <w:w w:val="110"/>
          <w:lang w:val="en-GB"/>
        </w:rPr>
        <w:t xml:space="preserve">defined as the absence of internal border controls, </w:t>
      </w:r>
      <w:r w:rsidR="00784C76" w:rsidRPr="0022448B">
        <w:rPr>
          <w:w w:val="110"/>
          <w:lang w:val="en-GB"/>
        </w:rPr>
        <w:t xml:space="preserve">the </w:t>
      </w:r>
      <w:r w:rsidR="009F2958" w:rsidRPr="0022448B">
        <w:rPr>
          <w:w w:val="110"/>
          <w:lang w:val="en-GB"/>
        </w:rPr>
        <w:t>S</w:t>
      </w:r>
      <w:r w:rsidR="00AC300D" w:rsidRPr="0022448B">
        <w:rPr>
          <w:w w:val="110"/>
          <w:lang w:val="en-GB"/>
        </w:rPr>
        <w:t>B</w:t>
      </w:r>
      <w:r w:rsidR="009F2958" w:rsidRPr="0022448B">
        <w:rPr>
          <w:w w:val="110"/>
          <w:lang w:val="en-GB"/>
        </w:rPr>
        <w:t xml:space="preserve">C </w:t>
      </w:r>
      <w:r w:rsidR="00784C76" w:rsidRPr="0022448B">
        <w:rPr>
          <w:w w:val="110"/>
          <w:lang w:val="en-GB"/>
        </w:rPr>
        <w:t xml:space="preserve">nevertheless </w:t>
      </w:r>
      <w:r w:rsidRPr="0022448B">
        <w:rPr>
          <w:w w:val="110"/>
          <w:lang w:val="en-GB"/>
        </w:rPr>
        <w:t xml:space="preserve">allows </w:t>
      </w:r>
      <w:r w:rsidR="00784C76" w:rsidRPr="0022448B">
        <w:rPr>
          <w:w w:val="110"/>
          <w:lang w:val="en-GB"/>
        </w:rPr>
        <w:t xml:space="preserve">some </w:t>
      </w:r>
      <w:r w:rsidR="00630CD9" w:rsidRPr="0022448B">
        <w:rPr>
          <w:w w:val="110"/>
          <w:lang w:val="en-GB"/>
        </w:rPr>
        <w:t xml:space="preserve">temporary derogations from </w:t>
      </w:r>
      <w:r w:rsidR="00E54F6C" w:rsidRPr="0022448B">
        <w:rPr>
          <w:w w:val="110"/>
          <w:lang w:val="en-GB"/>
        </w:rPr>
        <w:t>this principle</w:t>
      </w:r>
      <w:r w:rsidR="00630CD9" w:rsidRPr="0022448B">
        <w:rPr>
          <w:w w:val="110"/>
          <w:lang w:val="en-GB"/>
        </w:rPr>
        <w:t>. Articles</w:t>
      </w:r>
      <w:r w:rsidR="002B6269">
        <w:rPr>
          <w:w w:val="110"/>
          <w:lang w:val="en-GB"/>
        </w:rPr>
        <w:t> </w:t>
      </w:r>
      <w:r w:rsidR="00630CD9" w:rsidRPr="0022448B">
        <w:rPr>
          <w:w w:val="110"/>
          <w:lang w:val="en-GB"/>
        </w:rPr>
        <w:t xml:space="preserve">25 and 28 </w:t>
      </w:r>
      <w:r w:rsidR="00AC300D" w:rsidRPr="0022448B">
        <w:rPr>
          <w:w w:val="110"/>
          <w:lang w:val="en-GB"/>
        </w:rPr>
        <w:t>SBC</w:t>
      </w:r>
      <w:r w:rsidR="005532C0" w:rsidRPr="0022448B">
        <w:rPr>
          <w:w w:val="110"/>
          <w:lang w:val="en-GB"/>
        </w:rPr>
        <w:t xml:space="preserve"> </w:t>
      </w:r>
      <w:r w:rsidR="00630CD9" w:rsidRPr="0022448B">
        <w:rPr>
          <w:w w:val="110"/>
          <w:lang w:val="en-GB"/>
        </w:rPr>
        <w:t xml:space="preserve">deserve particular attention in </w:t>
      </w:r>
      <w:r w:rsidRPr="0022448B">
        <w:rPr>
          <w:w w:val="110"/>
          <w:lang w:val="en-GB"/>
        </w:rPr>
        <w:t xml:space="preserve">this respect in the </w:t>
      </w:r>
      <w:r w:rsidR="00630CD9" w:rsidRPr="0022448B">
        <w:rPr>
          <w:w w:val="110"/>
          <w:lang w:val="en-GB"/>
        </w:rPr>
        <w:t xml:space="preserve">situation under </w:t>
      </w:r>
      <w:r w:rsidR="007D5496" w:rsidRPr="0022448B">
        <w:rPr>
          <w:w w:val="110"/>
          <w:lang w:val="en-GB"/>
        </w:rPr>
        <w:t>review</w:t>
      </w:r>
      <w:r w:rsidR="00630CD9" w:rsidRPr="0022448B">
        <w:rPr>
          <w:w w:val="110"/>
          <w:lang w:val="en-GB"/>
        </w:rPr>
        <w:t xml:space="preserve">. </w:t>
      </w:r>
    </w:p>
    <w:p w14:paraId="692B5AB1" w14:textId="3E4EB9B8" w:rsidR="00C44C84" w:rsidRPr="0022448B" w:rsidRDefault="00BE5731" w:rsidP="00C44C84">
      <w:pPr>
        <w:pStyle w:val="Textkrper"/>
        <w:rPr>
          <w:w w:val="110"/>
          <w:lang w:val="en-GB"/>
        </w:rPr>
      </w:pPr>
      <w:r w:rsidRPr="0022448B">
        <w:rPr>
          <w:w w:val="110"/>
          <w:lang w:val="en-GB"/>
        </w:rPr>
        <w:t>Article</w:t>
      </w:r>
      <w:r w:rsidR="002B6269">
        <w:rPr>
          <w:w w:val="110"/>
          <w:lang w:val="en-GB"/>
        </w:rPr>
        <w:t> </w:t>
      </w:r>
      <w:r w:rsidRPr="0022448B">
        <w:rPr>
          <w:w w:val="110"/>
          <w:lang w:val="en-GB"/>
        </w:rPr>
        <w:t xml:space="preserve">25 </w:t>
      </w:r>
      <w:r w:rsidR="00100D58" w:rsidRPr="0022448B">
        <w:rPr>
          <w:w w:val="110"/>
          <w:lang w:val="en-GB"/>
        </w:rPr>
        <w:t xml:space="preserve">lays down </w:t>
      </w:r>
      <w:r w:rsidR="00630CD9" w:rsidRPr="0022448B">
        <w:rPr>
          <w:w w:val="110"/>
          <w:lang w:val="en-GB"/>
        </w:rPr>
        <w:t xml:space="preserve">the general framework for temporary reintroductions of border controls, provided that they are necessary to deal with foreseeable events which seriously threaten public policy or internal security. </w:t>
      </w:r>
    </w:p>
    <w:p w14:paraId="2E950FDF" w14:textId="469BF354" w:rsidR="00593BA3" w:rsidRPr="0022448B" w:rsidRDefault="003448BC" w:rsidP="006E6F10">
      <w:pPr>
        <w:rPr>
          <w:lang w:val="en-GB"/>
        </w:rPr>
      </w:pPr>
      <w:r w:rsidRPr="0022448B">
        <w:rPr>
          <w:lang w:val="en-GB"/>
        </w:rPr>
        <w:t>The Court of Justice of the EU (</w:t>
      </w:r>
      <w:r w:rsidR="00AC300D" w:rsidRPr="0022448B">
        <w:rPr>
          <w:lang w:val="en-GB"/>
        </w:rPr>
        <w:t>ECJ</w:t>
      </w:r>
      <w:r w:rsidRPr="0022448B">
        <w:rPr>
          <w:lang w:val="en-GB"/>
        </w:rPr>
        <w:t>) has had occasion to state that</w:t>
      </w:r>
      <w:r w:rsidR="006E6F10" w:rsidRPr="0022448B">
        <w:rPr>
          <w:lang w:val="en-GB"/>
        </w:rPr>
        <w:t> </w:t>
      </w:r>
      <w:r w:rsidR="006E6F10" w:rsidRPr="0022448B">
        <w:rPr>
          <w:lang w:val="en-GB"/>
        </w:rPr>
        <w:t>„</w:t>
      </w:r>
      <w:r w:rsidR="002B6269">
        <w:rPr>
          <w:lang w:val="en-GB"/>
        </w:rPr>
        <w:t>article</w:t>
      </w:r>
      <w:r w:rsidR="006E6F10" w:rsidRPr="0022448B">
        <w:rPr>
          <w:lang w:val="en-GB"/>
        </w:rPr>
        <w:t xml:space="preserve"> 25 of the Schengen Borders Code allows, exceptionally and under certain conditions, a Member State to reintroduce temporarily border control at all or specific parts of its internal borders where there is a serious threat to public policy or internal security in that Member State. Under Article 32 of the code, where border control at internal borders is reintroduced, the relevant provisions of the code relating to external borders are to apply </w:t>
      </w:r>
      <w:r w:rsidR="006E6F10" w:rsidRPr="0022448B">
        <w:rPr>
          <w:i/>
          <w:iCs/>
          <w:lang w:val="en-GB"/>
        </w:rPr>
        <w:t>mutatis mutandis</w:t>
      </w:r>
      <w:r w:rsidR="006E6F10" w:rsidRPr="0022448B">
        <w:rPr>
          <w:lang w:val="en-GB"/>
        </w:rPr>
        <w:t>.</w:t>
      </w:r>
      <w:r w:rsidR="006E6F10" w:rsidRPr="0022448B">
        <w:rPr>
          <w:lang w:val="en-GB"/>
        </w:rPr>
        <w:t>“</w:t>
      </w:r>
      <w:r w:rsidR="00AC300D" w:rsidRPr="0022448B">
        <w:rPr>
          <w:rStyle w:val="Funotenzeichen"/>
          <w:lang w:val="en-GB"/>
        </w:rPr>
        <w:t xml:space="preserve"> </w:t>
      </w:r>
      <w:r w:rsidR="00AC300D" w:rsidRPr="0022448B">
        <w:rPr>
          <w:rStyle w:val="Funotenzeichen"/>
          <w:lang w:val="en-GB"/>
        </w:rPr>
        <w:footnoteReference w:id="3"/>
      </w:r>
      <w:r w:rsidR="00630CD9" w:rsidRPr="0022448B">
        <w:rPr>
          <w:lang w:val="en-GB"/>
        </w:rPr>
        <w:t xml:space="preserve"> The </w:t>
      </w:r>
      <w:r w:rsidR="00BE5731" w:rsidRPr="0022448B">
        <w:rPr>
          <w:w w:val="110"/>
          <w:lang w:val="en-GB"/>
        </w:rPr>
        <w:t xml:space="preserve">reintroduction of </w:t>
      </w:r>
      <w:r w:rsidR="00074E1D" w:rsidRPr="0022448B">
        <w:rPr>
          <w:w w:val="110"/>
          <w:lang w:val="en-GB"/>
        </w:rPr>
        <w:t xml:space="preserve">such </w:t>
      </w:r>
      <w:r w:rsidR="00BE5731" w:rsidRPr="0022448B">
        <w:rPr>
          <w:w w:val="110"/>
          <w:lang w:val="en-GB"/>
        </w:rPr>
        <w:t xml:space="preserve">controls by a Member State is therefore </w:t>
      </w:r>
      <w:r w:rsidR="00074E1D" w:rsidRPr="0022448B">
        <w:rPr>
          <w:w w:val="110"/>
          <w:lang w:val="en-GB"/>
        </w:rPr>
        <w:t xml:space="preserve">possible, </w:t>
      </w:r>
      <w:r w:rsidR="00BE5731" w:rsidRPr="0022448B">
        <w:rPr>
          <w:w w:val="110"/>
          <w:lang w:val="en-GB"/>
        </w:rPr>
        <w:t xml:space="preserve">but </w:t>
      </w:r>
      <w:r w:rsidR="00074E1D" w:rsidRPr="0022448B">
        <w:rPr>
          <w:w w:val="110"/>
          <w:lang w:val="en-GB"/>
        </w:rPr>
        <w:t xml:space="preserve">subject to </w:t>
      </w:r>
      <w:r w:rsidR="00BE5731" w:rsidRPr="0022448B">
        <w:rPr>
          <w:w w:val="110"/>
          <w:lang w:val="en-GB"/>
        </w:rPr>
        <w:t xml:space="preserve">precise conditions </w:t>
      </w:r>
      <w:r w:rsidR="0031407D" w:rsidRPr="0022448B">
        <w:rPr>
          <w:w w:val="110"/>
          <w:lang w:val="en-GB"/>
        </w:rPr>
        <w:t>and not left to its discretion.</w:t>
      </w:r>
    </w:p>
    <w:p w14:paraId="4CEAC9EA" w14:textId="0B0BBF32" w:rsidR="00630CD9" w:rsidRPr="0022448B" w:rsidRDefault="00BE5731" w:rsidP="00593BA3">
      <w:pPr>
        <w:pStyle w:val="Textkrper"/>
        <w:rPr>
          <w:w w:val="110"/>
          <w:lang w:val="en-GB"/>
        </w:rPr>
      </w:pPr>
      <w:r w:rsidRPr="0022448B">
        <w:rPr>
          <w:lang w:val="en-GB"/>
        </w:rPr>
        <w:t>Article</w:t>
      </w:r>
      <w:r w:rsidR="002B6269">
        <w:rPr>
          <w:lang w:val="en-GB"/>
        </w:rPr>
        <w:t> </w:t>
      </w:r>
      <w:r w:rsidRPr="0022448B">
        <w:rPr>
          <w:lang w:val="en-GB"/>
        </w:rPr>
        <w:t xml:space="preserve">28 </w:t>
      </w:r>
      <w:r w:rsidR="00CB16A5" w:rsidRPr="0022448B">
        <w:rPr>
          <w:lang w:val="en-GB"/>
        </w:rPr>
        <w:t xml:space="preserve">provides for a specific procedure in cases requiring immediate action. It therefore </w:t>
      </w:r>
      <w:r w:rsidR="00630CD9" w:rsidRPr="0022448B">
        <w:rPr>
          <w:lang w:val="en-GB"/>
        </w:rPr>
        <w:t xml:space="preserve">introduces a partially specific regime for unforeseen or unforeseeable </w:t>
      </w:r>
      <w:r w:rsidR="00630CD9" w:rsidRPr="0022448B">
        <w:rPr>
          <w:lang w:val="en-GB"/>
        </w:rPr>
        <w:lastRenderedPageBreak/>
        <w:t>situations where</w:t>
      </w:r>
      <w:r w:rsidR="000B00EA" w:rsidRPr="0022448B">
        <w:rPr>
          <w:lang w:val="en-GB"/>
        </w:rPr>
        <w:t xml:space="preserve"> “</w:t>
      </w:r>
      <w:r w:rsidR="00630CD9" w:rsidRPr="0022448B">
        <w:rPr>
          <w:lang w:val="en-GB"/>
        </w:rPr>
        <w:t>a serious threat to the public policy or internal security of a Member State requires immediate action</w:t>
      </w:r>
      <w:r w:rsidR="000B00EA" w:rsidRPr="0022448B">
        <w:rPr>
          <w:lang w:val="en-GB"/>
        </w:rPr>
        <w:t xml:space="preserve"> to be taken”</w:t>
      </w:r>
      <w:r w:rsidR="00630CD9" w:rsidRPr="0022448B">
        <w:rPr>
          <w:lang w:val="en-GB"/>
        </w:rPr>
        <w:t>.</w:t>
      </w:r>
    </w:p>
    <w:p w14:paraId="14BDD503" w14:textId="736D824B" w:rsidR="00C447D1" w:rsidRPr="0022448B" w:rsidRDefault="00630CD9" w:rsidP="003A356D">
      <w:pPr>
        <w:pStyle w:val="Textkrper"/>
        <w:rPr>
          <w:w w:val="105"/>
          <w:lang w:val="en-GB"/>
        </w:rPr>
      </w:pPr>
      <w:r w:rsidRPr="0022448B">
        <w:rPr>
          <w:w w:val="110"/>
          <w:lang w:val="en-GB"/>
        </w:rPr>
        <w:t xml:space="preserve">The </w:t>
      </w:r>
      <w:r w:rsidR="00E6378A" w:rsidRPr="0022448B">
        <w:rPr>
          <w:w w:val="110"/>
          <w:lang w:val="en-GB"/>
        </w:rPr>
        <w:t xml:space="preserve">two </w:t>
      </w:r>
      <w:r w:rsidRPr="0022448B">
        <w:rPr>
          <w:w w:val="110"/>
          <w:lang w:val="en-GB"/>
        </w:rPr>
        <w:t xml:space="preserve">provisions are of a </w:t>
      </w:r>
      <w:r w:rsidR="00372A24" w:rsidRPr="0022448B">
        <w:rPr>
          <w:w w:val="110"/>
          <w:lang w:val="en-GB"/>
        </w:rPr>
        <w:t xml:space="preserve">complementary </w:t>
      </w:r>
      <w:r w:rsidRPr="0022448B">
        <w:rPr>
          <w:w w:val="110"/>
          <w:lang w:val="en-GB"/>
        </w:rPr>
        <w:t xml:space="preserve">nature, </w:t>
      </w:r>
      <w:r w:rsidR="00D70881" w:rsidRPr="0022448B">
        <w:rPr>
          <w:w w:val="110"/>
          <w:lang w:val="en-GB"/>
        </w:rPr>
        <w:t xml:space="preserve">but </w:t>
      </w:r>
      <w:r w:rsidRPr="0022448B">
        <w:rPr>
          <w:w w:val="110"/>
          <w:lang w:val="en-GB"/>
        </w:rPr>
        <w:t xml:space="preserve">differ as regards the procedure for restoring controls. </w:t>
      </w:r>
      <w:r w:rsidR="00D70881" w:rsidRPr="0022448B">
        <w:rPr>
          <w:w w:val="110"/>
          <w:lang w:val="en-GB"/>
        </w:rPr>
        <w:t>Thus</w:t>
      </w:r>
      <w:r w:rsidRPr="0022448B">
        <w:rPr>
          <w:w w:val="110"/>
          <w:lang w:val="en-GB"/>
        </w:rPr>
        <w:t>, prior notification of the planned reintroduction to the other Member States and the Commission is required under Article</w:t>
      </w:r>
      <w:r w:rsidR="002B6269">
        <w:rPr>
          <w:w w:val="110"/>
          <w:lang w:val="en-GB"/>
        </w:rPr>
        <w:t> </w:t>
      </w:r>
      <w:r w:rsidRPr="0022448B">
        <w:rPr>
          <w:w w:val="110"/>
          <w:lang w:val="en-GB"/>
        </w:rPr>
        <w:t xml:space="preserve">2(2) of </w:t>
      </w:r>
      <w:r w:rsidR="005532C0" w:rsidRPr="0022448B">
        <w:rPr>
          <w:w w:val="110"/>
          <w:lang w:val="en-GB"/>
        </w:rPr>
        <w:t>Article</w:t>
      </w:r>
      <w:r w:rsidR="002B6269">
        <w:rPr>
          <w:w w:val="110"/>
          <w:lang w:val="en-GB"/>
        </w:rPr>
        <w:t> </w:t>
      </w:r>
      <w:r w:rsidRPr="0022448B">
        <w:rPr>
          <w:w w:val="110"/>
          <w:lang w:val="en-GB"/>
        </w:rPr>
        <w:t xml:space="preserve">25, while under </w:t>
      </w:r>
      <w:r w:rsidR="00D70881" w:rsidRPr="0022448B">
        <w:rPr>
          <w:w w:val="110"/>
          <w:lang w:val="en-GB"/>
        </w:rPr>
        <w:t>Article</w:t>
      </w:r>
      <w:r w:rsidR="002B6269">
        <w:rPr>
          <w:w w:val="110"/>
          <w:lang w:val="en-GB"/>
        </w:rPr>
        <w:t> </w:t>
      </w:r>
      <w:r w:rsidRPr="0022448B">
        <w:rPr>
          <w:w w:val="110"/>
          <w:lang w:val="en-GB"/>
        </w:rPr>
        <w:t xml:space="preserve">28 the reintroduction and notification must be simultaneous. The maximum duration of controls and their extension is also different, i.e. </w:t>
      </w:r>
      <w:r w:rsidR="005532C0" w:rsidRPr="0022448B">
        <w:rPr>
          <w:w w:val="105"/>
          <w:lang w:val="en-GB"/>
        </w:rPr>
        <w:t>six months under Art.</w:t>
      </w:r>
      <w:r w:rsidR="002B6269">
        <w:rPr>
          <w:w w:val="105"/>
          <w:lang w:val="en-GB"/>
        </w:rPr>
        <w:t> </w:t>
      </w:r>
      <w:r w:rsidR="005532C0" w:rsidRPr="0022448B">
        <w:rPr>
          <w:w w:val="105"/>
          <w:lang w:val="en-GB"/>
        </w:rPr>
        <w:t xml:space="preserve">25 </w:t>
      </w:r>
      <w:r w:rsidR="00AC300D" w:rsidRPr="0022448B">
        <w:rPr>
          <w:w w:val="105"/>
          <w:lang w:val="en-GB"/>
        </w:rPr>
        <w:t>SBC</w:t>
      </w:r>
      <w:r w:rsidR="0031407D" w:rsidRPr="0022448B">
        <w:rPr>
          <w:w w:val="105"/>
          <w:lang w:val="en-GB"/>
        </w:rPr>
        <w:t xml:space="preserve"> </w:t>
      </w:r>
      <w:r w:rsidR="005532C0" w:rsidRPr="0022448B">
        <w:rPr>
          <w:w w:val="105"/>
          <w:lang w:val="en-GB"/>
        </w:rPr>
        <w:t xml:space="preserve">and two months for cases requiring immediate action. </w:t>
      </w:r>
    </w:p>
    <w:p w14:paraId="5EF72F22" w14:textId="41A47D0D" w:rsidR="00630CD9" w:rsidRPr="0022448B" w:rsidRDefault="00C447D1" w:rsidP="003A356D">
      <w:pPr>
        <w:pStyle w:val="Textkrper"/>
        <w:rPr>
          <w:w w:val="110"/>
          <w:lang w:val="en-GB"/>
        </w:rPr>
      </w:pPr>
      <w:r w:rsidRPr="0022448B">
        <w:rPr>
          <w:w w:val="105"/>
          <w:lang w:val="en-GB"/>
        </w:rPr>
        <w:t xml:space="preserve">In </w:t>
      </w:r>
      <w:r w:rsidR="005532C0" w:rsidRPr="0022448B">
        <w:rPr>
          <w:w w:val="105"/>
          <w:lang w:val="en-GB"/>
        </w:rPr>
        <w:t>both cases, measures adopted unilaterally by national authorities must respect the principles of necessity and proportionality - particularly in terms of duration and territorial scope - and must be specifically motivated.</w:t>
      </w:r>
    </w:p>
    <w:p w14:paraId="7264A762" w14:textId="004ED23A" w:rsidR="00CB16A5" w:rsidRPr="0022448B" w:rsidRDefault="00784C76" w:rsidP="00D8111D">
      <w:pPr>
        <w:pStyle w:val="Textkrper"/>
        <w:rPr>
          <w:rFonts w:ascii="Times New Roman" w:hAnsi="Times New Roman" w:cs="Times New Roman"/>
          <w:lang w:val="en-GB"/>
        </w:rPr>
      </w:pPr>
      <w:r w:rsidRPr="0022448B">
        <w:rPr>
          <w:w w:val="105"/>
          <w:lang w:val="en-GB"/>
        </w:rPr>
        <w:t>Article</w:t>
      </w:r>
      <w:r w:rsidR="002B6269">
        <w:rPr>
          <w:w w:val="105"/>
          <w:lang w:val="en-GB"/>
        </w:rPr>
        <w:t> </w:t>
      </w:r>
      <w:r w:rsidRPr="0022448B">
        <w:rPr>
          <w:w w:val="105"/>
          <w:lang w:val="en-GB"/>
        </w:rPr>
        <w:t xml:space="preserve">26 </w:t>
      </w:r>
      <w:r w:rsidR="00B31CA6" w:rsidRPr="0022448B">
        <w:rPr>
          <w:lang w:val="en-GB"/>
        </w:rPr>
        <w:t>SBC</w:t>
      </w:r>
      <w:r w:rsidR="00D8111D" w:rsidRPr="0022448B">
        <w:rPr>
          <w:lang w:val="en-GB"/>
        </w:rPr>
        <w:t xml:space="preserve"> lays down </w:t>
      </w:r>
      <w:r w:rsidR="00372A24" w:rsidRPr="0022448B">
        <w:rPr>
          <w:lang w:val="en-GB"/>
        </w:rPr>
        <w:t xml:space="preserve">strict </w:t>
      </w:r>
      <w:r w:rsidR="00CB16A5" w:rsidRPr="0022448B">
        <w:rPr>
          <w:lang w:val="en-GB"/>
        </w:rPr>
        <w:t>criteria for the temporary reintroduction of internal border controls</w:t>
      </w:r>
      <w:r w:rsidR="00D8111D" w:rsidRPr="0022448B">
        <w:rPr>
          <w:lang w:val="en-GB"/>
        </w:rPr>
        <w:t xml:space="preserve">. </w:t>
      </w:r>
    </w:p>
    <w:p w14:paraId="6826CEE2" w14:textId="1B21409A" w:rsidR="00D8111D" w:rsidRPr="0022448B" w:rsidRDefault="008952AC" w:rsidP="00D8111D">
      <w:pPr>
        <w:pStyle w:val="Textkrper"/>
        <w:rPr>
          <w:lang w:val="en-GB"/>
        </w:rPr>
      </w:pPr>
      <w:r w:rsidRPr="0022448B">
        <w:rPr>
          <w:lang w:val="en-GB"/>
        </w:rPr>
        <w:t xml:space="preserve">Admittedly, in accordance with </w:t>
      </w:r>
      <w:r w:rsidR="002B6269">
        <w:rPr>
          <w:lang w:val="en-GB"/>
        </w:rPr>
        <w:t>articles </w:t>
      </w:r>
      <w:r w:rsidRPr="0022448B">
        <w:rPr>
          <w:lang w:val="en-GB"/>
        </w:rPr>
        <w:t xml:space="preserve">25 or 28(1) of the </w:t>
      </w:r>
      <w:r w:rsidR="00B31CA6" w:rsidRPr="0022448B">
        <w:rPr>
          <w:lang w:val="en-GB"/>
        </w:rPr>
        <w:t>SBC</w:t>
      </w:r>
      <w:r w:rsidR="00A32BBA" w:rsidRPr="0022448B">
        <w:rPr>
          <w:lang w:val="en-GB"/>
        </w:rPr>
        <w:t xml:space="preserve">, the </w:t>
      </w:r>
      <w:r w:rsidRPr="0022448B">
        <w:rPr>
          <w:lang w:val="en-GB"/>
        </w:rPr>
        <w:t xml:space="preserve">decision to resort to the temporary reintroduction of checks at one or more of its internal borders or on sections thereof or to extend such </w:t>
      </w:r>
      <w:r w:rsidR="00372A24" w:rsidRPr="0022448B">
        <w:rPr>
          <w:lang w:val="en-GB"/>
        </w:rPr>
        <w:t xml:space="preserve">reintroduction is a matter for </w:t>
      </w:r>
      <w:r w:rsidRPr="0022448B">
        <w:rPr>
          <w:lang w:val="en-GB"/>
        </w:rPr>
        <w:t xml:space="preserve">each Member State. </w:t>
      </w:r>
      <w:r w:rsidR="00A32BBA" w:rsidRPr="0022448B">
        <w:rPr>
          <w:lang w:val="en-GB"/>
        </w:rPr>
        <w:t xml:space="preserve">However, it should only be taken as a </w:t>
      </w:r>
      <w:r w:rsidR="00B31CA6" w:rsidRPr="0022448B">
        <w:rPr>
          <w:lang w:val="en-GB"/>
        </w:rPr>
        <w:t>“</w:t>
      </w:r>
      <w:r w:rsidR="00CB16A5" w:rsidRPr="0022448B">
        <w:rPr>
          <w:lang w:val="en-GB"/>
        </w:rPr>
        <w:t>last resort</w:t>
      </w:r>
      <w:r w:rsidR="00B31CA6" w:rsidRPr="0022448B">
        <w:rPr>
          <w:lang w:val="en-GB"/>
        </w:rPr>
        <w:t>”</w:t>
      </w:r>
      <w:r w:rsidR="00A32BBA" w:rsidRPr="0022448B">
        <w:rPr>
          <w:lang w:val="en-GB"/>
        </w:rPr>
        <w:t>.</w:t>
      </w:r>
    </w:p>
    <w:p w14:paraId="12D13B67" w14:textId="0A57352D" w:rsidR="00D8111D" w:rsidRPr="0022448B" w:rsidRDefault="00E7547C" w:rsidP="00D8111D">
      <w:pPr>
        <w:pStyle w:val="Textkrper"/>
        <w:rPr>
          <w:lang w:val="en-GB"/>
        </w:rPr>
      </w:pPr>
      <w:r w:rsidRPr="0022448B">
        <w:rPr>
          <w:lang w:val="en-GB"/>
        </w:rPr>
        <w:t>Article</w:t>
      </w:r>
      <w:r w:rsidR="002B6269">
        <w:rPr>
          <w:lang w:val="en-GB"/>
        </w:rPr>
        <w:t> </w:t>
      </w:r>
      <w:r w:rsidRPr="0022448B">
        <w:rPr>
          <w:lang w:val="en-GB"/>
        </w:rPr>
        <w:t xml:space="preserve">26 further specifies that the Member </w:t>
      </w:r>
      <w:r w:rsidR="002B6269">
        <w:rPr>
          <w:lang w:val="en-GB"/>
        </w:rPr>
        <w:t>State,</w:t>
      </w:r>
      <w:r w:rsidRPr="0022448B">
        <w:rPr>
          <w:lang w:val="en-GB"/>
        </w:rPr>
        <w:t xml:space="preserve"> </w:t>
      </w:r>
      <w:r w:rsidR="008B7F4C" w:rsidRPr="0022448B">
        <w:rPr>
          <w:lang w:val="en-GB"/>
        </w:rPr>
        <w:t>“</w:t>
      </w:r>
      <w:r w:rsidRPr="0022448B">
        <w:rPr>
          <w:lang w:val="en-GB"/>
        </w:rPr>
        <w:t xml:space="preserve">shall </w:t>
      </w:r>
      <w:r w:rsidR="00A22C6E" w:rsidRPr="0022448B">
        <w:rPr>
          <w:lang w:val="en-GB"/>
        </w:rPr>
        <w:t xml:space="preserve">assess </w:t>
      </w:r>
      <w:r w:rsidR="00CB16A5" w:rsidRPr="0022448B">
        <w:rPr>
          <w:lang w:val="en-GB"/>
        </w:rPr>
        <w:t>the extent to which such reintroduction is likely to adequately remedy the threat to public policy or internal security</w:t>
      </w:r>
      <w:r w:rsidR="008B7F4C" w:rsidRPr="0022448B">
        <w:rPr>
          <w:lang w:val="en-GB"/>
        </w:rPr>
        <w:t>”</w:t>
      </w:r>
      <w:r w:rsidRPr="0022448B">
        <w:rPr>
          <w:lang w:val="en-GB"/>
        </w:rPr>
        <w:t>. Although this is not explicitly stated</w:t>
      </w:r>
      <w:r w:rsidR="00B71039" w:rsidRPr="0022448B">
        <w:rPr>
          <w:lang w:val="en-GB"/>
        </w:rPr>
        <w:t>, it is understood that this assessment must precede the decision. Otherwise, Article</w:t>
      </w:r>
      <w:r w:rsidR="002B6269">
        <w:rPr>
          <w:lang w:val="en-GB"/>
        </w:rPr>
        <w:t> </w:t>
      </w:r>
      <w:r w:rsidR="00B71039" w:rsidRPr="0022448B">
        <w:rPr>
          <w:lang w:val="en-GB"/>
        </w:rPr>
        <w:t xml:space="preserve">26 </w:t>
      </w:r>
      <w:r w:rsidR="00B31CA6" w:rsidRPr="0022448B">
        <w:rPr>
          <w:lang w:val="en-GB"/>
        </w:rPr>
        <w:t>w</w:t>
      </w:r>
      <w:r w:rsidR="00B71039" w:rsidRPr="0022448B">
        <w:rPr>
          <w:lang w:val="en-GB"/>
        </w:rPr>
        <w:t xml:space="preserve">ould be </w:t>
      </w:r>
      <w:r w:rsidR="00B31CA6" w:rsidRPr="0022448B">
        <w:rPr>
          <w:lang w:val="en-GB"/>
        </w:rPr>
        <w:t>able to fulfil its ‘</w:t>
      </w:r>
      <w:proofErr w:type="spellStart"/>
      <w:r w:rsidR="00B31CA6" w:rsidRPr="0022448B">
        <w:rPr>
          <w:i/>
          <w:iCs/>
          <w:lang w:val="en-GB"/>
        </w:rPr>
        <w:t>effet</w:t>
      </w:r>
      <w:proofErr w:type="spellEnd"/>
      <w:r w:rsidR="00B31CA6" w:rsidRPr="0022448B">
        <w:rPr>
          <w:i/>
          <w:iCs/>
          <w:lang w:val="en-GB"/>
        </w:rPr>
        <w:t xml:space="preserve"> utile’</w:t>
      </w:r>
      <w:r w:rsidR="00B71039" w:rsidRPr="0022448B">
        <w:rPr>
          <w:lang w:val="en-GB"/>
        </w:rPr>
        <w:t xml:space="preserve">. On the </w:t>
      </w:r>
      <w:r w:rsidR="00A22C6E" w:rsidRPr="0022448B">
        <w:rPr>
          <w:lang w:val="en-GB"/>
        </w:rPr>
        <w:t xml:space="preserve">other hand, it is clear that the use of the </w:t>
      </w:r>
      <w:r w:rsidR="008B7F4C" w:rsidRPr="0022448B">
        <w:rPr>
          <w:lang w:val="en-GB"/>
        </w:rPr>
        <w:t>words</w:t>
      </w:r>
      <w:r w:rsidR="00A22C6E" w:rsidRPr="0022448B">
        <w:rPr>
          <w:lang w:val="en-GB"/>
        </w:rPr>
        <w:t xml:space="preserve"> </w:t>
      </w:r>
      <w:r w:rsidR="008B7F4C" w:rsidRPr="0022448B">
        <w:rPr>
          <w:lang w:val="en-GB"/>
        </w:rPr>
        <w:t xml:space="preserve">“shall </w:t>
      </w:r>
      <w:r w:rsidR="00A22C6E" w:rsidRPr="0022448B">
        <w:rPr>
          <w:lang w:val="en-GB"/>
        </w:rPr>
        <w:t>assess</w:t>
      </w:r>
      <w:r w:rsidR="008B7F4C" w:rsidRPr="0022448B">
        <w:rPr>
          <w:lang w:val="en-GB"/>
        </w:rPr>
        <w:t>”</w:t>
      </w:r>
      <w:r w:rsidR="00A22C6E" w:rsidRPr="0022448B">
        <w:rPr>
          <w:lang w:val="en-GB"/>
        </w:rPr>
        <w:t xml:space="preserve"> means that the Member </w:t>
      </w:r>
      <w:r w:rsidR="00A70399" w:rsidRPr="0022448B">
        <w:rPr>
          <w:lang w:val="en-GB"/>
        </w:rPr>
        <w:t xml:space="preserve">State </w:t>
      </w:r>
      <w:r w:rsidR="00A22C6E" w:rsidRPr="0022448B">
        <w:rPr>
          <w:lang w:val="en-GB"/>
        </w:rPr>
        <w:t xml:space="preserve">must assess </w:t>
      </w:r>
      <w:r w:rsidR="00A70399" w:rsidRPr="0022448B">
        <w:rPr>
          <w:lang w:val="en-GB"/>
        </w:rPr>
        <w:t>this</w:t>
      </w:r>
      <w:r w:rsidR="008B7F4C" w:rsidRPr="0022448B">
        <w:rPr>
          <w:lang w:val="en-GB"/>
        </w:rPr>
        <w:t>, which is more explicit than in the French or German version of the SBC</w:t>
      </w:r>
      <w:r w:rsidR="00A70399" w:rsidRPr="0022448B">
        <w:rPr>
          <w:lang w:val="en-GB"/>
        </w:rPr>
        <w:t>.</w:t>
      </w:r>
    </w:p>
    <w:p w14:paraId="26A67F69" w14:textId="5765E658" w:rsidR="004B2C52" w:rsidRPr="0022448B" w:rsidRDefault="00B71039" w:rsidP="004B2C52">
      <w:pPr>
        <w:pStyle w:val="Textkrper"/>
        <w:rPr>
          <w:lang w:val="en-GB"/>
        </w:rPr>
      </w:pPr>
      <w:r w:rsidRPr="0022448B">
        <w:rPr>
          <w:lang w:val="en-GB"/>
        </w:rPr>
        <w:t>Similarly</w:t>
      </w:r>
      <w:r w:rsidR="00372A24" w:rsidRPr="0022448B">
        <w:rPr>
          <w:lang w:val="en-GB"/>
        </w:rPr>
        <w:t xml:space="preserve">, </w:t>
      </w:r>
      <w:r w:rsidRPr="0022448B">
        <w:rPr>
          <w:lang w:val="en-GB"/>
        </w:rPr>
        <w:t xml:space="preserve">it is made obligatory for that Member State to </w:t>
      </w:r>
      <w:r w:rsidR="008B7F4C" w:rsidRPr="0022448B">
        <w:rPr>
          <w:lang w:val="en-GB"/>
        </w:rPr>
        <w:t>“</w:t>
      </w:r>
      <w:r w:rsidR="00CB16A5" w:rsidRPr="0022448B">
        <w:rPr>
          <w:lang w:val="en-GB"/>
        </w:rPr>
        <w:t>assess the proportionality of the measure in relation to that threat</w:t>
      </w:r>
      <w:r w:rsidR="008B7F4C" w:rsidRPr="0022448B">
        <w:rPr>
          <w:lang w:val="en-GB"/>
        </w:rPr>
        <w:t>”</w:t>
      </w:r>
      <w:r w:rsidR="00CB16A5" w:rsidRPr="0022448B">
        <w:rPr>
          <w:lang w:val="en-GB"/>
        </w:rPr>
        <w:t xml:space="preserve">. In making this assessment, the Member State </w:t>
      </w:r>
      <w:r w:rsidRPr="0022448B">
        <w:rPr>
          <w:lang w:val="en-GB"/>
        </w:rPr>
        <w:t xml:space="preserve">must take into </w:t>
      </w:r>
      <w:r w:rsidR="00CB16A5" w:rsidRPr="0022448B">
        <w:rPr>
          <w:lang w:val="en-GB"/>
        </w:rPr>
        <w:t xml:space="preserve">account </w:t>
      </w:r>
      <w:r w:rsidR="008F20F5" w:rsidRPr="0022448B">
        <w:rPr>
          <w:lang w:val="en-GB"/>
        </w:rPr>
        <w:t xml:space="preserve">both the </w:t>
      </w:r>
      <w:r w:rsidR="008B7F4C" w:rsidRPr="0022448B">
        <w:rPr>
          <w:lang w:val="en-GB"/>
        </w:rPr>
        <w:t>“</w:t>
      </w:r>
      <w:r w:rsidR="00CB16A5" w:rsidRPr="0022448B">
        <w:rPr>
          <w:lang w:val="en-GB"/>
        </w:rPr>
        <w:t>likely impact of any threat to its public policy or internal security</w:t>
      </w:r>
      <w:r w:rsidR="008B7F4C" w:rsidRPr="0022448B">
        <w:rPr>
          <w:lang w:val="en-GB"/>
        </w:rPr>
        <w:t>”</w:t>
      </w:r>
      <w:r w:rsidR="008F20F5" w:rsidRPr="0022448B">
        <w:rPr>
          <w:lang w:val="en-GB"/>
        </w:rPr>
        <w:t xml:space="preserve"> and the </w:t>
      </w:r>
      <w:r w:rsidR="008B7F4C" w:rsidRPr="0022448B">
        <w:rPr>
          <w:lang w:val="en-GB"/>
        </w:rPr>
        <w:t>“</w:t>
      </w:r>
      <w:r w:rsidR="00CB16A5" w:rsidRPr="0022448B">
        <w:rPr>
          <w:lang w:val="en-GB"/>
        </w:rPr>
        <w:t>likely impact of such a measure on the free movement of persons within the area without internal border control</w:t>
      </w:r>
      <w:r w:rsidR="008B7F4C" w:rsidRPr="0022448B">
        <w:rPr>
          <w:lang w:val="en-GB"/>
        </w:rPr>
        <w:t>”</w:t>
      </w:r>
      <w:r w:rsidR="00CB16A5" w:rsidRPr="0022448B">
        <w:rPr>
          <w:lang w:val="en-GB"/>
        </w:rPr>
        <w:t>.</w:t>
      </w:r>
    </w:p>
    <w:p w14:paraId="617A30C4" w14:textId="2D8774BB" w:rsidR="00784C76" w:rsidRPr="0022448B" w:rsidRDefault="00784C76" w:rsidP="003A356D">
      <w:pPr>
        <w:pStyle w:val="Textkrper"/>
        <w:rPr>
          <w:w w:val="105"/>
          <w:lang w:val="en-GB"/>
        </w:rPr>
      </w:pPr>
      <w:r w:rsidRPr="0022448B">
        <w:rPr>
          <w:w w:val="105"/>
          <w:lang w:val="en-GB"/>
        </w:rPr>
        <w:t>Article</w:t>
      </w:r>
      <w:r w:rsidR="002B6269">
        <w:rPr>
          <w:w w:val="105"/>
          <w:lang w:val="en-GB"/>
        </w:rPr>
        <w:t> </w:t>
      </w:r>
      <w:r w:rsidRPr="0022448B">
        <w:rPr>
          <w:w w:val="105"/>
          <w:lang w:val="en-GB"/>
        </w:rPr>
        <w:t xml:space="preserve">27 </w:t>
      </w:r>
      <w:r w:rsidR="002B0CBD" w:rsidRPr="0022448B">
        <w:rPr>
          <w:w w:val="105"/>
          <w:lang w:val="en-GB"/>
        </w:rPr>
        <w:t xml:space="preserve">sets out a number of clarifications on the </w:t>
      </w:r>
      <w:r w:rsidR="001B736B" w:rsidRPr="0022448B">
        <w:rPr>
          <w:w w:val="105"/>
          <w:lang w:val="en-GB"/>
        </w:rPr>
        <w:t xml:space="preserve">procedure for the temporary reintroduction of border controls and in particular on the prior </w:t>
      </w:r>
      <w:r w:rsidR="002B0CBD" w:rsidRPr="0022448B">
        <w:rPr>
          <w:w w:val="105"/>
          <w:lang w:val="en-GB"/>
        </w:rPr>
        <w:t xml:space="preserve">notification of </w:t>
      </w:r>
      <w:r w:rsidR="00372A24" w:rsidRPr="0022448B">
        <w:rPr>
          <w:w w:val="105"/>
          <w:lang w:val="en-GB"/>
        </w:rPr>
        <w:t xml:space="preserve">this </w:t>
      </w:r>
      <w:r w:rsidR="001B736B" w:rsidRPr="0022448B">
        <w:rPr>
          <w:w w:val="105"/>
          <w:lang w:val="en-GB"/>
        </w:rPr>
        <w:lastRenderedPageBreak/>
        <w:t xml:space="preserve">intention to the other Member States and the Commission. On the </w:t>
      </w:r>
      <w:r w:rsidR="004B2C52" w:rsidRPr="0022448B">
        <w:rPr>
          <w:w w:val="105"/>
          <w:lang w:val="en-GB"/>
        </w:rPr>
        <w:t xml:space="preserve">basis of the information contained in the </w:t>
      </w:r>
      <w:r w:rsidR="00372A24" w:rsidRPr="0022448B">
        <w:rPr>
          <w:w w:val="105"/>
          <w:lang w:val="en-GB"/>
        </w:rPr>
        <w:t xml:space="preserve">notification, </w:t>
      </w:r>
      <w:r w:rsidR="001B736B" w:rsidRPr="0022448B">
        <w:rPr>
          <w:w w:val="105"/>
          <w:lang w:val="en-GB"/>
        </w:rPr>
        <w:t xml:space="preserve">the Commission </w:t>
      </w:r>
      <w:r w:rsidR="004B2C52" w:rsidRPr="0022448B">
        <w:rPr>
          <w:w w:val="105"/>
          <w:lang w:val="en-GB"/>
        </w:rPr>
        <w:t xml:space="preserve">will </w:t>
      </w:r>
      <w:r w:rsidR="001B736B" w:rsidRPr="0022448B">
        <w:rPr>
          <w:w w:val="105"/>
          <w:lang w:val="en-GB"/>
        </w:rPr>
        <w:t xml:space="preserve">then </w:t>
      </w:r>
      <w:r w:rsidR="004B2C52" w:rsidRPr="0022448B">
        <w:rPr>
          <w:w w:val="105"/>
          <w:lang w:val="en-GB"/>
        </w:rPr>
        <w:t xml:space="preserve">be in a position to </w:t>
      </w:r>
      <w:r w:rsidR="004B2C52" w:rsidRPr="0022448B">
        <w:rPr>
          <w:lang w:val="en-GB"/>
        </w:rPr>
        <w:t xml:space="preserve">examine in </w:t>
      </w:r>
      <w:r w:rsidR="004B2C52" w:rsidRPr="0022448B">
        <w:rPr>
          <w:w w:val="105"/>
          <w:lang w:val="en-GB"/>
        </w:rPr>
        <w:t xml:space="preserve">turn the </w:t>
      </w:r>
      <w:r w:rsidR="004B2C52" w:rsidRPr="0022448B">
        <w:rPr>
          <w:lang w:val="en-GB"/>
        </w:rPr>
        <w:t xml:space="preserve">necessity and proportionality of the planned reintroduction of internal border control. If it considers that consultation on certain aspects of the notification is appropriate, it will issue an opinion to that effect. </w:t>
      </w:r>
      <w:r w:rsidR="00BD035B" w:rsidRPr="0022448B">
        <w:rPr>
          <w:lang w:val="en-GB"/>
        </w:rPr>
        <w:t xml:space="preserve">These rules </w:t>
      </w:r>
      <w:r w:rsidR="002B0CBD" w:rsidRPr="0022448B">
        <w:rPr>
          <w:w w:val="105"/>
          <w:lang w:val="en-GB"/>
        </w:rPr>
        <w:t xml:space="preserve">apply </w:t>
      </w:r>
      <w:r w:rsidR="00BD035B" w:rsidRPr="0022448B">
        <w:rPr>
          <w:i/>
          <w:iCs/>
          <w:w w:val="105"/>
          <w:lang w:val="en-GB"/>
        </w:rPr>
        <w:t xml:space="preserve">mutatis mutandis </w:t>
      </w:r>
      <w:r w:rsidR="002B0CBD" w:rsidRPr="0022448B">
        <w:rPr>
          <w:w w:val="105"/>
          <w:lang w:val="en-GB"/>
        </w:rPr>
        <w:t xml:space="preserve">to an immediate reintroduction of </w:t>
      </w:r>
      <w:r w:rsidR="00BD035B" w:rsidRPr="0022448B">
        <w:rPr>
          <w:w w:val="105"/>
          <w:lang w:val="en-GB"/>
        </w:rPr>
        <w:t xml:space="preserve">checks </w:t>
      </w:r>
      <w:r w:rsidR="002B0CBD" w:rsidRPr="0022448B">
        <w:rPr>
          <w:w w:val="105"/>
          <w:lang w:val="en-GB"/>
        </w:rPr>
        <w:t xml:space="preserve">under </w:t>
      </w:r>
      <w:r w:rsidR="00BD035B" w:rsidRPr="0022448B">
        <w:rPr>
          <w:w w:val="105"/>
          <w:lang w:val="en-GB"/>
        </w:rPr>
        <w:t xml:space="preserve">the specific procedure </w:t>
      </w:r>
      <w:r w:rsidR="00372A24" w:rsidRPr="0022448B">
        <w:rPr>
          <w:w w:val="105"/>
          <w:lang w:val="en-GB"/>
        </w:rPr>
        <w:t xml:space="preserve">provided for in </w:t>
      </w:r>
      <w:r w:rsidR="002B0CBD" w:rsidRPr="0022448B">
        <w:rPr>
          <w:w w:val="105"/>
          <w:lang w:val="en-GB"/>
        </w:rPr>
        <w:t>Article</w:t>
      </w:r>
      <w:r w:rsidR="002B6269">
        <w:rPr>
          <w:w w:val="105"/>
          <w:lang w:val="en-GB"/>
        </w:rPr>
        <w:t> </w:t>
      </w:r>
      <w:r w:rsidR="002B0CBD" w:rsidRPr="0022448B">
        <w:rPr>
          <w:w w:val="105"/>
          <w:lang w:val="en-GB"/>
        </w:rPr>
        <w:t>28</w:t>
      </w:r>
      <w:r w:rsidR="00BD035B" w:rsidRPr="0022448B">
        <w:rPr>
          <w:w w:val="105"/>
          <w:lang w:val="en-GB"/>
        </w:rPr>
        <w:t xml:space="preserve">. </w:t>
      </w:r>
    </w:p>
    <w:p w14:paraId="4D91B2E4" w14:textId="77777777" w:rsidR="008368A0" w:rsidRPr="0022448B" w:rsidRDefault="008368A0" w:rsidP="003A356D">
      <w:pPr>
        <w:pStyle w:val="Textkrper"/>
        <w:rPr>
          <w:lang w:val="en-GB"/>
        </w:rPr>
      </w:pPr>
    </w:p>
    <w:p w14:paraId="3C2339C1" w14:textId="62A534D5" w:rsidR="00D26627" w:rsidRPr="0022448B" w:rsidRDefault="00F73AE2" w:rsidP="004133F0">
      <w:pPr>
        <w:pStyle w:val="berschrift1"/>
        <w:rPr>
          <w:lang w:val="en-GB"/>
        </w:rPr>
      </w:pPr>
      <w:r w:rsidRPr="0022448B">
        <w:rPr>
          <w:lang w:val="en-GB"/>
        </w:rPr>
        <w:t xml:space="preserve">The </w:t>
      </w:r>
      <w:r w:rsidR="002B6269">
        <w:rPr>
          <w:lang w:val="en-GB"/>
        </w:rPr>
        <w:t>Arbitrary</w:t>
      </w:r>
      <w:r w:rsidRPr="0022448B">
        <w:rPr>
          <w:lang w:val="en-GB"/>
        </w:rPr>
        <w:t xml:space="preserve"> </w:t>
      </w:r>
      <w:r w:rsidR="002B6269">
        <w:rPr>
          <w:lang w:val="en-GB"/>
        </w:rPr>
        <w:t>Reintroduction</w:t>
      </w:r>
      <w:r w:rsidRPr="0022448B">
        <w:rPr>
          <w:lang w:val="en-GB"/>
        </w:rPr>
        <w:t xml:space="preserve"> of </w:t>
      </w:r>
      <w:r w:rsidR="002B6269">
        <w:rPr>
          <w:lang w:val="en-GB"/>
        </w:rPr>
        <w:t>Controls</w:t>
      </w:r>
      <w:r w:rsidR="00D26627" w:rsidRPr="0022448B">
        <w:rPr>
          <w:lang w:val="en-GB"/>
        </w:rPr>
        <w:t xml:space="preserve"> by the German </w:t>
      </w:r>
      <w:r w:rsidR="002B6269">
        <w:rPr>
          <w:lang w:val="en-GB"/>
        </w:rPr>
        <w:t>Government</w:t>
      </w:r>
    </w:p>
    <w:p w14:paraId="35F5F42B" w14:textId="77777777" w:rsidR="008368A0" w:rsidRPr="0022448B" w:rsidRDefault="008368A0" w:rsidP="003A356D">
      <w:pPr>
        <w:rPr>
          <w:lang w:val="en-GB"/>
        </w:rPr>
      </w:pPr>
    </w:p>
    <w:p w14:paraId="2E6B73B0" w14:textId="13E8A249" w:rsidR="00F13C09" w:rsidRPr="0022448B" w:rsidRDefault="00F13C09" w:rsidP="003A356D">
      <w:pPr>
        <w:rPr>
          <w:lang w:val="en-GB"/>
        </w:rPr>
      </w:pPr>
      <w:r w:rsidRPr="0022448B">
        <w:rPr>
          <w:lang w:val="en-GB"/>
        </w:rPr>
        <w:t>The German government</w:t>
      </w:r>
      <w:r w:rsidR="00FF5D36" w:rsidRPr="0022448B">
        <w:rPr>
          <w:lang w:val="en-GB"/>
        </w:rPr>
        <w:t>’</w:t>
      </w:r>
      <w:r w:rsidRPr="0022448B">
        <w:rPr>
          <w:lang w:val="en-GB"/>
        </w:rPr>
        <w:t xml:space="preserve">s website states very laconically </w:t>
      </w:r>
      <w:r w:rsidR="002B6269">
        <w:rPr>
          <w:lang w:val="en-GB"/>
        </w:rPr>
        <w:t>that</w:t>
      </w:r>
      <w:r w:rsidRPr="0022448B">
        <w:rPr>
          <w:lang w:val="en-GB"/>
        </w:rPr>
        <w:t xml:space="preserve"> </w:t>
      </w:r>
      <w:r w:rsidR="00B31CA6" w:rsidRPr="0022448B">
        <w:rPr>
          <w:lang w:val="en-GB"/>
        </w:rPr>
        <w:t>“</w:t>
      </w:r>
      <w:r w:rsidR="002B6269">
        <w:rPr>
          <w:lang w:val="en-GB"/>
        </w:rPr>
        <w:t>internal</w:t>
      </w:r>
      <w:r w:rsidRPr="0022448B">
        <w:rPr>
          <w:lang w:val="en-GB"/>
        </w:rPr>
        <w:t xml:space="preserve"> border controls at the internal borders with Austria, Switzerland, France, Luxembourg and Denmark will be carried out by the federal police from 16 March 2020. Federal Interior Minister </w:t>
      </w:r>
      <w:r w:rsidRPr="0022448B">
        <w:rPr>
          <w:i/>
          <w:iCs/>
          <w:lang w:val="en-GB"/>
        </w:rPr>
        <w:t xml:space="preserve">Seehofer </w:t>
      </w:r>
      <w:r w:rsidRPr="0022448B">
        <w:rPr>
          <w:lang w:val="en-GB"/>
        </w:rPr>
        <w:t xml:space="preserve">ordered this reintroduction of temporary border controls on the basis of the Schengen Border Code on 15 March 2020. The European Commission and the </w:t>
      </w:r>
      <w:r w:rsidR="00074E1D" w:rsidRPr="0022448B">
        <w:rPr>
          <w:lang w:val="en-GB"/>
        </w:rPr>
        <w:t xml:space="preserve">interior </w:t>
      </w:r>
      <w:r w:rsidRPr="0022448B">
        <w:rPr>
          <w:lang w:val="en-GB"/>
        </w:rPr>
        <w:t>ministers of the European Union were informed of the order in a so-called notification letter</w:t>
      </w:r>
      <w:r w:rsidR="00B31CA6" w:rsidRPr="0022448B">
        <w:rPr>
          <w:lang w:val="en-GB"/>
        </w:rPr>
        <w:t>”</w:t>
      </w:r>
      <w:r w:rsidR="00AB4E9A" w:rsidRPr="0022448B">
        <w:rPr>
          <w:lang w:val="en-GB"/>
        </w:rPr>
        <w:t xml:space="preserve">. </w:t>
      </w:r>
      <w:r w:rsidRPr="0022448B">
        <w:rPr>
          <w:rStyle w:val="Funotenzeichen"/>
          <w:lang w:val="en-GB"/>
        </w:rPr>
        <w:footnoteReference w:id="4"/>
      </w:r>
    </w:p>
    <w:p w14:paraId="595C1B0E" w14:textId="79F61B3F" w:rsidR="00D26627" w:rsidRPr="0022448B" w:rsidRDefault="00573F0D" w:rsidP="003A356D">
      <w:pPr>
        <w:rPr>
          <w:lang w:val="en-GB"/>
        </w:rPr>
      </w:pPr>
      <w:r w:rsidRPr="0022448B">
        <w:rPr>
          <w:lang w:val="en-GB"/>
        </w:rPr>
        <w:t xml:space="preserve">Furthermore, </w:t>
      </w:r>
      <w:r w:rsidR="009739CB" w:rsidRPr="0022448B">
        <w:rPr>
          <w:lang w:val="en-GB"/>
        </w:rPr>
        <w:t xml:space="preserve">a written reply from the </w:t>
      </w:r>
      <w:r w:rsidR="001A2457" w:rsidRPr="0022448B">
        <w:rPr>
          <w:lang w:val="en-GB"/>
        </w:rPr>
        <w:t xml:space="preserve">Federal Ministry of the </w:t>
      </w:r>
      <w:r w:rsidR="00074E1D" w:rsidRPr="0022448B">
        <w:rPr>
          <w:lang w:val="en-GB"/>
        </w:rPr>
        <w:t xml:space="preserve">Interior </w:t>
      </w:r>
      <w:r w:rsidR="001A2457" w:rsidRPr="0022448B">
        <w:rPr>
          <w:lang w:val="en-GB"/>
        </w:rPr>
        <w:t xml:space="preserve">(BMI) to a request from an individual states </w:t>
      </w:r>
      <w:r w:rsidR="009739CB" w:rsidRPr="0022448B">
        <w:rPr>
          <w:lang w:val="en-GB"/>
        </w:rPr>
        <w:t>that</w:t>
      </w:r>
      <w:r w:rsidR="001A2457" w:rsidRPr="0022448B">
        <w:rPr>
          <w:lang w:val="en-GB"/>
        </w:rPr>
        <w:t xml:space="preserve">: </w:t>
      </w:r>
      <w:r w:rsidR="00B31CA6" w:rsidRPr="0022448B">
        <w:rPr>
          <w:lang w:val="en-GB"/>
        </w:rPr>
        <w:t>“</w:t>
      </w:r>
      <w:r w:rsidR="006146D8" w:rsidRPr="0022448B">
        <w:rPr>
          <w:lang w:val="en-GB"/>
        </w:rPr>
        <w:t xml:space="preserve">The </w:t>
      </w:r>
      <w:r w:rsidR="009739CB" w:rsidRPr="0022448B">
        <w:rPr>
          <w:lang w:val="en-GB"/>
        </w:rPr>
        <w:t xml:space="preserve">EU-level </w:t>
      </w:r>
      <w:r w:rsidR="006146D8" w:rsidRPr="0022448B">
        <w:rPr>
          <w:lang w:val="en-GB"/>
        </w:rPr>
        <w:t xml:space="preserve">order </w:t>
      </w:r>
      <w:r w:rsidR="009739CB" w:rsidRPr="0022448B">
        <w:rPr>
          <w:lang w:val="en-GB"/>
        </w:rPr>
        <w:t>and notification of the temporary reintroduction of controls at Germany</w:t>
      </w:r>
      <w:r w:rsidR="002B6269">
        <w:rPr>
          <w:lang w:val="en-GB"/>
        </w:rPr>
        <w:t>’</w:t>
      </w:r>
      <w:r w:rsidR="009739CB" w:rsidRPr="0022448B">
        <w:rPr>
          <w:lang w:val="en-GB"/>
        </w:rPr>
        <w:t>s internal Schengen borders with Austria, Switzerland, France, Luxembourg and Denmark as well as with Italy and Spain took place on 16 March 2020 and 19 March 2020 respectively on the basis of Article</w:t>
      </w:r>
      <w:r w:rsidR="002B6269">
        <w:rPr>
          <w:lang w:val="en-GB"/>
        </w:rPr>
        <w:t> </w:t>
      </w:r>
      <w:r w:rsidR="009739CB" w:rsidRPr="0022448B">
        <w:rPr>
          <w:lang w:val="en-GB"/>
        </w:rPr>
        <w:t>28 of Regulation (EU) 2016/399 ("Schengen Borders Code"). This is a regulation directly applicable in the individual Schengen states, i.e. also in Germany, and therefore also provides the necessary legal basis</w:t>
      </w:r>
      <w:r w:rsidR="00B31CA6" w:rsidRPr="0022448B">
        <w:rPr>
          <w:lang w:val="en-GB"/>
        </w:rPr>
        <w:t>”</w:t>
      </w:r>
      <w:r w:rsidR="00AB4E9A" w:rsidRPr="0022448B">
        <w:rPr>
          <w:lang w:val="en-GB"/>
        </w:rPr>
        <w:t xml:space="preserve">. </w:t>
      </w:r>
      <w:r w:rsidR="001A2457" w:rsidRPr="0022448B">
        <w:rPr>
          <w:rStyle w:val="Funotenzeichen"/>
          <w:lang w:val="en-GB"/>
        </w:rPr>
        <w:footnoteReference w:id="5"/>
      </w:r>
    </w:p>
    <w:p w14:paraId="3D86DEB3" w14:textId="378F4B07" w:rsidR="00BF6CD4" w:rsidRPr="0022448B" w:rsidRDefault="00F150F5" w:rsidP="003A356D">
      <w:pPr>
        <w:rPr>
          <w:lang w:val="en-GB"/>
        </w:rPr>
      </w:pPr>
      <w:r w:rsidRPr="0022448B">
        <w:rPr>
          <w:lang w:val="en-GB"/>
        </w:rPr>
        <w:t xml:space="preserve">It is to be </w:t>
      </w:r>
      <w:r w:rsidR="00AB4E9A" w:rsidRPr="0022448B">
        <w:rPr>
          <w:lang w:val="en-GB"/>
        </w:rPr>
        <w:t>welcomed that the B</w:t>
      </w:r>
      <w:r w:rsidR="00B31CA6" w:rsidRPr="0022448B">
        <w:rPr>
          <w:lang w:val="en-GB"/>
        </w:rPr>
        <w:t>MI</w:t>
      </w:r>
      <w:r w:rsidR="00AB4E9A" w:rsidRPr="0022448B">
        <w:rPr>
          <w:lang w:val="en-GB"/>
        </w:rPr>
        <w:t xml:space="preserve"> </w:t>
      </w:r>
      <w:r w:rsidR="00823C5F" w:rsidRPr="0022448B">
        <w:rPr>
          <w:lang w:val="en-GB"/>
        </w:rPr>
        <w:t xml:space="preserve">refers to the direct applicability of </w:t>
      </w:r>
      <w:r w:rsidR="00A7080A" w:rsidRPr="0022448B">
        <w:rPr>
          <w:lang w:val="en-GB"/>
        </w:rPr>
        <w:t xml:space="preserve">this </w:t>
      </w:r>
      <w:r w:rsidR="002B6269">
        <w:rPr>
          <w:lang w:val="en-GB"/>
        </w:rPr>
        <w:t>regulation</w:t>
      </w:r>
      <w:r w:rsidR="00823C5F" w:rsidRPr="0022448B">
        <w:rPr>
          <w:lang w:val="en-GB"/>
        </w:rPr>
        <w:t xml:space="preserve"> and the fact that the legal basis for the ministerial decision is indeed to be found in this </w:t>
      </w:r>
      <w:r w:rsidR="00A7080A" w:rsidRPr="0022448B">
        <w:rPr>
          <w:lang w:val="en-GB"/>
        </w:rPr>
        <w:t>text</w:t>
      </w:r>
      <w:r w:rsidR="00823C5F" w:rsidRPr="0022448B">
        <w:rPr>
          <w:lang w:val="en-GB"/>
        </w:rPr>
        <w:t xml:space="preserve">. </w:t>
      </w:r>
      <w:r w:rsidRPr="0022448B">
        <w:rPr>
          <w:lang w:val="en-GB"/>
        </w:rPr>
        <w:t>However,</w:t>
      </w:r>
      <w:r w:rsidR="008D06B6" w:rsidRPr="0022448B">
        <w:rPr>
          <w:lang w:val="en-GB"/>
        </w:rPr>
        <w:t xml:space="preserve"> it is </w:t>
      </w:r>
      <w:r w:rsidRPr="0022448B">
        <w:rPr>
          <w:lang w:val="en-GB"/>
        </w:rPr>
        <w:t xml:space="preserve">regrettable that no public communication has been made as to whether </w:t>
      </w:r>
      <w:r w:rsidRPr="0022448B">
        <w:rPr>
          <w:lang w:val="en-GB"/>
        </w:rPr>
        <w:lastRenderedPageBreak/>
        <w:t xml:space="preserve">the criteria set out in </w:t>
      </w:r>
      <w:r w:rsidR="002B6269">
        <w:rPr>
          <w:lang w:val="en-GB"/>
        </w:rPr>
        <w:t>articles </w:t>
      </w:r>
      <w:r w:rsidRPr="0022448B">
        <w:rPr>
          <w:lang w:val="en-GB"/>
        </w:rPr>
        <w:t xml:space="preserve">26, 27 and 28 </w:t>
      </w:r>
      <w:r w:rsidR="00B31CA6" w:rsidRPr="0022448B">
        <w:rPr>
          <w:lang w:val="en-GB"/>
        </w:rPr>
        <w:t>SBC</w:t>
      </w:r>
      <w:r w:rsidRPr="0022448B">
        <w:rPr>
          <w:lang w:val="en-GB"/>
        </w:rPr>
        <w:t xml:space="preserve"> have been met. It is </w:t>
      </w:r>
      <w:r w:rsidR="00A70399" w:rsidRPr="0022448B">
        <w:rPr>
          <w:lang w:val="en-GB"/>
        </w:rPr>
        <w:t>therefore difficult to know whether the mandatory assessments provided for in Article</w:t>
      </w:r>
      <w:r w:rsidR="002B6269">
        <w:rPr>
          <w:lang w:val="en-GB"/>
        </w:rPr>
        <w:t> </w:t>
      </w:r>
      <w:r w:rsidR="00A70399" w:rsidRPr="0022448B">
        <w:rPr>
          <w:lang w:val="en-GB"/>
        </w:rPr>
        <w:t xml:space="preserve">26 </w:t>
      </w:r>
      <w:r w:rsidR="00B31CA6" w:rsidRPr="0022448B">
        <w:rPr>
          <w:lang w:val="en-GB"/>
        </w:rPr>
        <w:t>SBC</w:t>
      </w:r>
      <w:r w:rsidR="00A70399" w:rsidRPr="0022448B">
        <w:rPr>
          <w:lang w:val="en-GB"/>
        </w:rPr>
        <w:t xml:space="preserve"> have indeed been </w:t>
      </w:r>
      <w:r w:rsidR="002F1CA1" w:rsidRPr="0022448B">
        <w:rPr>
          <w:lang w:val="en-GB"/>
        </w:rPr>
        <w:t xml:space="preserve">carried out. </w:t>
      </w:r>
      <w:r w:rsidR="00012701" w:rsidRPr="0022448B">
        <w:rPr>
          <w:lang w:val="en-GB"/>
        </w:rPr>
        <w:t xml:space="preserve">There can be no doubt that these are legal obligations. </w:t>
      </w:r>
      <w:r w:rsidR="00107C43" w:rsidRPr="0022448B">
        <w:rPr>
          <w:lang w:val="en-GB"/>
        </w:rPr>
        <w:t xml:space="preserve">An </w:t>
      </w:r>
      <w:r w:rsidR="002F1CA1" w:rsidRPr="0022448B">
        <w:rPr>
          <w:lang w:val="en-GB"/>
        </w:rPr>
        <w:t xml:space="preserve">EU regulation </w:t>
      </w:r>
      <w:r w:rsidR="00107C43" w:rsidRPr="0022448B">
        <w:rPr>
          <w:lang w:val="en-GB"/>
        </w:rPr>
        <w:t xml:space="preserve">is </w:t>
      </w:r>
      <w:r w:rsidR="002F1CA1" w:rsidRPr="0022448B">
        <w:rPr>
          <w:lang w:val="en-GB"/>
        </w:rPr>
        <w:t xml:space="preserve">not only </w:t>
      </w:r>
      <w:r w:rsidR="00F4709D" w:rsidRPr="0022448B">
        <w:rPr>
          <w:lang w:val="en-GB"/>
        </w:rPr>
        <w:t>“</w:t>
      </w:r>
      <w:r w:rsidR="002F1CA1" w:rsidRPr="0022448B">
        <w:rPr>
          <w:lang w:val="en-GB"/>
        </w:rPr>
        <w:t>directly applicable</w:t>
      </w:r>
      <w:r w:rsidR="00F4709D" w:rsidRPr="0022448B">
        <w:rPr>
          <w:lang w:val="en-GB"/>
        </w:rPr>
        <w:t>”</w:t>
      </w:r>
      <w:r w:rsidR="00372A24" w:rsidRPr="0022448B">
        <w:rPr>
          <w:lang w:val="en-GB"/>
        </w:rPr>
        <w:t xml:space="preserve">, </w:t>
      </w:r>
      <w:r w:rsidR="002F1CA1" w:rsidRPr="0022448B">
        <w:rPr>
          <w:lang w:val="en-GB"/>
        </w:rPr>
        <w:t xml:space="preserve">but also </w:t>
      </w:r>
      <w:r w:rsidR="00F4709D" w:rsidRPr="0022448B">
        <w:rPr>
          <w:lang w:val="en-GB"/>
        </w:rPr>
        <w:t xml:space="preserve">shall </w:t>
      </w:r>
      <w:r w:rsidR="00FF5D36" w:rsidRPr="0022448B">
        <w:rPr>
          <w:lang w:val="en-GB"/>
        </w:rPr>
        <w:t>ha</w:t>
      </w:r>
      <w:r w:rsidR="00F4709D" w:rsidRPr="0022448B">
        <w:rPr>
          <w:lang w:val="en-GB"/>
        </w:rPr>
        <w:t>ve</w:t>
      </w:r>
      <w:r w:rsidR="00FF5D36" w:rsidRPr="0022448B">
        <w:rPr>
          <w:lang w:val="en-GB"/>
        </w:rPr>
        <w:t xml:space="preserve"> </w:t>
      </w:r>
      <w:r w:rsidR="00F4709D" w:rsidRPr="0022448B">
        <w:rPr>
          <w:lang w:val="en-GB"/>
        </w:rPr>
        <w:t>“</w:t>
      </w:r>
      <w:r w:rsidR="002F1CA1" w:rsidRPr="0022448B">
        <w:rPr>
          <w:lang w:val="en-GB"/>
        </w:rPr>
        <w:t>general application</w:t>
      </w:r>
      <w:r w:rsidR="00F4709D" w:rsidRPr="0022448B">
        <w:rPr>
          <w:lang w:val="en-GB"/>
        </w:rPr>
        <w:t>”</w:t>
      </w:r>
      <w:r w:rsidR="00107C43" w:rsidRPr="0022448B">
        <w:rPr>
          <w:lang w:val="en-GB"/>
        </w:rPr>
        <w:t xml:space="preserve"> </w:t>
      </w:r>
      <w:r w:rsidR="002F1CA1" w:rsidRPr="0022448B">
        <w:rPr>
          <w:lang w:val="en-GB"/>
        </w:rPr>
        <w:t xml:space="preserve">and </w:t>
      </w:r>
      <w:r w:rsidR="00F4709D" w:rsidRPr="0022448B">
        <w:rPr>
          <w:lang w:val="en-GB"/>
        </w:rPr>
        <w:t>shall be “</w:t>
      </w:r>
      <w:r w:rsidR="002F1CA1" w:rsidRPr="0022448B">
        <w:rPr>
          <w:lang w:val="en-GB"/>
        </w:rPr>
        <w:t xml:space="preserve">binding in </w:t>
      </w:r>
      <w:r w:rsidR="00107C43" w:rsidRPr="0022448B">
        <w:rPr>
          <w:lang w:val="en-GB"/>
        </w:rPr>
        <w:t xml:space="preserve">its </w:t>
      </w:r>
      <w:r w:rsidR="002F1CA1" w:rsidRPr="0022448B">
        <w:rPr>
          <w:lang w:val="en-GB"/>
        </w:rPr>
        <w:t>entirety</w:t>
      </w:r>
      <w:r w:rsidR="00F4709D" w:rsidRPr="0022448B">
        <w:rPr>
          <w:lang w:val="en-GB"/>
        </w:rPr>
        <w:t>”</w:t>
      </w:r>
      <w:r w:rsidR="002F1CA1" w:rsidRPr="0022448B">
        <w:rPr>
          <w:lang w:val="en-GB"/>
        </w:rPr>
        <w:t>.</w:t>
      </w:r>
      <w:r w:rsidR="00B31CA6" w:rsidRPr="0022448B">
        <w:rPr>
          <w:rStyle w:val="Funotenzeichen"/>
          <w:lang w:val="en-GB"/>
        </w:rPr>
        <w:footnoteReference w:id="6"/>
      </w:r>
      <w:r w:rsidRPr="0022448B">
        <w:rPr>
          <w:lang w:val="en-GB"/>
        </w:rPr>
        <w:t xml:space="preserve"> </w:t>
      </w:r>
      <w:r w:rsidR="002B6269">
        <w:rPr>
          <w:lang w:val="en-GB"/>
        </w:rPr>
        <w:t>Hopefully,</w:t>
      </w:r>
      <w:r w:rsidR="002F1CA1" w:rsidRPr="0022448B">
        <w:rPr>
          <w:lang w:val="en-GB"/>
        </w:rPr>
        <w:t xml:space="preserve"> the Legal Service of the </w:t>
      </w:r>
      <w:r w:rsidR="00B31CA6" w:rsidRPr="0022448B">
        <w:rPr>
          <w:lang w:val="en-GB"/>
        </w:rPr>
        <w:t>BMI</w:t>
      </w:r>
      <w:r w:rsidR="002F1CA1" w:rsidRPr="0022448B">
        <w:rPr>
          <w:lang w:val="en-GB"/>
        </w:rPr>
        <w:t xml:space="preserve"> is aware of </w:t>
      </w:r>
      <w:r w:rsidR="00012701" w:rsidRPr="0022448B">
        <w:rPr>
          <w:lang w:val="en-GB"/>
        </w:rPr>
        <w:t xml:space="preserve">this state of affairs, </w:t>
      </w:r>
      <w:r w:rsidR="005C13B6" w:rsidRPr="0022448B">
        <w:rPr>
          <w:lang w:val="en-GB"/>
        </w:rPr>
        <w:t xml:space="preserve">which is not </w:t>
      </w:r>
      <w:r w:rsidR="00F4709D" w:rsidRPr="0022448B">
        <w:rPr>
          <w:lang w:val="en-GB"/>
        </w:rPr>
        <w:t xml:space="preserve">entirely </w:t>
      </w:r>
      <w:r w:rsidR="005C13B6" w:rsidRPr="0022448B">
        <w:rPr>
          <w:lang w:val="en-GB"/>
        </w:rPr>
        <w:t>new</w:t>
      </w:r>
      <w:r w:rsidR="00372A24" w:rsidRPr="0022448B">
        <w:rPr>
          <w:lang w:val="en-GB"/>
        </w:rPr>
        <w:t>.</w:t>
      </w:r>
    </w:p>
    <w:p w14:paraId="1E36ECF6" w14:textId="5F46A599" w:rsidR="00F870CE" w:rsidRPr="0022448B" w:rsidRDefault="0034300C" w:rsidP="00F870CE">
      <w:pPr>
        <w:rPr>
          <w:lang w:val="en-GB"/>
        </w:rPr>
      </w:pPr>
      <w:r w:rsidRPr="0022448B">
        <w:rPr>
          <w:lang w:val="en-GB"/>
        </w:rPr>
        <w:t xml:space="preserve">The ministerial decision </w:t>
      </w:r>
      <w:r w:rsidR="002B6269">
        <w:rPr>
          <w:lang w:val="en-GB"/>
        </w:rPr>
        <w:t>to re-establish</w:t>
      </w:r>
      <w:r w:rsidRPr="0022448B">
        <w:rPr>
          <w:lang w:val="en-GB"/>
        </w:rPr>
        <w:t xml:space="preserve"> border controls has not been </w:t>
      </w:r>
      <w:r w:rsidR="004345E4" w:rsidRPr="0022448B">
        <w:rPr>
          <w:lang w:val="en-GB"/>
        </w:rPr>
        <w:t xml:space="preserve">published </w:t>
      </w:r>
      <w:r w:rsidRPr="0022448B">
        <w:rPr>
          <w:lang w:val="en-GB"/>
        </w:rPr>
        <w:t xml:space="preserve">in the </w:t>
      </w:r>
      <w:r w:rsidRPr="0022448B">
        <w:rPr>
          <w:i/>
          <w:iCs/>
          <w:lang w:val="en-GB"/>
        </w:rPr>
        <w:t xml:space="preserve">Federal </w:t>
      </w:r>
      <w:r w:rsidRPr="0022448B">
        <w:rPr>
          <w:lang w:val="en-GB"/>
        </w:rPr>
        <w:t xml:space="preserve">Gazette </w:t>
      </w:r>
      <w:r w:rsidR="008E337E" w:rsidRPr="0022448B">
        <w:rPr>
          <w:lang w:val="en-GB"/>
        </w:rPr>
        <w:t>(</w:t>
      </w:r>
      <w:proofErr w:type="spellStart"/>
      <w:r w:rsidRPr="0022448B">
        <w:rPr>
          <w:i/>
          <w:iCs/>
          <w:lang w:val="en-GB"/>
        </w:rPr>
        <w:t>Bundesanzeiger</w:t>
      </w:r>
      <w:proofErr w:type="spellEnd"/>
      <w:r w:rsidRPr="0022448B">
        <w:rPr>
          <w:lang w:val="en-GB"/>
        </w:rPr>
        <w:t xml:space="preserve">). </w:t>
      </w:r>
      <w:r w:rsidR="003631E9" w:rsidRPr="0022448B">
        <w:rPr>
          <w:lang w:val="en-GB"/>
        </w:rPr>
        <w:t>However, since</w:t>
      </w:r>
      <w:r w:rsidR="00917DE8" w:rsidRPr="0022448B">
        <w:rPr>
          <w:lang w:val="en-GB"/>
        </w:rPr>
        <w:t xml:space="preserve">, </w:t>
      </w:r>
      <w:r w:rsidR="003631E9" w:rsidRPr="0022448B">
        <w:rPr>
          <w:lang w:val="en-GB"/>
        </w:rPr>
        <w:t xml:space="preserve">during the temporary </w:t>
      </w:r>
      <w:r w:rsidR="00F870CE" w:rsidRPr="0022448B">
        <w:rPr>
          <w:lang w:val="en-GB"/>
        </w:rPr>
        <w:t xml:space="preserve">reintroduction of controls, the land border with the </w:t>
      </w:r>
      <w:r w:rsidR="003631E9" w:rsidRPr="0022448B">
        <w:rPr>
          <w:lang w:val="en-GB"/>
        </w:rPr>
        <w:t xml:space="preserve">neighbouring countries concerned </w:t>
      </w:r>
      <w:r w:rsidR="00F870CE" w:rsidRPr="0022448B">
        <w:rPr>
          <w:lang w:val="en-GB"/>
        </w:rPr>
        <w:t xml:space="preserve">could only be crossed </w:t>
      </w:r>
      <w:r w:rsidR="003631E9" w:rsidRPr="0022448B">
        <w:rPr>
          <w:lang w:val="en-GB"/>
        </w:rPr>
        <w:t xml:space="preserve">at certain </w:t>
      </w:r>
      <w:r w:rsidR="00F870CE" w:rsidRPr="0022448B">
        <w:rPr>
          <w:lang w:val="en-GB"/>
        </w:rPr>
        <w:t>border crossing points</w:t>
      </w:r>
      <w:r w:rsidR="003631E9" w:rsidRPr="0022448B">
        <w:rPr>
          <w:lang w:val="en-GB"/>
        </w:rPr>
        <w:t xml:space="preserve">, these </w:t>
      </w:r>
      <w:r w:rsidR="00F870CE" w:rsidRPr="0022448B">
        <w:rPr>
          <w:lang w:val="en-GB"/>
        </w:rPr>
        <w:t xml:space="preserve">were published in the Federal Gazette </w:t>
      </w:r>
      <w:r w:rsidR="00FB7C40" w:rsidRPr="0022448B">
        <w:rPr>
          <w:lang w:val="en-GB"/>
        </w:rPr>
        <w:t>on 3 April 2020.</w:t>
      </w:r>
      <w:r w:rsidR="00FB7C40" w:rsidRPr="0022448B">
        <w:rPr>
          <w:rStyle w:val="Funotenzeichen"/>
          <w:lang w:val="en-GB"/>
        </w:rPr>
        <w:footnoteReference w:id="7"/>
      </w:r>
      <w:r w:rsidR="008D7681" w:rsidRPr="0022448B">
        <w:rPr>
          <w:lang w:val="en-GB"/>
        </w:rPr>
        <w:t xml:space="preserve"> </w:t>
      </w:r>
      <w:r w:rsidR="00FB7C40" w:rsidRPr="0022448B">
        <w:rPr>
          <w:lang w:val="en-GB"/>
        </w:rPr>
        <w:t xml:space="preserve">At that time, </w:t>
      </w:r>
      <w:r w:rsidR="00F870CE" w:rsidRPr="0022448B">
        <w:rPr>
          <w:lang w:val="en-GB"/>
        </w:rPr>
        <w:t xml:space="preserve">the Federal Police </w:t>
      </w:r>
      <w:r w:rsidR="00FB7C40" w:rsidRPr="0022448B">
        <w:rPr>
          <w:lang w:val="en-GB"/>
        </w:rPr>
        <w:t xml:space="preserve">had pointed out that the </w:t>
      </w:r>
      <w:r w:rsidR="00F870CE" w:rsidRPr="0022448B">
        <w:rPr>
          <w:lang w:val="en-GB"/>
        </w:rPr>
        <w:t>border may only be crossed at designated and approved border crossing points.</w:t>
      </w:r>
    </w:p>
    <w:p w14:paraId="5EAD1B1D" w14:textId="5A953A62" w:rsidR="003A199D" w:rsidRPr="0022448B" w:rsidRDefault="00BA32A2" w:rsidP="003A356D">
      <w:pPr>
        <w:rPr>
          <w:lang w:val="en-GB"/>
        </w:rPr>
      </w:pPr>
      <w:r w:rsidRPr="0022448B">
        <w:rPr>
          <w:lang w:val="en-GB"/>
        </w:rPr>
        <w:t xml:space="preserve">From 16 March to 15 May 2020 </w:t>
      </w:r>
      <w:r w:rsidR="00917DE8" w:rsidRPr="0022448B">
        <w:rPr>
          <w:lang w:val="en-GB"/>
        </w:rPr>
        <w:t xml:space="preserve">only nine </w:t>
      </w:r>
      <w:r w:rsidR="005A6873" w:rsidRPr="0022448B">
        <w:rPr>
          <w:lang w:val="en-GB"/>
        </w:rPr>
        <w:t xml:space="preserve">of </w:t>
      </w:r>
      <w:r w:rsidR="003A199D" w:rsidRPr="0022448B">
        <w:rPr>
          <w:lang w:val="en-GB"/>
        </w:rPr>
        <w:t xml:space="preserve">the </w:t>
      </w:r>
      <w:r w:rsidR="00917DE8" w:rsidRPr="0022448B">
        <w:rPr>
          <w:lang w:val="en-GB"/>
        </w:rPr>
        <w:t xml:space="preserve">twenty </w:t>
      </w:r>
      <w:r w:rsidR="003A199D" w:rsidRPr="0022448B">
        <w:rPr>
          <w:lang w:val="en-GB"/>
        </w:rPr>
        <w:t xml:space="preserve">border crossings on the German-Luxembourg border were </w:t>
      </w:r>
      <w:r w:rsidR="002B6269">
        <w:rPr>
          <w:lang w:val="en-GB"/>
        </w:rPr>
        <w:t>opened</w:t>
      </w:r>
      <w:r w:rsidR="003A199D" w:rsidRPr="0022448B">
        <w:rPr>
          <w:lang w:val="en-GB"/>
        </w:rPr>
        <w:t xml:space="preserve"> to </w:t>
      </w:r>
      <w:r w:rsidR="00917DE8" w:rsidRPr="0022448B">
        <w:rPr>
          <w:lang w:val="en-GB"/>
        </w:rPr>
        <w:t xml:space="preserve">traffic. </w:t>
      </w:r>
      <w:r w:rsidR="0048039E" w:rsidRPr="0022448B">
        <w:rPr>
          <w:lang w:val="en-GB"/>
        </w:rPr>
        <w:t xml:space="preserve">This caused </w:t>
      </w:r>
      <w:r w:rsidR="005A6873" w:rsidRPr="0022448B">
        <w:rPr>
          <w:lang w:val="en-GB"/>
        </w:rPr>
        <w:t xml:space="preserve">great inconvenience for the population of the </w:t>
      </w:r>
      <w:r w:rsidR="005A6873" w:rsidRPr="0022448B">
        <w:rPr>
          <w:i/>
          <w:iCs/>
          <w:lang w:val="en-GB"/>
        </w:rPr>
        <w:t>Grande-</w:t>
      </w:r>
      <w:proofErr w:type="spellStart"/>
      <w:r w:rsidR="005A6873" w:rsidRPr="0022448B">
        <w:rPr>
          <w:i/>
          <w:iCs/>
          <w:lang w:val="en-GB"/>
        </w:rPr>
        <w:t>Région</w:t>
      </w:r>
      <w:proofErr w:type="spellEnd"/>
      <w:r w:rsidR="005A6873" w:rsidRPr="0022448B">
        <w:rPr>
          <w:lang w:val="en-GB"/>
        </w:rPr>
        <w:t>, especially those living in neighbouring towns and villages.</w:t>
      </w:r>
    </w:p>
    <w:p w14:paraId="20A601F2" w14:textId="1F1A2591" w:rsidR="00615289" w:rsidRPr="0022448B" w:rsidRDefault="005A6873" w:rsidP="00615289">
      <w:pPr>
        <w:rPr>
          <w:lang w:val="en-GB"/>
        </w:rPr>
      </w:pPr>
      <w:r w:rsidRPr="0022448B">
        <w:rPr>
          <w:lang w:val="en-GB"/>
        </w:rPr>
        <w:t xml:space="preserve">The </w:t>
      </w:r>
      <w:r w:rsidR="002B6269">
        <w:rPr>
          <w:lang w:val="en-GB"/>
        </w:rPr>
        <w:t>organization</w:t>
      </w:r>
      <w:r w:rsidR="00B42E46" w:rsidRPr="0022448B">
        <w:rPr>
          <w:lang w:val="en-GB"/>
        </w:rPr>
        <w:t xml:space="preserve"> of the controls </w:t>
      </w:r>
      <w:r w:rsidRPr="0022448B">
        <w:rPr>
          <w:lang w:val="en-GB"/>
        </w:rPr>
        <w:t>had been entrusted to the Federal Police (</w:t>
      </w:r>
      <w:proofErr w:type="spellStart"/>
      <w:r w:rsidR="00B42E46" w:rsidRPr="0022448B">
        <w:rPr>
          <w:i/>
          <w:iCs/>
          <w:lang w:val="en-GB"/>
        </w:rPr>
        <w:t>Bundespolizei</w:t>
      </w:r>
      <w:proofErr w:type="spellEnd"/>
      <w:r w:rsidRPr="0022448B">
        <w:rPr>
          <w:lang w:val="en-GB"/>
        </w:rPr>
        <w:t>)</w:t>
      </w:r>
      <w:r w:rsidR="00B45703" w:rsidRPr="0022448B">
        <w:rPr>
          <w:lang w:val="en-GB"/>
        </w:rPr>
        <w:t xml:space="preserve">. </w:t>
      </w:r>
      <w:r w:rsidR="00B42E46" w:rsidRPr="0022448B">
        <w:rPr>
          <w:lang w:val="en-GB"/>
        </w:rPr>
        <w:t xml:space="preserve">Heavily armed </w:t>
      </w:r>
      <w:r w:rsidR="00B45703" w:rsidRPr="0022448B">
        <w:rPr>
          <w:lang w:val="en-GB"/>
        </w:rPr>
        <w:t xml:space="preserve">police officers, </w:t>
      </w:r>
      <w:r w:rsidR="00615289" w:rsidRPr="0022448B">
        <w:rPr>
          <w:lang w:val="en-GB"/>
        </w:rPr>
        <w:t xml:space="preserve">mostly </w:t>
      </w:r>
      <w:r w:rsidR="00B45703" w:rsidRPr="0022448B">
        <w:rPr>
          <w:lang w:val="en-GB"/>
        </w:rPr>
        <w:t xml:space="preserve">from other German federal states </w:t>
      </w:r>
      <w:r w:rsidR="00615289" w:rsidRPr="0022448B">
        <w:rPr>
          <w:lang w:val="en-GB"/>
        </w:rPr>
        <w:t>(</w:t>
      </w:r>
      <w:proofErr w:type="spellStart"/>
      <w:r w:rsidR="00615289" w:rsidRPr="0022448B">
        <w:rPr>
          <w:i/>
          <w:iCs/>
          <w:lang w:val="en-GB"/>
        </w:rPr>
        <w:t>Bundesländer</w:t>
      </w:r>
      <w:proofErr w:type="spellEnd"/>
      <w:r w:rsidR="00615289" w:rsidRPr="0022448B">
        <w:rPr>
          <w:lang w:val="en-GB"/>
        </w:rPr>
        <w:t xml:space="preserve">) </w:t>
      </w:r>
      <w:r w:rsidR="00B45703" w:rsidRPr="0022448B">
        <w:rPr>
          <w:lang w:val="en-GB"/>
        </w:rPr>
        <w:t xml:space="preserve">than the Greater Region, were deployed day and night at the crossing points that remained open. </w:t>
      </w:r>
      <w:r w:rsidR="00830E33" w:rsidRPr="0022448B">
        <w:rPr>
          <w:lang w:val="en-GB"/>
        </w:rPr>
        <w:t xml:space="preserve">Border workers needed a certificate from </w:t>
      </w:r>
      <w:r w:rsidR="00B45703" w:rsidRPr="0022448B">
        <w:rPr>
          <w:lang w:val="en-GB"/>
        </w:rPr>
        <w:t xml:space="preserve">their employers to </w:t>
      </w:r>
      <w:r w:rsidR="00830E33" w:rsidRPr="0022448B">
        <w:rPr>
          <w:lang w:val="en-GB"/>
        </w:rPr>
        <w:t xml:space="preserve">cross the border. A </w:t>
      </w:r>
      <w:r w:rsidR="00B45703" w:rsidRPr="0022448B">
        <w:rPr>
          <w:lang w:val="en-GB"/>
        </w:rPr>
        <w:t xml:space="preserve">model of </w:t>
      </w:r>
      <w:r w:rsidR="00830E33" w:rsidRPr="0022448B">
        <w:rPr>
          <w:lang w:val="en-GB"/>
        </w:rPr>
        <w:t xml:space="preserve">such a certificate had been made available online by the Luxembourg government </w:t>
      </w:r>
      <w:r w:rsidR="00B45703" w:rsidRPr="0022448B">
        <w:rPr>
          <w:lang w:val="en-GB"/>
        </w:rPr>
        <w:t xml:space="preserve">on </w:t>
      </w:r>
      <w:r w:rsidR="00830E33" w:rsidRPr="0022448B">
        <w:rPr>
          <w:lang w:val="en-GB"/>
        </w:rPr>
        <w:t>16 March</w:t>
      </w:r>
      <w:r w:rsidR="00B45703" w:rsidRPr="0022448B">
        <w:rPr>
          <w:lang w:val="en-GB"/>
        </w:rPr>
        <w:t>. Another model had been put online by the federal police.</w:t>
      </w:r>
    </w:p>
    <w:p w14:paraId="5B5C9E69" w14:textId="010A9A1A" w:rsidR="00E57E4F" w:rsidRPr="0022448B" w:rsidRDefault="00615289" w:rsidP="00615289">
      <w:pPr>
        <w:rPr>
          <w:lang w:val="en-GB"/>
        </w:rPr>
      </w:pPr>
      <w:r w:rsidRPr="0022448B">
        <w:rPr>
          <w:lang w:val="en-GB"/>
        </w:rPr>
        <w:t xml:space="preserve">In a </w:t>
      </w:r>
      <w:r w:rsidR="005449C8" w:rsidRPr="0022448B">
        <w:rPr>
          <w:lang w:val="en-GB"/>
        </w:rPr>
        <w:t xml:space="preserve">press release </w:t>
      </w:r>
      <w:r w:rsidRPr="0022448B">
        <w:rPr>
          <w:lang w:val="en-GB"/>
        </w:rPr>
        <w:t xml:space="preserve">of 17 April 2020, the </w:t>
      </w:r>
      <w:r w:rsidR="00E57E4F" w:rsidRPr="0022448B">
        <w:rPr>
          <w:lang w:val="en-GB"/>
        </w:rPr>
        <w:t xml:space="preserve">Minister for Foreign and European Affairs, </w:t>
      </w:r>
      <w:r w:rsidR="00E57E4F" w:rsidRPr="0022448B">
        <w:rPr>
          <w:i/>
          <w:iCs/>
          <w:lang w:val="en-GB"/>
        </w:rPr>
        <w:t>Jean Asselborn</w:t>
      </w:r>
      <w:r w:rsidR="00E57E4F" w:rsidRPr="0022448B">
        <w:rPr>
          <w:lang w:val="en-GB"/>
        </w:rPr>
        <w:t xml:space="preserve">, </w:t>
      </w:r>
      <w:r w:rsidRPr="0022448B">
        <w:rPr>
          <w:lang w:val="en-GB"/>
        </w:rPr>
        <w:t xml:space="preserve">welcomed </w:t>
      </w:r>
      <w:r w:rsidR="00E57E4F" w:rsidRPr="0022448B">
        <w:rPr>
          <w:lang w:val="en-GB"/>
        </w:rPr>
        <w:t xml:space="preserve">the opening of two new border crossing points with Germany, namely </w:t>
      </w:r>
      <w:proofErr w:type="spellStart"/>
      <w:r w:rsidR="00E57E4F" w:rsidRPr="0022448B">
        <w:rPr>
          <w:lang w:val="en-GB"/>
        </w:rPr>
        <w:t>Remich</w:t>
      </w:r>
      <w:proofErr w:type="spellEnd"/>
      <w:r w:rsidR="00E57E4F" w:rsidRPr="0022448B">
        <w:rPr>
          <w:lang w:val="en-GB"/>
        </w:rPr>
        <w:t xml:space="preserve"> and </w:t>
      </w:r>
      <w:proofErr w:type="spellStart"/>
      <w:r w:rsidR="00E57E4F" w:rsidRPr="0022448B">
        <w:rPr>
          <w:lang w:val="en-GB"/>
        </w:rPr>
        <w:t>Bollendorf</w:t>
      </w:r>
      <w:proofErr w:type="spellEnd"/>
      <w:r w:rsidR="00E57E4F" w:rsidRPr="0022448B">
        <w:rPr>
          <w:lang w:val="en-GB"/>
        </w:rPr>
        <w:t xml:space="preserve">. This decision was made possible after a meeting </w:t>
      </w:r>
      <w:r w:rsidR="00E57E4F" w:rsidRPr="0022448B">
        <w:rPr>
          <w:lang w:val="en-GB"/>
        </w:rPr>
        <w:lastRenderedPageBreak/>
        <w:t xml:space="preserve">between Minister </w:t>
      </w:r>
      <w:r w:rsidR="00E57E4F" w:rsidRPr="0022448B">
        <w:rPr>
          <w:i/>
          <w:iCs/>
          <w:lang w:val="en-GB"/>
        </w:rPr>
        <w:t xml:space="preserve">Asselborn </w:t>
      </w:r>
      <w:r w:rsidR="00E57E4F" w:rsidRPr="0022448B">
        <w:rPr>
          <w:lang w:val="en-GB"/>
        </w:rPr>
        <w:t xml:space="preserve">and </w:t>
      </w:r>
      <w:r w:rsidR="00E57E4F" w:rsidRPr="0022448B">
        <w:rPr>
          <w:i/>
          <w:iCs/>
          <w:lang w:val="en-GB"/>
        </w:rPr>
        <w:t xml:space="preserve">Hans-Georg </w:t>
      </w:r>
      <w:proofErr w:type="spellStart"/>
      <w:r w:rsidR="00E57E4F" w:rsidRPr="0022448B">
        <w:rPr>
          <w:i/>
          <w:iCs/>
          <w:lang w:val="en-GB"/>
        </w:rPr>
        <w:t>Engelke</w:t>
      </w:r>
      <w:proofErr w:type="spellEnd"/>
      <w:r w:rsidR="00E57E4F" w:rsidRPr="0022448B">
        <w:rPr>
          <w:i/>
          <w:iCs/>
          <w:lang w:val="en-GB"/>
        </w:rPr>
        <w:t xml:space="preserve">, </w:t>
      </w:r>
      <w:r w:rsidR="00E57E4F" w:rsidRPr="0022448B">
        <w:rPr>
          <w:lang w:val="en-GB"/>
        </w:rPr>
        <w:t xml:space="preserve">State Secretary at the Federal Ministry of the </w:t>
      </w:r>
      <w:r w:rsidR="00913086" w:rsidRPr="0022448B">
        <w:rPr>
          <w:lang w:val="en-GB"/>
        </w:rPr>
        <w:t>Interior</w:t>
      </w:r>
      <w:r w:rsidR="00E57E4F" w:rsidRPr="0022448B">
        <w:rPr>
          <w:lang w:val="en-GB"/>
        </w:rPr>
        <w:t xml:space="preserve">, Construction and Home </w:t>
      </w:r>
      <w:r w:rsidR="00913086" w:rsidRPr="0022448B">
        <w:rPr>
          <w:lang w:val="en-GB"/>
        </w:rPr>
        <w:t xml:space="preserve">Affairs. </w:t>
      </w:r>
      <w:r w:rsidRPr="0022448B">
        <w:rPr>
          <w:rStyle w:val="Funotenzeichen"/>
          <w:lang w:val="en-GB"/>
        </w:rPr>
        <w:footnoteReference w:id="8"/>
      </w:r>
    </w:p>
    <w:p w14:paraId="4E84739D" w14:textId="10E2AE2B" w:rsidR="00B42E46" w:rsidRPr="0022448B" w:rsidRDefault="00615289" w:rsidP="00E57E4F">
      <w:pPr>
        <w:rPr>
          <w:lang w:val="en-GB"/>
        </w:rPr>
      </w:pPr>
      <w:r w:rsidRPr="0022448B">
        <w:rPr>
          <w:lang w:val="en-GB"/>
        </w:rPr>
        <w:t xml:space="preserve">Initially, </w:t>
      </w:r>
      <w:r w:rsidR="00E57E4F" w:rsidRPr="0022448B">
        <w:rPr>
          <w:lang w:val="en-GB"/>
        </w:rPr>
        <w:t xml:space="preserve">on 20 March, all but seven border crossings between Germany and Luxembourg </w:t>
      </w:r>
      <w:r w:rsidRPr="0022448B">
        <w:rPr>
          <w:lang w:val="en-GB"/>
        </w:rPr>
        <w:t xml:space="preserve">were </w:t>
      </w:r>
      <w:r w:rsidR="00E57E4F" w:rsidRPr="0022448B">
        <w:rPr>
          <w:lang w:val="en-GB"/>
        </w:rPr>
        <w:t>closed</w:t>
      </w:r>
      <w:r w:rsidR="002B6269">
        <w:rPr>
          <w:lang w:val="en-GB"/>
        </w:rPr>
        <w:t>. B</w:t>
      </w:r>
      <w:r w:rsidR="00E57E4F" w:rsidRPr="0022448B">
        <w:rPr>
          <w:lang w:val="en-GB"/>
        </w:rPr>
        <w:t xml:space="preserve">order </w:t>
      </w:r>
      <w:r w:rsidR="002B6269">
        <w:rPr>
          <w:lang w:val="en-GB"/>
        </w:rPr>
        <w:t xml:space="preserve">Crossing </w:t>
      </w:r>
      <w:r w:rsidR="00E57E4F" w:rsidRPr="0022448B">
        <w:rPr>
          <w:lang w:val="en-GB"/>
        </w:rPr>
        <w:t xml:space="preserve">was only </w:t>
      </w:r>
      <w:r w:rsidR="002B6269">
        <w:rPr>
          <w:lang w:val="en-GB"/>
        </w:rPr>
        <w:t>possible</w:t>
      </w:r>
      <w:r w:rsidR="00E57E4F" w:rsidRPr="0022448B">
        <w:rPr>
          <w:lang w:val="en-GB"/>
        </w:rPr>
        <w:t xml:space="preserve"> at the following points: </w:t>
      </w:r>
      <w:proofErr w:type="spellStart"/>
      <w:r w:rsidR="00E57E4F" w:rsidRPr="0022448B">
        <w:rPr>
          <w:lang w:val="en-GB"/>
        </w:rPr>
        <w:t>Echternach</w:t>
      </w:r>
      <w:proofErr w:type="spellEnd"/>
      <w:r w:rsidR="00E57E4F" w:rsidRPr="0022448B">
        <w:rPr>
          <w:lang w:val="en-GB"/>
        </w:rPr>
        <w:t xml:space="preserve">, </w:t>
      </w:r>
      <w:proofErr w:type="spellStart"/>
      <w:r w:rsidR="00E57E4F" w:rsidRPr="0022448B">
        <w:rPr>
          <w:lang w:val="en-GB"/>
        </w:rPr>
        <w:t>Grevenmacher</w:t>
      </w:r>
      <w:proofErr w:type="spellEnd"/>
      <w:r w:rsidR="00E57E4F" w:rsidRPr="0022448B">
        <w:rPr>
          <w:lang w:val="en-GB"/>
        </w:rPr>
        <w:t xml:space="preserve">, </w:t>
      </w:r>
      <w:proofErr w:type="spellStart"/>
      <w:r w:rsidR="00E57E4F" w:rsidRPr="0022448B">
        <w:rPr>
          <w:lang w:val="en-GB"/>
        </w:rPr>
        <w:t>Mesenich</w:t>
      </w:r>
      <w:proofErr w:type="spellEnd"/>
      <w:r w:rsidR="00E57E4F" w:rsidRPr="0022448B">
        <w:rPr>
          <w:lang w:val="en-GB"/>
        </w:rPr>
        <w:t xml:space="preserve"> (A1), </w:t>
      </w:r>
      <w:proofErr w:type="spellStart"/>
      <w:r w:rsidR="00E57E4F" w:rsidRPr="0022448B">
        <w:rPr>
          <w:lang w:val="en-GB"/>
        </w:rPr>
        <w:t>Wasserbillig</w:t>
      </w:r>
      <w:proofErr w:type="spellEnd"/>
      <w:r w:rsidR="00E57E4F" w:rsidRPr="0022448B">
        <w:rPr>
          <w:lang w:val="en-GB"/>
        </w:rPr>
        <w:t xml:space="preserve">, </w:t>
      </w:r>
      <w:proofErr w:type="spellStart"/>
      <w:r w:rsidR="00E57E4F" w:rsidRPr="0022448B">
        <w:rPr>
          <w:lang w:val="en-GB"/>
        </w:rPr>
        <w:t>Wormeldange</w:t>
      </w:r>
      <w:proofErr w:type="spellEnd"/>
      <w:r w:rsidR="00E57E4F" w:rsidRPr="0022448B">
        <w:rPr>
          <w:lang w:val="en-GB"/>
        </w:rPr>
        <w:t xml:space="preserve">, Schengen (motorway and trunk road). Luxembourg </w:t>
      </w:r>
      <w:r w:rsidRPr="0022448B">
        <w:rPr>
          <w:lang w:val="en-GB"/>
        </w:rPr>
        <w:t xml:space="preserve">then </w:t>
      </w:r>
      <w:r w:rsidR="00E57E4F" w:rsidRPr="0022448B">
        <w:rPr>
          <w:lang w:val="en-GB"/>
        </w:rPr>
        <w:t xml:space="preserve">campaigned at various levels for the opening of </w:t>
      </w:r>
      <w:r w:rsidRPr="0022448B">
        <w:rPr>
          <w:lang w:val="en-GB"/>
        </w:rPr>
        <w:t xml:space="preserve">additional </w:t>
      </w:r>
      <w:r w:rsidR="00E57E4F" w:rsidRPr="0022448B">
        <w:rPr>
          <w:lang w:val="en-GB"/>
        </w:rPr>
        <w:t xml:space="preserve">border crossings. Thanks to intensive diplomatic contacts and cooperation with the Luxembourg customs authorities, an agreement was reached with the German government that 50 Luxembourg customs officers were </w:t>
      </w:r>
      <w:r w:rsidR="000D5FFD" w:rsidRPr="0022448B">
        <w:rPr>
          <w:lang w:val="en-GB"/>
        </w:rPr>
        <w:t xml:space="preserve">to </w:t>
      </w:r>
      <w:r w:rsidR="00E57E4F" w:rsidRPr="0022448B">
        <w:rPr>
          <w:lang w:val="en-GB"/>
        </w:rPr>
        <w:t xml:space="preserve">support the German federal police. On Friday 20 March, the first officers took up their duties, ensuring the opening of the Dasburg and </w:t>
      </w:r>
      <w:proofErr w:type="spellStart"/>
      <w:r w:rsidR="00E57E4F" w:rsidRPr="0022448B">
        <w:rPr>
          <w:lang w:val="en-GB"/>
        </w:rPr>
        <w:t>Vianden</w:t>
      </w:r>
      <w:proofErr w:type="spellEnd"/>
      <w:r w:rsidR="00E57E4F" w:rsidRPr="0022448B">
        <w:rPr>
          <w:lang w:val="en-GB"/>
        </w:rPr>
        <w:t xml:space="preserve"> crossing points. On 25 March, Minister </w:t>
      </w:r>
      <w:r w:rsidR="00E57E4F" w:rsidRPr="0022448B">
        <w:rPr>
          <w:i/>
          <w:iCs/>
          <w:lang w:val="en-GB"/>
        </w:rPr>
        <w:t xml:space="preserve">Asselborn </w:t>
      </w:r>
      <w:r w:rsidR="00E46C86" w:rsidRPr="0022448B">
        <w:rPr>
          <w:lang w:val="en-GB"/>
        </w:rPr>
        <w:t xml:space="preserve">had </w:t>
      </w:r>
      <w:r w:rsidR="000D5FFD" w:rsidRPr="0022448B">
        <w:rPr>
          <w:lang w:val="en-GB"/>
        </w:rPr>
        <w:t xml:space="preserve">also </w:t>
      </w:r>
      <w:r w:rsidR="00E57E4F" w:rsidRPr="0022448B">
        <w:rPr>
          <w:lang w:val="en-GB"/>
        </w:rPr>
        <w:t xml:space="preserve">sent a letter to </w:t>
      </w:r>
      <w:r w:rsidR="002B6269">
        <w:rPr>
          <w:lang w:val="en-GB"/>
        </w:rPr>
        <w:t>the Federal</w:t>
      </w:r>
      <w:r w:rsidR="00E57E4F" w:rsidRPr="0022448B">
        <w:rPr>
          <w:lang w:val="en-GB"/>
        </w:rPr>
        <w:t xml:space="preserve"> Minister of the Interior </w:t>
      </w:r>
      <w:r w:rsidR="00E57E4F" w:rsidRPr="0022448B">
        <w:rPr>
          <w:i/>
          <w:iCs/>
          <w:lang w:val="en-GB"/>
        </w:rPr>
        <w:t xml:space="preserve">Horst Seehofer on the </w:t>
      </w:r>
      <w:r w:rsidR="00E57E4F" w:rsidRPr="0022448B">
        <w:rPr>
          <w:lang w:val="en-GB"/>
        </w:rPr>
        <w:t xml:space="preserve">difficult situation in the border area. </w:t>
      </w:r>
    </w:p>
    <w:p w14:paraId="362078BE" w14:textId="331B968B" w:rsidR="00E46C86" w:rsidRPr="0022448B" w:rsidRDefault="00F150F5" w:rsidP="003A356D">
      <w:pPr>
        <w:rPr>
          <w:lang w:val="en-GB"/>
        </w:rPr>
      </w:pPr>
      <w:r w:rsidRPr="0022448B">
        <w:rPr>
          <w:lang w:val="en-GB"/>
        </w:rPr>
        <w:t xml:space="preserve">Minister </w:t>
      </w:r>
      <w:r w:rsidR="0048039E" w:rsidRPr="0022448B">
        <w:rPr>
          <w:i/>
          <w:iCs/>
          <w:lang w:val="en-GB"/>
        </w:rPr>
        <w:t>Seehofer</w:t>
      </w:r>
      <w:r w:rsidR="00E46C86" w:rsidRPr="0022448B">
        <w:rPr>
          <w:i/>
          <w:iCs/>
          <w:lang w:val="en-GB"/>
        </w:rPr>
        <w:t xml:space="preserve">, </w:t>
      </w:r>
      <w:r w:rsidR="00E46C86" w:rsidRPr="0022448B">
        <w:rPr>
          <w:lang w:val="en-GB"/>
        </w:rPr>
        <w:t>little aware of the situation in the Greater Region</w:t>
      </w:r>
      <w:r w:rsidR="00E46C86" w:rsidRPr="0022448B">
        <w:rPr>
          <w:i/>
          <w:iCs/>
          <w:lang w:val="en-GB"/>
        </w:rPr>
        <w:t xml:space="preserve">, </w:t>
      </w:r>
      <w:r w:rsidR="0048039E" w:rsidRPr="0022448B">
        <w:rPr>
          <w:lang w:val="en-GB"/>
        </w:rPr>
        <w:t xml:space="preserve">seemed to </w:t>
      </w:r>
      <w:r w:rsidRPr="0022448B">
        <w:rPr>
          <w:lang w:val="en-GB"/>
        </w:rPr>
        <w:t xml:space="preserve">consider that the decision to proceed with the immediate reintroduction of controls at the </w:t>
      </w:r>
      <w:r w:rsidR="008938F5" w:rsidRPr="0022448B">
        <w:rPr>
          <w:lang w:val="en-GB"/>
        </w:rPr>
        <w:t>EU</w:t>
      </w:r>
      <w:r w:rsidR="00F4709D" w:rsidRPr="0022448B">
        <w:rPr>
          <w:lang w:val="en-GB"/>
        </w:rPr>
        <w:t>’</w:t>
      </w:r>
      <w:r w:rsidRPr="0022448B">
        <w:rPr>
          <w:lang w:val="en-GB"/>
        </w:rPr>
        <w:t xml:space="preserve">s internal borders is </w:t>
      </w:r>
      <w:r w:rsidR="004345E4" w:rsidRPr="0022448B">
        <w:rPr>
          <w:lang w:val="en-GB"/>
        </w:rPr>
        <w:t xml:space="preserve">a </w:t>
      </w:r>
      <w:r w:rsidR="008938F5" w:rsidRPr="0022448B">
        <w:rPr>
          <w:lang w:val="en-GB"/>
        </w:rPr>
        <w:t xml:space="preserve">sovereign decision of </w:t>
      </w:r>
      <w:r w:rsidR="0048039E" w:rsidRPr="0022448B">
        <w:rPr>
          <w:lang w:val="en-GB"/>
        </w:rPr>
        <w:t>each Member State</w:t>
      </w:r>
      <w:r w:rsidR="00D70E6F" w:rsidRPr="0022448B">
        <w:rPr>
          <w:lang w:val="en-GB"/>
        </w:rPr>
        <w:t xml:space="preserve">. </w:t>
      </w:r>
      <w:r w:rsidR="0048039E" w:rsidRPr="0022448B">
        <w:rPr>
          <w:lang w:val="en-GB"/>
        </w:rPr>
        <w:t xml:space="preserve">This view </w:t>
      </w:r>
      <w:r w:rsidR="00E46C86" w:rsidRPr="0022448B">
        <w:rPr>
          <w:lang w:val="en-GB"/>
        </w:rPr>
        <w:t xml:space="preserve">cannot </w:t>
      </w:r>
      <w:r w:rsidR="0048039E" w:rsidRPr="0022448B">
        <w:rPr>
          <w:lang w:val="en-GB"/>
        </w:rPr>
        <w:t xml:space="preserve">be </w:t>
      </w:r>
      <w:r w:rsidR="00E46C86" w:rsidRPr="0022448B">
        <w:rPr>
          <w:lang w:val="en-GB"/>
        </w:rPr>
        <w:t xml:space="preserve">shared. </w:t>
      </w:r>
    </w:p>
    <w:p w14:paraId="5C409EF8" w14:textId="755DA50A" w:rsidR="004345E4" w:rsidRPr="0022448B" w:rsidRDefault="002B6269" w:rsidP="003A356D">
      <w:pPr>
        <w:rPr>
          <w:lang w:val="en-GB"/>
        </w:rPr>
      </w:pPr>
      <w:r>
        <w:rPr>
          <w:lang w:val="en-GB"/>
        </w:rPr>
        <w:t>Authorized</w:t>
      </w:r>
      <w:r w:rsidR="00D70E6F" w:rsidRPr="0022448B">
        <w:rPr>
          <w:lang w:val="en-GB"/>
        </w:rPr>
        <w:t xml:space="preserve"> by Article</w:t>
      </w:r>
      <w:r>
        <w:rPr>
          <w:lang w:val="en-GB"/>
        </w:rPr>
        <w:t> </w:t>
      </w:r>
      <w:r w:rsidR="00F150F5" w:rsidRPr="0022448B">
        <w:rPr>
          <w:lang w:val="en-GB"/>
        </w:rPr>
        <w:t xml:space="preserve">28 </w:t>
      </w:r>
      <w:r w:rsidR="004345E4" w:rsidRPr="0022448B">
        <w:rPr>
          <w:lang w:val="en-GB"/>
        </w:rPr>
        <w:t>SB</w:t>
      </w:r>
      <w:r w:rsidR="008D7681" w:rsidRPr="0022448B">
        <w:rPr>
          <w:lang w:val="en-GB"/>
        </w:rPr>
        <w:t>C</w:t>
      </w:r>
      <w:r w:rsidR="00662155" w:rsidRPr="0022448B">
        <w:rPr>
          <w:lang w:val="en-GB"/>
        </w:rPr>
        <w:t xml:space="preserve">, such a decision is subject to compliance with the conditions set out in </w:t>
      </w:r>
      <w:r>
        <w:rPr>
          <w:lang w:val="en-GB"/>
        </w:rPr>
        <w:t>articles </w:t>
      </w:r>
      <w:r w:rsidR="00662155" w:rsidRPr="0022448B">
        <w:rPr>
          <w:lang w:val="en-GB"/>
        </w:rPr>
        <w:t xml:space="preserve">25 to 28 </w:t>
      </w:r>
      <w:r w:rsidR="00B31CA6" w:rsidRPr="0022448B">
        <w:rPr>
          <w:lang w:val="en-GB"/>
        </w:rPr>
        <w:t>SBC</w:t>
      </w:r>
      <w:r w:rsidR="00662155" w:rsidRPr="0022448B">
        <w:rPr>
          <w:lang w:val="en-GB"/>
        </w:rPr>
        <w:t xml:space="preserve">. It is not the exercise of a </w:t>
      </w:r>
      <w:r w:rsidR="00372A24" w:rsidRPr="0022448B">
        <w:rPr>
          <w:lang w:val="en-GB"/>
        </w:rPr>
        <w:t xml:space="preserve">sovereign </w:t>
      </w:r>
      <w:r w:rsidR="00662155" w:rsidRPr="0022448B">
        <w:rPr>
          <w:lang w:val="en-GB"/>
        </w:rPr>
        <w:t xml:space="preserve">competence, but the exercise of an </w:t>
      </w:r>
      <w:r w:rsidR="006864B2" w:rsidRPr="0022448B">
        <w:rPr>
          <w:lang w:val="en-GB"/>
        </w:rPr>
        <w:t xml:space="preserve">exceptional </w:t>
      </w:r>
      <w:r w:rsidR="00662155" w:rsidRPr="0022448B">
        <w:rPr>
          <w:lang w:val="en-GB"/>
        </w:rPr>
        <w:t xml:space="preserve">right that the </w:t>
      </w:r>
      <w:r w:rsidR="00B31CA6" w:rsidRPr="0022448B">
        <w:rPr>
          <w:lang w:val="en-GB"/>
        </w:rPr>
        <w:t>SBC</w:t>
      </w:r>
      <w:r w:rsidR="00662155" w:rsidRPr="0022448B">
        <w:rPr>
          <w:lang w:val="en-GB"/>
        </w:rPr>
        <w:t xml:space="preserve"> </w:t>
      </w:r>
      <w:r>
        <w:rPr>
          <w:lang w:val="en-GB"/>
        </w:rPr>
        <w:t>recognizes</w:t>
      </w:r>
      <w:r w:rsidR="00662155" w:rsidRPr="0022448B">
        <w:rPr>
          <w:lang w:val="en-GB"/>
        </w:rPr>
        <w:t xml:space="preserve"> to the Member States </w:t>
      </w:r>
      <w:r w:rsidR="006864B2" w:rsidRPr="0022448B">
        <w:rPr>
          <w:lang w:val="en-GB"/>
        </w:rPr>
        <w:t>while laying down the principle of the absence of controls.</w:t>
      </w:r>
    </w:p>
    <w:p w14:paraId="0B9A3588" w14:textId="5DF13DA7" w:rsidR="001B4046" w:rsidRPr="0022448B" w:rsidRDefault="001056C7" w:rsidP="001B4046">
      <w:pPr>
        <w:pStyle w:val="Textkrper"/>
        <w:rPr>
          <w:lang w:val="en-GB"/>
        </w:rPr>
      </w:pPr>
      <w:r w:rsidRPr="0022448B">
        <w:rPr>
          <w:lang w:val="en-GB"/>
        </w:rPr>
        <w:t xml:space="preserve">The </w:t>
      </w:r>
      <w:r w:rsidR="006864B2" w:rsidRPr="0022448B">
        <w:rPr>
          <w:lang w:val="en-GB"/>
        </w:rPr>
        <w:t xml:space="preserve">creation of an area of freedom, security and justice (AFSJ) </w:t>
      </w:r>
      <w:r w:rsidR="00BC5EF6" w:rsidRPr="0022448B">
        <w:rPr>
          <w:lang w:val="en-GB"/>
        </w:rPr>
        <w:t xml:space="preserve">is </w:t>
      </w:r>
      <w:r w:rsidR="004345E4" w:rsidRPr="0022448B">
        <w:rPr>
          <w:lang w:val="en-GB"/>
        </w:rPr>
        <w:t xml:space="preserve">one </w:t>
      </w:r>
      <w:r w:rsidR="00BC5EF6" w:rsidRPr="0022448B">
        <w:rPr>
          <w:lang w:val="en-GB"/>
        </w:rPr>
        <w:t>of the Union</w:t>
      </w:r>
      <w:r w:rsidR="002B6269">
        <w:rPr>
          <w:lang w:val="en-GB"/>
        </w:rPr>
        <w:t>’</w:t>
      </w:r>
      <w:r w:rsidR="00BC5EF6" w:rsidRPr="0022448B">
        <w:rPr>
          <w:lang w:val="en-GB"/>
        </w:rPr>
        <w:t>s major objectives. According to Article</w:t>
      </w:r>
      <w:r w:rsidR="002B6269">
        <w:rPr>
          <w:lang w:val="en-GB"/>
        </w:rPr>
        <w:t> </w:t>
      </w:r>
      <w:r w:rsidR="00BC5EF6" w:rsidRPr="0022448B">
        <w:rPr>
          <w:lang w:val="en-GB"/>
        </w:rPr>
        <w:t xml:space="preserve">3(2) of </w:t>
      </w:r>
      <w:r w:rsidR="0090283D" w:rsidRPr="0022448B">
        <w:rPr>
          <w:lang w:val="en-GB"/>
        </w:rPr>
        <w:t>the Treaty on European Union (</w:t>
      </w:r>
      <w:r w:rsidR="00BC5EF6" w:rsidRPr="0022448B">
        <w:rPr>
          <w:lang w:val="en-GB"/>
        </w:rPr>
        <w:t>TEU</w:t>
      </w:r>
      <w:r w:rsidR="0090283D" w:rsidRPr="0022448B">
        <w:rPr>
          <w:lang w:val="en-GB"/>
        </w:rPr>
        <w:t xml:space="preserve">), the </w:t>
      </w:r>
      <w:r w:rsidR="00BC5EF6" w:rsidRPr="0022448B">
        <w:rPr>
          <w:lang w:val="en-GB"/>
        </w:rPr>
        <w:t xml:space="preserve">Union shall provide its citizens with </w:t>
      </w:r>
      <w:r w:rsidR="00F4709D" w:rsidRPr="0022448B">
        <w:rPr>
          <w:lang w:val="en-GB"/>
        </w:rPr>
        <w:t>“</w:t>
      </w:r>
      <w:r w:rsidR="00BC5EF6" w:rsidRPr="0022448B">
        <w:rPr>
          <w:lang w:val="en-GB"/>
        </w:rPr>
        <w:t>an area of freedom, security and justice without internal frontiers, in which the free movement of persons is ensured in conjunction with appropriate measures with respect to external border controls, asylum, immigration and the prevention and combating of crime</w:t>
      </w:r>
      <w:r w:rsidR="00F4709D" w:rsidRPr="0022448B">
        <w:rPr>
          <w:lang w:val="en-GB"/>
        </w:rPr>
        <w:t>”</w:t>
      </w:r>
      <w:r w:rsidR="00BC5EF6" w:rsidRPr="0022448B">
        <w:rPr>
          <w:lang w:val="en-GB"/>
        </w:rPr>
        <w:t>.</w:t>
      </w:r>
    </w:p>
    <w:p w14:paraId="6057C2E8" w14:textId="25FA279F" w:rsidR="00A41988" w:rsidRPr="0022448B" w:rsidRDefault="00E46C86" w:rsidP="00A41988">
      <w:pPr>
        <w:pStyle w:val="Textkrper"/>
        <w:rPr>
          <w:lang w:val="en-GB"/>
        </w:rPr>
      </w:pPr>
      <w:r w:rsidRPr="0022448B">
        <w:rPr>
          <w:lang w:val="en-GB"/>
        </w:rPr>
        <w:t xml:space="preserve">This is an </w:t>
      </w:r>
      <w:r w:rsidR="001056C7" w:rsidRPr="0022448B">
        <w:rPr>
          <w:lang w:val="en-GB"/>
        </w:rPr>
        <w:t xml:space="preserve">area of </w:t>
      </w:r>
      <w:r w:rsidR="00547290" w:rsidRPr="0022448B">
        <w:rPr>
          <w:lang w:val="en-GB"/>
        </w:rPr>
        <w:t xml:space="preserve">shared </w:t>
      </w:r>
      <w:r w:rsidR="00E32AB6" w:rsidRPr="0022448B">
        <w:rPr>
          <w:lang w:val="en-GB"/>
        </w:rPr>
        <w:t xml:space="preserve">competence </w:t>
      </w:r>
      <w:r w:rsidRPr="0022448B">
        <w:rPr>
          <w:lang w:val="en-GB"/>
        </w:rPr>
        <w:t xml:space="preserve">between the Union and its Member States under </w:t>
      </w:r>
      <w:r w:rsidR="00547290" w:rsidRPr="0022448B">
        <w:rPr>
          <w:lang w:val="en-GB"/>
        </w:rPr>
        <w:t>Article</w:t>
      </w:r>
      <w:r w:rsidR="002B6269">
        <w:rPr>
          <w:lang w:val="en-GB"/>
        </w:rPr>
        <w:t> </w:t>
      </w:r>
      <w:r w:rsidR="001056C7" w:rsidRPr="0022448B">
        <w:rPr>
          <w:lang w:val="en-GB"/>
        </w:rPr>
        <w:t xml:space="preserve">4 </w:t>
      </w:r>
      <w:r w:rsidR="00547290" w:rsidRPr="0022448B">
        <w:rPr>
          <w:lang w:val="en-GB"/>
        </w:rPr>
        <w:t>TFEU</w:t>
      </w:r>
      <w:r w:rsidRPr="0022448B">
        <w:rPr>
          <w:lang w:val="en-GB"/>
        </w:rPr>
        <w:t xml:space="preserve">. With regard more specifically </w:t>
      </w:r>
      <w:r w:rsidR="00374E97" w:rsidRPr="0022448B">
        <w:rPr>
          <w:lang w:val="en-GB"/>
        </w:rPr>
        <w:t>to border controls, Article</w:t>
      </w:r>
      <w:r w:rsidR="002B6269">
        <w:rPr>
          <w:lang w:val="en-GB"/>
        </w:rPr>
        <w:t> </w:t>
      </w:r>
      <w:r w:rsidR="00374E97" w:rsidRPr="0022448B">
        <w:rPr>
          <w:lang w:val="en-GB"/>
        </w:rPr>
        <w:t xml:space="preserve">77 </w:t>
      </w:r>
      <w:r w:rsidR="001B4046" w:rsidRPr="0022448B">
        <w:rPr>
          <w:lang w:val="en-GB"/>
        </w:rPr>
        <w:t xml:space="preserve">(1) </w:t>
      </w:r>
      <w:r w:rsidR="002B6269">
        <w:rPr>
          <w:lang w:val="en-GB"/>
        </w:rPr>
        <w:t>TFEU, furthermore,</w:t>
      </w:r>
      <w:r w:rsidR="00374E97" w:rsidRPr="0022448B">
        <w:rPr>
          <w:lang w:val="en-GB"/>
        </w:rPr>
        <w:t xml:space="preserve"> assigns very explicitly to the </w:t>
      </w:r>
      <w:r w:rsidR="001B4046" w:rsidRPr="0022448B">
        <w:rPr>
          <w:lang w:val="en-GB"/>
        </w:rPr>
        <w:t xml:space="preserve">Union the </w:t>
      </w:r>
      <w:r w:rsidR="00374E97" w:rsidRPr="0022448B">
        <w:rPr>
          <w:lang w:val="en-GB"/>
        </w:rPr>
        <w:t xml:space="preserve">competence </w:t>
      </w:r>
      <w:r w:rsidR="001B4046" w:rsidRPr="0022448B">
        <w:rPr>
          <w:lang w:val="en-GB"/>
        </w:rPr>
        <w:t xml:space="preserve">to develop a policy </w:t>
      </w:r>
      <w:r w:rsidR="00F4709D" w:rsidRPr="0022448B">
        <w:rPr>
          <w:lang w:val="en-GB"/>
        </w:rPr>
        <w:lastRenderedPageBreak/>
        <w:t>“</w:t>
      </w:r>
      <w:r w:rsidR="001B4046" w:rsidRPr="0022448B">
        <w:rPr>
          <w:lang w:val="en-GB"/>
        </w:rPr>
        <w:t>to ensure the absence of any controls on persons, whatever their nationality, when crossing internal borders</w:t>
      </w:r>
      <w:r w:rsidR="00F4709D" w:rsidRPr="0022448B">
        <w:rPr>
          <w:lang w:val="en-GB"/>
        </w:rPr>
        <w:t>”</w:t>
      </w:r>
      <w:r w:rsidR="001B4046" w:rsidRPr="0022448B">
        <w:rPr>
          <w:lang w:val="en-GB"/>
        </w:rPr>
        <w:t>.</w:t>
      </w:r>
    </w:p>
    <w:p w14:paraId="16A162B5" w14:textId="2DACDFFE" w:rsidR="006864B2" w:rsidRPr="0022448B" w:rsidRDefault="00A41988" w:rsidP="00A41988">
      <w:pPr>
        <w:pStyle w:val="Textkrper"/>
        <w:rPr>
          <w:lang w:val="en-GB"/>
        </w:rPr>
      </w:pPr>
      <w:r w:rsidRPr="0022448B">
        <w:rPr>
          <w:lang w:val="en-GB"/>
        </w:rPr>
        <w:t xml:space="preserve">Moreover, it follows from the terms of </w:t>
      </w:r>
      <w:r w:rsidR="006864B2" w:rsidRPr="0022448B">
        <w:rPr>
          <w:lang w:val="en-GB"/>
        </w:rPr>
        <w:t>Article</w:t>
      </w:r>
      <w:r w:rsidR="002B6269">
        <w:rPr>
          <w:lang w:val="en-GB"/>
        </w:rPr>
        <w:t> </w:t>
      </w:r>
      <w:r w:rsidR="006864B2" w:rsidRPr="0022448B">
        <w:rPr>
          <w:lang w:val="en-GB"/>
        </w:rPr>
        <w:t xml:space="preserve">2 </w:t>
      </w:r>
      <w:r w:rsidRPr="0022448B">
        <w:rPr>
          <w:lang w:val="en-GB"/>
        </w:rPr>
        <w:t xml:space="preserve">TFEU that </w:t>
      </w:r>
      <w:r w:rsidR="00F4709D" w:rsidRPr="0022448B">
        <w:rPr>
          <w:lang w:val="en-GB"/>
        </w:rPr>
        <w:t>“</w:t>
      </w:r>
      <w:r w:rsidR="006864B2" w:rsidRPr="0022448B">
        <w:rPr>
          <w:lang w:val="en-GB"/>
        </w:rPr>
        <w:t>where the Treaties confer on the Union a competence shared with the Member States in a specific area, the Union and the Member States may legislate and adopt legally binding acts in that area. The Member States shall exercise their competence to the extent that the Union has not exercised its own. Member States shall again exercise their competence to the extent that the Union has decided to cease exercising its competence</w:t>
      </w:r>
      <w:r w:rsidR="00F4709D" w:rsidRPr="0022448B">
        <w:rPr>
          <w:lang w:val="en-GB"/>
        </w:rPr>
        <w:t>”</w:t>
      </w:r>
      <w:r w:rsidR="006864B2" w:rsidRPr="0022448B">
        <w:rPr>
          <w:lang w:val="en-GB"/>
        </w:rPr>
        <w:t xml:space="preserve">. </w:t>
      </w:r>
    </w:p>
    <w:p w14:paraId="58644616" w14:textId="437A2A97" w:rsidR="008133BE" w:rsidRPr="0022448B" w:rsidRDefault="008133BE" w:rsidP="00A41988">
      <w:pPr>
        <w:pStyle w:val="Textkrper"/>
        <w:rPr>
          <w:lang w:val="en-GB"/>
        </w:rPr>
      </w:pPr>
      <w:r w:rsidRPr="0022448B">
        <w:rPr>
          <w:lang w:val="en-GB"/>
        </w:rPr>
        <w:t xml:space="preserve">Therefore, Member States cannot claim to exercise sovereign power when reintroducing internal border controls. This is a competence that is </w:t>
      </w:r>
      <w:r w:rsidR="005409F2" w:rsidRPr="0022448B">
        <w:rPr>
          <w:lang w:val="en-GB"/>
        </w:rPr>
        <w:t xml:space="preserve">only </w:t>
      </w:r>
      <w:r w:rsidR="00913086" w:rsidRPr="0022448B">
        <w:rPr>
          <w:lang w:val="en-GB"/>
        </w:rPr>
        <w:t xml:space="preserve">granted to </w:t>
      </w:r>
      <w:r w:rsidR="005409F2" w:rsidRPr="0022448B">
        <w:rPr>
          <w:lang w:val="en-GB"/>
        </w:rPr>
        <w:t xml:space="preserve">them by virtue of and according to the precise rules of the </w:t>
      </w:r>
      <w:r w:rsidR="00B31CA6" w:rsidRPr="0022448B">
        <w:rPr>
          <w:lang w:val="en-GB"/>
        </w:rPr>
        <w:t>SBC</w:t>
      </w:r>
      <w:r w:rsidR="005409F2" w:rsidRPr="0022448B">
        <w:rPr>
          <w:lang w:val="en-GB"/>
        </w:rPr>
        <w:t>.</w:t>
      </w:r>
    </w:p>
    <w:p w14:paraId="40C0C6F6" w14:textId="77777777" w:rsidR="00A41261" w:rsidRPr="0022448B" w:rsidRDefault="00A41261" w:rsidP="00A41988">
      <w:pPr>
        <w:pStyle w:val="Textkrper"/>
        <w:rPr>
          <w:lang w:val="en-GB"/>
        </w:rPr>
      </w:pPr>
    </w:p>
    <w:p w14:paraId="6A1A13FA" w14:textId="77777777" w:rsidR="009739CB" w:rsidRPr="0022448B" w:rsidRDefault="009739CB" w:rsidP="004133F0">
      <w:pPr>
        <w:pStyle w:val="berschrift1"/>
        <w:rPr>
          <w:lang w:val="en-GB"/>
        </w:rPr>
      </w:pPr>
      <w:r w:rsidRPr="0022448B">
        <w:rPr>
          <w:lang w:val="en-GB"/>
        </w:rPr>
        <w:t xml:space="preserve">Assessing the </w:t>
      </w:r>
      <w:r w:rsidR="00B04DB1" w:rsidRPr="0022448B">
        <w:rPr>
          <w:lang w:val="en-GB"/>
        </w:rPr>
        <w:t>validity of the decision to reintroduce controls</w:t>
      </w:r>
    </w:p>
    <w:p w14:paraId="7BBAA2B7" w14:textId="77777777" w:rsidR="005409F2" w:rsidRPr="0022448B" w:rsidRDefault="005409F2" w:rsidP="003A356D">
      <w:pPr>
        <w:pStyle w:val="Textkrper"/>
        <w:rPr>
          <w:rFonts w:eastAsia="Times New Roman"/>
          <w:lang w:val="en-GB"/>
        </w:rPr>
      </w:pPr>
    </w:p>
    <w:p w14:paraId="057D5290" w14:textId="06DF2E2E" w:rsidR="001D2727" w:rsidRPr="0022448B" w:rsidRDefault="00370B2C" w:rsidP="003A356D">
      <w:pPr>
        <w:pStyle w:val="Textkrper"/>
        <w:rPr>
          <w:lang w:val="en-GB"/>
        </w:rPr>
      </w:pPr>
      <w:r w:rsidRPr="0022448B">
        <w:rPr>
          <w:rFonts w:eastAsia="Times New Roman"/>
          <w:lang w:val="en-GB"/>
        </w:rPr>
        <w:t xml:space="preserve">As will be shown below, </w:t>
      </w:r>
      <w:r w:rsidR="001D2727" w:rsidRPr="0022448B">
        <w:rPr>
          <w:rFonts w:eastAsia="Times New Roman"/>
          <w:lang w:val="en-GB"/>
        </w:rPr>
        <w:t xml:space="preserve">there is little agreement with the view expressed in doctrine that </w:t>
      </w:r>
      <w:r w:rsidR="00F4709D" w:rsidRPr="0022448B">
        <w:rPr>
          <w:rFonts w:eastAsia="Times New Roman"/>
          <w:lang w:val="en-GB"/>
        </w:rPr>
        <w:t>“</w:t>
      </w:r>
      <w:r w:rsidR="00017BA0" w:rsidRPr="0022448B">
        <w:rPr>
          <w:w w:val="110"/>
          <w:lang w:val="en-GB"/>
        </w:rPr>
        <w:t xml:space="preserve">from a </w:t>
      </w:r>
      <w:r w:rsidR="001D2727" w:rsidRPr="0022448B">
        <w:rPr>
          <w:w w:val="110"/>
          <w:lang w:val="en-GB"/>
        </w:rPr>
        <w:t xml:space="preserve">legal point of view, temporary reintroductions based on the </w:t>
      </w:r>
      <w:r w:rsidR="00F4709D" w:rsidRPr="0022448B">
        <w:rPr>
          <w:w w:val="110"/>
          <w:lang w:val="en-GB"/>
        </w:rPr>
        <w:t>COVID-19</w:t>
      </w:r>
      <w:r w:rsidR="001D2727" w:rsidRPr="0022448B">
        <w:rPr>
          <w:w w:val="110"/>
          <w:lang w:val="en-GB"/>
        </w:rPr>
        <w:t xml:space="preserve"> epidemic are hardly questionable</w:t>
      </w:r>
      <w:r w:rsidR="00F4709D" w:rsidRPr="0022448B">
        <w:rPr>
          <w:w w:val="110"/>
          <w:lang w:val="en-GB"/>
        </w:rPr>
        <w:t>”</w:t>
      </w:r>
      <w:r w:rsidR="00374E97" w:rsidRPr="0022448B">
        <w:rPr>
          <w:w w:val="110"/>
          <w:lang w:val="en-GB"/>
        </w:rPr>
        <w:t xml:space="preserve">. </w:t>
      </w:r>
      <w:r w:rsidR="001D2727" w:rsidRPr="0022448B">
        <w:rPr>
          <w:rStyle w:val="Funotenzeichen"/>
          <w:w w:val="110"/>
          <w:lang w:val="en-GB"/>
        </w:rPr>
        <w:footnoteReference w:id="9"/>
      </w:r>
    </w:p>
    <w:p w14:paraId="34C8D96A" w14:textId="7028652D" w:rsidR="00BD04F1" w:rsidRPr="0022448B" w:rsidRDefault="00BD04F1" w:rsidP="003A356D">
      <w:pPr>
        <w:pStyle w:val="Textkrper"/>
        <w:rPr>
          <w:lang w:val="en-GB"/>
        </w:rPr>
      </w:pPr>
      <w:r w:rsidRPr="0022448B">
        <w:rPr>
          <w:lang w:val="en-GB"/>
        </w:rPr>
        <w:t xml:space="preserve">Quite the </w:t>
      </w:r>
      <w:r w:rsidR="00790654" w:rsidRPr="0022448B">
        <w:rPr>
          <w:lang w:val="en-GB"/>
        </w:rPr>
        <w:t>contrary</w:t>
      </w:r>
      <w:r w:rsidR="00374E97" w:rsidRPr="0022448B">
        <w:rPr>
          <w:lang w:val="en-GB"/>
        </w:rPr>
        <w:t>!</w:t>
      </w:r>
    </w:p>
    <w:p w14:paraId="53FD961D" w14:textId="00083843" w:rsidR="00435BE4" w:rsidRPr="0022448B" w:rsidRDefault="00370B2C" w:rsidP="00435BE4">
      <w:pPr>
        <w:pStyle w:val="Textkrper"/>
        <w:rPr>
          <w:lang w:val="en-GB"/>
        </w:rPr>
      </w:pPr>
      <w:r w:rsidRPr="0022448B">
        <w:rPr>
          <w:lang w:val="en-GB"/>
        </w:rPr>
        <w:t xml:space="preserve">The </w:t>
      </w:r>
      <w:r w:rsidR="00B31CA6" w:rsidRPr="0022448B">
        <w:rPr>
          <w:lang w:val="en-GB"/>
        </w:rPr>
        <w:t>SBC</w:t>
      </w:r>
      <w:r w:rsidRPr="0022448B">
        <w:rPr>
          <w:lang w:val="en-GB"/>
        </w:rPr>
        <w:t xml:space="preserve"> </w:t>
      </w:r>
      <w:r w:rsidR="00790654" w:rsidRPr="0022448B">
        <w:rPr>
          <w:lang w:val="en-GB"/>
        </w:rPr>
        <w:t xml:space="preserve">stresses </w:t>
      </w:r>
      <w:r w:rsidR="005D7E6E" w:rsidRPr="0022448B">
        <w:rPr>
          <w:lang w:val="en-GB"/>
        </w:rPr>
        <w:t xml:space="preserve">the fact that, since the principle is the absence of internal border controls, the reintroduction of such controls must remain exceptional. In </w:t>
      </w:r>
      <w:r w:rsidR="00BD04F1" w:rsidRPr="0022448B">
        <w:rPr>
          <w:rFonts w:eastAsia="Times New Roman"/>
          <w:lang w:val="en-GB"/>
        </w:rPr>
        <w:t xml:space="preserve">order to ensure </w:t>
      </w:r>
      <w:r w:rsidR="00805985" w:rsidRPr="0022448B">
        <w:rPr>
          <w:rFonts w:eastAsia="Times New Roman"/>
          <w:lang w:val="en-GB"/>
        </w:rPr>
        <w:t xml:space="preserve">this, </w:t>
      </w:r>
      <w:r w:rsidR="00BD04F1" w:rsidRPr="0022448B">
        <w:rPr>
          <w:rFonts w:eastAsia="Times New Roman"/>
          <w:lang w:val="en-GB"/>
        </w:rPr>
        <w:t xml:space="preserve">it lists a number of conditions that must be met when a Member State is considering reintroducing controls. </w:t>
      </w:r>
      <w:r w:rsidR="00790654" w:rsidRPr="0022448B">
        <w:rPr>
          <w:lang w:val="en-GB"/>
        </w:rPr>
        <w:t xml:space="preserve">It is therefore essential that any reintroduction of checks should </w:t>
      </w:r>
      <w:r w:rsidR="002B6269">
        <w:rPr>
          <w:lang w:val="en-GB"/>
        </w:rPr>
        <w:t>be</w:t>
      </w:r>
      <w:r w:rsidR="00790654" w:rsidRPr="0022448B">
        <w:rPr>
          <w:lang w:val="en-GB"/>
        </w:rPr>
        <w:t xml:space="preserve"> exceptional, limited in time and justified by the </w:t>
      </w:r>
      <w:r w:rsidR="00BD04F1" w:rsidRPr="0022448B">
        <w:rPr>
          <w:lang w:val="en-GB"/>
        </w:rPr>
        <w:t xml:space="preserve">duly </w:t>
      </w:r>
      <w:r w:rsidR="00805985" w:rsidRPr="0022448B">
        <w:rPr>
          <w:lang w:val="en-GB"/>
        </w:rPr>
        <w:t xml:space="preserve">demonstrated </w:t>
      </w:r>
      <w:r w:rsidR="00BD04F1" w:rsidRPr="0022448B">
        <w:rPr>
          <w:lang w:val="en-GB"/>
        </w:rPr>
        <w:t>existence of a serious threat to public policy or internal security of that Member State.</w:t>
      </w:r>
    </w:p>
    <w:p w14:paraId="5EC795D2" w14:textId="7E58E54F" w:rsidR="001D30BF" w:rsidRPr="0022448B" w:rsidRDefault="00BD04F1" w:rsidP="003A356D">
      <w:pPr>
        <w:pStyle w:val="Textkrper"/>
        <w:rPr>
          <w:lang w:val="en-GB"/>
        </w:rPr>
      </w:pPr>
      <w:r w:rsidRPr="0022448B">
        <w:rPr>
          <w:lang w:val="en-GB"/>
        </w:rPr>
        <w:t xml:space="preserve">It is </w:t>
      </w:r>
      <w:r w:rsidR="00113A30" w:rsidRPr="0022448B">
        <w:rPr>
          <w:lang w:val="en-GB"/>
        </w:rPr>
        <w:t xml:space="preserve">therefore </w:t>
      </w:r>
      <w:r w:rsidRPr="0022448B">
        <w:rPr>
          <w:lang w:val="en-GB"/>
        </w:rPr>
        <w:t xml:space="preserve">very surprising to </w:t>
      </w:r>
      <w:r w:rsidR="00C30366" w:rsidRPr="0022448B">
        <w:rPr>
          <w:lang w:val="en-GB"/>
        </w:rPr>
        <w:t xml:space="preserve">note </w:t>
      </w:r>
      <w:r w:rsidRPr="0022448B">
        <w:rPr>
          <w:lang w:val="en-GB"/>
        </w:rPr>
        <w:t xml:space="preserve">that </w:t>
      </w:r>
      <w:r w:rsidR="0031407D" w:rsidRPr="0022448B">
        <w:rPr>
          <w:lang w:val="en-GB"/>
        </w:rPr>
        <w:t>the European Commission</w:t>
      </w:r>
      <w:r w:rsidR="00324E48" w:rsidRPr="0022448B">
        <w:rPr>
          <w:lang w:val="en-GB"/>
        </w:rPr>
        <w:t xml:space="preserve">, which has the primordial </w:t>
      </w:r>
      <w:r w:rsidRPr="0022448B">
        <w:rPr>
          <w:lang w:val="en-GB"/>
        </w:rPr>
        <w:t>role of guardian of respect for EU law</w:t>
      </w:r>
      <w:r w:rsidR="00324E48" w:rsidRPr="0022448B">
        <w:rPr>
          <w:lang w:val="en-GB"/>
        </w:rPr>
        <w:t>,</w:t>
      </w:r>
      <w:r w:rsidRPr="0022448B">
        <w:rPr>
          <w:lang w:val="en-GB"/>
        </w:rPr>
        <w:t xml:space="preserve"> has reacted to the </w:t>
      </w:r>
      <w:r w:rsidR="00C30366" w:rsidRPr="0022448B">
        <w:rPr>
          <w:lang w:val="en-GB"/>
        </w:rPr>
        <w:t xml:space="preserve">decisions of several Member States to reintroduce controls </w:t>
      </w:r>
      <w:r w:rsidRPr="0022448B">
        <w:rPr>
          <w:lang w:val="en-GB"/>
        </w:rPr>
        <w:t xml:space="preserve">with a </w:t>
      </w:r>
      <w:r w:rsidR="00C30366" w:rsidRPr="0022448B">
        <w:rPr>
          <w:lang w:val="en-GB"/>
        </w:rPr>
        <w:t xml:space="preserve">very conciliatory </w:t>
      </w:r>
      <w:r w:rsidR="002B6269">
        <w:rPr>
          <w:lang w:val="en-GB"/>
        </w:rPr>
        <w:t>communication</w:t>
      </w:r>
      <w:r w:rsidRPr="0022448B">
        <w:rPr>
          <w:lang w:val="en-GB"/>
        </w:rPr>
        <w:t xml:space="preserve">. </w:t>
      </w:r>
      <w:r w:rsidR="00C30366" w:rsidRPr="0022448B">
        <w:rPr>
          <w:lang w:val="en-GB"/>
        </w:rPr>
        <w:t xml:space="preserve">This </w:t>
      </w:r>
      <w:r w:rsidR="002B6269">
        <w:rPr>
          <w:lang w:val="en-GB"/>
        </w:rPr>
        <w:t>communication</w:t>
      </w:r>
      <w:r w:rsidR="00324E48" w:rsidRPr="0022448B">
        <w:rPr>
          <w:lang w:val="en-GB"/>
        </w:rPr>
        <w:t xml:space="preserve">, </w:t>
      </w:r>
      <w:r w:rsidR="00805985" w:rsidRPr="0022448B">
        <w:rPr>
          <w:lang w:val="en-GB"/>
        </w:rPr>
        <w:t xml:space="preserve">adopted </w:t>
      </w:r>
      <w:r w:rsidR="00492B1E" w:rsidRPr="0022448B">
        <w:rPr>
          <w:lang w:val="en-GB"/>
        </w:rPr>
        <w:t xml:space="preserve">on 16 March 2020 </w:t>
      </w:r>
      <w:r w:rsidR="00324E48" w:rsidRPr="0022448B">
        <w:rPr>
          <w:lang w:val="en-GB"/>
        </w:rPr>
        <w:t xml:space="preserve">and </w:t>
      </w:r>
      <w:r w:rsidR="00C30366" w:rsidRPr="0022448B">
        <w:rPr>
          <w:lang w:val="en-GB"/>
        </w:rPr>
        <w:t xml:space="preserve">entitled </w:t>
      </w:r>
      <w:r w:rsidR="00F4709D" w:rsidRPr="0022448B">
        <w:rPr>
          <w:lang w:val="en-GB"/>
        </w:rPr>
        <w:t>“</w:t>
      </w:r>
      <w:r w:rsidR="00C30366" w:rsidRPr="0022448B">
        <w:rPr>
          <w:lang w:val="en-GB"/>
        </w:rPr>
        <w:t xml:space="preserve">Guidelines on </w:t>
      </w:r>
      <w:r w:rsidR="00435BE4" w:rsidRPr="0022448B">
        <w:rPr>
          <w:lang w:val="en-GB"/>
        </w:rPr>
        <w:t xml:space="preserve">border </w:t>
      </w:r>
      <w:r w:rsidR="00435BE4" w:rsidRPr="0022448B">
        <w:rPr>
          <w:lang w:val="en-GB"/>
        </w:rPr>
        <w:lastRenderedPageBreak/>
        <w:t>management measures to protect public health and ensure the availability of essential goods and services</w:t>
      </w:r>
      <w:r w:rsidR="00F4709D" w:rsidRPr="0022448B">
        <w:rPr>
          <w:lang w:val="en-GB"/>
        </w:rPr>
        <w:t>”</w:t>
      </w:r>
      <w:r w:rsidR="00435BE4" w:rsidRPr="0022448B">
        <w:rPr>
          <w:lang w:val="en-GB"/>
        </w:rPr>
        <w:t xml:space="preserve">, </w:t>
      </w:r>
      <w:r w:rsidR="00616131" w:rsidRPr="0022448B">
        <w:rPr>
          <w:lang w:val="en-GB"/>
        </w:rPr>
        <w:t xml:space="preserve">seems to validate </w:t>
      </w:r>
      <w:r w:rsidR="00386A99" w:rsidRPr="0022448B">
        <w:rPr>
          <w:i/>
          <w:iCs/>
          <w:lang w:val="en-GB"/>
        </w:rPr>
        <w:t xml:space="preserve">a posteriori </w:t>
      </w:r>
      <w:r w:rsidR="00386A99" w:rsidRPr="0022448B">
        <w:rPr>
          <w:lang w:val="en-GB"/>
        </w:rPr>
        <w:t>the closure of internal borders</w:t>
      </w:r>
      <w:r w:rsidR="00492B1E" w:rsidRPr="0022448B">
        <w:rPr>
          <w:lang w:val="en-GB"/>
        </w:rPr>
        <w:t xml:space="preserve">. </w:t>
      </w:r>
      <w:r w:rsidR="00E24046" w:rsidRPr="0022448B">
        <w:rPr>
          <w:rStyle w:val="Funotenzeichen"/>
          <w:lang w:val="en-GB"/>
        </w:rPr>
        <w:footnoteReference w:id="10"/>
      </w:r>
    </w:p>
    <w:p w14:paraId="1943EF80" w14:textId="654655C5" w:rsidR="00AB7857" w:rsidRPr="0022448B" w:rsidRDefault="00492B1E" w:rsidP="003A356D">
      <w:pPr>
        <w:pStyle w:val="Textkrper"/>
        <w:rPr>
          <w:lang w:val="en-GB"/>
        </w:rPr>
      </w:pPr>
      <w:r w:rsidRPr="0022448B">
        <w:rPr>
          <w:lang w:val="en-GB"/>
        </w:rPr>
        <w:t xml:space="preserve">It </w:t>
      </w:r>
      <w:r w:rsidR="00AB7857" w:rsidRPr="0022448B">
        <w:rPr>
          <w:lang w:val="en-GB"/>
        </w:rPr>
        <w:t xml:space="preserve">states </w:t>
      </w:r>
      <w:r w:rsidR="001D30BF" w:rsidRPr="0022448B">
        <w:rPr>
          <w:lang w:val="en-GB"/>
        </w:rPr>
        <w:t xml:space="preserve">rather trivially </w:t>
      </w:r>
      <w:r w:rsidR="00AB7857" w:rsidRPr="0022448B">
        <w:rPr>
          <w:lang w:val="en-GB"/>
        </w:rPr>
        <w:t>in point</w:t>
      </w:r>
      <w:r w:rsidR="002B6269">
        <w:rPr>
          <w:lang w:val="en-GB"/>
        </w:rPr>
        <w:t> </w:t>
      </w:r>
      <w:r w:rsidR="00AB7857" w:rsidRPr="0022448B">
        <w:rPr>
          <w:lang w:val="en-GB"/>
        </w:rPr>
        <w:t xml:space="preserve">18 that </w:t>
      </w:r>
      <w:r w:rsidR="00E127D2" w:rsidRPr="0022448B">
        <w:rPr>
          <w:lang w:val="en-GB"/>
        </w:rPr>
        <w:t>“</w:t>
      </w:r>
      <w:r w:rsidR="00AB7857" w:rsidRPr="0022448B">
        <w:rPr>
          <w:lang w:val="en-GB"/>
        </w:rPr>
        <w:t>Member States may reintroduce temporary border controls at internal borders if justified on grounds of public policy or internal security. In an extremely critical situation, a Member State may determine the need to reintroduce border controls in response to the risk posed by a communicable disease. Member States must notify the reintroduction of border controls in accordance with the Schengen Borders Code</w:t>
      </w:r>
      <w:r w:rsidR="00E127D2" w:rsidRPr="0022448B">
        <w:rPr>
          <w:lang w:val="en-GB"/>
        </w:rPr>
        <w:t>”</w:t>
      </w:r>
      <w:r w:rsidR="00AB7857" w:rsidRPr="0022448B">
        <w:rPr>
          <w:lang w:val="en-GB"/>
        </w:rPr>
        <w:t>.</w:t>
      </w:r>
    </w:p>
    <w:p w14:paraId="6BB97019" w14:textId="77777777" w:rsidR="00E127D2" w:rsidRPr="0022448B" w:rsidRDefault="0085299F" w:rsidP="003A356D">
      <w:pPr>
        <w:pStyle w:val="Textkrper"/>
        <w:rPr>
          <w:lang w:val="en-GB"/>
        </w:rPr>
      </w:pPr>
      <w:r w:rsidRPr="0022448B">
        <w:rPr>
          <w:lang w:val="en-GB"/>
        </w:rPr>
        <w:t>Does this mean that internal border controls</w:t>
      </w:r>
      <w:r w:rsidR="002D43B2" w:rsidRPr="0022448B">
        <w:rPr>
          <w:lang w:val="en-GB"/>
        </w:rPr>
        <w:t xml:space="preserve">, introduced in response to a health emergency, are </w:t>
      </w:r>
      <w:r w:rsidRPr="0022448B">
        <w:rPr>
          <w:lang w:val="en-GB"/>
        </w:rPr>
        <w:t xml:space="preserve">to be </w:t>
      </w:r>
      <w:r w:rsidR="002D43B2" w:rsidRPr="0022448B">
        <w:rPr>
          <w:lang w:val="en-GB"/>
        </w:rPr>
        <w:t xml:space="preserve">considered legitimate, as </w:t>
      </w:r>
      <w:r w:rsidR="00FC4E8B" w:rsidRPr="0022448B">
        <w:rPr>
          <w:lang w:val="en-GB"/>
        </w:rPr>
        <w:t>some seem to consider</w:t>
      </w:r>
      <w:r w:rsidR="00BA0DD6" w:rsidRPr="0022448B">
        <w:rPr>
          <w:lang w:val="en-GB"/>
        </w:rPr>
        <w:t>?</w:t>
      </w:r>
      <w:r w:rsidR="00BA0DD6" w:rsidRPr="0022448B">
        <w:rPr>
          <w:rStyle w:val="Funotenzeichen"/>
          <w:lang w:val="en-GB"/>
        </w:rPr>
        <w:footnoteReference w:id="11"/>
      </w:r>
      <w:r w:rsidR="00066315" w:rsidRPr="0022448B">
        <w:rPr>
          <w:lang w:val="en-GB"/>
        </w:rPr>
        <w:t xml:space="preserve"> </w:t>
      </w:r>
      <w:r w:rsidR="00BA0DD6" w:rsidRPr="0022448B">
        <w:rPr>
          <w:lang w:val="en-GB"/>
        </w:rPr>
        <w:t xml:space="preserve">We do not think so. </w:t>
      </w:r>
    </w:p>
    <w:p w14:paraId="7433E4EA" w14:textId="2C80FEBD" w:rsidR="009D6B3D" w:rsidRPr="0022448B" w:rsidRDefault="00913086" w:rsidP="003A356D">
      <w:pPr>
        <w:pStyle w:val="Textkrper"/>
        <w:rPr>
          <w:lang w:val="en-GB"/>
        </w:rPr>
      </w:pPr>
      <w:r w:rsidRPr="0022448B">
        <w:rPr>
          <w:lang w:val="en-GB"/>
        </w:rPr>
        <w:t xml:space="preserve">At </w:t>
      </w:r>
      <w:r w:rsidR="001D30BF" w:rsidRPr="0022448B">
        <w:rPr>
          <w:lang w:val="en-GB"/>
        </w:rPr>
        <w:t>no time does the Commission seem</w:t>
      </w:r>
      <w:r w:rsidR="00FC4E8B" w:rsidRPr="0022448B">
        <w:rPr>
          <w:lang w:val="en-GB"/>
        </w:rPr>
        <w:t>s</w:t>
      </w:r>
      <w:r w:rsidR="001D30BF" w:rsidRPr="0022448B">
        <w:rPr>
          <w:lang w:val="en-GB"/>
        </w:rPr>
        <w:t xml:space="preserve"> to have carried out any </w:t>
      </w:r>
      <w:r w:rsidR="009D121A" w:rsidRPr="0022448B">
        <w:rPr>
          <w:lang w:val="en-GB"/>
        </w:rPr>
        <w:t xml:space="preserve">real </w:t>
      </w:r>
      <w:r w:rsidR="001D30BF" w:rsidRPr="0022448B">
        <w:rPr>
          <w:lang w:val="en-GB"/>
        </w:rPr>
        <w:t xml:space="preserve">control of the </w:t>
      </w:r>
      <w:r w:rsidR="00113A30" w:rsidRPr="0022448B">
        <w:rPr>
          <w:lang w:val="en-GB"/>
        </w:rPr>
        <w:t xml:space="preserve">necessary and </w:t>
      </w:r>
      <w:r w:rsidR="00066315" w:rsidRPr="0022448B">
        <w:rPr>
          <w:lang w:val="en-GB"/>
        </w:rPr>
        <w:t xml:space="preserve">justified </w:t>
      </w:r>
      <w:r w:rsidR="009D121A" w:rsidRPr="0022448B">
        <w:rPr>
          <w:lang w:val="en-GB"/>
        </w:rPr>
        <w:t xml:space="preserve">character </w:t>
      </w:r>
      <w:r w:rsidR="00066315" w:rsidRPr="0022448B">
        <w:rPr>
          <w:lang w:val="en-GB"/>
        </w:rPr>
        <w:t xml:space="preserve">and therefore of the legality of the </w:t>
      </w:r>
      <w:r w:rsidR="00D426A1" w:rsidRPr="0022448B">
        <w:rPr>
          <w:lang w:val="en-GB"/>
        </w:rPr>
        <w:t xml:space="preserve">various </w:t>
      </w:r>
      <w:r w:rsidR="00066315" w:rsidRPr="0022448B">
        <w:rPr>
          <w:lang w:val="en-GB"/>
        </w:rPr>
        <w:t xml:space="preserve">national decisions to reintroduce border controls. In our opinion, it should have carried </w:t>
      </w:r>
      <w:r w:rsidR="007661CF" w:rsidRPr="0022448B">
        <w:rPr>
          <w:lang w:val="en-GB"/>
        </w:rPr>
        <w:t xml:space="preserve">out </w:t>
      </w:r>
      <w:r w:rsidR="0075542F" w:rsidRPr="0022448B">
        <w:rPr>
          <w:lang w:val="en-GB"/>
        </w:rPr>
        <w:t xml:space="preserve">a six-stage control to this end. </w:t>
      </w:r>
    </w:p>
    <w:p w14:paraId="316AD2B2" w14:textId="2C3D64E1" w:rsidR="002B23B5" w:rsidRPr="0022448B" w:rsidRDefault="0075542F" w:rsidP="003A356D">
      <w:pPr>
        <w:pStyle w:val="Textkrper"/>
        <w:rPr>
          <w:lang w:val="en-GB"/>
        </w:rPr>
      </w:pPr>
      <w:r w:rsidRPr="0022448B">
        <w:rPr>
          <w:lang w:val="en-GB"/>
        </w:rPr>
        <w:t xml:space="preserve">It would have been advisable to </w:t>
      </w:r>
      <w:r w:rsidR="00066315" w:rsidRPr="0022448B">
        <w:rPr>
          <w:lang w:val="en-GB"/>
        </w:rPr>
        <w:t xml:space="preserve">assess </w:t>
      </w:r>
      <w:r w:rsidR="004E4676" w:rsidRPr="0022448B">
        <w:rPr>
          <w:lang w:val="en-GB"/>
        </w:rPr>
        <w:t xml:space="preserve">individually </w:t>
      </w:r>
      <w:r w:rsidR="00066315" w:rsidRPr="0022448B">
        <w:rPr>
          <w:lang w:val="en-GB"/>
        </w:rPr>
        <w:t xml:space="preserve">the necessity and proportionality of </w:t>
      </w:r>
      <w:r w:rsidR="005C63DD" w:rsidRPr="0022448B">
        <w:rPr>
          <w:lang w:val="en-GB"/>
        </w:rPr>
        <w:t xml:space="preserve">those decisions (A.), </w:t>
      </w:r>
      <w:r w:rsidRPr="0022448B">
        <w:rPr>
          <w:lang w:val="en-GB"/>
        </w:rPr>
        <w:t xml:space="preserve">to </w:t>
      </w:r>
      <w:r w:rsidR="005C63DD" w:rsidRPr="0022448B">
        <w:rPr>
          <w:lang w:val="en-GB"/>
        </w:rPr>
        <w:t xml:space="preserve">verify their adequacy (B.), to </w:t>
      </w:r>
      <w:r w:rsidRPr="0022448B">
        <w:rPr>
          <w:lang w:val="en-GB"/>
        </w:rPr>
        <w:t xml:space="preserve">monitor compliance with the formal conditions (C.), to take account of the restrictions on the free movement of </w:t>
      </w:r>
      <w:r w:rsidR="00BA1B2A" w:rsidRPr="0022448B">
        <w:rPr>
          <w:lang w:val="en-GB"/>
        </w:rPr>
        <w:t xml:space="preserve">persons </w:t>
      </w:r>
      <w:r w:rsidRPr="0022448B">
        <w:rPr>
          <w:lang w:val="en-GB"/>
        </w:rPr>
        <w:t>resulting from those measures (</w:t>
      </w:r>
      <w:r w:rsidR="00BA1B2A" w:rsidRPr="0022448B">
        <w:rPr>
          <w:lang w:val="en-GB"/>
        </w:rPr>
        <w:t xml:space="preserve">D.), to evaluate the acceptable duration of the </w:t>
      </w:r>
      <w:r w:rsidR="00324E48" w:rsidRPr="0022448B">
        <w:rPr>
          <w:lang w:val="en-GB"/>
        </w:rPr>
        <w:t>checks (</w:t>
      </w:r>
      <w:r w:rsidR="00BA1B2A" w:rsidRPr="0022448B">
        <w:rPr>
          <w:lang w:val="en-GB"/>
        </w:rPr>
        <w:t xml:space="preserve">E.) and, lastly, to consider the advisability of bringing infringement proceedings against Member States which have not complied with </w:t>
      </w:r>
      <w:r w:rsidR="008E337E" w:rsidRPr="0022448B">
        <w:rPr>
          <w:lang w:val="en-GB"/>
        </w:rPr>
        <w:t>those conditions (F.).</w:t>
      </w:r>
    </w:p>
    <w:p w14:paraId="4390D80E" w14:textId="471CB8CE" w:rsidR="009D6B3D" w:rsidRPr="0022448B" w:rsidRDefault="009D6B3D" w:rsidP="003A356D">
      <w:pPr>
        <w:pStyle w:val="Textkrper"/>
        <w:rPr>
          <w:lang w:val="en-GB"/>
        </w:rPr>
      </w:pPr>
      <w:r w:rsidRPr="0022448B">
        <w:rPr>
          <w:lang w:val="en-GB"/>
        </w:rPr>
        <w:t xml:space="preserve">The following check will be carried out as an </w:t>
      </w:r>
      <w:r w:rsidR="00044689" w:rsidRPr="0022448B">
        <w:rPr>
          <w:lang w:val="en-GB"/>
        </w:rPr>
        <w:t xml:space="preserve">example for the </w:t>
      </w:r>
      <w:r w:rsidRPr="0022448B">
        <w:rPr>
          <w:lang w:val="en-GB"/>
        </w:rPr>
        <w:t>reintroduction of checks at the German-Luxembourg border.</w:t>
      </w:r>
    </w:p>
    <w:p w14:paraId="6A21C423" w14:textId="77777777" w:rsidR="002F7FC6" w:rsidRPr="0022448B" w:rsidRDefault="00B258A7" w:rsidP="00C426D7">
      <w:pPr>
        <w:pStyle w:val="berschrift2"/>
        <w:rPr>
          <w:lang w:val="en-GB"/>
        </w:rPr>
      </w:pPr>
      <w:r w:rsidRPr="0022448B">
        <w:rPr>
          <w:lang w:val="en-GB"/>
        </w:rPr>
        <w:t xml:space="preserve">Assessing the </w:t>
      </w:r>
      <w:r w:rsidR="002F7FC6" w:rsidRPr="0022448B">
        <w:rPr>
          <w:lang w:val="en-GB"/>
        </w:rPr>
        <w:t xml:space="preserve">necessity and proportionality of the </w:t>
      </w:r>
      <w:r w:rsidR="005E3C8A" w:rsidRPr="0022448B">
        <w:rPr>
          <w:lang w:val="en-GB"/>
        </w:rPr>
        <w:t>reintroduction of controls</w:t>
      </w:r>
    </w:p>
    <w:p w14:paraId="2C6E6BE0" w14:textId="506356DB" w:rsidR="005E3C8A" w:rsidRPr="0022448B" w:rsidRDefault="00474619" w:rsidP="003A356D">
      <w:pPr>
        <w:rPr>
          <w:lang w:val="en-GB"/>
        </w:rPr>
      </w:pPr>
      <w:r w:rsidRPr="0022448B">
        <w:rPr>
          <w:lang w:val="en-GB"/>
        </w:rPr>
        <w:t xml:space="preserve">The </w:t>
      </w:r>
      <w:r w:rsidR="00B258A7" w:rsidRPr="0022448B">
        <w:rPr>
          <w:lang w:val="en-GB"/>
        </w:rPr>
        <w:t xml:space="preserve">preamble to the </w:t>
      </w:r>
      <w:r w:rsidR="00B31CA6" w:rsidRPr="0022448B">
        <w:rPr>
          <w:lang w:val="en-GB"/>
        </w:rPr>
        <w:t>SBC</w:t>
      </w:r>
      <w:r w:rsidR="00B258A7" w:rsidRPr="0022448B">
        <w:rPr>
          <w:lang w:val="en-GB"/>
        </w:rPr>
        <w:t xml:space="preserve"> </w:t>
      </w:r>
      <w:r w:rsidR="00993517" w:rsidRPr="0022448B">
        <w:rPr>
          <w:lang w:val="en-GB"/>
        </w:rPr>
        <w:t xml:space="preserve">rightly </w:t>
      </w:r>
      <w:r w:rsidR="002B6269">
        <w:rPr>
          <w:lang w:val="en-GB"/>
        </w:rPr>
        <w:t>emphasizes</w:t>
      </w:r>
      <w:r w:rsidR="00993517" w:rsidRPr="0022448B">
        <w:rPr>
          <w:lang w:val="en-GB"/>
        </w:rPr>
        <w:t xml:space="preserve"> </w:t>
      </w:r>
      <w:r w:rsidR="004E4676" w:rsidRPr="0022448B">
        <w:rPr>
          <w:lang w:val="en-GB"/>
        </w:rPr>
        <w:t xml:space="preserve">in </w:t>
      </w:r>
      <w:r w:rsidR="00993517" w:rsidRPr="0022448B">
        <w:rPr>
          <w:lang w:val="en-GB"/>
        </w:rPr>
        <w:t>paragraph</w:t>
      </w:r>
      <w:r w:rsidR="002B6269">
        <w:rPr>
          <w:lang w:val="en-GB"/>
        </w:rPr>
        <w:t> </w:t>
      </w:r>
      <w:r w:rsidR="00993517" w:rsidRPr="0022448B">
        <w:rPr>
          <w:lang w:val="en-GB"/>
        </w:rPr>
        <w:t xml:space="preserve">24 that </w:t>
      </w:r>
      <w:r w:rsidR="00E127D2" w:rsidRPr="0022448B">
        <w:rPr>
          <w:lang w:val="en-GB"/>
        </w:rPr>
        <w:t>“</w:t>
      </w:r>
      <w:r w:rsidR="00993517" w:rsidRPr="0022448B">
        <w:rPr>
          <w:lang w:val="en-GB"/>
        </w:rPr>
        <w:t xml:space="preserve">the </w:t>
      </w:r>
      <w:r w:rsidR="003676C6" w:rsidRPr="0022448B">
        <w:rPr>
          <w:lang w:val="en-GB"/>
        </w:rPr>
        <w:t xml:space="preserve">necessity and proportionality of the measure to reintroduce internal border controls must be assessed </w:t>
      </w:r>
      <w:r w:rsidR="003676C6" w:rsidRPr="0022448B">
        <w:rPr>
          <w:lang w:val="en-GB"/>
        </w:rPr>
        <w:lastRenderedPageBreak/>
        <w:t>in the light of the threat to public order or internal security which is at the root of the need to reintroduce such controls</w:t>
      </w:r>
      <w:r w:rsidR="00E127D2" w:rsidRPr="0022448B">
        <w:rPr>
          <w:lang w:val="en-GB"/>
        </w:rPr>
        <w:t>”</w:t>
      </w:r>
      <w:r w:rsidR="00993517" w:rsidRPr="0022448B">
        <w:rPr>
          <w:lang w:val="en-GB"/>
        </w:rPr>
        <w:t>.</w:t>
      </w:r>
    </w:p>
    <w:p w14:paraId="3235675F" w14:textId="798B6FC1" w:rsidR="006A3FDB" w:rsidRPr="0022448B" w:rsidRDefault="006A25CB" w:rsidP="003A356D">
      <w:pPr>
        <w:rPr>
          <w:lang w:val="en-GB"/>
        </w:rPr>
      </w:pPr>
      <w:r w:rsidRPr="0022448B">
        <w:rPr>
          <w:lang w:val="en-GB"/>
        </w:rPr>
        <w:t xml:space="preserve">It is therefore necessary to question both the necessity and the proportionality of the German ministerial decision of 15 March 2020. Admittedly, </w:t>
      </w:r>
      <w:r w:rsidR="006A3FDB" w:rsidRPr="0022448B">
        <w:rPr>
          <w:lang w:val="en-GB"/>
        </w:rPr>
        <w:t>the Commission</w:t>
      </w:r>
      <w:r w:rsidR="002B6269">
        <w:rPr>
          <w:lang w:val="en-GB"/>
        </w:rPr>
        <w:t>’</w:t>
      </w:r>
      <w:r w:rsidR="006A3FDB" w:rsidRPr="0022448B">
        <w:rPr>
          <w:lang w:val="en-GB"/>
        </w:rPr>
        <w:t xml:space="preserve">s Communication of 16 March seems to reflect the view that </w:t>
      </w:r>
      <w:r w:rsidR="0064731D" w:rsidRPr="0022448B">
        <w:rPr>
          <w:lang w:val="en-GB"/>
        </w:rPr>
        <w:t xml:space="preserve">the reintroduction of </w:t>
      </w:r>
      <w:r w:rsidR="006A3FDB" w:rsidRPr="0022448B">
        <w:rPr>
          <w:lang w:val="en-GB"/>
        </w:rPr>
        <w:t xml:space="preserve">controls </w:t>
      </w:r>
      <w:r w:rsidR="0064731D" w:rsidRPr="0022448B">
        <w:rPr>
          <w:lang w:val="en-GB"/>
        </w:rPr>
        <w:t xml:space="preserve">was </w:t>
      </w:r>
      <w:r w:rsidR="00805985" w:rsidRPr="0022448B">
        <w:rPr>
          <w:lang w:val="en-GB"/>
        </w:rPr>
        <w:t xml:space="preserve">justified in </w:t>
      </w:r>
      <w:r w:rsidR="0064731D" w:rsidRPr="0022448B">
        <w:rPr>
          <w:lang w:val="en-GB"/>
        </w:rPr>
        <w:t>view of the risks emanating from the pandemic</w:t>
      </w:r>
      <w:r w:rsidRPr="0022448B">
        <w:rPr>
          <w:lang w:val="en-GB"/>
        </w:rPr>
        <w:t xml:space="preserve">. However, it </w:t>
      </w:r>
      <w:r w:rsidR="0064731D" w:rsidRPr="0022448B">
        <w:rPr>
          <w:lang w:val="en-GB"/>
        </w:rPr>
        <w:t xml:space="preserve">has no binding legal value. It only reflects the </w:t>
      </w:r>
      <w:r w:rsidRPr="0022448B">
        <w:rPr>
          <w:lang w:val="en-GB"/>
        </w:rPr>
        <w:t xml:space="preserve">general </w:t>
      </w:r>
      <w:r w:rsidR="0064731D" w:rsidRPr="0022448B">
        <w:rPr>
          <w:lang w:val="en-GB"/>
        </w:rPr>
        <w:t xml:space="preserve">position of this </w:t>
      </w:r>
      <w:r w:rsidRPr="0022448B">
        <w:rPr>
          <w:lang w:val="en-GB"/>
        </w:rPr>
        <w:t xml:space="preserve">single </w:t>
      </w:r>
      <w:r w:rsidR="00805985" w:rsidRPr="0022448B">
        <w:rPr>
          <w:lang w:val="en-GB"/>
        </w:rPr>
        <w:t xml:space="preserve">institution </w:t>
      </w:r>
      <w:r w:rsidR="00044689" w:rsidRPr="0022448B">
        <w:rPr>
          <w:lang w:val="en-GB"/>
        </w:rPr>
        <w:t xml:space="preserve">and there is no indication </w:t>
      </w:r>
      <w:r w:rsidR="00271E27" w:rsidRPr="0022448B">
        <w:rPr>
          <w:lang w:val="en-GB"/>
        </w:rPr>
        <w:t>that this position was taken after a thorough examination of the legality of the national decisions.</w:t>
      </w:r>
    </w:p>
    <w:p w14:paraId="76FF249D" w14:textId="03DFCC7F" w:rsidR="00271E27" w:rsidRPr="0022448B" w:rsidRDefault="00683354" w:rsidP="003A356D">
      <w:pPr>
        <w:rPr>
          <w:lang w:val="en-GB"/>
        </w:rPr>
      </w:pPr>
      <w:r w:rsidRPr="0022448B">
        <w:rPr>
          <w:lang w:val="en-GB"/>
        </w:rPr>
        <w:t xml:space="preserve">As for </w:t>
      </w:r>
      <w:r w:rsidR="00FC4E8B" w:rsidRPr="0022448B">
        <w:rPr>
          <w:lang w:val="en-GB"/>
        </w:rPr>
        <w:t>necessity</w:t>
      </w:r>
      <w:r w:rsidR="006A25CB" w:rsidRPr="0022448B">
        <w:rPr>
          <w:lang w:val="en-GB"/>
        </w:rPr>
        <w:t xml:space="preserve"> </w:t>
      </w:r>
      <w:r w:rsidR="00FE0FDE" w:rsidRPr="0022448B">
        <w:rPr>
          <w:lang w:val="en-GB"/>
        </w:rPr>
        <w:t xml:space="preserve">... </w:t>
      </w:r>
    </w:p>
    <w:p w14:paraId="3DC58897" w14:textId="6812D6EA" w:rsidR="006A25CB" w:rsidRPr="0022448B" w:rsidRDefault="00FE0FDE" w:rsidP="003A356D">
      <w:pPr>
        <w:rPr>
          <w:lang w:val="en-GB"/>
        </w:rPr>
      </w:pPr>
      <w:r w:rsidRPr="0022448B">
        <w:rPr>
          <w:lang w:val="en-GB"/>
        </w:rPr>
        <w:t xml:space="preserve">The fact that the </w:t>
      </w:r>
      <w:r w:rsidR="00271E27" w:rsidRPr="0022448B">
        <w:rPr>
          <w:lang w:val="en-GB"/>
        </w:rPr>
        <w:t xml:space="preserve">German </w:t>
      </w:r>
      <w:r w:rsidRPr="0022448B">
        <w:rPr>
          <w:lang w:val="en-GB"/>
        </w:rPr>
        <w:t xml:space="preserve">decision of 15 March reintroduces controls at the German-Luxembourg border </w:t>
      </w:r>
      <w:r w:rsidR="00EE0D75" w:rsidRPr="0022448B">
        <w:rPr>
          <w:lang w:val="en-GB"/>
        </w:rPr>
        <w:t xml:space="preserve">without doing the same </w:t>
      </w:r>
      <w:r w:rsidRPr="0022448B">
        <w:rPr>
          <w:lang w:val="en-GB"/>
        </w:rPr>
        <w:t>at the German-Belgian and German-Dutch borders</w:t>
      </w:r>
      <w:r w:rsidR="00EE0D75" w:rsidRPr="0022448B">
        <w:rPr>
          <w:lang w:val="en-GB"/>
        </w:rPr>
        <w:t xml:space="preserve">, even </w:t>
      </w:r>
      <w:r w:rsidRPr="0022448B">
        <w:rPr>
          <w:lang w:val="en-GB"/>
        </w:rPr>
        <w:t xml:space="preserve">though the </w:t>
      </w:r>
      <w:r w:rsidR="00683354" w:rsidRPr="0022448B">
        <w:rPr>
          <w:lang w:val="en-GB"/>
        </w:rPr>
        <w:t xml:space="preserve">epidemiological data were similar in these two </w:t>
      </w:r>
      <w:r w:rsidR="00EE0D75" w:rsidRPr="0022448B">
        <w:rPr>
          <w:lang w:val="en-GB"/>
        </w:rPr>
        <w:t xml:space="preserve">neighbouring </w:t>
      </w:r>
      <w:r w:rsidR="00683354" w:rsidRPr="0022448B">
        <w:rPr>
          <w:lang w:val="en-GB"/>
        </w:rPr>
        <w:t xml:space="preserve">countries, is </w:t>
      </w:r>
      <w:r w:rsidRPr="0022448B">
        <w:rPr>
          <w:lang w:val="en-GB"/>
        </w:rPr>
        <w:t xml:space="preserve">somewhat perplexing. </w:t>
      </w:r>
      <w:r w:rsidR="002F2D34" w:rsidRPr="0022448B">
        <w:rPr>
          <w:lang w:val="en-GB"/>
        </w:rPr>
        <w:t xml:space="preserve">This difference in treatment was </w:t>
      </w:r>
      <w:r w:rsidR="00913086" w:rsidRPr="0022448B">
        <w:rPr>
          <w:lang w:val="en-GB"/>
        </w:rPr>
        <w:t xml:space="preserve">due to </w:t>
      </w:r>
      <w:r w:rsidR="005E56EA" w:rsidRPr="0022448B">
        <w:rPr>
          <w:lang w:val="en-GB"/>
        </w:rPr>
        <w:t xml:space="preserve">political </w:t>
      </w:r>
      <w:r w:rsidR="002F2D34" w:rsidRPr="0022448B">
        <w:rPr>
          <w:lang w:val="en-GB"/>
        </w:rPr>
        <w:t xml:space="preserve">dealings within the </w:t>
      </w:r>
      <w:r w:rsidR="00635941" w:rsidRPr="0022448B">
        <w:rPr>
          <w:lang w:val="en-GB"/>
        </w:rPr>
        <w:t xml:space="preserve">Union of Conservative Parties. The </w:t>
      </w:r>
      <w:r w:rsidR="002F2D34" w:rsidRPr="0022448B">
        <w:rPr>
          <w:lang w:val="en-GB"/>
        </w:rPr>
        <w:t xml:space="preserve">powerful Minister-President of North Rhine-Westphalia, </w:t>
      </w:r>
      <w:r w:rsidR="002F2D34" w:rsidRPr="0022448B">
        <w:rPr>
          <w:i/>
          <w:iCs/>
          <w:lang w:val="en-GB"/>
        </w:rPr>
        <w:t xml:space="preserve">Armin </w:t>
      </w:r>
      <w:proofErr w:type="spellStart"/>
      <w:r w:rsidR="002F2D34" w:rsidRPr="0022448B">
        <w:rPr>
          <w:i/>
          <w:iCs/>
          <w:lang w:val="en-GB"/>
        </w:rPr>
        <w:t>Laschet</w:t>
      </w:r>
      <w:proofErr w:type="spellEnd"/>
      <w:r w:rsidR="002F2D34" w:rsidRPr="0022448B">
        <w:rPr>
          <w:i/>
          <w:iCs/>
          <w:lang w:val="en-GB"/>
        </w:rPr>
        <w:t xml:space="preserve"> </w:t>
      </w:r>
      <w:r w:rsidR="005E56EA" w:rsidRPr="0022448B">
        <w:rPr>
          <w:lang w:val="en-GB"/>
        </w:rPr>
        <w:t xml:space="preserve">(CDU), </w:t>
      </w:r>
      <w:r w:rsidR="002F2D34" w:rsidRPr="0022448B">
        <w:rPr>
          <w:lang w:val="en-GB"/>
        </w:rPr>
        <w:t xml:space="preserve">had obtained this favour from Minister </w:t>
      </w:r>
      <w:r w:rsidR="002F2D34" w:rsidRPr="0022448B">
        <w:rPr>
          <w:i/>
          <w:iCs/>
          <w:lang w:val="en-GB"/>
        </w:rPr>
        <w:t>Seehofer (</w:t>
      </w:r>
      <w:r w:rsidR="005E56EA" w:rsidRPr="0022448B">
        <w:rPr>
          <w:lang w:val="en-GB"/>
        </w:rPr>
        <w:t xml:space="preserve">CSU) as a result of his </w:t>
      </w:r>
      <w:r w:rsidR="00635941" w:rsidRPr="0022448B">
        <w:rPr>
          <w:lang w:val="en-GB"/>
        </w:rPr>
        <w:t xml:space="preserve">political </w:t>
      </w:r>
      <w:r w:rsidR="005E56EA" w:rsidRPr="0022448B">
        <w:rPr>
          <w:lang w:val="en-GB"/>
        </w:rPr>
        <w:t>pressure.</w:t>
      </w:r>
    </w:p>
    <w:p w14:paraId="4FAADC38" w14:textId="462BB017" w:rsidR="005E56EA" w:rsidRPr="0022448B" w:rsidRDefault="00635941" w:rsidP="003A356D">
      <w:pPr>
        <w:rPr>
          <w:lang w:val="en-GB"/>
        </w:rPr>
      </w:pPr>
      <w:r w:rsidRPr="0022448B">
        <w:rPr>
          <w:lang w:val="en-GB"/>
        </w:rPr>
        <w:t xml:space="preserve">This </w:t>
      </w:r>
      <w:r w:rsidR="00464579" w:rsidRPr="0022448B">
        <w:rPr>
          <w:lang w:val="en-GB"/>
        </w:rPr>
        <w:t xml:space="preserve">disparity is </w:t>
      </w:r>
      <w:r w:rsidRPr="0022448B">
        <w:rPr>
          <w:lang w:val="en-GB"/>
        </w:rPr>
        <w:t xml:space="preserve">sufficient proof that the need for the controls </w:t>
      </w:r>
      <w:r w:rsidR="00464579" w:rsidRPr="0022448B">
        <w:rPr>
          <w:lang w:val="en-GB"/>
        </w:rPr>
        <w:t xml:space="preserve">was relative </w:t>
      </w:r>
      <w:r w:rsidR="006B1549" w:rsidRPr="0022448B">
        <w:rPr>
          <w:lang w:val="en-GB"/>
        </w:rPr>
        <w:t>and that the justification linked to the risk of spreading the virus did not hold water, so to speak.</w:t>
      </w:r>
    </w:p>
    <w:p w14:paraId="6126BD16" w14:textId="1BC2D740" w:rsidR="006A25CB" w:rsidRPr="0022448B" w:rsidRDefault="00683354" w:rsidP="003A356D">
      <w:pPr>
        <w:rPr>
          <w:lang w:val="en-GB"/>
        </w:rPr>
      </w:pPr>
      <w:r w:rsidRPr="0022448B">
        <w:rPr>
          <w:lang w:val="en-GB"/>
        </w:rPr>
        <w:t xml:space="preserve">As for </w:t>
      </w:r>
      <w:r w:rsidR="006A25CB" w:rsidRPr="0022448B">
        <w:rPr>
          <w:lang w:val="en-GB"/>
        </w:rPr>
        <w:t xml:space="preserve">proportionality </w:t>
      </w:r>
      <w:r w:rsidR="00271E27" w:rsidRPr="0022448B">
        <w:rPr>
          <w:lang w:val="en-GB"/>
        </w:rPr>
        <w:t>...</w:t>
      </w:r>
    </w:p>
    <w:p w14:paraId="41C781B4" w14:textId="63F2F8CC" w:rsidR="006A25CB" w:rsidRPr="0022448B" w:rsidRDefault="00B943E1" w:rsidP="003A356D">
      <w:pPr>
        <w:rPr>
          <w:lang w:val="en-GB"/>
        </w:rPr>
      </w:pPr>
      <w:r w:rsidRPr="0022448B">
        <w:rPr>
          <w:lang w:val="en-GB"/>
        </w:rPr>
        <w:t xml:space="preserve">In </w:t>
      </w:r>
      <w:r w:rsidR="006B1549" w:rsidRPr="0022448B">
        <w:rPr>
          <w:lang w:val="en-GB"/>
        </w:rPr>
        <w:t xml:space="preserve">order to determine whether the proportionality test was met, it is necessary to examine whether there were no less </w:t>
      </w:r>
      <w:r w:rsidR="006A25CB" w:rsidRPr="0022448B">
        <w:rPr>
          <w:lang w:val="en-GB"/>
        </w:rPr>
        <w:t xml:space="preserve">restrictive measures that would have made it possible to achieve the objective </w:t>
      </w:r>
      <w:r w:rsidR="006B1549" w:rsidRPr="0022448B">
        <w:rPr>
          <w:lang w:val="en-GB"/>
        </w:rPr>
        <w:t xml:space="preserve">pursued or at least the stated </w:t>
      </w:r>
      <w:r w:rsidR="006A25CB" w:rsidRPr="0022448B">
        <w:rPr>
          <w:lang w:val="en-GB"/>
        </w:rPr>
        <w:t xml:space="preserve">objective. It </w:t>
      </w:r>
      <w:r w:rsidR="008742D3" w:rsidRPr="0022448B">
        <w:rPr>
          <w:lang w:val="en-GB"/>
        </w:rPr>
        <w:t xml:space="preserve">would </w:t>
      </w:r>
      <w:r w:rsidR="00B461E3" w:rsidRPr="0022448B">
        <w:rPr>
          <w:lang w:val="en-GB"/>
        </w:rPr>
        <w:t xml:space="preserve">certainly be possible to dispense with monitoring compliance with this criterion, since the need for such monitoring is </w:t>
      </w:r>
      <w:r w:rsidR="008742D3" w:rsidRPr="0022448B">
        <w:rPr>
          <w:lang w:val="en-GB"/>
        </w:rPr>
        <w:t xml:space="preserve">clearly lacking. </w:t>
      </w:r>
      <w:r w:rsidR="00B82C81" w:rsidRPr="0022448B">
        <w:rPr>
          <w:lang w:val="en-GB"/>
        </w:rPr>
        <w:t xml:space="preserve">However, taken in isolation, the German decision can still </w:t>
      </w:r>
      <w:r w:rsidR="001C6410" w:rsidRPr="0022448B">
        <w:rPr>
          <w:lang w:val="en-GB"/>
        </w:rPr>
        <w:t>be</w:t>
      </w:r>
      <w:r w:rsidR="00B82C81" w:rsidRPr="0022448B">
        <w:rPr>
          <w:lang w:val="en-GB"/>
        </w:rPr>
        <w:t xml:space="preserve"> regarded as proportionate in </w:t>
      </w:r>
      <w:r w:rsidR="001C6410" w:rsidRPr="0022448B">
        <w:rPr>
          <w:lang w:val="en-GB"/>
        </w:rPr>
        <w:t xml:space="preserve">principle, since </w:t>
      </w:r>
      <w:r w:rsidR="00B82C81" w:rsidRPr="0022448B">
        <w:rPr>
          <w:lang w:val="en-GB"/>
        </w:rPr>
        <w:t xml:space="preserve">the closure of the </w:t>
      </w:r>
      <w:r w:rsidR="001C6410" w:rsidRPr="0022448B">
        <w:rPr>
          <w:lang w:val="en-GB"/>
        </w:rPr>
        <w:t xml:space="preserve">'small' border crossing points and the reintroduction of controls </w:t>
      </w:r>
      <w:r w:rsidR="00913086" w:rsidRPr="0022448B">
        <w:rPr>
          <w:lang w:val="en-GB"/>
        </w:rPr>
        <w:t xml:space="preserve">had </w:t>
      </w:r>
      <w:r w:rsidR="001C6410" w:rsidRPr="0022448B">
        <w:rPr>
          <w:lang w:val="en-GB"/>
        </w:rPr>
        <w:t xml:space="preserve">not prevented cross-border workers from moving. </w:t>
      </w:r>
      <w:r w:rsidRPr="0022448B">
        <w:rPr>
          <w:lang w:val="en-GB"/>
        </w:rPr>
        <w:t xml:space="preserve">This does not mean, however, that it is not possible that in a specific case the impossibility for a person to cross the German-Luxembourg border could not be deemed </w:t>
      </w:r>
      <w:r w:rsidR="002B6269">
        <w:rPr>
          <w:lang w:val="en-GB"/>
        </w:rPr>
        <w:t>disproportionately</w:t>
      </w:r>
      <w:r w:rsidRPr="0022448B">
        <w:rPr>
          <w:lang w:val="en-GB"/>
        </w:rPr>
        <w:t xml:space="preserve"> in that it constituted, for example, a disproportionate interference in the normal family life of </w:t>
      </w:r>
      <w:r w:rsidR="00CE4AEB" w:rsidRPr="0022448B">
        <w:rPr>
          <w:lang w:val="en-GB"/>
        </w:rPr>
        <w:t>family members residing on both sides of the border.</w:t>
      </w:r>
    </w:p>
    <w:p w14:paraId="232D3F34" w14:textId="5278C7A0" w:rsidR="005E3C8A" w:rsidRPr="0022448B" w:rsidRDefault="005E3C8A" w:rsidP="00C426D7">
      <w:pPr>
        <w:pStyle w:val="berschrift2"/>
        <w:rPr>
          <w:lang w:val="en-GB"/>
        </w:rPr>
      </w:pPr>
      <w:r w:rsidRPr="0022448B">
        <w:rPr>
          <w:lang w:val="en-GB"/>
        </w:rPr>
        <w:lastRenderedPageBreak/>
        <w:t xml:space="preserve">The </w:t>
      </w:r>
      <w:r w:rsidR="002B6269">
        <w:rPr>
          <w:lang w:val="en-GB"/>
        </w:rPr>
        <w:t>Adequacy</w:t>
      </w:r>
      <w:r w:rsidRPr="0022448B">
        <w:rPr>
          <w:lang w:val="en-GB"/>
        </w:rPr>
        <w:t xml:space="preserve"> of the </w:t>
      </w:r>
      <w:r w:rsidR="002B6269">
        <w:rPr>
          <w:lang w:val="en-GB"/>
        </w:rPr>
        <w:t>Reintroduction</w:t>
      </w:r>
      <w:r w:rsidRPr="0022448B">
        <w:rPr>
          <w:lang w:val="en-GB"/>
        </w:rPr>
        <w:t xml:space="preserve"> of </w:t>
      </w:r>
      <w:r w:rsidR="002B6269">
        <w:rPr>
          <w:lang w:val="en-GB"/>
        </w:rPr>
        <w:t>Controls</w:t>
      </w:r>
    </w:p>
    <w:p w14:paraId="592081AD" w14:textId="5CA7D89F" w:rsidR="00A53D77" w:rsidRPr="0022448B" w:rsidRDefault="00604CAD" w:rsidP="003A356D">
      <w:pPr>
        <w:rPr>
          <w:lang w:val="en-GB"/>
        </w:rPr>
      </w:pPr>
      <w:r w:rsidRPr="0022448B">
        <w:rPr>
          <w:lang w:val="en-GB"/>
        </w:rPr>
        <w:t xml:space="preserve">With regard to </w:t>
      </w:r>
      <w:r w:rsidR="005919A0" w:rsidRPr="0022448B">
        <w:rPr>
          <w:lang w:val="en-GB"/>
        </w:rPr>
        <w:t xml:space="preserve">national </w:t>
      </w:r>
      <w:r w:rsidR="00A53D77" w:rsidRPr="0022448B">
        <w:rPr>
          <w:lang w:val="en-GB"/>
        </w:rPr>
        <w:t>measures that constitute restrictions (obstacles) to the free movement of persons, the EC</w:t>
      </w:r>
      <w:r w:rsidR="00FC4E8B" w:rsidRPr="0022448B">
        <w:rPr>
          <w:lang w:val="en-GB"/>
        </w:rPr>
        <w:t>J</w:t>
      </w:r>
      <w:r w:rsidR="00A53D77" w:rsidRPr="0022448B">
        <w:rPr>
          <w:lang w:val="en-GB"/>
        </w:rPr>
        <w:t xml:space="preserve"> has </w:t>
      </w:r>
      <w:r w:rsidR="005919A0" w:rsidRPr="0022448B">
        <w:rPr>
          <w:lang w:val="en-GB"/>
        </w:rPr>
        <w:t xml:space="preserve">long </w:t>
      </w:r>
      <w:r w:rsidR="00A53D77" w:rsidRPr="0022448B">
        <w:rPr>
          <w:lang w:val="en-GB"/>
        </w:rPr>
        <w:t xml:space="preserve">applied </w:t>
      </w:r>
      <w:r w:rsidR="005919A0" w:rsidRPr="0022448B">
        <w:rPr>
          <w:lang w:val="en-GB"/>
        </w:rPr>
        <w:t>a test of their admissibility based on compliance with four criteria.</w:t>
      </w:r>
      <w:r w:rsidR="005919A0" w:rsidRPr="0022448B">
        <w:rPr>
          <w:rStyle w:val="Funotenzeichen"/>
          <w:lang w:val="en-GB"/>
        </w:rPr>
        <w:footnoteReference w:id="12"/>
      </w:r>
      <w:r w:rsidRPr="0022448B">
        <w:rPr>
          <w:lang w:val="en-GB"/>
        </w:rPr>
        <w:t xml:space="preserve"> </w:t>
      </w:r>
      <w:r w:rsidR="00913086" w:rsidRPr="0022448B">
        <w:rPr>
          <w:lang w:val="en-GB"/>
        </w:rPr>
        <w:t xml:space="preserve">Such </w:t>
      </w:r>
      <w:r w:rsidR="00CE4AEB" w:rsidRPr="0022448B">
        <w:rPr>
          <w:lang w:val="en-GB"/>
        </w:rPr>
        <w:t xml:space="preserve">obstacles must be non-discriminatory, justified by an overriding reason relating to the public interest, adequate and </w:t>
      </w:r>
      <w:r w:rsidR="00B521EC" w:rsidRPr="0022448B">
        <w:rPr>
          <w:lang w:val="en-GB"/>
        </w:rPr>
        <w:t xml:space="preserve">proportionate. </w:t>
      </w:r>
      <w:r w:rsidR="005919A0" w:rsidRPr="0022448B">
        <w:rPr>
          <w:lang w:val="en-GB"/>
        </w:rPr>
        <w:t xml:space="preserve">While the </w:t>
      </w:r>
      <w:r w:rsidR="00B31CA6" w:rsidRPr="0022448B">
        <w:rPr>
          <w:lang w:val="en-GB"/>
        </w:rPr>
        <w:t>SBC</w:t>
      </w:r>
      <w:r w:rsidR="005919A0" w:rsidRPr="0022448B">
        <w:rPr>
          <w:lang w:val="en-GB"/>
        </w:rPr>
        <w:t xml:space="preserve"> explicitly refers only to an assessment of necessity and proportionality</w:t>
      </w:r>
      <w:r w:rsidRPr="0022448B">
        <w:rPr>
          <w:lang w:val="en-GB"/>
        </w:rPr>
        <w:t xml:space="preserve">, it seems very likely that </w:t>
      </w:r>
      <w:r w:rsidR="00B521EC" w:rsidRPr="0022448B">
        <w:rPr>
          <w:lang w:val="en-GB"/>
        </w:rPr>
        <w:t>the</w:t>
      </w:r>
      <w:r w:rsidRPr="0022448B">
        <w:rPr>
          <w:lang w:val="en-GB"/>
        </w:rPr>
        <w:t xml:space="preserve"> Court will not neglect the criterion of </w:t>
      </w:r>
      <w:r w:rsidR="00B521EC" w:rsidRPr="0022448B">
        <w:rPr>
          <w:lang w:val="en-GB"/>
        </w:rPr>
        <w:t>adequacy</w:t>
      </w:r>
      <w:r w:rsidRPr="0022448B">
        <w:rPr>
          <w:lang w:val="en-GB"/>
        </w:rPr>
        <w:t>. It will thus verify whether the disputed measure was 'clean' or 'adequate' to achieve the desired objective.</w:t>
      </w:r>
    </w:p>
    <w:p w14:paraId="51215257" w14:textId="5E7FB232" w:rsidR="007661CF" w:rsidRPr="0022448B" w:rsidRDefault="00B521EC" w:rsidP="003A356D">
      <w:pPr>
        <w:rPr>
          <w:lang w:val="en-GB"/>
        </w:rPr>
      </w:pPr>
      <w:r w:rsidRPr="0022448B">
        <w:rPr>
          <w:lang w:val="en-GB"/>
        </w:rPr>
        <w:t xml:space="preserve">This raises the question of whether border </w:t>
      </w:r>
      <w:r w:rsidR="00683354" w:rsidRPr="0022448B">
        <w:rPr>
          <w:lang w:val="en-GB"/>
        </w:rPr>
        <w:t xml:space="preserve">controls </w:t>
      </w:r>
      <w:r w:rsidR="001050D3" w:rsidRPr="0022448B">
        <w:rPr>
          <w:lang w:val="en-GB"/>
        </w:rPr>
        <w:t xml:space="preserve">by </w:t>
      </w:r>
      <w:r w:rsidR="00683354" w:rsidRPr="0022448B">
        <w:rPr>
          <w:lang w:val="en-GB"/>
        </w:rPr>
        <w:t xml:space="preserve">heavily armed </w:t>
      </w:r>
      <w:r w:rsidRPr="0022448B">
        <w:rPr>
          <w:lang w:val="en-GB"/>
        </w:rPr>
        <w:t xml:space="preserve">federal </w:t>
      </w:r>
      <w:r w:rsidR="00683354" w:rsidRPr="0022448B">
        <w:rPr>
          <w:lang w:val="en-GB"/>
        </w:rPr>
        <w:t xml:space="preserve">police officers prevent the virus from spreading and </w:t>
      </w:r>
      <w:r w:rsidR="001050D3" w:rsidRPr="0022448B">
        <w:rPr>
          <w:lang w:val="en-GB"/>
        </w:rPr>
        <w:t xml:space="preserve">thus </w:t>
      </w:r>
      <w:r w:rsidR="004B75F3" w:rsidRPr="0022448B">
        <w:rPr>
          <w:lang w:val="en-GB"/>
        </w:rPr>
        <w:t>containing the pandemic</w:t>
      </w:r>
      <w:r w:rsidRPr="0022448B">
        <w:rPr>
          <w:lang w:val="en-GB"/>
        </w:rPr>
        <w:t xml:space="preserve">. </w:t>
      </w:r>
      <w:r w:rsidR="001050D3" w:rsidRPr="0022448B">
        <w:rPr>
          <w:lang w:val="en-GB"/>
        </w:rPr>
        <w:t>The answer can only be negative.</w:t>
      </w:r>
    </w:p>
    <w:p w14:paraId="0EC6C344" w14:textId="31037589" w:rsidR="00C426D7" w:rsidRPr="0022448B" w:rsidRDefault="001050D3" w:rsidP="003A356D">
      <w:pPr>
        <w:rPr>
          <w:lang w:val="en-GB"/>
        </w:rPr>
      </w:pPr>
      <w:r w:rsidRPr="0022448B">
        <w:rPr>
          <w:lang w:val="en-GB"/>
        </w:rPr>
        <w:t xml:space="preserve">Having undergone these controls </w:t>
      </w:r>
      <w:r w:rsidR="00B15040">
        <w:rPr>
          <w:lang w:val="en-GB"/>
        </w:rPr>
        <w:t>me</w:t>
      </w:r>
      <w:r w:rsidRPr="0022448B">
        <w:rPr>
          <w:lang w:val="en-GB"/>
        </w:rPr>
        <w:t xml:space="preserve"> for two </w:t>
      </w:r>
      <w:r w:rsidR="00B15040">
        <w:rPr>
          <w:lang w:val="en-GB"/>
        </w:rPr>
        <w:t>months,</w:t>
      </w:r>
      <w:r w:rsidRPr="0022448B">
        <w:rPr>
          <w:lang w:val="en-GB"/>
        </w:rPr>
        <w:t xml:space="preserve"> </w:t>
      </w:r>
      <w:r w:rsidR="0064335E" w:rsidRPr="0022448B">
        <w:rPr>
          <w:lang w:val="en-GB"/>
        </w:rPr>
        <w:t xml:space="preserve">I can attest to the fact that no health </w:t>
      </w:r>
      <w:r w:rsidR="00C426D7" w:rsidRPr="0022448B">
        <w:rPr>
          <w:lang w:val="en-GB"/>
        </w:rPr>
        <w:t>tests were carried out during these controls</w:t>
      </w:r>
      <w:r w:rsidR="0064335E" w:rsidRPr="0022448B">
        <w:rPr>
          <w:lang w:val="en-GB"/>
        </w:rPr>
        <w:t>. The police merely checked the identity documents and certificates issued to frontier workers by their employers.</w:t>
      </w:r>
    </w:p>
    <w:p w14:paraId="6E7F446F" w14:textId="473C18C7" w:rsidR="00DF7D21" w:rsidRPr="0022448B" w:rsidRDefault="0020731F" w:rsidP="003A356D">
      <w:pPr>
        <w:rPr>
          <w:lang w:val="en-GB"/>
        </w:rPr>
      </w:pPr>
      <w:r w:rsidRPr="0022448B">
        <w:rPr>
          <w:lang w:val="en-GB"/>
        </w:rPr>
        <w:t xml:space="preserve">The </w:t>
      </w:r>
      <w:r w:rsidR="00D043A2" w:rsidRPr="0022448B">
        <w:rPr>
          <w:lang w:val="en-GB"/>
        </w:rPr>
        <w:t xml:space="preserve">introduction of border controls </w:t>
      </w:r>
      <w:r w:rsidRPr="0022448B">
        <w:rPr>
          <w:lang w:val="en-GB"/>
        </w:rPr>
        <w:t xml:space="preserve">has not prevented the </w:t>
      </w:r>
      <w:r w:rsidR="00D043A2" w:rsidRPr="0022448B">
        <w:rPr>
          <w:lang w:val="en-GB"/>
        </w:rPr>
        <w:t xml:space="preserve">virus </w:t>
      </w:r>
      <w:r w:rsidRPr="0022448B">
        <w:rPr>
          <w:lang w:val="en-GB"/>
        </w:rPr>
        <w:t xml:space="preserve">from circulating. This was never the objective. It was </w:t>
      </w:r>
      <w:r w:rsidR="00D043A2" w:rsidRPr="0022448B">
        <w:rPr>
          <w:lang w:val="en-GB"/>
        </w:rPr>
        <w:t xml:space="preserve">more a means for </w:t>
      </w:r>
      <w:r w:rsidRPr="0022448B">
        <w:rPr>
          <w:lang w:val="en-GB"/>
        </w:rPr>
        <w:t>public</w:t>
      </w:r>
      <w:r w:rsidR="0081692E" w:rsidRPr="0022448B">
        <w:rPr>
          <w:lang w:val="en-GB"/>
        </w:rPr>
        <w:t xml:space="preserve"> authorities to show the public that they were acting</w:t>
      </w:r>
      <w:r w:rsidRPr="0022448B">
        <w:rPr>
          <w:lang w:val="en-GB"/>
        </w:rPr>
        <w:t xml:space="preserve">. It was pure political </w:t>
      </w:r>
      <w:proofErr w:type="spellStart"/>
      <w:r w:rsidR="0081692E" w:rsidRPr="0022448B">
        <w:rPr>
          <w:lang w:val="en-GB"/>
        </w:rPr>
        <w:t>actionism</w:t>
      </w:r>
      <w:proofErr w:type="spellEnd"/>
      <w:r w:rsidR="0081692E" w:rsidRPr="0022448B">
        <w:rPr>
          <w:lang w:val="en-GB"/>
        </w:rPr>
        <w:t xml:space="preserve">. </w:t>
      </w:r>
      <w:r w:rsidR="002B6A5B" w:rsidRPr="0022448B">
        <w:rPr>
          <w:lang w:val="en-GB"/>
        </w:rPr>
        <w:t xml:space="preserve">The exceptions </w:t>
      </w:r>
      <w:r w:rsidR="007258C1" w:rsidRPr="0022448B">
        <w:rPr>
          <w:lang w:val="en-GB"/>
        </w:rPr>
        <w:t xml:space="preserve">allowed for </w:t>
      </w:r>
      <w:r w:rsidR="00DF7D21" w:rsidRPr="0022448B">
        <w:rPr>
          <w:lang w:val="en-GB"/>
        </w:rPr>
        <w:t xml:space="preserve">border </w:t>
      </w:r>
      <w:r w:rsidR="007258C1" w:rsidRPr="0022448B">
        <w:rPr>
          <w:lang w:val="en-GB"/>
        </w:rPr>
        <w:t xml:space="preserve">workers, of whom there were </w:t>
      </w:r>
      <w:r w:rsidR="006153E7" w:rsidRPr="0022448B">
        <w:rPr>
          <w:lang w:val="en-GB"/>
        </w:rPr>
        <w:t xml:space="preserve">about 50,000, </w:t>
      </w:r>
      <w:r w:rsidR="007258C1" w:rsidRPr="0022448B">
        <w:rPr>
          <w:lang w:val="en-GB"/>
        </w:rPr>
        <w:t>and for freight transporters also show that significant flows of people were still crossing the border every day.</w:t>
      </w:r>
    </w:p>
    <w:p w14:paraId="5E62C944" w14:textId="60FAE7A7" w:rsidR="00DF7D21" w:rsidRPr="0022448B" w:rsidRDefault="00AF6B61" w:rsidP="003A356D">
      <w:pPr>
        <w:rPr>
          <w:lang w:val="en-GB"/>
        </w:rPr>
      </w:pPr>
      <w:r w:rsidRPr="0022448B">
        <w:rPr>
          <w:lang w:val="en-GB"/>
        </w:rPr>
        <w:t xml:space="preserve">During the </w:t>
      </w:r>
      <w:r w:rsidR="002B6A5B" w:rsidRPr="0022448B">
        <w:rPr>
          <w:lang w:val="en-GB"/>
        </w:rPr>
        <w:t xml:space="preserve">second wave of the </w:t>
      </w:r>
      <w:r w:rsidR="00913086" w:rsidRPr="0022448B">
        <w:rPr>
          <w:lang w:val="en-GB"/>
        </w:rPr>
        <w:t xml:space="preserve">pandemic, </w:t>
      </w:r>
      <w:r w:rsidR="002B6A5B" w:rsidRPr="0022448B">
        <w:rPr>
          <w:lang w:val="en-GB"/>
        </w:rPr>
        <w:t xml:space="preserve">all German actors also </w:t>
      </w:r>
      <w:r w:rsidRPr="0022448B">
        <w:rPr>
          <w:lang w:val="en-GB"/>
        </w:rPr>
        <w:t xml:space="preserve">ruled out any </w:t>
      </w:r>
      <w:r w:rsidR="007258C1" w:rsidRPr="0022448B">
        <w:rPr>
          <w:lang w:val="en-GB"/>
        </w:rPr>
        <w:t xml:space="preserve">further </w:t>
      </w:r>
      <w:r w:rsidR="002B6A5B" w:rsidRPr="0022448B">
        <w:rPr>
          <w:lang w:val="en-GB"/>
        </w:rPr>
        <w:t xml:space="preserve">recourse to border controls from the </w:t>
      </w:r>
      <w:r w:rsidR="007258C1" w:rsidRPr="0022448B">
        <w:rPr>
          <w:lang w:val="en-GB"/>
        </w:rPr>
        <w:t xml:space="preserve">outset, </w:t>
      </w:r>
      <w:r w:rsidRPr="0022448B">
        <w:rPr>
          <w:lang w:val="en-GB"/>
        </w:rPr>
        <w:t>which proved to be ineffective and unnecessary.</w:t>
      </w:r>
    </w:p>
    <w:p w14:paraId="03C89F22" w14:textId="77777777" w:rsidR="005E3C8A" w:rsidRPr="0022448B" w:rsidRDefault="005E3C8A" w:rsidP="00C426D7">
      <w:pPr>
        <w:pStyle w:val="berschrift2"/>
        <w:rPr>
          <w:lang w:val="en-GB"/>
        </w:rPr>
      </w:pPr>
      <w:r w:rsidRPr="0022448B">
        <w:rPr>
          <w:lang w:val="en-GB"/>
        </w:rPr>
        <w:t>Formal requirements</w:t>
      </w:r>
    </w:p>
    <w:p w14:paraId="669B07BB" w14:textId="737854DF" w:rsidR="0007610F" w:rsidRPr="0022448B" w:rsidRDefault="00C426D7" w:rsidP="0007610F">
      <w:pPr>
        <w:pStyle w:val="Textkrper"/>
        <w:rPr>
          <w:lang w:val="en-GB"/>
        </w:rPr>
      </w:pPr>
      <w:r w:rsidRPr="0022448B">
        <w:rPr>
          <w:lang w:val="en-GB"/>
        </w:rPr>
        <w:t xml:space="preserve">The formal requirements for </w:t>
      </w:r>
      <w:r w:rsidR="00BD2F35" w:rsidRPr="0022448B">
        <w:rPr>
          <w:lang w:val="en-GB"/>
        </w:rPr>
        <w:t xml:space="preserve">a national decision to immediately reintroduce internal border controls are based on a combined reading of </w:t>
      </w:r>
      <w:r w:rsidR="002B6269">
        <w:rPr>
          <w:lang w:val="en-GB"/>
        </w:rPr>
        <w:t>articles </w:t>
      </w:r>
      <w:r w:rsidR="00BD2F35" w:rsidRPr="0022448B">
        <w:rPr>
          <w:lang w:val="en-GB"/>
        </w:rPr>
        <w:t xml:space="preserve">27 and 28 </w:t>
      </w:r>
      <w:r w:rsidR="00B31CA6" w:rsidRPr="0022448B">
        <w:rPr>
          <w:lang w:val="en-GB"/>
        </w:rPr>
        <w:t>SBC</w:t>
      </w:r>
      <w:r w:rsidR="00BD2F35" w:rsidRPr="0022448B">
        <w:rPr>
          <w:lang w:val="en-GB"/>
        </w:rPr>
        <w:t xml:space="preserve">. </w:t>
      </w:r>
      <w:r w:rsidR="00191360" w:rsidRPr="0022448B">
        <w:rPr>
          <w:lang w:val="en-GB"/>
        </w:rPr>
        <w:t xml:space="preserve">When a </w:t>
      </w:r>
      <w:r w:rsidR="00191360" w:rsidRPr="0022448B">
        <w:rPr>
          <w:lang w:val="en-GB"/>
        </w:rPr>
        <w:lastRenderedPageBreak/>
        <w:t xml:space="preserve">Member State </w:t>
      </w:r>
      <w:r w:rsidR="0007610F" w:rsidRPr="0022448B">
        <w:rPr>
          <w:lang w:val="en-GB"/>
        </w:rPr>
        <w:t xml:space="preserve">immediately </w:t>
      </w:r>
      <w:r w:rsidR="00191360" w:rsidRPr="0022448B">
        <w:rPr>
          <w:lang w:val="en-GB"/>
        </w:rPr>
        <w:t xml:space="preserve">reintroduces checks at its internal borders, it must notify this fact </w:t>
      </w:r>
      <w:r w:rsidR="00E127D2" w:rsidRPr="0022448B">
        <w:rPr>
          <w:lang w:val="en-GB"/>
        </w:rPr>
        <w:t>“</w:t>
      </w:r>
      <w:r w:rsidR="00191360" w:rsidRPr="0022448B">
        <w:rPr>
          <w:lang w:val="en-GB"/>
        </w:rPr>
        <w:t>simultaneously to the other Member States and the Commission</w:t>
      </w:r>
      <w:r w:rsidR="00E127D2" w:rsidRPr="0022448B">
        <w:rPr>
          <w:lang w:val="en-GB"/>
        </w:rPr>
        <w:t>”</w:t>
      </w:r>
      <w:r w:rsidR="0007610F" w:rsidRPr="0022448B">
        <w:rPr>
          <w:lang w:val="en-GB"/>
        </w:rPr>
        <w:t xml:space="preserve">. In addition, </w:t>
      </w:r>
      <w:r w:rsidR="00191360" w:rsidRPr="0022448B">
        <w:rPr>
          <w:lang w:val="en-GB"/>
        </w:rPr>
        <w:t>it must communicate the information referred to in Article</w:t>
      </w:r>
      <w:r w:rsidR="002B6269">
        <w:rPr>
          <w:lang w:val="en-GB"/>
        </w:rPr>
        <w:t> </w:t>
      </w:r>
      <w:r w:rsidR="00191360" w:rsidRPr="0022448B">
        <w:rPr>
          <w:lang w:val="en-GB"/>
        </w:rPr>
        <w:t xml:space="preserve">27 </w:t>
      </w:r>
      <w:r w:rsidR="0007610F" w:rsidRPr="0022448B">
        <w:rPr>
          <w:lang w:val="en-GB"/>
        </w:rPr>
        <w:t>(</w:t>
      </w:r>
      <w:r w:rsidR="00191360" w:rsidRPr="0022448B">
        <w:rPr>
          <w:lang w:val="en-GB"/>
        </w:rPr>
        <w:t>1</w:t>
      </w:r>
      <w:r w:rsidR="0007610F" w:rsidRPr="0022448B">
        <w:rPr>
          <w:lang w:val="en-GB"/>
        </w:rPr>
        <w:t xml:space="preserve">), including the </w:t>
      </w:r>
      <w:r w:rsidR="00191360" w:rsidRPr="0022448B">
        <w:rPr>
          <w:lang w:val="en-GB"/>
        </w:rPr>
        <w:t>reasons justifying recourse to the special procedure of Article</w:t>
      </w:r>
      <w:r w:rsidR="002B6269">
        <w:rPr>
          <w:lang w:val="en-GB"/>
        </w:rPr>
        <w:t> </w:t>
      </w:r>
      <w:r w:rsidR="00191360" w:rsidRPr="0022448B">
        <w:rPr>
          <w:lang w:val="en-GB"/>
        </w:rPr>
        <w:t>28.</w:t>
      </w:r>
    </w:p>
    <w:p w14:paraId="3A6A758B" w14:textId="60A6B0BE" w:rsidR="0007610F" w:rsidRPr="0022448B" w:rsidRDefault="0007610F" w:rsidP="0007610F">
      <w:pPr>
        <w:pStyle w:val="Textkrper"/>
        <w:rPr>
          <w:lang w:val="en-GB"/>
        </w:rPr>
      </w:pPr>
      <w:r w:rsidRPr="0022448B">
        <w:rPr>
          <w:lang w:val="en-GB"/>
        </w:rPr>
        <w:t xml:space="preserve">The notification may therefore </w:t>
      </w:r>
      <w:r w:rsidR="00E127D2" w:rsidRPr="0022448B">
        <w:rPr>
          <w:lang w:val="en-GB"/>
        </w:rPr>
        <w:t>“</w:t>
      </w:r>
      <w:r w:rsidRPr="0022448B">
        <w:rPr>
          <w:lang w:val="en-GB"/>
        </w:rPr>
        <w:t>exceptionally</w:t>
      </w:r>
      <w:r w:rsidR="00E127D2" w:rsidRPr="0022448B">
        <w:rPr>
          <w:lang w:val="en-GB"/>
        </w:rPr>
        <w:t>”</w:t>
      </w:r>
      <w:r w:rsidRPr="0022448B">
        <w:rPr>
          <w:lang w:val="en-GB"/>
        </w:rPr>
        <w:t xml:space="preserve"> be </w:t>
      </w:r>
      <w:r w:rsidR="00DF7D21" w:rsidRPr="0022448B">
        <w:rPr>
          <w:lang w:val="en-GB"/>
        </w:rPr>
        <w:t xml:space="preserve">concomitant with the </w:t>
      </w:r>
      <w:r w:rsidRPr="0022448B">
        <w:rPr>
          <w:lang w:val="en-GB"/>
        </w:rPr>
        <w:t xml:space="preserve">reintroduction of checks </w:t>
      </w:r>
      <w:r w:rsidR="00E127D2" w:rsidRPr="0022448B">
        <w:rPr>
          <w:lang w:val="en-GB"/>
        </w:rPr>
        <w:t>“</w:t>
      </w:r>
      <w:r w:rsidRPr="0022448B">
        <w:rPr>
          <w:lang w:val="en-GB"/>
        </w:rPr>
        <w:t>where a serious threat to public policy or to the internal security of a Member State requires immediate action</w:t>
      </w:r>
      <w:r w:rsidR="00E127D2" w:rsidRPr="0022448B">
        <w:rPr>
          <w:lang w:val="en-GB"/>
        </w:rPr>
        <w:t>”</w:t>
      </w:r>
      <w:r w:rsidRPr="0022448B">
        <w:rPr>
          <w:lang w:val="en-GB"/>
        </w:rPr>
        <w:t xml:space="preserve"> by that Member State. It should be stressed that</w:t>
      </w:r>
      <w:r w:rsidR="001A4CB3" w:rsidRPr="0022448B">
        <w:rPr>
          <w:lang w:val="en-GB"/>
        </w:rPr>
        <w:t xml:space="preserve">, </w:t>
      </w:r>
      <w:r w:rsidR="00177495" w:rsidRPr="0022448B">
        <w:rPr>
          <w:lang w:val="en-GB"/>
        </w:rPr>
        <w:t xml:space="preserve">under the </w:t>
      </w:r>
      <w:r w:rsidR="00B31CA6" w:rsidRPr="0022448B">
        <w:rPr>
          <w:lang w:val="en-GB"/>
        </w:rPr>
        <w:t>SBC</w:t>
      </w:r>
      <w:r w:rsidR="001A4CB3" w:rsidRPr="0022448B">
        <w:rPr>
          <w:lang w:val="en-GB"/>
        </w:rPr>
        <w:t xml:space="preserve">, </w:t>
      </w:r>
      <w:r w:rsidRPr="0022448B">
        <w:rPr>
          <w:lang w:val="en-GB"/>
        </w:rPr>
        <w:t xml:space="preserve">this possibility constitutes an exception to </w:t>
      </w:r>
      <w:r w:rsidR="00177495" w:rsidRPr="0022448B">
        <w:rPr>
          <w:lang w:val="en-GB"/>
        </w:rPr>
        <w:t>the Member State</w:t>
      </w:r>
      <w:r w:rsidR="002B6269">
        <w:rPr>
          <w:lang w:val="en-GB"/>
        </w:rPr>
        <w:t>’</w:t>
      </w:r>
      <w:r w:rsidR="00177495" w:rsidRPr="0022448B">
        <w:rPr>
          <w:lang w:val="en-GB"/>
        </w:rPr>
        <w:t xml:space="preserve">s </w:t>
      </w:r>
      <w:r w:rsidR="001A4CB3" w:rsidRPr="0022448B">
        <w:rPr>
          <w:lang w:val="en-GB"/>
        </w:rPr>
        <w:t xml:space="preserve">'right' to </w:t>
      </w:r>
      <w:r w:rsidR="00177495" w:rsidRPr="0022448B">
        <w:rPr>
          <w:lang w:val="en-GB"/>
        </w:rPr>
        <w:t xml:space="preserve">reintroduce checks, which itself should </w:t>
      </w:r>
      <w:r w:rsidR="001A4CB3" w:rsidRPr="0022448B">
        <w:rPr>
          <w:lang w:val="en-GB"/>
        </w:rPr>
        <w:t xml:space="preserve">only </w:t>
      </w:r>
      <w:r w:rsidR="00177495" w:rsidRPr="0022448B">
        <w:rPr>
          <w:lang w:val="en-GB"/>
        </w:rPr>
        <w:t xml:space="preserve">be </w:t>
      </w:r>
      <w:r w:rsidR="001A4CB3" w:rsidRPr="0022448B">
        <w:rPr>
          <w:lang w:val="en-GB"/>
        </w:rPr>
        <w:t>exercised in exceptional cases. It follows that the justification required under Article</w:t>
      </w:r>
      <w:r w:rsidR="002B6269">
        <w:rPr>
          <w:lang w:val="en-GB"/>
        </w:rPr>
        <w:t> </w:t>
      </w:r>
      <w:r w:rsidR="001A4CB3" w:rsidRPr="0022448B">
        <w:rPr>
          <w:lang w:val="en-GB"/>
        </w:rPr>
        <w:t>28 goes far beyond the justification required under Article</w:t>
      </w:r>
      <w:r w:rsidR="002B6269">
        <w:rPr>
          <w:lang w:val="en-GB"/>
        </w:rPr>
        <w:t> </w:t>
      </w:r>
      <w:r w:rsidR="001A4CB3" w:rsidRPr="0022448B">
        <w:rPr>
          <w:lang w:val="en-GB"/>
        </w:rPr>
        <w:t xml:space="preserve">25. </w:t>
      </w:r>
    </w:p>
    <w:p w14:paraId="428D98DE" w14:textId="2F3F6670" w:rsidR="005E3C8A" w:rsidRPr="0022448B" w:rsidRDefault="001A4CB3" w:rsidP="003A356D">
      <w:pPr>
        <w:rPr>
          <w:lang w:val="en-GB"/>
        </w:rPr>
      </w:pPr>
      <w:r w:rsidRPr="0022448B">
        <w:rPr>
          <w:lang w:val="en-GB"/>
        </w:rPr>
        <w:t>In any event, it could be argued that the duty of loyal cooperation between Member States and the institutions of the Union, which is incumbent on Member States under Article</w:t>
      </w:r>
      <w:r w:rsidR="002B6269">
        <w:rPr>
          <w:lang w:val="en-GB"/>
        </w:rPr>
        <w:t> </w:t>
      </w:r>
      <w:r w:rsidRPr="0022448B">
        <w:rPr>
          <w:lang w:val="en-GB"/>
        </w:rPr>
        <w:t xml:space="preserve">4 (3) TEU, </w:t>
      </w:r>
      <w:r w:rsidR="00F75A05" w:rsidRPr="0022448B">
        <w:rPr>
          <w:lang w:val="en-GB"/>
        </w:rPr>
        <w:t xml:space="preserve">applies in this matter and should lead governments to give </w:t>
      </w:r>
      <w:r w:rsidR="00BF6CD4" w:rsidRPr="0022448B">
        <w:rPr>
          <w:lang w:val="en-GB"/>
        </w:rPr>
        <w:t xml:space="preserve">prior </w:t>
      </w:r>
      <w:r w:rsidR="00F75A05" w:rsidRPr="0022448B">
        <w:rPr>
          <w:lang w:val="en-GB"/>
        </w:rPr>
        <w:t xml:space="preserve">notification as early as possible to </w:t>
      </w:r>
      <w:r w:rsidR="00DF7D21" w:rsidRPr="0022448B">
        <w:rPr>
          <w:lang w:val="en-GB"/>
        </w:rPr>
        <w:t xml:space="preserve">enable neighbouring countries to adapt to </w:t>
      </w:r>
      <w:r w:rsidR="00F75A05" w:rsidRPr="0022448B">
        <w:rPr>
          <w:lang w:val="en-GB"/>
        </w:rPr>
        <w:t>the situation.</w:t>
      </w:r>
    </w:p>
    <w:p w14:paraId="4D2E5B5B" w14:textId="087D57BC" w:rsidR="00BF6CD4" w:rsidRPr="0022448B" w:rsidRDefault="00823E88" w:rsidP="003A356D">
      <w:pPr>
        <w:rPr>
          <w:lang w:val="en-GB"/>
        </w:rPr>
      </w:pPr>
      <w:r w:rsidRPr="0022448B">
        <w:rPr>
          <w:lang w:val="en-GB"/>
        </w:rPr>
        <w:t xml:space="preserve">Furthermore, it </w:t>
      </w:r>
      <w:r w:rsidR="00F75A05" w:rsidRPr="0022448B">
        <w:rPr>
          <w:lang w:val="en-GB"/>
        </w:rPr>
        <w:t xml:space="preserve">is questionable whether </w:t>
      </w:r>
      <w:r w:rsidRPr="0022448B">
        <w:rPr>
          <w:lang w:val="en-GB"/>
        </w:rPr>
        <w:t xml:space="preserve">this notification, which is addressed only to the Commission and the other Member States, should not be published so that it </w:t>
      </w:r>
      <w:r w:rsidR="009D121A" w:rsidRPr="0022448B">
        <w:rPr>
          <w:lang w:val="en-GB"/>
        </w:rPr>
        <w:t xml:space="preserve">can subsequently be used to assess compliance with the conditions laid down in the SFC for </w:t>
      </w:r>
      <w:r w:rsidR="00090F88" w:rsidRPr="0022448B">
        <w:rPr>
          <w:lang w:val="en-GB"/>
        </w:rPr>
        <w:t xml:space="preserve">effective judicial review within the meaning of </w:t>
      </w:r>
      <w:r w:rsidR="002B6269">
        <w:rPr>
          <w:lang w:val="en-GB"/>
        </w:rPr>
        <w:t>articles </w:t>
      </w:r>
      <w:r w:rsidR="00090F88" w:rsidRPr="0022448B">
        <w:rPr>
          <w:lang w:val="en-GB"/>
        </w:rPr>
        <w:t xml:space="preserve">19 TEU and 47 </w:t>
      </w:r>
      <w:r w:rsidRPr="0022448B">
        <w:rPr>
          <w:lang w:val="en-GB"/>
        </w:rPr>
        <w:t>of the Charter of Fundamental Rights of the European Union (</w:t>
      </w:r>
      <w:r w:rsidR="00FC4E8B" w:rsidRPr="0022448B">
        <w:rPr>
          <w:lang w:val="en-GB"/>
        </w:rPr>
        <w:t>EU</w:t>
      </w:r>
      <w:r w:rsidR="00090F88" w:rsidRPr="0022448B">
        <w:rPr>
          <w:lang w:val="en-GB"/>
        </w:rPr>
        <w:t>CF</w:t>
      </w:r>
      <w:r w:rsidR="00FC4E8B" w:rsidRPr="0022448B">
        <w:rPr>
          <w:lang w:val="en-GB"/>
        </w:rPr>
        <w:t>R</w:t>
      </w:r>
      <w:r w:rsidRPr="0022448B">
        <w:rPr>
          <w:lang w:val="en-GB"/>
        </w:rPr>
        <w:t xml:space="preserve">). </w:t>
      </w:r>
      <w:r w:rsidR="006518AA" w:rsidRPr="0022448B">
        <w:rPr>
          <w:lang w:val="en-GB"/>
        </w:rPr>
        <w:t xml:space="preserve">This is, after all, a measure which places a significant restriction on the free movement of persons </w:t>
      </w:r>
      <w:r w:rsidR="00913086" w:rsidRPr="0022448B">
        <w:rPr>
          <w:lang w:val="en-GB"/>
        </w:rPr>
        <w:t xml:space="preserve">guaranteed by the </w:t>
      </w:r>
      <w:r w:rsidR="006518AA" w:rsidRPr="0022448B">
        <w:rPr>
          <w:lang w:val="en-GB"/>
        </w:rPr>
        <w:t>Treaties and the Charter.</w:t>
      </w:r>
    </w:p>
    <w:p w14:paraId="1D34A0EA" w14:textId="77777777" w:rsidR="00E34FF6" w:rsidRPr="0022448B" w:rsidRDefault="00E34FF6" w:rsidP="00C426D7">
      <w:pPr>
        <w:pStyle w:val="berschrift2"/>
        <w:rPr>
          <w:lang w:val="en-GB"/>
        </w:rPr>
      </w:pPr>
      <w:r w:rsidRPr="0022448B">
        <w:rPr>
          <w:lang w:val="en-GB"/>
        </w:rPr>
        <w:t>The restriction on the free movement of Union citizens</w:t>
      </w:r>
    </w:p>
    <w:p w14:paraId="070DF13A" w14:textId="3ECAEBF5" w:rsidR="00E34FF6" w:rsidRPr="0022448B" w:rsidRDefault="00DF7D21" w:rsidP="00A829C5">
      <w:pPr>
        <w:pStyle w:val="Textkrper"/>
        <w:rPr>
          <w:lang w:val="en-GB"/>
        </w:rPr>
      </w:pPr>
      <w:r w:rsidRPr="0022448B">
        <w:rPr>
          <w:lang w:val="en-GB"/>
        </w:rPr>
        <w:t>According to paragraph</w:t>
      </w:r>
      <w:r w:rsidR="002B6269">
        <w:rPr>
          <w:lang w:val="en-GB"/>
        </w:rPr>
        <w:t> </w:t>
      </w:r>
      <w:r w:rsidRPr="0022448B">
        <w:rPr>
          <w:lang w:val="en-GB"/>
        </w:rPr>
        <w:t xml:space="preserve">27 of the </w:t>
      </w:r>
      <w:r w:rsidR="003676C6" w:rsidRPr="0022448B">
        <w:rPr>
          <w:lang w:val="en-GB"/>
        </w:rPr>
        <w:t xml:space="preserve">preamble of </w:t>
      </w:r>
      <w:r w:rsidRPr="0022448B">
        <w:rPr>
          <w:lang w:val="en-GB"/>
        </w:rPr>
        <w:t xml:space="preserve">the </w:t>
      </w:r>
      <w:r w:rsidR="00B31CA6" w:rsidRPr="0022448B">
        <w:rPr>
          <w:lang w:val="en-GB"/>
        </w:rPr>
        <w:t>SBC</w:t>
      </w:r>
      <w:r w:rsidR="003676C6" w:rsidRPr="0022448B">
        <w:rPr>
          <w:lang w:val="en-GB"/>
        </w:rPr>
        <w:t xml:space="preserve"> </w:t>
      </w:r>
      <w:r w:rsidR="0056604E" w:rsidRPr="0022448B">
        <w:rPr>
          <w:lang w:val="en-GB"/>
        </w:rPr>
        <w:t>“</w:t>
      </w:r>
      <w:r w:rsidR="00FE3B0B" w:rsidRPr="0022448B">
        <w:rPr>
          <w:lang w:val="en-GB"/>
        </w:rPr>
        <w:t xml:space="preserve">in </w:t>
      </w:r>
      <w:r w:rsidR="003676C6" w:rsidRPr="0022448B">
        <w:rPr>
          <w:lang w:val="en-GB"/>
        </w:rPr>
        <w:t xml:space="preserve">accordance with the case law of the Court of Justice of the European Union, any derogation from the fundamental principle of the free movement of persons must be interpreted restrictively and the concept of public policy presupposes the existence of a real, present and sufficiently serious threat </w:t>
      </w:r>
      <w:r w:rsidR="00B15040">
        <w:rPr>
          <w:lang w:val="en-GB"/>
        </w:rPr>
        <w:t>to affect</w:t>
      </w:r>
      <w:r w:rsidR="003676C6" w:rsidRPr="0022448B">
        <w:rPr>
          <w:lang w:val="en-GB"/>
        </w:rPr>
        <w:t xml:space="preserve"> one of the fundamental interests of society</w:t>
      </w:r>
      <w:r w:rsidR="0056604E" w:rsidRPr="0022448B">
        <w:rPr>
          <w:lang w:val="en-GB"/>
        </w:rPr>
        <w:t>”</w:t>
      </w:r>
      <w:r w:rsidR="003676C6" w:rsidRPr="0022448B">
        <w:rPr>
          <w:lang w:val="en-GB"/>
        </w:rPr>
        <w:t xml:space="preserve">. </w:t>
      </w:r>
    </w:p>
    <w:p w14:paraId="3CEBE4BC" w14:textId="5BBD724C" w:rsidR="003676C6" w:rsidRPr="0022448B" w:rsidRDefault="00233BD1" w:rsidP="00A829C5">
      <w:pPr>
        <w:pStyle w:val="Textkrper"/>
        <w:rPr>
          <w:lang w:val="en-GB"/>
        </w:rPr>
      </w:pPr>
      <w:r w:rsidRPr="0022448B">
        <w:rPr>
          <w:lang w:val="en-GB"/>
        </w:rPr>
        <w:t xml:space="preserve">It is easy to understand that the </w:t>
      </w:r>
      <w:r w:rsidR="001D30BF" w:rsidRPr="0022448B">
        <w:rPr>
          <w:lang w:val="en-GB"/>
        </w:rPr>
        <w:t>notion of public order can include that of public health</w:t>
      </w:r>
      <w:r w:rsidRPr="0022448B">
        <w:rPr>
          <w:lang w:val="en-GB"/>
        </w:rPr>
        <w:t>. Other texts of Union law thus refer to the triptych of public order, public safety and public health.</w:t>
      </w:r>
    </w:p>
    <w:p w14:paraId="46274AE9" w14:textId="1E9A8E58" w:rsidR="00560EC4" w:rsidRPr="0022448B" w:rsidRDefault="00560EC4" w:rsidP="00A829C5">
      <w:pPr>
        <w:pStyle w:val="Textkrper"/>
        <w:rPr>
          <w:lang w:val="en-GB" w:eastAsia="en-US"/>
        </w:rPr>
      </w:pPr>
      <w:r w:rsidRPr="0022448B">
        <w:rPr>
          <w:lang w:val="en-GB" w:eastAsia="en-US"/>
        </w:rPr>
        <w:lastRenderedPageBreak/>
        <w:t>Despite the European Commission</w:t>
      </w:r>
      <w:r w:rsidR="002B6269">
        <w:rPr>
          <w:lang w:val="en-GB" w:eastAsia="en-US"/>
        </w:rPr>
        <w:t>’</w:t>
      </w:r>
      <w:r w:rsidRPr="0022448B">
        <w:rPr>
          <w:lang w:val="en-GB" w:eastAsia="en-US"/>
        </w:rPr>
        <w:t>s attempts at coordination, many EU governments, including the German government, have decided on their own initiative to impose a massive ban on entry into their territory and to control their borders. All these measures represent serious infringements of EU citizens</w:t>
      </w:r>
      <w:r w:rsidR="002B6269">
        <w:rPr>
          <w:lang w:val="en-GB" w:eastAsia="en-US"/>
        </w:rPr>
        <w:t>’</w:t>
      </w:r>
      <w:r w:rsidRPr="0022448B">
        <w:rPr>
          <w:lang w:val="en-GB" w:eastAsia="en-US"/>
        </w:rPr>
        <w:t xml:space="preserve"> rights. They interfere with the freedom of movement of workers under Article</w:t>
      </w:r>
      <w:r w:rsidR="002B6269">
        <w:rPr>
          <w:lang w:val="en-GB" w:eastAsia="en-US"/>
        </w:rPr>
        <w:t> </w:t>
      </w:r>
      <w:r w:rsidRPr="0022448B">
        <w:rPr>
          <w:lang w:val="en-GB" w:eastAsia="en-US"/>
        </w:rPr>
        <w:t xml:space="preserve">45 TFEU, </w:t>
      </w:r>
      <w:r w:rsidR="00C537D1" w:rsidRPr="0022448B">
        <w:rPr>
          <w:lang w:val="en-GB" w:eastAsia="en-US"/>
        </w:rPr>
        <w:t xml:space="preserve">the </w:t>
      </w:r>
      <w:r w:rsidRPr="0022448B">
        <w:rPr>
          <w:lang w:val="en-GB" w:eastAsia="en-US"/>
        </w:rPr>
        <w:t xml:space="preserve">freedom of movement of </w:t>
      </w:r>
      <w:r w:rsidR="00C537D1" w:rsidRPr="0022448B">
        <w:rPr>
          <w:lang w:val="en-GB" w:eastAsia="en-US"/>
        </w:rPr>
        <w:t xml:space="preserve">Union citizens </w:t>
      </w:r>
      <w:r w:rsidRPr="0022448B">
        <w:rPr>
          <w:lang w:val="en-GB" w:eastAsia="en-US"/>
        </w:rPr>
        <w:t>under Article</w:t>
      </w:r>
      <w:r w:rsidR="002B6269">
        <w:rPr>
          <w:lang w:val="en-GB" w:eastAsia="en-US"/>
        </w:rPr>
        <w:t> </w:t>
      </w:r>
      <w:r w:rsidRPr="0022448B">
        <w:rPr>
          <w:lang w:val="en-GB" w:eastAsia="en-US"/>
        </w:rPr>
        <w:t>21 TFEU and the prohibition of discrimination under Article</w:t>
      </w:r>
      <w:r w:rsidR="002B6269">
        <w:rPr>
          <w:lang w:val="en-GB" w:eastAsia="en-US"/>
        </w:rPr>
        <w:t> </w:t>
      </w:r>
      <w:r w:rsidRPr="0022448B">
        <w:rPr>
          <w:lang w:val="en-GB" w:eastAsia="en-US"/>
        </w:rPr>
        <w:t xml:space="preserve">18 TFEU. </w:t>
      </w:r>
      <w:r w:rsidR="00C537D1" w:rsidRPr="0022448B">
        <w:rPr>
          <w:rStyle w:val="Funotenzeichen"/>
          <w:lang w:val="en-GB" w:eastAsia="en-US"/>
        </w:rPr>
        <w:footnoteReference w:id="13"/>
      </w:r>
    </w:p>
    <w:p w14:paraId="597168C7" w14:textId="30DF685A" w:rsidR="002662B5" w:rsidRPr="0022448B" w:rsidRDefault="002662B5" w:rsidP="00A829C5">
      <w:pPr>
        <w:pStyle w:val="Textkrper"/>
        <w:rPr>
          <w:lang w:val="en-GB" w:eastAsia="en-US"/>
        </w:rPr>
      </w:pPr>
      <w:r w:rsidRPr="0022448B">
        <w:rPr>
          <w:lang w:val="en-GB" w:eastAsia="en-US"/>
        </w:rPr>
        <w:t xml:space="preserve">According to the settled </w:t>
      </w:r>
      <w:r w:rsidR="00B15040">
        <w:rPr>
          <w:lang w:val="en-GB" w:eastAsia="en-US"/>
        </w:rPr>
        <w:t>case law</w:t>
      </w:r>
      <w:r w:rsidRPr="0022448B">
        <w:rPr>
          <w:lang w:val="en-GB" w:eastAsia="en-US"/>
        </w:rPr>
        <w:t xml:space="preserve"> of the Court of Justice of the European Union, recourse to the concept of public policy presupposes in any event the existence of a real, present and sufficiently serious threat </w:t>
      </w:r>
      <w:r w:rsidR="00B15040">
        <w:rPr>
          <w:lang w:val="en-GB" w:eastAsia="en-US"/>
        </w:rPr>
        <w:t>to affect</w:t>
      </w:r>
      <w:r w:rsidRPr="0022448B">
        <w:rPr>
          <w:lang w:val="en-GB" w:eastAsia="en-US"/>
        </w:rPr>
        <w:t xml:space="preserve"> one of the fundamental interests of society (recital</w:t>
      </w:r>
      <w:r w:rsidR="002B6269">
        <w:rPr>
          <w:lang w:val="en-GB" w:eastAsia="en-US"/>
        </w:rPr>
        <w:t> </w:t>
      </w:r>
      <w:r w:rsidRPr="0022448B">
        <w:rPr>
          <w:lang w:val="en-GB" w:eastAsia="en-US"/>
        </w:rPr>
        <w:t xml:space="preserve">27 of the Borders Code). </w:t>
      </w:r>
      <w:r w:rsidR="005409F2" w:rsidRPr="0022448B">
        <w:rPr>
          <w:lang w:val="en-GB" w:eastAsia="en-US"/>
        </w:rPr>
        <w:t>Article</w:t>
      </w:r>
      <w:r w:rsidR="002B6269">
        <w:rPr>
          <w:lang w:val="en-GB" w:eastAsia="en-US"/>
        </w:rPr>
        <w:t> </w:t>
      </w:r>
      <w:r w:rsidR="005409F2" w:rsidRPr="0022448B">
        <w:rPr>
          <w:lang w:val="en-GB" w:eastAsia="en-US"/>
        </w:rPr>
        <w:t xml:space="preserve">29 of </w:t>
      </w:r>
      <w:r w:rsidR="00604CAD" w:rsidRPr="0022448B">
        <w:rPr>
          <w:lang w:val="en-GB" w:eastAsia="en-US"/>
        </w:rPr>
        <w:t>Directive</w:t>
      </w:r>
      <w:r w:rsidR="002B6269">
        <w:rPr>
          <w:lang w:val="en-GB" w:eastAsia="en-US"/>
        </w:rPr>
        <w:t> </w:t>
      </w:r>
      <w:r w:rsidR="00604CAD" w:rsidRPr="0022448B">
        <w:rPr>
          <w:lang w:val="en-GB" w:eastAsia="en-US"/>
        </w:rPr>
        <w:t xml:space="preserve">2004/38 on the </w:t>
      </w:r>
      <w:r w:rsidR="005409F2" w:rsidRPr="0022448B">
        <w:rPr>
          <w:lang w:val="en-GB" w:eastAsia="en-US"/>
        </w:rPr>
        <w:t xml:space="preserve">free movement of citizens of the European Union codifies </w:t>
      </w:r>
      <w:r w:rsidR="005E07E2" w:rsidRPr="0022448B">
        <w:rPr>
          <w:lang w:val="en-GB" w:eastAsia="en-US"/>
        </w:rPr>
        <w:t>the rules applying to Member States when they want to take restrictive measures justified by threats to public policy</w:t>
      </w:r>
      <w:r w:rsidR="00233BD1" w:rsidRPr="0022448B">
        <w:rPr>
          <w:lang w:val="en-GB" w:eastAsia="en-US"/>
        </w:rPr>
        <w:t xml:space="preserve">, </w:t>
      </w:r>
      <w:r w:rsidR="005E07E2" w:rsidRPr="0022448B">
        <w:rPr>
          <w:lang w:val="en-GB" w:eastAsia="en-US"/>
        </w:rPr>
        <w:t xml:space="preserve">public security </w:t>
      </w:r>
      <w:r w:rsidR="00233BD1" w:rsidRPr="0022448B">
        <w:rPr>
          <w:lang w:val="en-GB" w:eastAsia="en-US"/>
        </w:rPr>
        <w:t>or public health</w:t>
      </w:r>
      <w:r w:rsidR="005E07E2" w:rsidRPr="0022448B">
        <w:rPr>
          <w:lang w:val="en-GB" w:eastAsia="en-US"/>
        </w:rPr>
        <w:t xml:space="preserve">. </w:t>
      </w:r>
      <w:r w:rsidR="005409F2" w:rsidRPr="0022448B">
        <w:rPr>
          <w:rStyle w:val="Funotenzeichen"/>
          <w:lang w:val="en-GB" w:eastAsia="en-US"/>
        </w:rPr>
        <w:footnoteReference w:id="14"/>
      </w:r>
    </w:p>
    <w:p w14:paraId="722CF45E" w14:textId="3F4631E1" w:rsidR="006518AA" w:rsidRPr="0022448B" w:rsidRDefault="00C537D1" w:rsidP="00A829C5">
      <w:pPr>
        <w:pStyle w:val="Textkrper"/>
        <w:rPr>
          <w:lang w:val="en-GB" w:eastAsia="en-US"/>
        </w:rPr>
      </w:pPr>
      <w:r w:rsidRPr="0022448B">
        <w:rPr>
          <w:lang w:val="en-GB" w:eastAsia="en-US"/>
        </w:rPr>
        <w:t xml:space="preserve">These rules result in particular from the case law of the Court, which must also apply in the </w:t>
      </w:r>
      <w:r w:rsidR="001E3A85" w:rsidRPr="0022448B">
        <w:rPr>
          <w:lang w:val="en-GB" w:eastAsia="en-US"/>
        </w:rPr>
        <w:t xml:space="preserve">context of the </w:t>
      </w:r>
      <w:r w:rsidR="00B31CA6" w:rsidRPr="0022448B">
        <w:rPr>
          <w:lang w:val="en-GB" w:eastAsia="en-US"/>
        </w:rPr>
        <w:t>SBC</w:t>
      </w:r>
      <w:r w:rsidR="001E3A85" w:rsidRPr="0022448B">
        <w:rPr>
          <w:lang w:val="en-GB" w:eastAsia="en-US"/>
        </w:rPr>
        <w:t xml:space="preserve">. It is more than doubtful whether the Court </w:t>
      </w:r>
      <w:r w:rsidR="00913086" w:rsidRPr="0022448B">
        <w:rPr>
          <w:lang w:val="en-GB" w:eastAsia="en-US"/>
        </w:rPr>
        <w:t xml:space="preserve">finds that the </w:t>
      </w:r>
      <w:r w:rsidR="001E3A85" w:rsidRPr="0022448B">
        <w:rPr>
          <w:lang w:val="en-GB" w:eastAsia="en-US"/>
        </w:rPr>
        <w:t xml:space="preserve">German decision of 15 March 2020 meets the conditions which the Court has </w:t>
      </w:r>
      <w:r w:rsidR="00913086" w:rsidRPr="0022448B">
        <w:rPr>
          <w:lang w:val="en-GB" w:eastAsia="en-US"/>
        </w:rPr>
        <w:t xml:space="preserve">formulated with </w:t>
      </w:r>
      <w:r w:rsidR="001E3A85" w:rsidRPr="0022448B">
        <w:rPr>
          <w:lang w:val="en-GB" w:eastAsia="en-US"/>
        </w:rPr>
        <w:t xml:space="preserve">regard to the possibility of restricting freedom of movement for the purposes of public policy. Will it be more flexible where a </w:t>
      </w:r>
      <w:r w:rsidR="00B15040">
        <w:rPr>
          <w:lang w:val="en-GB" w:eastAsia="en-US"/>
        </w:rPr>
        <w:t>state</w:t>
      </w:r>
      <w:r w:rsidR="004E5BBC" w:rsidRPr="0022448B">
        <w:rPr>
          <w:lang w:val="en-GB" w:eastAsia="en-US"/>
        </w:rPr>
        <w:t xml:space="preserve"> </w:t>
      </w:r>
      <w:r w:rsidR="001E3A85" w:rsidRPr="0022448B">
        <w:rPr>
          <w:lang w:val="en-GB" w:eastAsia="en-US"/>
        </w:rPr>
        <w:t xml:space="preserve">invokes a </w:t>
      </w:r>
      <w:r w:rsidR="004E5BBC" w:rsidRPr="0022448B">
        <w:rPr>
          <w:lang w:val="en-GB" w:eastAsia="en-US"/>
        </w:rPr>
        <w:t xml:space="preserve">serious </w:t>
      </w:r>
      <w:r w:rsidR="001E3A85" w:rsidRPr="0022448B">
        <w:rPr>
          <w:lang w:val="en-GB" w:eastAsia="en-US"/>
        </w:rPr>
        <w:t xml:space="preserve">threat to </w:t>
      </w:r>
      <w:r w:rsidR="004E5BBC" w:rsidRPr="0022448B">
        <w:rPr>
          <w:lang w:val="en-GB" w:eastAsia="en-US"/>
        </w:rPr>
        <w:t xml:space="preserve">public health? Can States invoke a greater margin of appreciation in this area? Nothing is less </w:t>
      </w:r>
      <w:r w:rsidR="00913086" w:rsidRPr="0022448B">
        <w:rPr>
          <w:lang w:val="en-GB" w:eastAsia="en-US"/>
        </w:rPr>
        <w:t>certain</w:t>
      </w:r>
      <w:r w:rsidR="004E5BBC" w:rsidRPr="0022448B">
        <w:rPr>
          <w:lang w:val="en-GB" w:eastAsia="en-US"/>
        </w:rPr>
        <w:t>.</w:t>
      </w:r>
    </w:p>
    <w:p w14:paraId="40B2CFA5" w14:textId="321D8238" w:rsidR="00B258A7" w:rsidRPr="0022448B" w:rsidRDefault="00B258A7" w:rsidP="00C426D7">
      <w:pPr>
        <w:pStyle w:val="berschrift2"/>
        <w:rPr>
          <w:lang w:val="en-GB"/>
        </w:rPr>
      </w:pPr>
      <w:r w:rsidRPr="0022448B">
        <w:rPr>
          <w:lang w:val="en-GB"/>
        </w:rPr>
        <w:t xml:space="preserve">The </w:t>
      </w:r>
      <w:r w:rsidR="00B15040">
        <w:rPr>
          <w:lang w:val="en-GB"/>
        </w:rPr>
        <w:t>Duration</w:t>
      </w:r>
      <w:r w:rsidRPr="0022448B">
        <w:rPr>
          <w:lang w:val="en-GB"/>
        </w:rPr>
        <w:t xml:space="preserve"> of the </w:t>
      </w:r>
      <w:r w:rsidR="00B15040">
        <w:rPr>
          <w:lang w:val="en-GB"/>
        </w:rPr>
        <w:t>Disputed</w:t>
      </w:r>
      <w:r w:rsidRPr="0022448B">
        <w:rPr>
          <w:lang w:val="en-GB"/>
        </w:rPr>
        <w:t xml:space="preserve"> </w:t>
      </w:r>
      <w:r w:rsidR="00B15040">
        <w:rPr>
          <w:lang w:val="en-GB"/>
        </w:rPr>
        <w:t>Measures</w:t>
      </w:r>
    </w:p>
    <w:p w14:paraId="23977152" w14:textId="6AD3E10F" w:rsidR="002B6A5B" w:rsidRPr="0022448B" w:rsidRDefault="006518AA" w:rsidP="003A356D">
      <w:pPr>
        <w:rPr>
          <w:lang w:val="en-GB"/>
        </w:rPr>
      </w:pPr>
      <w:r w:rsidRPr="0022448B">
        <w:rPr>
          <w:lang w:val="en-GB"/>
        </w:rPr>
        <w:t xml:space="preserve">With regard to the </w:t>
      </w:r>
      <w:r w:rsidR="002B6A5B" w:rsidRPr="0022448B">
        <w:rPr>
          <w:lang w:val="en-GB"/>
        </w:rPr>
        <w:t xml:space="preserve">immediate reintroduction of </w:t>
      </w:r>
      <w:r w:rsidR="0095479F" w:rsidRPr="0022448B">
        <w:rPr>
          <w:lang w:val="en-GB"/>
        </w:rPr>
        <w:t xml:space="preserve">controls </w:t>
      </w:r>
      <w:r w:rsidR="002B6A5B" w:rsidRPr="0022448B">
        <w:rPr>
          <w:lang w:val="en-GB"/>
        </w:rPr>
        <w:t xml:space="preserve">on the </w:t>
      </w:r>
      <w:r w:rsidR="003E06A1" w:rsidRPr="0022448B">
        <w:rPr>
          <w:lang w:val="en-GB"/>
        </w:rPr>
        <w:t xml:space="preserve">basis of </w:t>
      </w:r>
      <w:r w:rsidR="002B6A5B" w:rsidRPr="0022448B">
        <w:rPr>
          <w:lang w:val="en-GB"/>
        </w:rPr>
        <w:t>Article</w:t>
      </w:r>
      <w:r w:rsidR="002B6269">
        <w:rPr>
          <w:lang w:val="en-GB"/>
        </w:rPr>
        <w:t> </w:t>
      </w:r>
      <w:r w:rsidR="002B6A5B" w:rsidRPr="0022448B">
        <w:rPr>
          <w:lang w:val="en-GB"/>
        </w:rPr>
        <w:t xml:space="preserve">28 </w:t>
      </w:r>
      <w:r w:rsidR="0095479F" w:rsidRPr="0022448B">
        <w:rPr>
          <w:lang w:val="en-GB"/>
        </w:rPr>
        <w:t>SBC</w:t>
      </w:r>
      <w:r w:rsidR="002B6A5B" w:rsidRPr="0022448B">
        <w:rPr>
          <w:lang w:val="en-GB"/>
        </w:rPr>
        <w:t xml:space="preserve">, </w:t>
      </w:r>
      <w:r w:rsidRPr="0022448B">
        <w:rPr>
          <w:lang w:val="en-GB"/>
        </w:rPr>
        <w:t xml:space="preserve">this provides for an initial period of no more than 10 days. </w:t>
      </w:r>
      <w:r w:rsidR="003E06A1" w:rsidRPr="0022448B">
        <w:rPr>
          <w:lang w:val="en-GB"/>
        </w:rPr>
        <w:t>However, paragraphs</w:t>
      </w:r>
      <w:r w:rsidR="002B6269">
        <w:rPr>
          <w:lang w:val="en-GB"/>
        </w:rPr>
        <w:t> </w:t>
      </w:r>
      <w:r w:rsidR="003E06A1" w:rsidRPr="0022448B">
        <w:rPr>
          <w:lang w:val="en-GB"/>
        </w:rPr>
        <w:t xml:space="preserve">3 and 4 allow extensions of up to two months in total. Where the Member </w:t>
      </w:r>
      <w:r w:rsidR="00A50CB2" w:rsidRPr="0022448B">
        <w:rPr>
          <w:lang w:val="en-GB"/>
        </w:rPr>
        <w:t xml:space="preserve">State </w:t>
      </w:r>
      <w:r w:rsidR="003E06A1" w:rsidRPr="0022448B">
        <w:rPr>
          <w:lang w:val="en-GB"/>
        </w:rPr>
        <w:t xml:space="preserve">wishes to extend its </w:t>
      </w:r>
      <w:r w:rsidR="00913086" w:rsidRPr="0022448B">
        <w:rPr>
          <w:lang w:val="en-GB"/>
        </w:rPr>
        <w:t xml:space="preserve">decision, </w:t>
      </w:r>
      <w:r w:rsidR="003E06A1" w:rsidRPr="0022448B">
        <w:rPr>
          <w:lang w:val="en-GB"/>
        </w:rPr>
        <w:t xml:space="preserve">it must </w:t>
      </w:r>
      <w:r w:rsidR="00A50CB2" w:rsidRPr="0022448B">
        <w:rPr>
          <w:lang w:val="en-GB"/>
        </w:rPr>
        <w:t>take account of any new elements.</w:t>
      </w:r>
    </w:p>
    <w:p w14:paraId="26D4D47F" w14:textId="26A25D68" w:rsidR="00B258A7" w:rsidRPr="0022448B" w:rsidRDefault="00A50CB2" w:rsidP="003A356D">
      <w:pPr>
        <w:rPr>
          <w:lang w:val="en-GB"/>
        </w:rPr>
      </w:pPr>
      <w:r w:rsidRPr="0022448B">
        <w:rPr>
          <w:lang w:val="en-GB"/>
        </w:rPr>
        <w:t xml:space="preserve">With regard to the controls at the German-Luxemburg border, it can be noted that following numerous interventions with Minister Seehofer, the latter decided to lift the </w:t>
      </w:r>
      <w:r w:rsidRPr="0022448B">
        <w:rPr>
          <w:lang w:val="en-GB"/>
        </w:rPr>
        <w:lastRenderedPageBreak/>
        <w:t xml:space="preserve">controls </w:t>
      </w:r>
      <w:r w:rsidR="00FE3B0B" w:rsidRPr="0022448B">
        <w:rPr>
          <w:lang w:val="en-GB"/>
        </w:rPr>
        <w:t xml:space="preserve">on 15 May 2020. </w:t>
      </w:r>
      <w:r w:rsidRPr="0022448B">
        <w:rPr>
          <w:lang w:val="en-GB"/>
        </w:rPr>
        <w:t xml:space="preserve">This was celebrated on the same day at a </w:t>
      </w:r>
      <w:r w:rsidR="00FE3B0B" w:rsidRPr="0022448B">
        <w:rPr>
          <w:lang w:val="en-GB"/>
        </w:rPr>
        <w:t xml:space="preserve">meeting of </w:t>
      </w:r>
      <w:r w:rsidRPr="0022448B">
        <w:rPr>
          <w:lang w:val="en-GB"/>
        </w:rPr>
        <w:t xml:space="preserve">Foreign </w:t>
      </w:r>
      <w:r w:rsidR="00FE3B0B" w:rsidRPr="0022448B">
        <w:rPr>
          <w:lang w:val="en-GB"/>
        </w:rPr>
        <w:t xml:space="preserve">Ministers </w:t>
      </w:r>
      <w:r w:rsidR="00FE3B0B" w:rsidRPr="0022448B">
        <w:rPr>
          <w:i/>
          <w:iCs/>
          <w:lang w:val="en-GB"/>
        </w:rPr>
        <w:t>Asselborn</w:t>
      </w:r>
      <w:r w:rsidR="00FE3B0B" w:rsidRPr="0022448B">
        <w:rPr>
          <w:lang w:val="en-GB"/>
        </w:rPr>
        <w:t xml:space="preserve"> and </w:t>
      </w:r>
      <w:r w:rsidR="00FE3B0B" w:rsidRPr="0022448B">
        <w:rPr>
          <w:i/>
          <w:iCs/>
          <w:lang w:val="en-GB"/>
        </w:rPr>
        <w:t>Maas</w:t>
      </w:r>
      <w:r w:rsidR="00FE3B0B" w:rsidRPr="0022448B">
        <w:rPr>
          <w:lang w:val="en-GB"/>
        </w:rPr>
        <w:t xml:space="preserve"> at the </w:t>
      </w:r>
      <w:proofErr w:type="spellStart"/>
      <w:r w:rsidRPr="0022448B">
        <w:rPr>
          <w:lang w:val="en-GB"/>
        </w:rPr>
        <w:t>Remich</w:t>
      </w:r>
      <w:proofErr w:type="spellEnd"/>
      <w:r w:rsidRPr="0022448B">
        <w:rPr>
          <w:lang w:val="en-GB"/>
        </w:rPr>
        <w:t xml:space="preserve"> border </w:t>
      </w:r>
      <w:r w:rsidR="00FE3B0B" w:rsidRPr="0022448B">
        <w:rPr>
          <w:lang w:val="en-GB"/>
        </w:rPr>
        <w:t>bridge.</w:t>
      </w:r>
    </w:p>
    <w:p w14:paraId="0F6D734A" w14:textId="299ECEA0" w:rsidR="00FE3B0B" w:rsidRPr="0022448B" w:rsidRDefault="00A50CB2" w:rsidP="003A356D">
      <w:pPr>
        <w:rPr>
          <w:lang w:val="en-GB"/>
        </w:rPr>
      </w:pPr>
      <w:r w:rsidRPr="0022448B">
        <w:rPr>
          <w:lang w:val="en-GB"/>
        </w:rPr>
        <w:t xml:space="preserve">The total time allowed has therefore not been exceeded. The fact remains that the initial decision and the extensions </w:t>
      </w:r>
      <w:r w:rsidR="001F69D7" w:rsidRPr="0022448B">
        <w:rPr>
          <w:lang w:val="en-GB"/>
        </w:rPr>
        <w:t>adopted disregarded the letter and spirit of the S</w:t>
      </w:r>
      <w:r w:rsidR="0095479F" w:rsidRPr="0022448B">
        <w:rPr>
          <w:lang w:val="en-GB"/>
        </w:rPr>
        <w:t>B</w:t>
      </w:r>
      <w:r w:rsidR="001F69D7" w:rsidRPr="0022448B">
        <w:rPr>
          <w:lang w:val="en-GB"/>
        </w:rPr>
        <w:t xml:space="preserve">C. It is therefore regrettable that the European Commission did not take the opportunity to bring an action for failure to fulfil obligations, thus allowing the Court of Justice to clarify the reading of </w:t>
      </w:r>
      <w:r w:rsidR="002B6269">
        <w:rPr>
          <w:lang w:val="en-GB"/>
        </w:rPr>
        <w:t>articles </w:t>
      </w:r>
      <w:r w:rsidR="001F69D7" w:rsidRPr="0022448B">
        <w:rPr>
          <w:lang w:val="en-GB"/>
        </w:rPr>
        <w:t xml:space="preserve">25 to 28 of the </w:t>
      </w:r>
      <w:r w:rsidR="00B31CA6" w:rsidRPr="0022448B">
        <w:rPr>
          <w:lang w:val="en-GB"/>
        </w:rPr>
        <w:t>SBC</w:t>
      </w:r>
      <w:r w:rsidR="001F69D7" w:rsidRPr="0022448B">
        <w:rPr>
          <w:lang w:val="en-GB"/>
        </w:rPr>
        <w:t>.</w:t>
      </w:r>
    </w:p>
    <w:p w14:paraId="4DE8C0A9" w14:textId="38BEEBA4" w:rsidR="002F7FC6" w:rsidRPr="0022448B" w:rsidRDefault="002F7FC6" w:rsidP="00C426D7">
      <w:pPr>
        <w:pStyle w:val="berschrift2"/>
        <w:rPr>
          <w:lang w:val="en-GB"/>
        </w:rPr>
      </w:pPr>
      <w:r w:rsidRPr="0022448B">
        <w:rPr>
          <w:lang w:val="en-GB"/>
        </w:rPr>
        <w:t xml:space="preserve">Missed </w:t>
      </w:r>
      <w:r w:rsidR="00B15040">
        <w:rPr>
          <w:lang w:val="en-GB"/>
        </w:rPr>
        <w:t>Opportunity</w:t>
      </w:r>
      <w:r w:rsidRPr="0022448B">
        <w:rPr>
          <w:lang w:val="en-GB"/>
        </w:rPr>
        <w:t xml:space="preserve"> to </w:t>
      </w:r>
      <w:r w:rsidR="00B15040">
        <w:rPr>
          <w:lang w:val="en-GB"/>
        </w:rPr>
        <w:t>Bring</w:t>
      </w:r>
      <w:r w:rsidRPr="0022448B">
        <w:rPr>
          <w:lang w:val="en-GB"/>
        </w:rPr>
        <w:t xml:space="preserve"> an </w:t>
      </w:r>
      <w:r w:rsidR="00B15040">
        <w:rPr>
          <w:lang w:val="en-GB"/>
        </w:rPr>
        <w:t>Action</w:t>
      </w:r>
      <w:r w:rsidRPr="0022448B">
        <w:rPr>
          <w:lang w:val="en-GB"/>
        </w:rPr>
        <w:t xml:space="preserve"> for </w:t>
      </w:r>
      <w:r w:rsidR="00B15040">
        <w:rPr>
          <w:lang w:val="en-GB"/>
        </w:rPr>
        <w:t>Failure</w:t>
      </w:r>
      <w:r w:rsidRPr="0022448B">
        <w:rPr>
          <w:lang w:val="en-GB"/>
        </w:rPr>
        <w:t xml:space="preserve"> to </w:t>
      </w:r>
      <w:r w:rsidR="00B15040">
        <w:rPr>
          <w:lang w:val="en-GB"/>
        </w:rPr>
        <w:t>Fulfil</w:t>
      </w:r>
      <w:r w:rsidRPr="0022448B">
        <w:rPr>
          <w:lang w:val="en-GB"/>
        </w:rPr>
        <w:t xml:space="preserve"> </w:t>
      </w:r>
      <w:r w:rsidR="00B15040">
        <w:rPr>
          <w:lang w:val="en-GB"/>
        </w:rPr>
        <w:t>Obligations</w:t>
      </w:r>
    </w:p>
    <w:p w14:paraId="449C8506" w14:textId="3BDF2838" w:rsidR="00D93B8D" w:rsidRPr="0022448B" w:rsidRDefault="00D93B8D" w:rsidP="003A356D">
      <w:pPr>
        <w:rPr>
          <w:lang w:val="en-GB"/>
        </w:rPr>
      </w:pPr>
      <w:r w:rsidRPr="0022448B">
        <w:rPr>
          <w:lang w:val="en-GB"/>
        </w:rPr>
        <w:t>Compliance by Member States with the conditions listed in Articles</w:t>
      </w:r>
      <w:r w:rsidR="002B6269">
        <w:rPr>
          <w:lang w:val="en-GB"/>
        </w:rPr>
        <w:t> </w:t>
      </w:r>
      <w:r w:rsidRPr="0022448B">
        <w:rPr>
          <w:lang w:val="en-GB"/>
        </w:rPr>
        <w:t xml:space="preserve">25 </w:t>
      </w:r>
      <w:r w:rsidR="004E5BBC" w:rsidRPr="0022448B">
        <w:rPr>
          <w:lang w:val="en-GB"/>
        </w:rPr>
        <w:t xml:space="preserve">to </w:t>
      </w:r>
      <w:r w:rsidRPr="0022448B">
        <w:rPr>
          <w:lang w:val="en-GB"/>
        </w:rPr>
        <w:t xml:space="preserve">28 </w:t>
      </w:r>
      <w:r w:rsidR="00B31CA6" w:rsidRPr="0022448B">
        <w:rPr>
          <w:lang w:val="en-GB"/>
        </w:rPr>
        <w:t>SBC</w:t>
      </w:r>
      <w:r w:rsidR="004E5BBC" w:rsidRPr="0022448B">
        <w:rPr>
          <w:lang w:val="en-GB"/>
        </w:rPr>
        <w:t xml:space="preserve"> </w:t>
      </w:r>
      <w:r w:rsidRPr="0022448B">
        <w:rPr>
          <w:lang w:val="en-GB"/>
        </w:rPr>
        <w:t>is subject to control by the E</w:t>
      </w:r>
      <w:r w:rsidR="0095479F" w:rsidRPr="0022448B">
        <w:rPr>
          <w:lang w:val="en-GB"/>
        </w:rPr>
        <w:t>CJ</w:t>
      </w:r>
      <w:r w:rsidR="00D81306" w:rsidRPr="0022448B">
        <w:rPr>
          <w:lang w:val="en-GB"/>
        </w:rPr>
        <w:t xml:space="preserve">. However, the </w:t>
      </w:r>
      <w:r w:rsidR="0095479F" w:rsidRPr="0022448B">
        <w:rPr>
          <w:lang w:val="en-GB"/>
        </w:rPr>
        <w:t>ECJ</w:t>
      </w:r>
      <w:r w:rsidR="00D81306" w:rsidRPr="0022448B">
        <w:rPr>
          <w:lang w:val="en-GB"/>
        </w:rPr>
        <w:t xml:space="preserve"> will only be able to give a ruling if the matter is referred to it. In the present case, such a referral should have come from the European Commission. As the guardian of </w:t>
      </w:r>
      <w:r w:rsidR="00913086" w:rsidRPr="0022448B">
        <w:rPr>
          <w:lang w:val="en-GB"/>
        </w:rPr>
        <w:t xml:space="preserve">legality, the Commission </w:t>
      </w:r>
      <w:r w:rsidR="00D81306" w:rsidRPr="0022448B">
        <w:rPr>
          <w:lang w:val="en-GB"/>
        </w:rPr>
        <w:t>should have brought infringement proceedings against the Federal Republic of Germany</w:t>
      </w:r>
      <w:r w:rsidR="005B5C5C" w:rsidRPr="0022448B">
        <w:rPr>
          <w:lang w:val="en-GB"/>
        </w:rPr>
        <w:t xml:space="preserve">. </w:t>
      </w:r>
    </w:p>
    <w:p w14:paraId="1A05AA8A" w14:textId="2B2E818B" w:rsidR="009108C7" w:rsidRPr="0022448B" w:rsidRDefault="009108C7" w:rsidP="003A356D">
      <w:pPr>
        <w:rPr>
          <w:lang w:val="en-GB"/>
        </w:rPr>
      </w:pPr>
      <w:r w:rsidRPr="0022448B">
        <w:rPr>
          <w:lang w:val="en-GB"/>
        </w:rPr>
        <w:t>The comparison of the German decision of 15 March 2020 with the stric</w:t>
      </w:r>
      <w:r w:rsidR="00B15040">
        <w:rPr>
          <w:lang w:val="en-GB"/>
        </w:rPr>
        <w:t>t criteria</w:t>
      </w:r>
      <w:r w:rsidRPr="0022448B">
        <w:rPr>
          <w:lang w:val="en-GB"/>
        </w:rPr>
        <w:t xml:space="preserve"> of the </w:t>
      </w:r>
      <w:r w:rsidR="00B31CA6" w:rsidRPr="0022448B">
        <w:rPr>
          <w:lang w:val="en-GB"/>
        </w:rPr>
        <w:t>SBC</w:t>
      </w:r>
      <w:r w:rsidRPr="0022448B">
        <w:rPr>
          <w:lang w:val="en-GB"/>
        </w:rPr>
        <w:t xml:space="preserve"> raises very </w:t>
      </w:r>
      <w:r w:rsidR="00805985" w:rsidRPr="0022448B">
        <w:rPr>
          <w:lang w:val="en-GB"/>
        </w:rPr>
        <w:t xml:space="preserve">serious </w:t>
      </w:r>
      <w:r w:rsidRPr="0022448B">
        <w:rPr>
          <w:lang w:val="en-GB"/>
        </w:rPr>
        <w:t xml:space="preserve">doubts, to say the </w:t>
      </w:r>
      <w:r w:rsidR="005B5C5C" w:rsidRPr="0022448B">
        <w:rPr>
          <w:lang w:val="en-GB"/>
        </w:rPr>
        <w:t xml:space="preserve">least, as to </w:t>
      </w:r>
      <w:r w:rsidRPr="0022448B">
        <w:rPr>
          <w:lang w:val="en-GB"/>
        </w:rPr>
        <w:t>its conformity with EU law. This could not escape the Commission</w:t>
      </w:r>
      <w:r w:rsidR="002B6269">
        <w:rPr>
          <w:lang w:val="en-GB"/>
        </w:rPr>
        <w:t>’</w:t>
      </w:r>
      <w:r w:rsidRPr="0022448B">
        <w:rPr>
          <w:lang w:val="en-GB"/>
        </w:rPr>
        <w:t xml:space="preserve">s legal experts </w:t>
      </w:r>
      <w:r w:rsidR="00A829C5" w:rsidRPr="0022448B">
        <w:rPr>
          <w:lang w:val="en-GB"/>
        </w:rPr>
        <w:t xml:space="preserve">nor the Luxembourg government. So why has there not been an action for failure to fulfil obligations accompanied, if necessary, by a request for interim measures by way of summary proceedings before the </w:t>
      </w:r>
      <w:r w:rsidR="008B0D9D" w:rsidRPr="0022448B">
        <w:rPr>
          <w:lang w:val="en-GB"/>
        </w:rPr>
        <w:t>ECJ</w:t>
      </w:r>
      <w:r w:rsidR="00A829C5" w:rsidRPr="0022448B">
        <w:rPr>
          <w:lang w:val="en-GB"/>
        </w:rPr>
        <w:t>?</w:t>
      </w:r>
    </w:p>
    <w:p w14:paraId="7533F9E5" w14:textId="6F972EAF" w:rsidR="00B04DB1" w:rsidRPr="0022448B" w:rsidRDefault="00A829C5" w:rsidP="003A356D">
      <w:pPr>
        <w:rPr>
          <w:lang w:val="en-GB"/>
        </w:rPr>
      </w:pPr>
      <w:r w:rsidRPr="0022448B">
        <w:rPr>
          <w:lang w:val="en-GB"/>
        </w:rPr>
        <w:t xml:space="preserve">Contacted by e-mail, the </w:t>
      </w:r>
      <w:r w:rsidR="00B15040">
        <w:rPr>
          <w:lang w:val="en-GB"/>
        </w:rPr>
        <w:t>ministries</w:t>
      </w:r>
      <w:r w:rsidRPr="0022448B">
        <w:rPr>
          <w:lang w:val="en-GB"/>
        </w:rPr>
        <w:t xml:space="preserve"> of </w:t>
      </w:r>
      <w:r w:rsidR="00B04DB1" w:rsidRPr="0022448B">
        <w:rPr>
          <w:lang w:val="en-GB"/>
        </w:rPr>
        <w:t xml:space="preserve">Justice </w:t>
      </w:r>
      <w:r w:rsidRPr="0022448B">
        <w:rPr>
          <w:lang w:val="en-GB"/>
        </w:rPr>
        <w:t xml:space="preserve">and </w:t>
      </w:r>
      <w:r w:rsidR="00B04DB1" w:rsidRPr="0022448B">
        <w:rPr>
          <w:lang w:val="en-GB"/>
        </w:rPr>
        <w:t xml:space="preserve">Foreign Affairs of </w:t>
      </w:r>
      <w:r w:rsidR="005B5C5C" w:rsidRPr="0022448B">
        <w:rPr>
          <w:lang w:val="en-GB"/>
        </w:rPr>
        <w:t xml:space="preserve">the Grand Duchy indicated that the Luxembourg government did not itself wish to bring infringement proceedings against the neighbouring state. This was understandable. </w:t>
      </w:r>
      <w:r w:rsidR="00ED7E56" w:rsidRPr="0022448B">
        <w:rPr>
          <w:lang w:val="en-GB"/>
        </w:rPr>
        <w:t>Diplomatic approaches were preferred.</w:t>
      </w:r>
    </w:p>
    <w:p w14:paraId="29FF0495" w14:textId="48B2D00B" w:rsidR="00B04DB1" w:rsidRPr="0022448B" w:rsidRDefault="00ED7E56" w:rsidP="003A356D">
      <w:pPr>
        <w:rPr>
          <w:lang w:val="en-GB"/>
        </w:rPr>
      </w:pPr>
      <w:r w:rsidRPr="0022448B">
        <w:rPr>
          <w:lang w:val="en-GB"/>
        </w:rPr>
        <w:t xml:space="preserve">The author of these lines is nevertheless </w:t>
      </w:r>
      <w:r w:rsidR="00B04DB1" w:rsidRPr="0022448B">
        <w:rPr>
          <w:lang w:val="en-GB"/>
        </w:rPr>
        <w:t xml:space="preserve">convinced that the Court of Justice </w:t>
      </w:r>
      <w:r w:rsidRPr="0022448B">
        <w:rPr>
          <w:lang w:val="en-GB"/>
        </w:rPr>
        <w:t xml:space="preserve">would have been very </w:t>
      </w:r>
      <w:r w:rsidR="00B04DB1" w:rsidRPr="0022448B">
        <w:rPr>
          <w:lang w:val="en-GB"/>
        </w:rPr>
        <w:t xml:space="preserve">sensitive to arguments </w:t>
      </w:r>
      <w:r w:rsidRPr="0022448B">
        <w:rPr>
          <w:lang w:val="en-GB"/>
        </w:rPr>
        <w:t xml:space="preserve">based on the </w:t>
      </w:r>
      <w:r w:rsidR="00B04DB1" w:rsidRPr="0022448B">
        <w:rPr>
          <w:lang w:val="en-GB"/>
        </w:rPr>
        <w:t xml:space="preserve">violation of the </w:t>
      </w:r>
      <w:r w:rsidR="00F95AB2" w:rsidRPr="0022448B">
        <w:rPr>
          <w:lang w:val="en-GB"/>
        </w:rPr>
        <w:t xml:space="preserve">principles of necessity and the </w:t>
      </w:r>
      <w:r w:rsidR="00B31CA6" w:rsidRPr="0022448B">
        <w:rPr>
          <w:lang w:val="en-GB"/>
        </w:rPr>
        <w:t>SBC</w:t>
      </w:r>
      <w:r w:rsidR="00F95AB2" w:rsidRPr="0022448B">
        <w:rPr>
          <w:lang w:val="en-GB"/>
        </w:rPr>
        <w:t xml:space="preserve"> rules. </w:t>
      </w:r>
      <w:r w:rsidR="00B04DB1" w:rsidRPr="0022448B">
        <w:rPr>
          <w:lang w:val="en-GB"/>
        </w:rPr>
        <w:t xml:space="preserve">The restrictions </w:t>
      </w:r>
      <w:r w:rsidR="00F95AB2" w:rsidRPr="0022448B">
        <w:rPr>
          <w:lang w:val="en-GB"/>
        </w:rPr>
        <w:t xml:space="preserve">on the </w:t>
      </w:r>
      <w:r w:rsidR="00B04DB1" w:rsidRPr="0022448B">
        <w:rPr>
          <w:lang w:val="en-GB"/>
        </w:rPr>
        <w:t xml:space="preserve">free movement of persons </w:t>
      </w:r>
      <w:r w:rsidR="00F95AB2" w:rsidRPr="0022448B">
        <w:rPr>
          <w:lang w:val="en-GB"/>
        </w:rPr>
        <w:t xml:space="preserve">resulting from the German decision were clearly not </w:t>
      </w:r>
      <w:r w:rsidR="00905FBA" w:rsidRPr="0022448B">
        <w:rPr>
          <w:lang w:val="en-GB"/>
        </w:rPr>
        <w:t xml:space="preserve">justified by the needs of public policy or public health. The measures imposed were therefore </w:t>
      </w:r>
      <w:r w:rsidR="00B04DB1" w:rsidRPr="0022448B">
        <w:rPr>
          <w:lang w:val="en-GB"/>
        </w:rPr>
        <w:t xml:space="preserve">neither adequate, nor justified by an overriding reason of public interest, nor proportionate to the aim </w:t>
      </w:r>
      <w:r w:rsidR="00324E48" w:rsidRPr="0022448B">
        <w:rPr>
          <w:lang w:val="en-GB"/>
        </w:rPr>
        <w:t>pursued.</w:t>
      </w:r>
    </w:p>
    <w:p w14:paraId="0F8F2124" w14:textId="47569911" w:rsidR="009D121A" w:rsidRPr="0022448B" w:rsidRDefault="009D121A" w:rsidP="003A356D">
      <w:pPr>
        <w:rPr>
          <w:lang w:val="en-GB"/>
        </w:rPr>
      </w:pPr>
      <w:r w:rsidRPr="0022448B">
        <w:rPr>
          <w:lang w:val="en-GB"/>
        </w:rPr>
        <w:t xml:space="preserve">The regrettable inaction of the Commission </w:t>
      </w:r>
      <w:r w:rsidR="00422461" w:rsidRPr="0022448B">
        <w:rPr>
          <w:lang w:val="en-GB"/>
        </w:rPr>
        <w:t xml:space="preserve">chaired by </w:t>
      </w:r>
      <w:r w:rsidR="00422461" w:rsidRPr="0022448B">
        <w:rPr>
          <w:i/>
          <w:iCs/>
          <w:lang w:val="en-GB"/>
        </w:rPr>
        <w:t xml:space="preserve">Ursula </w:t>
      </w:r>
      <w:r w:rsidRPr="0022448B">
        <w:rPr>
          <w:i/>
          <w:iCs/>
          <w:lang w:val="en-GB"/>
        </w:rPr>
        <w:t xml:space="preserve">von der Leyen </w:t>
      </w:r>
      <w:r w:rsidR="00422461" w:rsidRPr="0022448B">
        <w:rPr>
          <w:lang w:val="en-GB"/>
        </w:rPr>
        <w:t xml:space="preserve">risks tarnishing its image as the guardian of legality in the European Union. Having already </w:t>
      </w:r>
      <w:r w:rsidR="00422461" w:rsidRPr="0022448B">
        <w:rPr>
          <w:lang w:val="en-GB"/>
        </w:rPr>
        <w:lastRenderedPageBreak/>
        <w:t xml:space="preserve">refrained from bringing an action for failure to fulfil obligations against Federal Germany following the </w:t>
      </w:r>
      <w:r w:rsidR="004E0EDA" w:rsidRPr="0022448B">
        <w:rPr>
          <w:lang w:val="en-GB"/>
        </w:rPr>
        <w:t>German Constitutional Court (</w:t>
      </w:r>
      <w:proofErr w:type="spellStart"/>
      <w:r w:rsidR="004E0EDA" w:rsidRPr="0022448B">
        <w:rPr>
          <w:i/>
          <w:iCs/>
          <w:lang w:val="en-GB"/>
        </w:rPr>
        <w:t>BVerfG</w:t>
      </w:r>
      <w:proofErr w:type="spellEnd"/>
      <w:r w:rsidR="004E0EDA" w:rsidRPr="0022448B">
        <w:rPr>
          <w:lang w:val="en-GB"/>
        </w:rPr>
        <w:t xml:space="preserve">) ruling of 5 May 2020 in </w:t>
      </w:r>
      <w:r w:rsidR="00905FBA" w:rsidRPr="0022448B">
        <w:rPr>
          <w:lang w:val="en-GB"/>
        </w:rPr>
        <w:t>which it openly sought conflict with the E</w:t>
      </w:r>
      <w:r w:rsidR="008B0D9D" w:rsidRPr="0022448B">
        <w:rPr>
          <w:lang w:val="en-GB"/>
        </w:rPr>
        <w:t>CJ</w:t>
      </w:r>
      <w:r w:rsidR="00905FBA" w:rsidRPr="0022448B">
        <w:rPr>
          <w:lang w:val="en-GB"/>
        </w:rPr>
        <w:t xml:space="preserve">, </w:t>
      </w:r>
      <w:r w:rsidR="007A34D4" w:rsidRPr="0022448B">
        <w:rPr>
          <w:rStyle w:val="Funotenzeichen"/>
          <w:lang w:val="en-GB"/>
        </w:rPr>
        <w:footnoteReference w:id="15"/>
      </w:r>
      <w:r w:rsidR="00EC2C29" w:rsidRPr="0022448B">
        <w:rPr>
          <w:lang w:val="en-GB"/>
        </w:rPr>
        <w:t xml:space="preserve"> </w:t>
      </w:r>
      <w:r w:rsidR="004E0EDA" w:rsidRPr="0022448B">
        <w:rPr>
          <w:lang w:val="en-GB"/>
        </w:rPr>
        <w:t>the Commission must guard against appearing too timid to take action against the country of origin of its President</w:t>
      </w:r>
      <w:r w:rsidR="00B82C81" w:rsidRPr="0022448B">
        <w:rPr>
          <w:lang w:val="en-GB"/>
        </w:rPr>
        <w:t>.</w:t>
      </w:r>
    </w:p>
    <w:sectPr w:rsidR="009D121A" w:rsidRPr="0022448B" w:rsidSect="0025727F">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51667" w14:textId="77777777" w:rsidR="00E1032B" w:rsidRDefault="00E1032B" w:rsidP="003A356D">
      <w:r>
        <w:separator/>
      </w:r>
    </w:p>
  </w:endnote>
  <w:endnote w:type="continuationSeparator" w:id="0">
    <w:p w14:paraId="1E2EC835" w14:textId="77777777" w:rsidR="00E1032B" w:rsidRDefault="00E1032B" w:rsidP="003A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20B0604020202020204"/>
    <w:charset w:val="00"/>
    <w:family w:val="roman"/>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743788426"/>
      <w:docPartObj>
        <w:docPartGallery w:val="Page Numbers (Bottom of Page)"/>
        <w:docPartUnique/>
      </w:docPartObj>
    </w:sdtPr>
    <w:sdtEndPr>
      <w:rPr>
        <w:rStyle w:val="Seitenzahl"/>
      </w:rPr>
    </w:sdtEndPr>
    <w:sdtContent>
      <w:p w14:paraId="667A7EEE" w14:textId="1B9F22CE" w:rsidR="00E46C86" w:rsidRDefault="00E46C86" w:rsidP="00E46C8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E11A882" w14:textId="77777777" w:rsidR="00E46C86" w:rsidRDefault="00E46C86" w:rsidP="008B4C2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455791230"/>
      <w:docPartObj>
        <w:docPartGallery w:val="Page Numbers (Bottom of Page)"/>
        <w:docPartUnique/>
      </w:docPartObj>
    </w:sdtPr>
    <w:sdtEndPr>
      <w:rPr>
        <w:rStyle w:val="Seitenzahl"/>
      </w:rPr>
    </w:sdtEndPr>
    <w:sdtContent>
      <w:p w14:paraId="1D3AB610" w14:textId="463FB8D9" w:rsidR="00E46C86" w:rsidRDefault="00E46C86" w:rsidP="00E46C8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EC7ACBE" w14:textId="77777777" w:rsidR="00E46C86" w:rsidRDefault="00E46C86" w:rsidP="008B4C2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3AB2C" w14:textId="77777777" w:rsidR="00E1032B" w:rsidRDefault="00E1032B" w:rsidP="003A356D">
      <w:r>
        <w:separator/>
      </w:r>
    </w:p>
  </w:footnote>
  <w:footnote w:type="continuationSeparator" w:id="0">
    <w:p w14:paraId="51D58BB0" w14:textId="77777777" w:rsidR="00E1032B" w:rsidRDefault="00E1032B" w:rsidP="003A356D">
      <w:r>
        <w:continuationSeparator/>
      </w:r>
    </w:p>
  </w:footnote>
  <w:footnote w:id="1">
    <w:p w14:paraId="50B640D5" w14:textId="30CFFE97" w:rsidR="00E46C86" w:rsidRPr="00B221E0" w:rsidRDefault="00E46C86" w:rsidP="00B613BE">
      <w:pPr>
        <w:pStyle w:val="textedenotedebasdepage"/>
      </w:pPr>
      <w:r w:rsidRPr="00B613BE">
        <w:rPr>
          <w:rStyle w:val="Funotenzeichen"/>
          <w:vertAlign w:val="baseline"/>
        </w:rPr>
        <w:footnoteRef/>
      </w:r>
      <w:r w:rsidRPr="00B221E0">
        <w:tab/>
        <w:t xml:space="preserve"> Regulation (EU) 2016/399 of the European Parliament and of the Council of 9 March 2016 on a Union Code on the rules governing the movement of persons across borders (Schengen Borders Code), OJEU, L 77, 23.3.2016, pp. 1-52.</w:t>
      </w:r>
    </w:p>
  </w:footnote>
  <w:footnote w:id="2">
    <w:p w14:paraId="470BB1F6" w14:textId="28874C68" w:rsidR="00E46C86" w:rsidRPr="0074468F" w:rsidRDefault="00E46C86" w:rsidP="00B613BE">
      <w:pPr>
        <w:pStyle w:val="textedenotedebasdepage"/>
        <w:rPr>
          <w:lang w:val="fr-FR"/>
        </w:rPr>
      </w:pPr>
      <w:r w:rsidRPr="00B613BE">
        <w:rPr>
          <w:rStyle w:val="Funotenzeichen"/>
          <w:vertAlign w:val="baseline"/>
        </w:rPr>
        <w:footnoteRef/>
      </w:r>
      <w:r w:rsidRPr="0074468F">
        <w:rPr>
          <w:lang w:val="fr-FR"/>
        </w:rPr>
        <w:tab/>
        <w:t xml:space="preserve"> https://eur-lex.europa.eu</w:t>
      </w:r>
    </w:p>
  </w:footnote>
  <w:footnote w:id="3">
    <w:p w14:paraId="114BDAEC" w14:textId="26070CEF" w:rsidR="00AC300D" w:rsidRPr="00B221E0" w:rsidRDefault="00AC300D" w:rsidP="00AC300D">
      <w:pPr>
        <w:pStyle w:val="textedenotedebasdepage"/>
      </w:pPr>
      <w:r w:rsidRPr="00B613BE">
        <w:rPr>
          <w:rStyle w:val="Funotenzeichen"/>
          <w:vertAlign w:val="baseline"/>
        </w:rPr>
        <w:footnoteRef/>
      </w:r>
      <w:r w:rsidRPr="0074468F">
        <w:rPr>
          <w:lang w:val="fr-FR"/>
        </w:rPr>
        <w:t xml:space="preserve"> </w:t>
      </w:r>
      <w:r w:rsidR="0022448B">
        <w:rPr>
          <w:lang w:val="fr-FR"/>
        </w:rPr>
        <w:tab/>
      </w:r>
      <w:r>
        <w:rPr>
          <w:lang w:val="fr-FR"/>
        </w:rPr>
        <w:t>ECJ</w:t>
      </w:r>
      <w:r w:rsidRPr="0074468F">
        <w:rPr>
          <w:lang w:val="fr-FR"/>
        </w:rPr>
        <w:t xml:space="preserve">,19 March 2019, Préfet des Pyrénées-Orientales v Abdelaziz </w:t>
      </w:r>
      <w:proofErr w:type="spellStart"/>
      <w:r w:rsidRPr="0074468F">
        <w:rPr>
          <w:lang w:val="fr-FR"/>
        </w:rPr>
        <w:t>Arib</w:t>
      </w:r>
      <w:proofErr w:type="spellEnd"/>
      <w:r w:rsidRPr="0074468F">
        <w:rPr>
          <w:lang w:val="fr-FR"/>
        </w:rPr>
        <w:t xml:space="preserve">, </w:t>
      </w:r>
      <w:r w:rsidRPr="00B221E0">
        <w:t>C-444/17, ECLI:EU:C:2019:220, point 49.</w:t>
      </w:r>
    </w:p>
  </w:footnote>
  <w:footnote w:id="4">
    <w:p w14:paraId="10B12EAD" w14:textId="3088F91F" w:rsidR="00E46C86" w:rsidRPr="00B221E0" w:rsidRDefault="00E46C86" w:rsidP="00B613BE">
      <w:pPr>
        <w:pStyle w:val="textedenotedebasdepage"/>
      </w:pPr>
      <w:r w:rsidRPr="00B613BE">
        <w:rPr>
          <w:rStyle w:val="Funotenzeichen"/>
          <w:vertAlign w:val="baseline"/>
        </w:rPr>
        <w:footnoteRef/>
      </w:r>
      <w:r w:rsidRPr="00B221E0">
        <w:t xml:space="preserve"> </w:t>
      </w:r>
      <w:r w:rsidRPr="00B221E0">
        <w:tab/>
        <w:t>Cf. https://www.bundesregierung.de/breg-de/themen/coronavirus/kontrollen-an-den-grenzen-1730742, translated from German by the author.</w:t>
      </w:r>
    </w:p>
  </w:footnote>
  <w:footnote w:id="5">
    <w:p w14:paraId="78584E74" w14:textId="5F99C5E2" w:rsidR="00E46C86" w:rsidRPr="00B221E0" w:rsidRDefault="00E46C86" w:rsidP="00B613BE">
      <w:pPr>
        <w:pStyle w:val="textedenotedebasdepage"/>
      </w:pPr>
      <w:r w:rsidRPr="00B221E0">
        <w:t xml:space="preserve"> </w:t>
      </w:r>
      <w:r w:rsidRPr="00B613BE">
        <w:rPr>
          <w:rStyle w:val="Funotenzeichen"/>
          <w:vertAlign w:val="baseline"/>
        </w:rPr>
        <w:footnoteRef/>
      </w:r>
      <w:r w:rsidRPr="00B221E0">
        <w:tab/>
        <w:t>https://fragdenstaat.de/anfrage/grenzkontrollen-2/, translated from German by the author.</w:t>
      </w:r>
    </w:p>
  </w:footnote>
  <w:footnote w:id="6">
    <w:p w14:paraId="29AD8FEC" w14:textId="77777777" w:rsidR="00B31CA6" w:rsidRPr="00B221E0" w:rsidRDefault="00B31CA6" w:rsidP="00B31CA6">
      <w:pPr>
        <w:pStyle w:val="textedenotedebasdepage"/>
      </w:pPr>
      <w:r w:rsidRPr="00B613BE">
        <w:rPr>
          <w:rStyle w:val="Funotenzeichen"/>
          <w:vertAlign w:val="baseline"/>
        </w:rPr>
        <w:footnoteRef/>
      </w:r>
      <w:r w:rsidRPr="00B221E0">
        <w:tab/>
        <w:t xml:space="preserve"> Article 288 TFEU.</w:t>
      </w:r>
    </w:p>
  </w:footnote>
  <w:footnote w:id="7">
    <w:p w14:paraId="7793B2AD" w14:textId="3A2C58DC" w:rsidR="00E46C86" w:rsidRPr="00B221E0" w:rsidRDefault="00E46C86" w:rsidP="00B613BE">
      <w:pPr>
        <w:pStyle w:val="textedenotedebasdepage"/>
      </w:pPr>
      <w:r w:rsidRPr="00B613BE">
        <w:rPr>
          <w:rStyle w:val="Funotenzeichen"/>
          <w:vertAlign w:val="baseline"/>
        </w:rPr>
        <w:footnoteRef/>
      </w:r>
      <w:r w:rsidRPr="00B221E0">
        <w:tab/>
        <w:t xml:space="preserve"> Notice of Notification of Border Crossing Points under the Temporarily Re-introduced Internal Border Controls at the Land Borders with Denmark, Luxembourg, France, Switzerland and Austria", 24.03.2020, </w:t>
      </w:r>
      <w:proofErr w:type="spellStart"/>
      <w:r w:rsidRPr="00B221E0">
        <w:t>BAnz</w:t>
      </w:r>
      <w:proofErr w:type="spellEnd"/>
      <w:r w:rsidRPr="00B221E0">
        <w:t xml:space="preserve"> AT 03.04.2020 B1.</w:t>
      </w:r>
    </w:p>
  </w:footnote>
  <w:footnote w:id="8">
    <w:p w14:paraId="25EA875B" w14:textId="77777777" w:rsidR="00E46C86" w:rsidRPr="00B221E0" w:rsidRDefault="00E46C86" w:rsidP="00B613BE">
      <w:pPr>
        <w:pStyle w:val="textedenotedebasdepage"/>
      </w:pPr>
      <w:r w:rsidRPr="00B613BE">
        <w:rPr>
          <w:rStyle w:val="Funotenzeichen"/>
          <w:vertAlign w:val="baseline"/>
        </w:rPr>
        <w:footnoteRef/>
      </w:r>
      <w:r w:rsidRPr="00B221E0">
        <w:tab/>
        <w:t xml:space="preserve"> https://gouvernement.lu/de/actualites/toutes_actualites/communiques/2020/04-avril/17-oeffnung-grenzen.html</w:t>
      </w:r>
    </w:p>
  </w:footnote>
  <w:footnote w:id="9">
    <w:p w14:paraId="56F72C99" w14:textId="2189D23E" w:rsidR="00E46C86" w:rsidRPr="00B613BE" w:rsidRDefault="00E46C86" w:rsidP="00B613BE">
      <w:pPr>
        <w:pStyle w:val="textedenotedebasdepage"/>
      </w:pPr>
      <w:r w:rsidRPr="00B613BE">
        <w:rPr>
          <w:rStyle w:val="Funotenzeichen"/>
          <w:vertAlign w:val="baseline"/>
        </w:rPr>
        <w:footnoteRef/>
      </w:r>
      <w:r w:rsidRPr="00B613BE">
        <w:tab/>
        <w:t xml:space="preserve"> See, however, Stefano </w:t>
      </w:r>
      <w:proofErr w:type="spellStart"/>
      <w:r w:rsidRPr="00B613BE">
        <w:t>Montaldo</w:t>
      </w:r>
      <w:proofErr w:type="spellEnd"/>
      <w:r w:rsidRPr="00B613BE">
        <w:t xml:space="preserve">, </w:t>
      </w:r>
      <w:r w:rsidRPr="00A41261">
        <w:rPr>
          <w:i/>
          <w:iCs/>
        </w:rPr>
        <w:t>The COVID-19 Emergency and the Reintroduction of Internal Border Controls in the Schengen Area: Never Let a Serious Crisis Go to Waste</w:t>
      </w:r>
      <w:r w:rsidRPr="00B613BE">
        <w:t>, European Papers, 04.11.2020, https://www.europeanpapers.eu, p. 5.</w:t>
      </w:r>
    </w:p>
  </w:footnote>
  <w:footnote w:id="10">
    <w:p w14:paraId="51A77060" w14:textId="1D6C3370" w:rsidR="00E46C86" w:rsidRPr="0074468F" w:rsidRDefault="00E46C86" w:rsidP="00B613BE">
      <w:pPr>
        <w:pStyle w:val="textedenotedebasdepage"/>
        <w:rPr>
          <w:lang w:val="fr-FR"/>
        </w:rPr>
      </w:pPr>
      <w:r w:rsidRPr="00B613BE">
        <w:rPr>
          <w:rStyle w:val="Funotenzeichen"/>
          <w:vertAlign w:val="baseline"/>
        </w:rPr>
        <w:footnoteRef/>
      </w:r>
      <w:r w:rsidRPr="00B221E0">
        <w:tab/>
        <w:t xml:space="preserve"> EU Commission, Guidelines on border management measures to protect public health and to ensure the availability of essential goods and services, </w:t>
      </w:r>
      <w:r w:rsidR="00810D73">
        <w:t>EU</w:t>
      </w:r>
      <w:r w:rsidRPr="00B221E0">
        <w:t xml:space="preserve">OJ C 86 I, 16 March 2020, p. 1. </w:t>
      </w:r>
      <w:proofErr w:type="spellStart"/>
      <w:r w:rsidRPr="0074468F">
        <w:rPr>
          <w:lang w:val="fr-FR"/>
        </w:rPr>
        <w:t>See</w:t>
      </w:r>
      <w:proofErr w:type="spellEnd"/>
      <w:r w:rsidRPr="0074468F">
        <w:rPr>
          <w:lang w:val="fr-FR"/>
        </w:rPr>
        <w:t xml:space="preserve"> </w:t>
      </w:r>
      <w:proofErr w:type="spellStart"/>
      <w:r w:rsidRPr="0074468F">
        <w:rPr>
          <w:lang w:val="fr-FR"/>
        </w:rPr>
        <w:t>also</w:t>
      </w:r>
      <w:proofErr w:type="spellEnd"/>
      <w:r w:rsidRPr="0074468F">
        <w:rPr>
          <w:lang w:val="fr-FR"/>
        </w:rPr>
        <w:t xml:space="preserve"> Frédérique </w:t>
      </w:r>
      <w:proofErr w:type="spellStart"/>
      <w:r w:rsidRPr="0074468F">
        <w:rPr>
          <w:lang w:val="fr-FR"/>
        </w:rPr>
        <w:t>Berrod</w:t>
      </w:r>
      <w:proofErr w:type="spellEnd"/>
      <w:r w:rsidRPr="0074468F">
        <w:rPr>
          <w:lang w:val="fr-FR"/>
        </w:rPr>
        <w:t xml:space="preserve">, </w:t>
      </w:r>
      <w:r w:rsidRPr="00A41261">
        <w:rPr>
          <w:i/>
          <w:iCs/>
          <w:lang w:val="fr-FR"/>
        </w:rPr>
        <w:t>L'Union européenne et la COVID-19 ou le réarmement des frontières</w:t>
      </w:r>
      <w:r w:rsidRPr="0074468F">
        <w:rPr>
          <w:lang w:val="fr-FR"/>
        </w:rPr>
        <w:t xml:space="preserve">, Europe, </w:t>
      </w:r>
      <w:proofErr w:type="spellStart"/>
      <w:r w:rsidRPr="0074468F">
        <w:rPr>
          <w:lang w:val="fr-FR"/>
        </w:rPr>
        <w:t>November</w:t>
      </w:r>
      <w:proofErr w:type="spellEnd"/>
      <w:r w:rsidRPr="0074468F">
        <w:rPr>
          <w:lang w:val="fr-FR"/>
        </w:rPr>
        <w:t xml:space="preserve"> 2020, pp. 4-9.</w:t>
      </w:r>
    </w:p>
  </w:footnote>
  <w:footnote w:id="11">
    <w:p w14:paraId="3324CA67" w14:textId="4A53D94A" w:rsidR="00E46C86" w:rsidRPr="00B221E0" w:rsidRDefault="00E46C86" w:rsidP="00B613BE">
      <w:pPr>
        <w:pStyle w:val="textedenotedebasdepage"/>
      </w:pPr>
      <w:r w:rsidRPr="00B613BE">
        <w:rPr>
          <w:rStyle w:val="Funotenzeichen"/>
          <w:vertAlign w:val="baseline"/>
        </w:rPr>
        <w:footnoteRef/>
      </w:r>
      <w:r w:rsidRPr="00B221E0">
        <w:tab/>
        <w:t xml:space="preserve"> See </w:t>
      </w:r>
      <w:proofErr w:type="spellStart"/>
      <w:r w:rsidRPr="00B221E0">
        <w:t>Frédérique</w:t>
      </w:r>
      <w:proofErr w:type="spellEnd"/>
      <w:r w:rsidRPr="00B221E0">
        <w:t xml:space="preserve"> </w:t>
      </w:r>
      <w:proofErr w:type="spellStart"/>
      <w:r w:rsidRPr="00B221E0">
        <w:t>Berrod</w:t>
      </w:r>
      <w:proofErr w:type="spellEnd"/>
      <w:r w:rsidRPr="00B221E0">
        <w:t xml:space="preserve">, op. </w:t>
      </w:r>
      <w:proofErr w:type="spellStart"/>
      <w:r w:rsidRPr="00B221E0">
        <w:t>cit</w:t>
      </w:r>
      <w:proofErr w:type="spellEnd"/>
      <w:r w:rsidRPr="00B221E0">
        <w:t>, p. 5.</w:t>
      </w:r>
    </w:p>
  </w:footnote>
  <w:footnote w:id="12">
    <w:p w14:paraId="52A144F8" w14:textId="48DE675F" w:rsidR="00E46C86" w:rsidRPr="00B221E0" w:rsidRDefault="00E46C86" w:rsidP="00B613BE">
      <w:pPr>
        <w:pStyle w:val="textedenotedebasdepage"/>
      </w:pPr>
      <w:r w:rsidRPr="00B613BE">
        <w:rPr>
          <w:rStyle w:val="Funotenzeichen"/>
          <w:vertAlign w:val="baseline"/>
        </w:rPr>
        <w:footnoteRef/>
      </w:r>
      <w:r w:rsidRPr="00B221E0">
        <w:tab/>
        <w:t xml:space="preserve"> See in particular </w:t>
      </w:r>
      <w:r w:rsidR="008B0D9D">
        <w:t>ECJ</w:t>
      </w:r>
      <w:r w:rsidRPr="00B221E0">
        <w:t xml:space="preserve">, 30 November 1995, </w:t>
      </w:r>
      <w:proofErr w:type="spellStart"/>
      <w:r w:rsidRPr="00B221E0">
        <w:t>Gebhard</w:t>
      </w:r>
      <w:proofErr w:type="spellEnd"/>
      <w:r w:rsidRPr="00B221E0">
        <w:t>, Case C-55/94, ECLI:EU:C:1995:411, paragraph 37. "However, it follows from the case law of the Court that national measures liable to impede or render less attractive the exercise of the fundamental freedoms guaranteed by the Treaty must satisfy four conditions: they must be applied in a non-discriminatory manner, they must be justified by overriding reasons relating to the public interest, they must be suitable for securing the attainment of the objective which they pursue and they must not go beyond what is necessary to attain that objective (see judgment of 31 March 1993, Kraus, C-19/92, ECR I-1975, paragraph 37). p. I-1663, paragraph 32)".</w:t>
      </w:r>
    </w:p>
  </w:footnote>
  <w:footnote w:id="13">
    <w:p w14:paraId="788D15DB" w14:textId="6893AD5D" w:rsidR="00C537D1" w:rsidRPr="0074468F" w:rsidRDefault="00C537D1" w:rsidP="00B613BE">
      <w:pPr>
        <w:pStyle w:val="textedenotedebasdepage"/>
        <w:rPr>
          <w:lang w:val="fr-FR"/>
        </w:rPr>
      </w:pPr>
      <w:r w:rsidRPr="00B613BE">
        <w:rPr>
          <w:rStyle w:val="Funotenzeichen"/>
          <w:vertAlign w:val="baseline"/>
        </w:rPr>
        <w:footnoteRef/>
      </w:r>
      <w:r w:rsidR="004E5BBC" w:rsidRPr="0074468F">
        <w:rPr>
          <w:lang w:val="fr-FR"/>
        </w:rPr>
        <w:tab/>
      </w:r>
      <w:proofErr w:type="spellStart"/>
      <w:r w:rsidRPr="0074468F">
        <w:rPr>
          <w:lang w:val="fr-FR"/>
        </w:rPr>
        <w:t>See</w:t>
      </w:r>
      <w:proofErr w:type="spellEnd"/>
      <w:r w:rsidRPr="0074468F">
        <w:rPr>
          <w:lang w:val="fr-FR"/>
        </w:rPr>
        <w:t xml:space="preserve"> </w:t>
      </w:r>
      <w:proofErr w:type="spellStart"/>
      <w:r w:rsidRPr="0074468F">
        <w:rPr>
          <w:lang w:val="fr-FR"/>
        </w:rPr>
        <w:t>also</w:t>
      </w:r>
      <w:proofErr w:type="spellEnd"/>
      <w:r w:rsidRPr="0074468F">
        <w:rPr>
          <w:lang w:val="fr-FR"/>
        </w:rPr>
        <w:t xml:space="preserve"> Aude Bouveresse, </w:t>
      </w:r>
      <w:r w:rsidRPr="00EC2C29">
        <w:rPr>
          <w:i/>
          <w:iCs/>
          <w:lang w:val="fr-FR"/>
        </w:rPr>
        <w:t xml:space="preserve">La libre circulation des personnes à l'épreuve du COVID-19: extremis malis extrema </w:t>
      </w:r>
      <w:proofErr w:type="spellStart"/>
      <w:r w:rsidRPr="00EC2C29">
        <w:rPr>
          <w:i/>
          <w:iCs/>
          <w:lang w:val="fr-FR"/>
        </w:rPr>
        <w:t>remedia</w:t>
      </w:r>
      <w:proofErr w:type="spellEnd"/>
      <w:r w:rsidRPr="0074468F">
        <w:rPr>
          <w:lang w:val="fr-FR"/>
        </w:rPr>
        <w:t>, RTDE 2020, pp. 509-530.</w:t>
      </w:r>
    </w:p>
  </w:footnote>
  <w:footnote w:id="14">
    <w:p w14:paraId="2A9A3750" w14:textId="7BDF52D8" w:rsidR="005409F2" w:rsidRPr="00B221E0" w:rsidRDefault="005409F2" w:rsidP="00B613BE">
      <w:pPr>
        <w:pStyle w:val="textedenotedebasdepage"/>
      </w:pPr>
      <w:r w:rsidRPr="00B613BE">
        <w:rPr>
          <w:rStyle w:val="Funotenzeichen"/>
          <w:vertAlign w:val="baseline"/>
        </w:rPr>
        <w:footnoteRef/>
      </w:r>
      <w:r w:rsidR="005E07E2" w:rsidRPr="00B221E0">
        <w:tab/>
        <w:t xml:space="preserve"> Directive 2004/38/EC of the European Parliament and of the Council of 29 April 2004 on the right of citizens of the Union and their family members to move and reside freely within the territory of the Member States, OJ L 158, 30.4.2004, p. 77-123.</w:t>
      </w:r>
    </w:p>
  </w:footnote>
  <w:footnote w:id="15">
    <w:p w14:paraId="5CFCE8A9" w14:textId="5DC8A4F9" w:rsidR="007A34D4" w:rsidRPr="00B221E0" w:rsidRDefault="007A34D4" w:rsidP="00B613BE">
      <w:pPr>
        <w:pStyle w:val="textedenotedebasdepage"/>
      </w:pPr>
      <w:r w:rsidRPr="00B221E0">
        <w:t xml:space="preserve"> </w:t>
      </w:r>
      <w:r w:rsidRPr="00B613BE">
        <w:rPr>
          <w:rStyle w:val="Funotenzeichen"/>
          <w:vertAlign w:val="baseline"/>
        </w:rPr>
        <w:footnoteRef/>
      </w:r>
      <w:r w:rsidR="000A084E" w:rsidRPr="00B221E0">
        <w:tab/>
      </w:r>
      <w:r w:rsidRPr="00B221E0">
        <w:t xml:space="preserve">Thomas Klein, Ticking time bomb. A ruling by the German Constitutional Court raises existential questions for the European Union, </w:t>
      </w:r>
      <w:proofErr w:type="spellStart"/>
      <w:r w:rsidRPr="00B221E0">
        <w:t>Luxemburger</w:t>
      </w:r>
      <w:proofErr w:type="spellEnd"/>
      <w:r w:rsidRPr="00B221E0">
        <w:t xml:space="preserve"> Wort, </w:t>
      </w:r>
      <w:r w:rsidR="000A084E" w:rsidRPr="00B221E0">
        <w:t xml:space="preserve">17 </w:t>
      </w:r>
      <w:proofErr w:type="spellStart"/>
      <w:r w:rsidR="000A084E" w:rsidRPr="00B221E0">
        <w:t>juin</w:t>
      </w:r>
      <w:proofErr w:type="spellEnd"/>
      <w:r w:rsidR="000A084E" w:rsidRPr="00B221E0">
        <w:t xml:space="preserve"> 2020, p. 16 avec un interview de </w:t>
      </w:r>
      <w:proofErr w:type="spellStart"/>
      <w:r w:rsidR="000A084E" w:rsidRPr="00B221E0">
        <w:t>l'auteur</w:t>
      </w:r>
      <w:proofErr w:type="spellEnd"/>
      <w:r w:rsidR="000A084E" w:rsidRPr="00B221E0">
        <w:t xml:space="preserve"> de </w:t>
      </w:r>
      <w:proofErr w:type="spellStart"/>
      <w:r w:rsidR="000A084E" w:rsidRPr="00B221E0">
        <w:t>cette</w:t>
      </w:r>
      <w:proofErr w:type="spellEnd"/>
      <w:r w:rsidR="000A084E" w:rsidRPr="00B221E0">
        <w:t xml:space="preserve"> contribution.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76643"/>
    <w:multiLevelType w:val="hybridMultilevel"/>
    <w:tmpl w:val="6E2C2F12"/>
    <w:lvl w:ilvl="0" w:tplc="45F05446">
      <w:start w:val="1"/>
      <w:numFmt w:val="upperLetter"/>
      <w:pStyle w:val="berschrift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2869A7"/>
    <w:multiLevelType w:val="hybridMultilevel"/>
    <w:tmpl w:val="3190EED0"/>
    <w:lvl w:ilvl="0" w:tplc="3E64E5DE">
      <w:start w:val="1"/>
      <w:numFmt w:val="upperRoman"/>
      <w:pStyle w:val="berschrift1"/>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94"/>
    <w:rsid w:val="00010CE2"/>
    <w:rsid w:val="00012701"/>
    <w:rsid w:val="0001444C"/>
    <w:rsid w:val="00016217"/>
    <w:rsid w:val="00017BA0"/>
    <w:rsid w:val="00021442"/>
    <w:rsid w:val="0002160F"/>
    <w:rsid w:val="000354B8"/>
    <w:rsid w:val="00044689"/>
    <w:rsid w:val="00047748"/>
    <w:rsid w:val="0005248F"/>
    <w:rsid w:val="00063BE0"/>
    <w:rsid w:val="0006614E"/>
    <w:rsid w:val="00066315"/>
    <w:rsid w:val="000735A9"/>
    <w:rsid w:val="000745FE"/>
    <w:rsid w:val="00074E1D"/>
    <w:rsid w:val="0007610F"/>
    <w:rsid w:val="000776E8"/>
    <w:rsid w:val="00082B1D"/>
    <w:rsid w:val="000864DE"/>
    <w:rsid w:val="000879FB"/>
    <w:rsid w:val="00090F88"/>
    <w:rsid w:val="000957B5"/>
    <w:rsid w:val="000972E5"/>
    <w:rsid w:val="000A02E2"/>
    <w:rsid w:val="000A084E"/>
    <w:rsid w:val="000A5B94"/>
    <w:rsid w:val="000A5D34"/>
    <w:rsid w:val="000A647E"/>
    <w:rsid w:val="000B00EA"/>
    <w:rsid w:val="000B440E"/>
    <w:rsid w:val="000B6426"/>
    <w:rsid w:val="000D5FFD"/>
    <w:rsid w:val="000E3177"/>
    <w:rsid w:val="000E3DF0"/>
    <w:rsid w:val="000E7D30"/>
    <w:rsid w:val="000F6722"/>
    <w:rsid w:val="00100D58"/>
    <w:rsid w:val="001050D3"/>
    <w:rsid w:val="001056C7"/>
    <w:rsid w:val="001077DC"/>
    <w:rsid w:val="00107C43"/>
    <w:rsid w:val="00113A30"/>
    <w:rsid w:val="00123817"/>
    <w:rsid w:val="00132B94"/>
    <w:rsid w:val="00137560"/>
    <w:rsid w:val="00143720"/>
    <w:rsid w:val="00150966"/>
    <w:rsid w:val="001522CD"/>
    <w:rsid w:val="00157ABA"/>
    <w:rsid w:val="00165103"/>
    <w:rsid w:val="001656D1"/>
    <w:rsid w:val="001769BE"/>
    <w:rsid w:val="00177495"/>
    <w:rsid w:val="001870A0"/>
    <w:rsid w:val="00191360"/>
    <w:rsid w:val="001917E5"/>
    <w:rsid w:val="001957C2"/>
    <w:rsid w:val="001A0413"/>
    <w:rsid w:val="001A2457"/>
    <w:rsid w:val="001A4CB3"/>
    <w:rsid w:val="001B14C1"/>
    <w:rsid w:val="001B1A5E"/>
    <w:rsid w:val="001B4046"/>
    <w:rsid w:val="001B736B"/>
    <w:rsid w:val="001C28FB"/>
    <w:rsid w:val="001C3C80"/>
    <w:rsid w:val="001C6410"/>
    <w:rsid w:val="001D0992"/>
    <w:rsid w:val="001D18E0"/>
    <w:rsid w:val="001D2727"/>
    <w:rsid w:val="001D30BF"/>
    <w:rsid w:val="001D4907"/>
    <w:rsid w:val="001D6250"/>
    <w:rsid w:val="001D7315"/>
    <w:rsid w:val="001E3A85"/>
    <w:rsid w:val="001E55DB"/>
    <w:rsid w:val="001F4A61"/>
    <w:rsid w:val="001F69D7"/>
    <w:rsid w:val="00200BC9"/>
    <w:rsid w:val="00204A93"/>
    <w:rsid w:val="00204E4A"/>
    <w:rsid w:val="0020731F"/>
    <w:rsid w:val="00213AAC"/>
    <w:rsid w:val="002171B7"/>
    <w:rsid w:val="00220752"/>
    <w:rsid w:val="0022448B"/>
    <w:rsid w:val="00226DA1"/>
    <w:rsid w:val="00233BD1"/>
    <w:rsid w:val="00256F63"/>
    <w:rsid w:val="0025727F"/>
    <w:rsid w:val="00265546"/>
    <w:rsid w:val="00265748"/>
    <w:rsid w:val="002662B5"/>
    <w:rsid w:val="00271E27"/>
    <w:rsid w:val="00285429"/>
    <w:rsid w:val="00292969"/>
    <w:rsid w:val="0029693C"/>
    <w:rsid w:val="002A6A60"/>
    <w:rsid w:val="002A7583"/>
    <w:rsid w:val="002B0CBD"/>
    <w:rsid w:val="002B23B5"/>
    <w:rsid w:val="002B6269"/>
    <w:rsid w:val="002B6A5B"/>
    <w:rsid w:val="002C0DCC"/>
    <w:rsid w:val="002D43B2"/>
    <w:rsid w:val="002E02FF"/>
    <w:rsid w:val="002E2589"/>
    <w:rsid w:val="002F1CA1"/>
    <w:rsid w:val="002F2D34"/>
    <w:rsid w:val="002F7960"/>
    <w:rsid w:val="002F7FC6"/>
    <w:rsid w:val="00304326"/>
    <w:rsid w:val="0030497C"/>
    <w:rsid w:val="00311E58"/>
    <w:rsid w:val="0031407D"/>
    <w:rsid w:val="00321654"/>
    <w:rsid w:val="00323EC2"/>
    <w:rsid w:val="00324E48"/>
    <w:rsid w:val="00325B7D"/>
    <w:rsid w:val="00337788"/>
    <w:rsid w:val="00340C33"/>
    <w:rsid w:val="0034300C"/>
    <w:rsid w:val="003448BC"/>
    <w:rsid w:val="00345E5A"/>
    <w:rsid w:val="0034620B"/>
    <w:rsid w:val="003529C1"/>
    <w:rsid w:val="003631E9"/>
    <w:rsid w:val="003676C6"/>
    <w:rsid w:val="00370B2C"/>
    <w:rsid w:val="0037290A"/>
    <w:rsid w:val="00372A24"/>
    <w:rsid w:val="00374E97"/>
    <w:rsid w:val="00385707"/>
    <w:rsid w:val="00386A99"/>
    <w:rsid w:val="003A199D"/>
    <w:rsid w:val="003A356D"/>
    <w:rsid w:val="003B0B93"/>
    <w:rsid w:val="003B5E37"/>
    <w:rsid w:val="003C6234"/>
    <w:rsid w:val="003E06A1"/>
    <w:rsid w:val="003E2180"/>
    <w:rsid w:val="003E54C7"/>
    <w:rsid w:val="003E5AEF"/>
    <w:rsid w:val="003F29F2"/>
    <w:rsid w:val="00407593"/>
    <w:rsid w:val="004133F0"/>
    <w:rsid w:val="00413889"/>
    <w:rsid w:val="00422461"/>
    <w:rsid w:val="004345E4"/>
    <w:rsid w:val="00435BE4"/>
    <w:rsid w:val="00441577"/>
    <w:rsid w:val="00443134"/>
    <w:rsid w:val="004435BE"/>
    <w:rsid w:val="0044622A"/>
    <w:rsid w:val="004505CE"/>
    <w:rsid w:val="00451C52"/>
    <w:rsid w:val="00452FE8"/>
    <w:rsid w:val="00453FA4"/>
    <w:rsid w:val="0045623E"/>
    <w:rsid w:val="00456571"/>
    <w:rsid w:val="00456864"/>
    <w:rsid w:val="00461C8A"/>
    <w:rsid w:val="0046446B"/>
    <w:rsid w:val="00464579"/>
    <w:rsid w:val="00470747"/>
    <w:rsid w:val="004712C4"/>
    <w:rsid w:val="00474619"/>
    <w:rsid w:val="0048039E"/>
    <w:rsid w:val="004928FF"/>
    <w:rsid w:val="00492B1E"/>
    <w:rsid w:val="004951CD"/>
    <w:rsid w:val="004A648A"/>
    <w:rsid w:val="004B2C52"/>
    <w:rsid w:val="004B2E0A"/>
    <w:rsid w:val="004B75F3"/>
    <w:rsid w:val="004D09A4"/>
    <w:rsid w:val="004D1EDB"/>
    <w:rsid w:val="004D3CF0"/>
    <w:rsid w:val="004D52E4"/>
    <w:rsid w:val="004E0EDA"/>
    <w:rsid w:val="004E37E3"/>
    <w:rsid w:val="004E4676"/>
    <w:rsid w:val="004E5326"/>
    <w:rsid w:val="004E5BBC"/>
    <w:rsid w:val="004F5EA4"/>
    <w:rsid w:val="0050056E"/>
    <w:rsid w:val="00511F18"/>
    <w:rsid w:val="005131F3"/>
    <w:rsid w:val="005140F5"/>
    <w:rsid w:val="00514CD7"/>
    <w:rsid w:val="0051750F"/>
    <w:rsid w:val="00520332"/>
    <w:rsid w:val="0052214F"/>
    <w:rsid w:val="0053492A"/>
    <w:rsid w:val="005409F2"/>
    <w:rsid w:val="0054294C"/>
    <w:rsid w:val="00542DAA"/>
    <w:rsid w:val="005449C8"/>
    <w:rsid w:val="00546142"/>
    <w:rsid w:val="00547290"/>
    <w:rsid w:val="00550F02"/>
    <w:rsid w:val="005532C0"/>
    <w:rsid w:val="00556BFF"/>
    <w:rsid w:val="00560EC4"/>
    <w:rsid w:val="0056412B"/>
    <w:rsid w:val="00565995"/>
    <w:rsid w:val="0056604E"/>
    <w:rsid w:val="00566AE9"/>
    <w:rsid w:val="0057170B"/>
    <w:rsid w:val="00573F0D"/>
    <w:rsid w:val="00580F85"/>
    <w:rsid w:val="005813E7"/>
    <w:rsid w:val="00587C6D"/>
    <w:rsid w:val="005919A0"/>
    <w:rsid w:val="00591A2F"/>
    <w:rsid w:val="005929D8"/>
    <w:rsid w:val="00593BA3"/>
    <w:rsid w:val="00594F2D"/>
    <w:rsid w:val="00597C47"/>
    <w:rsid w:val="005A6873"/>
    <w:rsid w:val="005A6FA7"/>
    <w:rsid w:val="005B092D"/>
    <w:rsid w:val="005B5C5C"/>
    <w:rsid w:val="005C13B6"/>
    <w:rsid w:val="005C2940"/>
    <w:rsid w:val="005C63DD"/>
    <w:rsid w:val="005D1FD1"/>
    <w:rsid w:val="005D2DAA"/>
    <w:rsid w:val="005D7E6E"/>
    <w:rsid w:val="005E07E2"/>
    <w:rsid w:val="005E2F21"/>
    <w:rsid w:val="005E3C8A"/>
    <w:rsid w:val="005E56EA"/>
    <w:rsid w:val="005F1AFC"/>
    <w:rsid w:val="005F6138"/>
    <w:rsid w:val="00604CAD"/>
    <w:rsid w:val="006054BC"/>
    <w:rsid w:val="0061374A"/>
    <w:rsid w:val="006146D8"/>
    <w:rsid w:val="00615289"/>
    <w:rsid w:val="006153E7"/>
    <w:rsid w:val="00616131"/>
    <w:rsid w:val="006245DA"/>
    <w:rsid w:val="00630CD9"/>
    <w:rsid w:val="006332FA"/>
    <w:rsid w:val="00635941"/>
    <w:rsid w:val="00640613"/>
    <w:rsid w:val="0064335E"/>
    <w:rsid w:val="00645936"/>
    <w:rsid w:val="006460FB"/>
    <w:rsid w:val="0064731D"/>
    <w:rsid w:val="006518AA"/>
    <w:rsid w:val="00651B49"/>
    <w:rsid w:val="00662155"/>
    <w:rsid w:val="00662B14"/>
    <w:rsid w:val="00683354"/>
    <w:rsid w:val="006864B2"/>
    <w:rsid w:val="00686E6D"/>
    <w:rsid w:val="006A1BCD"/>
    <w:rsid w:val="006A25CB"/>
    <w:rsid w:val="006A2EC5"/>
    <w:rsid w:val="006A3FDB"/>
    <w:rsid w:val="006B1549"/>
    <w:rsid w:val="006C0C12"/>
    <w:rsid w:val="006C687B"/>
    <w:rsid w:val="006C78BB"/>
    <w:rsid w:val="006D24DE"/>
    <w:rsid w:val="006D316A"/>
    <w:rsid w:val="006E5650"/>
    <w:rsid w:val="006E641A"/>
    <w:rsid w:val="006E6CDC"/>
    <w:rsid w:val="006E6F10"/>
    <w:rsid w:val="006F530A"/>
    <w:rsid w:val="007019FA"/>
    <w:rsid w:val="0070457A"/>
    <w:rsid w:val="007072D5"/>
    <w:rsid w:val="00707FB9"/>
    <w:rsid w:val="00716F66"/>
    <w:rsid w:val="00721F7F"/>
    <w:rsid w:val="0072361C"/>
    <w:rsid w:val="007258C1"/>
    <w:rsid w:val="00735CAB"/>
    <w:rsid w:val="00735E10"/>
    <w:rsid w:val="00744603"/>
    <w:rsid w:val="0074468F"/>
    <w:rsid w:val="00751897"/>
    <w:rsid w:val="0075532C"/>
    <w:rsid w:val="0075542F"/>
    <w:rsid w:val="0075632D"/>
    <w:rsid w:val="00757FAB"/>
    <w:rsid w:val="0076118E"/>
    <w:rsid w:val="0076426A"/>
    <w:rsid w:val="007661CF"/>
    <w:rsid w:val="007707E2"/>
    <w:rsid w:val="00773679"/>
    <w:rsid w:val="00781D8E"/>
    <w:rsid w:val="00784C76"/>
    <w:rsid w:val="00790654"/>
    <w:rsid w:val="00790AC8"/>
    <w:rsid w:val="007A2A5C"/>
    <w:rsid w:val="007A34D4"/>
    <w:rsid w:val="007A4E50"/>
    <w:rsid w:val="007B123C"/>
    <w:rsid w:val="007B1410"/>
    <w:rsid w:val="007B47C3"/>
    <w:rsid w:val="007B6F21"/>
    <w:rsid w:val="007C22DF"/>
    <w:rsid w:val="007C54EB"/>
    <w:rsid w:val="007D5496"/>
    <w:rsid w:val="007E2A18"/>
    <w:rsid w:val="007E5CB9"/>
    <w:rsid w:val="007E6AD3"/>
    <w:rsid w:val="007E6F39"/>
    <w:rsid w:val="007F58D7"/>
    <w:rsid w:val="007F76FE"/>
    <w:rsid w:val="00801F0C"/>
    <w:rsid w:val="00805985"/>
    <w:rsid w:val="0080748B"/>
    <w:rsid w:val="00810D73"/>
    <w:rsid w:val="008133BE"/>
    <w:rsid w:val="00815D1F"/>
    <w:rsid w:val="0081692E"/>
    <w:rsid w:val="00823C5F"/>
    <w:rsid w:val="00823E88"/>
    <w:rsid w:val="00827827"/>
    <w:rsid w:val="00830832"/>
    <w:rsid w:val="00830E33"/>
    <w:rsid w:val="00831254"/>
    <w:rsid w:val="008322EC"/>
    <w:rsid w:val="0083284E"/>
    <w:rsid w:val="008368A0"/>
    <w:rsid w:val="00843145"/>
    <w:rsid w:val="00850708"/>
    <w:rsid w:val="0085299F"/>
    <w:rsid w:val="00855C11"/>
    <w:rsid w:val="00862DBC"/>
    <w:rsid w:val="00863AC3"/>
    <w:rsid w:val="00864667"/>
    <w:rsid w:val="0087168E"/>
    <w:rsid w:val="00871F2A"/>
    <w:rsid w:val="008742D3"/>
    <w:rsid w:val="008755D8"/>
    <w:rsid w:val="008758AD"/>
    <w:rsid w:val="00881312"/>
    <w:rsid w:val="00883069"/>
    <w:rsid w:val="00886DD0"/>
    <w:rsid w:val="008875E8"/>
    <w:rsid w:val="008938F5"/>
    <w:rsid w:val="008952AC"/>
    <w:rsid w:val="008A221C"/>
    <w:rsid w:val="008B0D9D"/>
    <w:rsid w:val="008B3A37"/>
    <w:rsid w:val="008B4C23"/>
    <w:rsid w:val="008B763C"/>
    <w:rsid w:val="008B79BD"/>
    <w:rsid w:val="008B7F4C"/>
    <w:rsid w:val="008C503F"/>
    <w:rsid w:val="008C56D6"/>
    <w:rsid w:val="008C7A9A"/>
    <w:rsid w:val="008D06B6"/>
    <w:rsid w:val="008D21D1"/>
    <w:rsid w:val="008D7681"/>
    <w:rsid w:val="008E337E"/>
    <w:rsid w:val="008E3FD2"/>
    <w:rsid w:val="008F20F5"/>
    <w:rsid w:val="0090283D"/>
    <w:rsid w:val="00904FA6"/>
    <w:rsid w:val="00905FBA"/>
    <w:rsid w:val="00906AE6"/>
    <w:rsid w:val="00906F86"/>
    <w:rsid w:val="009108C7"/>
    <w:rsid w:val="00913086"/>
    <w:rsid w:val="00917DE8"/>
    <w:rsid w:val="0093423C"/>
    <w:rsid w:val="00935810"/>
    <w:rsid w:val="00945BA4"/>
    <w:rsid w:val="00946553"/>
    <w:rsid w:val="00954491"/>
    <w:rsid w:val="0095479F"/>
    <w:rsid w:val="009618BD"/>
    <w:rsid w:val="0096601A"/>
    <w:rsid w:val="00966C44"/>
    <w:rsid w:val="00971ABB"/>
    <w:rsid w:val="009722AA"/>
    <w:rsid w:val="009739CB"/>
    <w:rsid w:val="0097420C"/>
    <w:rsid w:val="00976423"/>
    <w:rsid w:val="00980083"/>
    <w:rsid w:val="00984C56"/>
    <w:rsid w:val="00985503"/>
    <w:rsid w:val="0099196E"/>
    <w:rsid w:val="00993517"/>
    <w:rsid w:val="00995A81"/>
    <w:rsid w:val="00996A25"/>
    <w:rsid w:val="009B3D4E"/>
    <w:rsid w:val="009B4E88"/>
    <w:rsid w:val="009B6ED1"/>
    <w:rsid w:val="009C2559"/>
    <w:rsid w:val="009D121A"/>
    <w:rsid w:val="009D5C63"/>
    <w:rsid w:val="009D6B3D"/>
    <w:rsid w:val="009D6EE5"/>
    <w:rsid w:val="009E34C1"/>
    <w:rsid w:val="009E3A50"/>
    <w:rsid w:val="009F1E6C"/>
    <w:rsid w:val="009F2958"/>
    <w:rsid w:val="009F4182"/>
    <w:rsid w:val="00A01378"/>
    <w:rsid w:val="00A0365F"/>
    <w:rsid w:val="00A040BC"/>
    <w:rsid w:val="00A147D7"/>
    <w:rsid w:val="00A15B5E"/>
    <w:rsid w:val="00A22C6E"/>
    <w:rsid w:val="00A250AA"/>
    <w:rsid w:val="00A32569"/>
    <w:rsid w:val="00A32BBA"/>
    <w:rsid w:val="00A33634"/>
    <w:rsid w:val="00A365B4"/>
    <w:rsid w:val="00A41261"/>
    <w:rsid w:val="00A41988"/>
    <w:rsid w:val="00A47F4F"/>
    <w:rsid w:val="00A50CB2"/>
    <w:rsid w:val="00A53D77"/>
    <w:rsid w:val="00A66419"/>
    <w:rsid w:val="00A70399"/>
    <w:rsid w:val="00A7080A"/>
    <w:rsid w:val="00A80C1A"/>
    <w:rsid w:val="00A829C5"/>
    <w:rsid w:val="00A85587"/>
    <w:rsid w:val="00A95940"/>
    <w:rsid w:val="00A96344"/>
    <w:rsid w:val="00AB3E5F"/>
    <w:rsid w:val="00AB4E9A"/>
    <w:rsid w:val="00AB7857"/>
    <w:rsid w:val="00AC1E14"/>
    <w:rsid w:val="00AC2D6D"/>
    <w:rsid w:val="00AC300D"/>
    <w:rsid w:val="00AC4EA3"/>
    <w:rsid w:val="00AD54F6"/>
    <w:rsid w:val="00AF6B61"/>
    <w:rsid w:val="00B0167B"/>
    <w:rsid w:val="00B03165"/>
    <w:rsid w:val="00B03205"/>
    <w:rsid w:val="00B04DB1"/>
    <w:rsid w:val="00B15040"/>
    <w:rsid w:val="00B221E0"/>
    <w:rsid w:val="00B234D8"/>
    <w:rsid w:val="00B23664"/>
    <w:rsid w:val="00B258A7"/>
    <w:rsid w:val="00B31CA6"/>
    <w:rsid w:val="00B41169"/>
    <w:rsid w:val="00B42E46"/>
    <w:rsid w:val="00B451B7"/>
    <w:rsid w:val="00B45703"/>
    <w:rsid w:val="00B461E3"/>
    <w:rsid w:val="00B515A6"/>
    <w:rsid w:val="00B51F6B"/>
    <w:rsid w:val="00B521EC"/>
    <w:rsid w:val="00B613BE"/>
    <w:rsid w:val="00B6732D"/>
    <w:rsid w:val="00B71039"/>
    <w:rsid w:val="00B71079"/>
    <w:rsid w:val="00B807F1"/>
    <w:rsid w:val="00B82C81"/>
    <w:rsid w:val="00B87673"/>
    <w:rsid w:val="00B92585"/>
    <w:rsid w:val="00B943E1"/>
    <w:rsid w:val="00B950E9"/>
    <w:rsid w:val="00B95FA5"/>
    <w:rsid w:val="00BA0DD6"/>
    <w:rsid w:val="00BA1506"/>
    <w:rsid w:val="00BA1B2A"/>
    <w:rsid w:val="00BA32A2"/>
    <w:rsid w:val="00BA6C45"/>
    <w:rsid w:val="00BA7994"/>
    <w:rsid w:val="00BC1465"/>
    <w:rsid w:val="00BC1BC1"/>
    <w:rsid w:val="00BC3B82"/>
    <w:rsid w:val="00BC5EF6"/>
    <w:rsid w:val="00BC72CB"/>
    <w:rsid w:val="00BD035B"/>
    <w:rsid w:val="00BD04F1"/>
    <w:rsid w:val="00BD2F35"/>
    <w:rsid w:val="00BD3204"/>
    <w:rsid w:val="00BD56D0"/>
    <w:rsid w:val="00BD6CE9"/>
    <w:rsid w:val="00BE1C43"/>
    <w:rsid w:val="00BE56E8"/>
    <w:rsid w:val="00BE5731"/>
    <w:rsid w:val="00BE5C8A"/>
    <w:rsid w:val="00BE5DE8"/>
    <w:rsid w:val="00BF57A9"/>
    <w:rsid w:val="00BF6CD4"/>
    <w:rsid w:val="00C05081"/>
    <w:rsid w:val="00C07306"/>
    <w:rsid w:val="00C079F6"/>
    <w:rsid w:val="00C146A0"/>
    <w:rsid w:val="00C26B2B"/>
    <w:rsid w:val="00C30366"/>
    <w:rsid w:val="00C326C8"/>
    <w:rsid w:val="00C36E41"/>
    <w:rsid w:val="00C411AD"/>
    <w:rsid w:val="00C4247B"/>
    <w:rsid w:val="00C426D7"/>
    <w:rsid w:val="00C447D1"/>
    <w:rsid w:val="00C44C84"/>
    <w:rsid w:val="00C537D1"/>
    <w:rsid w:val="00C61462"/>
    <w:rsid w:val="00C62FEE"/>
    <w:rsid w:val="00C72616"/>
    <w:rsid w:val="00C915EB"/>
    <w:rsid w:val="00CA3885"/>
    <w:rsid w:val="00CA3D8F"/>
    <w:rsid w:val="00CA3F99"/>
    <w:rsid w:val="00CB016A"/>
    <w:rsid w:val="00CB16A5"/>
    <w:rsid w:val="00CB4D2F"/>
    <w:rsid w:val="00CC1B0F"/>
    <w:rsid w:val="00CC26D8"/>
    <w:rsid w:val="00CE4AEB"/>
    <w:rsid w:val="00D01369"/>
    <w:rsid w:val="00D043A2"/>
    <w:rsid w:val="00D0749F"/>
    <w:rsid w:val="00D10D3A"/>
    <w:rsid w:val="00D15DB8"/>
    <w:rsid w:val="00D17847"/>
    <w:rsid w:val="00D26627"/>
    <w:rsid w:val="00D3405C"/>
    <w:rsid w:val="00D34CAF"/>
    <w:rsid w:val="00D36415"/>
    <w:rsid w:val="00D36BB8"/>
    <w:rsid w:val="00D426A1"/>
    <w:rsid w:val="00D42B88"/>
    <w:rsid w:val="00D53443"/>
    <w:rsid w:val="00D63EC1"/>
    <w:rsid w:val="00D70881"/>
    <w:rsid w:val="00D70E6F"/>
    <w:rsid w:val="00D752E7"/>
    <w:rsid w:val="00D75E87"/>
    <w:rsid w:val="00D76157"/>
    <w:rsid w:val="00D8111D"/>
    <w:rsid w:val="00D81306"/>
    <w:rsid w:val="00D8393E"/>
    <w:rsid w:val="00D93B8D"/>
    <w:rsid w:val="00D95717"/>
    <w:rsid w:val="00DB2E64"/>
    <w:rsid w:val="00DC3AAD"/>
    <w:rsid w:val="00DC3B94"/>
    <w:rsid w:val="00DC72C7"/>
    <w:rsid w:val="00DD2453"/>
    <w:rsid w:val="00DE3883"/>
    <w:rsid w:val="00DE71D8"/>
    <w:rsid w:val="00DE7424"/>
    <w:rsid w:val="00DF6C28"/>
    <w:rsid w:val="00DF7D21"/>
    <w:rsid w:val="00E043E4"/>
    <w:rsid w:val="00E071D4"/>
    <w:rsid w:val="00E1032B"/>
    <w:rsid w:val="00E10BDE"/>
    <w:rsid w:val="00E115CF"/>
    <w:rsid w:val="00E127D2"/>
    <w:rsid w:val="00E134B8"/>
    <w:rsid w:val="00E17149"/>
    <w:rsid w:val="00E24046"/>
    <w:rsid w:val="00E26508"/>
    <w:rsid w:val="00E301B5"/>
    <w:rsid w:val="00E32AB6"/>
    <w:rsid w:val="00E34E52"/>
    <w:rsid w:val="00E34FF6"/>
    <w:rsid w:val="00E37702"/>
    <w:rsid w:val="00E46C86"/>
    <w:rsid w:val="00E54F6C"/>
    <w:rsid w:val="00E55114"/>
    <w:rsid w:val="00E57492"/>
    <w:rsid w:val="00E57E4F"/>
    <w:rsid w:val="00E6378A"/>
    <w:rsid w:val="00E65FE8"/>
    <w:rsid w:val="00E66CBF"/>
    <w:rsid w:val="00E72F89"/>
    <w:rsid w:val="00E7547C"/>
    <w:rsid w:val="00E8019F"/>
    <w:rsid w:val="00E82630"/>
    <w:rsid w:val="00E867D7"/>
    <w:rsid w:val="00E906A9"/>
    <w:rsid w:val="00EA0BDB"/>
    <w:rsid w:val="00EA1E60"/>
    <w:rsid w:val="00EA454C"/>
    <w:rsid w:val="00EB2C0A"/>
    <w:rsid w:val="00EC2BC6"/>
    <w:rsid w:val="00EC2C29"/>
    <w:rsid w:val="00ED33D5"/>
    <w:rsid w:val="00ED5573"/>
    <w:rsid w:val="00ED7E56"/>
    <w:rsid w:val="00EE0D75"/>
    <w:rsid w:val="00EE2802"/>
    <w:rsid w:val="00EE3407"/>
    <w:rsid w:val="00EE42EA"/>
    <w:rsid w:val="00EE6AE9"/>
    <w:rsid w:val="00EE728C"/>
    <w:rsid w:val="00EF3E7D"/>
    <w:rsid w:val="00F04F60"/>
    <w:rsid w:val="00F072FA"/>
    <w:rsid w:val="00F13C09"/>
    <w:rsid w:val="00F14083"/>
    <w:rsid w:val="00F150F5"/>
    <w:rsid w:val="00F1625E"/>
    <w:rsid w:val="00F23A65"/>
    <w:rsid w:val="00F26605"/>
    <w:rsid w:val="00F26965"/>
    <w:rsid w:val="00F321CF"/>
    <w:rsid w:val="00F331B7"/>
    <w:rsid w:val="00F35D78"/>
    <w:rsid w:val="00F36BDE"/>
    <w:rsid w:val="00F37095"/>
    <w:rsid w:val="00F4289F"/>
    <w:rsid w:val="00F4709D"/>
    <w:rsid w:val="00F55354"/>
    <w:rsid w:val="00F73AE2"/>
    <w:rsid w:val="00F75A05"/>
    <w:rsid w:val="00F818BA"/>
    <w:rsid w:val="00F81EFD"/>
    <w:rsid w:val="00F86244"/>
    <w:rsid w:val="00F870CE"/>
    <w:rsid w:val="00F95AB2"/>
    <w:rsid w:val="00FA5A0D"/>
    <w:rsid w:val="00FB7C40"/>
    <w:rsid w:val="00FC1E4C"/>
    <w:rsid w:val="00FC36B6"/>
    <w:rsid w:val="00FC4E8B"/>
    <w:rsid w:val="00FC64A2"/>
    <w:rsid w:val="00FD3BD5"/>
    <w:rsid w:val="00FD42B7"/>
    <w:rsid w:val="00FE0FDE"/>
    <w:rsid w:val="00FE3B0B"/>
    <w:rsid w:val="00FF42CD"/>
    <w:rsid w:val="00FF5D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1CC3"/>
  <w15:chartTrackingRefBased/>
  <w15:docId w15:val="{CDB12AF0-039F-1840-A0FB-94C4D672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356D"/>
    <w:pPr>
      <w:spacing w:before="120" w:after="120" w:line="360" w:lineRule="auto"/>
      <w:jc w:val="both"/>
    </w:pPr>
    <w:rPr>
      <w:rFonts w:ascii="Arial" w:eastAsia="Times New Roman" w:hAnsi="Arial" w:cs="Arial"/>
      <w:lang w:val="fr-FR" w:eastAsia="de-DE"/>
    </w:rPr>
  </w:style>
  <w:style w:type="paragraph" w:styleId="berschrift1">
    <w:name w:val="heading 1"/>
    <w:basedOn w:val="Standard"/>
    <w:next w:val="Standard"/>
    <w:link w:val="berschrift1Zchn"/>
    <w:uiPriority w:val="9"/>
    <w:qFormat/>
    <w:rsid w:val="004133F0"/>
    <w:pPr>
      <w:keepNext/>
      <w:keepLines/>
      <w:numPr>
        <w:numId w:val="1"/>
      </w:numPr>
      <w:spacing w:before="240" w:after="0" w:line="240" w:lineRule="auto"/>
      <w:ind w:left="1077"/>
      <w:outlineLvl w:val="0"/>
    </w:pPr>
    <w:rPr>
      <w:rFonts w:asciiTheme="majorHAnsi" w:eastAsiaTheme="majorEastAsia" w:hAnsiTheme="majorHAnsi" w:cstheme="majorBidi"/>
      <w:b/>
      <w:bCs/>
      <w:sz w:val="32"/>
      <w:szCs w:val="32"/>
    </w:rPr>
  </w:style>
  <w:style w:type="paragraph" w:styleId="berschrift2">
    <w:name w:val="heading 2"/>
    <w:basedOn w:val="Standard"/>
    <w:next w:val="Standard"/>
    <w:link w:val="berschrift2Zchn"/>
    <w:uiPriority w:val="9"/>
    <w:unhideWhenUsed/>
    <w:qFormat/>
    <w:rsid w:val="00C426D7"/>
    <w:pPr>
      <w:keepNext/>
      <w:keepLines/>
      <w:numPr>
        <w:numId w:val="2"/>
      </w:numPr>
      <w:spacing w:before="40" w:after="0"/>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yo-wrap">
    <w:name w:val="myo-wrap"/>
    <w:basedOn w:val="Absatz-Standardschriftart"/>
    <w:rsid w:val="00B87673"/>
  </w:style>
  <w:style w:type="paragraph" w:customStyle="1" w:styleId="textedenotedebasdepage">
    <w:name w:val="texte de note de bas de page"/>
    <w:basedOn w:val="Funotentext"/>
    <w:next w:val="Funotentext"/>
    <w:autoRedefine/>
    <w:qFormat/>
    <w:rsid w:val="009108C7"/>
    <w:pPr>
      <w:spacing w:before="60" w:after="0" w:line="240" w:lineRule="auto"/>
      <w:ind w:left="284" w:hanging="284"/>
    </w:pPr>
    <w:rPr>
      <w:rFonts w:eastAsia="Cambria"/>
      <w:lang w:val="en-US"/>
    </w:rPr>
  </w:style>
  <w:style w:type="paragraph" w:styleId="Funotentext">
    <w:name w:val="footnote text"/>
    <w:basedOn w:val="Standard"/>
    <w:link w:val="FunotentextZchn"/>
    <w:uiPriority w:val="99"/>
    <w:semiHidden/>
    <w:unhideWhenUsed/>
    <w:rsid w:val="00FF42CD"/>
    <w:rPr>
      <w:sz w:val="20"/>
      <w:szCs w:val="20"/>
    </w:rPr>
  </w:style>
  <w:style w:type="character" w:customStyle="1" w:styleId="FunotentextZchn">
    <w:name w:val="Fußnotentext Zchn"/>
    <w:basedOn w:val="Absatz-Standardschriftart"/>
    <w:link w:val="Funotentext"/>
    <w:uiPriority w:val="99"/>
    <w:semiHidden/>
    <w:rsid w:val="00FF42CD"/>
    <w:rPr>
      <w:sz w:val="20"/>
      <w:szCs w:val="20"/>
    </w:rPr>
  </w:style>
  <w:style w:type="character" w:customStyle="1" w:styleId="berschrift1Zchn">
    <w:name w:val="Überschrift 1 Zchn"/>
    <w:basedOn w:val="Absatz-Standardschriftart"/>
    <w:link w:val="berschrift1"/>
    <w:uiPriority w:val="9"/>
    <w:rsid w:val="004133F0"/>
    <w:rPr>
      <w:rFonts w:asciiTheme="majorHAnsi" w:eastAsiaTheme="majorEastAsia" w:hAnsiTheme="majorHAnsi" w:cstheme="majorBidi"/>
      <w:b/>
      <w:bCs/>
      <w:sz w:val="32"/>
      <w:szCs w:val="32"/>
      <w:lang w:val="fr-FR" w:eastAsia="de-DE"/>
    </w:rPr>
  </w:style>
  <w:style w:type="character" w:customStyle="1" w:styleId="apple-converted-space">
    <w:name w:val="apple-converted-space"/>
    <w:basedOn w:val="Absatz-Standardschriftart"/>
    <w:rsid w:val="00B04DB1"/>
  </w:style>
  <w:style w:type="paragraph" w:styleId="Listenabsatz">
    <w:name w:val="List Paragraph"/>
    <w:basedOn w:val="Standard"/>
    <w:uiPriority w:val="34"/>
    <w:qFormat/>
    <w:rsid w:val="00B04DB1"/>
    <w:pPr>
      <w:ind w:left="720"/>
      <w:contextualSpacing/>
    </w:pPr>
  </w:style>
  <w:style w:type="character" w:styleId="Funotenzeichen">
    <w:name w:val="footnote reference"/>
    <w:basedOn w:val="Absatz-Standardschriftart"/>
    <w:uiPriority w:val="99"/>
    <w:semiHidden/>
    <w:unhideWhenUsed/>
    <w:rsid w:val="00F13C09"/>
    <w:rPr>
      <w:vertAlign w:val="superscript"/>
    </w:rPr>
  </w:style>
  <w:style w:type="character" w:styleId="Hyperlink">
    <w:name w:val="Hyperlink"/>
    <w:basedOn w:val="Absatz-Standardschriftart"/>
    <w:uiPriority w:val="99"/>
    <w:unhideWhenUsed/>
    <w:rsid w:val="00F13C09"/>
    <w:rPr>
      <w:color w:val="0563C1" w:themeColor="hyperlink"/>
      <w:u w:val="single"/>
    </w:rPr>
  </w:style>
  <w:style w:type="character" w:styleId="NichtaufgelsteErwhnung">
    <w:name w:val="Unresolved Mention"/>
    <w:basedOn w:val="Absatz-Standardschriftart"/>
    <w:uiPriority w:val="99"/>
    <w:semiHidden/>
    <w:unhideWhenUsed/>
    <w:rsid w:val="00F13C09"/>
    <w:rPr>
      <w:color w:val="605E5C"/>
      <w:shd w:val="clear" w:color="auto" w:fill="E1DFDD"/>
    </w:rPr>
  </w:style>
  <w:style w:type="character" w:customStyle="1" w:styleId="berschrift2Zchn">
    <w:name w:val="Überschrift 2 Zchn"/>
    <w:basedOn w:val="Absatz-Standardschriftart"/>
    <w:link w:val="berschrift2"/>
    <w:uiPriority w:val="9"/>
    <w:rsid w:val="00C426D7"/>
    <w:rPr>
      <w:rFonts w:ascii="Arial" w:eastAsia="Times New Roman" w:hAnsi="Arial" w:cs="Arial"/>
      <w:b/>
      <w:bCs/>
      <w:lang w:val="fr-FR" w:eastAsia="de-DE"/>
    </w:rPr>
  </w:style>
  <w:style w:type="character" w:customStyle="1" w:styleId="outputecli">
    <w:name w:val="outputecli"/>
    <w:basedOn w:val="Absatz-Standardschriftart"/>
    <w:rsid w:val="00BA1506"/>
  </w:style>
  <w:style w:type="paragraph" w:customStyle="1" w:styleId="c02alineaalta">
    <w:name w:val="c02alineaalta"/>
    <w:basedOn w:val="Standard"/>
    <w:rsid w:val="00BA1506"/>
    <w:pPr>
      <w:spacing w:before="100" w:beforeAutospacing="1" w:after="100" w:afterAutospacing="1" w:line="240" w:lineRule="auto"/>
      <w:jc w:val="left"/>
    </w:pPr>
    <w:rPr>
      <w:rFonts w:ascii="Times New Roman" w:hAnsi="Times New Roman" w:cs="Times New Roman"/>
    </w:rPr>
  </w:style>
  <w:style w:type="paragraph" w:styleId="Textkrper">
    <w:name w:val="Body Text"/>
    <w:basedOn w:val="Standard"/>
    <w:link w:val="TextkrperZchn"/>
    <w:uiPriority w:val="1"/>
    <w:qFormat/>
    <w:rsid w:val="00790654"/>
    <w:pPr>
      <w:widowControl w:val="0"/>
      <w:autoSpaceDE w:val="0"/>
      <w:autoSpaceDN w:val="0"/>
    </w:pPr>
    <w:rPr>
      <w:rFonts w:eastAsia="Arial"/>
    </w:rPr>
  </w:style>
  <w:style w:type="character" w:customStyle="1" w:styleId="TextkrperZchn">
    <w:name w:val="Textkörper Zchn"/>
    <w:basedOn w:val="Absatz-Standardschriftart"/>
    <w:link w:val="Textkrper"/>
    <w:uiPriority w:val="1"/>
    <w:rsid w:val="00790654"/>
    <w:rPr>
      <w:rFonts w:ascii="Arial" w:eastAsia="Arial" w:hAnsi="Arial" w:cs="Arial"/>
      <w:lang w:val="fr-FR" w:eastAsia="de-DE"/>
    </w:rPr>
  </w:style>
  <w:style w:type="paragraph" w:customStyle="1" w:styleId="CM1">
    <w:name w:val="CM1"/>
    <w:basedOn w:val="Standard"/>
    <w:next w:val="Standard"/>
    <w:uiPriority w:val="99"/>
    <w:rsid w:val="003676C6"/>
    <w:pPr>
      <w:autoSpaceDE w:val="0"/>
      <w:autoSpaceDN w:val="0"/>
      <w:adjustRightInd w:val="0"/>
      <w:spacing w:before="0" w:after="0" w:line="240" w:lineRule="auto"/>
      <w:jc w:val="left"/>
    </w:pPr>
    <w:rPr>
      <w:rFonts w:ascii="EUAlbertina" w:hAnsi="EUAlbertina"/>
    </w:rPr>
  </w:style>
  <w:style w:type="paragraph" w:customStyle="1" w:styleId="CM3">
    <w:name w:val="CM3"/>
    <w:basedOn w:val="Standard"/>
    <w:next w:val="Standard"/>
    <w:uiPriority w:val="99"/>
    <w:rsid w:val="003676C6"/>
    <w:pPr>
      <w:autoSpaceDE w:val="0"/>
      <w:autoSpaceDN w:val="0"/>
      <w:adjustRightInd w:val="0"/>
      <w:spacing w:before="0" w:after="0" w:line="240" w:lineRule="auto"/>
      <w:jc w:val="left"/>
    </w:pPr>
    <w:rPr>
      <w:rFonts w:ascii="EUAlbertina" w:hAnsi="EUAlbertina"/>
    </w:rPr>
  </w:style>
  <w:style w:type="paragraph" w:customStyle="1" w:styleId="Default">
    <w:name w:val="Default"/>
    <w:rsid w:val="008755D8"/>
    <w:pPr>
      <w:autoSpaceDE w:val="0"/>
      <w:autoSpaceDN w:val="0"/>
      <w:adjustRightInd w:val="0"/>
    </w:pPr>
    <w:rPr>
      <w:rFonts w:ascii="EUAlbertina" w:hAnsi="EUAlbertina" w:cs="EUAlbertina"/>
      <w:color w:val="000000"/>
    </w:rPr>
  </w:style>
  <w:style w:type="paragraph" w:customStyle="1" w:styleId="CM4">
    <w:name w:val="CM4"/>
    <w:basedOn w:val="Default"/>
    <w:next w:val="Default"/>
    <w:uiPriority w:val="99"/>
    <w:rsid w:val="008755D8"/>
    <w:rPr>
      <w:rFonts w:cstheme="minorBidi"/>
      <w:color w:val="auto"/>
    </w:rPr>
  </w:style>
  <w:style w:type="character" w:styleId="Hervorhebung">
    <w:name w:val="Emphasis"/>
    <w:basedOn w:val="Absatz-Standardschriftart"/>
    <w:uiPriority w:val="20"/>
    <w:qFormat/>
    <w:rsid w:val="00566AE9"/>
    <w:rPr>
      <w:i/>
      <w:iCs/>
    </w:rPr>
  </w:style>
  <w:style w:type="paragraph" w:customStyle="1" w:styleId="Standard1">
    <w:name w:val="Standard1"/>
    <w:basedOn w:val="Standard"/>
    <w:rsid w:val="00E55114"/>
    <w:pPr>
      <w:spacing w:before="100" w:beforeAutospacing="1" w:after="100" w:afterAutospacing="1" w:line="240" w:lineRule="auto"/>
      <w:jc w:val="left"/>
    </w:pPr>
    <w:rPr>
      <w:rFonts w:ascii="Times New Roman" w:hAnsi="Times New Roman" w:cs="Times New Roman"/>
    </w:rPr>
  </w:style>
  <w:style w:type="character" w:styleId="BesuchterLink">
    <w:name w:val="FollowedHyperlink"/>
    <w:basedOn w:val="Absatz-Standardschriftart"/>
    <w:uiPriority w:val="99"/>
    <w:semiHidden/>
    <w:unhideWhenUsed/>
    <w:rsid w:val="00C44C84"/>
    <w:rPr>
      <w:color w:val="954F72" w:themeColor="followedHyperlink"/>
      <w:u w:val="single"/>
    </w:rPr>
  </w:style>
  <w:style w:type="paragraph" w:styleId="Fuzeile">
    <w:name w:val="footer"/>
    <w:basedOn w:val="Standard"/>
    <w:link w:val="FuzeileZchn"/>
    <w:uiPriority w:val="99"/>
    <w:unhideWhenUsed/>
    <w:rsid w:val="008B4C23"/>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8B4C23"/>
    <w:rPr>
      <w:rFonts w:ascii="Arial" w:eastAsia="Times New Roman" w:hAnsi="Arial" w:cs="Arial"/>
      <w:lang w:val="fr-FR" w:eastAsia="de-DE"/>
    </w:rPr>
  </w:style>
  <w:style w:type="character" w:styleId="Seitenzahl">
    <w:name w:val="page number"/>
    <w:basedOn w:val="Absatz-Standardschriftart"/>
    <w:uiPriority w:val="99"/>
    <w:semiHidden/>
    <w:unhideWhenUsed/>
    <w:rsid w:val="008B4C23"/>
  </w:style>
  <w:style w:type="paragraph" w:styleId="StandardWeb">
    <w:name w:val="Normal (Web)"/>
    <w:basedOn w:val="Standard"/>
    <w:uiPriority w:val="99"/>
    <w:unhideWhenUsed/>
    <w:rsid w:val="0051750F"/>
    <w:pPr>
      <w:spacing w:before="100" w:beforeAutospacing="1" w:after="100" w:afterAutospacing="1" w:line="240" w:lineRule="auto"/>
      <w:jc w:val="left"/>
    </w:pPr>
    <w:rPr>
      <w:rFonts w:ascii="Times New Roman" w:hAnsi="Times New Roman" w:cs="Times New Roman"/>
      <w:lang w:val="de-DE"/>
    </w:rPr>
  </w:style>
  <w:style w:type="character" w:customStyle="1" w:styleId="acopre">
    <w:name w:val="acopre"/>
    <w:basedOn w:val="Absatz-Standardschriftart"/>
    <w:rsid w:val="0076118E"/>
  </w:style>
  <w:style w:type="paragraph" w:customStyle="1" w:styleId="stitle-article-norm">
    <w:name w:val="stitle-article-norm"/>
    <w:basedOn w:val="Standard"/>
    <w:rsid w:val="00CB16A5"/>
    <w:pPr>
      <w:spacing w:before="100" w:beforeAutospacing="1" w:after="100" w:afterAutospacing="1" w:line="240" w:lineRule="auto"/>
      <w:jc w:val="left"/>
    </w:pPr>
    <w:rPr>
      <w:rFonts w:ascii="Times New Roman" w:hAnsi="Times New Roman" w:cs="Times New Roman"/>
      <w:lang w:val="de-DE"/>
    </w:rPr>
  </w:style>
  <w:style w:type="paragraph" w:customStyle="1" w:styleId="norm">
    <w:name w:val="norm"/>
    <w:basedOn w:val="Standard"/>
    <w:rsid w:val="00CB16A5"/>
    <w:pPr>
      <w:spacing w:before="100" w:beforeAutospacing="1" w:after="100" w:afterAutospacing="1" w:line="240" w:lineRule="auto"/>
      <w:jc w:val="left"/>
    </w:pPr>
    <w:rPr>
      <w:rFonts w:ascii="Times New Roman" w:hAnsi="Times New Roman" w:cs="Times New Roman"/>
      <w:lang w:val="de-DE"/>
    </w:rPr>
  </w:style>
  <w:style w:type="character" w:customStyle="1" w:styleId="username">
    <w:name w:val="username"/>
    <w:basedOn w:val="Absatz-Standardschriftart"/>
    <w:rsid w:val="00850708"/>
  </w:style>
  <w:style w:type="character" w:customStyle="1" w:styleId="time">
    <w:name w:val="time"/>
    <w:basedOn w:val="Absatz-Standardschriftart"/>
    <w:rsid w:val="00850708"/>
  </w:style>
  <w:style w:type="paragraph" w:customStyle="1" w:styleId="Standard2">
    <w:name w:val="Standard2"/>
    <w:basedOn w:val="Standard"/>
    <w:rsid w:val="001B4046"/>
    <w:pPr>
      <w:spacing w:before="100" w:beforeAutospacing="1" w:after="100" w:afterAutospacing="1" w:line="240" w:lineRule="auto"/>
      <w:jc w:val="left"/>
    </w:pPr>
    <w:rPr>
      <w:rFonts w:ascii="Times New Roman" w:hAnsi="Times New Roman" w:cs="Times New Roman"/>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34194">
      <w:bodyDiv w:val="1"/>
      <w:marLeft w:val="0"/>
      <w:marRight w:val="0"/>
      <w:marTop w:val="0"/>
      <w:marBottom w:val="0"/>
      <w:divBdr>
        <w:top w:val="none" w:sz="0" w:space="0" w:color="auto"/>
        <w:left w:val="none" w:sz="0" w:space="0" w:color="auto"/>
        <w:bottom w:val="none" w:sz="0" w:space="0" w:color="auto"/>
        <w:right w:val="none" w:sz="0" w:space="0" w:color="auto"/>
      </w:divBdr>
    </w:div>
    <w:div w:id="83040317">
      <w:bodyDiv w:val="1"/>
      <w:marLeft w:val="0"/>
      <w:marRight w:val="0"/>
      <w:marTop w:val="0"/>
      <w:marBottom w:val="0"/>
      <w:divBdr>
        <w:top w:val="none" w:sz="0" w:space="0" w:color="auto"/>
        <w:left w:val="none" w:sz="0" w:space="0" w:color="auto"/>
        <w:bottom w:val="none" w:sz="0" w:space="0" w:color="auto"/>
        <w:right w:val="none" w:sz="0" w:space="0" w:color="auto"/>
      </w:divBdr>
    </w:div>
    <w:div w:id="94521504">
      <w:bodyDiv w:val="1"/>
      <w:marLeft w:val="0"/>
      <w:marRight w:val="0"/>
      <w:marTop w:val="0"/>
      <w:marBottom w:val="0"/>
      <w:divBdr>
        <w:top w:val="none" w:sz="0" w:space="0" w:color="auto"/>
        <w:left w:val="none" w:sz="0" w:space="0" w:color="auto"/>
        <w:bottom w:val="none" w:sz="0" w:space="0" w:color="auto"/>
        <w:right w:val="none" w:sz="0" w:space="0" w:color="auto"/>
      </w:divBdr>
    </w:div>
    <w:div w:id="137696088">
      <w:bodyDiv w:val="1"/>
      <w:marLeft w:val="0"/>
      <w:marRight w:val="0"/>
      <w:marTop w:val="0"/>
      <w:marBottom w:val="0"/>
      <w:divBdr>
        <w:top w:val="none" w:sz="0" w:space="0" w:color="auto"/>
        <w:left w:val="none" w:sz="0" w:space="0" w:color="auto"/>
        <w:bottom w:val="none" w:sz="0" w:space="0" w:color="auto"/>
        <w:right w:val="none" w:sz="0" w:space="0" w:color="auto"/>
      </w:divBdr>
    </w:div>
    <w:div w:id="177621399">
      <w:bodyDiv w:val="1"/>
      <w:marLeft w:val="0"/>
      <w:marRight w:val="0"/>
      <w:marTop w:val="0"/>
      <w:marBottom w:val="0"/>
      <w:divBdr>
        <w:top w:val="none" w:sz="0" w:space="0" w:color="auto"/>
        <w:left w:val="none" w:sz="0" w:space="0" w:color="auto"/>
        <w:bottom w:val="none" w:sz="0" w:space="0" w:color="auto"/>
        <w:right w:val="none" w:sz="0" w:space="0" w:color="auto"/>
      </w:divBdr>
    </w:div>
    <w:div w:id="287397492">
      <w:bodyDiv w:val="1"/>
      <w:marLeft w:val="0"/>
      <w:marRight w:val="0"/>
      <w:marTop w:val="0"/>
      <w:marBottom w:val="0"/>
      <w:divBdr>
        <w:top w:val="none" w:sz="0" w:space="0" w:color="auto"/>
        <w:left w:val="none" w:sz="0" w:space="0" w:color="auto"/>
        <w:bottom w:val="none" w:sz="0" w:space="0" w:color="auto"/>
        <w:right w:val="none" w:sz="0" w:space="0" w:color="auto"/>
      </w:divBdr>
    </w:div>
    <w:div w:id="365328219">
      <w:bodyDiv w:val="1"/>
      <w:marLeft w:val="0"/>
      <w:marRight w:val="0"/>
      <w:marTop w:val="0"/>
      <w:marBottom w:val="0"/>
      <w:divBdr>
        <w:top w:val="none" w:sz="0" w:space="0" w:color="auto"/>
        <w:left w:val="none" w:sz="0" w:space="0" w:color="auto"/>
        <w:bottom w:val="none" w:sz="0" w:space="0" w:color="auto"/>
        <w:right w:val="none" w:sz="0" w:space="0" w:color="auto"/>
      </w:divBdr>
    </w:div>
    <w:div w:id="465398576">
      <w:bodyDiv w:val="1"/>
      <w:marLeft w:val="0"/>
      <w:marRight w:val="0"/>
      <w:marTop w:val="0"/>
      <w:marBottom w:val="0"/>
      <w:divBdr>
        <w:top w:val="none" w:sz="0" w:space="0" w:color="auto"/>
        <w:left w:val="none" w:sz="0" w:space="0" w:color="auto"/>
        <w:bottom w:val="none" w:sz="0" w:space="0" w:color="auto"/>
        <w:right w:val="none" w:sz="0" w:space="0" w:color="auto"/>
      </w:divBdr>
    </w:div>
    <w:div w:id="484517192">
      <w:bodyDiv w:val="1"/>
      <w:marLeft w:val="0"/>
      <w:marRight w:val="0"/>
      <w:marTop w:val="0"/>
      <w:marBottom w:val="0"/>
      <w:divBdr>
        <w:top w:val="none" w:sz="0" w:space="0" w:color="auto"/>
        <w:left w:val="none" w:sz="0" w:space="0" w:color="auto"/>
        <w:bottom w:val="none" w:sz="0" w:space="0" w:color="auto"/>
        <w:right w:val="none" w:sz="0" w:space="0" w:color="auto"/>
      </w:divBdr>
    </w:div>
    <w:div w:id="501548366">
      <w:bodyDiv w:val="1"/>
      <w:marLeft w:val="0"/>
      <w:marRight w:val="0"/>
      <w:marTop w:val="0"/>
      <w:marBottom w:val="0"/>
      <w:divBdr>
        <w:top w:val="none" w:sz="0" w:space="0" w:color="auto"/>
        <w:left w:val="none" w:sz="0" w:space="0" w:color="auto"/>
        <w:bottom w:val="none" w:sz="0" w:space="0" w:color="auto"/>
        <w:right w:val="none" w:sz="0" w:space="0" w:color="auto"/>
      </w:divBdr>
    </w:div>
    <w:div w:id="564490719">
      <w:bodyDiv w:val="1"/>
      <w:marLeft w:val="0"/>
      <w:marRight w:val="0"/>
      <w:marTop w:val="0"/>
      <w:marBottom w:val="0"/>
      <w:divBdr>
        <w:top w:val="none" w:sz="0" w:space="0" w:color="auto"/>
        <w:left w:val="none" w:sz="0" w:space="0" w:color="auto"/>
        <w:bottom w:val="none" w:sz="0" w:space="0" w:color="auto"/>
        <w:right w:val="none" w:sz="0" w:space="0" w:color="auto"/>
      </w:divBdr>
    </w:div>
    <w:div w:id="803472524">
      <w:bodyDiv w:val="1"/>
      <w:marLeft w:val="0"/>
      <w:marRight w:val="0"/>
      <w:marTop w:val="0"/>
      <w:marBottom w:val="0"/>
      <w:divBdr>
        <w:top w:val="none" w:sz="0" w:space="0" w:color="auto"/>
        <w:left w:val="none" w:sz="0" w:space="0" w:color="auto"/>
        <w:bottom w:val="none" w:sz="0" w:space="0" w:color="auto"/>
        <w:right w:val="none" w:sz="0" w:space="0" w:color="auto"/>
      </w:divBdr>
    </w:div>
    <w:div w:id="803891190">
      <w:bodyDiv w:val="1"/>
      <w:marLeft w:val="0"/>
      <w:marRight w:val="0"/>
      <w:marTop w:val="0"/>
      <w:marBottom w:val="0"/>
      <w:divBdr>
        <w:top w:val="none" w:sz="0" w:space="0" w:color="auto"/>
        <w:left w:val="none" w:sz="0" w:space="0" w:color="auto"/>
        <w:bottom w:val="none" w:sz="0" w:space="0" w:color="auto"/>
        <w:right w:val="none" w:sz="0" w:space="0" w:color="auto"/>
      </w:divBdr>
    </w:div>
    <w:div w:id="919488221">
      <w:bodyDiv w:val="1"/>
      <w:marLeft w:val="0"/>
      <w:marRight w:val="0"/>
      <w:marTop w:val="0"/>
      <w:marBottom w:val="0"/>
      <w:divBdr>
        <w:top w:val="none" w:sz="0" w:space="0" w:color="auto"/>
        <w:left w:val="none" w:sz="0" w:space="0" w:color="auto"/>
        <w:bottom w:val="none" w:sz="0" w:space="0" w:color="auto"/>
        <w:right w:val="none" w:sz="0" w:space="0" w:color="auto"/>
      </w:divBdr>
    </w:div>
    <w:div w:id="921332678">
      <w:bodyDiv w:val="1"/>
      <w:marLeft w:val="0"/>
      <w:marRight w:val="0"/>
      <w:marTop w:val="0"/>
      <w:marBottom w:val="0"/>
      <w:divBdr>
        <w:top w:val="none" w:sz="0" w:space="0" w:color="auto"/>
        <w:left w:val="none" w:sz="0" w:space="0" w:color="auto"/>
        <w:bottom w:val="none" w:sz="0" w:space="0" w:color="auto"/>
        <w:right w:val="none" w:sz="0" w:space="0" w:color="auto"/>
      </w:divBdr>
    </w:div>
    <w:div w:id="927541136">
      <w:bodyDiv w:val="1"/>
      <w:marLeft w:val="0"/>
      <w:marRight w:val="0"/>
      <w:marTop w:val="0"/>
      <w:marBottom w:val="0"/>
      <w:divBdr>
        <w:top w:val="none" w:sz="0" w:space="0" w:color="auto"/>
        <w:left w:val="none" w:sz="0" w:space="0" w:color="auto"/>
        <w:bottom w:val="none" w:sz="0" w:space="0" w:color="auto"/>
        <w:right w:val="none" w:sz="0" w:space="0" w:color="auto"/>
      </w:divBdr>
    </w:div>
    <w:div w:id="947813818">
      <w:bodyDiv w:val="1"/>
      <w:marLeft w:val="0"/>
      <w:marRight w:val="0"/>
      <w:marTop w:val="0"/>
      <w:marBottom w:val="0"/>
      <w:divBdr>
        <w:top w:val="none" w:sz="0" w:space="0" w:color="auto"/>
        <w:left w:val="none" w:sz="0" w:space="0" w:color="auto"/>
        <w:bottom w:val="none" w:sz="0" w:space="0" w:color="auto"/>
        <w:right w:val="none" w:sz="0" w:space="0" w:color="auto"/>
      </w:divBdr>
    </w:div>
    <w:div w:id="1050615058">
      <w:bodyDiv w:val="1"/>
      <w:marLeft w:val="0"/>
      <w:marRight w:val="0"/>
      <w:marTop w:val="0"/>
      <w:marBottom w:val="0"/>
      <w:divBdr>
        <w:top w:val="none" w:sz="0" w:space="0" w:color="auto"/>
        <w:left w:val="none" w:sz="0" w:space="0" w:color="auto"/>
        <w:bottom w:val="none" w:sz="0" w:space="0" w:color="auto"/>
        <w:right w:val="none" w:sz="0" w:space="0" w:color="auto"/>
      </w:divBdr>
    </w:div>
    <w:div w:id="1075593591">
      <w:bodyDiv w:val="1"/>
      <w:marLeft w:val="0"/>
      <w:marRight w:val="0"/>
      <w:marTop w:val="0"/>
      <w:marBottom w:val="0"/>
      <w:divBdr>
        <w:top w:val="none" w:sz="0" w:space="0" w:color="auto"/>
        <w:left w:val="none" w:sz="0" w:space="0" w:color="auto"/>
        <w:bottom w:val="none" w:sz="0" w:space="0" w:color="auto"/>
        <w:right w:val="none" w:sz="0" w:space="0" w:color="auto"/>
      </w:divBdr>
    </w:div>
    <w:div w:id="1082215122">
      <w:bodyDiv w:val="1"/>
      <w:marLeft w:val="0"/>
      <w:marRight w:val="0"/>
      <w:marTop w:val="0"/>
      <w:marBottom w:val="0"/>
      <w:divBdr>
        <w:top w:val="none" w:sz="0" w:space="0" w:color="auto"/>
        <w:left w:val="none" w:sz="0" w:space="0" w:color="auto"/>
        <w:bottom w:val="none" w:sz="0" w:space="0" w:color="auto"/>
        <w:right w:val="none" w:sz="0" w:space="0" w:color="auto"/>
      </w:divBdr>
    </w:div>
    <w:div w:id="1120412765">
      <w:bodyDiv w:val="1"/>
      <w:marLeft w:val="0"/>
      <w:marRight w:val="0"/>
      <w:marTop w:val="0"/>
      <w:marBottom w:val="0"/>
      <w:divBdr>
        <w:top w:val="none" w:sz="0" w:space="0" w:color="auto"/>
        <w:left w:val="none" w:sz="0" w:space="0" w:color="auto"/>
        <w:bottom w:val="none" w:sz="0" w:space="0" w:color="auto"/>
        <w:right w:val="none" w:sz="0" w:space="0" w:color="auto"/>
      </w:divBdr>
    </w:div>
    <w:div w:id="1208570991">
      <w:bodyDiv w:val="1"/>
      <w:marLeft w:val="0"/>
      <w:marRight w:val="0"/>
      <w:marTop w:val="0"/>
      <w:marBottom w:val="0"/>
      <w:divBdr>
        <w:top w:val="none" w:sz="0" w:space="0" w:color="auto"/>
        <w:left w:val="none" w:sz="0" w:space="0" w:color="auto"/>
        <w:bottom w:val="none" w:sz="0" w:space="0" w:color="auto"/>
        <w:right w:val="none" w:sz="0" w:space="0" w:color="auto"/>
      </w:divBdr>
    </w:div>
    <w:div w:id="1292442603">
      <w:bodyDiv w:val="1"/>
      <w:marLeft w:val="0"/>
      <w:marRight w:val="0"/>
      <w:marTop w:val="0"/>
      <w:marBottom w:val="0"/>
      <w:divBdr>
        <w:top w:val="none" w:sz="0" w:space="0" w:color="auto"/>
        <w:left w:val="none" w:sz="0" w:space="0" w:color="auto"/>
        <w:bottom w:val="none" w:sz="0" w:space="0" w:color="auto"/>
        <w:right w:val="none" w:sz="0" w:space="0" w:color="auto"/>
      </w:divBdr>
      <w:divsChild>
        <w:div w:id="1599174812">
          <w:marLeft w:val="480"/>
          <w:marRight w:val="0"/>
          <w:marTop w:val="0"/>
          <w:marBottom w:val="0"/>
          <w:divBdr>
            <w:top w:val="none" w:sz="0" w:space="0" w:color="auto"/>
            <w:left w:val="none" w:sz="0" w:space="0" w:color="auto"/>
            <w:bottom w:val="none" w:sz="0" w:space="0" w:color="auto"/>
            <w:right w:val="none" w:sz="0" w:space="0" w:color="auto"/>
          </w:divBdr>
        </w:div>
        <w:div w:id="484856286">
          <w:marLeft w:val="480"/>
          <w:marRight w:val="0"/>
          <w:marTop w:val="0"/>
          <w:marBottom w:val="0"/>
          <w:divBdr>
            <w:top w:val="none" w:sz="0" w:space="0" w:color="auto"/>
            <w:left w:val="none" w:sz="0" w:space="0" w:color="auto"/>
            <w:bottom w:val="none" w:sz="0" w:space="0" w:color="auto"/>
            <w:right w:val="none" w:sz="0" w:space="0" w:color="auto"/>
          </w:divBdr>
        </w:div>
      </w:divsChild>
    </w:div>
    <w:div w:id="1437213573">
      <w:bodyDiv w:val="1"/>
      <w:marLeft w:val="0"/>
      <w:marRight w:val="0"/>
      <w:marTop w:val="0"/>
      <w:marBottom w:val="0"/>
      <w:divBdr>
        <w:top w:val="none" w:sz="0" w:space="0" w:color="auto"/>
        <w:left w:val="none" w:sz="0" w:space="0" w:color="auto"/>
        <w:bottom w:val="none" w:sz="0" w:space="0" w:color="auto"/>
        <w:right w:val="none" w:sz="0" w:space="0" w:color="auto"/>
      </w:divBdr>
    </w:div>
    <w:div w:id="1488128136">
      <w:bodyDiv w:val="1"/>
      <w:marLeft w:val="0"/>
      <w:marRight w:val="0"/>
      <w:marTop w:val="0"/>
      <w:marBottom w:val="0"/>
      <w:divBdr>
        <w:top w:val="none" w:sz="0" w:space="0" w:color="auto"/>
        <w:left w:val="none" w:sz="0" w:space="0" w:color="auto"/>
        <w:bottom w:val="none" w:sz="0" w:space="0" w:color="auto"/>
        <w:right w:val="none" w:sz="0" w:space="0" w:color="auto"/>
      </w:divBdr>
    </w:div>
    <w:div w:id="1529441491">
      <w:bodyDiv w:val="1"/>
      <w:marLeft w:val="0"/>
      <w:marRight w:val="0"/>
      <w:marTop w:val="0"/>
      <w:marBottom w:val="0"/>
      <w:divBdr>
        <w:top w:val="none" w:sz="0" w:space="0" w:color="auto"/>
        <w:left w:val="none" w:sz="0" w:space="0" w:color="auto"/>
        <w:bottom w:val="none" w:sz="0" w:space="0" w:color="auto"/>
        <w:right w:val="none" w:sz="0" w:space="0" w:color="auto"/>
      </w:divBdr>
    </w:div>
    <w:div w:id="1549873035">
      <w:bodyDiv w:val="1"/>
      <w:marLeft w:val="0"/>
      <w:marRight w:val="0"/>
      <w:marTop w:val="0"/>
      <w:marBottom w:val="0"/>
      <w:divBdr>
        <w:top w:val="none" w:sz="0" w:space="0" w:color="auto"/>
        <w:left w:val="none" w:sz="0" w:space="0" w:color="auto"/>
        <w:bottom w:val="none" w:sz="0" w:space="0" w:color="auto"/>
        <w:right w:val="none" w:sz="0" w:space="0" w:color="auto"/>
      </w:divBdr>
    </w:div>
    <w:div w:id="1561671588">
      <w:bodyDiv w:val="1"/>
      <w:marLeft w:val="0"/>
      <w:marRight w:val="0"/>
      <w:marTop w:val="0"/>
      <w:marBottom w:val="0"/>
      <w:divBdr>
        <w:top w:val="none" w:sz="0" w:space="0" w:color="auto"/>
        <w:left w:val="none" w:sz="0" w:space="0" w:color="auto"/>
        <w:bottom w:val="none" w:sz="0" w:space="0" w:color="auto"/>
        <w:right w:val="none" w:sz="0" w:space="0" w:color="auto"/>
      </w:divBdr>
    </w:div>
    <w:div w:id="1613131404">
      <w:bodyDiv w:val="1"/>
      <w:marLeft w:val="0"/>
      <w:marRight w:val="0"/>
      <w:marTop w:val="0"/>
      <w:marBottom w:val="0"/>
      <w:divBdr>
        <w:top w:val="none" w:sz="0" w:space="0" w:color="auto"/>
        <w:left w:val="none" w:sz="0" w:space="0" w:color="auto"/>
        <w:bottom w:val="none" w:sz="0" w:space="0" w:color="auto"/>
        <w:right w:val="none" w:sz="0" w:space="0" w:color="auto"/>
      </w:divBdr>
    </w:div>
    <w:div w:id="1722973303">
      <w:bodyDiv w:val="1"/>
      <w:marLeft w:val="0"/>
      <w:marRight w:val="0"/>
      <w:marTop w:val="0"/>
      <w:marBottom w:val="0"/>
      <w:divBdr>
        <w:top w:val="none" w:sz="0" w:space="0" w:color="auto"/>
        <w:left w:val="none" w:sz="0" w:space="0" w:color="auto"/>
        <w:bottom w:val="none" w:sz="0" w:space="0" w:color="auto"/>
        <w:right w:val="none" w:sz="0" w:space="0" w:color="auto"/>
      </w:divBdr>
      <w:divsChild>
        <w:div w:id="1948460764">
          <w:marLeft w:val="0"/>
          <w:marRight w:val="0"/>
          <w:marTop w:val="0"/>
          <w:marBottom w:val="0"/>
          <w:divBdr>
            <w:top w:val="none" w:sz="0" w:space="0" w:color="auto"/>
            <w:left w:val="none" w:sz="0" w:space="0" w:color="auto"/>
            <w:bottom w:val="none" w:sz="0" w:space="0" w:color="auto"/>
            <w:right w:val="none" w:sz="0" w:space="0" w:color="auto"/>
          </w:divBdr>
        </w:div>
      </w:divsChild>
    </w:div>
    <w:div w:id="1890191048">
      <w:bodyDiv w:val="1"/>
      <w:marLeft w:val="0"/>
      <w:marRight w:val="0"/>
      <w:marTop w:val="0"/>
      <w:marBottom w:val="0"/>
      <w:divBdr>
        <w:top w:val="none" w:sz="0" w:space="0" w:color="auto"/>
        <w:left w:val="none" w:sz="0" w:space="0" w:color="auto"/>
        <w:bottom w:val="none" w:sz="0" w:space="0" w:color="auto"/>
        <w:right w:val="none" w:sz="0" w:space="0" w:color="auto"/>
      </w:divBdr>
    </w:div>
    <w:div w:id="2057197245">
      <w:bodyDiv w:val="1"/>
      <w:marLeft w:val="0"/>
      <w:marRight w:val="0"/>
      <w:marTop w:val="0"/>
      <w:marBottom w:val="0"/>
      <w:divBdr>
        <w:top w:val="none" w:sz="0" w:space="0" w:color="auto"/>
        <w:left w:val="none" w:sz="0" w:space="0" w:color="auto"/>
        <w:bottom w:val="none" w:sz="0" w:space="0" w:color="auto"/>
        <w:right w:val="none" w:sz="0" w:space="0" w:color="auto"/>
      </w:divBdr>
    </w:div>
    <w:div w:id="205857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3847</Words>
  <Characters>24239</Characters>
  <Application>Microsoft Office Word</Application>
  <DocSecurity>0</DocSecurity>
  <Lines>201</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 GERKRATH</dc:creator>
  <cp:keywords/>
  <dc:description/>
  <cp:lastModifiedBy>Jörg GERKRATH</cp:lastModifiedBy>
  <cp:revision>10</cp:revision>
  <cp:lastPrinted>2021-01-17T16:14:00Z</cp:lastPrinted>
  <dcterms:created xsi:type="dcterms:W3CDTF">2021-01-20T10:00:00Z</dcterms:created>
  <dcterms:modified xsi:type="dcterms:W3CDTF">2021-01-21T11:52:00Z</dcterms:modified>
</cp:coreProperties>
</file>