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7DEB5" w14:textId="79072266" w:rsidR="00713DA9" w:rsidRDefault="00713DA9" w:rsidP="00D64A81">
      <w:pPr>
        <w:rPr>
          <w:rFonts w:ascii="Palatino Linotype" w:hAnsi="Palatino Linotype"/>
          <w:b/>
          <w:bCs/>
          <w:lang w:val="en-US"/>
        </w:rPr>
      </w:pPr>
      <w:bookmarkStart w:id="0" w:name="_GoBack"/>
      <w:bookmarkEnd w:id="0"/>
      <w:r>
        <w:rPr>
          <w:rFonts w:ascii="Palatino Linotype" w:hAnsi="Palatino Linotype"/>
          <w:b/>
          <w:bCs/>
          <w:lang w:val="en-US"/>
        </w:rPr>
        <w:t>Journal of Clinical Medicine</w:t>
      </w:r>
    </w:p>
    <w:p w14:paraId="31DAB451" w14:textId="77A4BFDA" w:rsidR="00713DA9" w:rsidRDefault="00713DA9" w:rsidP="00D64A81">
      <w:pPr>
        <w:rPr>
          <w:rFonts w:ascii="Palatino Linotype" w:hAnsi="Palatino Linotype"/>
          <w:b/>
          <w:bCs/>
          <w:lang w:val="en-US"/>
        </w:rPr>
      </w:pPr>
      <w:r w:rsidRPr="00713DA9">
        <w:rPr>
          <w:rFonts w:ascii="Palatino Linotype" w:hAnsi="Palatino Linotype"/>
          <w:b/>
          <w:bCs/>
          <w:lang w:val="en-US"/>
        </w:rPr>
        <w:t>Manuscript ID: jcm-404601</w:t>
      </w:r>
    </w:p>
    <w:p w14:paraId="3CCB7C35" w14:textId="77777777" w:rsidR="00713DA9" w:rsidRPr="00713DA9" w:rsidRDefault="00713DA9" w:rsidP="00D64A81">
      <w:pPr>
        <w:rPr>
          <w:rFonts w:ascii="Palatino Linotype" w:hAnsi="Palatino Linotype"/>
          <w:b/>
          <w:bCs/>
          <w:sz w:val="4"/>
          <w:lang w:val="en-US"/>
        </w:rPr>
      </w:pPr>
    </w:p>
    <w:p w14:paraId="00AC3B2F" w14:textId="77777777" w:rsidR="00713DA9" w:rsidRPr="00713DA9" w:rsidRDefault="00713DA9" w:rsidP="00755ACD">
      <w:pPr>
        <w:adjustRightInd w:val="0"/>
        <w:snapToGrid w:val="0"/>
        <w:spacing w:after="240" w:line="400" w:lineRule="exact"/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</w:pPr>
      <w:r w:rsidRPr="00713DA9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  <w:t>Increased Circulating VAP-1 Levels are Associated with Liver Fibrosis in Chronic Hepatitis C Infection</w:t>
      </w:r>
    </w:p>
    <w:p w14:paraId="6A671B91" w14:textId="77777777" w:rsidR="00713DA9" w:rsidRPr="00713DA9" w:rsidRDefault="00713DA9" w:rsidP="00713DA9">
      <w:pPr>
        <w:adjustRightInd w:val="0"/>
        <w:snapToGrid w:val="0"/>
        <w:spacing w:after="12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</w:pPr>
      <w:bookmarkStart w:id="1" w:name="_Hlk528853443"/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Marcel Kraemer 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, Marcin Krawczyk 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1,2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, </w:t>
      </w:r>
      <w:proofErr w:type="spellStart"/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Fozia</w:t>
      </w:r>
      <w:proofErr w:type="spellEnd"/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Noor 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3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, Frank </w:t>
      </w:r>
      <w:proofErr w:type="spellStart"/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Grünhage</w:t>
      </w:r>
      <w:proofErr w:type="spellEnd"/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1,4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, Frank Lammert 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and Jochen G. Schneider 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1,3,</w:t>
      </w:r>
      <w:proofErr w:type="gramStart"/>
      <w:r w:rsidRPr="00713DA9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5,</w:t>
      </w:r>
      <w:r w:rsidRPr="00713DA9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*</w:t>
      </w:r>
      <w:proofErr w:type="gramEnd"/>
    </w:p>
    <w:p w14:paraId="10996AF0" w14:textId="77777777" w:rsidR="00713DA9" w:rsidRPr="00713DA9" w:rsidRDefault="00713DA9" w:rsidP="00713DA9">
      <w:pPr>
        <w:adjustRightInd w:val="0"/>
        <w:snapToGrid w:val="0"/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</w:pP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vertAlign w:val="superscript"/>
          <w:lang w:val="en-US" w:eastAsia="de-DE" w:bidi="en-US"/>
        </w:rPr>
        <w:t>1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ab/>
        <w:t>Department of Internal Medicine II, Saarland University Medical Center, 66421 Homburg, Germany</w:t>
      </w:r>
    </w:p>
    <w:p w14:paraId="68A82F49" w14:textId="77777777" w:rsidR="00713DA9" w:rsidRPr="00713DA9" w:rsidRDefault="00713DA9" w:rsidP="00713DA9">
      <w:pPr>
        <w:adjustRightInd w:val="0"/>
        <w:snapToGrid w:val="0"/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</w:pP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vertAlign w:val="superscript"/>
          <w:lang w:val="en-US" w:eastAsia="de-DE" w:bidi="en-US"/>
        </w:rPr>
        <w:t>2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ab/>
        <w:t>Laboratory of Metabolic Liver Diseases, Centre for Preclinical Research, Department of General, Transplant and Liver Surgery, Medical University of Warsaw, 02-097 Warsaw, Poland</w:t>
      </w:r>
      <w:r w:rsidRPr="00713DA9" w:rsidDel="005231B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 xml:space="preserve"> </w:t>
      </w:r>
    </w:p>
    <w:p w14:paraId="172AE2E8" w14:textId="77777777" w:rsidR="00713DA9" w:rsidRPr="00713DA9" w:rsidRDefault="00713DA9" w:rsidP="00713DA9">
      <w:pPr>
        <w:adjustRightInd w:val="0"/>
        <w:snapToGrid w:val="0"/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</w:pP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vertAlign w:val="superscript"/>
          <w:lang w:val="en-US" w:eastAsia="de-DE" w:bidi="en-US"/>
        </w:rPr>
        <w:t>3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ab/>
        <w:t xml:space="preserve">Luxembourg Centre for Systems Biomedicine (LCSB), University of Luxembourg, </w:t>
      </w:r>
      <w:bookmarkStart w:id="2" w:name="_Hlk535068216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CA" w:eastAsia="de-DE" w:bidi="en-US"/>
        </w:rPr>
        <w:t xml:space="preserve">L-4367 </w:t>
      </w:r>
      <w:proofErr w:type="spellStart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CA" w:eastAsia="de-DE" w:bidi="en-US"/>
        </w:rPr>
        <w:t>Belvaux</w:t>
      </w:r>
      <w:bookmarkEnd w:id="2"/>
      <w:proofErr w:type="spellEnd"/>
      <w:r w:rsidRPr="00713DA9">
        <w:rPr>
          <w:rFonts w:ascii="Palatino Linotype" w:eastAsia="DengXian" w:hAnsi="Palatino Linotype" w:cs="Times New Roman"/>
          <w:color w:val="000000"/>
          <w:sz w:val="18"/>
          <w:szCs w:val="18"/>
          <w:lang w:val="en-CA" w:eastAsia="zh-CN" w:bidi="en-US"/>
        </w:rPr>
        <w:t xml:space="preserve">, 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>Luxembourg</w:t>
      </w:r>
    </w:p>
    <w:p w14:paraId="634F9A86" w14:textId="77777777" w:rsidR="00713DA9" w:rsidRPr="00713DA9" w:rsidRDefault="00713DA9" w:rsidP="00713DA9">
      <w:pPr>
        <w:adjustRightInd w:val="0"/>
        <w:snapToGrid w:val="0"/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</w:pPr>
      <w:r w:rsidRPr="00713DA9">
        <w:rPr>
          <w:rFonts w:ascii="Palatino Linotype" w:eastAsia="Times New Roman" w:hAnsi="Palatino Linotype" w:cs="Times New Roman"/>
          <w:color w:val="000000"/>
          <w:sz w:val="14"/>
          <w:szCs w:val="14"/>
          <w:lang w:val="en-US" w:eastAsia="de-DE" w:bidi="en-US"/>
        </w:rPr>
        <w:t>4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ab/>
        <w:t>Department of Gastroenterology and Oncology, Rhein-Kreis-Neuss Hospital, Grevenbroich, Germany</w:t>
      </w:r>
    </w:p>
    <w:p w14:paraId="7FE7E204" w14:textId="77777777" w:rsidR="00713DA9" w:rsidRPr="00713DA9" w:rsidRDefault="00713DA9" w:rsidP="00713DA9">
      <w:pPr>
        <w:adjustRightInd w:val="0"/>
        <w:snapToGrid w:val="0"/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vertAlign w:val="superscript"/>
          <w:lang w:eastAsia="de-DE" w:bidi="en-US"/>
        </w:rPr>
        <w:t>5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ab/>
      </w:r>
      <w:proofErr w:type="spellStart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Centre</w:t>
      </w:r>
      <w:proofErr w:type="spellEnd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</w:t>
      </w:r>
      <w:proofErr w:type="spellStart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Hospitalier</w:t>
      </w:r>
      <w:proofErr w:type="spellEnd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Emile </w:t>
      </w:r>
      <w:proofErr w:type="spellStart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Mayrisch</w:t>
      </w:r>
      <w:proofErr w:type="spellEnd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, L-4240 Esch-</w:t>
      </w:r>
      <w:proofErr w:type="spellStart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sur</w:t>
      </w:r>
      <w:proofErr w:type="spellEnd"/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-Alzette, Luxembourg</w:t>
      </w:r>
      <w:bookmarkEnd w:id="1"/>
    </w:p>
    <w:p w14:paraId="7DD69D66" w14:textId="77777777" w:rsidR="00713DA9" w:rsidRPr="00713DA9" w:rsidRDefault="00713DA9" w:rsidP="00713DA9">
      <w:pPr>
        <w:adjustRightInd w:val="0"/>
        <w:snapToGrid w:val="0"/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val="en-CA" w:eastAsia="de-DE" w:bidi="en-US"/>
        </w:rPr>
      </w:pP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>*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US" w:eastAsia="de-DE" w:bidi="en-US"/>
        </w:rPr>
        <w:tab/>
        <w:t xml:space="preserve">Correspondence: </w:t>
      </w:r>
      <w:r w:rsidRPr="00713DA9">
        <w:rPr>
          <w:rFonts w:ascii="Palatino Linotype" w:eastAsia="Times New Roman" w:hAnsi="Palatino Linotype" w:cs="Times New Roman"/>
          <w:color w:val="000000"/>
          <w:sz w:val="18"/>
          <w:szCs w:val="18"/>
          <w:lang w:val="en-CA" w:eastAsia="de-DE" w:bidi="en-US"/>
        </w:rPr>
        <w:t>jg.schneider@outlook.com; Fax: +35246664436154</w:t>
      </w:r>
    </w:p>
    <w:p w14:paraId="7F19A787" w14:textId="77777777" w:rsidR="00713DA9" w:rsidRDefault="00713DA9" w:rsidP="00D64A81">
      <w:pPr>
        <w:rPr>
          <w:rFonts w:ascii="Palatino Linotype" w:hAnsi="Palatino Linotype"/>
          <w:b/>
          <w:bCs/>
          <w:lang w:val="en-US"/>
        </w:rPr>
      </w:pPr>
    </w:p>
    <w:p w14:paraId="2C7DE0EF" w14:textId="78430266" w:rsidR="00713DA9" w:rsidRDefault="00755ACD" w:rsidP="00713DA9">
      <w:pPr>
        <w:rPr>
          <w:rFonts w:ascii="Palatino Linotype" w:hAnsi="Palatino Linotype"/>
          <w:b/>
          <w:bCs/>
          <w:lang w:val="en-US"/>
        </w:rPr>
      </w:pPr>
      <w:r>
        <w:rPr>
          <w:rFonts w:ascii="Palatino Linotype" w:hAnsi="Palatino Linotype"/>
          <w:b/>
          <w:bCs/>
          <w:lang w:val="en-US"/>
        </w:rPr>
        <w:t>Supplementary F</w:t>
      </w:r>
      <w:r w:rsidR="00713DA9">
        <w:rPr>
          <w:rFonts w:ascii="Palatino Linotype" w:hAnsi="Palatino Linotype"/>
          <w:b/>
          <w:bCs/>
          <w:lang w:val="en-US"/>
        </w:rPr>
        <w:t xml:space="preserve">igures </w:t>
      </w:r>
    </w:p>
    <w:p w14:paraId="7096C3CB" w14:textId="00E3FE4F" w:rsidR="00713DA9" w:rsidRDefault="00406E72" w:rsidP="00713DA9">
      <w:pPr>
        <w:jc w:val="center"/>
        <w:rPr>
          <w:rFonts w:ascii="Palatino Linotype" w:hAnsi="Palatino Linotype"/>
          <w:b/>
          <w:bCs/>
          <w:lang w:val="en-US"/>
        </w:rPr>
      </w:pPr>
      <w:r>
        <w:rPr>
          <w:rFonts w:ascii="Palatino Linotype" w:hAnsi="Palatino Linotype"/>
          <w:b/>
          <w:bCs/>
          <w:noProof/>
          <w:lang w:val="en-US"/>
        </w:rPr>
        <w:drawing>
          <wp:inline distT="0" distB="0" distL="0" distR="0" wp14:anchorId="459FC7DC" wp14:editId="1DC30E61">
            <wp:extent cx="3714750" cy="3854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BC6B" w14:textId="5C95B14E" w:rsidR="00D64A81" w:rsidRDefault="00D64A81" w:rsidP="00713DA9">
      <w:pPr>
        <w:jc w:val="both"/>
        <w:rPr>
          <w:rFonts w:ascii="Palatino Linotype" w:hAnsi="Palatino Linotype"/>
          <w:lang w:val="en-US"/>
        </w:rPr>
      </w:pPr>
      <w:r w:rsidRPr="00D64A81">
        <w:rPr>
          <w:rFonts w:ascii="Palatino Linotype" w:hAnsi="Palatino Linotype"/>
          <w:b/>
          <w:bCs/>
          <w:lang w:val="en-US"/>
        </w:rPr>
        <w:t>Fig</w:t>
      </w:r>
      <w:r w:rsidR="00713DA9">
        <w:rPr>
          <w:rFonts w:ascii="Palatino Linotype" w:hAnsi="Palatino Linotype"/>
          <w:b/>
          <w:bCs/>
          <w:lang w:val="en-US"/>
        </w:rPr>
        <w:t>ure</w:t>
      </w:r>
      <w:r w:rsidRPr="00D64A81">
        <w:rPr>
          <w:rFonts w:ascii="Palatino Linotype" w:hAnsi="Palatino Linotype"/>
          <w:b/>
          <w:bCs/>
          <w:lang w:val="en-US"/>
        </w:rPr>
        <w:t xml:space="preserve"> S1: Description of the study cohort.</w:t>
      </w:r>
      <w:r w:rsidR="00713DA9">
        <w:rPr>
          <w:rFonts w:ascii="Palatino Linotype" w:hAnsi="Palatino Linotype"/>
          <w:b/>
          <w:bCs/>
          <w:lang w:val="en-US"/>
        </w:rPr>
        <w:t xml:space="preserve"> </w:t>
      </w:r>
      <w:r w:rsidRPr="00D64A81">
        <w:rPr>
          <w:rFonts w:ascii="Palatino Linotype" w:hAnsi="Palatino Linotype"/>
          <w:lang w:val="en-US"/>
        </w:rPr>
        <w:t xml:space="preserve">The study was </w:t>
      </w:r>
      <w:r w:rsidR="009B3263">
        <w:rPr>
          <w:rFonts w:ascii="Palatino Linotype" w:hAnsi="Palatino Linotype"/>
          <w:lang w:val="en-US"/>
        </w:rPr>
        <w:t>on a</w:t>
      </w:r>
      <w:r w:rsidRPr="00D64A81">
        <w:rPr>
          <w:rFonts w:ascii="Palatino Linotype" w:hAnsi="Palatino Linotype"/>
          <w:lang w:val="en-US"/>
        </w:rPr>
        <w:t xml:space="preserve"> subgroup of a large cohort of 899 patients [15]. We selected 538 patients with chronic HCV</w:t>
      </w:r>
      <w:r w:rsidR="009B3263">
        <w:rPr>
          <w:rFonts w:ascii="Palatino Linotype" w:hAnsi="Palatino Linotype"/>
          <w:lang w:val="en-US"/>
        </w:rPr>
        <w:t xml:space="preserve"> infection</w:t>
      </w:r>
      <w:r w:rsidRPr="00D64A81">
        <w:rPr>
          <w:rFonts w:ascii="Palatino Linotype" w:hAnsi="Palatino Linotype"/>
          <w:lang w:val="en-US"/>
        </w:rPr>
        <w:t xml:space="preserve">. Of these patients 322 </w:t>
      </w:r>
      <w:r w:rsidR="009B3263">
        <w:rPr>
          <w:rFonts w:ascii="Palatino Linotype" w:hAnsi="Palatino Linotype"/>
          <w:lang w:val="en-US"/>
        </w:rPr>
        <w:t>were selected</w:t>
      </w:r>
      <w:r w:rsidRPr="00D64A81">
        <w:rPr>
          <w:rFonts w:ascii="Palatino Linotype" w:hAnsi="Palatino Linotype"/>
          <w:lang w:val="en-US"/>
        </w:rPr>
        <w:t xml:space="preserve"> based on the availability of blood samples, biopsy results, comprehensive measurement of clinical laboratory values, availability of </w:t>
      </w:r>
      <w:r w:rsidR="009B3263">
        <w:rPr>
          <w:rFonts w:ascii="Palatino Linotype" w:hAnsi="Palatino Linotype"/>
          <w:lang w:val="en-US"/>
        </w:rPr>
        <w:t>liver stiffness</w:t>
      </w:r>
      <w:r w:rsidRPr="00D64A81">
        <w:rPr>
          <w:rFonts w:ascii="Palatino Linotype" w:hAnsi="Palatino Linotype"/>
          <w:lang w:val="en-US"/>
        </w:rPr>
        <w:t xml:space="preserve"> values higher than 7.5 kPa to include patients representing fibrosis stage 2-4. Patients in the F0/F1 stage still represented the majority (153 out of 322). </w:t>
      </w:r>
    </w:p>
    <w:p w14:paraId="30900117" w14:textId="77777777" w:rsidR="00713DA9" w:rsidRPr="00D64A81" w:rsidRDefault="00713DA9" w:rsidP="00713DA9">
      <w:pPr>
        <w:jc w:val="both"/>
        <w:rPr>
          <w:rFonts w:ascii="Palatino Linotype" w:hAnsi="Palatino Linotype"/>
          <w:lang w:val="en-US"/>
        </w:rPr>
      </w:pPr>
    </w:p>
    <w:p w14:paraId="28747B52" w14:textId="11A482C6" w:rsidR="0022311B" w:rsidRPr="00D64A81" w:rsidRDefault="00713DA9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noProof/>
          <w:lang w:val="en-US"/>
        </w:rPr>
        <w:drawing>
          <wp:inline distT="0" distB="0" distL="0" distR="0" wp14:anchorId="6F3997E8" wp14:editId="3657C5F7">
            <wp:extent cx="5293420" cy="42367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S2_1501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480" cy="423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5063A" w14:textId="77777777" w:rsidR="00713DA9" w:rsidRDefault="00713DA9" w:rsidP="00D64A81">
      <w:pPr>
        <w:rPr>
          <w:rFonts w:ascii="Palatino Linotype" w:hAnsi="Palatino Linotype"/>
          <w:b/>
          <w:bCs/>
          <w:lang w:val="en-US"/>
        </w:rPr>
      </w:pPr>
    </w:p>
    <w:p w14:paraId="01223C71" w14:textId="1E2E07A6" w:rsidR="00D64A81" w:rsidRPr="00D64A81" w:rsidRDefault="00D64A81" w:rsidP="00D64A81">
      <w:pPr>
        <w:rPr>
          <w:rFonts w:ascii="Palatino Linotype" w:hAnsi="Palatino Linotype"/>
          <w:i/>
        </w:rPr>
      </w:pPr>
      <w:r w:rsidRPr="00D64A81">
        <w:rPr>
          <w:rFonts w:ascii="Palatino Linotype" w:hAnsi="Palatino Linotype"/>
          <w:b/>
          <w:bCs/>
          <w:lang w:val="en-US"/>
        </w:rPr>
        <w:t>Fig</w:t>
      </w:r>
      <w:r w:rsidR="00713DA9">
        <w:rPr>
          <w:rFonts w:ascii="Palatino Linotype" w:hAnsi="Palatino Linotype"/>
          <w:b/>
          <w:bCs/>
          <w:lang w:val="en-US"/>
        </w:rPr>
        <w:t>ure</w:t>
      </w:r>
      <w:r w:rsidRPr="00D64A81">
        <w:rPr>
          <w:rFonts w:ascii="Palatino Linotype" w:hAnsi="Palatino Linotype"/>
          <w:b/>
          <w:bCs/>
          <w:lang w:val="en-US"/>
        </w:rPr>
        <w:t xml:space="preserve"> S2. VAP-1 concentration without and with liver cirrhosis. </w:t>
      </w:r>
      <w:r w:rsidRPr="00D64A81">
        <w:rPr>
          <w:rFonts w:ascii="Palatino Linotype" w:hAnsi="Palatino Linotype"/>
          <w:lang w:val="en-US"/>
        </w:rPr>
        <w:t xml:space="preserve">The classification is based on the biopsy results (F0- F3 = no cirrhosis; F4 = cirrhosis; </w:t>
      </w:r>
      <w:r w:rsidRPr="00D64A81">
        <w:rPr>
          <w:rFonts w:ascii="Palatino Linotype" w:hAnsi="Palatino Linotype"/>
          <w:i/>
          <w:iCs/>
          <w:lang w:val="en-US"/>
        </w:rPr>
        <w:t>p</w:t>
      </w:r>
      <w:r w:rsidRPr="00D64A81">
        <w:rPr>
          <w:rFonts w:ascii="Palatino Linotype" w:hAnsi="Palatino Linotype"/>
          <w:lang w:val="en-US"/>
        </w:rPr>
        <w:t xml:space="preserve"> &lt; 0.001***). </w:t>
      </w:r>
      <w:proofErr w:type="spellStart"/>
      <w:r w:rsidRPr="00D64A81">
        <w:rPr>
          <w:rFonts w:ascii="Palatino Linotype" w:hAnsi="Palatino Linotype"/>
        </w:rPr>
        <w:t>Significance</w:t>
      </w:r>
      <w:proofErr w:type="spellEnd"/>
      <w:r w:rsidRPr="00D64A81">
        <w:rPr>
          <w:rFonts w:ascii="Palatino Linotype" w:hAnsi="Palatino Linotype"/>
        </w:rPr>
        <w:t xml:space="preserve"> </w:t>
      </w:r>
      <w:proofErr w:type="spellStart"/>
      <w:r w:rsidRPr="00D64A81">
        <w:rPr>
          <w:rFonts w:ascii="Palatino Linotype" w:hAnsi="Palatino Linotype"/>
        </w:rPr>
        <w:t>is</w:t>
      </w:r>
      <w:proofErr w:type="spellEnd"/>
      <w:r w:rsidRPr="00D64A81">
        <w:rPr>
          <w:rFonts w:ascii="Palatino Linotype" w:hAnsi="Palatino Linotype"/>
        </w:rPr>
        <w:t xml:space="preserve"> </w:t>
      </w:r>
      <w:proofErr w:type="spellStart"/>
      <w:r w:rsidRPr="00D64A81">
        <w:rPr>
          <w:rFonts w:ascii="Palatino Linotype" w:hAnsi="Palatino Linotype"/>
        </w:rPr>
        <w:t>given</w:t>
      </w:r>
      <w:proofErr w:type="spellEnd"/>
      <w:r w:rsidRPr="00D64A81">
        <w:rPr>
          <w:rFonts w:ascii="Palatino Linotype" w:hAnsi="Palatino Linotype"/>
        </w:rPr>
        <w:t xml:space="preserve"> </w:t>
      </w:r>
      <w:proofErr w:type="spellStart"/>
      <w:r w:rsidRPr="00D64A81">
        <w:rPr>
          <w:rFonts w:ascii="Palatino Linotype" w:hAnsi="Palatino Linotype"/>
        </w:rPr>
        <w:t>as</w:t>
      </w:r>
      <w:proofErr w:type="spellEnd"/>
      <w:r w:rsidRPr="00D64A81">
        <w:rPr>
          <w:rFonts w:ascii="Palatino Linotype" w:hAnsi="Palatino Linotype"/>
        </w:rPr>
        <w:t xml:space="preserve"> *** </w:t>
      </w:r>
      <w:r w:rsidRPr="00D64A81">
        <w:rPr>
          <w:rFonts w:ascii="Palatino Linotype" w:hAnsi="Palatino Linotype"/>
          <w:i/>
        </w:rPr>
        <w:t>p</w:t>
      </w:r>
      <w:r w:rsidRPr="00D64A81">
        <w:rPr>
          <w:rFonts w:ascii="Palatino Linotype" w:hAnsi="Palatino Linotype"/>
        </w:rPr>
        <w:t>&lt;0.001.</w:t>
      </w:r>
    </w:p>
    <w:p w14:paraId="227FD220" w14:textId="2C818D9B" w:rsidR="00D64A81" w:rsidRPr="00D64A81" w:rsidRDefault="00D64A81" w:rsidP="00D64A81">
      <w:pPr>
        <w:rPr>
          <w:lang w:val="en-US"/>
        </w:rPr>
      </w:pPr>
    </w:p>
    <w:p w14:paraId="090F81A9" w14:textId="77777777" w:rsidR="00D64A81" w:rsidRPr="00D64A81" w:rsidRDefault="00D64A81">
      <w:pPr>
        <w:rPr>
          <w:lang w:val="en-US"/>
        </w:rPr>
      </w:pPr>
    </w:p>
    <w:sectPr w:rsidR="00D64A81" w:rsidRPr="00D64A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65457"/>
    <w:multiLevelType w:val="hybridMultilevel"/>
    <w:tmpl w:val="4538F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77"/>
    <w:rsid w:val="0022311B"/>
    <w:rsid w:val="002A59DE"/>
    <w:rsid w:val="00406E72"/>
    <w:rsid w:val="00713DA9"/>
    <w:rsid w:val="00755ACD"/>
    <w:rsid w:val="009B3263"/>
    <w:rsid w:val="00AB3177"/>
    <w:rsid w:val="00D64A81"/>
    <w:rsid w:val="00F3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B753"/>
  <w15:chartTrackingRefBased/>
  <w15:docId w15:val="{AA0F45BA-ABCA-4363-85D5-E2CA2D70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4A81"/>
    <w:pPr>
      <w:ind w:left="720"/>
      <w:contextualSpacing/>
    </w:pPr>
    <w:rPr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3D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D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DA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DA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9B32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Fozia Noor</dc:creator>
  <cp:keywords/>
  <dc:description/>
  <cp:lastModifiedBy>Gallet</cp:lastModifiedBy>
  <cp:revision>2</cp:revision>
  <dcterms:created xsi:type="dcterms:W3CDTF">2019-01-16T20:59:00Z</dcterms:created>
  <dcterms:modified xsi:type="dcterms:W3CDTF">2019-01-16T20:59:00Z</dcterms:modified>
</cp:coreProperties>
</file>