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02" w:rsidRDefault="00F02207">
      <w:r w:rsidRPr="00F02207">
        <w:t>The contribution examines which elements of the ITU framework would be transferable to the future international regime of space resources activities. First, it gives a short description of space resources activities, followed by an overview of the ITU regime, which may be relevant from the perspective of space mining. Furthermore, it describes the provisions elaborated by The Hague Space Resources Governance Group, the Building Blocks, which show several resemblances with the ITU regime.</w:t>
      </w:r>
      <w:bookmarkStart w:id="0" w:name="_GoBack"/>
      <w:bookmarkEnd w:id="0"/>
    </w:p>
    <w:sectPr w:rsidR="00833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07"/>
    <w:rsid w:val="00833C02"/>
    <w:rsid w:val="00F0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ATLANTIS</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Mahulena HOFMANN</dc:creator>
  <cp:lastModifiedBy>Mahulena HOFMANN</cp:lastModifiedBy>
  <cp:revision>1</cp:revision>
  <dcterms:created xsi:type="dcterms:W3CDTF">2020-01-28T17:13:00Z</dcterms:created>
  <dcterms:modified xsi:type="dcterms:W3CDTF">2020-01-28T17:14:00Z</dcterms:modified>
</cp:coreProperties>
</file>