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E71EE" w14:textId="0855BD9B" w:rsidR="00A00D12" w:rsidRDefault="00301D23">
      <w:r>
        <w:t xml:space="preserve">The article can be downloaded here: </w:t>
      </w:r>
      <w:r w:rsidR="004B5819" w:rsidRPr="004B5819">
        <w:t>https://www.springerprofessional.de/how-valuable-are-patent-blocking-strategies/16840040</w:t>
      </w:r>
    </w:p>
    <w:sectPr w:rsidR="00A0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23"/>
    <w:rsid w:val="00174DA5"/>
    <w:rsid w:val="00301D23"/>
    <w:rsid w:val="00405773"/>
    <w:rsid w:val="004B5819"/>
    <w:rsid w:val="00C7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EFB3"/>
  <w15:chartTrackingRefBased/>
  <w15:docId w15:val="{A2478931-8AEF-4F34-8C54-9B36A2F6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HUSSINGER</dc:creator>
  <cp:keywords/>
  <dc:description/>
  <cp:lastModifiedBy>Katrin HUSSINGER</cp:lastModifiedBy>
  <cp:revision>2</cp:revision>
  <dcterms:created xsi:type="dcterms:W3CDTF">2020-09-24T07:44:00Z</dcterms:created>
  <dcterms:modified xsi:type="dcterms:W3CDTF">2020-09-24T07:47:00Z</dcterms:modified>
</cp:coreProperties>
</file>