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E71EE" w14:textId="3EF3EDAC" w:rsidR="00A00D12" w:rsidRDefault="00301D23">
      <w:r>
        <w:t xml:space="preserve">The article can be downloaded here: </w:t>
      </w:r>
      <w:r w:rsidRPr="00301D23">
        <w:t>https://onlinelibrary.wiley.com/doi/abs/10.1111/radm.12400</w:t>
      </w:r>
    </w:p>
    <w:sectPr w:rsidR="00A0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D23"/>
    <w:rsid w:val="00174DA5"/>
    <w:rsid w:val="00301D23"/>
    <w:rsid w:val="00405773"/>
    <w:rsid w:val="00C7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FEFB3"/>
  <w15:chartTrackingRefBased/>
  <w15:docId w15:val="{A2478931-8AEF-4F34-8C54-9B36A2F6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HUSSINGER</dc:creator>
  <cp:keywords/>
  <dc:description/>
  <cp:lastModifiedBy>Katrin HUSSINGER</cp:lastModifiedBy>
  <cp:revision>1</cp:revision>
  <dcterms:created xsi:type="dcterms:W3CDTF">2020-09-24T07:44:00Z</dcterms:created>
  <dcterms:modified xsi:type="dcterms:W3CDTF">2020-09-24T07:45:00Z</dcterms:modified>
</cp:coreProperties>
</file>