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9AD7" w14:textId="77777777" w:rsidR="008A4987" w:rsidRPr="001E47AD" w:rsidRDefault="008A4987" w:rsidP="008C29C7">
      <w:pPr>
        <w:spacing w:before="120" w:after="120" w:line="480" w:lineRule="auto"/>
        <w:contextualSpacing/>
        <w:jc w:val="center"/>
        <w:rPr>
          <w:b/>
        </w:rPr>
      </w:pPr>
      <w:bookmarkStart w:id="0" w:name="_Toc520380460"/>
      <w:bookmarkStart w:id="1" w:name="_Toc476732923"/>
      <w:bookmarkStart w:id="2" w:name="_Toc476735195"/>
      <w:r w:rsidRPr="001E47AD">
        <w:rPr>
          <w:b/>
        </w:rPr>
        <w:t xml:space="preserve">Pre-Hurricane Consumer Stockpiling and Post-Hurricane </w:t>
      </w:r>
      <w:r w:rsidRPr="001E47AD">
        <w:rPr>
          <w:rFonts w:hint="eastAsia"/>
          <w:b/>
          <w:lang w:eastAsia="zh-CN"/>
        </w:rPr>
        <w:t>P</w:t>
      </w:r>
      <w:r w:rsidRPr="001E47AD">
        <w:rPr>
          <w:b/>
        </w:rPr>
        <w:t>roduct Availability:</w:t>
      </w:r>
    </w:p>
    <w:p w14:paraId="46E6E333" w14:textId="77777777" w:rsidR="008A4987" w:rsidRPr="001E47AD" w:rsidRDefault="008A4987" w:rsidP="008C29C7">
      <w:pPr>
        <w:spacing w:before="120" w:after="120" w:line="480" w:lineRule="auto"/>
        <w:contextualSpacing/>
        <w:jc w:val="center"/>
        <w:rPr>
          <w:b/>
        </w:rPr>
      </w:pPr>
      <w:r w:rsidRPr="001E47AD">
        <w:rPr>
          <w:b/>
        </w:rPr>
        <w:t>Empirical Evidence from Natural Experiments</w:t>
      </w:r>
    </w:p>
    <w:p w14:paraId="22A7051A" w14:textId="77777777" w:rsidR="008A4987" w:rsidRPr="001E47AD" w:rsidRDefault="008A4987" w:rsidP="008C29C7">
      <w:pPr>
        <w:spacing w:before="120" w:after="120" w:line="480" w:lineRule="auto"/>
        <w:ind w:left="720"/>
        <w:contextualSpacing/>
        <w:rPr>
          <w:b/>
        </w:rPr>
      </w:pPr>
    </w:p>
    <w:p w14:paraId="7C7B8DA9" w14:textId="0496D8E6" w:rsidR="008A4987" w:rsidRDefault="008A4987" w:rsidP="008C29C7">
      <w:pPr>
        <w:spacing w:line="360" w:lineRule="auto"/>
        <w:contextualSpacing/>
        <w:jc w:val="center"/>
        <w:rPr>
          <w:sz w:val="22"/>
          <w:szCs w:val="22"/>
        </w:rPr>
      </w:pPr>
      <w:r w:rsidRPr="001E47AD">
        <w:rPr>
          <w:sz w:val="22"/>
          <w:szCs w:val="22"/>
        </w:rPr>
        <w:t>Xiaodan Pan</w:t>
      </w:r>
    </w:p>
    <w:p w14:paraId="2A0B9518" w14:textId="1A2FB00F" w:rsidR="00B83243" w:rsidRPr="001E47AD" w:rsidRDefault="00B83243" w:rsidP="008C29C7">
      <w:pPr>
        <w:spacing w:line="360" w:lineRule="auto"/>
        <w:contextualSpacing/>
        <w:jc w:val="center"/>
        <w:rPr>
          <w:sz w:val="22"/>
          <w:szCs w:val="22"/>
        </w:rPr>
      </w:pPr>
      <w:r>
        <w:rPr>
          <w:sz w:val="22"/>
          <w:szCs w:val="22"/>
        </w:rPr>
        <w:t>(Corresponding Author)</w:t>
      </w:r>
    </w:p>
    <w:p w14:paraId="2AF676B8" w14:textId="77777777" w:rsidR="008A4987" w:rsidRPr="001E47AD" w:rsidRDefault="008A4987" w:rsidP="008C29C7">
      <w:pPr>
        <w:spacing w:line="360" w:lineRule="auto"/>
        <w:contextualSpacing/>
        <w:jc w:val="center"/>
        <w:rPr>
          <w:sz w:val="22"/>
          <w:szCs w:val="22"/>
        </w:rPr>
      </w:pPr>
      <w:r w:rsidRPr="001E47AD">
        <w:rPr>
          <w:sz w:val="22"/>
          <w:szCs w:val="22"/>
        </w:rPr>
        <w:t>John Molson School of Business</w:t>
      </w:r>
    </w:p>
    <w:p w14:paraId="4C354117" w14:textId="77777777" w:rsidR="008A4987" w:rsidRPr="001E47AD" w:rsidRDefault="008A4987" w:rsidP="008C29C7">
      <w:pPr>
        <w:spacing w:line="360" w:lineRule="auto"/>
        <w:contextualSpacing/>
        <w:jc w:val="center"/>
        <w:rPr>
          <w:sz w:val="22"/>
          <w:szCs w:val="22"/>
        </w:rPr>
      </w:pPr>
      <w:r w:rsidRPr="001E47AD">
        <w:rPr>
          <w:sz w:val="22"/>
          <w:szCs w:val="22"/>
        </w:rPr>
        <w:t>Concordia University</w:t>
      </w:r>
    </w:p>
    <w:p w14:paraId="320EFDCD" w14:textId="03A87DAE" w:rsidR="008A4987" w:rsidRPr="001E47AD" w:rsidRDefault="00C01D76" w:rsidP="008C29C7">
      <w:pPr>
        <w:spacing w:line="360" w:lineRule="auto"/>
        <w:contextualSpacing/>
        <w:jc w:val="center"/>
        <w:rPr>
          <w:sz w:val="22"/>
          <w:szCs w:val="22"/>
        </w:rPr>
      </w:pPr>
      <w:r>
        <w:rPr>
          <w:sz w:val="22"/>
          <w:szCs w:val="22"/>
        </w:rPr>
        <w:t xml:space="preserve">Montreal, Quebec </w:t>
      </w:r>
      <w:r w:rsidR="008A4987" w:rsidRPr="001E47AD">
        <w:rPr>
          <w:sz w:val="22"/>
          <w:szCs w:val="22"/>
        </w:rPr>
        <w:t>H3H 0A1</w:t>
      </w:r>
      <w:r>
        <w:rPr>
          <w:sz w:val="22"/>
          <w:szCs w:val="22"/>
        </w:rPr>
        <w:t>, Canada</w:t>
      </w:r>
    </w:p>
    <w:p w14:paraId="042B7146" w14:textId="77777777" w:rsidR="008A4987" w:rsidRPr="001E47AD" w:rsidRDefault="008A4987" w:rsidP="008C29C7">
      <w:pPr>
        <w:spacing w:line="360" w:lineRule="auto"/>
        <w:contextualSpacing/>
        <w:jc w:val="center"/>
        <w:rPr>
          <w:sz w:val="22"/>
          <w:szCs w:val="22"/>
        </w:rPr>
      </w:pPr>
      <w:r w:rsidRPr="001E47AD">
        <w:rPr>
          <w:sz w:val="22"/>
          <w:szCs w:val="22"/>
        </w:rPr>
        <w:t>xiaodan.pan@concordia.ca</w:t>
      </w:r>
    </w:p>
    <w:p w14:paraId="11A54F11" w14:textId="77777777" w:rsidR="008A4987" w:rsidRPr="001E47AD" w:rsidRDefault="008A4987" w:rsidP="008C29C7">
      <w:pPr>
        <w:spacing w:line="360" w:lineRule="auto"/>
        <w:ind w:left="720"/>
        <w:contextualSpacing/>
        <w:jc w:val="center"/>
        <w:rPr>
          <w:sz w:val="22"/>
          <w:szCs w:val="22"/>
        </w:rPr>
      </w:pPr>
    </w:p>
    <w:p w14:paraId="0DD70157" w14:textId="77777777" w:rsidR="008A4987" w:rsidRPr="001E47AD" w:rsidRDefault="008A4987" w:rsidP="008C29C7">
      <w:pPr>
        <w:spacing w:line="360" w:lineRule="auto"/>
        <w:contextualSpacing/>
        <w:jc w:val="center"/>
        <w:rPr>
          <w:sz w:val="22"/>
          <w:szCs w:val="22"/>
        </w:rPr>
      </w:pPr>
      <w:r w:rsidRPr="001E47AD">
        <w:rPr>
          <w:sz w:val="22"/>
          <w:szCs w:val="22"/>
        </w:rPr>
        <w:t>Martin Dresner</w:t>
      </w:r>
    </w:p>
    <w:p w14:paraId="0C5B28FF" w14:textId="77777777" w:rsidR="008A4987" w:rsidRPr="001E47AD" w:rsidRDefault="008A4987" w:rsidP="008C29C7">
      <w:pPr>
        <w:spacing w:line="360" w:lineRule="auto"/>
        <w:contextualSpacing/>
        <w:jc w:val="center"/>
        <w:rPr>
          <w:sz w:val="22"/>
          <w:szCs w:val="22"/>
        </w:rPr>
      </w:pPr>
      <w:r w:rsidRPr="001E47AD">
        <w:rPr>
          <w:sz w:val="22"/>
          <w:szCs w:val="22"/>
        </w:rPr>
        <w:t>Robert H. Smith School of Business</w:t>
      </w:r>
    </w:p>
    <w:p w14:paraId="20406F91" w14:textId="77777777" w:rsidR="008A4987" w:rsidRPr="001E47AD" w:rsidRDefault="008A4987" w:rsidP="008C29C7">
      <w:pPr>
        <w:spacing w:line="360" w:lineRule="auto"/>
        <w:contextualSpacing/>
        <w:jc w:val="center"/>
        <w:rPr>
          <w:sz w:val="22"/>
          <w:szCs w:val="22"/>
        </w:rPr>
      </w:pPr>
      <w:r w:rsidRPr="001E47AD">
        <w:rPr>
          <w:sz w:val="22"/>
          <w:szCs w:val="22"/>
        </w:rPr>
        <w:t>University of Maryland</w:t>
      </w:r>
    </w:p>
    <w:p w14:paraId="6304D89A" w14:textId="22EDAB4B" w:rsidR="008A4987" w:rsidRPr="001E47AD" w:rsidRDefault="008A4987" w:rsidP="008C29C7">
      <w:pPr>
        <w:spacing w:line="360" w:lineRule="auto"/>
        <w:contextualSpacing/>
        <w:jc w:val="center"/>
        <w:rPr>
          <w:sz w:val="22"/>
          <w:szCs w:val="22"/>
        </w:rPr>
      </w:pPr>
      <w:r w:rsidRPr="001E47AD">
        <w:rPr>
          <w:sz w:val="22"/>
          <w:szCs w:val="22"/>
        </w:rPr>
        <w:t>College Park, Maryland 20742</w:t>
      </w:r>
      <w:r w:rsidR="00C01D76">
        <w:rPr>
          <w:sz w:val="22"/>
          <w:szCs w:val="22"/>
        </w:rPr>
        <w:t>, USA</w:t>
      </w:r>
    </w:p>
    <w:p w14:paraId="4BF67E5C" w14:textId="77777777" w:rsidR="008A4987" w:rsidRPr="001E47AD" w:rsidRDefault="008A4987" w:rsidP="008C29C7">
      <w:pPr>
        <w:spacing w:line="360" w:lineRule="auto"/>
        <w:contextualSpacing/>
        <w:jc w:val="center"/>
        <w:rPr>
          <w:sz w:val="22"/>
          <w:szCs w:val="22"/>
        </w:rPr>
      </w:pPr>
      <w:r w:rsidRPr="001E47AD">
        <w:rPr>
          <w:sz w:val="22"/>
          <w:szCs w:val="22"/>
        </w:rPr>
        <w:t>mdresner@rhsmith.umd.edu</w:t>
      </w:r>
    </w:p>
    <w:p w14:paraId="4A5A7746" w14:textId="77777777" w:rsidR="008A4987" w:rsidRPr="001E47AD" w:rsidRDefault="008A4987" w:rsidP="008C29C7">
      <w:pPr>
        <w:spacing w:line="360" w:lineRule="auto"/>
        <w:ind w:left="720"/>
        <w:contextualSpacing/>
        <w:jc w:val="center"/>
        <w:rPr>
          <w:sz w:val="22"/>
          <w:szCs w:val="22"/>
        </w:rPr>
      </w:pPr>
    </w:p>
    <w:p w14:paraId="0B9E88D5" w14:textId="77777777" w:rsidR="008A4987" w:rsidRPr="001E47AD" w:rsidRDefault="008A4987" w:rsidP="008C29C7">
      <w:pPr>
        <w:spacing w:line="360" w:lineRule="auto"/>
        <w:contextualSpacing/>
        <w:jc w:val="center"/>
        <w:rPr>
          <w:sz w:val="22"/>
          <w:szCs w:val="22"/>
        </w:rPr>
      </w:pPr>
      <w:r w:rsidRPr="001E47AD">
        <w:rPr>
          <w:sz w:val="22"/>
          <w:szCs w:val="22"/>
        </w:rPr>
        <w:t>Benny Mantin</w:t>
      </w:r>
    </w:p>
    <w:p w14:paraId="5BF40308" w14:textId="77777777" w:rsidR="008A4987" w:rsidRPr="001E47AD" w:rsidRDefault="008A4987" w:rsidP="008C29C7">
      <w:pPr>
        <w:spacing w:line="360" w:lineRule="auto"/>
        <w:contextualSpacing/>
        <w:jc w:val="center"/>
        <w:rPr>
          <w:sz w:val="22"/>
          <w:szCs w:val="22"/>
        </w:rPr>
      </w:pPr>
      <w:r w:rsidRPr="001E47AD">
        <w:rPr>
          <w:sz w:val="22"/>
          <w:szCs w:val="22"/>
        </w:rPr>
        <w:t>Faculty of Law, Economics, and Finance</w:t>
      </w:r>
    </w:p>
    <w:p w14:paraId="3B2537D4" w14:textId="77777777" w:rsidR="008A4987" w:rsidRPr="001E47AD" w:rsidRDefault="008A4987" w:rsidP="008C29C7">
      <w:pPr>
        <w:spacing w:line="360" w:lineRule="auto"/>
        <w:contextualSpacing/>
        <w:jc w:val="center"/>
        <w:rPr>
          <w:sz w:val="22"/>
          <w:szCs w:val="22"/>
        </w:rPr>
      </w:pPr>
      <w:r w:rsidRPr="001E47AD">
        <w:rPr>
          <w:sz w:val="22"/>
          <w:szCs w:val="22"/>
        </w:rPr>
        <w:t>University of Luxembourg</w:t>
      </w:r>
    </w:p>
    <w:p w14:paraId="1DDB8567" w14:textId="5F139BB7" w:rsidR="008A4987" w:rsidRPr="001E47AD" w:rsidRDefault="008A4987" w:rsidP="008C29C7">
      <w:pPr>
        <w:spacing w:line="360" w:lineRule="auto"/>
        <w:contextualSpacing/>
        <w:jc w:val="center"/>
        <w:rPr>
          <w:sz w:val="22"/>
          <w:szCs w:val="22"/>
        </w:rPr>
      </w:pPr>
      <w:r w:rsidRPr="001E47AD">
        <w:rPr>
          <w:sz w:val="22"/>
          <w:szCs w:val="22"/>
        </w:rPr>
        <w:t>Luxembourg L-1359</w:t>
      </w:r>
      <w:r w:rsidR="00C01D76">
        <w:rPr>
          <w:sz w:val="22"/>
          <w:szCs w:val="22"/>
        </w:rPr>
        <w:t>, Luxembourg</w:t>
      </w:r>
    </w:p>
    <w:p w14:paraId="09997B8A" w14:textId="77777777" w:rsidR="008A4987" w:rsidRPr="001E47AD" w:rsidRDefault="008A4987" w:rsidP="008C29C7">
      <w:pPr>
        <w:spacing w:line="360" w:lineRule="auto"/>
        <w:contextualSpacing/>
        <w:jc w:val="center"/>
        <w:rPr>
          <w:sz w:val="22"/>
          <w:szCs w:val="22"/>
        </w:rPr>
      </w:pPr>
      <w:r w:rsidRPr="001E47AD">
        <w:rPr>
          <w:sz w:val="22"/>
          <w:szCs w:val="22"/>
        </w:rPr>
        <w:t>benny.mantin@uni.lu</w:t>
      </w:r>
    </w:p>
    <w:p w14:paraId="60251CAC" w14:textId="77777777" w:rsidR="008A4987" w:rsidRPr="001E47AD" w:rsidRDefault="008A4987" w:rsidP="008C29C7">
      <w:pPr>
        <w:spacing w:line="360" w:lineRule="auto"/>
        <w:ind w:left="720"/>
        <w:contextualSpacing/>
        <w:jc w:val="center"/>
        <w:rPr>
          <w:sz w:val="22"/>
          <w:szCs w:val="22"/>
        </w:rPr>
      </w:pPr>
    </w:p>
    <w:p w14:paraId="0AC9CD87" w14:textId="77777777" w:rsidR="008A4987" w:rsidRPr="001E47AD" w:rsidRDefault="008A4987" w:rsidP="008C29C7">
      <w:pPr>
        <w:spacing w:line="360" w:lineRule="auto"/>
        <w:contextualSpacing/>
        <w:jc w:val="center"/>
        <w:rPr>
          <w:sz w:val="22"/>
          <w:szCs w:val="22"/>
        </w:rPr>
      </w:pPr>
      <w:r w:rsidRPr="001E47AD">
        <w:rPr>
          <w:sz w:val="22"/>
          <w:szCs w:val="22"/>
        </w:rPr>
        <w:t>Jun A. Zhang</w:t>
      </w:r>
    </w:p>
    <w:p w14:paraId="7ADE5BC0" w14:textId="77777777" w:rsidR="008A4987" w:rsidRPr="001E47AD" w:rsidRDefault="008A4987" w:rsidP="008C29C7">
      <w:pPr>
        <w:spacing w:line="360" w:lineRule="auto"/>
        <w:contextualSpacing/>
        <w:jc w:val="center"/>
        <w:rPr>
          <w:sz w:val="22"/>
          <w:szCs w:val="22"/>
        </w:rPr>
      </w:pPr>
      <w:r w:rsidRPr="001E47AD">
        <w:rPr>
          <w:sz w:val="22"/>
          <w:szCs w:val="22"/>
        </w:rPr>
        <w:t>Hurricane Research Division</w:t>
      </w:r>
    </w:p>
    <w:p w14:paraId="3F72DF4B" w14:textId="77777777" w:rsidR="008A4987" w:rsidRPr="001E47AD" w:rsidRDefault="008A4987" w:rsidP="008C29C7">
      <w:pPr>
        <w:spacing w:line="360" w:lineRule="auto"/>
        <w:contextualSpacing/>
        <w:jc w:val="center"/>
        <w:rPr>
          <w:sz w:val="22"/>
          <w:szCs w:val="22"/>
        </w:rPr>
      </w:pPr>
      <w:r w:rsidRPr="001E47AD">
        <w:rPr>
          <w:sz w:val="22"/>
          <w:szCs w:val="22"/>
        </w:rPr>
        <w:t>NOAA's Atlantic Oceanographic and Meteorological Laboratory &amp; Cooperative Institute for Marine and Atmospheric Studies</w:t>
      </w:r>
    </w:p>
    <w:p w14:paraId="34ED148B" w14:textId="77777777" w:rsidR="008A4987" w:rsidRPr="001E47AD" w:rsidRDefault="008A4987" w:rsidP="008C29C7">
      <w:pPr>
        <w:spacing w:line="360" w:lineRule="auto"/>
        <w:contextualSpacing/>
        <w:jc w:val="center"/>
        <w:rPr>
          <w:sz w:val="22"/>
          <w:szCs w:val="22"/>
        </w:rPr>
      </w:pPr>
      <w:r w:rsidRPr="001E47AD">
        <w:rPr>
          <w:sz w:val="22"/>
          <w:szCs w:val="22"/>
        </w:rPr>
        <w:t>University of Miami</w:t>
      </w:r>
    </w:p>
    <w:p w14:paraId="0639D93D" w14:textId="2EEC88E2" w:rsidR="008A4987" w:rsidRPr="001E47AD" w:rsidRDefault="008A4987" w:rsidP="008C29C7">
      <w:pPr>
        <w:spacing w:line="360" w:lineRule="auto"/>
        <w:contextualSpacing/>
        <w:jc w:val="center"/>
        <w:rPr>
          <w:sz w:val="22"/>
          <w:szCs w:val="22"/>
        </w:rPr>
      </w:pPr>
      <w:r w:rsidRPr="001E47AD">
        <w:rPr>
          <w:sz w:val="22"/>
          <w:szCs w:val="22"/>
        </w:rPr>
        <w:t>Miami, Florida 33149</w:t>
      </w:r>
      <w:r w:rsidR="00C01D76">
        <w:rPr>
          <w:sz w:val="22"/>
          <w:szCs w:val="22"/>
        </w:rPr>
        <w:t>, USA</w:t>
      </w:r>
    </w:p>
    <w:p w14:paraId="744FAA3C" w14:textId="77777777" w:rsidR="008A4987" w:rsidRPr="001E47AD" w:rsidRDefault="008A4987" w:rsidP="008C29C7">
      <w:pPr>
        <w:spacing w:line="360" w:lineRule="auto"/>
        <w:contextualSpacing/>
        <w:jc w:val="center"/>
        <w:rPr>
          <w:sz w:val="22"/>
          <w:szCs w:val="22"/>
        </w:rPr>
      </w:pPr>
      <w:r w:rsidRPr="001E47AD">
        <w:rPr>
          <w:sz w:val="22"/>
          <w:szCs w:val="22"/>
        </w:rPr>
        <w:t>jun.zhang@noaa.gov</w:t>
      </w:r>
    </w:p>
    <w:p w14:paraId="11DCA486" w14:textId="77777777" w:rsidR="008A4987" w:rsidRPr="001E47AD" w:rsidRDefault="008A4987" w:rsidP="008A4987">
      <w:pPr>
        <w:spacing w:before="120" w:after="120" w:line="480" w:lineRule="auto"/>
        <w:contextualSpacing/>
        <w:rPr>
          <w:b/>
        </w:rPr>
      </w:pPr>
    </w:p>
    <w:p w14:paraId="2D5EAB14" w14:textId="77777777" w:rsidR="008A4987" w:rsidRPr="001E47AD" w:rsidRDefault="008A4987">
      <w:pPr>
        <w:rPr>
          <w:b/>
        </w:rPr>
      </w:pPr>
      <w:r w:rsidRPr="001E47AD">
        <w:rPr>
          <w:b/>
        </w:rPr>
        <w:br w:type="page"/>
      </w:r>
    </w:p>
    <w:p w14:paraId="1488EBAC" w14:textId="2943E96C" w:rsidR="003A45D1" w:rsidRPr="001E47AD" w:rsidRDefault="003A45D1" w:rsidP="004A6EA9">
      <w:pPr>
        <w:spacing w:before="120" w:after="120" w:line="480" w:lineRule="auto"/>
        <w:contextualSpacing/>
        <w:jc w:val="center"/>
        <w:rPr>
          <w:b/>
        </w:rPr>
      </w:pPr>
      <w:r w:rsidRPr="001E47AD">
        <w:rPr>
          <w:b/>
        </w:rPr>
        <w:lastRenderedPageBreak/>
        <w:t xml:space="preserve">Pre-Hurricane </w:t>
      </w:r>
      <w:r w:rsidR="00575DE1" w:rsidRPr="001E47AD">
        <w:rPr>
          <w:b/>
        </w:rPr>
        <w:t>Consumer Stockpiling</w:t>
      </w:r>
      <w:r w:rsidR="00C7162A" w:rsidRPr="001E47AD">
        <w:rPr>
          <w:b/>
        </w:rPr>
        <w:t xml:space="preserve"> and</w:t>
      </w:r>
      <w:r w:rsidR="00575DE1" w:rsidRPr="001E47AD">
        <w:rPr>
          <w:b/>
        </w:rPr>
        <w:t xml:space="preserve"> </w:t>
      </w:r>
      <w:r w:rsidRPr="001E47AD">
        <w:rPr>
          <w:b/>
        </w:rPr>
        <w:t xml:space="preserve">Post-Hurricane </w:t>
      </w:r>
      <w:r w:rsidRPr="001E47AD">
        <w:rPr>
          <w:rFonts w:hint="eastAsia"/>
          <w:b/>
          <w:lang w:eastAsia="zh-CN"/>
        </w:rPr>
        <w:t>P</w:t>
      </w:r>
      <w:r w:rsidRPr="001E47AD">
        <w:rPr>
          <w:b/>
        </w:rPr>
        <w:t>roduct Availability:</w:t>
      </w:r>
      <w:bookmarkEnd w:id="0"/>
    </w:p>
    <w:p w14:paraId="4D5767C2" w14:textId="4A575C9E" w:rsidR="0064202C" w:rsidRPr="001E47AD" w:rsidRDefault="00D068CD" w:rsidP="004A6EA9">
      <w:pPr>
        <w:spacing w:before="120" w:after="120" w:line="480" w:lineRule="auto"/>
        <w:contextualSpacing/>
        <w:jc w:val="center"/>
        <w:rPr>
          <w:b/>
        </w:rPr>
      </w:pPr>
      <w:r w:rsidRPr="001E47AD">
        <w:rPr>
          <w:b/>
        </w:rPr>
        <w:t xml:space="preserve">Empirical Evidence from </w:t>
      </w:r>
      <w:r w:rsidR="00FA02A9" w:rsidRPr="001E47AD">
        <w:rPr>
          <w:b/>
        </w:rPr>
        <w:t>Natural Experiments</w:t>
      </w:r>
    </w:p>
    <w:p w14:paraId="2D344A34" w14:textId="0570337F" w:rsidR="00D56F2B" w:rsidRPr="001E47AD" w:rsidRDefault="007720AE" w:rsidP="00617120">
      <w:pPr>
        <w:spacing w:before="120" w:after="120" w:line="480" w:lineRule="auto"/>
        <w:contextualSpacing/>
        <w:jc w:val="both"/>
        <w:rPr>
          <w:sz w:val="22"/>
          <w:szCs w:val="22"/>
          <w:lang w:eastAsia="zh-CN"/>
        </w:rPr>
      </w:pPr>
      <w:r w:rsidRPr="001E47AD">
        <w:rPr>
          <w:sz w:val="22"/>
          <w:szCs w:val="22"/>
        </w:rPr>
        <w:t xml:space="preserve">The provision of essential supplies is a </w:t>
      </w:r>
      <w:r w:rsidRPr="001E47AD">
        <w:rPr>
          <w:noProof/>
          <w:sz w:val="22"/>
          <w:szCs w:val="22"/>
        </w:rPr>
        <w:t>key</w:t>
      </w:r>
      <w:r w:rsidRPr="001E47AD">
        <w:rPr>
          <w:sz w:val="22"/>
          <w:szCs w:val="22"/>
        </w:rPr>
        <w:t xml:space="preserve"> service provided by retailers when demand spikes</w:t>
      </w:r>
      <w:r w:rsidR="00490C19" w:rsidRPr="001E47AD">
        <w:rPr>
          <w:sz w:val="22"/>
          <w:szCs w:val="22"/>
        </w:rPr>
        <w:t xml:space="preserve"> due to consumer stockpiling</w:t>
      </w:r>
      <w:r w:rsidRPr="001E47AD">
        <w:rPr>
          <w:sz w:val="22"/>
          <w:szCs w:val="22"/>
        </w:rPr>
        <w:t xml:space="preserve"> during environmental emergencies. Moreover, </w:t>
      </w:r>
      <w:r w:rsidR="00490C19" w:rsidRPr="001E47AD">
        <w:rPr>
          <w:sz w:val="22"/>
          <w:szCs w:val="22"/>
        </w:rPr>
        <w:t xml:space="preserve">it is </w:t>
      </w:r>
      <w:r w:rsidR="00490C19" w:rsidRPr="001E47AD">
        <w:rPr>
          <w:noProof/>
          <w:sz w:val="22"/>
          <w:szCs w:val="22"/>
        </w:rPr>
        <w:t>important</w:t>
      </w:r>
      <w:r w:rsidR="00490C19" w:rsidRPr="001E47AD">
        <w:rPr>
          <w:sz w:val="22"/>
          <w:szCs w:val="22"/>
        </w:rPr>
        <w:t xml:space="preserve"> for retailers to quickly </w:t>
      </w:r>
      <w:r w:rsidRPr="001E47AD">
        <w:rPr>
          <w:sz w:val="22"/>
          <w:szCs w:val="22"/>
        </w:rPr>
        <w:t xml:space="preserve">recover from </w:t>
      </w:r>
      <w:r w:rsidR="00490C19" w:rsidRPr="001E47AD">
        <w:rPr>
          <w:sz w:val="22"/>
          <w:szCs w:val="22"/>
        </w:rPr>
        <w:t>these events by replenishing the stock of essential supplies</w:t>
      </w:r>
      <w:r w:rsidRPr="001E47AD">
        <w:rPr>
          <w:sz w:val="22"/>
          <w:szCs w:val="22"/>
        </w:rPr>
        <w:t xml:space="preserve"> </w:t>
      </w:r>
      <w:r w:rsidR="00490C19" w:rsidRPr="001E47AD">
        <w:rPr>
          <w:sz w:val="22"/>
          <w:szCs w:val="22"/>
        </w:rPr>
        <w:t>to meet the continuing needs of local residents.</w:t>
      </w:r>
      <w:r w:rsidRPr="001E47AD">
        <w:rPr>
          <w:sz w:val="22"/>
          <w:szCs w:val="22"/>
        </w:rPr>
        <w:t xml:space="preserve"> </w:t>
      </w:r>
      <w:r w:rsidR="00CD06A1" w:rsidRPr="001E47AD">
        <w:rPr>
          <w:sz w:val="22"/>
          <w:szCs w:val="22"/>
        </w:rPr>
        <w:t>The main</w:t>
      </w:r>
      <w:r w:rsidR="00986441" w:rsidRPr="001E47AD">
        <w:rPr>
          <w:sz w:val="22"/>
          <w:szCs w:val="22"/>
        </w:rPr>
        <w:t xml:space="preserve"> </w:t>
      </w:r>
      <w:r w:rsidR="00CD06A1" w:rsidRPr="001E47AD">
        <w:rPr>
          <w:sz w:val="22"/>
          <w:szCs w:val="22"/>
        </w:rPr>
        <w:t xml:space="preserve">purpose of this research is to </w:t>
      </w:r>
      <w:r w:rsidR="00E307B6" w:rsidRPr="001E47AD">
        <w:rPr>
          <w:sz w:val="22"/>
          <w:szCs w:val="22"/>
        </w:rPr>
        <w:t xml:space="preserve">study consumer </w:t>
      </w:r>
      <w:r w:rsidR="00617120" w:rsidRPr="001E47AD">
        <w:rPr>
          <w:sz w:val="22"/>
          <w:szCs w:val="22"/>
        </w:rPr>
        <w:t xml:space="preserve">precautionary stockpiling </w:t>
      </w:r>
      <w:r w:rsidR="00E307B6" w:rsidRPr="001E47AD">
        <w:rPr>
          <w:sz w:val="22"/>
          <w:szCs w:val="22"/>
        </w:rPr>
        <w:t xml:space="preserve">behavior </w:t>
      </w:r>
      <w:r w:rsidR="00D23711" w:rsidRPr="001E47AD">
        <w:rPr>
          <w:noProof/>
          <w:sz w:val="22"/>
          <w:szCs w:val="22"/>
        </w:rPr>
        <w:t>prior to the onset of</w:t>
      </w:r>
      <w:r w:rsidR="00E307B6" w:rsidRPr="001E47AD">
        <w:rPr>
          <w:sz w:val="22"/>
          <w:szCs w:val="22"/>
        </w:rPr>
        <w:t xml:space="preserve"> </w:t>
      </w:r>
      <w:r w:rsidR="00E307B6" w:rsidRPr="001E47AD">
        <w:rPr>
          <w:noProof/>
          <w:sz w:val="22"/>
          <w:szCs w:val="22"/>
        </w:rPr>
        <w:t>hurrican</w:t>
      </w:r>
      <w:r w:rsidR="00614C34" w:rsidRPr="001E47AD">
        <w:rPr>
          <w:noProof/>
          <w:sz w:val="22"/>
          <w:szCs w:val="22"/>
        </w:rPr>
        <w:t>e landfalls</w:t>
      </w:r>
      <w:r w:rsidR="00E307B6" w:rsidRPr="001E47AD">
        <w:rPr>
          <w:sz w:val="22"/>
          <w:szCs w:val="22"/>
        </w:rPr>
        <w:t xml:space="preserve"> </w:t>
      </w:r>
      <w:r w:rsidR="00CD06A1" w:rsidRPr="001E47AD">
        <w:rPr>
          <w:sz w:val="22"/>
          <w:szCs w:val="22"/>
        </w:rPr>
        <w:t>and determine</w:t>
      </w:r>
      <w:r w:rsidR="00E307B6" w:rsidRPr="001E47AD">
        <w:rPr>
          <w:sz w:val="22"/>
          <w:szCs w:val="22"/>
        </w:rPr>
        <w:t xml:space="preserve"> the impact of this behavior on in-store product availability for various formats of retail store outlets. </w:t>
      </w:r>
      <w:r w:rsidR="00A33675" w:rsidRPr="001E47AD">
        <w:rPr>
          <w:sz w:val="22"/>
          <w:szCs w:val="22"/>
        </w:rPr>
        <w:t xml:space="preserve">Specifically, we focus on </w:t>
      </w:r>
      <w:r w:rsidR="00CC4C9A" w:rsidRPr="001E47AD">
        <w:rPr>
          <w:sz w:val="22"/>
          <w:szCs w:val="22"/>
        </w:rPr>
        <w:t xml:space="preserve">the </w:t>
      </w:r>
      <w:r w:rsidR="00A33675" w:rsidRPr="001E47AD">
        <w:rPr>
          <w:sz w:val="22"/>
          <w:szCs w:val="22"/>
        </w:rPr>
        <w:t xml:space="preserve">bottled water product category, an essential emergency category in hurricane preparedness. </w:t>
      </w:r>
      <w:r w:rsidR="002879BA" w:rsidRPr="001E47AD">
        <w:rPr>
          <w:sz w:val="22"/>
          <w:szCs w:val="22"/>
        </w:rPr>
        <w:t>T</w:t>
      </w:r>
      <w:r w:rsidR="00DE6AEC" w:rsidRPr="001E47AD">
        <w:rPr>
          <w:sz w:val="22"/>
          <w:szCs w:val="22"/>
          <w:lang w:eastAsia="zh-CN"/>
        </w:rPr>
        <w:t>his study</w:t>
      </w:r>
      <w:r w:rsidR="001D628F" w:rsidRPr="001E47AD">
        <w:rPr>
          <w:sz w:val="22"/>
          <w:szCs w:val="22"/>
        </w:rPr>
        <w:t xml:space="preserve"> combine</w:t>
      </w:r>
      <w:r w:rsidR="00724EDA" w:rsidRPr="001E47AD">
        <w:rPr>
          <w:sz w:val="22"/>
          <w:szCs w:val="22"/>
          <w:lang w:eastAsia="zh-CN"/>
        </w:rPr>
        <w:t>s</w:t>
      </w:r>
      <w:r w:rsidR="00724EDA" w:rsidRPr="001E47AD">
        <w:rPr>
          <w:sz w:val="22"/>
          <w:szCs w:val="22"/>
        </w:rPr>
        <w:t xml:space="preserve"> </w:t>
      </w:r>
      <w:r w:rsidR="0068644E" w:rsidRPr="001E47AD">
        <w:rPr>
          <w:sz w:val="22"/>
          <w:szCs w:val="22"/>
        </w:rPr>
        <w:t xml:space="preserve">an </w:t>
      </w:r>
      <w:r w:rsidR="002E68F9" w:rsidRPr="001E47AD">
        <w:rPr>
          <w:sz w:val="22"/>
          <w:szCs w:val="22"/>
        </w:rPr>
        <w:t>event analysis</w:t>
      </w:r>
      <w:r w:rsidR="00751EBF" w:rsidRPr="001E47AD">
        <w:rPr>
          <w:sz w:val="22"/>
          <w:szCs w:val="22"/>
        </w:rPr>
        <w:t xml:space="preserve"> methodology</w:t>
      </w:r>
      <w:r w:rsidR="00724EDA" w:rsidRPr="001E47AD">
        <w:rPr>
          <w:sz w:val="22"/>
          <w:szCs w:val="22"/>
        </w:rPr>
        <w:t xml:space="preserve"> with </w:t>
      </w:r>
      <w:r w:rsidR="001D628F" w:rsidRPr="001E47AD">
        <w:rPr>
          <w:noProof/>
          <w:sz w:val="22"/>
          <w:szCs w:val="22"/>
        </w:rPr>
        <w:t>econometric</w:t>
      </w:r>
      <w:r w:rsidR="001D628F" w:rsidRPr="001E47AD">
        <w:rPr>
          <w:sz w:val="22"/>
          <w:szCs w:val="22"/>
        </w:rPr>
        <w:t xml:space="preserve"> model</w:t>
      </w:r>
      <w:r w:rsidR="00724EDA" w:rsidRPr="001E47AD">
        <w:rPr>
          <w:sz w:val="22"/>
          <w:szCs w:val="22"/>
          <w:lang w:eastAsia="zh-CN"/>
        </w:rPr>
        <w:t>s</w:t>
      </w:r>
      <w:r w:rsidR="001D628F" w:rsidRPr="001E47AD">
        <w:rPr>
          <w:sz w:val="22"/>
          <w:szCs w:val="22"/>
        </w:rPr>
        <w:t xml:space="preserve"> using archival retail scanner data from 60 U.S. retail chains located in 963 counties and real-time data from four recent U.S. continental hurricane</w:t>
      </w:r>
      <w:r w:rsidR="009B64B2" w:rsidRPr="001E47AD">
        <w:rPr>
          <w:sz w:val="22"/>
          <w:szCs w:val="22"/>
        </w:rPr>
        <w:t>s</w:t>
      </w:r>
      <w:r w:rsidR="00CA3700" w:rsidRPr="001E47AD">
        <w:rPr>
          <w:sz w:val="22"/>
          <w:szCs w:val="22"/>
        </w:rPr>
        <w:t xml:space="preserve">. </w:t>
      </w:r>
      <w:r w:rsidR="00E307B6" w:rsidRPr="001E47AD">
        <w:rPr>
          <w:sz w:val="22"/>
          <w:szCs w:val="22"/>
        </w:rPr>
        <w:t xml:space="preserve">We find that supply-side characteristics (retail network and product variety), demand-side characteristics (hurricane experience and household income), and disaster characteristics (hazard proximity and hazard intensity) significantly </w:t>
      </w:r>
      <w:r w:rsidR="00E307B6" w:rsidRPr="001E47AD">
        <w:rPr>
          <w:noProof/>
          <w:sz w:val="22"/>
          <w:szCs w:val="22"/>
        </w:rPr>
        <w:t xml:space="preserve">affect </w:t>
      </w:r>
      <w:r w:rsidR="00E307B6" w:rsidRPr="001E47AD">
        <w:rPr>
          <w:sz w:val="22"/>
          <w:szCs w:val="22"/>
        </w:rPr>
        <w:t xml:space="preserve">consumer stockpiling propensity as </w:t>
      </w:r>
      <w:r w:rsidR="00E307B6" w:rsidRPr="001E47AD">
        <w:rPr>
          <w:noProof/>
          <w:sz w:val="22"/>
          <w:szCs w:val="22"/>
        </w:rPr>
        <w:t>the hurricanes approach. T</w:t>
      </w:r>
      <w:r w:rsidR="00E307B6" w:rsidRPr="001E47AD">
        <w:rPr>
          <w:sz w:val="22"/>
          <w:szCs w:val="22"/>
        </w:rPr>
        <w:t xml:space="preserve">he increased consumer stockpiling has immediate and </w:t>
      </w:r>
      <w:r w:rsidR="00E36F0D" w:rsidRPr="001E47AD">
        <w:rPr>
          <w:sz w:val="22"/>
          <w:szCs w:val="22"/>
        </w:rPr>
        <w:t>l</w:t>
      </w:r>
      <w:r w:rsidR="002D74B2" w:rsidRPr="001E47AD">
        <w:rPr>
          <w:sz w:val="22"/>
          <w:szCs w:val="22"/>
        </w:rPr>
        <w:t>onger-term</w:t>
      </w:r>
      <w:r w:rsidR="00560C1E" w:rsidRPr="001E47AD">
        <w:rPr>
          <w:sz w:val="22"/>
          <w:szCs w:val="22"/>
        </w:rPr>
        <w:t xml:space="preserve"> </w:t>
      </w:r>
      <w:r w:rsidR="00E307B6" w:rsidRPr="001E47AD">
        <w:rPr>
          <w:sz w:val="22"/>
          <w:szCs w:val="22"/>
        </w:rPr>
        <w:t xml:space="preserve">impacts on </w:t>
      </w:r>
      <w:r w:rsidR="00E307B6" w:rsidRPr="001E47AD">
        <w:rPr>
          <w:noProof/>
          <w:sz w:val="22"/>
          <w:szCs w:val="22"/>
        </w:rPr>
        <w:t>retail</w:t>
      </w:r>
      <w:r w:rsidR="00E307B6" w:rsidRPr="001E47AD">
        <w:rPr>
          <w:sz w:val="22"/>
          <w:szCs w:val="22"/>
        </w:rPr>
        <w:t xml:space="preserve"> operations</w:t>
      </w:r>
      <w:r w:rsidR="009B64B2" w:rsidRPr="001E47AD">
        <w:rPr>
          <w:sz w:val="22"/>
          <w:szCs w:val="22"/>
        </w:rPr>
        <w:t>,</w:t>
      </w:r>
      <w:r w:rsidR="00E307B6" w:rsidRPr="001E47AD">
        <w:rPr>
          <w:sz w:val="22"/>
          <w:szCs w:val="22"/>
        </w:rPr>
        <w:t xml:space="preserve"> </w:t>
      </w:r>
      <w:r w:rsidR="009B64B2" w:rsidRPr="001E47AD">
        <w:rPr>
          <w:sz w:val="22"/>
          <w:szCs w:val="22"/>
        </w:rPr>
        <w:t xml:space="preserve">namely, </w:t>
      </w:r>
      <w:r w:rsidR="00E307B6" w:rsidRPr="001E47AD">
        <w:rPr>
          <w:sz w:val="22"/>
          <w:szCs w:val="22"/>
        </w:rPr>
        <w:t>in-store product availability. Among various retail formats, drug</w:t>
      </w:r>
      <w:r w:rsidR="002A4F0D" w:rsidRPr="001E47AD">
        <w:rPr>
          <w:sz w:val="22"/>
          <w:szCs w:val="22"/>
          <w:lang w:eastAsia="zh-CN"/>
        </w:rPr>
        <w:t xml:space="preserve"> </w:t>
      </w:r>
      <w:r w:rsidR="00E307B6" w:rsidRPr="001E47AD">
        <w:rPr>
          <w:sz w:val="22"/>
          <w:szCs w:val="22"/>
        </w:rPr>
        <w:t xml:space="preserve">stores </w:t>
      </w:r>
      <w:r w:rsidR="00E307B6" w:rsidRPr="001E47AD">
        <w:rPr>
          <w:noProof/>
          <w:sz w:val="22"/>
          <w:szCs w:val="22"/>
        </w:rPr>
        <w:t>are associated</w:t>
      </w:r>
      <w:r w:rsidR="00E307B6" w:rsidRPr="001E47AD">
        <w:rPr>
          <w:sz w:val="22"/>
          <w:szCs w:val="22"/>
        </w:rPr>
        <w:t xml:space="preserve"> with the highest consumer stockpiling propensity </w:t>
      </w:r>
      <w:r w:rsidR="00EB555F" w:rsidRPr="001E47AD">
        <w:rPr>
          <w:noProof/>
          <w:sz w:val="22"/>
          <w:szCs w:val="22"/>
        </w:rPr>
        <w:t>before</w:t>
      </w:r>
      <w:r w:rsidR="00E307B6" w:rsidRPr="001E47AD">
        <w:rPr>
          <w:sz w:val="22"/>
          <w:szCs w:val="22"/>
        </w:rPr>
        <w:t xml:space="preserve"> </w:t>
      </w:r>
      <w:r w:rsidR="00E307B6" w:rsidRPr="001E47AD">
        <w:rPr>
          <w:noProof/>
          <w:sz w:val="22"/>
          <w:szCs w:val="22"/>
        </w:rPr>
        <w:t>hurricanes</w:t>
      </w:r>
      <w:r w:rsidR="00E307B6" w:rsidRPr="001E47AD">
        <w:rPr>
          <w:sz w:val="22"/>
          <w:szCs w:val="22"/>
        </w:rPr>
        <w:t xml:space="preserve">, while dollar stores </w:t>
      </w:r>
      <w:r w:rsidR="000326B8" w:rsidRPr="001E47AD">
        <w:rPr>
          <w:sz w:val="22"/>
          <w:szCs w:val="22"/>
        </w:rPr>
        <w:t xml:space="preserve">and discount stores </w:t>
      </w:r>
      <w:r w:rsidR="00E307B6" w:rsidRPr="001E47AD">
        <w:rPr>
          <w:noProof/>
          <w:sz w:val="22"/>
          <w:szCs w:val="22"/>
        </w:rPr>
        <w:t>are associated</w:t>
      </w:r>
      <w:r w:rsidR="00E307B6" w:rsidRPr="001E47AD">
        <w:rPr>
          <w:sz w:val="22"/>
          <w:szCs w:val="22"/>
        </w:rPr>
        <w:t xml:space="preserve"> with the lowest in-store product availability following </w:t>
      </w:r>
      <w:r w:rsidR="00E307B6" w:rsidRPr="001E47AD">
        <w:rPr>
          <w:noProof/>
          <w:sz w:val="22"/>
          <w:szCs w:val="22"/>
        </w:rPr>
        <w:t>hurricanes</w:t>
      </w:r>
      <w:r w:rsidR="00E307B6" w:rsidRPr="001E47AD">
        <w:rPr>
          <w:sz w:val="22"/>
          <w:szCs w:val="22"/>
        </w:rPr>
        <w:t xml:space="preserve">. Our study points to the need for retailers </w:t>
      </w:r>
      <w:r w:rsidR="00CA5698" w:rsidRPr="001E47AD">
        <w:rPr>
          <w:sz w:val="22"/>
          <w:szCs w:val="22"/>
        </w:rPr>
        <w:t xml:space="preserve">and policymakers </w:t>
      </w:r>
      <w:r w:rsidR="00E307B6" w:rsidRPr="001E47AD">
        <w:rPr>
          <w:sz w:val="22"/>
          <w:szCs w:val="22"/>
        </w:rPr>
        <w:t xml:space="preserve">to carefully monitor factors affecting consumer stockpiling behavior </w:t>
      </w:r>
      <w:r w:rsidR="00B500F7" w:rsidRPr="001E47AD">
        <w:rPr>
          <w:sz w:val="22"/>
          <w:szCs w:val="22"/>
        </w:rPr>
        <w:t xml:space="preserve">that will </w:t>
      </w:r>
      <w:r w:rsidR="00E307B6" w:rsidRPr="001E47AD">
        <w:rPr>
          <w:sz w:val="22"/>
          <w:szCs w:val="22"/>
        </w:rPr>
        <w:t xml:space="preserve">allow </w:t>
      </w:r>
      <w:bookmarkStart w:id="3" w:name="_Toc520380462"/>
      <w:r w:rsidR="0029004A" w:rsidRPr="001E47AD">
        <w:rPr>
          <w:sz w:val="22"/>
          <w:szCs w:val="22"/>
          <w:lang w:eastAsia="zh-CN"/>
        </w:rPr>
        <w:t xml:space="preserve">for better </w:t>
      </w:r>
      <w:r w:rsidR="00826969" w:rsidRPr="001E47AD">
        <w:rPr>
          <w:sz w:val="22"/>
          <w:szCs w:val="22"/>
          <w:lang w:eastAsia="zh-CN"/>
        </w:rPr>
        <w:t>allocation of critical supplies</w:t>
      </w:r>
      <w:r w:rsidR="0029004A" w:rsidRPr="001E47AD">
        <w:rPr>
          <w:sz w:val="22"/>
          <w:szCs w:val="22"/>
          <w:lang w:eastAsia="zh-CN"/>
        </w:rPr>
        <w:t xml:space="preserve"> </w:t>
      </w:r>
      <w:r w:rsidR="00826969" w:rsidRPr="001E47AD">
        <w:rPr>
          <w:sz w:val="22"/>
          <w:szCs w:val="22"/>
        </w:rPr>
        <w:t>during the hurricane season</w:t>
      </w:r>
      <w:r w:rsidR="0029004A" w:rsidRPr="001E47AD">
        <w:rPr>
          <w:sz w:val="22"/>
          <w:szCs w:val="22"/>
          <w:lang w:eastAsia="zh-CN"/>
        </w:rPr>
        <w:t>.</w:t>
      </w:r>
    </w:p>
    <w:p w14:paraId="02E1F72F" w14:textId="77777777" w:rsidR="00550CEB" w:rsidRPr="001E47AD" w:rsidRDefault="00AE6DB1" w:rsidP="00617120">
      <w:pPr>
        <w:spacing w:before="120" w:after="120" w:line="480" w:lineRule="auto"/>
        <w:contextualSpacing/>
        <w:jc w:val="both"/>
        <w:rPr>
          <w:bCs/>
          <w:iCs/>
          <w:sz w:val="20"/>
          <w:szCs w:val="20"/>
          <w:lang w:eastAsia="zh-CN"/>
        </w:rPr>
      </w:pPr>
      <w:r w:rsidRPr="001E47AD">
        <w:rPr>
          <w:bCs/>
          <w:i/>
          <w:iCs/>
          <w:noProof/>
          <w:sz w:val="20"/>
          <w:szCs w:val="20"/>
          <w:lang w:eastAsia="zh-CN"/>
        </w:rPr>
        <w:t>Key words</w:t>
      </w:r>
      <w:r w:rsidRPr="001E47AD">
        <w:rPr>
          <w:bCs/>
          <w:i/>
          <w:iCs/>
          <w:sz w:val="20"/>
          <w:szCs w:val="20"/>
          <w:lang w:eastAsia="zh-CN"/>
        </w:rPr>
        <w:t>:</w:t>
      </w:r>
      <w:r w:rsidRPr="001E47AD">
        <w:rPr>
          <w:bCs/>
          <w:iCs/>
          <w:sz w:val="20"/>
          <w:szCs w:val="20"/>
          <w:lang w:eastAsia="zh-CN"/>
        </w:rPr>
        <w:t xml:space="preserve"> product availability; consumer stockpiling; hurricane disasters; </w:t>
      </w:r>
      <w:r w:rsidRPr="001E47AD">
        <w:rPr>
          <w:bCs/>
          <w:iCs/>
          <w:noProof/>
          <w:sz w:val="20"/>
          <w:szCs w:val="20"/>
          <w:lang w:eastAsia="zh-CN"/>
        </w:rPr>
        <w:t>natural</w:t>
      </w:r>
      <w:r w:rsidRPr="001E47AD">
        <w:rPr>
          <w:bCs/>
          <w:iCs/>
          <w:sz w:val="20"/>
          <w:szCs w:val="20"/>
          <w:lang w:eastAsia="zh-CN"/>
        </w:rPr>
        <w:t xml:space="preserve"> experiment</w:t>
      </w:r>
    </w:p>
    <w:p w14:paraId="3B04550D" w14:textId="77777777" w:rsidR="00550CEB" w:rsidRPr="001E47AD" w:rsidRDefault="00550CEB" w:rsidP="00550CEB">
      <w:pPr>
        <w:jc w:val="both"/>
        <w:rPr>
          <w:sz w:val="20"/>
          <w:szCs w:val="20"/>
        </w:rPr>
      </w:pPr>
      <w:r w:rsidRPr="001E47AD">
        <w:rPr>
          <w:i/>
          <w:sz w:val="20"/>
          <w:szCs w:val="20"/>
        </w:rPr>
        <w:t>History:</w:t>
      </w:r>
      <w:r w:rsidRPr="001E47AD">
        <w:rPr>
          <w:sz w:val="20"/>
          <w:szCs w:val="20"/>
        </w:rPr>
        <w:t xml:space="preserve"> Received: January 2019; Accepted: May 2020 by Martin K. Starr and Sushil K. Gupta, after 2 revisions.</w:t>
      </w:r>
    </w:p>
    <w:p w14:paraId="1F0264B3" w14:textId="3A484DEB" w:rsidR="005921FF" w:rsidRPr="001E47AD" w:rsidRDefault="005921FF" w:rsidP="00617120">
      <w:pPr>
        <w:spacing w:before="120" w:after="120" w:line="480" w:lineRule="auto"/>
        <w:contextualSpacing/>
        <w:jc w:val="both"/>
        <w:rPr>
          <w:b/>
          <w:bCs/>
          <w:iCs/>
          <w:sz w:val="22"/>
          <w:szCs w:val="22"/>
        </w:rPr>
      </w:pPr>
      <w:r w:rsidRPr="001E47AD">
        <w:rPr>
          <w:sz w:val="22"/>
          <w:szCs w:val="22"/>
        </w:rPr>
        <w:br w:type="page"/>
      </w:r>
    </w:p>
    <w:p w14:paraId="39DDF541" w14:textId="1AEF5B6C" w:rsidR="0064202C" w:rsidRPr="001E47AD" w:rsidRDefault="0064202C" w:rsidP="00E319F8">
      <w:pPr>
        <w:pStyle w:val="Heading1"/>
      </w:pPr>
      <w:r w:rsidRPr="001E47AD">
        <w:lastRenderedPageBreak/>
        <w:t>I</w:t>
      </w:r>
      <w:bookmarkEnd w:id="3"/>
      <w:r w:rsidR="00C73ECD" w:rsidRPr="001E47AD">
        <w:t>ntroduction</w:t>
      </w:r>
    </w:p>
    <w:p w14:paraId="742AC614" w14:textId="61D6C44B" w:rsidR="00771676" w:rsidRPr="001E47AD" w:rsidRDefault="00C12E91" w:rsidP="00C12E91">
      <w:pPr>
        <w:spacing w:before="120" w:after="120" w:line="480" w:lineRule="auto"/>
        <w:contextualSpacing/>
        <w:jc w:val="both"/>
        <w:rPr>
          <w:sz w:val="22"/>
          <w:szCs w:val="22"/>
        </w:rPr>
      </w:pPr>
      <w:r w:rsidRPr="001E47AD">
        <w:rPr>
          <w:sz w:val="22"/>
          <w:szCs w:val="22"/>
        </w:rPr>
        <w:t xml:space="preserve">Consumers flock to retailers in advance of </w:t>
      </w:r>
      <w:r w:rsidR="00CC24CA" w:rsidRPr="001E47AD">
        <w:rPr>
          <w:sz w:val="22"/>
          <w:szCs w:val="22"/>
        </w:rPr>
        <w:t>forecasted</w:t>
      </w:r>
      <w:r w:rsidRPr="001E47AD">
        <w:rPr>
          <w:sz w:val="22"/>
          <w:szCs w:val="22"/>
        </w:rPr>
        <w:t xml:space="preserve"> emergency events, such as hurricanes and snowstorms, to obtain adequate quantities of essential supplies. Therefore, the provision of essential supplies is an important function of retailers during times of environmental e</w:t>
      </w:r>
      <w:r w:rsidR="00E401C3" w:rsidRPr="001E47AD">
        <w:rPr>
          <w:sz w:val="22"/>
          <w:szCs w:val="22"/>
        </w:rPr>
        <w:t>mergencies (Morrice et al. 2016,</w:t>
      </w:r>
      <w:r w:rsidRPr="001E47AD">
        <w:rPr>
          <w:sz w:val="22"/>
          <w:szCs w:val="22"/>
        </w:rPr>
        <w:t xml:space="preserve"> Windle 2018). </w:t>
      </w:r>
      <w:bookmarkStart w:id="4" w:name="_Hlk33691762"/>
      <w:r w:rsidRPr="001E47AD">
        <w:rPr>
          <w:sz w:val="22"/>
          <w:szCs w:val="22"/>
        </w:rPr>
        <w:t xml:space="preserve">Target’s “Green Team” describes its preparations in advance of a hurricane: </w:t>
      </w:r>
      <w:r w:rsidRPr="001E47AD">
        <w:rPr>
          <w:rFonts w:ascii="Times New Roman,Italic" w:hAnsi="Times New Roman,Italic" w:cs="Times New Roman,Italic"/>
          <w:sz w:val="22"/>
          <w:szCs w:val="22"/>
        </w:rPr>
        <w:t>“</w:t>
      </w:r>
      <w:r w:rsidRPr="001E47AD">
        <w:rPr>
          <w:sz w:val="22"/>
          <w:szCs w:val="22"/>
        </w:rPr>
        <w:t>In the days leading up to landfall, we identified the 1,500 products our guests need most</w:t>
      </w:r>
      <w:r w:rsidR="00F2332C" w:rsidRPr="001E47AD">
        <w:rPr>
          <w:sz w:val="22"/>
          <w:szCs w:val="22"/>
        </w:rPr>
        <w:t xml:space="preserve">, </w:t>
      </w:r>
      <w:r w:rsidRPr="001E47AD">
        <w:rPr>
          <w:sz w:val="22"/>
          <w:szCs w:val="22"/>
        </w:rPr>
        <w:t>and loaded and shipped as many extra trailers of those products as possible to our stores before the</w:t>
      </w:r>
      <w:r w:rsidR="002D74B2" w:rsidRPr="001E47AD">
        <w:rPr>
          <w:sz w:val="22"/>
          <w:szCs w:val="22"/>
        </w:rPr>
        <w:t xml:space="preserve"> </w:t>
      </w:r>
      <w:r w:rsidRPr="001E47AD">
        <w:rPr>
          <w:rFonts w:ascii="Times New Roman,Italic" w:hAnsi="Times New Roman,Italic" w:cs="Times New Roman,Italic"/>
          <w:sz w:val="22"/>
          <w:szCs w:val="22"/>
        </w:rPr>
        <w:t>storm hit…</w:t>
      </w:r>
      <w:r w:rsidR="00F2332C" w:rsidRPr="001E47AD">
        <w:rPr>
          <w:rFonts w:ascii="Times New Roman,Italic" w:hAnsi="Times New Roman,Italic" w:cs="Times New Roman,Italic"/>
          <w:sz w:val="22"/>
          <w:szCs w:val="22"/>
        </w:rPr>
        <w:t xml:space="preserve"> </w:t>
      </w:r>
      <w:r w:rsidRPr="001E47AD">
        <w:rPr>
          <w:rFonts w:ascii="Times New Roman,Italic" w:hAnsi="Times New Roman,Italic" w:cs="Times New Roman,Italic"/>
          <w:sz w:val="22"/>
          <w:szCs w:val="22"/>
        </w:rPr>
        <w:t>As g</w:t>
      </w:r>
      <w:r w:rsidRPr="001E47AD">
        <w:rPr>
          <w:sz w:val="22"/>
          <w:szCs w:val="22"/>
        </w:rPr>
        <w:t xml:space="preserve">uests stocked up, </w:t>
      </w:r>
      <w:r w:rsidRPr="001E47AD">
        <w:rPr>
          <w:rFonts w:ascii="Times New Roman,Italic" w:hAnsi="Times New Roman,Italic" w:cs="Times New Roman,Italic"/>
          <w:sz w:val="22"/>
          <w:szCs w:val="22"/>
        </w:rPr>
        <w:t>some of these items sold out, but we’re working around the clock to</w:t>
      </w:r>
      <w:r w:rsidR="00F2332C" w:rsidRPr="001E47AD">
        <w:rPr>
          <w:rFonts w:ascii="Times New Roman,Italic" w:hAnsi="Times New Roman,Italic" w:cs="Times New Roman,Italic"/>
          <w:sz w:val="22"/>
          <w:szCs w:val="22"/>
        </w:rPr>
        <w:t xml:space="preserve"> </w:t>
      </w:r>
      <w:r w:rsidRPr="001E47AD">
        <w:rPr>
          <w:sz w:val="22"/>
          <w:szCs w:val="22"/>
        </w:rPr>
        <w:t>restock them as quickly as possible</w:t>
      </w:r>
      <w:r w:rsidRPr="001E47AD">
        <w:rPr>
          <w:rFonts w:ascii="Times New Roman,Italic" w:hAnsi="Times New Roman,Italic" w:cs="Times New Roman,Italic"/>
          <w:sz w:val="22"/>
          <w:szCs w:val="22"/>
        </w:rPr>
        <w:t>”</w:t>
      </w:r>
      <w:bookmarkEnd w:id="4"/>
      <w:r w:rsidRPr="001E47AD">
        <w:rPr>
          <w:rFonts w:ascii="Times New Roman,Italic" w:hAnsi="Times New Roman,Italic" w:cs="Times New Roman,Italic"/>
          <w:i/>
          <w:iCs/>
          <w:sz w:val="22"/>
          <w:szCs w:val="22"/>
        </w:rPr>
        <w:t xml:space="preserve"> </w:t>
      </w:r>
      <w:r w:rsidRPr="001E47AD">
        <w:rPr>
          <w:sz w:val="22"/>
          <w:szCs w:val="22"/>
        </w:rPr>
        <w:t xml:space="preserve">(Target 2018). </w:t>
      </w:r>
    </w:p>
    <w:p w14:paraId="345C2F6C" w14:textId="3C70A0FA" w:rsidR="00C12E91" w:rsidRPr="001E47AD" w:rsidRDefault="00771676">
      <w:pPr>
        <w:spacing w:before="120" w:after="120" w:line="480" w:lineRule="auto"/>
        <w:ind w:firstLine="720"/>
        <w:contextualSpacing/>
        <w:jc w:val="both"/>
        <w:rPr>
          <w:sz w:val="22"/>
          <w:szCs w:val="22"/>
        </w:rPr>
      </w:pPr>
      <w:bookmarkStart w:id="5" w:name="_Hlk33691701"/>
      <w:r w:rsidRPr="001E47AD">
        <w:rPr>
          <w:sz w:val="22"/>
          <w:szCs w:val="22"/>
        </w:rPr>
        <w:t xml:space="preserve">The US governmental </w:t>
      </w:r>
      <w:r w:rsidR="00D51E5F" w:rsidRPr="001E47AD">
        <w:rPr>
          <w:sz w:val="22"/>
          <w:szCs w:val="22"/>
        </w:rPr>
        <w:t>entity</w:t>
      </w:r>
      <w:r w:rsidRPr="001E47AD">
        <w:rPr>
          <w:sz w:val="22"/>
          <w:szCs w:val="22"/>
        </w:rPr>
        <w:t xml:space="preserve"> responsible for disaster relie</w:t>
      </w:r>
      <w:r w:rsidR="005A6FCC" w:rsidRPr="001E47AD">
        <w:rPr>
          <w:sz w:val="22"/>
          <w:szCs w:val="22"/>
        </w:rPr>
        <w:t>f</w:t>
      </w:r>
      <w:r w:rsidRPr="001E47AD">
        <w:rPr>
          <w:sz w:val="22"/>
          <w:szCs w:val="22"/>
        </w:rPr>
        <w:t xml:space="preserve">, the Federal Emergency Management Agency (FEMA), </w:t>
      </w:r>
      <w:r w:rsidR="00F2332C" w:rsidRPr="001E47AD">
        <w:rPr>
          <w:sz w:val="22"/>
          <w:szCs w:val="22"/>
        </w:rPr>
        <w:t>assessed</w:t>
      </w:r>
      <w:r w:rsidRPr="001E47AD">
        <w:rPr>
          <w:sz w:val="22"/>
          <w:szCs w:val="22"/>
        </w:rPr>
        <w:t xml:space="preserve"> its </w:t>
      </w:r>
      <w:r w:rsidR="00F2332C" w:rsidRPr="001E47AD">
        <w:rPr>
          <w:sz w:val="22"/>
          <w:szCs w:val="22"/>
        </w:rPr>
        <w:t>response to</w:t>
      </w:r>
      <w:r w:rsidRPr="001E47AD">
        <w:rPr>
          <w:sz w:val="22"/>
          <w:szCs w:val="22"/>
        </w:rPr>
        <w:t xml:space="preserve"> a </w:t>
      </w:r>
      <w:r w:rsidR="00A81873" w:rsidRPr="001E47AD">
        <w:rPr>
          <w:rFonts w:eastAsia="Times New Roman"/>
          <w:sz w:val="22"/>
          <w:szCs w:val="22"/>
        </w:rPr>
        <w:t>particular</w:t>
      </w:r>
      <w:r w:rsidR="006E0123" w:rsidRPr="001E47AD">
        <w:rPr>
          <w:rFonts w:eastAsia="Times New Roman"/>
          <w:sz w:val="22"/>
          <w:szCs w:val="22"/>
        </w:rPr>
        <w:t>l</w:t>
      </w:r>
      <w:r w:rsidR="00A81873" w:rsidRPr="001E47AD">
        <w:rPr>
          <w:rFonts w:eastAsia="Times New Roman"/>
          <w:sz w:val="22"/>
          <w:szCs w:val="22"/>
        </w:rPr>
        <w:t>y</w:t>
      </w:r>
      <w:r w:rsidRPr="001E47AD">
        <w:rPr>
          <w:sz w:val="22"/>
          <w:szCs w:val="22"/>
        </w:rPr>
        <w:t xml:space="preserve"> devastating hurricane season in 2017, not</w:t>
      </w:r>
      <w:r w:rsidR="00F2332C" w:rsidRPr="001E47AD">
        <w:rPr>
          <w:sz w:val="22"/>
          <w:szCs w:val="22"/>
        </w:rPr>
        <w:t>ing</w:t>
      </w:r>
      <w:r w:rsidRPr="001E47AD">
        <w:rPr>
          <w:sz w:val="22"/>
          <w:szCs w:val="22"/>
        </w:rPr>
        <w:t xml:space="preserve"> that, “closer partnerships with the private sector are crucial in providing commodities and support to survivors” (FEMA 2018</w:t>
      </w:r>
      <w:r w:rsidR="00F505E9" w:rsidRPr="001E47AD">
        <w:rPr>
          <w:sz w:val="22"/>
          <w:szCs w:val="22"/>
        </w:rPr>
        <w:t>a</w:t>
      </w:r>
      <w:r w:rsidRPr="001E47AD">
        <w:rPr>
          <w:sz w:val="22"/>
          <w:szCs w:val="22"/>
        </w:rPr>
        <w:t xml:space="preserve">). </w:t>
      </w:r>
      <w:r w:rsidR="00B15C65" w:rsidRPr="001E47AD">
        <w:rPr>
          <w:sz w:val="22"/>
          <w:szCs w:val="22"/>
        </w:rPr>
        <w:t>FEMA</w:t>
      </w:r>
      <w:r w:rsidR="002D74B2" w:rsidRPr="001E47AD">
        <w:rPr>
          <w:sz w:val="22"/>
          <w:szCs w:val="22"/>
        </w:rPr>
        <w:t xml:space="preserve"> (2018</w:t>
      </w:r>
      <w:r w:rsidR="00F505E9" w:rsidRPr="001E47AD">
        <w:rPr>
          <w:sz w:val="22"/>
          <w:szCs w:val="22"/>
        </w:rPr>
        <w:t>a</w:t>
      </w:r>
      <w:r w:rsidR="002D74B2" w:rsidRPr="001E47AD">
        <w:rPr>
          <w:sz w:val="22"/>
          <w:szCs w:val="22"/>
        </w:rPr>
        <w:t>)</w:t>
      </w:r>
      <w:r w:rsidR="00B15C65" w:rsidRPr="001E47AD">
        <w:rPr>
          <w:sz w:val="22"/>
          <w:szCs w:val="22"/>
        </w:rPr>
        <w:t xml:space="preserve"> continued that it “must implement a cross-sector approach to the Agency’s planning, organizing, response and recovery operation,” </w:t>
      </w:r>
      <w:r w:rsidR="00F2332C" w:rsidRPr="001E47AD">
        <w:rPr>
          <w:sz w:val="22"/>
          <w:szCs w:val="22"/>
        </w:rPr>
        <w:t>stat</w:t>
      </w:r>
      <w:r w:rsidR="00B15C65" w:rsidRPr="001E47AD">
        <w:rPr>
          <w:sz w:val="22"/>
          <w:szCs w:val="22"/>
        </w:rPr>
        <w:t>ing that the new approach “should account for the capabilities of the private sector both before and during incidents</w:t>
      </w:r>
      <w:r w:rsidR="002D74B2" w:rsidRPr="001E47AD">
        <w:rPr>
          <w:sz w:val="22"/>
          <w:szCs w:val="22"/>
        </w:rPr>
        <w:t>.</w:t>
      </w:r>
      <w:r w:rsidR="00B15C65" w:rsidRPr="001E47AD">
        <w:rPr>
          <w:sz w:val="22"/>
          <w:szCs w:val="22"/>
        </w:rPr>
        <w:t>”</w:t>
      </w:r>
      <w:bookmarkEnd w:id="5"/>
      <w:r w:rsidR="00B15C65" w:rsidRPr="001E47AD">
        <w:rPr>
          <w:sz w:val="22"/>
          <w:szCs w:val="22"/>
        </w:rPr>
        <w:t xml:space="preserve"> </w:t>
      </w:r>
      <w:r w:rsidR="00C12E91" w:rsidRPr="001E47AD">
        <w:rPr>
          <w:sz w:val="22"/>
          <w:szCs w:val="22"/>
        </w:rPr>
        <w:t xml:space="preserve">But ensuring the availability of supplies can be difficult for retailers, such as Target, given the unpredictability of these emergencies, compounded by the potential for supply chain disruptions and </w:t>
      </w:r>
      <w:r w:rsidR="006E0123" w:rsidRPr="001E47AD">
        <w:rPr>
          <w:sz w:val="22"/>
          <w:szCs w:val="22"/>
        </w:rPr>
        <w:t xml:space="preserve">consumers’ </w:t>
      </w:r>
      <w:r w:rsidR="00C12E91" w:rsidRPr="001E47AD">
        <w:rPr>
          <w:sz w:val="22"/>
          <w:szCs w:val="22"/>
        </w:rPr>
        <w:t xml:space="preserve">tendency to stockpile </w:t>
      </w:r>
      <w:r w:rsidR="006E0123" w:rsidRPr="001E47AD">
        <w:rPr>
          <w:sz w:val="22"/>
          <w:szCs w:val="22"/>
        </w:rPr>
        <w:t xml:space="preserve">and </w:t>
      </w:r>
      <w:r w:rsidR="00C12E91" w:rsidRPr="001E47AD">
        <w:rPr>
          <w:sz w:val="22"/>
          <w:szCs w:val="22"/>
        </w:rPr>
        <w:t>hoard emergency provisions. In addition, retailers</w:t>
      </w:r>
      <w:r w:rsidR="006E0123" w:rsidRPr="001E47AD">
        <w:rPr>
          <w:sz w:val="22"/>
          <w:szCs w:val="22"/>
        </w:rPr>
        <w:t>’ ability</w:t>
      </w:r>
      <w:r w:rsidR="00C12E91" w:rsidRPr="001E47AD">
        <w:rPr>
          <w:sz w:val="22"/>
          <w:szCs w:val="22"/>
        </w:rPr>
        <w:t xml:space="preserve"> to </w:t>
      </w:r>
      <w:r w:rsidR="006E0123" w:rsidRPr="001E47AD">
        <w:rPr>
          <w:sz w:val="22"/>
          <w:szCs w:val="22"/>
        </w:rPr>
        <w:t xml:space="preserve">resume </w:t>
      </w:r>
      <w:r w:rsidR="00C12E91" w:rsidRPr="001E47AD">
        <w:rPr>
          <w:sz w:val="22"/>
          <w:szCs w:val="22"/>
        </w:rPr>
        <w:t>“normal” operations following an environmental emergency may vary considerably, depending on consumer demand, the retailer’s supply chain</w:t>
      </w:r>
      <w:r w:rsidR="006E0123" w:rsidRPr="001E47AD">
        <w:rPr>
          <w:sz w:val="22"/>
          <w:szCs w:val="22"/>
        </w:rPr>
        <w:t>,</w:t>
      </w:r>
      <w:r w:rsidR="00C12E91" w:rsidRPr="001E47AD">
        <w:rPr>
          <w:sz w:val="22"/>
          <w:szCs w:val="22"/>
        </w:rPr>
        <w:t xml:space="preserve"> and </w:t>
      </w:r>
      <w:r w:rsidR="006E0123" w:rsidRPr="001E47AD">
        <w:rPr>
          <w:sz w:val="22"/>
          <w:szCs w:val="22"/>
        </w:rPr>
        <w:t xml:space="preserve">the </w:t>
      </w:r>
      <w:r w:rsidR="00C12E91" w:rsidRPr="001E47AD">
        <w:rPr>
          <w:sz w:val="22"/>
          <w:szCs w:val="22"/>
        </w:rPr>
        <w:t>disaster</w:t>
      </w:r>
      <w:r w:rsidR="006E0123" w:rsidRPr="001E47AD">
        <w:rPr>
          <w:sz w:val="22"/>
          <w:szCs w:val="22"/>
        </w:rPr>
        <w:t>’s</w:t>
      </w:r>
      <w:r w:rsidR="00C12E91" w:rsidRPr="001E47AD">
        <w:rPr>
          <w:sz w:val="22"/>
          <w:szCs w:val="22"/>
        </w:rPr>
        <w:t xml:space="preserve"> characteristics.</w:t>
      </w:r>
    </w:p>
    <w:p w14:paraId="2024E0EA" w14:textId="5EA464A4" w:rsidR="00B2747A" w:rsidRPr="001E47AD" w:rsidRDefault="00771676" w:rsidP="005022E2">
      <w:pPr>
        <w:spacing w:before="120" w:after="120" w:line="480" w:lineRule="auto"/>
        <w:ind w:firstLine="720"/>
        <w:contextualSpacing/>
        <w:jc w:val="both"/>
        <w:rPr>
          <w:sz w:val="22"/>
          <w:szCs w:val="22"/>
        </w:rPr>
      </w:pPr>
      <w:bookmarkStart w:id="6" w:name="_Hlk33690433"/>
      <w:r w:rsidRPr="001E47AD">
        <w:rPr>
          <w:sz w:val="22"/>
          <w:szCs w:val="22"/>
        </w:rPr>
        <w:t>The main purpose of this research is to assess retailer performance in the provision of essential supplies following a hurricane.</w:t>
      </w:r>
      <w:r w:rsidR="00B2747A" w:rsidRPr="001E47AD">
        <w:rPr>
          <w:sz w:val="22"/>
          <w:szCs w:val="22"/>
        </w:rPr>
        <w:t xml:space="preserve">  In particular, we investigate two research questions: 1) the impact of supply-side, demand-side, and disaster characteristics on consumer stockpiling behavior prior to a hurricane event, and 2) the impact of consumer stockpiling behavior</w:t>
      </w:r>
      <w:r w:rsidR="00AD2189" w:rsidRPr="001E47AD">
        <w:rPr>
          <w:sz w:val="22"/>
          <w:szCs w:val="22"/>
        </w:rPr>
        <w:t xml:space="preserve"> before a hurricane event</w:t>
      </w:r>
      <w:r w:rsidR="00B2747A" w:rsidRPr="001E47AD">
        <w:rPr>
          <w:sz w:val="22"/>
          <w:szCs w:val="22"/>
        </w:rPr>
        <w:t xml:space="preserve"> on product availability after the hurricane event.</w:t>
      </w:r>
      <w:bookmarkEnd w:id="6"/>
      <w:r w:rsidRPr="001E47AD">
        <w:rPr>
          <w:sz w:val="22"/>
          <w:szCs w:val="22"/>
        </w:rPr>
        <w:t xml:space="preserve"> </w:t>
      </w:r>
    </w:p>
    <w:p w14:paraId="62C70420" w14:textId="01519E7A" w:rsidR="005022E2" w:rsidRPr="001E47AD" w:rsidRDefault="00B2747A" w:rsidP="005022E2">
      <w:pPr>
        <w:spacing w:before="120" w:after="120" w:line="480" w:lineRule="auto"/>
        <w:ind w:firstLine="720"/>
        <w:contextualSpacing/>
        <w:jc w:val="both"/>
        <w:rPr>
          <w:sz w:val="22"/>
          <w:szCs w:val="22"/>
          <w:lang w:eastAsia="zh-CN"/>
        </w:rPr>
      </w:pPr>
      <w:r w:rsidRPr="001E47AD">
        <w:rPr>
          <w:sz w:val="22"/>
          <w:szCs w:val="22"/>
        </w:rPr>
        <w:lastRenderedPageBreak/>
        <w:t>In addressing our research questions</w:t>
      </w:r>
      <w:r w:rsidR="00201CA7" w:rsidRPr="001E47AD">
        <w:rPr>
          <w:sz w:val="22"/>
          <w:szCs w:val="22"/>
        </w:rPr>
        <w:t xml:space="preserve">, we focus on bottled water, a representative </w:t>
      </w:r>
      <w:r w:rsidR="002D74B2" w:rsidRPr="001E47AD">
        <w:rPr>
          <w:sz w:val="22"/>
          <w:szCs w:val="22"/>
        </w:rPr>
        <w:t>essential good</w:t>
      </w:r>
      <w:r w:rsidR="00201CA7" w:rsidRPr="001E47AD">
        <w:rPr>
          <w:sz w:val="22"/>
          <w:szCs w:val="22"/>
        </w:rPr>
        <w:t xml:space="preserve">. </w:t>
      </w:r>
      <w:r w:rsidR="0058299F" w:rsidRPr="001E47AD">
        <w:rPr>
          <w:noProof/>
          <w:sz w:val="22"/>
          <w:szCs w:val="22"/>
        </w:rPr>
        <w:t>O</w:t>
      </w:r>
      <w:r w:rsidR="001A1091" w:rsidRPr="001E47AD">
        <w:rPr>
          <w:noProof/>
          <w:sz w:val="22"/>
          <w:szCs w:val="22"/>
        </w:rPr>
        <w:t>ur study can help retailers identify consumer stockpiling propensity</w:t>
      </w:r>
      <w:r w:rsidR="0058299F" w:rsidRPr="001E47AD">
        <w:rPr>
          <w:noProof/>
          <w:sz w:val="22"/>
          <w:szCs w:val="22"/>
        </w:rPr>
        <w:t xml:space="preserve"> so that they can better predict demand and arrange to stock this essential product, given the projected path of a hurricane.</w:t>
      </w:r>
      <w:r w:rsidR="00E81018" w:rsidRPr="001E47AD">
        <w:rPr>
          <w:sz w:val="22"/>
          <w:szCs w:val="22"/>
        </w:rPr>
        <w:t xml:space="preserve"> </w:t>
      </w:r>
      <w:r w:rsidR="0058299F" w:rsidRPr="001E47AD">
        <w:rPr>
          <w:sz w:val="22"/>
          <w:szCs w:val="22"/>
        </w:rPr>
        <w:t>Therefore, o</w:t>
      </w:r>
      <w:r w:rsidR="00E81018" w:rsidRPr="001E47AD">
        <w:rPr>
          <w:sz w:val="22"/>
          <w:szCs w:val="22"/>
        </w:rPr>
        <w:t>ur study primarily relates to</w:t>
      </w:r>
      <w:r w:rsidR="0058299F" w:rsidRPr="001E47AD">
        <w:rPr>
          <w:sz w:val="22"/>
          <w:szCs w:val="22"/>
        </w:rPr>
        <w:t xml:space="preserve"> existing research on</w:t>
      </w:r>
      <w:r w:rsidR="00E81018" w:rsidRPr="001E47AD">
        <w:rPr>
          <w:sz w:val="22"/>
          <w:szCs w:val="22"/>
        </w:rPr>
        <w:t xml:space="preserve"> </w:t>
      </w:r>
      <w:r w:rsidR="00E81018" w:rsidRPr="001E47AD">
        <w:rPr>
          <w:noProof/>
          <w:sz w:val="22"/>
          <w:szCs w:val="22"/>
        </w:rPr>
        <w:t xml:space="preserve">inventory </w:t>
      </w:r>
      <w:r w:rsidR="00E81018" w:rsidRPr="001E47AD">
        <w:rPr>
          <w:sz w:val="22"/>
          <w:szCs w:val="22"/>
        </w:rPr>
        <w:t>pre</w:t>
      </w:r>
      <w:r w:rsidR="00E81018" w:rsidRPr="001E47AD">
        <w:rPr>
          <w:rFonts w:hint="eastAsia"/>
          <w:sz w:val="22"/>
          <w:szCs w:val="22"/>
          <w:lang w:eastAsia="zh-CN"/>
        </w:rPr>
        <w:t>-</w:t>
      </w:r>
      <w:r w:rsidR="00E81018" w:rsidRPr="001E47AD">
        <w:rPr>
          <w:sz w:val="22"/>
          <w:szCs w:val="22"/>
        </w:rPr>
        <w:t xml:space="preserve">positioning </w:t>
      </w:r>
      <w:r w:rsidR="00E81018" w:rsidRPr="001E47AD">
        <w:rPr>
          <w:noProof/>
          <w:sz w:val="22"/>
          <w:szCs w:val="22"/>
        </w:rPr>
        <w:t>in the path of hurricanes (</w:t>
      </w:r>
      <w:r w:rsidR="00E81018" w:rsidRPr="001E47AD">
        <w:rPr>
          <w:rFonts w:hint="eastAsia"/>
          <w:noProof/>
          <w:sz w:val="22"/>
          <w:szCs w:val="22"/>
          <w:lang w:eastAsia="zh-CN"/>
        </w:rPr>
        <w:t xml:space="preserve">Davis et al. 2013, </w:t>
      </w:r>
      <w:r w:rsidR="00E81018" w:rsidRPr="001E47AD">
        <w:rPr>
          <w:noProof/>
          <w:sz w:val="22"/>
          <w:szCs w:val="22"/>
        </w:rPr>
        <w:t xml:space="preserve">Lodree </w:t>
      </w:r>
      <w:r w:rsidR="00E81018" w:rsidRPr="001E47AD">
        <w:rPr>
          <w:noProof/>
          <w:sz w:val="22"/>
          <w:szCs w:val="22"/>
          <w:lang w:eastAsia="zh-CN"/>
        </w:rPr>
        <w:t>and</w:t>
      </w:r>
      <w:r w:rsidR="00E81018" w:rsidRPr="001E47AD">
        <w:rPr>
          <w:noProof/>
          <w:sz w:val="22"/>
          <w:szCs w:val="22"/>
        </w:rPr>
        <w:t xml:space="preserve"> Taskin 2009</w:t>
      </w:r>
      <w:r w:rsidR="00E81018" w:rsidRPr="001E47AD">
        <w:rPr>
          <w:noProof/>
          <w:sz w:val="22"/>
          <w:szCs w:val="22"/>
          <w:lang w:eastAsia="zh-CN"/>
        </w:rPr>
        <w:t>,</w:t>
      </w:r>
      <w:r w:rsidR="00E81018" w:rsidRPr="001E47AD">
        <w:rPr>
          <w:noProof/>
          <w:sz w:val="22"/>
          <w:szCs w:val="22"/>
        </w:rPr>
        <w:t xml:space="preserve"> </w:t>
      </w:r>
      <w:r w:rsidR="00E81018" w:rsidRPr="001E47AD">
        <w:rPr>
          <w:sz w:val="22"/>
          <w:szCs w:val="22"/>
        </w:rPr>
        <w:t xml:space="preserve">Lodree et al. </w:t>
      </w:r>
      <w:r w:rsidR="00E81018" w:rsidRPr="001E47AD">
        <w:rPr>
          <w:noProof/>
          <w:sz w:val="22"/>
          <w:szCs w:val="22"/>
        </w:rPr>
        <w:t>2012, Morrice et al. 2016</w:t>
      </w:r>
      <w:r w:rsidR="00E81018" w:rsidRPr="001E47AD">
        <w:rPr>
          <w:noProof/>
          <w:sz w:val="22"/>
          <w:szCs w:val="22"/>
          <w:lang w:eastAsia="zh-CN"/>
        </w:rPr>
        <w:t>,</w:t>
      </w:r>
      <w:r w:rsidR="00E81018" w:rsidRPr="001E47AD">
        <w:rPr>
          <w:noProof/>
          <w:sz w:val="22"/>
          <w:szCs w:val="22"/>
        </w:rPr>
        <w:t xml:space="preserve"> Rawls </w:t>
      </w:r>
      <w:r w:rsidR="00E81018" w:rsidRPr="001E47AD">
        <w:rPr>
          <w:noProof/>
          <w:sz w:val="22"/>
          <w:szCs w:val="22"/>
          <w:lang w:eastAsia="zh-CN"/>
        </w:rPr>
        <w:t>and</w:t>
      </w:r>
      <w:r w:rsidR="00E81018" w:rsidRPr="001E47AD">
        <w:rPr>
          <w:noProof/>
          <w:sz w:val="22"/>
          <w:szCs w:val="22"/>
        </w:rPr>
        <w:t xml:space="preserve"> Turnquist 2010</w:t>
      </w:r>
      <w:r w:rsidR="00E81018" w:rsidRPr="001E47AD">
        <w:rPr>
          <w:rFonts w:hint="eastAsia"/>
          <w:noProof/>
          <w:sz w:val="22"/>
          <w:szCs w:val="22"/>
          <w:lang w:eastAsia="zh-CN"/>
        </w:rPr>
        <w:t xml:space="preserve">, </w:t>
      </w:r>
      <w:r w:rsidR="00E81018" w:rsidRPr="001E47AD">
        <w:rPr>
          <w:noProof/>
          <w:sz w:val="22"/>
          <w:szCs w:val="22"/>
        </w:rPr>
        <w:t xml:space="preserve">Taskin </w:t>
      </w:r>
      <w:r w:rsidR="00E81018" w:rsidRPr="001E47AD">
        <w:rPr>
          <w:noProof/>
          <w:sz w:val="22"/>
          <w:szCs w:val="22"/>
          <w:lang w:eastAsia="zh-CN"/>
        </w:rPr>
        <w:t>and</w:t>
      </w:r>
      <w:r w:rsidR="00E81018" w:rsidRPr="001E47AD">
        <w:rPr>
          <w:noProof/>
          <w:sz w:val="22"/>
          <w:szCs w:val="22"/>
        </w:rPr>
        <w:t xml:space="preserve"> Lodree 2010</w:t>
      </w:r>
      <w:r w:rsidR="00E81018" w:rsidRPr="001E47AD">
        <w:rPr>
          <w:noProof/>
          <w:sz w:val="22"/>
          <w:szCs w:val="22"/>
          <w:lang w:eastAsia="zh-CN"/>
        </w:rPr>
        <w:t>,</w:t>
      </w:r>
      <w:r w:rsidR="00E81018" w:rsidRPr="001E47AD">
        <w:rPr>
          <w:noProof/>
          <w:sz w:val="22"/>
          <w:szCs w:val="22"/>
        </w:rPr>
        <w:t xml:space="preserve"> 2011).</w:t>
      </w:r>
      <w:r w:rsidR="00E81018" w:rsidRPr="001E47AD">
        <w:rPr>
          <w:rStyle w:val="FootnoteReference"/>
          <w:noProof/>
          <w:sz w:val="22"/>
          <w:szCs w:val="22"/>
        </w:rPr>
        <w:footnoteReference w:id="1"/>
      </w:r>
    </w:p>
    <w:p w14:paraId="07F62083" w14:textId="6788FA06" w:rsidR="00ED7F49" w:rsidRPr="001E47AD" w:rsidRDefault="00E41EC0" w:rsidP="00236ABC">
      <w:pPr>
        <w:spacing w:before="120" w:after="120" w:line="480" w:lineRule="auto"/>
        <w:ind w:firstLine="720"/>
        <w:contextualSpacing/>
        <w:jc w:val="both"/>
        <w:rPr>
          <w:sz w:val="22"/>
          <w:szCs w:val="22"/>
          <w:lang w:eastAsia="zh-CN"/>
        </w:rPr>
      </w:pPr>
      <w:r w:rsidRPr="001E47AD">
        <w:rPr>
          <w:rFonts w:eastAsia="Times New Roman"/>
          <w:sz w:val="22"/>
          <w:szCs w:val="22"/>
        </w:rPr>
        <w:t xml:space="preserve">The </w:t>
      </w:r>
      <w:r w:rsidR="00680D36" w:rsidRPr="001E47AD">
        <w:rPr>
          <w:rFonts w:eastAsia="Times New Roman"/>
          <w:sz w:val="22"/>
          <w:szCs w:val="22"/>
        </w:rPr>
        <w:t>behavior of consumers</w:t>
      </w:r>
      <w:r w:rsidR="00680D36" w:rsidRPr="001E47AD">
        <w:rPr>
          <w:sz w:val="22"/>
          <w:szCs w:val="22"/>
        </w:rPr>
        <w:t xml:space="preserve"> as they choose </w:t>
      </w:r>
      <w:r w:rsidR="00470784" w:rsidRPr="001E47AD">
        <w:rPr>
          <w:sz w:val="22"/>
          <w:szCs w:val="22"/>
        </w:rPr>
        <w:t>(</w:t>
      </w:r>
      <w:r w:rsidR="00680D36" w:rsidRPr="001E47AD">
        <w:rPr>
          <w:sz w:val="22"/>
          <w:szCs w:val="22"/>
        </w:rPr>
        <w:t>or choose</w:t>
      </w:r>
      <w:r w:rsidR="006144E2" w:rsidRPr="001E47AD">
        <w:rPr>
          <w:sz w:val="22"/>
          <w:szCs w:val="22"/>
        </w:rPr>
        <w:t xml:space="preserve"> not</w:t>
      </w:r>
      <w:r w:rsidR="00470784" w:rsidRPr="001E47AD">
        <w:rPr>
          <w:sz w:val="22"/>
          <w:szCs w:val="22"/>
        </w:rPr>
        <w:t>)</w:t>
      </w:r>
      <w:r w:rsidR="00680D36" w:rsidRPr="001E47AD">
        <w:rPr>
          <w:sz w:val="22"/>
          <w:szCs w:val="22"/>
        </w:rPr>
        <w:t xml:space="preserve"> to stockpile supplies in anticipation of hurricanes </w:t>
      </w:r>
      <w:r w:rsidR="00680D36" w:rsidRPr="001E47AD">
        <w:rPr>
          <w:noProof/>
          <w:sz w:val="22"/>
          <w:szCs w:val="22"/>
        </w:rPr>
        <w:t>deserves</w:t>
      </w:r>
      <w:r w:rsidRPr="001E47AD">
        <w:rPr>
          <w:sz w:val="22"/>
          <w:szCs w:val="22"/>
        </w:rPr>
        <w:t xml:space="preserve"> attention from retailers </w:t>
      </w:r>
      <w:r w:rsidR="00470784" w:rsidRPr="001E47AD">
        <w:rPr>
          <w:sz w:val="22"/>
          <w:szCs w:val="22"/>
        </w:rPr>
        <w:t>as they</w:t>
      </w:r>
      <w:r w:rsidR="00E56C24" w:rsidRPr="001E47AD">
        <w:rPr>
          <w:sz w:val="22"/>
          <w:szCs w:val="22"/>
        </w:rPr>
        <w:t xml:space="preserve"> </w:t>
      </w:r>
      <w:r w:rsidRPr="001E47AD">
        <w:rPr>
          <w:sz w:val="22"/>
          <w:szCs w:val="22"/>
        </w:rPr>
        <w:t>forecast consumer demand and plan their inventor</w:t>
      </w:r>
      <w:r w:rsidR="002C54E0" w:rsidRPr="001E47AD">
        <w:rPr>
          <w:sz w:val="22"/>
          <w:szCs w:val="22"/>
        </w:rPr>
        <w:t>ies</w:t>
      </w:r>
      <w:r w:rsidRPr="001E47AD">
        <w:rPr>
          <w:sz w:val="22"/>
          <w:szCs w:val="22"/>
        </w:rPr>
        <w:t xml:space="preserve">. </w:t>
      </w:r>
      <w:r w:rsidRPr="001E47AD">
        <w:rPr>
          <w:rFonts w:eastAsia="微软雅黑"/>
          <w:sz w:val="22"/>
          <w:szCs w:val="22"/>
        </w:rPr>
        <w:t xml:space="preserve">During the </w:t>
      </w:r>
      <w:r w:rsidR="00680D36" w:rsidRPr="001E47AD">
        <w:rPr>
          <w:sz w:val="22"/>
          <w:szCs w:val="22"/>
        </w:rPr>
        <w:t>time lag between storm</w:t>
      </w:r>
      <w:r w:rsidR="00E56C24" w:rsidRPr="001E47AD">
        <w:rPr>
          <w:sz w:val="22"/>
          <w:szCs w:val="22"/>
        </w:rPr>
        <w:t xml:space="preserve"> formation</w:t>
      </w:r>
      <w:r w:rsidRPr="001E47AD">
        <w:rPr>
          <w:sz w:val="22"/>
          <w:szCs w:val="22"/>
        </w:rPr>
        <w:t xml:space="preserve"> and </w:t>
      </w:r>
      <w:r w:rsidR="00E36F0D" w:rsidRPr="001E47AD">
        <w:rPr>
          <w:sz w:val="22"/>
          <w:szCs w:val="22"/>
        </w:rPr>
        <w:t xml:space="preserve">storm </w:t>
      </w:r>
      <w:r w:rsidRPr="001E47AD">
        <w:rPr>
          <w:sz w:val="22"/>
          <w:szCs w:val="22"/>
        </w:rPr>
        <w:t xml:space="preserve">landfall, </w:t>
      </w:r>
      <w:r w:rsidR="00470784" w:rsidRPr="001E47AD">
        <w:rPr>
          <w:sz w:val="22"/>
          <w:szCs w:val="22"/>
        </w:rPr>
        <w:t xml:space="preserve">some </w:t>
      </w:r>
      <w:r w:rsidRPr="001E47AD">
        <w:rPr>
          <w:sz w:val="22"/>
          <w:szCs w:val="22"/>
        </w:rPr>
        <w:t xml:space="preserve">people </w:t>
      </w:r>
      <w:r w:rsidR="002C54E0" w:rsidRPr="001E47AD">
        <w:rPr>
          <w:sz w:val="22"/>
          <w:szCs w:val="22"/>
        </w:rPr>
        <w:t xml:space="preserve">will </w:t>
      </w:r>
      <w:r w:rsidRPr="001E47AD">
        <w:rPr>
          <w:sz w:val="22"/>
          <w:szCs w:val="22"/>
        </w:rPr>
        <w:t>take preventive action</w:t>
      </w:r>
      <w:r w:rsidR="002C54E0" w:rsidRPr="001E47AD">
        <w:rPr>
          <w:sz w:val="22"/>
          <w:szCs w:val="22"/>
        </w:rPr>
        <w:t>s</w:t>
      </w:r>
      <w:r w:rsidRPr="001E47AD">
        <w:rPr>
          <w:sz w:val="22"/>
          <w:szCs w:val="22"/>
        </w:rPr>
        <w:t xml:space="preserve">; </w:t>
      </w:r>
      <w:r w:rsidRPr="001E47AD">
        <w:rPr>
          <w:noProof/>
          <w:sz w:val="22"/>
          <w:szCs w:val="22"/>
        </w:rPr>
        <w:t>however,</w:t>
      </w:r>
      <w:r w:rsidRPr="001E47AD">
        <w:rPr>
          <w:sz w:val="22"/>
          <w:szCs w:val="22"/>
        </w:rPr>
        <w:t xml:space="preserve"> others</w:t>
      </w:r>
      <w:r w:rsidR="00724753" w:rsidRPr="001E47AD">
        <w:rPr>
          <w:sz w:val="22"/>
          <w:szCs w:val="22"/>
        </w:rPr>
        <w:t xml:space="preserve"> </w:t>
      </w:r>
      <w:r w:rsidR="002C54E0" w:rsidRPr="001E47AD">
        <w:rPr>
          <w:sz w:val="22"/>
          <w:szCs w:val="22"/>
        </w:rPr>
        <w:t xml:space="preserve">will disregard the potential for </w:t>
      </w:r>
      <w:r w:rsidR="00AA7EF2" w:rsidRPr="001E47AD">
        <w:rPr>
          <w:sz w:val="22"/>
          <w:szCs w:val="22"/>
        </w:rPr>
        <w:t>disastrous outcomes</w:t>
      </w:r>
      <w:r w:rsidRPr="001E47AD">
        <w:rPr>
          <w:sz w:val="22"/>
          <w:szCs w:val="22"/>
        </w:rPr>
        <w:t xml:space="preserve">. </w:t>
      </w:r>
      <w:r w:rsidR="00D762E8" w:rsidRPr="001E47AD">
        <w:rPr>
          <w:sz w:val="22"/>
          <w:szCs w:val="22"/>
        </w:rPr>
        <w:t xml:space="preserve">Members of the former group may </w:t>
      </w:r>
      <w:r w:rsidR="00D762E8" w:rsidRPr="001E47AD">
        <w:rPr>
          <w:noProof/>
          <w:sz w:val="22"/>
          <w:szCs w:val="22"/>
        </w:rPr>
        <w:t>purchase</w:t>
      </w:r>
      <w:r w:rsidR="00D762E8" w:rsidRPr="001E47AD">
        <w:rPr>
          <w:sz w:val="22"/>
          <w:szCs w:val="22"/>
        </w:rPr>
        <w:t xml:space="preserve"> adequate supplies or even surplus supplies as they prepare for the worst, while m</w:t>
      </w:r>
      <w:r w:rsidR="00470784" w:rsidRPr="001E47AD">
        <w:rPr>
          <w:sz w:val="22"/>
          <w:szCs w:val="22"/>
        </w:rPr>
        <w:t>embers of this latter group may</w:t>
      </w:r>
      <w:r w:rsidR="00680D36" w:rsidRPr="001E47AD">
        <w:rPr>
          <w:sz w:val="22"/>
          <w:szCs w:val="22"/>
        </w:rPr>
        <w:t xml:space="preserve"> choose</w:t>
      </w:r>
      <w:r w:rsidR="006B2F3D" w:rsidRPr="001E47AD">
        <w:rPr>
          <w:sz w:val="22"/>
          <w:szCs w:val="22"/>
        </w:rPr>
        <w:t xml:space="preserve"> not</w:t>
      </w:r>
      <w:r w:rsidRPr="001E47AD">
        <w:rPr>
          <w:sz w:val="22"/>
          <w:szCs w:val="22"/>
        </w:rPr>
        <w:t xml:space="preserve"> </w:t>
      </w:r>
      <w:r w:rsidR="00724753" w:rsidRPr="001E47AD">
        <w:rPr>
          <w:sz w:val="22"/>
          <w:szCs w:val="22"/>
        </w:rPr>
        <w:t xml:space="preserve">to </w:t>
      </w:r>
      <w:r w:rsidRPr="001E47AD">
        <w:rPr>
          <w:sz w:val="22"/>
          <w:szCs w:val="22"/>
        </w:rPr>
        <w:t xml:space="preserve">purchase </w:t>
      </w:r>
      <w:r w:rsidR="00470784" w:rsidRPr="001E47AD">
        <w:rPr>
          <w:sz w:val="22"/>
          <w:szCs w:val="22"/>
        </w:rPr>
        <w:t>sufficient</w:t>
      </w:r>
      <w:r w:rsidR="00D762E8" w:rsidRPr="001E47AD">
        <w:rPr>
          <w:sz w:val="22"/>
          <w:szCs w:val="22"/>
        </w:rPr>
        <w:t xml:space="preserve"> essential supplies. </w:t>
      </w:r>
      <w:r w:rsidRPr="001E47AD">
        <w:rPr>
          <w:sz w:val="22"/>
          <w:szCs w:val="22"/>
        </w:rPr>
        <w:t xml:space="preserve">Thus, from the perspective of disaster operations, it is critical for retailers to identify factors that </w:t>
      </w:r>
      <w:r w:rsidR="00D87990" w:rsidRPr="001E47AD">
        <w:rPr>
          <w:sz w:val="22"/>
          <w:szCs w:val="22"/>
        </w:rPr>
        <w:t xml:space="preserve">are </w:t>
      </w:r>
      <w:r w:rsidR="00DA3432" w:rsidRPr="001E47AD">
        <w:rPr>
          <w:sz w:val="22"/>
          <w:szCs w:val="22"/>
        </w:rPr>
        <w:t>associated with</w:t>
      </w:r>
      <w:r w:rsidRPr="001E47AD">
        <w:rPr>
          <w:sz w:val="22"/>
          <w:szCs w:val="22"/>
        </w:rPr>
        <w:t xml:space="preserve"> consumer stockpiling</w:t>
      </w:r>
      <w:r w:rsidR="00F93FB2" w:rsidRPr="001E47AD">
        <w:rPr>
          <w:sz w:val="22"/>
          <w:szCs w:val="22"/>
        </w:rPr>
        <w:t xml:space="preserve"> (or precautionary </w:t>
      </w:r>
      <w:r w:rsidR="00170257" w:rsidRPr="001E47AD">
        <w:rPr>
          <w:sz w:val="22"/>
          <w:szCs w:val="22"/>
        </w:rPr>
        <w:t>stockpiling</w:t>
      </w:r>
      <w:r w:rsidR="00F93FB2" w:rsidRPr="001E47AD">
        <w:rPr>
          <w:sz w:val="22"/>
          <w:szCs w:val="22"/>
        </w:rPr>
        <w:t>)</w:t>
      </w:r>
      <w:r w:rsidRPr="001E47AD">
        <w:rPr>
          <w:sz w:val="22"/>
          <w:szCs w:val="22"/>
        </w:rPr>
        <w:t xml:space="preserve"> behavior.</w:t>
      </w:r>
    </w:p>
    <w:p w14:paraId="0849EFC0" w14:textId="2AA2C045" w:rsidR="00E41EC0" w:rsidRPr="001E47AD" w:rsidRDefault="0056692B" w:rsidP="00DE36A0">
      <w:pPr>
        <w:spacing w:before="120" w:after="120" w:line="480" w:lineRule="auto"/>
        <w:ind w:firstLine="720"/>
        <w:contextualSpacing/>
        <w:jc w:val="both"/>
        <w:rPr>
          <w:rFonts w:eastAsia="Times New Roman"/>
          <w:sz w:val="22"/>
          <w:szCs w:val="22"/>
        </w:rPr>
      </w:pPr>
      <w:r w:rsidRPr="001E47AD">
        <w:rPr>
          <w:noProof/>
          <w:sz w:val="22"/>
          <w:szCs w:val="22"/>
        </w:rPr>
        <w:t>W</w:t>
      </w:r>
      <w:r w:rsidR="00E41EC0" w:rsidRPr="001E47AD">
        <w:rPr>
          <w:noProof/>
          <w:sz w:val="22"/>
          <w:szCs w:val="22"/>
        </w:rPr>
        <w:t>e</w:t>
      </w:r>
      <w:r w:rsidR="00B2477B" w:rsidRPr="001E47AD">
        <w:rPr>
          <w:noProof/>
          <w:sz w:val="22"/>
          <w:szCs w:val="22"/>
        </w:rPr>
        <w:t xml:space="preserve"> focus on</w:t>
      </w:r>
      <w:r w:rsidR="00E41EC0" w:rsidRPr="001E47AD">
        <w:rPr>
          <w:noProof/>
          <w:sz w:val="22"/>
          <w:szCs w:val="22"/>
        </w:rPr>
        <w:t xml:space="preserve"> four hurricanes </w:t>
      </w:r>
      <w:r w:rsidR="00001E53" w:rsidRPr="001E47AD">
        <w:rPr>
          <w:noProof/>
          <w:sz w:val="22"/>
          <w:szCs w:val="22"/>
        </w:rPr>
        <w:t>with</w:t>
      </w:r>
      <w:r w:rsidR="00450DA3" w:rsidRPr="001E47AD">
        <w:rPr>
          <w:noProof/>
          <w:sz w:val="22"/>
          <w:szCs w:val="22"/>
        </w:rPr>
        <w:t xml:space="preserve"> wide-ranging impact</w:t>
      </w:r>
      <w:r w:rsidR="00001E53" w:rsidRPr="001E47AD">
        <w:rPr>
          <w:noProof/>
          <w:sz w:val="22"/>
          <w:szCs w:val="22"/>
        </w:rPr>
        <w:t>s on</w:t>
      </w:r>
      <w:r w:rsidR="00E41EC0" w:rsidRPr="001E47AD">
        <w:rPr>
          <w:noProof/>
          <w:sz w:val="22"/>
          <w:szCs w:val="22"/>
        </w:rPr>
        <w:t xml:space="preserve"> the </w:t>
      </w:r>
      <w:r w:rsidR="00E10751" w:rsidRPr="001E47AD">
        <w:rPr>
          <w:noProof/>
          <w:sz w:val="22"/>
          <w:szCs w:val="22"/>
        </w:rPr>
        <w:t>C</w:t>
      </w:r>
      <w:r w:rsidR="00E41EC0" w:rsidRPr="001E47AD">
        <w:rPr>
          <w:noProof/>
          <w:sz w:val="22"/>
          <w:szCs w:val="22"/>
        </w:rPr>
        <w:t>ontinental U.S.</w:t>
      </w:r>
      <w:r w:rsidR="00001E53" w:rsidRPr="001E47AD">
        <w:rPr>
          <w:noProof/>
          <w:sz w:val="22"/>
          <w:szCs w:val="22"/>
        </w:rPr>
        <w:t xml:space="preserve"> – </w:t>
      </w:r>
      <w:r w:rsidR="00E41EC0" w:rsidRPr="001E47AD">
        <w:rPr>
          <w:noProof/>
          <w:sz w:val="22"/>
          <w:szCs w:val="22"/>
        </w:rPr>
        <w:t>Ike in 2008, Irene in 2011, Sandy in 2012, and Arthur in 2014</w:t>
      </w:r>
      <w:r w:rsidR="00001E53" w:rsidRPr="001E47AD">
        <w:rPr>
          <w:noProof/>
          <w:sz w:val="22"/>
          <w:szCs w:val="22"/>
        </w:rPr>
        <w:t xml:space="preserve">. </w:t>
      </w:r>
      <w:r w:rsidR="00B325A8" w:rsidRPr="001E47AD">
        <w:rPr>
          <w:noProof/>
          <w:sz w:val="22"/>
          <w:szCs w:val="22"/>
        </w:rPr>
        <w:t xml:space="preserve">Specifically, we follow Gupta et al. (2016)’s guidance and </w:t>
      </w:r>
      <w:r w:rsidR="0056437F" w:rsidRPr="001E47AD">
        <w:rPr>
          <w:noProof/>
          <w:sz w:val="22"/>
          <w:szCs w:val="22"/>
        </w:rPr>
        <w:t>carry out</w:t>
      </w:r>
      <w:r w:rsidR="00B325A8" w:rsidRPr="001E47AD">
        <w:rPr>
          <w:noProof/>
          <w:sz w:val="22"/>
          <w:szCs w:val="22"/>
        </w:rPr>
        <w:t xml:space="preserve"> analysis using archival retail </w:t>
      </w:r>
      <w:r w:rsidR="00371370" w:rsidRPr="001E47AD">
        <w:rPr>
          <w:noProof/>
          <w:sz w:val="22"/>
          <w:szCs w:val="22"/>
        </w:rPr>
        <w:t>scanner</w:t>
      </w:r>
      <w:r w:rsidR="00FB094B" w:rsidRPr="001E47AD">
        <w:rPr>
          <w:noProof/>
          <w:sz w:val="22"/>
          <w:szCs w:val="22"/>
        </w:rPr>
        <w:t xml:space="preserve"> </w:t>
      </w:r>
      <w:r w:rsidR="00B325A8" w:rsidRPr="001E47AD">
        <w:rPr>
          <w:noProof/>
          <w:sz w:val="22"/>
          <w:szCs w:val="22"/>
        </w:rPr>
        <w:t xml:space="preserve">data and real-time hurricane data. </w:t>
      </w:r>
      <w:r w:rsidR="00AA7EF2" w:rsidRPr="001E47AD">
        <w:rPr>
          <w:noProof/>
          <w:sz w:val="22"/>
          <w:szCs w:val="22"/>
        </w:rPr>
        <w:t>D</w:t>
      </w:r>
      <w:r w:rsidR="00001E53" w:rsidRPr="001E47AD">
        <w:rPr>
          <w:noProof/>
          <w:sz w:val="22"/>
          <w:szCs w:val="22"/>
        </w:rPr>
        <w:t xml:space="preserve">ata </w:t>
      </w:r>
      <w:r w:rsidR="00F5379D" w:rsidRPr="001E47AD">
        <w:rPr>
          <w:noProof/>
          <w:sz w:val="22"/>
          <w:szCs w:val="22"/>
        </w:rPr>
        <w:t>we</w:t>
      </w:r>
      <w:r w:rsidR="00AA7EF2" w:rsidRPr="001E47AD">
        <w:rPr>
          <w:noProof/>
          <w:sz w:val="22"/>
          <w:szCs w:val="22"/>
        </w:rPr>
        <w:t>re collected from</w:t>
      </w:r>
      <w:r w:rsidR="00E41EC0" w:rsidRPr="001E47AD">
        <w:rPr>
          <w:noProof/>
          <w:sz w:val="22"/>
          <w:szCs w:val="22"/>
        </w:rPr>
        <w:t xml:space="preserve"> retail store outlets </w:t>
      </w:r>
      <w:r w:rsidR="00AA7EF2" w:rsidRPr="001E47AD">
        <w:rPr>
          <w:noProof/>
          <w:sz w:val="22"/>
          <w:szCs w:val="22"/>
        </w:rPr>
        <w:t>in the proximity of the</w:t>
      </w:r>
      <w:r w:rsidR="006B2F3D" w:rsidRPr="001E47AD">
        <w:rPr>
          <w:noProof/>
          <w:sz w:val="22"/>
          <w:szCs w:val="22"/>
        </w:rPr>
        <w:t xml:space="preserve"> hurricane</w:t>
      </w:r>
      <w:r w:rsidR="00001E53" w:rsidRPr="001E47AD">
        <w:rPr>
          <w:noProof/>
          <w:sz w:val="22"/>
          <w:szCs w:val="22"/>
        </w:rPr>
        <w:t>s</w:t>
      </w:r>
      <w:r w:rsidR="00AA7EF2" w:rsidRPr="001E47AD">
        <w:rPr>
          <w:noProof/>
          <w:sz w:val="22"/>
          <w:szCs w:val="22"/>
        </w:rPr>
        <w:t>’ paths</w:t>
      </w:r>
      <w:r w:rsidR="00E41EC0" w:rsidRPr="001E47AD">
        <w:rPr>
          <w:noProof/>
          <w:sz w:val="22"/>
          <w:szCs w:val="22"/>
        </w:rPr>
        <w:t xml:space="preserve"> </w:t>
      </w:r>
      <w:r w:rsidR="006B2F3D" w:rsidRPr="001E47AD">
        <w:rPr>
          <w:noProof/>
          <w:sz w:val="22"/>
          <w:szCs w:val="22"/>
        </w:rPr>
        <w:t>to obtain</w:t>
      </w:r>
      <w:r w:rsidR="00E41EC0" w:rsidRPr="001E47AD">
        <w:rPr>
          <w:noProof/>
          <w:sz w:val="22"/>
          <w:szCs w:val="22"/>
        </w:rPr>
        <w:t xml:space="preserve"> 38,418 store-event observations.</w:t>
      </w:r>
      <w:r w:rsidR="00E41EC0" w:rsidRPr="001E47AD">
        <w:rPr>
          <w:sz w:val="22"/>
          <w:szCs w:val="22"/>
        </w:rPr>
        <w:t xml:space="preserve"> Using </w:t>
      </w:r>
      <w:r w:rsidR="002E68F9" w:rsidRPr="001E47AD">
        <w:rPr>
          <w:sz w:val="22"/>
          <w:szCs w:val="22"/>
        </w:rPr>
        <w:t>event analysis</w:t>
      </w:r>
      <w:r w:rsidR="00E41EC0" w:rsidRPr="001E47AD">
        <w:rPr>
          <w:sz w:val="22"/>
          <w:szCs w:val="22"/>
        </w:rPr>
        <w:t xml:space="preserve"> methodology, </w:t>
      </w:r>
      <w:r w:rsidR="00175CDE" w:rsidRPr="001E47AD">
        <w:rPr>
          <w:sz w:val="22"/>
          <w:szCs w:val="22"/>
        </w:rPr>
        <w:t>we first define the INFLUENCE date as the day when the hurricane is at its nearest proximity to the store outlet</w:t>
      </w:r>
      <w:r w:rsidR="00EF06AE" w:rsidRPr="001E47AD">
        <w:rPr>
          <w:sz w:val="22"/>
          <w:szCs w:val="22"/>
        </w:rPr>
        <w:t xml:space="preserve"> observed. Thus, different store outlet</w:t>
      </w:r>
      <w:r w:rsidR="00175CDE" w:rsidRPr="001E47AD">
        <w:rPr>
          <w:sz w:val="22"/>
          <w:szCs w:val="22"/>
        </w:rPr>
        <w:t>s</w:t>
      </w:r>
      <w:r w:rsidR="00EF06AE" w:rsidRPr="001E47AD">
        <w:rPr>
          <w:sz w:val="22"/>
          <w:szCs w:val="22"/>
        </w:rPr>
        <w:t xml:space="preserve"> may be associated with different INFLUENCE dates</w:t>
      </w:r>
      <w:r w:rsidR="00200248" w:rsidRPr="001E47AD">
        <w:rPr>
          <w:sz w:val="22"/>
          <w:szCs w:val="22"/>
        </w:rPr>
        <w:t>, depending on where they are situated relative to the hurricane’s path</w:t>
      </w:r>
      <w:r w:rsidR="00175CDE" w:rsidRPr="001E47AD">
        <w:rPr>
          <w:sz w:val="22"/>
          <w:szCs w:val="22"/>
        </w:rPr>
        <w:t xml:space="preserve">. </w:t>
      </w:r>
      <w:r w:rsidR="00EF06AE" w:rsidRPr="001E47AD">
        <w:rPr>
          <w:sz w:val="22"/>
          <w:szCs w:val="22"/>
        </w:rPr>
        <w:t>T</w:t>
      </w:r>
      <w:r w:rsidR="00237F3A" w:rsidRPr="001E47AD">
        <w:rPr>
          <w:sz w:val="22"/>
          <w:szCs w:val="22"/>
        </w:rPr>
        <w:t>hen</w:t>
      </w:r>
      <w:r w:rsidR="00EF06AE" w:rsidRPr="001E47AD">
        <w:rPr>
          <w:sz w:val="22"/>
          <w:szCs w:val="22"/>
        </w:rPr>
        <w:t>,</w:t>
      </w:r>
      <w:r w:rsidR="00237F3A" w:rsidRPr="001E47AD">
        <w:rPr>
          <w:sz w:val="22"/>
          <w:szCs w:val="22"/>
        </w:rPr>
        <w:t xml:space="preserve"> w</w:t>
      </w:r>
      <w:r w:rsidR="00E41EC0" w:rsidRPr="001E47AD">
        <w:rPr>
          <w:sz w:val="22"/>
          <w:szCs w:val="22"/>
        </w:rPr>
        <w:t xml:space="preserve">e categorize the course of a hurricane disaster into four event periods: EARLY and LATE, corresponding to the </w:t>
      </w:r>
      <w:r w:rsidR="009A795F" w:rsidRPr="001E47AD">
        <w:rPr>
          <w:sz w:val="22"/>
          <w:szCs w:val="22"/>
        </w:rPr>
        <w:t xml:space="preserve">calendar </w:t>
      </w:r>
      <w:r w:rsidR="00E41EC0" w:rsidRPr="001E47AD">
        <w:rPr>
          <w:sz w:val="22"/>
          <w:szCs w:val="22"/>
        </w:rPr>
        <w:t>week before and</w:t>
      </w:r>
      <w:r w:rsidR="00E36F0D" w:rsidRPr="001E47AD">
        <w:rPr>
          <w:sz w:val="22"/>
          <w:szCs w:val="22"/>
        </w:rPr>
        <w:t xml:space="preserve"> </w:t>
      </w:r>
      <w:r w:rsidR="00347142" w:rsidRPr="001E47AD">
        <w:rPr>
          <w:sz w:val="22"/>
          <w:szCs w:val="22"/>
        </w:rPr>
        <w:t xml:space="preserve">the </w:t>
      </w:r>
      <w:r w:rsidR="005C1C90" w:rsidRPr="001E47AD">
        <w:rPr>
          <w:sz w:val="22"/>
          <w:szCs w:val="22"/>
        </w:rPr>
        <w:t xml:space="preserve">calendar </w:t>
      </w:r>
      <w:r w:rsidR="00E36F0D" w:rsidRPr="001E47AD">
        <w:rPr>
          <w:noProof/>
          <w:sz w:val="22"/>
          <w:szCs w:val="22"/>
        </w:rPr>
        <w:t>week</w:t>
      </w:r>
      <w:r w:rsidR="00E41EC0" w:rsidRPr="001E47AD">
        <w:rPr>
          <w:sz w:val="22"/>
          <w:szCs w:val="22"/>
        </w:rPr>
        <w:t xml:space="preserve"> after the </w:t>
      </w:r>
      <w:r w:rsidR="005B73FC" w:rsidRPr="001E47AD">
        <w:rPr>
          <w:sz w:val="22"/>
          <w:szCs w:val="22"/>
        </w:rPr>
        <w:t>INFLUENCE date of hurricanes</w:t>
      </w:r>
      <w:r w:rsidR="00E41EC0" w:rsidRPr="001E47AD">
        <w:rPr>
          <w:sz w:val="22"/>
          <w:szCs w:val="22"/>
        </w:rPr>
        <w:t xml:space="preserve">, and PRE and POST, corresponding to </w:t>
      </w:r>
      <w:r w:rsidR="00EB6D53" w:rsidRPr="001E47AD">
        <w:rPr>
          <w:sz w:val="22"/>
          <w:szCs w:val="22"/>
        </w:rPr>
        <w:t xml:space="preserve">a </w:t>
      </w:r>
      <w:r w:rsidR="00E41EC0" w:rsidRPr="001E47AD">
        <w:rPr>
          <w:sz w:val="22"/>
          <w:szCs w:val="22"/>
        </w:rPr>
        <w:t xml:space="preserve">time period </w:t>
      </w:r>
      <w:r w:rsidR="00EB6D53" w:rsidRPr="001E47AD">
        <w:rPr>
          <w:sz w:val="22"/>
          <w:szCs w:val="22"/>
        </w:rPr>
        <w:t xml:space="preserve">of four </w:t>
      </w:r>
      <w:r w:rsidR="00C730E8" w:rsidRPr="001E47AD">
        <w:rPr>
          <w:sz w:val="22"/>
          <w:szCs w:val="22"/>
        </w:rPr>
        <w:t xml:space="preserve">calendar </w:t>
      </w:r>
      <w:r w:rsidR="00EB6D53" w:rsidRPr="001E47AD">
        <w:rPr>
          <w:sz w:val="22"/>
          <w:szCs w:val="22"/>
        </w:rPr>
        <w:t xml:space="preserve">weeks </w:t>
      </w:r>
      <w:r w:rsidR="00E41EC0" w:rsidRPr="001E47AD">
        <w:rPr>
          <w:sz w:val="22"/>
          <w:szCs w:val="22"/>
        </w:rPr>
        <w:t xml:space="preserve">before the </w:t>
      </w:r>
      <w:r w:rsidR="00E41EC0" w:rsidRPr="001E47AD">
        <w:rPr>
          <w:sz w:val="22"/>
          <w:szCs w:val="22"/>
        </w:rPr>
        <w:lastRenderedPageBreak/>
        <w:t xml:space="preserve">EARLY </w:t>
      </w:r>
      <w:r w:rsidR="00EF06AE" w:rsidRPr="001E47AD">
        <w:rPr>
          <w:sz w:val="22"/>
          <w:szCs w:val="22"/>
        </w:rPr>
        <w:t xml:space="preserve">period </w:t>
      </w:r>
      <w:r w:rsidR="00E41EC0" w:rsidRPr="001E47AD">
        <w:rPr>
          <w:sz w:val="22"/>
          <w:szCs w:val="22"/>
        </w:rPr>
        <w:t xml:space="preserve">and </w:t>
      </w:r>
      <w:r w:rsidR="00EF06AE" w:rsidRPr="001E47AD">
        <w:rPr>
          <w:sz w:val="22"/>
          <w:szCs w:val="22"/>
        </w:rPr>
        <w:t xml:space="preserve">after </w:t>
      </w:r>
      <w:r w:rsidR="00E41EC0" w:rsidRPr="001E47AD">
        <w:rPr>
          <w:sz w:val="22"/>
          <w:szCs w:val="22"/>
        </w:rPr>
        <w:t>the LATE period, respectively. We set the PRE</w:t>
      </w:r>
      <w:r w:rsidR="0000002A" w:rsidRPr="001E47AD">
        <w:rPr>
          <w:sz w:val="22"/>
          <w:szCs w:val="22"/>
        </w:rPr>
        <w:t>-</w:t>
      </w:r>
      <w:r w:rsidR="00E41EC0" w:rsidRPr="001E47AD">
        <w:rPr>
          <w:sz w:val="22"/>
          <w:szCs w:val="22"/>
        </w:rPr>
        <w:t xml:space="preserve">event period as the benchmark and then examine consumer stockpiling propensity during the EARLY event period and its </w:t>
      </w:r>
      <w:r w:rsidR="00E96CA7" w:rsidRPr="001E47AD">
        <w:rPr>
          <w:sz w:val="22"/>
          <w:szCs w:val="22"/>
        </w:rPr>
        <w:t xml:space="preserve">relationship to in-store product availability </w:t>
      </w:r>
      <w:r w:rsidR="00E81018" w:rsidRPr="001E47AD">
        <w:rPr>
          <w:noProof/>
          <w:sz w:val="22"/>
          <w:szCs w:val="22"/>
        </w:rPr>
        <w:t xml:space="preserve">following the </w:t>
      </w:r>
      <w:r w:rsidR="00E41EC0" w:rsidRPr="001E47AD">
        <w:rPr>
          <w:sz w:val="22"/>
          <w:szCs w:val="22"/>
        </w:rPr>
        <w:t xml:space="preserve">hurricane events, namely </w:t>
      </w:r>
      <w:r w:rsidR="00E41EC0" w:rsidRPr="001E47AD">
        <w:rPr>
          <w:rFonts w:eastAsia="Times New Roman"/>
          <w:sz w:val="22"/>
          <w:szCs w:val="22"/>
        </w:rPr>
        <w:t xml:space="preserve">the LATE and the POST event periods. </w:t>
      </w:r>
    </w:p>
    <w:p w14:paraId="177F4808" w14:textId="6F5EDF64" w:rsidR="00E41EC0" w:rsidRPr="001E47AD" w:rsidRDefault="00AA7EF2" w:rsidP="00DE36A0">
      <w:pPr>
        <w:spacing w:before="120" w:after="120" w:line="480" w:lineRule="auto"/>
        <w:ind w:firstLine="720"/>
        <w:contextualSpacing/>
        <w:jc w:val="both"/>
        <w:rPr>
          <w:rFonts w:eastAsia="Times New Roman"/>
          <w:sz w:val="22"/>
          <w:szCs w:val="22"/>
        </w:rPr>
      </w:pPr>
      <w:r w:rsidRPr="001E47AD">
        <w:rPr>
          <w:sz w:val="22"/>
          <w:szCs w:val="22"/>
        </w:rPr>
        <w:t xml:space="preserve">We </w:t>
      </w:r>
      <w:r w:rsidR="00B2477B" w:rsidRPr="001E47AD">
        <w:rPr>
          <w:sz w:val="22"/>
          <w:szCs w:val="22"/>
        </w:rPr>
        <w:t xml:space="preserve">first </w:t>
      </w:r>
      <w:r w:rsidR="00D878B3" w:rsidRPr="001E47AD">
        <w:rPr>
          <w:sz w:val="22"/>
          <w:szCs w:val="22"/>
        </w:rPr>
        <w:t>examine</w:t>
      </w:r>
      <w:r w:rsidR="00F77767" w:rsidRPr="001E47AD">
        <w:rPr>
          <w:sz w:val="22"/>
          <w:szCs w:val="22"/>
        </w:rPr>
        <w:t xml:space="preserve"> factors that are associated with</w:t>
      </w:r>
      <w:r w:rsidR="00F913E5" w:rsidRPr="001E47AD">
        <w:rPr>
          <w:sz w:val="22"/>
          <w:szCs w:val="22"/>
        </w:rPr>
        <w:t xml:space="preserve"> consumer stockpiling</w:t>
      </w:r>
      <w:r w:rsidR="00F93FB2" w:rsidRPr="001E47AD">
        <w:rPr>
          <w:sz w:val="22"/>
          <w:szCs w:val="22"/>
        </w:rPr>
        <w:t xml:space="preserve"> (or precautionary </w:t>
      </w:r>
      <w:r w:rsidR="004E6D82" w:rsidRPr="001E47AD">
        <w:rPr>
          <w:sz w:val="22"/>
          <w:szCs w:val="22"/>
        </w:rPr>
        <w:t>stockpiling</w:t>
      </w:r>
      <w:r w:rsidR="00F93FB2" w:rsidRPr="001E47AD">
        <w:rPr>
          <w:sz w:val="22"/>
          <w:szCs w:val="22"/>
        </w:rPr>
        <w:t>)</w:t>
      </w:r>
      <w:r w:rsidR="00F913E5" w:rsidRPr="001E47AD">
        <w:rPr>
          <w:sz w:val="22"/>
          <w:szCs w:val="22"/>
        </w:rPr>
        <w:t xml:space="preserve"> at a retail outlet during the EARLY ev</w:t>
      </w:r>
      <w:r w:rsidR="00EA4692" w:rsidRPr="001E47AD">
        <w:rPr>
          <w:sz w:val="22"/>
          <w:szCs w:val="22"/>
        </w:rPr>
        <w:t>ent</w:t>
      </w:r>
      <w:r w:rsidR="00F913E5" w:rsidRPr="001E47AD">
        <w:rPr>
          <w:sz w:val="22"/>
          <w:szCs w:val="22"/>
        </w:rPr>
        <w:t xml:space="preserve"> </w:t>
      </w:r>
      <w:r w:rsidR="00EA4692" w:rsidRPr="001E47AD">
        <w:rPr>
          <w:sz w:val="22"/>
          <w:szCs w:val="22"/>
        </w:rPr>
        <w:t>period</w:t>
      </w:r>
      <w:r w:rsidR="00F913E5" w:rsidRPr="001E47AD">
        <w:rPr>
          <w:sz w:val="22"/>
          <w:szCs w:val="22"/>
        </w:rPr>
        <w:t xml:space="preserve">. </w:t>
      </w:r>
      <w:r w:rsidR="00E41EC0" w:rsidRPr="001E47AD">
        <w:rPr>
          <w:sz w:val="22"/>
          <w:szCs w:val="22"/>
        </w:rPr>
        <w:t xml:space="preserve">From a supply-side perspective, we find that consumer stockpiling propensity </w:t>
      </w:r>
      <w:r w:rsidR="00F913E5" w:rsidRPr="001E47AD">
        <w:rPr>
          <w:noProof/>
          <w:sz w:val="22"/>
          <w:szCs w:val="22"/>
        </w:rPr>
        <w:t>is impacted by characteristics of the retailer, s</w:t>
      </w:r>
      <w:r w:rsidR="00E41EC0" w:rsidRPr="001E47AD">
        <w:rPr>
          <w:sz w:val="22"/>
          <w:szCs w:val="22"/>
        </w:rPr>
        <w:t xml:space="preserve">uch as </w:t>
      </w:r>
      <w:r w:rsidR="009B64B2" w:rsidRPr="001E47AD">
        <w:rPr>
          <w:sz w:val="22"/>
          <w:szCs w:val="22"/>
        </w:rPr>
        <w:t>the</w:t>
      </w:r>
      <w:r w:rsidR="00F913E5" w:rsidRPr="001E47AD">
        <w:rPr>
          <w:sz w:val="22"/>
          <w:szCs w:val="22"/>
        </w:rPr>
        <w:t xml:space="preserve"> retailer’s</w:t>
      </w:r>
      <w:r w:rsidR="009B64B2" w:rsidRPr="001E47AD">
        <w:rPr>
          <w:sz w:val="22"/>
          <w:szCs w:val="22"/>
        </w:rPr>
        <w:t xml:space="preserve"> </w:t>
      </w:r>
      <w:r w:rsidR="00E41EC0" w:rsidRPr="001E47AD">
        <w:rPr>
          <w:sz w:val="22"/>
          <w:szCs w:val="22"/>
        </w:rPr>
        <w:t xml:space="preserve">intra-regional store network, </w:t>
      </w:r>
      <w:r w:rsidR="00F913E5" w:rsidRPr="001E47AD">
        <w:rPr>
          <w:sz w:val="22"/>
          <w:szCs w:val="22"/>
        </w:rPr>
        <w:t>its</w:t>
      </w:r>
      <w:r w:rsidR="009B64B2" w:rsidRPr="001E47AD">
        <w:rPr>
          <w:sz w:val="22"/>
          <w:szCs w:val="22"/>
        </w:rPr>
        <w:t xml:space="preserve"> </w:t>
      </w:r>
      <w:r w:rsidR="00E41EC0" w:rsidRPr="001E47AD">
        <w:rPr>
          <w:sz w:val="22"/>
          <w:szCs w:val="22"/>
        </w:rPr>
        <w:t>in</w:t>
      </w:r>
      <w:r w:rsidR="0017319D" w:rsidRPr="001E47AD">
        <w:rPr>
          <w:sz w:val="22"/>
          <w:szCs w:val="22"/>
        </w:rPr>
        <w:t xml:space="preserve">ter-regional store network, </w:t>
      </w:r>
      <w:r w:rsidR="00441E07" w:rsidRPr="001E47AD">
        <w:rPr>
          <w:sz w:val="22"/>
          <w:szCs w:val="22"/>
        </w:rPr>
        <w:t xml:space="preserve">and </w:t>
      </w:r>
      <w:r w:rsidR="00F913E5" w:rsidRPr="001E47AD">
        <w:rPr>
          <w:sz w:val="22"/>
          <w:szCs w:val="22"/>
        </w:rPr>
        <w:t xml:space="preserve">the </w:t>
      </w:r>
      <w:r w:rsidR="00E10751" w:rsidRPr="001E47AD">
        <w:rPr>
          <w:sz w:val="22"/>
          <w:szCs w:val="22"/>
        </w:rPr>
        <w:t>bottled water</w:t>
      </w:r>
      <w:r w:rsidR="006148DF" w:rsidRPr="001E47AD">
        <w:rPr>
          <w:sz w:val="22"/>
          <w:szCs w:val="22"/>
        </w:rPr>
        <w:t xml:space="preserve"> </w:t>
      </w:r>
      <w:r w:rsidR="00E41EC0" w:rsidRPr="001E47AD">
        <w:rPr>
          <w:sz w:val="22"/>
          <w:szCs w:val="22"/>
        </w:rPr>
        <w:t>variety</w:t>
      </w:r>
      <w:r w:rsidR="009B64B2" w:rsidRPr="001E47AD">
        <w:rPr>
          <w:sz w:val="22"/>
          <w:szCs w:val="22"/>
        </w:rPr>
        <w:t xml:space="preserve"> offered at </w:t>
      </w:r>
      <w:r w:rsidR="00F913E5" w:rsidRPr="001E47AD">
        <w:rPr>
          <w:sz w:val="22"/>
          <w:szCs w:val="22"/>
        </w:rPr>
        <w:t>a given</w:t>
      </w:r>
      <w:r w:rsidR="009B64B2" w:rsidRPr="001E47AD">
        <w:rPr>
          <w:sz w:val="22"/>
          <w:szCs w:val="22"/>
        </w:rPr>
        <w:t xml:space="preserve"> outlet</w:t>
      </w:r>
      <w:r w:rsidR="00E41EC0" w:rsidRPr="001E47AD">
        <w:rPr>
          <w:sz w:val="22"/>
          <w:szCs w:val="22"/>
        </w:rPr>
        <w:t xml:space="preserve">. From a demand-side perspective, we show that consumer stockpiling propensity is related to factors that affect </w:t>
      </w:r>
      <w:r w:rsidR="00F913E5" w:rsidRPr="001E47AD">
        <w:rPr>
          <w:sz w:val="22"/>
          <w:szCs w:val="22"/>
        </w:rPr>
        <w:t>consumers</w:t>
      </w:r>
      <w:r w:rsidR="006E0123" w:rsidRPr="001E47AD">
        <w:rPr>
          <w:sz w:val="22"/>
          <w:szCs w:val="22"/>
        </w:rPr>
        <w:t>’</w:t>
      </w:r>
      <w:r w:rsidR="00F913E5" w:rsidRPr="001E47AD">
        <w:rPr>
          <w:sz w:val="22"/>
          <w:szCs w:val="22"/>
        </w:rPr>
        <w:t xml:space="preserve"> </w:t>
      </w:r>
      <w:r w:rsidR="00E41EC0" w:rsidRPr="001E47AD">
        <w:rPr>
          <w:sz w:val="22"/>
          <w:szCs w:val="22"/>
        </w:rPr>
        <w:t>risk perception and purchasing power</w:t>
      </w:r>
      <w:r w:rsidR="0000002A" w:rsidRPr="001E47AD">
        <w:rPr>
          <w:sz w:val="22"/>
          <w:szCs w:val="22"/>
        </w:rPr>
        <w:t>,</w:t>
      </w:r>
      <w:r w:rsidR="00E41EC0" w:rsidRPr="001E47AD">
        <w:rPr>
          <w:sz w:val="22"/>
          <w:szCs w:val="22"/>
        </w:rPr>
        <w:t xml:space="preserve"> such as recent hurricane experience and household income level. From a disaster perspective, we </w:t>
      </w:r>
      <w:r w:rsidR="00E36F0D" w:rsidRPr="001E47AD">
        <w:rPr>
          <w:sz w:val="22"/>
          <w:szCs w:val="22"/>
        </w:rPr>
        <w:t>i</w:t>
      </w:r>
      <w:r w:rsidR="00E10751" w:rsidRPr="001E47AD">
        <w:rPr>
          <w:sz w:val="22"/>
          <w:szCs w:val="22"/>
        </w:rPr>
        <w:t>llustrate</w:t>
      </w:r>
      <w:r w:rsidR="00E36F0D" w:rsidRPr="001E47AD">
        <w:rPr>
          <w:sz w:val="22"/>
          <w:szCs w:val="22"/>
        </w:rPr>
        <w:t xml:space="preserve"> how</w:t>
      </w:r>
      <w:r w:rsidR="00E41EC0" w:rsidRPr="001E47AD">
        <w:rPr>
          <w:sz w:val="22"/>
          <w:szCs w:val="22"/>
        </w:rPr>
        <w:t xml:space="preserve"> consumer stockpiling propensity </w:t>
      </w:r>
      <w:r w:rsidR="00E41EC0" w:rsidRPr="001E47AD">
        <w:rPr>
          <w:noProof/>
          <w:sz w:val="22"/>
          <w:szCs w:val="22"/>
        </w:rPr>
        <w:t>is linked</w:t>
      </w:r>
      <w:r w:rsidR="00E41EC0" w:rsidRPr="001E47AD">
        <w:rPr>
          <w:sz w:val="22"/>
          <w:szCs w:val="22"/>
        </w:rPr>
        <w:t xml:space="preserve"> to factors that impact risk </w:t>
      </w:r>
      <w:r w:rsidR="00893D89" w:rsidRPr="001E47AD">
        <w:rPr>
          <w:sz w:val="22"/>
          <w:szCs w:val="22"/>
        </w:rPr>
        <w:t>magnitude</w:t>
      </w:r>
      <w:r w:rsidR="00E41EC0" w:rsidRPr="001E47AD">
        <w:rPr>
          <w:sz w:val="22"/>
          <w:szCs w:val="22"/>
        </w:rPr>
        <w:t xml:space="preserve"> and consumer response</w:t>
      </w:r>
      <w:r w:rsidR="0000002A" w:rsidRPr="001E47AD">
        <w:rPr>
          <w:sz w:val="22"/>
          <w:szCs w:val="22"/>
        </w:rPr>
        <w:t>,</w:t>
      </w:r>
      <w:r w:rsidR="00E41EC0" w:rsidRPr="001E47AD">
        <w:rPr>
          <w:sz w:val="22"/>
          <w:szCs w:val="22"/>
        </w:rPr>
        <w:t xml:space="preserve"> such as </w:t>
      </w:r>
      <w:r w:rsidR="00E41EC0" w:rsidRPr="001E47AD">
        <w:rPr>
          <w:noProof/>
          <w:sz w:val="22"/>
          <w:szCs w:val="22"/>
        </w:rPr>
        <w:t>distance</w:t>
      </w:r>
      <w:r w:rsidR="00F913E5" w:rsidRPr="001E47AD">
        <w:rPr>
          <w:sz w:val="22"/>
          <w:szCs w:val="22"/>
        </w:rPr>
        <w:t xml:space="preserve"> of a retail outlet</w:t>
      </w:r>
      <w:r w:rsidR="00E41EC0" w:rsidRPr="001E47AD">
        <w:rPr>
          <w:sz w:val="22"/>
          <w:szCs w:val="22"/>
        </w:rPr>
        <w:t xml:space="preserve"> to</w:t>
      </w:r>
      <w:r w:rsidR="006148DF" w:rsidRPr="001E47AD">
        <w:rPr>
          <w:sz w:val="22"/>
          <w:szCs w:val="22"/>
        </w:rPr>
        <w:t xml:space="preserve"> points of</w:t>
      </w:r>
      <w:r w:rsidR="00357102" w:rsidRPr="001E47AD">
        <w:rPr>
          <w:sz w:val="22"/>
          <w:szCs w:val="22"/>
        </w:rPr>
        <w:t xml:space="preserve"> </w:t>
      </w:r>
      <w:r w:rsidR="00F913E5" w:rsidRPr="001E47AD">
        <w:rPr>
          <w:sz w:val="22"/>
          <w:szCs w:val="22"/>
        </w:rPr>
        <w:t xml:space="preserve">hurricane </w:t>
      </w:r>
      <w:r w:rsidR="00357102" w:rsidRPr="001E47AD">
        <w:rPr>
          <w:sz w:val="22"/>
          <w:szCs w:val="22"/>
        </w:rPr>
        <w:t>landfall</w:t>
      </w:r>
      <w:r w:rsidRPr="001E47AD">
        <w:rPr>
          <w:sz w:val="22"/>
          <w:szCs w:val="22"/>
        </w:rPr>
        <w:t xml:space="preserve">, </w:t>
      </w:r>
      <w:r w:rsidR="00F913E5" w:rsidRPr="001E47AD">
        <w:rPr>
          <w:sz w:val="22"/>
          <w:szCs w:val="22"/>
        </w:rPr>
        <w:t>the</w:t>
      </w:r>
      <w:r w:rsidR="006148DF" w:rsidRPr="001E47AD">
        <w:rPr>
          <w:rFonts w:eastAsia="Times New Roman"/>
          <w:sz w:val="22"/>
          <w:szCs w:val="22"/>
        </w:rPr>
        <w:t xml:space="preserve"> </w:t>
      </w:r>
      <w:r w:rsidR="006148DF" w:rsidRPr="001E47AD">
        <w:rPr>
          <w:rFonts w:eastAsia="Times New Roman"/>
          <w:noProof/>
          <w:sz w:val="22"/>
          <w:szCs w:val="22"/>
        </w:rPr>
        <w:t>path</w:t>
      </w:r>
      <w:r w:rsidR="006148DF" w:rsidRPr="001E47AD">
        <w:rPr>
          <w:rFonts w:eastAsia="Times New Roman"/>
          <w:sz w:val="22"/>
          <w:szCs w:val="22"/>
        </w:rPr>
        <w:t xml:space="preserve"> of</w:t>
      </w:r>
      <w:r w:rsidR="00E41EC0" w:rsidRPr="001E47AD">
        <w:rPr>
          <w:rFonts w:eastAsia="Times New Roman"/>
          <w:sz w:val="22"/>
          <w:szCs w:val="22"/>
        </w:rPr>
        <w:t xml:space="preserve"> </w:t>
      </w:r>
      <w:r w:rsidR="00D5563B" w:rsidRPr="001E47AD">
        <w:rPr>
          <w:rFonts w:eastAsia="Times New Roman"/>
          <w:sz w:val="22"/>
          <w:szCs w:val="22"/>
        </w:rPr>
        <w:t xml:space="preserve">the </w:t>
      </w:r>
      <w:r w:rsidR="00357102" w:rsidRPr="001E47AD">
        <w:rPr>
          <w:rFonts w:eastAsia="Times New Roman"/>
          <w:sz w:val="22"/>
          <w:szCs w:val="22"/>
        </w:rPr>
        <w:t xml:space="preserve">hurricane, </w:t>
      </w:r>
      <w:r w:rsidR="00E41EC0" w:rsidRPr="001E47AD">
        <w:rPr>
          <w:rFonts w:eastAsia="Times New Roman"/>
          <w:sz w:val="22"/>
          <w:szCs w:val="22"/>
        </w:rPr>
        <w:t xml:space="preserve">and </w:t>
      </w:r>
      <w:r w:rsidR="00F913E5" w:rsidRPr="001E47AD">
        <w:rPr>
          <w:rFonts w:eastAsia="Times New Roman"/>
          <w:sz w:val="22"/>
          <w:szCs w:val="22"/>
        </w:rPr>
        <w:t xml:space="preserve">the </w:t>
      </w:r>
      <w:r w:rsidR="00E41EC0" w:rsidRPr="001E47AD">
        <w:rPr>
          <w:rFonts w:eastAsia="Times New Roman"/>
          <w:sz w:val="22"/>
          <w:szCs w:val="22"/>
        </w:rPr>
        <w:t xml:space="preserve">intensity of </w:t>
      </w:r>
      <w:r w:rsidR="00E41EC0" w:rsidRPr="001E47AD">
        <w:rPr>
          <w:rFonts w:eastAsia="Times New Roman"/>
          <w:noProof/>
          <w:sz w:val="22"/>
          <w:szCs w:val="22"/>
        </w:rPr>
        <w:t>storm wind</w:t>
      </w:r>
      <w:r w:rsidR="00F913E5" w:rsidRPr="001E47AD">
        <w:rPr>
          <w:rFonts w:eastAsia="Times New Roman"/>
          <w:noProof/>
          <w:sz w:val="22"/>
          <w:szCs w:val="22"/>
        </w:rPr>
        <w:t>s</w:t>
      </w:r>
      <w:r w:rsidR="00E41EC0" w:rsidRPr="001E47AD">
        <w:rPr>
          <w:rFonts w:eastAsia="Times New Roman"/>
          <w:sz w:val="22"/>
          <w:szCs w:val="22"/>
        </w:rPr>
        <w:t xml:space="preserve">. </w:t>
      </w:r>
    </w:p>
    <w:p w14:paraId="08FB25FD" w14:textId="17F86700" w:rsidR="00E41EC0" w:rsidRPr="001E47AD" w:rsidRDefault="00E41EC0" w:rsidP="00DE36A0">
      <w:pPr>
        <w:spacing w:before="120" w:after="120" w:line="480" w:lineRule="auto"/>
        <w:ind w:firstLine="720"/>
        <w:contextualSpacing/>
        <w:jc w:val="both"/>
        <w:rPr>
          <w:sz w:val="22"/>
          <w:szCs w:val="22"/>
        </w:rPr>
      </w:pPr>
      <w:r w:rsidRPr="001E47AD">
        <w:rPr>
          <w:sz w:val="22"/>
          <w:szCs w:val="22"/>
        </w:rPr>
        <w:t xml:space="preserve">We </w:t>
      </w:r>
      <w:r w:rsidR="00AA7EF2" w:rsidRPr="001E47AD">
        <w:rPr>
          <w:sz w:val="22"/>
          <w:szCs w:val="22"/>
        </w:rPr>
        <w:t xml:space="preserve">then </w:t>
      </w:r>
      <w:r w:rsidRPr="001E47AD">
        <w:rPr>
          <w:sz w:val="22"/>
          <w:szCs w:val="22"/>
        </w:rPr>
        <w:t xml:space="preserve">show </w:t>
      </w:r>
      <w:r w:rsidR="000029C5" w:rsidRPr="001E47AD">
        <w:rPr>
          <w:sz w:val="22"/>
          <w:szCs w:val="22"/>
        </w:rPr>
        <w:t>how</w:t>
      </w:r>
      <w:r w:rsidRPr="001E47AD">
        <w:rPr>
          <w:sz w:val="22"/>
          <w:szCs w:val="22"/>
        </w:rPr>
        <w:t xml:space="preserve"> consumer stockpiling propensity </w:t>
      </w:r>
      <w:r w:rsidR="00681A15" w:rsidRPr="001E47AD">
        <w:rPr>
          <w:sz w:val="22"/>
          <w:szCs w:val="22"/>
        </w:rPr>
        <w:t xml:space="preserve">during the EARLY event period </w:t>
      </w:r>
      <w:r w:rsidRPr="001E47AD">
        <w:rPr>
          <w:noProof/>
          <w:sz w:val="22"/>
          <w:szCs w:val="22"/>
        </w:rPr>
        <w:t>is</w:t>
      </w:r>
      <w:r w:rsidR="000029C5" w:rsidRPr="001E47AD">
        <w:rPr>
          <w:noProof/>
          <w:sz w:val="22"/>
          <w:szCs w:val="22"/>
        </w:rPr>
        <w:t xml:space="preserve"> related to </w:t>
      </w:r>
      <w:r w:rsidR="009C7E7D" w:rsidRPr="001E47AD">
        <w:rPr>
          <w:noProof/>
          <w:sz w:val="22"/>
          <w:szCs w:val="22"/>
        </w:rPr>
        <w:t>in-store availability of bottled water</w:t>
      </w:r>
      <w:r w:rsidR="00996C28" w:rsidRPr="001E47AD">
        <w:rPr>
          <w:noProof/>
          <w:sz w:val="22"/>
          <w:szCs w:val="22"/>
        </w:rPr>
        <w:t xml:space="preserve"> du</w:t>
      </w:r>
      <w:r w:rsidR="00A90A71" w:rsidRPr="001E47AD">
        <w:rPr>
          <w:noProof/>
          <w:sz w:val="22"/>
          <w:szCs w:val="22"/>
        </w:rPr>
        <w:t>r</w:t>
      </w:r>
      <w:r w:rsidR="00996C28" w:rsidRPr="001E47AD">
        <w:rPr>
          <w:noProof/>
          <w:sz w:val="22"/>
          <w:szCs w:val="22"/>
        </w:rPr>
        <w:t>ing the LATE and POST event period</w:t>
      </w:r>
      <w:r w:rsidR="00CF1855" w:rsidRPr="001E47AD">
        <w:rPr>
          <w:noProof/>
          <w:sz w:val="22"/>
          <w:szCs w:val="22"/>
        </w:rPr>
        <w:t>s</w:t>
      </w:r>
      <w:r w:rsidR="00B02E79" w:rsidRPr="001E47AD">
        <w:rPr>
          <w:noProof/>
          <w:sz w:val="22"/>
          <w:szCs w:val="22"/>
        </w:rPr>
        <w:t xml:space="preserve">. </w:t>
      </w:r>
      <w:r w:rsidR="009C7E7D" w:rsidRPr="001E47AD">
        <w:rPr>
          <w:sz w:val="22"/>
          <w:szCs w:val="22"/>
        </w:rPr>
        <w:t>Given</w:t>
      </w:r>
      <w:r w:rsidRPr="001E47AD">
        <w:rPr>
          <w:sz w:val="22"/>
          <w:szCs w:val="22"/>
        </w:rPr>
        <w:t xml:space="preserve"> the </w:t>
      </w:r>
      <w:r w:rsidR="00A464C7" w:rsidRPr="001E47AD">
        <w:rPr>
          <w:sz w:val="22"/>
          <w:szCs w:val="22"/>
        </w:rPr>
        <w:t>time lag</w:t>
      </w:r>
      <w:r w:rsidRPr="001E47AD">
        <w:rPr>
          <w:sz w:val="22"/>
          <w:szCs w:val="22"/>
        </w:rPr>
        <w:t xml:space="preserve"> between</w:t>
      </w:r>
      <w:r w:rsidR="00BB4C11" w:rsidRPr="001E47AD">
        <w:rPr>
          <w:sz w:val="22"/>
          <w:szCs w:val="22"/>
        </w:rPr>
        <w:t xml:space="preserve"> </w:t>
      </w:r>
      <w:r w:rsidRPr="001E47AD">
        <w:rPr>
          <w:sz w:val="22"/>
          <w:szCs w:val="22"/>
        </w:rPr>
        <w:t>hurricane</w:t>
      </w:r>
      <w:r w:rsidR="00F21FE3" w:rsidRPr="001E47AD">
        <w:rPr>
          <w:sz w:val="22"/>
          <w:szCs w:val="22"/>
        </w:rPr>
        <w:t xml:space="preserve"> formation</w:t>
      </w:r>
      <w:r w:rsidRPr="001E47AD">
        <w:rPr>
          <w:sz w:val="22"/>
          <w:szCs w:val="22"/>
        </w:rPr>
        <w:t xml:space="preserve"> and landfall</w:t>
      </w:r>
      <w:r w:rsidR="009C7E7D" w:rsidRPr="001E47AD">
        <w:rPr>
          <w:sz w:val="22"/>
          <w:szCs w:val="22"/>
        </w:rPr>
        <w:t>,</w:t>
      </w:r>
      <w:r w:rsidRPr="001E47AD">
        <w:rPr>
          <w:sz w:val="22"/>
          <w:szCs w:val="22"/>
        </w:rPr>
        <w:t xml:space="preserve"> retailers </w:t>
      </w:r>
      <w:r w:rsidR="009C7E7D" w:rsidRPr="001E47AD">
        <w:rPr>
          <w:sz w:val="22"/>
          <w:szCs w:val="22"/>
        </w:rPr>
        <w:t>can</w:t>
      </w:r>
      <w:r w:rsidRPr="001E47AD">
        <w:rPr>
          <w:sz w:val="22"/>
          <w:szCs w:val="22"/>
        </w:rPr>
        <w:t xml:space="preserve"> pre-position inventory in potentially</w:t>
      </w:r>
      <w:r w:rsidR="009C7E7D" w:rsidRPr="001E47AD">
        <w:rPr>
          <w:sz w:val="22"/>
          <w:szCs w:val="22"/>
        </w:rPr>
        <w:t>-</w:t>
      </w:r>
      <w:r w:rsidRPr="001E47AD">
        <w:rPr>
          <w:sz w:val="22"/>
          <w:szCs w:val="22"/>
        </w:rPr>
        <w:t>affected markets</w:t>
      </w:r>
      <w:r w:rsidR="00185511" w:rsidRPr="001E47AD">
        <w:rPr>
          <w:sz w:val="22"/>
          <w:szCs w:val="22"/>
        </w:rPr>
        <w:t xml:space="preserve"> (Target 2018)</w:t>
      </w:r>
      <w:r w:rsidR="00B02E79" w:rsidRPr="001E47AD">
        <w:rPr>
          <w:sz w:val="22"/>
          <w:szCs w:val="22"/>
        </w:rPr>
        <w:t>;</w:t>
      </w:r>
      <w:r w:rsidRPr="001E47AD">
        <w:rPr>
          <w:sz w:val="22"/>
          <w:szCs w:val="22"/>
        </w:rPr>
        <w:t xml:space="preserve"> </w:t>
      </w:r>
      <w:r w:rsidR="00B02E79" w:rsidRPr="001E47AD">
        <w:rPr>
          <w:sz w:val="22"/>
          <w:szCs w:val="22"/>
        </w:rPr>
        <w:t>h</w:t>
      </w:r>
      <w:r w:rsidRPr="001E47AD">
        <w:rPr>
          <w:sz w:val="22"/>
          <w:szCs w:val="22"/>
        </w:rPr>
        <w:t xml:space="preserve">owever, </w:t>
      </w:r>
      <w:r w:rsidR="00D87E35" w:rsidRPr="001E47AD">
        <w:rPr>
          <w:sz w:val="22"/>
          <w:szCs w:val="22"/>
        </w:rPr>
        <w:t>consumer stockpiling propensity may have immediate and l</w:t>
      </w:r>
      <w:r w:rsidR="002D74B2" w:rsidRPr="001E47AD">
        <w:rPr>
          <w:sz w:val="22"/>
          <w:szCs w:val="22"/>
        </w:rPr>
        <w:t>onger-term</w:t>
      </w:r>
      <w:r w:rsidR="00D87E35" w:rsidRPr="001E47AD">
        <w:rPr>
          <w:sz w:val="22"/>
          <w:szCs w:val="22"/>
        </w:rPr>
        <w:t xml:space="preserve"> impact</w:t>
      </w:r>
      <w:r w:rsidR="002D74B2" w:rsidRPr="001E47AD">
        <w:rPr>
          <w:sz w:val="22"/>
          <w:szCs w:val="22"/>
        </w:rPr>
        <w:t>s</w:t>
      </w:r>
      <w:r w:rsidR="00D87E35" w:rsidRPr="001E47AD">
        <w:rPr>
          <w:sz w:val="22"/>
          <w:szCs w:val="22"/>
        </w:rPr>
        <w:t xml:space="preserve"> on in-store </w:t>
      </w:r>
      <w:r w:rsidR="005B5B54" w:rsidRPr="001E47AD">
        <w:rPr>
          <w:sz w:val="22"/>
          <w:szCs w:val="22"/>
        </w:rPr>
        <w:t>availability</w:t>
      </w:r>
      <w:r w:rsidR="00D87E35" w:rsidRPr="001E47AD">
        <w:rPr>
          <w:sz w:val="22"/>
          <w:szCs w:val="22"/>
        </w:rPr>
        <w:t xml:space="preserve"> </w:t>
      </w:r>
      <w:r w:rsidR="0055553D" w:rsidRPr="001E47AD">
        <w:rPr>
          <w:sz w:val="22"/>
          <w:szCs w:val="22"/>
        </w:rPr>
        <w:t>over</w:t>
      </w:r>
      <w:r w:rsidR="00D87E35" w:rsidRPr="001E47AD">
        <w:rPr>
          <w:sz w:val="22"/>
          <w:szCs w:val="22"/>
        </w:rPr>
        <w:t xml:space="preserve"> the course of hurricane events. For example, we find </w:t>
      </w:r>
      <w:r w:rsidR="00CF1855" w:rsidRPr="001E47AD">
        <w:rPr>
          <w:sz w:val="22"/>
          <w:szCs w:val="22"/>
        </w:rPr>
        <w:t xml:space="preserve">that </w:t>
      </w:r>
      <w:r w:rsidR="009C7E7D" w:rsidRPr="001E47AD">
        <w:rPr>
          <w:sz w:val="22"/>
          <w:szCs w:val="22"/>
        </w:rPr>
        <w:t>consumer stockpilin</w:t>
      </w:r>
      <w:r w:rsidR="00681A15" w:rsidRPr="001E47AD">
        <w:rPr>
          <w:sz w:val="22"/>
          <w:szCs w:val="22"/>
        </w:rPr>
        <w:t>g during the EARLY event period</w:t>
      </w:r>
      <w:r w:rsidR="009C7E7D" w:rsidRPr="001E47AD">
        <w:rPr>
          <w:sz w:val="22"/>
          <w:szCs w:val="22"/>
        </w:rPr>
        <w:t xml:space="preserve"> is </w:t>
      </w:r>
      <w:r w:rsidR="00D87E35" w:rsidRPr="001E47AD">
        <w:rPr>
          <w:sz w:val="22"/>
          <w:szCs w:val="22"/>
        </w:rPr>
        <w:t xml:space="preserve">negatively associated with in-store </w:t>
      </w:r>
      <w:r w:rsidR="009C7E7D" w:rsidRPr="001E47AD">
        <w:rPr>
          <w:sz w:val="22"/>
          <w:szCs w:val="22"/>
        </w:rPr>
        <w:t>product availability</w:t>
      </w:r>
      <w:r w:rsidR="00681A15" w:rsidRPr="001E47AD">
        <w:rPr>
          <w:sz w:val="22"/>
          <w:szCs w:val="22"/>
        </w:rPr>
        <w:t xml:space="preserve"> during the LATE </w:t>
      </w:r>
      <w:r w:rsidR="00421329" w:rsidRPr="001E47AD">
        <w:rPr>
          <w:sz w:val="22"/>
          <w:szCs w:val="22"/>
        </w:rPr>
        <w:t xml:space="preserve">event week </w:t>
      </w:r>
      <w:r w:rsidR="00681A15" w:rsidRPr="001E47AD">
        <w:rPr>
          <w:sz w:val="22"/>
          <w:szCs w:val="22"/>
        </w:rPr>
        <w:t xml:space="preserve">and </w:t>
      </w:r>
      <w:r w:rsidR="00421329" w:rsidRPr="001E47AD">
        <w:rPr>
          <w:sz w:val="22"/>
          <w:szCs w:val="22"/>
        </w:rPr>
        <w:t xml:space="preserve">the first </w:t>
      </w:r>
      <w:r w:rsidR="00681A15" w:rsidRPr="001E47AD">
        <w:rPr>
          <w:sz w:val="22"/>
          <w:szCs w:val="22"/>
        </w:rPr>
        <w:t xml:space="preserve">POST event </w:t>
      </w:r>
      <w:r w:rsidR="00421329" w:rsidRPr="001E47AD">
        <w:rPr>
          <w:sz w:val="22"/>
          <w:szCs w:val="22"/>
        </w:rPr>
        <w:t>week</w:t>
      </w:r>
      <w:r w:rsidR="009C7E7D" w:rsidRPr="001E47AD">
        <w:rPr>
          <w:sz w:val="22"/>
          <w:szCs w:val="22"/>
        </w:rPr>
        <w:t xml:space="preserve">, as the increased </w:t>
      </w:r>
      <w:r w:rsidR="009C7E7D" w:rsidRPr="001E47AD">
        <w:rPr>
          <w:noProof/>
          <w:sz w:val="22"/>
          <w:szCs w:val="22"/>
        </w:rPr>
        <w:t>stockpiling</w:t>
      </w:r>
      <w:r w:rsidR="009C7E7D" w:rsidRPr="001E47AD">
        <w:rPr>
          <w:sz w:val="22"/>
          <w:szCs w:val="22"/>
        </w:rPr>
        <w:t xml:space="preserve"> depletes bottled water inventories and supply chains </w:t>
      </w:r>
      <w:r w:rsidR="0021197E" w:rsidRPr="001E47AD">
        <w:rPr>
          <w:sz w:val="22"/>
          <w:szCs w:val="22"/>
        </w:rPr>
        <w:t>can be</w:t>
      </w:r>
      <w:r w:rsidR="009C7E7D" w:rsidRPr="001E47AD">
        <w:rPr>
          <w:sz w:val="22"/>
          <w:szCs w:val="22"/>
        </w:rPr>
        <w:t xml:space="preserve"> slow to recover inventory availability.</w:t>
      </w:r>
    </w:p>
    <w:p w14:paraId="25ED0E8A" w14:textId="77777777" w:rsidR="00E41EC0" w:rsidRPr="001E47AD" w:rsidRDefault="00E41EC0" w:rsidP="00DE36A0">
      <w:pPr>
        <w:spacing w:before="120" w:after="120" w:line="480" w:lineRule="auto"/>
        <w:ind w:firstLine="720"/>
        <w:contextualSpacing/>
        <w:jc w:val="both"/>
        <w:rPr>
          <w:sz w:val="22"/>
          <w:szCs w:val="22"/>
          <w:lang w:eastAsia="zh-CN"/>
        </w:rPr>
      </w:pPr>
      <w:r w:rsidRPr="001E47AD">
        <w:rPr>
          <w:sz w:val="22"/>
          <w:szCs w:val="22"/>
        </w:rPr>
        <w:t xml:space="preserve">Interestingly, consumer stockpiling propensity and in-store product availability </w:t>
      </w:r>
      <w:r w:rsidRPr="001E47AD">
        <w:rPr>
          <w:noProof/>
          <w:sz w:val="22"/>
          <w:szCs w:val="22"/>
        </w:rPr>
        <w:t>vary</w:t>
      </w:r>
      <w:r w:rsidRPr="001E47AD">
        <w:rPr>
          <w:sz w:val="22"/>
          <w:szCs w:val="22"/>
        </w:rPr>
        <w:t xml:space="preserve"> </w:t>
      </w:r>
      <w:r w:rsidR="009C7E7D" w:rsidRPr="001E47AD">
        <w:rPr>
          <w:sz w:val="22"/>
          <w:szCs w:val="22"/>
        </w:rPr>
        <w:t xml:space="preserve">significantly </w:t>
      </w:r>
      <w:r w:rsidRPr="001E47AD">
        <w:rPr>
          <w:sz w:val="22"/>
          <w:szCs w:val="22"/>
        </w:rPr>
        <w:t xml:space="preserve">across retail formats </w:t>
      </w:r>
      <w:r w:rsidRPr="001E47AD">
        <w:rPr>
          <w:noProof/>
          <w:sz w:val="22"/>
          <w:szCs w:val="22"/>
        </w:rPr>
        <w:t>over the course of</w:t>
      </w:r>
      <w:r w:rsidR="00B53840" w:rsidRPr="001E47AD">
        <w:rPr>
          <w:sz w:val="22"/>
          <w:szCs w:val="22"/>
        </w:rPr>
        <w:t xml:space="preserve"> a</w:t>
      </w:r>
      <w:r w:rsidR="00AF310B" w:rsidRPr="001E47AD">
        <w:rPr>
          <w:sz w:val="22"/>
          <w:szCs w:val="22"/>
        </w:rPr>
        <w:t xml:space="preserve"> hurricane</w:t>
      </w:r>
      <w:r w:rsidRPr="001E47AD">
        <w:rPr>
          <w:sz w:val="22"/>
          <w:szCs w:val="22"/>
        </w:rPr>
        <w:t xml:space="preserve">. </w:t>
      </w:r>
      <w:r w:rsidR="003616BE" w:rsidRPr="001E47AD">
        <w:rPr>
          <w:sz w:val="22"/>
          <w:szCs w:val="22"/>
        </w:rPr>
        <w:t xml:space="preserve">For example, </w:t>
      </w:r>
      <w:r w:rsidR="00AF310B" w:rsidRPr="001E47AD">
        <w:rPr>
          <w:sz w:val="22"/>
          <w:szCs w:val="22"/>
        </w:rPr>
        <w:t>drug</w:t>
      </w:r>
      <w:r w:rsidR="00AC359C" w:rsidRPr="001E47AD">
        <w:rPr>
          <w:sz w:val="22"/>
          <w:szCs w:val="22"/>
        </w:rPr>
        <w:t xml:space="preserve"> </w:t>
      </w:r>
      <w:r w:rsidR="00AF310B" w:rsidRPr="001E47AD">
        <w:rPr>
          <w:sz w:val="22"/>
          <w:szCs w:val="22"/>
        </w:rPr>
        <w:t xml:space="preserve">stores </w:t>
      </w:r>
      <w:r w:rsidR="004D4D1F" w:rsidRPr="001E47AD">
        <w:rPr>
          <w:noProof/>
          <w:sz w:val="22"/>
          <w:szCs w:val="22"/>
        </w:rPr>
        <w:t>provide</w:t>
      </w:r>
      <w:r w:rsidRPr="001E47AD">
        <w:rPr>
          <w:sz w:val="22"/>
          <w:szCs w:val="22"/>
        </w:rPr>
        <w:t xml:space="preserve"> a combination of critical products for hurricane preparedness</w:t>
      </w:r>
      <w:r w:rsidR="00D15474" w:rsidRPr="001E47AD">
        <w:rPr>
          <w:sz w:val="22"/>
          <w:szCs w:val="22"/>
        </w:rPr>
        <w:t>,</w:t>
      </w:r>
      <w:r w:rsidRPr="001E47AD">
        <w:rPr>
          <w:sz w:val="22"/>
          <w:szCs w:val="22"/>
        </w:rPr>
        <w:t xml:space="preserve"> such as emergency kits, prescription drugs, and bottled </w:t>
      </w:r>
      <w:r w:rsidR="00E94A1C" w:rsidRPr="001E47AD">
        <w:rPr>
          <w:sz w:val="22"/>
          <w:szCs w:val="22"/>
        </w:rPr>
        <w:t>water</w:t>
      </w:r>
      <w:r w:rsidR="00B0369E" w:rsidRPr="001E47AD">
        <w:rPr>
          <w:sz w:val="22"/>
          <w:szCs w:val="22"/>
        </w:rPr>
        <w:t>.</w:t>
      </w:r>
      <w:r w:rsidRPr="001E47AD">
        <w:rPr>
          <w:sz w:val="22"/>
          <w:szCs w:val="22"/>
        </w:rPr>
        <w:t xml:space="preserve"> </w:t>
      </w:r>
      <w:r w:rsidR="00B0369E" w:rsidRPr="001E47AD">
        <w:rPr>
          <w:sz w:val="22"/>
          <w:szCs w:val="22"/>
        </w:rPr>
        <w:t>T</w:t>
      </w:r>
      <w:r w:rsidR="00AF310B" w:rsidRPr="001E47AD">
        <w:rPr>
          <w:sz w:val="22"/>
          <w:szCs w:val="22"/>
        </w:rPr>
        <w:t>hey</w:t>
      </w:r>
      <w:r w:rsidRPr="001E47AD">
        <w:rPr>
          <w:sz w:val="22"/>
          <w:szCs w:val="22"/>
        </w:rPr>
        <w:t xml:space="preserve"> </w:t>
      </w:r>
      <w:r w:rsidRPr="001E47AD">
        <w:rPr>
          <w:noProof/>
          <w:sz w:val="22"/>
          <w:szCs w:val="22"/>
        </w:rPr>
        <w:t>are associated</w:t>
      </w:r>
      <w:r w:rsidRPr="001E47AD">
        <w:rPr>
          <w:sz w:val="22"/>
          <w:szCs w:val="22"/>
        </w:rPr>
        <w:t xml:space="preserve"> with the highest consumer stockpiling propensity during the EARLY event period. Moreover, we find that retail formats with quick restoration capabilit</w:t>
      </w:r>
      <w:r w:rsidR="009C7E7D" w:rsidRPr="001E47AD">
        <w:rPr>
          <w:sz w:val="22"/>
          <w:szCs w:val="22"/>
        </w:rPr>
        <w:t>ies</w:t>
      </w:r>
      <w:r w:rsidRPr="001E47AD">
        <w:rPr>
          <w:sz w:val="22"/>
          <w:szCs w:val="22"/>
        </w:rPr>
        <w:t xml:space="preserve"> </w:t>
      </w:r>
      <w:r w:rsidR="00057636" w:rsidRPr="001E47AD">
        <w:rPr>
          <w:sz w:val="22"/>
          <w:szCs w:val="22"/>
        </w:rPr>
        <w:t xml:space="preserve">(as measured by their </w:t>
      </w:r>
      <w:r w:rsidR="00660497" w:rsidRPr="001E47AD">
        <w:rPr>
          <w:sz w:val="22"/>
          <w:szCs w:val="22"/>
        </w:rPr>
        <w:t xml:space="preserve">fast </w:t>
      </w:r>
      <w:r w:rsidR="00660497" w:rsidRPr="001E47AD">
        <w:rPr>
          <w:sz w:val="22"/>
          <w:szCs w:val="22"/>
        </w:rPr>
        <w:lastRenderedPageBreak/>
        <w:t>inventory turno</w:t>
      </w:r>
      <w:r w:rsidR="00D40D30" w:rsidRPr="001E47AD">
        <w:rPr>
          <w:sz w:val="22"/>
          <w:szCs w:val="22"/>
        </w:rPr>
        <w:t xml:space="preserve">ver and </w:t>
      </w:r>
      <w:r w:rsidR="00D40D30" w:rsidRPr="001E47AD">
        <w:rPr>
          <w:noProof/>
          <w:sz w:val="22"/>
          <w:szCs w:val="22"/>
        </w:rPr>
        <w:t>short</w:t>
      </w:r>
      <w:r w:rsidR="00D40D30" w:rsidRPr="001E47AD">
        <w:rPr>
          <w:sz w:val="22"/>
          <w:szCs w:val="22"/>
        </w:rPr>
        <w:t xml:space="preserve"> inventory processing</w:t>
      </w:r>
      <w:r w:rsidR="00660497" w:rsidRPr="001E47AD">
        <w:rPr>
          <w:sz w:val="22"/>
          <w:szCs w:val="22"/>
        </w:rPr>
        <w:t xml:space="preserve"> period</w:t>
      </w:r>
      <w:r w:rsidR="009C7E7D" w:rsidRPr="001E47AD">
        <w:rPr>
          <w:sz w:val="22"/>
          <w:szCs w:val="22"/>
        </w:rPr>
        <w:t>s</w:t>
      </w:r>
      <w:r w:rsidR="00057636" w:rsidRPr="001E47AD">
        <w:rPr>
          <w:sz w:val="22"/>
          <w:szCs w:val="22"/>
        </w:rPr>
        <w:t>)</w:t>
      </w:r>
      <w:r w:rsidR="00660497" w:rsidRPr="001E47AD">
        <w:rPr>
          <w:sz w:val="22"/>
          <w:szCs w:val="22"/>
        </w:rPr>
        <w:t xml:space="preserve"> </w:t>
      </w:r>
      <w:r w:rsidRPr="001E47AD">
        <w:rPr>
          <w:sz w:val="22"/>
          <w:szCs w:val="22"/>
        </w:rPr>
        <w:t xml:space="preserve">are likely to achieve superior performance </w:t>
      </w:r>
      <w:r w:rsidR="00574190" w:rsidRPr="001E47AD">
        <w:rPr>
          <w:sz w:val="22"/>
          <w:szCs w:val="22"/>
        </w:rPr>
        <w:t xml:space="preserve">in </w:t>
      </w:r>
      <w:r w:rsidRPr="001E47AD">
        <w:rPr>
          <w:sz w:val="22"/>
          <w:szCs w:val="22"/>
        </w:rPr>
        <w:t xml:space="preserve">product availability </w:t>
      </w:r>
      <w:r w:rsidRPr="001E47AD">
        <w:rPr>
          <w:noProof/>
          <w:sz w:val="22"/>
          <w:szCs w:val="22"/>
        </w:rPr>
        <w:t>over the course of</w:t>
      </w:r>
      <w:r w:rsidRPr="001E47AD">
        <w:rPr>
          <w:sz w:val="22"/>
          <w:szCs w:val="22"/>
        </w:rPr>
        <w:t xml:space="preserve"> hurricane events. For instance, grocery stores </w:t>
      </w:r>
      <w:r w:rsidR="00B02E79" w:rsidRPr="001E47AD">
        <w:rPr>
          <w:sz w:val="22"/>
          <w:szCs w:val="22"/>
        </w:rPr>
        <w:t>and</w:t>
      </w:r>
      <w:r w:rsidR="003616BE" w:rsidRPr="001E47AD">
        <w:rPr>
          <w:sz w:val="22"/>
          <w:szCs w:val="22"/>
        </w:rPr>
        <w:t xml:space="preserve"> warehouse clubs</w:t>
      </w:r>
      <w:r w:rsidR="00F323C2" w:rsidRPr="001E47AD">
        <w:rPr>
          <w:sz w:val="22"/>
          <w:szCs w:val="22"/>
        </w:rPr>
        <w:t xml:space="preserve"> have</w:t>
      </w:r>
      <w:r w:rsidR="003616BE" w:rsidRPr="001E47AD">
        <w:rPr>
          <w:sz w:val="22"/>
          <w:szCs w:val="22"/>
        </w:rPr>
        <w:t xml:space="preserve"> </w:t>
      </w:r>
      <w:r w:rsidRPr="001E47AD">
        <w:rPr>
          <w:sz w:val="22"/>
          <w:szCs w:val="22"/>
        </w:rPr>
        <w:t xml:space="preserve">consistently higher in-store product availability during the LATE and </w:t>
      </w:r>
      <w:r w:rsidRPr="001E47AD">
        <w:rPr>
          <w:noProof/>
          <w:sz w:val="22"/>
          <w:szCs w:val="22"/>
        </w:rPr>
        <w:t>the POST</w:t>
      </w:r>
      <w:r w:rsidRPr="001E47AD">
        <w:rPr>
          <w:sz w:val="22"/>
          <w:szCs w:val="22"/>
        </w:rPr>
        <w:t xml:space="preserve"> event periods. In contrast, low-cost oriented retail chains</w:t>
      </w:r>
      <w:r w:rsidR="00F323C2" w:rsidRPr="001E47AD">
        <w:rPr>
          <w:sz w:val="22"/>
          <w:szCs w:val="22"/>
        </w:rPr>
        <w:t>,</w:t>
      </w:r>
      <w:r w:rsidRPr="001E47AD">
        <w:rPr>
          <w:sz w:val="22"/>
          <w:szCs w:val="22"/>
        </w:rPr>
        <w:t xml:space="preserve"> such as </w:t>
      </w:r>
      <w:r w:rsidRPr="001E47AD">
        <w:rPr>
          <w:rFonts w:eastAsia="Times New Roman"/>
          <w:sz w:val="22"/>
          <w:szCs w:val="22"/>
        </w:rPr>
        <w:t>discount stores and dollar stores</w:t>
      </w:r>
      <w:r w:rsidR="00F323C2" w:rsidRPr="001E47AD">
        <w:rPr>
          <w:rFonts w:eastAsia="Times New Roman"/>
          <w:sz w:val="22"/>
          <w:szCs w:val="22"/>
        </w:rPr>
        <w:t>,</w:t>
      </w:r>
      <w:r w:rsidRPr="001E47AD">
        <w:rPr>
          <w:rFonts w:eastAsia="Times New Roman"/>
          <w:sz w:val="22"/>
          <w:szCs w:val="22"/>
        </w:rPr>
        <w:t xml:space="preserve"> </w:t>
      </w:r>
      <w:r w:rsidRPr="001E47AD">
        <w:rPr>
          <w:rFonts w:eastAsia="Times New Roman"/>
          <w:noProof/>
          <w:sz w:val="22"/>
          <w:szCs w:val="22"/>
        </w:rPr>
        <w:t>are associated</w:t>
      </w:r>
      <w:r w:rsidRPr="001E47AD">
        <w:rPr>
          <w:rFonts w:eastAsia="Times New Roman"/>
          <w:sz w:val="22"/>
          <w:szCs w:val="22"/>
        </w:rPr>
        <w:t xml:space="preserve"> with relatively lower in-store product</w:t>
      </w:r>
      <w:r w:rsidR="00B02E79" w:rsidRPr="001E47AD">
        <w:rPr>
          <w:rFonts w:eastAsia="Times New Roman"/>
          <w:sz w:val="22"/>
          <w:szCs w:val="22"/>
        </w:rPr>
        <w:t xml:space="preserve"> availability during </w:t>
      </w:r>
      <w:r w:rsidRPr="001E47AD">
        <w:rPr>
          <w:rFonts w:eastAsia="Times New Roman"/>
          <w:sz w:val="22"/>
          <w:szCs w:val="22"/>
        </w:rPr>
        <w:t>the LATE and the POST event periods.</w:t>
      </w:r>
      <w:r w:rsidR="00FC586B" w:rsidRPr="001E47AD">
        <w:rPr>
          <w:sz w:val="22"/>
          <w:szCs w:val="22"/>
          <w:lang w:eastAsia="zh-CN"/>
        </w:rPr>
        <w:t xml:space="preserve"> The results imply that store format may relate to </w:t>
      </w:r>
      <w:r w:rsidR="00FD3E42" w:rsidRPr="001E47AD">
        <w:rPr>
          <w:sz w:val="22"/>
          <w:szCs w:val="22"/>
          <w:lang w:eastAsia="zh-CN"/>
        </w:rPr>
        <w:t xml:space="preserve">a </w:t>
      </w:r>
      <w:r w:rsidR="00FC586B" w:rsidRPr="001E47AD">
        <w:rPr>
          <w:sz w:val="22"/>
          <w:szCs w:val="22"/>
          <w:lang w:eastAsia="zh-CN"/>
        </w:rPr>
        <w:t>retailer’</w:t>
      </w:r>
      <w:r w:rsidR="00FD3E42" w:rsidRPr="001E47AD">
        <w:rPr>
          <w:sz w:val="22"/>
          <w:szCs w:val="22"/>
          <w:lang w:eastAsia="zh-CN"/>
        </w:rPr>
        <w:t>s</w:t>
      </w:r>
      <w:r w:rsidR="00FC586B" w:rsidRPr="001E47AD">
        <w:rPr>
          <w:sz w:val="22"/>
          <w:szCs w:val="22"/>
          <w:lang w:eastAsia="zh-CN"/>
        </w:rPr>
        <w:t xml:space="preserve"> strateg</w:t>
      </w:r>
      <w:r w:rsidR="00FD3E42" w:rsidRPr="001E47AD">
        <w:rPr>
          <w:sz w:val="22"/>
          <w:szCs w:val="22"/>
          <w:lang w:eastAsia="zh-CN"/>
        </w:rPr>
        <w:t>y</w:t>
      </w:r>
      <w:r w:rsidR="00FC586B" w:rsidRPr="001E47AD">
        <w:rPr>
          <w:sz w:val="22"/>
          <w:szCs w:val="22"/>
          <w:lang w:eastAsia="zh-CN"/>
        </w:rPr>
        <w:t xml:space="preserve"> in disaster preparedness</w:t>
      </w:r>
      <w:r w:rsidR="00FD3E42" w:rsidRPr="001E47AD">
        <w:rPr>
          <w:sz w:val="22"/>
          <w:szCs w:val="22"/>
          <w:lang w:eastAsia="zh-CN"/>
        </w:rPr>
        <w:t>,</w:t>
      </w:r>
      <w:r w:rsidR="00FC586B" w:rsidRPr="001E47AD">
        <w:rPr>
          <w:sz w:val="22"/>
          <w:szCs w:val="22"/>
          <w:lang w:eastAsia="zh-CN"/>
        </w:rPr>
        <w:t xml:space="preserve"> such as prepositioning inventory and investing in disaster management capabilities (Kunz et al. 2014).</w:t>
      </w:r>
    </w:p>
    <w:p w14:paraId="12537D62" w14:textId="207ADE82" w:rsidR="00790747" w:rsidRPr="001E47AD" w:rsidRDefault="00CC68E8" w:rsidP="00DE36A0">
      <w:pPr>
        <w:spacing w:before="120" w:after="120" w:line="480" w:lineRule="auto"/>
        <w:ind w:firstLine="720"/>
        <w:contextualSpacing/>
        <w:jc w:val="both"/>
        <w:rPr>
          <w:sz w:val="22"/>
          <w:szCs w:val="22"/>
          <w:lang w:eastAsia="zh-CN"/>
        </w:rPr>
      </w:pPr>
      <w:r w:rsidRPr="001E47AD">
        <w:rPr>
          <w:sz w:val="22"/>
          <w:szCs w:val="22"/>
          <w:lang w:eastAsia="zh-CN"/>
        </w:rPr>
        <w:t>B</w:t>
      </w:r>
      <w:r w:rsidR="00EF42FA" w:rsidRPr="001E47AD">
        <w:rPr>
          <w:sz w:val="22"/>
          <w:szCs w:val="22"/>
          <w:lang w:eastAsia="zh-CN"/>
        </w:rPr>
        <w:t xml:space="preserve">oth </w:t>
      </w:r>
      <w:r w:rsidR="003A380D" w:rsidRPr="001E47AD">
        <w:rPr>
          <w:sz w:val="22"/>
          <w:szCs w:val="22"/>
          <w:lang w:eastAsia="zh-CN"/>
        </w:rPr>
        <w:t>r</w:t>
      </w:r>
      <w:r w:rsidR="003675C2" w:rsidRPr="001E47AD">
        <w:rPr>
          <w:sz w:val="22"/>
          <w:szCs w:val="22"/>
          <w:lang w:eastAsia="zh-CN"/>
        </w:rPr>
        <w:t xml:space="preserve">etailers </w:t>
      </w:r>
      <w:r w:rsidR="00CE10F6" w:rsidRPr="001E47AD">
        <w:rPr>
          <w:sz w:val="22"/>
          <w:szCs w:val="22"/>
          <w:lang w:eastAsia="zh-CN"/>
        </w:rPr>
        <w:t xml:space="preserve">and local governments </w:t>
      </w:r>
      <w:r w:rsidR="004C7542" w:rsidRPr="001E47AD">
        <w:rPr>
          <w:sz w:val="22"/>
          <w:szCs w:val="22"/>
          <w:lang w:eastAsia="zh-CN"/>
        </w:rPr>
        <w:t xml:space="preserve">have to face </w:t>
      </w:r>
      <w:r w:rsidR="00356163" w:rsidRPr="001E47AD">
        <w:rPr>
          <w:sz w:val="22"/>
          <w:szCs w:val="22"/>
          <w:lang w:eastAsia="zh-CN"/>
        </w:rPr>
        <w:t xml:space="preserve">challenges caused by consumer stockpiling when a hurricane hits. Therefore, </w:t>
      </w:r>
      <w:r w:rsidR="00426635" w:rsidRPr="001E47AD">
        <w:rPr>
          <w:rFonts w:hint="eastAsia"/>
          <w:sz w:val="22"/>
          <w:szCs w:val="22"/>
          <w:lang w:eastAsia="zh-CN"/>
        </w:rPr>
        <w:t xml:space="preserve">it is critical </w:t>
      </w:r>
      <w:r w:rsidR="00EF42FA" w:rsidRPr="001E47AD">
        <w:rPr>
          <w:sz w:val="22"/>
          <w:szCs w:val="22"/>
          <w:lang w:eastAsia="zh-CN"/>
        </w:rPr>
        <w:t xml:space="preserve">they </w:t>
      </w:r>
      <w:r w:rsidR="003675C2" w:rsidRPr="001E47AD">
        <w:rPr>
          <w:sz w:val="22"/>
          <w:szCs w:val="22"/>
          <w:lang w:eastAsia="zh-CN"/>
        </w:rPr>
        <w:t xml:space="preserve">understand </w:t>
      </w:r>
      <w:r w:rsidR="003675C2" w:rsidRPr="001E47AD">
        <w:rPr>
          <w:rFonts w:hint="eastAsia"/>
          <w:sz w:val="22"/>
          <w:szCs w:val="22"/>
          <w:lang w:eastAsia="zh-CN"/>
        </w:rPr>
        <w:t>the</w:t>
      </w:r>
      <w:r w:rsidR="003675C2" w:rsidRPr="001E47AD">
        <w:rPr>
          <w:sz w:val="22"/>
          <w:szCs w:val="22"/>
          <w:lang w:eastAsia="zh-CN"/>
        </w:rPr>
        <w:t xml:space="preserve"> </w:t>
      </w:r>
      <w:r w:rsidR="003675C2" w:rsidRPr="001E47AD">
        <w:rPr>
          <w:rFonts w:hint="eastAsia"/>
          <w:sz w:val="22"/>
          <w:szCs w:val="22"/>
          <w:lang w:eastAsia="zh-CN"/>
        </w:rPr>
        <w:t xml:space="preserve">impacts of </w:t>
      </w:r>
      <w:r w:rsidR="003675C2" w:rsidRPr="001E47AD">
        <w:rPr>
          <w:sz w:val="22"/>
          <w:szCs w:val="22"/>
          <w:lang w:eastAsia="zh-CN"/>
        </w:rPr>
        <w:t xml:space="preserve">supply-side, demand-side, and disaster characteristics </w:t>
      </w:r>
      <w:r w:rsidR="003675C2" w:rsidRPr="001E47AD">
        <w:rPr>
          <w:rFonts w:hint="eastAsia"/>
          <w:sz w:val="22"/>
          <w:szCs w:val="22"/>
          <w:lang w:eastAsia="zh-CN"/>
        </w:rPr>
        <w:t>on</w:t>
      </w:r>
      <w:r w:rsidR="003675C2" w:rsidRPr="001E47AD">
        <w:rPr>
          <w:sz w:val="22"/>
          <w:szCs w:val="22"/>
          <w:lang w:eastAsia="zh-CN"/>
        </w:rPr>
        <w:t xml:space="preserve"> consumer stockpiling behavior.</w:t>
      </w:r>
      <w:r w:rsidR="003675C2" w:rsidRPr="001E47AD">
        <w:rPr>
          <w:rFonts w:hint="eastAsia"/>
          <w:sz w:val="22"/>
          <w:szCs w:val="22"/>
          <w:lang w:eastAsia="zh-CN"/>
        </w:rPr>
        <w:t xml:space="preserve"> </w:t>
      </w:r>
      <w:r w:rsidR="00A50F36" w:rsidRPr="001E47AD">
        <w:rPr>
          <w:sz w:val="22"/>
          <w:szCs w:val="22"/>
          <w:lang w:eastAsia="zh-CN"/>
        </w:rPr>
        <w:t>Policy</w:t>
      </w:r>
      <w:r w:rsidR="00B82049" w:rsidRPr="001E47AD">
        <w:rPr>
          <w:sz w:val="22"/>
          <w:szCs w:val="22"/>
          <w:lang w:eastAsia="zh-CN"/>
        </w:rPr>
        <w:t xml:space="preserve">makers may be able to influence both the supply and demand for critical supplies through public announcements and advisories, thereby altering stockpiling behavior </w:t>
      </w:r>
      <w:r w:rsidR="00A90A71" w:rsidRPr="001E47AD">
        <w:rPr>
          <w:sz w:val="22"/>
          <w:szCs w:val="22"/>
          <w:lang w:eastAsia="zh-CN"/>
        </w:rPr>
        <w:t xml:space="preserve">and </w:t>
      </w:r>
      <w:r w:rsidR="00B82049" w:rsidRPr="001E47AD">
        <w:rPr>
          <w:sz w:val="22"/>
          <w:szCs w:val="22"/>
          <w:lang w:eastAsia="zh-CN"/>
        </w:rPr>
        <w:t xml:space="preserve">retail </w:t>
      </w:r>
      <w:r w:rsidR="00A90A71" w:rsidRPr="001E47AD">
        <w:rPr>
          <w:sz w:val="22"/>
          <w:szCs w:val="22"/>
          <w:lang w:eastAsia="zh-CN"/>
        </w:rPr>
        <w:t>prepositioning</w:t>
      </w:r>
      <w:r w:rsidR="00B82049" w:rsidRPr="001E47AD">
        <w:rPr>
          <w:sz w:val="22"/>
          <w:szCs w:val="22"/>
          <w:lang w:eastAsia="zh-CN"/>
        </w:rPr>
        <w:t xml:space="preserve"> behavior. Moreover,</w:t>
      </w:r>
      <w:r w:rsidR="00790747" w:rsidRPr="001E47AD">
        <w:rPr>
          <w:rFonts w:hint="eastAsia"/>
          <w:sz w:val="22"/>
          <w:szCs w:val="22"/>
          <w:lang w:eastAsia="zh-CN"/>
        </w:rPr>
        <w:t xml:space="preserve"> </w:t>
      </w:r>
      <w:r w:rsidR="00B82049" w:rsidRPr="001E47AD">
        <w:rPr>
          <w:sz w:val="22"/>
          <w:szCs w:val="22"/>
          <w:lang w:eastAsia="zh-CN"/>
        </w:rPr>
        <w:t>supply chain</w:t>
      </w:r>
      <w:r w:rsidRPr="001E47AD">
        <w:rPr>
          <w:sz w:val="22"/>
          <w:szCs w:val="22"/>
          <w:lang w:eastAsia="zh-CN"/>
        </w:rPr>
        <w:t xml:space="preserve"> managers </w:t>
      </w:r>
      <w:r w:rsidR="00790747" w:rsidRPr="001E47AD">
        <w:rPr>
          <w:sz w:val="22"/>
          <w:szCs w:val="22"/>
          <w:lang w:eastAsia="zh-CN"/>
        </w:rPr>
        <w:t>should</w:t>
      </w:r>
      <w:r w:rsidR="00790747" w:rsidRPr="001E47AD">
        <w:rPr>
          <w:rFonts w:hint="eastAsia"/>
          <w:sz w:val="22"/>
          <w:szCs w:val="22"/>
          <w:lang w:eastAsia="zh-CN"/>
        </w:rPr>
        <w:t xml:space="preserve"> </w:t>
      </w:r>
      <w:r w:rsidR="00790747" w:rsidRPr="001E47AD">
        <w:rPr>
          <w:sz w:val="22"/>
          <w:szCs w:val="22"/>
          <w:lang w:eastAsia="zh-CN"/>
        </w:rPr>
        <w:t>focus on</w:t>
      </w:r>
      <w:r w:rsidR="00790747" w:rsidRPr="001E47AD">
        <w:rPr>
          <w:rFonts w:hint="eastAsia"/>
          <w:sz w:val="22"/>
          <w:szCs w:val="22"/>
          <w:lang w:eastAsia="zh-CN"/>
        </w:rPr>
        <w:t xml:space="preserve"> the</w:t>
      </w:r>
      <w:r w:rsidR="00790747" w:rsidRPr="001E47AD">
        <w:rPr>
          <w:sz w:val="22"/>
          <w:szCs w:val="22"/>
          <w:lang w:eastAsia="zh-CN"/>
        </w:rPr>
        <w:t xml:space="preserve"> disaster-related fa</w:t>
      </w:r>
      <w:r w:rsidR="003675C2" w:rsidRPr="001E47AD">
        <w:rPr>
          <w:sz w:val="22"/>
          <w:szCs w:val="22"/>
          <w:lang w:eastAsia="zh-CN"/>
        </w:rPr>
        <w:t>ctors</w:t>
      </w:r>
      <w:r w:rsidR="00790747" w:rsidRPr="001E47AD">
        <w:rPr>
          <w:sz w:val="22"/>
          <w:szCs w:val="22"/>
          <w:lang w:eastAsia="zh-CN"/>
        </w:rPr>
        <w:t>,</w:t>
      </w:r>
      <w:r w:rsidR="00790747" w:rsidRPr="001E47AD">
        <w:rPr>
          <w:rFonts w:hint="eastAsia"/>
          <w:sz w:val="22"/>
          <w:szCs w:val="22"/>
          <w:lang w:eastAsia="zh-CN"/>
        </w:rPr>
        <w:t xml:space="preserve"> as the</w:t>
      </w:r>
      <w:r w:rsidR="00B82049" w:rsidRPr="001E47AD">
        <w:rPr>
          <w:sz w:val="22"/>
          <w:szCs w:val="22"/>
          <w:lang w:eastAsia="zh-CN"/>
        </w:rPr>
        <w:t>y will be key determinants of stockpiling propensity</w:t>
      </w:r>
      <w:r w:rsidR="00366054" w:rsidRPr="001E47AD">
        <w:rPr>
          <w:sz w:val="22"/>
          <w:szCs w:val="22"/>
          <w:lang w:eastAsia="zh-CN"/>
        </w:rPr>
        <w:t>. Specifically, w</w:t>
      </w:r>
      <w:r w:rsidR="001D6B9D" w:rsidRPr="001E47AD">
        <w:rPr>
          <w:sz w:val="22"/>
          <w:szCs w:val="22"/>
        </w:rPr>
        <w:t xml:space="preserve">e propose that </w:t>
      </w:r>
      <w:r w:rsidR="001D6B9D" w:rsidRPr="001E47AD">
        <w:rPr>
          <w:sz w:val="22"/>
          <w:szCs w:val="22"/>
          <w:lang w:eastAsia="zh-CN"/>
        </w:rPr>
        <w:t xml:space="preserve">collaboration </w:t>
      </w:r>
      <w:r w:rsidR="00B82049" w:rsidRPr="001E47AD">
        <w:rPr>
          <w:sz w:val="22"/>
          <w:szCs w:val="22"/>
          <w:lang w:eastAsia="zh-CN"/>
        </w:rPr>
        <w:t>among</w:t>
      </w:r>
      <w:r w:rsidR="001D6B9D" w:rsidRPr="001E47AD">
        <w:rPr>
          <w:sz w:val="22"/>
          <w:szCs w:val="22"/>
          <w:lang w:eastAsia="zh-CN"/>
        </w:rPr>
        <w:t xml:space="preserve"> hurricane meteorologists, </w:t>
      </w:r>
      <w:r w:rsidR="00B82049" w:rsidRPr="001E47AD">
        <w:rPr>
          <w:sz w:val="22"/>
          <w:szCs w:val="22"/>
          <w:lang w:eastAsia="zh-CN"/>
        </w:rPr>
        <w:t xml:space="preserve">local, state, and </w:t>
      </w:r>
      <w:r w:rsidR="00D256F4" w:rsidRPr="001E47AD">
        <w:rPr>
          <w:sz w:val="22"/>
          <w:szCs w:val="22"/>
          <w:lang w:eastAsia="zh-CN"/>
        </w:rPr>
        <w:t xml:space="preserve">federal </w:t>
      </w:r>
      <w:r w:rsidR="001D6B9D" w:rsidRPr="001E47AD">
        <w:rPr>
          <w:sz w:val="22"/>
          <w:szCs w:val="22"/>
          <w:lang w:eastAsia="zh-CN"/>
        </w:rPr>
        <w:t>government officials,</w:t>
      </w:r>
      <w:r w:rsidR="00B82049" w:rsidRPr="001E47AD">
        <w:rPr>
          <w:sz w:val="22"/>
          <w:szCs w:val="22"/>
          <w:lang w:eastAsia="zh-CN"/>
        </w:rPr>
        <w:t xml:space="preserve"> emergency-response organizations and</w:t>
      </w:r>
      <w:r w:rsidR="001D6B9D" w:rsidRPr="001E47AD">
        <w:rPr>
          <w:sz w:val="22"/>
          <w:szCs w:val="22"/>
          <w:lang w:eastAsia="zh-CN"/>
        </w:rPr>
        <w:t xml:space="preserve"> retail managers </w:t>
      </w:r>
      <w:r w:rsidR="00A90A71" w:rsidRPr="001E47AD">
        <w:rPr>
          <w:sz w:val="22"/>
          <w:szCs w:val="22"/>
          <w:lang w:eastAsia="zh-CN"/>
        </w:rPr>
        <w:t>can</w:t>
      </w:r>
      <w:r w:rsidR="001D6B9D" w:rsidRPr="001E47AD">
        <w:rPr>
          <w:sz w:val="22"/>
          <w:szCs w:val="22"/>
          <w:lang w:eastAsia="zh-CN"/>
        </w:rPr>
        <w:t xml:space="preserve"> allow for better </w:t>
      </w:r>
      <w:r w:rsidR="00D256F4" w:rsidRPr="001E47AD">
        <w:rPr>
          <w:sz w:val="22"/>
          <w:szCs w:val="22"/>
          <w:lang w:eastAsia="zh-CN"/>
        </w:rPr>
        <w:t>alloc</w:t>
      </w:r>
      <w:r w:rsidR="001D6B9D" w:rsidRPr="001E47AD">
        <w:rPr>
          <w:sz w:val="22"/>
          <w:szCs w:val="22"/>
          <w:lang w:eastAsia="zh-CN"/>
        </w:rPr>
        <w:t>ation</w:t>
      </w:r>
      <w:r w:rsidR="00D256F4" w:rsidRPr="001E47AD">
        <w:rPr>
          <w:sz w:val="22"/>
          <w:szCs w:val="22"/>
          <w:lang w:eastAsia="zh-CN"/>
        </w:rPr>
        <w:t xml:space="preserve"> of essential supplies</w:t>
      </w:r>
      <w:r w:rsidR="001D6B9D" w:rsidRPr="001E47AD">
        <w:rPr>
          <w:sz w:val="22"/>
          <w:szCs w:val="22"/>
          <w:lang w:eastAsia="zh-CN"/>
        </w:rPr>
        <w:t xml:space="preserve"> </w:t>
      </w:r>
      <w:r w:rsidR="00356163" w:rsidRPr="001E47AD">
        <w:rPr>
          <w:sz w:val="22"/>
          <w:szCs w:val="22"/>
          <w:lang w:eastAsia="zh-CN"/>
        </w:rPr>
        <w:t xml:space="preserve">in </w:t>
      </w:r>
      <w:r w:rsidR="00D256F4" w:rsidRPr="001E47AD">
        <w:rPr>
          <w:sz w:val="22"/>
          <w:szCs w:val="22"/>
          <w:lang w:eastAsia="zh-CN"/>
        </w:rPr>
        <w:t>the preparation</w:t>
      </w:r>
      <w:r w:rsidR="00A90A71" w:rsidRPr="001E47AD">
        <w:rPr>
          <w:sz w:val="22"/>
          <w:szCs w:val="22"/>
          <w:lang w:eastAsia="zh-CN"/>
        </w:rPr>
        <w:t xml:space="preserve"> for</w:t>
      </w:r>
      <w:r w:rsidR="00D256F4" w:rsidRPr="001E47AD">
        <w:rPr>
          <w:sz w:val="22"/>
          <w:szCs w:val="22"/>
          <w:lang w:eastAsia="zh-CN"/>
        </w:rPr>
        <w:t xml:space="preserve"> and response to </w:t>
      </w:r>
      <w:r w:rsidR="00356163" w:rsidRPr="001E47AD">
        <w:rPr>
          <w:sz w:val="22"/>
          <w:szCs w:val="22"/>
          <w:lang w:eastAsia="zh-CN"/>
        </w:rPr>
        <w:t>disaster</w:t>
      </w:r>
      <w:r w:rsidR="00D256F4" w:rsidRPr="001E47AD">
        <w:rPr>
          <w:sz w:val="22"/>
          <w:szCs w:val="22"/>
          <w:lang w:eastAsia="zh-CN"/>
        </w:rPr>
        <w:t>s</w:t>
      </w:r>
      <w:r w:rsidR="001D6B9D" w:rsidRPr="001E47AD">
        <w:rPr>
          <w:noProof/>
          <w:sz w:val="22"/>
          <w:szCs w:val="22"/>
        </w:rPr>
        <w:t>.</w:t>
      </w:r>
    </w:p>
    <w:p w14:paraId="27FDC363" w14:textId="2D78C49E" w:rsidR="007852D5" w:rsidRPr="001E47AD" w:rsidRDefault="00E41EC0" w:rsidP="007852D5">
      <w:pPr>
        <w:spacing w:before="120" w:after="120" w:line="480" w:lineRule="auto"/>
        <w:ind w:firstLine="720"/>
        <w:contextualSpacing/>
        <w:jc w:val="both"/>
        <w:rPr>
          <w:sz w:val="22"/>
          <w:szCs w:val="22"/>
          <w:lang w:eastAsia="zh-CN"/>
        </w:rPr>
      </w:pPr>
      <w:r w:rsidRPr="001E47AD">
        <w:rPr>
          <w:rFonts w:eastAsia="Times New Roman"/>
          <w:sz w:val="22"/>
          <w:szCs w:val="22"/>
        </w:rPr>
        <w:t xml:space="preserve">Our </w:t>
      </w:r>
      <w:r w:rsidR="0010387B" w:rsidRPr="001E47AD">
        <w:rPr>
          <w:rFonts w:eastAsia="Times New Roman"/>
          <w:sz w:val="22"/>
          <w:szCs w:val="22"/>
        </w:rPr>
        <w:t>research has several contributions:</w:t>
      </w:r>
      <w:r w:rsidRPr="001E47AD">
        <w:rPr>
          <w:rFonts w:eastAsia="Times New Roman"/>
          <w:sz w:val="22"/>
          <w:szCs w:val="22"/>
        </w:rPr>
        <w:t xml:space="preserve"> First</w:t>
      </w:r>
      <w:r w:rsidRPr="001E47AD">
        <w:rPr>
          <w:sz w:val="22"/>
          <w:szCs w:val="22"/>
        </w:rPr>
        <w:t xml:space="preserve">, we contribute to the macro level “architectural </w:t>
      </w:r>
      <w:r w:rsidRPr="001E47AD">
        <w:rPr>
          <w:noProof/>
          <w:sz w:val="22"/>
          <w:szCs w:val="22"/>
        </w:rPr>
        <w:t>blueprint</w:t>
      </w:r>
      <w:r w:rsidRPr="001E47AD">
        <w:rPr>
          <w:sz w:val="22"/>
          <w:szCs w:val="22"/>
        </w:rPr>
        <w:t>” of disaster management research (Gupta et al. 2016), developing empirically</w:t>
      </w:r>
      <w:r w:rsidR="00D15474" w:rsidRPr="001E47AD">
        <w:rPr>
          <w:sz w:val="22"/>
          <w:szCs w:val="22"/>
        </w:rPr>
        <w:t>-</w:t>
      </w:r>
      <w:r w:rsidRPr="001E47AD">
        <w:rPr>
          <w:sz w:val="22"/>
          <w:szCs w:val="22"/>
        </w:rPr>
        <w:t>grounded work in</w:t>
      </w:r>
      <w:r w:rsidR="004506A6" w:rsidRPr="001E47AD">
        <w:rPr>
          <w:sz w:val="22"/>
          <w:szCs w:val="22"/>
        </w:rPr>
        <w:t xml:space="preserve"> emergency</w:t>
      </w:r>
      <w:r w:rsidRPr="001E47AD">
        <w:rPr>
          <w:sz w:val="22"/>
          <w:szCs w:val="22"/>
        </w:rPr>
        <w:t xml:space="preserve"> operations (</w:t>
      </w:r>
      <w:r w:rsidRPr="001E47AD">
        <w:rPr>
          <w:noProof/>
          <w:sz w:val="22"/>
          <w:szCs w:val="22"/>
        </w:rPr>
        <w:t xml:space="preserve">Pedraza-Martinez </w:t>
      </w:r>
      <w:r w:rsidR="005F719C" w:rsidRPr="001E47AD">
        <w:rPr>
          <w:noProof/>
          <w:sz w:val="22"/>
          <w:szCs w:val="22"/>
          <w:lang w:eastAsia="zh-CN"/>
        </w:rPr>
        <w:t>and</w:t>
      </w:r>
      <w:r w:rsidRPr="001E47AD">
        <w:rPr>
          <w:noProof/>
          <w:sz w:val="22"/>
          <w:szCs w:val="22"/>
        </w:rPr>
        <w:t xml:space="preserve"> Van Wassenhove 2016)</w:t>
      </w:r>
      <w:r w:rsidRPr="001E47AD">
        <w:rPr>
          <w:sz w:val="22"/>
          <w:szCs w:val="22"/>
        </w:rPr>
        <w:t>. In particular, we investigate in-store product availability in light of consumer stockpiling behavior utilizing hurricane disasters as natural experiment</w:t>
      </w:r>
      <w:r w:rsidR="00CB29F2" w:rsidRPr="001E47AD">
        <w:rPr>
          <w:sz w:val="22"/>
          <w:szCs w:val="22"/>
        </w:rPr>
        <w:t>s</w:t>
      </w:r>
      <w:r w:rsidRPr="001E47AD">
        <w:rPr>
          <w:sz w:val="22"/>
          <w:szCs w:val="22"/>
        </w:rPr>
        <w:t xml:space="preserve">. </w:t>
      </w:r>
      <w:r w:rsidR="00BA26D5" w:rsidRPr="001E47AD">
        <w:rPr>
          <w:sz w:val="22"/>
          <w:szCs w:val="22"/>
        </w:rPr>
        <w:t>Second, we triangulate our research questions with multiple data sources and research methods (</w:t>
      </w:r>
      <w:r w:rsidR="00B325A8" w:rsidRPr="001E47AD">
        <w:rPr>
          <w:sz w:val="22"/>
          <w:szCs w:val="22"/>
        </w:rPr>
        <w:t xml:space="preserve">Gupta et al. 2016, </w:t>
      </w:r>
      <w:r w:rsidR="00BA26D5" w:rsidRPr="001E47AD">
        <w:rPr>
          <w:noProof/>
          <w:sz w:val="22"/>
          <w:szCs w:val="22"/>
        </w:rPr>
        <w:t xml:space="preserve">Pedraza-Martinez </w:t>
      </w:r>
      <w:r w:rsidR="00BA26D5" w:rsidRPr="001E47AD">
        <w:rPr>
          <w:noProof/>
          <w:sz w:val="22"/>
          <w:szCs w:val="22"/>
          <w:lang w:eastAsia="zh-CN"/>
        </w:rPr>
        <w:t>and</w:t>
      </w:r>
      <w:r w:rsidR="00BA26D5" w:rsidRPr="001E47AD">
        <w:rPr>
          <w:noProof/>
          <w:sz w:val="22"/>
          <w:szCs w:val="22"/>
        </w:rPr>
        <w:t xml:space="preserve"> Van Wassenhove 2016)</w:t>
      </w:r>
      <w:r w:rsidR="00BA26D5" w:rsidRPr="001E47AD">
        <w:rPr>
          <w:sz w:val="22"/>
          <w:szCs w:val="22"/>
        </w:rPr>
        <w:t xml:space="preserve">. Specifically, we combine </w:t>
      </w:r>
      <w:r w:rsidR="002E68F9" w:rsidRPr="001E47AD">
        <w:rPr>
          <w:sz w:val="22"/>
          <w:szCs w:val="22"/>
        </w:rPr>
        <w:t>event analysis</w:t>
      </w:r>
      <w:r w:rsidR="00BA26D5" w:rsidRPr="001E47AD">
        <w:rPr>
          <w:sz w:val="22"/>
          <w:szCs w:val="22"/>
        </w:rPr>
        <w:t xml:space="preserve"> with an </w:t>
      </w:r>
      <w:r w:rsidR="00BA26D5" w:rsidRPr="001E47AD">
        <w:rPr>
          <w:noProof/>
          <w:sz w:val="22"/>
          <w:szCs w:val="22"/>
        </w:rPr>
        <w:t>econometric</w:t>
      </w:r>
      <w:r w:rsidR="00BA26D5" w:rsidRPr="001E47AD">
        <w:rPr>
          <w:sz w:val="22"/>
          <w:szCs w:val="22"/>
        </w:rPr>
        <w:t xml:space="preserve"> model using archival retail scanner data from 60 U.S. retail chains located in 963 counties and with real-time data from four recent hurricanes. </w:t>
      </w:r>
      <w:r w:rsidR="006B060D" w:rsidRPr="001E47AD">
        <w:rPr>
          <w:sz w:val="22"/>
          <w:szCs w:val="22"/>
        </w:rPr>
        <w:t>Third</w:t>
      </w:r>
      <w:r w:rsidR="006D36C4" w:rsidRPr="001E47AD">
        <w:rPr>
          <w:sz w:val="22"/>
          <w:szCs w:val="22"/>
        </w:rPr>
        <w:t xml:space="preserve">, </w:t>
      </w:r>
      <w:r w:rsidR="003C764E" w:rsidRPr="001E47AD">
        <w:rPr>
          <w:sz w:val="22"/>
          <w:szCs w:val="22"/>
        </w:rPr>
        <w:t xml:space="preserve">we disentangle </w:t>
      </w:r>
      <w:r w:rsidR="004506A6" w:rsidRPr="001E47AD">
        <w:rPr>
          <w:sz w:val="22"/>
          <w:szCs w:val="22"/>
        </w:rPr>
        <w:t xml:space="preserve">factors that impact </w:t>
      </w:r>
      <w:r w:rsidR="003C764E" w:rsidRPr="001E47AD">
        <w:rPr>
          <w:sz w:val="22"/>
          <w:szCs w:val="22"/>
        </w:rPr>
        <w:t>consumer stockpilin</w:t>
      </w:r>
      <w:r w:rsidR="00427D90" w:rsidRPr="001E47AD">
        <w:rPr>
          <w:sz w:val="22"/>
          <w:szCs w:val="22"/>
        </w:rPr>
        <w:t xml:space="preserve">g propensity </w:t>
      </w:r>
      <w:r w:rsidR="004506A6" w:rsidRPr="001E47AD">
        <w:rPr>
          <w:sz w:val="22"/>
          <w:szCs w:val="22"/>
        </w:rPr>
        <w:t>by</w:t>
      </w:r>
      <w:r w:rsidR="00427D90" w:rsidRPr="001E47AD">
        <w:rPr>
          <w:sz w:val="22"/>
          <w:szCs w:val="22"/>
        </w:rPr>
        <w:t xml:space="preserve"> </w:t>
      </w:r>
      <w:r w:rsidR="00427D90" w:rsidRPr="001E47AD">
        <w:rPr>
          <w:sz w:val="22"/>
          <w:szCs w:val="22"/>
          <w:lang w:eastAsia="zh-CN"/>
        </w:rPr>
        <w:t>exploring</w:t>
      </w:r>
      <w:r w:rsidR="003C764E" w:rsidRPr="001E47AD">
        <w:rPr>
          <w:sz w:val="22"/>
          <w:szCs w:val="22"/>
        </w:rPr>
        <w:t xml:space="preserve"> </w:t>
      </w:r>
      <w:r w:rsidRPr="001E47AD">
        <w:rPr>
          <w:sz w:val="22"/>
          <w:szCs w:val="22"/>
        </w:rPr>
        <w:t xml:space="preserve">supply-side characteristics (retail network and product variety), demand-side characteristics (hurricane experience and household income), and disaster </w:t>
      </w:r>
      <w:r w:rsidRPr="001E47AD">
        <w:rPr>
          <w:sz w:val="22"/>
          <w:szCs w:val="22"/>
        </w:rPr>
        <w:lastRenderedPageBreak/>
        <w:t>characteristics (hazard proximity and hazard intensity)</w:t>
      </w:r>
      <w:r w:rsidR="00F323C2" w:rsidRPr="001E47AD">
        <w:rPr>
          <w:sz w:val="22"/>
          <w:szCs w:val="22"/>
        </w:rPr>
        <w:t>.</w:t>
      </w:r>
      <w:r w:rsidR="006B060D" w:rsidRPr="001E47AD">
        <w:rPr>
          <w:sz w:val="22"/>
          <w:szCs w:val="22"/>
        </w:rPr>
        <w:t xml:space="preserve"> </w:t>
      </w:r>
      <w:r w:rsidR="00032771" w:rsidRPr="001E47AD">
        <w:rPr>
          <w:sz w:val="22"/>
          <w:szCs w:val="22"/>
        </w:rPr>
        <w:t>Fourth</w:t>
      </w:r>
      <w:r w:rsidRPr="001E47AD">
        <w:rPr>
          <w:sz w:val="22"/>
          <w:szCs w:val="22"/>
        </w:rPr>
        <w:t>,</w:t>
      </w:r>
      <w:r w:rsidR="006D36C4" w:rsidRPr="001E47AD">
        <w:rPr>
          <w:sz w:val="22"/>
          <w:szCs w:val="22"/>
        </w:rPr>
        <w:t xml:space="preserve"> </w:t>
      </w:r>
      <w:r w:rsidRPr="001E47AD">
        <w:rPr>
          <w:sz w:val="22"/>
          <w:szCs w:val="22"/>
        </w:rPr>
        <w:t xml:space="preserve">we show that consumer stockpiling propensity </w:t>
      </w:r>
      <w:r w:rsidR="00776D3E" w:rsidRPr="001E47AD">
        <w:rPr>
          <w:sz w:val="22"/>
          <w:szCs w:val="22"/>
        </w:rPr>
        <w:t>has immediate and l</w:t>
      </w:r>
      <w:r w:rsidR="0021197E" w:rsidRPr="001E47AD">
        <w:rPr>
          <w:sz w:val="22"/>
          <w:szCs w:val="22"/>
        </w:rPr>
        <w:t>onger-term</w:t>
      </w:r>
      <w:r w:rsidRPr="001E47AD">
        <w:rPr>
          <w:sz w:val="22"/>
          <w:szCs w:val="22"/>
        </w:rPr>
        <w:t xml:space="preserve"> effects on </w:t>
      </w:r>
      <w:r w:rsidRPr="001E47AD">
        <w:rPr>
          <w:noProof/>
          <w:sz w:val="22"/>
          <w:szCs w:val="22"/>
        </w:rPr>
        <w:t>retail</w:t>
      </w:r>
      <w:r w:rsidRPr="001E47AD">
        <w:rPr>
          <w:sz w:val="22"/>
          <w:szCs w:val="22"/>
        </w:rPr>
        <w:t xml:space="preserve"> operations, such as lower in-store product availability following </w:t>
      </w:r>
      <w:r w:rsidRPr="001E47AD">
        <w:rPr>
          <w:noProof/>
          <w:sz w:val="22"/>
          <w:szCs w:val="22"/>
        </w:rPr>
        <w:t>hurricanes</w:t>
      </w:r>
      <w:r w:rsidRPr="001E47AD">
        <w:rPr>
          <w:sz w:val="22"/>
          <w:szCs w:val="22"/>
        </w:rPr>
        <w:t xml:space="preserve">, </w:t>
      </w:r>
      <w:r w:rsidR="003D3FCA" w:rsidRPr="001E47AD">
        <w:rPr>
          <w:sz w:val="22"/>
          <w:szCs w:val="22"/>
        </w:rPr>
        <w:t>with</w:t>
      </w:r>
      <w:r w:rsidRPr="001E47AD">
        <w:rPr>
          <w:sz w:val="22"/>
          <w:szCs w:val="22"/>
        </w:rPr>
        <w:t xml:space="preserve"> the </w:t>
      </w:r>
      <w:r w:rsidRPr="001E47AD">
        <w:rPr>
          <w:noProof/>
          <w:sz w:val="22"/>
          <w:szCs w:val="22"/>
        </w:rPr>
        <w:t>effects</w:t>
      </w:r>
      <w:r w:rsidRPr="001E47AD">
        <w:rPr>
          <w:sz w:val="22"/>
          <w:szCs w:val="22"/>
        </w:rPr>
        <w:t xml:space="preserve"> vary</w:t>
      </w:r>
      <w:r w:rsidR="003D3FCA" w:rsidRPr="001E47AD">
        <w:rPr>
          <w:sz w:val="22"/>
          <w:szCs w:val="22"/>
        </w:rPr>
        <w:t>ing</w:t>
      </w:r>
      <w:r w:rsidRPr="001E47AD">
        <w:rPr>
          <w:sz w:val="22"/>
          <w:szCs w:val="22"/>
        </w:rPr>
        <w:t xml:space="preserve"> across retail formats</w:t>
      </w:r>
      <w:r w:rsidR="00372BB8" w:rsidRPr="001E47AD">
        <w:rPr>
          <w:noProof/>
          <w:sz w:val="22"/>
          <w:szCs w:val="22"/>
        </w:rPr>
        <w:t>.</w:t>
      </w:r>
      <w:r w:rsidR="007852D5" w:rsidRPr="001E47AD">
        <w:rPr>
          <w:noProof/>
          <w:sz w:val="22"/>
          <w:szCs w:val="22"/>
        </w:rPr>
        <w:t xml:space="preserve"> </w:t>
      </w:r>
      <w:r w:rsidR="003D3FCA" w:rsidRPr="001E47AD">
        <w:rPr>
          <w:sz w:val="22"/>
          <w:szCs w:val="22"/>
        </w:rPr>
        <w:t>Finally, o</w:t>
      </w:r>
      <w:r w:rsidR="004C0AFC" w:rsidRPr="001E47AD">
        <w:rPr>
          <w:sz w:val="22"/>
          <w:szCs w:val="22"/>
        </w:rPr>
        <w:t xml:space="preserve">ur study shows the </w:t>
      </w:r>
      <w:r w:rsidR="00A50F36" w:rsidRPr="001E47AD">
        <w:rPr>
          <w:sz w:val="22"/>
          <w:szCs w:val="22"/>
        </w:rPr>
        <w:t>need for retailers and policy</w:t>
      </w:r>
      <w:r w:rsidR="007852D5" w:rsidRPr="001E47AD">
        <w:rPr>
          <w:sz w:val="22"/>
          <w:szCs w:val="22"/>
        </w:rPr>
        <w:t>makers to carefully monitor factors affecting consumer stockpiling behavior during the h</w:t>
      </w:r>
      <w:r w:rsidR="00E93AAE" w:rsidRPr="001E47AD">
        <w:rPr>
          <w:sz w:val="22"/>
          <w:szCs w:val="22"/>
        </w:rPr>
        <w:t xml:space="preserve">urricane season </w:t>
      </w:r>
      <w:r w:rsidR="003D3FCA" w:rsidRPr="001E47AD">
        <w:rPr>
          <w:sz w:val="22"/>
          <w:szCs w:val="22"/>
        </w:rPr>
        <w:t>to</w:t>
      </w:r>
      <w:r w:rsidR="00E93AAE" w:rsidRPr="001E47AD">
        <w:rPr>
          <w:sz w:val="22"/>
          <w:szCs w:val="22"/>
        </w:rPr>
        <w:t xml:space="preserve"> enhance </w:t>
      </w:r>
      <w:r w:rsidR="007852D5" w:rsidRPr="001E47AD">
        <w:rPr>
          <w:sz w:val="22"/>
          <w:szCs w:val="22"/>
          <w:lang w:eastAsia="zh-CN"/>
        </w:rPr>
        <w:t>coordination when prepositioning inventory and directing disaster-relief efforts.</w:t>
      </w:r>
    </w:p>
    <w:p w14:paraId="4D3D7BF0" w14:textId="77777777" w:rsidR="0064202C" w:rsidRPr="001E47AD" w:rsidRDefault="0064202C" w:rsidP="00E319F8">
      <w:pPr>
        <w:pStyle w:val="Heading1"/>
      </w:pPr>
      <w:bookmarkStart w:id="7" w:name="_Toc520380463"/>
      <w:r w:rsidRPr="001E47AD">
        <w:t>T</w:t>
      </w:r>
      <w:r w:rsidR="00DB7B30" w:rsidRPr="001E47AD">
        <w:t>heoretical Foundation</w:t>
      </w:r>
      <w:bookmarkEnd w:id="7"/>
      <w:r w:rsidR="00287983" w:rsidRPr="001E47AD">
        <w:t>s</w:t>
      </w:r>
    </w:p>
    <w:p w14:paraId="4AC89142" w14:textId="70D33A3A" w:rsidR="00740588" w:rsidRPr="001E47AD" w:rsidRDefault="00E02040" w:rsidP="00B93B90">
      <w:pPr>
        <w:spacing w:line="480" w:lineRule="auto"/>
        <w:jc w:val="both"/>
        <w:rPr>
          <w:sz w:val="22"/>
          <w:szCs w:val="22"/>
        </w:rPr>
      </w:pPr>
      <w:r w:rsidRPr="001E47AD">
        <w:rPr>
          <w:sz w:val="22"/>
          <w:szCs w:val="22"/>
          <w:lang w:eastAsia="zh-CN"/>
        </w:rPr>
        <w:t>T</w:t>
      </w:r>
      <w:r w:rsidRPr="001E47AD">
        <w:rPr>
          <w:sz w:val="22"/>
          <w:szCs w:val="22"/>
        </w:rPr>
        <w:t>his study</w:t>
      </w:r>
      <w:r w:rsidR="009A5A83" w:rsidRPr="001E47AD">
        <w:rPr>
          <w:sz w:val="22"/>
          <w:szCs w:val="22"/>
        </w:rPr>
        <w:t xml:space="preserve"> investigate</w:t>
      </w:r>
      <w:r w:rsidRPr="001E47AD">
        <w:rPr>
          <w:sz w:val="22"/>
          <w:szCs w:val="22"/>
          <w:lang w:eastAsia="zh-CN"/>
        </w:rPr>
        <w:t>s</w:t>
      </w:r>
      <w:r w:rsidR="009A5A83" w:rsidRPr="001E47AD">
        <w:rPr>
          <w:sz w:val="22"/>
          <w:szCs w:val="22"/>
        </w:rPr>
        <w:t xml:space="preserve"> </w:t>
      </w:r>
      <w:r w:rsidR="00613108" w:rsidRPr="001E47AD">
        <w:rPr>
          <w:sz w:val="22"/>
          <w:szCs w:val="22"/>
        </w:rPr>
        <w:t xml:space="preserve">factors that affect </w:t>
      </w:r>
      <w:r w:rsidR="009A5A83" w:rsidRPr="001E47AD">
        <w:rPr>
          <w:sz w:val="22"/>
          <w:szCs w:val="22"/>
        </w:rPr>
        <w:t>consumer stoc</w:t>
      </w:r>
      <w:r w:rsidR="00E316C7" w:rsidRPr="001E47AD">
        <w:rPr>
          <w:sz w:val="22"/>
          <w:szCs w:val="22"/>
        </w:rPr>
        <w:t xml:space="preserve">kpiling behavior </w:t>
      </w:r>
      <w:r w:rsidR="006E46C9" w:rsidRPr="001E47AD">
        <w:rPr>
          <w:sz w:val="22"/>
          <w:szCs w:val="22"/>
        </w:rPr>
        <w:t xml:space="preserve">prior to </w:t>
      </w:r>
      <w:r w:rsidR="00D95FA3" w:rsidRPr="001E47AD">
        <w:rPr>
          <w:sz w:val="22"/>
          <w:szCs w:val="22"/>
        </w:rPr>
        <w:t>hurricanes</w:t>
      </w:r>
      <w:r w:rsidR="002A6B06" w:rsidRPr="001E47AD">
        <w:rPr>
          <w:sz w:val="22"/>
          <w:szCs w:val="22"/>
        </w:rPr>
        <w:t xml:space="preserve"> (step one)</w:t>
      </w:r>
      <w:r w:rsidR="00613108" w:rsidRPr="001E47AD">
        <w:rPr>
          <w:sz w:val="22"/>
          <w:szCs w:val="22"/>
        </w:rPr>
        <w:t xml:space="preserve">, and </w:t>
      </w:r>
      <w:r w:rsidR="00BA0A11" w:rsidRPr="001E47AD">
        <w:rPr>
          <w:sz w:val="22"/>
          <w:szCs w:val="22"/>
        </w:rPr>
        <w:t>the</w:t>
      </w:r>
      <w:r w:rsidR="00613108" w:rsidRPr="001E47AD">
        <w:rPr>
          <w:sz w:val="22"/>
          <w:szCs w:val="22"/>
        </w:rPr>
        <w:t xml:space="preserve"> impact</w:t>
      </w:r>
      <w:r w:rsidR="00BA0A11" w:rsidRPr="001E47AD">
        <w:rPr>
          <w:sz w:val="22"/>
          <w:szCs w:val="22"/>
        </w:rPr>
        <w:t xml:space="preserve"> of stockpiling behavior</w:t>
      </w:r>
      <w:r w:rsidR="00613108" w:rsidRPr="001E47AD">
        <w:rPr>
          <w:sz w:val="22"/>
          <w:szCs w:val="22"/>
        </w:rPr>
        <w:t xml:space="preserve"> on in-st</w:t>
      </w:r>
      <w:r w:rsidR="000A4DCC" w:rsidRPr="001E47AD">
        <w:rPr>
          <w:sz w:val="22"/>
          <w:szCs w:val="22"/>
        </w:rPr>
        <w:t xml:space="preserve">ore product availability </w:t>
      </w:r>
      <w:r w:rsidR="003607CA" w:rsidRPr="001E47AD">
        <w:rPr>
          <w:sz w:val="22"/>
          <w:szCs w:val="22"/>
        </w:rPr>
        <w:t>after</w:t>
      </w:r>
      <w:r w:rsidR="00D95FA3" w:rsidRPr="001E47AD">
        <w:rPr>
          <w:sz w:val="22"/>
          <w:szCs w:val="22"/>
        </w:rPr>
        <w:t xml:space="preserve"> hurricanes</w:t>
      </w:r>
      <w:r w:rsidR="002A6B06" w:rsidRPr="001E47AD">
        <w:rPr>
          <w:sz w:val="22"/>
          <w:szCs w:val="22"/>
        </w:rPr>
        <w:t xml:space="preserve"> (step two)</w:t>
      </w:r>
      <w:r w:rsidR="009B6AD0" w:rsidRPr="001E47AD">
        <w:rPr>
          <w:sz w:val="22"/>
          <w:szCs w:val="22"/>
        </w:rPr>
        <w:t xml:space="preserve">. </w:t>
      </w:r>
      <w:r w:rsidR="009B6AD0" w:rsidRPr="001E47AD">
        <w:rPr>
          <w:sz w:val="22"/>
          <w:szCs w:val="22"/>
        </w:rPr>
        <w:fldChar w:fldCharType="begin"/>
      </w:r>
      <w:r w:rsidR="009B6AD0" w:rsidRPr="001E47AD">
        <w:rPr>
          <w:sz w:val="22"/>
          <w:szCs w:val="22"/>
        </w:rPr>
        <w:instrText xml:space="preserve"> REF _Ref26652026 \h  \* MERGEFORMAT </w:instrText>
      </w:r>
      <w:r w:rsidR="009B6AD0" w:rsidRPr="001E47AD">
        <w:rPr>
          <w:sz w:val="22"/>
          <w:szCs w:val="22"/>
        </w:rPr>
      </w:r>
      <w:r w:rsidR="009B6AD0" w:rsidRPr="001E47AD">
        <w:rPr>
          <w:sz w:val="22"/>
          <w:szCs w:val="22"/>
        </w:rPr>
        <w:fldChar w:fldCharType="separate"/>
      </w:r>
      <w:r w:rsidR="009E3444" w:rsidRPr="001E47AD">
        <w:rPr>
          <w:sz w:val="22"/>
          <w:szCs w:val="22"/>
        </w:rPr>
        <w:t xml:space="preserve">Figure </w:t>
      </w:r>
      <w:r w:rsidR="009E3444" w:rsidRPr="001E47AD">
        <w:rPr>
          <w:noProof/>
          <w:sz w:val="22"/>
          <w:szCs w:val="22"/>
        </w:rPr>
        <w:t>1</w:t>
      </w:r>
      <w:r w:rsidR="009B6AD0" w:rsidRPr="001E47AD">
        <w:rPr>
          <w:sz w:val="22"/>
          <w:szCs w:val="22"/>
        </w:rPr>
        <w:fldChar w:fldCharType="end"/>
      </w:r>
      <w:r w:rsidR="009B6AD0" w:rsidRPr="001E47AD">
        <w:rPr>
          <w:sz w:val="22"/>
          <w:szCs w:val="22"/>
        </w:rPr>
        <w:t xml:space="preserve"> </w:t>
      </w:r>
      <w:r w:rsidR="00177A19" w:rsidRPr="001E47AD">
        <w:rPr>
          <w:sz w:val="22"/>
          <w:szCs w:val="22"/>
        </w:rPr>
        <w:t xml:space="preserve">illustrates the </w:t>
      </w:r>
      <w:r w:rsidR="00804A1E" w:rsidRPr="001E47AD">
        <w:rPr>
          <w:sz w:val="22"/>
          <w:szCs w:val="22"/>
        </w:rPr>
        <w:t>theoretical</w:t>
      </w:r>
      <w:r w:rsidR="00177A19" w:rsidRPr="001E47AD">
        <w:rPr>
          <w:sz w:val="22"/>
          <w:szCs w:val="22"/>
        </w:rPr>
        <w:t xml:space="preserve"> model </w:t>
      </w:r>
      <w:r w:rsidR="00D878B3" w:rsidRPr="001E47AD">
        <w:rPr>
          <w:sz w:val="22"/>
          <w:szCs w:val="22"/>
        </w:rPr>
        <w:t xml:space="preserve">used </w:t>
      </w:r>
      <w:r w:rsidR="00AB7A2C" w:rsidRPr="001E47AD">
        <w:rPr>
          <w:sz w:val="22"/>
          <w:szCs w:val="22"/>
        </w:rPr>
        <w:t>to</w:t>
      </w:r>
      <w:r w:rsidR="00E316C7" w:rsidRPr="001E47AD">
        <w:rPr>
          <w:sz w:val="22"/>
          <w:szCs w:val="22"/>
        </w:rPr>
        <w:t xml:space="preserve"> study</w:t>
      </w:r>
      <w:r w:rsidR="00B3673B" w:rsidRPr="001E47AD">
        <w:rPr>
          <w:sz w:val="22"/>
          <w:szCs w:val="22"/>
        </w:rPr>
        <w:t xml:space="preserve"> these effects</w:t>
      </w:r>
      <w:r w:rsidR="00E316C7" w:rsidRPr="001E47AD">
        <w:rPr>
          <w:sz w:val="22"/>
          <w:szCs w:val="22"/>
        </w:rPr>
        <w:t>.</w:t>
      </w:r>
      <w:r w:rsidR="00177A19" w:rsidRPr="001E47AD">
        <w:rPr>
          <w:sz w:val="22"/>
          <w:szCs w:val="22"/>
        </w:rPr>
        <w:t xml:space="preserve"> </w:t>
      </w:r>
      <w:r w:rsidR="002A6B06" w:rsidRPr="001E47AD">
        <w:rPr>
          <w:sz w:val="22"/>
          <w:szCs w:val="22"/>
        </w:rPr>
        <w:t>To that end, w</w:t>
      </w:r>
      <w:r w:rsidR="009A5A83" w:rsidRPr="001E47AD">
        <w:rPr>
          <w:sz w:val="22"/>
          <w:szCs w:val="22"/>
        </w:rPr>
        <w:t xml:space="preserve">e survey literature related to consumer stockpiling behavior and retail operations management in the context of </w:t>
      </w:r>
      <w:r w:rsidR="00AE6D4E" w:rsidRPr="001E47AD">
        <w:rPr>
          <w:sz w:val="22"/>
          <w:szCs w:val="22"/>
        </w:rPr>
        <w:t>environmental emergencies</w:t>
      </w:r>
      <w:r w:rsidR="009A5A83" w:rsidRPr="001E47AD">
        <w:rPr>
          <w:sz w:val="22"/>
          <w:szCs w:val="22"/>
        </w:rPr>
        <w:t>.</w:t>
      </w:r>
      <w:r w:rsidR="00C24A4E" w:rsidRPr="001E47AD">
        <w:rPr>
          <w:sz w:val="22"/>
          <w:szCs w:val="22"/>
        </w:rPr>
        <w:t xml:space="preserve"> We start by reviewing the </w:t>
      </w:r>
      <w:r w:rsidR="009E0D42" w:rsidRPr="001E47AD">
        <w:rPr>
          <w:sz w:val="22"/>
          <w:szCs w:val="22"/>
        </w:rPr>
        <w:t>theory of consumer stockpiling during natural disasters</w:t>
      </w:r>
      <w:r w:rsidR="00C24A4E" w:rsidRPr="001E47AD">
        <w:rPr>
          <w:sz w:val="22"/>
          <w:szCs w:val="22"/>
        </w:rPr>
        <w:t xml:space="preserve"> </w:t>
      </w:r>
      <w:r w:rsidR="00462F4D" w:rsidRPr="001E47AD">
        <w:rPr>
          <w:sz w:val="22"/>
          <w:szCs w:val="22"/>
          <w:lang w:eastAsia="zh-CN"/>
        </w:rPr>
        <w:t>and</w:t>
      </w:r>
      <w:r w:rsidR="00C24A4E" w:rsidRPr="001E47AD">
        <w:rPr>
          <w:sz w:val="22"/>
          <w:szCs w:val="22"/>
        </w:rPr>
        <w:t xml:space="preserve"> </w:t>
      </w:r>
      <w:r w:rsidR="007B017B" w:rsidRPr="001E47AD">
        <w:rPr>
          <w:sz w:val="22"/>
          <w:szCs w:val="22"/>
          <w:lang w:eastAsia="zh-CN"/>
        </w:rPr>
        <w:t>the</w:t>
      </w:r>
      <w:r w:rsidR="00462F4D" w:rsidRPr="001E47AD">
        <w:rPr>
          <w:sz w:val="22"/>
          <w:szCs w:val="22"/>
          <w:lang w:eastAsia="zh-CN"/>
        </w:rPr>
        <w:t xml:space="preserve"> effects</w:t>
      </w:r>
      <w:r w:rsidR="007B017B" w:rsidRPr="001E47AD">
        <w:rPr>
          <w:sz w:val="22"/>
          <w:szCs w:val="22"/>
          <w:lang w:eastAsia="zh-CN"/>
        </w:rPr>
        <w:t xml:space="preserve"> of disasters</w:t>
      </w:r>
      <w:r w:rsidR="00462F4D" w:rsidRPr="001E47AD">
        <w:rPr>
          <w:sz w:val="22"/>
          <w:szCs w:val="22"/>
          <w:lang w:eastAsia="zh-CN"/>
        </w:rPr>
        <w:t xml:space="preserve"> on in-store product availability </w:t>
      </w:r>
      <w:r w:rsidR="007B017B" w:rsidRPr="001E47AD">
        <w:rPr>
          <w:sz w:val="22"/>
          <w:szCs w:val="22"/>
          <w:lang w:eastAsia="zh-CN"/>
        </w:rPr>
        <w:t>(</w:t>
      </w:r>
      <w:r w:rsidR="00462F4D" w:rsidRPr="001E47AD">
        <w:rPr>
          <w:sz w:val="22"/>
          <w:szCs w:val="22"/>
          <w:lang w:eastAsia="zh-CN"/>
        </w:rPr>
        <w:t>Section 2.1</w:t>
      </w:r>
      <w:r w:rsidR="007B017B" w:rsidRPr="001E47AD">
        <w:rPr>
          <w:sz w:val="22"/>
          <w:szCs w:val="22"/>
          <w:lang w:eastAsia="zh-CN"/>
        </w:rPr>
        <w:t>). We then examine</w:t>
      </w:r>
      <w:r w:rsidR="00462F4D" w:rsidRPr="001E47AD">
        <w:rPr>
          <w:sz w:val="22"/>
          <w:szCs w:val="22"/>
          <w:lang w:eastAsia="zh-CN"/>
        </w:rPr>
        <w:t xml:space="preserve"> </w:t>
      </w:r>
      <w:r w:rsidR="009E0D42" w:rsidRPr="001E47AD">
        <w:rPr>
          <w:sz w:val="22"/>
          <w:szCs w:val="22"/>
        </w:rPr>
        <w:t>factors affectin</w:t>
      </w:r>
      <w:r w:rsidR="005066E8" w:rsidRPr="001E47AD">
        <w:rPr>
          <w:sz w:val="22"/>
          <w:szCs w:val="22"/>
        </w:rPr>
        <w:t xml:space="preserve">g consumer </w:t>
      </w:r>
      <w:r w:rsidR="005066E8" w:rsidRPr="001E47AD">
        <w:rPr>
          <w:noProof/>
          <w:sz w:val="22"/>
          <w:szCs w:val="22"/>
        </w:rPr>
        <w:t>stockpiling</w:t>
      </w:r>
      <w:r w:rsidR="00AE6D4E" w:rsidRPr="001E47AD">
        <w:rPr>
          <w:noProof/>
          <w:sz w:val="22"/>
          <w:szCs w:val="22"/>
        </w:rPr>
        <w:t>,</w:t>
      </w:r>
      <w:r w:rsidR="005066E8" w:rsidRPr="001E47AD">
        <w:rPr>
          <w:sz w:val="22"/>
          <w:szCs w:val="22"/>
        </w:rPr>
        <w:t xml:space="preserve"> </w:t>
      </w:r>
      <w:r w:rsidR="00462F4D" w:rsidRPr="001E47AD">
        <w:rPr>
          <w:sz w:val="22"/>
          <w:szCs w:val="22"/>
          <w:lang w:eastAsia="zh-CN"/>
        </w:rPr>
        <w:t xml:space="preserve">such as supply-side, demand-side, and disaster-related characteristics </w:t>
      </w:r>
      <w:r w:rsidR="00AE6D4E" w:rsidRPr="001E47AD">
        <w:rPr>
          <w:sz w:val="22"/>
          <w:szCs w:val="22"/>
        </w:rPr>
        <w:t>(</w:t>
      </w:r>
      <w:r w:rsidR="009E0D42" w:rsidRPr="001E47AD">
        <w:rPr>
          <w:sz w:val="22"/>
          <w:szCs w:val="22"/>
        </w:rPr>
        <w:t>Section 2.</w:t>
      </w:r>
      <w:r w:rsidR="00462F4D" w:rsidRPr="001E47AD">
        <w:rPr>
          <w:sz w:val="22"/>
          <w:szCs w:val="22"/>
          <w:lang w:eastAsia="zh-CN"/>
        </w:rPr>
        <w:t>2</w:t>
      </w:r>
      <w:r w:rsidR="00C24A4E" w:rsidRPr="001E47AD">
        <w:rPr>
          <w:sz w:val="22"/>
          <w:szCs w:val="22"/>
        </w:rPr>
        <w:t>)</w:t>
      </w:r>
      <w:r w:rsidR="00AE6D4E" w:rsidRPr="001E47AD">
        <w:rPr>
          <w:sz w:val="22"/>
          <w:szCs w:val="22"/>
        </w:rPr>
        <w:t>.</w:t>
      </w:r>
      <w:r w:rsidR="00462F4D" w:rsidRPr="001E47AD">
        <w:rPr>
          <w:sz w:val="22"/>
          <w:szCs w:val="22"/>
          <w:lang w:eastAsia="zh-CN"/>
        </w:rPr>
        <w:t xml:space="preserve"> </w:t>
      </w:r>
    </w:p>
    <w:p w14:paraId="0B798079" w14:textId="77777777" w:rsidR="002300D2" w:rsidRPr="001E47AD" w:rsidRDefault="00115A61" w:rsidP="00DE36A0">
      <w:pPr>
        <w:spacing w:before="120" w:after="120" w:line="480" w:lineRule="auto"/>
        <w:contextualSpacing/>
        <w:jc w:val="both"/>
        <w:rPr>
          <w:sz w:val="22"/>
          <w:szCs w:val="22"/>
          <w:lang w:eastAsia="zh-CN"/>
        </w:rPr>
      </w:pPr>
      <w:r w:rsidRPr="001E47AD">
        <w:rPr>
          <w:noProof/>
          <w:sz w:val="22"/>
          <w:szCs w:val="22"/>
          <w:lang w:eastAsia="zh-CN"/>
        </w:rPr>
        <mc:AlternateContent>
          <mc:Choice Requires="wps">
            <w:drawing>
              <wp:anchor distT="0" distB="0" distL="114300" distR="114300" simplePos="0" relativeHeight="251667968" behindDoc="0" locked="0" layoutInCell="1" allowOverlap="1" wp14:anchorId="3DE0DB7A" wp14:editId="7650A2B2">
                <wp:simplePos x="0" y="0"/>
                <wp:positionH relativeFrom="column">
                  <wp:posOffset>2094931</wp:posOffset>
                </wp:positionH>
                <wp:positionV relativeFrom="paragraph">
                  <wp:posOffset>109913</wp:posOffset>
                </wp:positionV>
                <wp:extent cx="1709420" cy="1016758"/>
                <wp:effectExtent l="0" t="0" r="24130" b="12065"/>
                <wp:wrapNone/>
                <wp:docPr id="22" name="Text Box 22"/>
                <wp:cNvGraphicFramePr/>
                <a:graphic xmlns:a="http://schemas.openxmlformats.org/drawingml/2006/main">
                  <a:graphicData uri="http://schemas.microsoft.com/office/word/2010/wordprocessingShape">
                    <wps:wsp>
                      <wps:cNvSpPr txBox="1"/>
                      <wps:spPr>
                        <a:xfrm>
                          <a:off x="0" y="0"/>
                          <a:ext cx="1709420" cy="1016758"/>
                        </a:xfrm>
                        <a:prstGeom prst="rect">
                          <a:avLst/>
                        </a:prstGeom>
                        <a:noFill/>
                        <a:ln w="6350">
                          <a:solidFill>
                            <a:schemeClr val="bg1">
                              <a:lumMod val="6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52F8EE9" w14:textId="77777777" w:rsidR="006B6D34" w:rsidRDefault="006B6D34" w:rsidP="00115A61">
                            <w:pPr>
                              <w:jc w:val="center"/>
                              <w:rPr>
                                <w:b/>
                                <w:sz w:val="16"/>
                                <w:szCs w:val="16"/>
                              </w:rPr>
                            </w:pPr>
                            <w:r>
                              <w:rPr>
                                <w:b/>
                                <w:sz w:val="16"/>
                                <w:szCs w:val="16"/>
                              </w:rPr>
                              <w:t>Dependent</w:t>
                            </w:r>
                            <w:r w:rsidRPr="00467011">
                              <w:rPr>
                                <w:b/>
                                <w:sz w:val="16"/>
                                <w:szCs w:val="16"/>
                              </w:rPr>
                              <w:t xml:space="preserve"> Variable</w:t>
                            </w:r>
                          </w:p>
                          <w:p w14:paraId="3C8A6726" w14:textId="77777777" w:rsidR="006B6D34" w:rsidRPr="002A536D" w:rsidRDefault="006B6D34" w:rsidP="00115A61">
                            <w:pPr>
                              <w:jc w:val="center"/>
                              <w:rPr>
                                <w:sz w:val="16"/>
                                <w:szCs w:val="16"/>
                              </w:rPr>
                            </w:pPr>
                            <w:r>
                              <w:rPr>
                                <w:sz w:val="16"/>
                                <w:szCs w:val="16"/>
                              </w:rPr>
                              <w:t>(First-Step</w:t>
                            </w:r>
                            <w:r w:rsidRPr="002A536D">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0DB7A" id="_x0000_t202" coordsize="21600,21600" o:spt="202" path="m,l,21600r21600,l21600,xe">
                <v:stroke joinstyle="miter"/>
                <v:path gradientshapeok="t" o:connecttype="rect"/>
              </v:shapetype>
              <v:shape id="Text Box 22" o:spid="_x0000_s1026" type="#_x0000_t202" style="position:absolute;left:0;text-align:left;margin-left:164.95pt;margin-top:8.65pt;width:134.6pt;height:8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" filled="f" strokecolor="#a5a5a5 [2092]" strokeweight=".5pt">
                <v:stroke dashstyle="dash"/>
                <v:textbox>
                  <w:txbxContent>
                    <w:p w14:paraId="752F8EE9" w14:textId="77777777" w:rsidR="006B6D34" w:rsidRDefault="006B6D34" w:rsidP="00115A61">
                      <w:pPr>
                        <w:jc w:val="center"/>
                        <w:rPr>
                          <w:b/>
                          <w:sz w:val="16"/>
                          <w:szCs w:val="16"/>
                        </w:rPr>
                      </w:pPr>
                      <w:r>
                        <w:rPr>
                          <w:b/>
                          <w:sz w:val="16"/>
                          <w:szCs w:val="16"/>
                        </w:rPr>
                        <w:t>Dependent</w:t>
                      </w:r>
                      <w:r w:rsidRPr="00467011">
                        <w:rPr>
                          <w:b/>
                          <w:sz w:val="16"/>
                          <w:szCs w:val="16"/>
                        </w:rPr>
                        <w:t xml:space="preserve"> Variable</w:t>
                      </w:r>
                    </w:p>
                    <w:p w14:paraId="3C8A6726" w14:textId="77777777" w:rsidR="006B6D34" w:rsidRPr="002A536D" w:rsidRDefault="006B6D34" w:rsidP="00115A61">
                      <w:pPr>
                        <w:jc w:val="center"/>
                        <w:rPr>
                          <w:sz w:val="16"/>
                          <w:szCs w:val="16"/>
                        </w:rPr>
                      </w:pPr>
                      <w:r>
                        <w:rPr>
                          <w:sz w:val="16"/>
                          <w:szCs w:val="16"/>
                        </w:rPr>
                        <w:t>(First-Step</w:t>
                      </w:r>
                      <w:r w:rsidRPr="002A536D">
                        <w:rPr>
                          <w:sz w:val="16"/>
                          <w:szCs w:val="16"/>
                        </w:rPr>
                        <w:t>)</w:t>
                      </w:r>
                    </w:p>
                  </w:txbxContent>
                </v:textbox>
              </v:shape>
            </w:pict>
          </mc:Fallback>
        </mc:AlternateContent>
      </w:r>
      <w:r w:rsidR="008A5543" w:rsidRPr="001E47AD">
        <w:rPr>
          <w:noProof/>
          <w:sz w:val="22"/>
          <w:szCs w:val="22"/>
          <w:lang w:eastAsia="zh-CN"/>
        </w:rPr>
        <mc:AlternateContent>
          <mc:Choice Requires="wps">
            <w:drawing>
              <wp:anchor distT="0" distB="0" distL="114300" distR="114300" simplePos="0" relativeHeight="251664896" behindDoc="0" locked="0" layoutInCell="1" allowOverlap="1" wp14:anchorId="0E7E7C88" wp14:editId="257C163E">
                <wp:simplePos x="0" y="0"/>
                <wp:positionH relativeFrom="column">
                  <wp:posOffset>166977</wp:posOffset>
                </wp:positionH>
                <wp:positionV relativeFrom="paragraph">
                  <wp:posOffset>107094</wp:posOffset>
                </wp:positionV>
                <wp:extent cx="1590040" cy="2329732"/>
                <wp:effectExtent l="0" t="0" r="10160" b="13970"/>
                <wp:wrapNone/>
                <wp:docPr id="21" name="Text Box 21"/>
                <wp:cNvGraphicFramePr/>
                <a:graphic xmlns:a="http://schemas.openxmlformats.org/drawingml/2006/main">
                  <a:graphicData uri="http://schemas.microsoft.com/office/word/2010/wordprocessingShape">
                    <wps:wsp>
                      <wps:cNvSpPr txBox="1"/>
                      <wps:spPr>
                        <a:xfrm>
                          <a:off x="0" y="0"/>
                          <a:ext cx="1590040" cy="2329732"/>
                        </a:xfrm>
                        <a:prstGeom prst="rect">
                          <a:avLst/>
                        </a:prstGeom>
                        <a:noFill/>
                        <a:ln w="6350">
                          <a:solidFill>
                            <a:schemeClr val="bg1">
                              <a:lumMod val="6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430BC1" w14:textId="63B56C53" w:rsidR="006B6D34" w:rsidRPr="00467011" w:rsidRDefault="006B6D34" w:rsidP="00467011">
                            <w:pPr>
                              <w:jc w:val="center"/>
                              <w:rPr>
                                <w:b/>
                                <w:sz w:val="16"/>
                                <w:szCs w:val="16"/>
                              </w:rPr>
                            </w:pPr>
                            <w:r w:rsidRPr="00467011">
                              <w:rPr>
                                <w:b/>
                                <w:sz w:val="16"/>
                                <w:szCs w:val="16"/>
                              </w:rPr>
                              <w:t>Independent Variable</w:t>
                            </w:r>
                            <w:r>
                              <w:rPr>
                                <w:b/>
                                <w:sz w:val="16"/>
                                <w:szCs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E7C88" id="Text Box 21" o:spid="_x0000_s1027" type="#_x0000_t202" style="position:absolute;left:0;text-align:left;margin-left:13.15pt;margin-top:8.45pt;width:125.2pt;height:18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" filled="f" strokecolor="#a5a5a5 [2092]" strokeweight=".5pt">
                <v:stroke dashstyle="dash"/>
                <v:textbox>
                  <w:txbxContent>
                    <w:p w14:paraId="3E430BC1" w14:textId="63B56C53" w:rsidR="006B6D34" w:rsidRPr="00467011" w:rsidRDefault="006B6D34" w:rsidP="00467011">
                      <w:pPr>
                        <w:jc w:val="center"/>
                        <w:rPr>
                          <w:b/>
                          <w:sz w:val="16"/>
                          <w:szCs w:val="16"/>
                        </w:rPr>
                      </w:pPr>
                      <w:r w:rsidRPr="00467011">
                        <w:rPr>
                          <w:b/>
                          <w:sz w:val="16"/>
                          <w:szCs w:val="16"/>
                        </w:rPr>
                        <w:t>Independent Variable</w:t>
                      </w:r>
                      <w:r>
                        <w:rPr>
                          <w:b/>
                          <w:sz w:val="16"/>
                          <w:szCs w:val="16"/>
                        </w:rPr>
                        <w:t>s</w:t>
                      </w:r>
                    </w:p>
                  </w:txbxContent>
                </v:textbox>
              </v:shape>
            </w:pict>
          </mc:Fallback>
        </mc:AlternateContent>
      </w:r>
    </w:p>
    <w:p w14:paraId="4F426039" w14:textId="77777777" w:rsidR="007125AC" w:rsidRPr="001E47AD" w:rsidRDefault="00115A61" w:rsidP="007125AC">
      <w:pPr>
        <w:spacing w:before="120" w:after="120" w:line="480" w:lineRule="auto"/>
        <w:contextualSpacing/>
        <w:jc w:val="center"/>
        <w:rPr>
          <w:sz w:val="22"/>
          <w:szCs w:val="22"/>
          <w:lang w:eastAsia="zh-CN"/>
        </w:rPr>
      </w:pPr>
      <w:r w:rsidRPr="001E47AD">
        <w:rPr>
          <w:noProof/>
          <w:sz w:val="22"/>
          <w:szCs w:val="22"/>
          <w:lang w:eastAsia="zh-CN"/>
        </w:rPr>
        <mc:AlternateContent>
          <mc:Choice Requires="wps">
            <w:drawing>
              <wp:anchor distT="0" distB="0" distL="114300" distR="114300" simplePos="0" relativeHeight="251646464" behindDoc="0" locked="0" layoutInCell="1" allowOverlap="1" wp14:anchorId="246E2224" wp14:editId="30207BD9">
                <wp:simplePos x="0" y="0"/>
                <wp:positionH relativeFrom="column">
                  <wp:posOffset>2162810</wp:posOffset>
                </wp:positionH>
                <wp:positionV relativeFrom="paragraph">
                  <wp:posOffset>137634</wp:posOffset>
                </wp:positionV>
                <wp:extent cx="1581785" cy="614045"/>
                <wp:effectExtent l="0" t="0" r="18415" b="14605"/>
                <wp:wrapNone/>
                <wp:docPr id="2" name="Text Box 2"/>
                <wp:cNvGraphicFramePr/>
                <a:graphic xmlns:a="http://schemas.openxmlformats.org/drawingml/2006/main">
                  <a:graphicData uri="http://schemas.microsoft.com/office/word/2010/wordprocessingShape">
                    <wps:wsp>
                      <wps:cNvSpPr txBox="1"/>
                      <wps:spPr>
                        <a:xfrm>
                          <a:off x="0" y="0"/>
                          <a:ext cx="1581785" cy="614045"/>
                        </a:xfrm>
                        <a:prstGeom prst="rect">
                          <a:avLst/>
                        </a:prstGeom>
                        <a:solidFill>
                          <a:sysClr val="window" lastClr="FFFFFF"/>
                        </a:solidFill>
                        <a:ln w="6350">
                          <a:solidFill>
                            <a:schemeClr val="bg1">
                              <a:lumMod val="65000"/>
                            </a:schemeClr>
                          </a:solidFill>
                        </a:ln>
                        <a:effectLst/>
                      </wps:spPr>
                      <wps:txbx>
                        <w:txbxContent>
                          <w:p w14:paraId="455E3F4B" w14:textId="77777777" w:rsidR="006B6D34" w:rsidRPr="00985B78" w:rsidRDefault="006B6D34" w:rsidP="00445EBB">
                            <w:pPr>
                              <w:spacing w:line="360" w:lineRule="auto"/>
                              <w:jc w:val="center"/>
                              <w:rPr>
                                <w:b/>
                                <w:i/>
                                <w:sz w:val="16"/>
                                <w:szCs w:val="16"/>
                              </w:rPr>
                            </w:pPr>
                            <w:r w:rsidRPr="00985B78">
                              <w:rPr>
                                <w:b/>
                                <w:i/>
                                <w:sz w:val="16"/>
                                <w:szCs w:val="16"/>
                              </w:rPr>
                              <w:t xml:space="preserve">EARLY </w:t>
                            </w:r>
                          </w:p>
                          <w:p w14:paraId="4BAEF4FD" w14:textId="77777777" w:rsidR="006B6D34" w:rsidRPr="00985B78" w:rsidRDefault="006B6D34" w:rsidP="00445EBB">
                            <w:pPr>
                              <w:spacing w:line="360" w:lineRule="auto"/>
                              <w:jc w:val="center"/>
                              <w:rPr>
                                <w:b/>
                                <w:i/>
                                <w:sz w:val="16"/>
                                <w:szCs w:val="16"/>
                              </w:rPr>
                            </w:pPr>
                            <w:r w:rsidRPr="00985B78">
                              <w:rPr>
                                <w:b/>
                                <w:i/>
                                <w:sz w:val="16"/>
                                <w:szCs w:val="16"/>
                              </w:rPr>
                              <w:t>Disaster Period</w:t>
                            </w:r>
                          </w:p>
                          <w:p w14:paraId="11F97876" w14:textId="77777777" w:rsidR="006B6D34" w:rsidRPr="00985B78" w:rsidRDefault="006B6D34" w:rsidP="00445EBB">
                            <w:pPr>
                              <w:spacing w:line="360" w:lineRule="auto"/>
                              <w:jc w:val="center"/>
                              <w:rPr>
                                <w:sz w:val="16"/>
                                <w:szCs w:val="16"/>
                              </w:rPr>
                            </w:pPr>
                            <w:r w:rsidRPr="00985B78">
                              <w:rPr>
                                <w:sz w:val="16"/>
                                <w:szCs w:val="16"/>
                              </w:rPr>
                              <w:t>Consumer stockpiling propensity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2224" id="Text Box 2" o:spid="_x0000_s1028" type="#_x0000_t202" style="position:absolute;left:0;text-align:left;margin-left:170.3pt;margin-top:10.85pt;width:124.55pt;height:48.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" fillcolor="window" strokecolor="#a5a5a5 [2092]" strokeweight=".5pt">
                <v:textbox>
                  <w:txbxContent>
                    <w:p w14:paraId="455E3F4B" w14:textId="77777777" w:rsidR="006B6D34" w:rsidRPr="00985B78" w:rsidRDefault="006B6D34" w:rsidP="00445EBB">
                      <w:pPr>
                        <w:spacing w:line="360" w:lineRule="auto"/>
                        <w:jc w:val="center"/>
                        <w:rPr>
                          <w:b/>
                          <w:i/>
                          <w:sz w:val="16"/>
                          <w:szCs w:val="16"/>
                        </w:rPr>
                      </w:pPr>
                      <w:r w:rsidRPr="00985B78">
                        <w:rPr>
                          <w:b/>
                          <w:i/>
                          <w:sz w:val="16"/>
                          <w:szCs w:val="16"/>
                        </w:rPr>
                        <w:t xml:space="preserve">EARLY </w:t>
                      </w:r>
                    </w:p>
                    <w:p w14:paraId="4BAEF4FD" w14:textId="77777777" w:rsidR="006B6D34" w:rsidRPr="00985B78" w:rsidRDefault="006B6D34" w:rsidP="00445EBB">
                      <w:pPr>
                        <w:spacing w:line="360" w:lineRule="auto"/>
                        <w:jc w:val="center"/>
                        <w:rPr>
                          <w:b/>
                          <w:i/>
                          <w:sz w:val="16"/>
                          <w:szCs w:val="16"/>
                        </w:rPr>
                      </w:pPr>
                      <w:r w:rsidRPr="00985B78">
                        <w:rPr>
                          <w:b/>
                          <w:i/>
                          <w:sz w:val="16"/>
                          <w:szCs w:val="16"/>
                        </w:rPr>
                        <w:t>Disaster Period</w:t>
                      </w:r>
                    </w:p>
                    <w:p w14:paraId="11F97876" w14:textId="77777777" w:rsidR="006B6D34" w:rsidRPr="00985B78" w:rsidRDefault="006B6D34" w:rsidP="00445EBB">
                      <w:pPr>
                        <w:spacing w:line="360" w:lineRule="auto"/>
                        <w:jc w:val="center"/>
                        <w:rPr>
                          <w:sz w:val="16"/>
                          <w:szCs w:val="16"/>
                        </w:rPr>
                      </w:pPr>
                      <w:r w:rsidRPr="00985B78">
                        <w:rPr>
                          <w:sz w:val="16"/>
                          <w:szCs w:val="16"/>
                        </w:rPr>
                        <w:t>Consumer stockpiling propensity</w:t>
                      </w:r>
                    </w:p>
                  </w:txbxContent>
                </v:textbox>
              </v:shape>
            </w:pict>
          </mc:Fallback>
        </mc:AlternateContent>
      </w:r>
      <w:r w:rsidR="008A5543" w:rsidRPr="001E47AD">
        <w:rPr>
          <w:noProof/>
          <w:sz w:val="22"/>
          <w:szCs w:val="22"/>
          <w:lang w:eastAsia="zh-CN"/>
        </w:rPr>
        <mc:AlternateContent>
          <mc:Choice Requires="wps">
            <w:drawing>
              <wp:anchor distT="0" distB="0" distL="114300" distR="114300" simplePos="0" relativeHeight="251655680" behindDoc="0" locked="0" layoutInCell="1" allowOverlap="1" wp14:anchorId="693BF338" wp14:editId="3BEE9ECF">
                <wp:simplePos x="0" y="0"/>
                <wp:positionH relativeFrom="column">
                  <wp:posOffset>1757045</wp:posOffset>
                </wp:positionH>
                <wp:positionV relativeFrom="paragraph">
                  <wp:posOffset>294640</wp:posOffset>
                </wp:positionV>
                <wp:extent cx="341630" cy="763270"/>
                <wp:effectExtent l="0" t="38100" r="58420" b="17780"/>
                <wp:wrapNone/>
                <wp:docPr id="17" name="Straight Arrow Connector 17"/>
                <wp:cNvGraphicFramePr/>
                <a:graphic xmlns:a="http://schemas.openxmlformats.org/drawingml/2006/main">
                  <a:graphicData uri="http://schemas.microsoft.com/office/word/2010/wordprocessingShape">
                    <wps:wsp>
                      <wps:cNvCnPr/>
                      <wps:spPr>
                        <a:xfrm flipV="1">
                          <a:off x="0" y="0"/>
                          <a:ext cx="341630" cy="763270"/>
                        </a:xfrm>
                        <a:prstGeom prst="straightConnector1">
                          <a:avLst/>
                        </a:prstGeom>
                        <a:ln>
                          <a:solidFill>
                            <a:schemeClr val="bg1">
                              <a:lumMod val="6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7541CB" id="_x0000_t32" coordsize="21600,21600" o:spt="32" o:oned="t" path="m,l21600,21600e" filled="f">
                <v:path arrowok="t" fillok="f" o:connecttype="none"/>
                <o:lock v:ext="edit" shapetype="t"/>
              </v:shapetype>
              <v:shape id="Straight Arrow Connector 17" o:spid="_x0000_s1026" type="#_x0000_t32" style="position:absolute;margin-left:138.35pt;margin-top:23.2pt;width:26.9pt;height:60.1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" strokecolor="#a5a5a5 [2092]" strokeweight=".5pt">
                <v:stroke endarrow="block" joinstyle="miter"/>
              </v:shape>
            </w:pict>
          </mc:Fallback>
        </mc:AlternateContent>
      </w:r>
      <w:r w:rsidR="00467011" w:rsidRPr="001E47AD">
        <w:rPr>
          <w:noProof/>
          <w:sz w:val="22"/>
          <w:szCs w:val="22"/>
          <w:lang w:eastAsia="zh-CN"/>
        </w:rPr>
        <mc:AlternateContent>
          <mc:Choice Requires="wps">
            <w:drawing>
              <wp:anchor distT="0" distB="0" distL="114300" distR="114300" simplePos="0" relativeHeight="251643392" behindDoc="0" locked="0" layoutInCell="1" allowOverlap="1" wp14:anchorId="4C4F4184" wp14:editId="17914863">
                <wp:simplePos x="0" y="0"/>
                <wp:positionH relativeFrom="column">
                  <wp:posOffset>236524</wp:posOffset>
                </wp:positionH>
                <wp:positionV relativeFrom="paragraph">
                  <wp:posOffset>16510</wp:posOffset>
                </wp:positionV>
                <wp:extent cx="1454785" cy="614045"/>
                <wp:effectExtent l="0" t="0" r="12065" b="14605"/>
                <wp:wrapNone/>
                <wp:docPr id="44" name="Text Box 44"/>
                <wp:cNvGraphicFramePr/>
                <a:graphic xmlns:a="http://schemas.openxmlformats.org/drawingml/2006/main">
                  <a:graphicData uri="http://schemas.microsoft.com/office/word/2010/wordprocessingShape">
                    <wps:wsp>
                      <wps:cNvSpPr txBox="1"/>
                      <wps:spPr>
                        <a:xfrm>
                          <a:off x="0" y="0"/>
                          <a:ext cx="1454785" cy="614045"/>
                        </a:xfrm>
                        <a:prstGeom prst="rect">
                          <a:avLst/>
                        </a:prstGeom>
                        <a:solidFill>
                          <a:sysClr val="window" lastClr="FFFFFF"/>
                        </a:solidFill>
                        <a:ln w="6350">
                          <a:solidFill>
                            <a:schemeClr val="bg1">
                              <a:lumMod val="65000"/>
                            </a:schemeClr>
                          </a:solidFill>
                        </a:ln>
                        <a:effectLst/>
                      </wps:spPr>
                      <wps:txbx>
                        <w:txbxContent>
                          <w:p w14:paraId="4BD6003E" w14:textId="77777777" w:rsidR="006B6D34" w:rsidRPr="00985B78" w:rsidRDefault="006B6D34" w:rsidP="00445EBB">
                            <w:pPr>
                              <w:spacing w:line="360" w:lineRule="auto"/>
                              <w:rPr>
                                <w:b/>
                                <w:i/>
                                <w:sz w:val="16"/>
                                <w:szCs w:val="16"/>
                              </w:rPr>
                            </w:pPr>
                            <w:r w:rsidRPr="00985B78">
                              <w:rPr>
                                <w:b/>
                                <w:i/>
                                <w:sz w:val="16"/>
                                <w:szCs w:val="16"/>
                              </w:rPr>
                              <w:t>Supply-Side Characteristics</w:t>
                            </w:r>
                          </w:p>
                          <w:p w14:paraId="6BD41F91" w14:textId="77777777" w:rsidR="006B6D34" w:rsidRPr="00985B78" w:rsidRDefault="006B6D34" w:rsidP="00445EBB">
                            <w:pPr>
                              <w:spacing w:line="360" w:lineRule="auto"/>
                              <w:rPr>
                                <w:sz w:val="16"/>
                                <w:szCs w:val="16"/>
                              </w:rPr>
                            </w:pPr>
                            <w:r w:rsidRPr="00985B78">
                              <w:rPr>
                                <w:rFonts w:hint="eastAsia"/>
                                <w:sz w:val="16"/>
                                <w:szCs w:val="16"/>
                              </w:rPr>
                              <w:t>Retail</w:t>
                            </w:r>
                            <w:r w:rsidRPr="00985B78">
                              <w:rPr>
                                <w:sz w:val="16"/>
                                <w:szCs w:val="16"/>
                              </w:rPr>
                              <w:t xml:space="preserve"> Network</w:t>
                            </w:r>
                          </w:p>
                          <w:p w14:paraId="43CBDDBC" w14:textId="77777777" w:rsidR="006B6D34" w:rsidRPr="00985B78" w:rsidRDefault="006B6D34" w:rsidP="00445EBB">
                            <w:pPr>
                              <w:spacing w:line="360" w:lineRule="auto"/>
                              <w:rPr>
                                <w:sz w:val="16"/>
                                <w:szCs w:val="16"/>
                              </w:rPr>
                            </w:pPr>
                            <w:r w:rsidRPr="00985B78">
                              <w:rPr>
                                <w:sz w:val="16"/>
                                <w:szCs w:val="16"/>
                              </w:rPr>
                              <w:t>Product Variety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F4184" id="Text Box 44" o:spid="_x0000_s1029" type="#_x0000_t202" style="position:absolute;left:0;text-align:left;margin-left:18.6pt;margin-top:1.3pt;width:114.55pt;height:48.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" fillcolor="window" strokecolor="#a5a5a5 [2092]" strokeweight=".5pt">
                <v:textbox>
                  <w:txbxContent>
                    <w:p w14:paraId="4BD6003E" w14:textId="77777777" w:rsidR="006B6D34" w:rsidRPr="00985B78" w:rsidRDefault="006B6D34" w:rsidP="00445EBB">
                      <w:pPr>
                        <w:spacing w:line="360" w:lineRule="auto"/>
                        <w:rPr>
                          <w:b/>
                          <w:i/>
                          <w:sz w:val="16"/>
                          <w:szCs w:val="16"/>
                        </w:rPr>
                      </w:pPr>
                      <w:r w:rsidRPr="00985B78">
                        <w:rPr>
                          <w:b/>
                          <w:i/>
                          <w:sz w:val="16"/>
                          <w:szCs w:val="16"/>
                        </w:rPr>
                        <w:t>Supply-Side Characteristics</w:t>
                      </w:r>
                    </w:p>
                    <w:p w14:paraId="6BD41F91" w14:textId="77777777" w:rsidR="006B6D34" w:rsidRPr="00985B78" w:rsidRDefault="006B6D34" w:rsidP="00445EBB">
                      <w:pPr>
                        <w:spacing w:line="360" w:lineRule="auto"/>
                        <w:rPr>
                          <w:sz w:val="16"/>
                          <w:szCs w:val="16"/>
                        </w:rPr>
                      </w:pPr>
                      <w:r w:rsidRPr="00985B78">
                        <w:rPr>
                          <w:rFonts w:hint="eastAsia"/>
                          <w:sz w:val="16"/>
                          <w:szCs w:val="16"/>
                        </w:rPr>
                        <w:t>Retail</w:t>
                      </w:r>
                      <w:r w:rsidRPr="00985B78">
                        <w:rPr>
                          <w:sz w:val="16"/>
                          <w:szCs w:val="16"/>
                        </w:rPr>
                        <w:t xml:space="preserve"> Network</w:t>
                      </w:r>
                    </w:p>
                    <w:p w14:paraId="43CBDDBC" w14:textId="77777777" w:rsidR="006B6D34" w:rsidRPr="00985B78" w:rsidRDefault="006B6D34" w:rsidP="00445EBB">
                      <w:pPr>
                        <w:spacing w:line="360" w:lineRule="auto"/>
                        <w:rPr>
                          <w:sz w:val="16"/>
                          <w:szCs w:val="16"/>
                        </w:rPr>
                      </w:pPr>
                      <w:r w:rsidRPr="00985B78">
                        <w:rPr>
                          <w:sz w:val="16"/>
                          <w:szCs w:val="16"/>
                        </w:rPr>
                        <w:t>Product Variety</w:t>
                      </w:r>
                    </w:p>
                  </w:txbxContent>
                </v:textbox>
              </v:shape>
            </w:pict>
          </mc:Fallback>
        </mc:AlternateContent>
      </w:r>
    </w:p>
    <w:p w14:paraId="40724260" w14:textId="77777777" w:rsidR="007125AC" w:rsidRPr="001E47AD" w:rsidRDefault="00917236" w:rsidP="00DE36A0">
      <w:pPr>
        <w:spacing w:before="120" w:after="120" w:line="480" w:lineRule="auto"/>
        <w:contextualSpacing/>
        <w:jc w:val="both"/>
        <w:rPr>
          <w:sz w:val="22"/>
          <w:szCs w:val="22"/>
        </w:rPr>
      </w:pPr>
      <w:r w:rsidRPr="001E47AD">
        <w:rPr>
          <w:noProof/>
          <w:sz w:val="22"/>
          <w:szCs w:val="22"/>
          <w:lang w:eastAsia="zh-CN"/>
        </w:rPr>
        <mc:AlternateContent>
          <mc:Choice Requires="wps">
            <w:drawing>
              <wp:anchor distT="0" distB="0" distL="114300" distR="114300" simplePos="0" relativeHeight="251674112" behindDoc="0" locked="0" layoutInCell="1" allowOverlap="1" wp14:anchorId="3B92B2DD" wp14:editId="05E4AB45">
                <wp:simplePos x="0" y="0"/>
                <wp:positionH relativeFrom="column">
                  <wp:posOffset>4155034</wp:posOffset>
                </wp:positionH>
                <wp:positionV relativeFrom="paragraph">
                  <wp:posOffset>53670</wp:posOffset>
                </wp:positionV>
                <wp:extent cx="1709420" cy="1031443"/>
                <wp:effectExtent l="0" t="0" r="24130" b="16510"/>
                <wp:wrapNone/>
                <wp:docPr id="19" name="Text Box 19"/>
                <wp:cNvGraphicFramePr/>
                <a:graphic xmlns:a="http://schemas.openxmlformats.org/drawingml/2006/main">
                  <a:graphicData uri="http://schemas.microsoft.com/office/word/2010/wordprocessingShape">
                    <wps:wsp>
                      <wps:cNvSpPr txBox="1"/>
                      <wps:spPr>
                        <a:xfrm>
                          <a:off x="0" y="0"/>
                          <a:ext cx="1709420" cy="1031443"/>
                        </a:xfrm>
                        <a:prstGeom prst="rect">
                          <a:avLst/>
                        </a:prstGeom>
                        <a:noFill/>
                        <a:ln w="6350">
                          <a:solidFill>
                            <a:schemeClr val="bg1">
                              <a:lumMod val="65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F534C2F" w14:textId="77777777" w:rsidR="006B6D34" w:rsidRDefault="006B6D34" w:rsidP="00917236">
                            <w:pPr>
                              <w:jc w:val="center"/>
                              <w:rPr>
                                <w:b/>
                                <w:sz w:val="16"/>
                                <w:szCs w:val="16"/>
                              </w:rPr>
                            </w:pPr>
                            <w:r>
                              <w:rPr>
                                <w:b/>
                                <w:sz w:val="16"/>
                                <w:szCs w:val="16"/>
                              </w:rPr>
                              <w:t>Dependent</w:t>
                            </w:r>
                            <w:r w:rsidRPr="00467011">
                              <w:rPr>
                                <w:b/>
                                <w:sz w:val="16"/>
                                <w:szCs w:val="16"/>
                              </w:rPr>
                              <w:t xml:space="preserve"> Variable</w:t>
                            </w:r>
                          </w:p>
                          <w:p w14:paraId="299E65F1" w14:textId="77777777" w:rsidR="006B6D34" w:rsidRPr="002A536D" w:rsidRDefault="006B6D34" w:rsidP="00917236">
                            <w:pPr>
                              <w:jc w:val="center"/>
                              <w:rPr>
                                <w:sz w:val="16"/>
                                <w:szCs w:val="16"/>
                              </w:rPr>
                            </w:pPr>
                            <w:r>
                              <w:rPr>
                                <w:sz w:val="16"/>
                                <w:szCs w:val="16"/>
                              </w:rPr>
                              <w:t>(Second-Step</w:t>
                            </w:r>
                            <w:r w:rsidRPr="002A536D">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2B2DD" id="Text Box 19" o:spid="_x0000_s1030" type="#_x0000_t202" style="position:absolute;left:0;text-align:left;margin-left:327.15pt;margin-top:4.25pt;width:134.6pt;height:8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" filled="f" strokecolor="#a5a5a5 [2092]" strokeweight=".5pt">
                <v:stroke dashstyle="dash"/>
                <v:textbox>
                  <w:txbxContent>
                    <w:p w14:paraId="2F534C2F" w14:textId="77777777" w:rsidR="006B6D34" w:rsidRDefault="006B6D34" w:rsidP="00917236">
                      <w:pPr>
                        <w:jc w:val="center"/>
                        <w:rPr>
                          <w:b/>
                          <w:sz w:val="16"/>
                          <w:szCs w:val="16"/>
                        </w:rPr>
                      </w:pPr>
                      <w:r>
                        <w:rPr>
                          <w:b/>
                          <w:sz w:val="16"/>
                          <w:szCs w:val="16"/>
                        </w:rPr>
                        <w:t>Dependent</w:t>
                      </w:r>
                      <w:r w:rsidRPr="00467011">
                        <w:rPr>
                          <w:b/>
                          <w:sz w:val="16"/>
                          <w:szCs w:val="16"/>
                        </w:rPr>
                        <w:t xml:space="preserve"> Variable</w:t>
                      </w:r>
                    </w:p>
                    <w:p w14:paraId="299E65F1" w14:textId="77777777" w:rsidR="006B6D34" w:rsidRPr="002A536D" w:rsidRDefault="006B6D34" w:rsidP="00917236">
                      <w:pPr>
                        <w:jc w:val="center"/>
                        <w:rPr>
                          <w:sz w:val="16"/>
                          <w:szCs w:val="16"/>
                        </w:rPr>
                      </w:pPr>
                      <w:r>
                        <w:rPr>
                          <w:sz w:val="16"/>
                          <w:szCs w:val="16"/>
                        </w:rPr>
                        <w:t>(Second-Step</w:t>
                      </w:r>
                      <w:r w:rsidRPr="002A536D">
                        <w:rPr>
                          <w:sz w:val="16"/>
                          <w:szCs w:val="16"/>
                        </w:rPr>
                        <w:t>)</w:t>
                      </w:r>
                    </w:p>
                  </w:txbxContent>
                </v:textbox>
              </v:shape>
            </w:pict>
          </mc:Fallback>
        </mc:AlternateContent>
      </w:r>
      <w:r w:rsidR="008A5543" w:rsidRPr="001E47AD">
        <w:rPr>
          <w:noProof/>
          <w:sz w:val="22"/>
          <w:szCs w:val="22"/>
          <w:lang w:eastAsia="zh-CN"/>
        </w:rPr>
        <mc:AlternateContent>
          <mc:Choice Requires="wps">
            <w:drawing>
              <wp:anchor distT="0" distB="0" distL="114300" distR="114300" simplePos="0" relativeHeight="251661824" behindDoc="0" locked="0" layoutInCell="1" allowOverlap="1" wp14:anchorId="308B2785" wp14:editId="6577EEA8">
                <wp:simplePos x="0" y="0"/>
                <wp:positionH relativeFrom="column">
                  <wp:posOffset>3808095</wp:posOffset>
                </wp:positionH>
                <wp:positionV relativeFrom="paragraph">
                  <wp:posOffset>36830</wp:posOffset>
                </wp:positionV>
                <wp:extent cx="333375" cy="699135"/>
                <wp:effectExtent l="0" t="0" r="66675" b="62865"/>
                <wp:wrapNone/>
                <wp:docPr id="20" name="Straight Arrow Connector 20"/>
                <wp:cNvGraphicFramePr/>
                <a:graphic xmlns:a="http://schemas.openxmlformats.org/drawingml/2006/main">
                  <a:graphicData uri="http://schemas.microsoft.com/office/word/2010/wordprocessingShape">
                    <wps:wsp>
                      <wps:cNvCnPr/>
                      <wps:spPr>
                        <a:xfrm>
                          <a:off x="0" y="0"/>
                          <a:ext cx="333375" cy="699135"/>
                        </a:xfrm>
                        <a:prstGeom prst="straightConnector1">
                          <a:avLst/>
                        </a:prstGeom>
                        <a:ln w="9525">
                          <a:solidFill>
                            <a:schemeClr val="bg1">
                              <a:lumMod val="6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4C1626" id="Straight Arrow Connector 20" o:spid="_x0000_s1026" type="#_x0000_t32" style="position:absolute;margin-left:299.85pt;margin-top:2.9pt;width:26.25pt;height:5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" strokecolor="#a5a5a5 [2092]">
                <v:stroke endarrow="block" joinstyle="miter"/>
              </v:shape>
            </w:pict>
          </mc:Fallback>
        </mc:AlternateContent>
      </w:r>
    </w:p>
    <w:p w14:paraId="7A692447" w14:textId="77777777" w:rsidR="00DD2D39" w:rsidRPr="001E47AD" w:rsidRDefault="00917236" w:rsidP="00460A6F">
      <w:pPr>
        <w:spacing w:before="120" w:after="120" w:line="480" w:lineRule="auto"/>
        <w:contextualSpacing/>
        <w:jc w:val="both"/>
        <w:rPr>
          <w:sz w:val="22"/>
          <w:szCs w:val="22"/>
          <w:lang w:eastAsia="zh-CN"/>
        </w:rPr>
      </w:pPr>
      <w:r w:rsidRPr="001E47AD">
        <w:rPr>
          <w:noProof/>
          <w:sz w:val="22"/>
          <w:szCs w:val="22"/>
          <w:lang w:eastAsia="zh-CN"/>
        </w:rPr>
        <mc:AlternateContent>
          <mc:Choice Requires="wps">
            <w:drawing>
              <wp:anchor distT="0" distB="0" distL="114300" distR="114300" simplePos="0" relativeHeight="251671040" behindDoc="0" locked="0" layoutInCell="1" allowOverlap="1" wp14:anchorId="450B9EF6" wp14:editId="69DE2DD7">
                <wp:simplePos x="0" y="0"/>
                <wp:positionH relativeFrom="column">
                  <wp:posOffset>4208450</wp:posOffset>
                </wp:positionH>
                <wp:positionV relativeFrom="paragraph">
                  <wp:posOffset>83185</wp:posOffset>
                </wp:positionV>
                <wp:extent cx="1581785" cy="614045"/>
                <wp:effectExtent l="0" t="0" r="18415" b="14605"/>
                <wp:wrapNone/>
                <wp:docPr id="7" name="Text Box 7"/>
                <wp:cNvGraphicFramePr/>
                <a:graphic xmlns:a="http://schemas.openxmlformats.org/drawingml/2006/main">
                  <a:graphicData uri="http://schemas.microsoft.com/office/word/2010/wordprocessingShape">
                    <wps:wsp>
                      <wps:cNvSpPr txBox="1"/>
                      <wps:spPr>
                        <a:xfrm>
                          <a:off x="0" y="0"/>
                          <a:ext cx="1581785" cy="614045"/>
                        </a:xfrm>
                        <a:prstGeom prst="rect">
                          <a:avLst/>
                        </a:prstGeom>
                        <a:solidFill>
                          <a:sysClr val="window" lastClr="FFFFFF"/>
                        </a:solidFill>
                        <a:ln w="6350">
                          <a:solidFill>
                            <a:schemeClr val="bg1">
                              <a:lumMod val="65000"/>
                            </a:schemeClr>
                          </a:solidFill>
                        </a:ln>
                        <a:effectLst/>
                      </wps:spPr>
                      <wps:txbx>
                        <w:txbxContent>
                          <w:p w14:paraId="36059DF6" w14:textId="77777777" w:rsidR="006B6D34" w:rsidRPr="00985B78" w:rsidRDefault="006B6D34" w:rsidP="00E316C7">
                            <w:pPr>
                              <w:spacing w:line="360" w:lineRule="auto"/>
                              <w:jc w:val="center"/>
                              <w:rPr>
                                <w:b/>
                                <w:i/>
                                <w:sz w:val="16"/>
                                <w:szCs w:val="16"/>
                              </w:rPr>
                            </w:pPr>
                            <w:r w:rsidRPr="00985B78">
                              <w:rPr>
                                <w:b/>
                                <w:i/>
                                <w:sz w:val="16"/>
                                <w:szCs w:val="16"/>
                              </w:rPr>
                              <w:t xml:space="preserve">LATE &amp; </w:t>
                            </w:r>
                            <w:r w:rsidRPr="00985B78">
                              <w:rPr>
                                <w:rFonts w:hint="eastAsia"/>
                                <w:b/>
                                <w:i/>
                                <w:sz w:val="16"/>
                                <w:szCs w:val="16"/>
                              </w:rPr>
                              <w:t>P</w:t>
                            </w:r>
                            <w:r w:rsidRPr="00985B78">
                              <w:rPr>
                                <w:b/>
                                <w:i/>
                                <w:sz w:val="16"/>
                                <w:szCs w:val="16"/>
                              </w:rPr>
                              <w:t xml:space="preserve">OST </w:t>
                            </w:r>
                          </w:p>
                          <w:p w14:paraId="1089C72E" w14:textId="77777777" w:rsidR="006B6D34" w:rsidRPr="00985B78" w:rsidRDefault="006B6D34" w:rsidP="00E316C7">
                            <w:pPr>
                              <w:spacing w:line="360" w:lineRule="auto"/>
                              <w:jc w:val="center"/>
                              <w:rPr>
                                <w:b/>
                                <w:i/>
                                <w:sz w:val="16"/>
                                <w:szCs w:val="16"/>
                              </w:rPr>
                            </w:pPr>
                            <w:r w:rsidRPr="00985B78">
                              <w:rPr>
                                <w:b/>
                                <w:i/>
                                <w:sz w:val="16"/>
                                <w:szCs w:val="16"/>
                              </w:rPr>
                              <w:t>Disaster Period</w:t>
                            </w:r>
                          </w:p>
                          <w:p w14:paraId="10AAD6E7" w14:textId="77777777" w:rsidR="006B6D34" w:rsidRPr="00985B78" w:rsidRDefault="006B6D34" w:rsidP="00E316C7">
                            <w:pPr>
                              <w:spacing w:line="360" w:lineRule="auto"/>
                              <w:jc w:val="center"/>
                              <w:rPr>
                                <w:sz w:val="16"/>
                                <w:szCs w:val="16"/>
                              </w:rPr>
                            </w:pPr>
                            <w:r w:rsidRPr="00985B78">
                              <w:rPr>
                                <w:rFonts w:hint="eastAsia"/>
                                <w:sz w:val="16"/>
                                <w:szCs w:val="16"/>
                              </w:rPr>
                              <w:t xml:space="preserve">In-Store </w:t>
                            </w:r>
                            <w:r w:rsidRPr="00985B78">
                              <w:rPr>
                                <w:sz w:val="16"/>
                                <w:szCs w:val="16"/>
                              </w:rPr>
                              <w:t>Product 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B9EF6" id="Text Box 7" o:spid="_x0000_s1031" type="#_x0000_t202" style="position:absolute;left:0;text-align:left;margin-left:331.35pt;margin-top:6.55pt;width:124.55pt;height:48.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" fillcolor="window" strokecolor="#a5a5a5 [2092]" strokeweight=".5pt">
                <v:textbox>
                  <w:txbxContent>
                    <w:p w14:paraId="36059DF6" w14:textId="77777777" w:rsidR="006B6D34" w:rsidRPr="00985B78" w:rsidRDefault="006B6D34" w:rsidP="00E316C7">
                      <w:pPr>
                        <w:spacing w:line="360" w:lineRule="auto"/>
                        <w:jc w:val="center"/>
                        <w:rPr>
                          <w:b/>
                          <w:i/>
                          <w:sz w:val="16"/>
                          <w:szCs w:val="16"/>
                        </w:rPr>
                      </w:pPr>
                      <w:r w:rsidRPr="00985B78">
                        <w:rPr>
                          <w:b/>
                          <w:i/>
                          <w:sz w:val="16"/>
                          <w:szCs w:val="16"/>
                        </w:rPr>
                        <w:t xml:space="preserve">LATE &amp; </w:t>
                      </w:r>
                      <w:r w:rsidRPr="00985B78">
                        <w:rPr>
                          <w:rFonts w:hint="eastAsia"/>
                          <w:b/>
                          <w:i/>
                          <w:sz w:val="16"/>
                          <w:szCs w:val="16"/>
                        </w:rPr>
                        <w:t>P</w:t>
                      </w:r>
                      <w:r w:rsidRPr="00985B78">
                        <w:rPr>
                          <w:b/>
                          <w:i/>
                          <w:sz w:val="16"/>
                          <w:szCs w:val="16"/>
                        </w:rPr>
                        <w:t xml:space="preserve">OST </w:t>
                      </w:r>
                    </w:p>
                    <w:p w14:paraId="1089C72E" w14:textId="77777777" w:rsidR="006B6D34" w:rsidRPr="00985B78" w:rsidRDefault="006B6D34" w:rsidP="00E316C7">
                      <w:pPr>
                        <w:spacing w:line="360" w:lineRule="auto"/>
                        <w:jc w:val="center"/>
                        <w:rPr>
                          <w:b/>
                          <w:i/>
                          <w:sz w:val="16"/>
                          <w:szCs w:val="16"/>
                        </w:rPr>
                      </w:pPr>
                      <w:r w:rsidRPr="00985B78">
                        <w:rPr>
                          <w:b/>
                          <w:i/>
                          <w:sz w:val="16"/>
                          <w:szCs w:val="16"/>
                        </w:rPr>
                        <w:t>Disaster Period</w:t>
                      </w:r>
                    </w:p>
                    <w:p w14:paraId="10AAD6E7" w14:textId="77777777" w:rsidR="006B6D34" w:rsidRPr="00985B78" w:rsidRDefault="006B6D34" w:rsidP="00E316C7">
                      <w:pPr>
                        <w:spacing w:line="360" w:lineRule="auto"/>
                        <w:jc w:val="center"/>
                        <w:rPr>
                          <w:sz w:val="16"/>
                          <w:szCs w:val="16"/>
                        </w:rPr>
                      </w:pPr>
                      <w:r w:rsidRPr="00985B78">
                        <w:rPr>
                          <w:rFonts w:hint="eastAsia"/>
                          <w:sz w:val="16"/>
                          <w:szCs w:val="16"/>
                        </w:rPr>
                        <w:t xml:space="preserve">In-Store </w:t>
                      </w:r>
                      <w:r w:rsidRPr="00985B78">
                        <w:rPr>
                          <w:sz w:val="16"/>
                          <w:szCs w:val="16"/>
                        </w:rPr>
                        <w:t>Product Availability</w:t>
                      </w:r>
                    </w:p>
                  </w:txbxContent>
                </v:textbox>
              </v:shape>
            </w:pict>
          </mc:Fallback>
        </mc:AlternateContent>
      </w:r>
      <w:r w:rsidR="00467011" w:rsidRPr="001E47AD">
        <w:rPr>
          <w:noProof/>
          <w:sz w:val="22"/>
          <w:szCs w:val="22"/>
          <w:lang w:eastAsia="zh-CN"/>
        </w:rPr>
        <mc:AlternateContent>
          <mc:Choice Requires="wps">
            <w:drawing>
              <wp:anchor distT="0" distB="0" distL="114300" distR="114300" simplePos="0" relativeHeight="251649536" behindDoc="0" locked="0" layoutInCell="1" allowOverlap="1" wp14:anchorId="0B916F38" wp14:editId="65647036">
                <wp:simplePos x="0" y="0"/>
                <wp:positionH relativeFrom="column">
                  <wp:posOffset>234619</wp:posOffset>
                </wp:positionH>
                <wp:positionV relativeFrom="paragraph">
                  <wp:posOffset>85725</wp:posOffset>
                </wp:positionV>
                <wp:extent cx="1454785" cy="614045"/>
                <wp:effectExtent l="0" t="0" r="12065" b="14605"/>
                <wp:wrapNone/>
                <wp:docPr id="49" name="Text Box 49"/>
                <wp:cNvGraphicFramePr/>
                <a:graphic xmlns:a="http://schemas.openxmlformats.org/drawingml/2006/main">
                  <a:graphicData uri="http://schemas.microsoft.com/office/word/2010/wordprocessingShape">
                    <wps:wsp>
                      <wps:cNvSpPr txBox="1"/>
                      <wps:spPr>
                        <a:xfrm>
                          <a:off x="0" y="0"/>
                          <a:ext cx="1454785" cy="614045"/>
                        </a:xfrm>
                        <a:prstGeom prst="rect">
                          <a:avLst/>
                        </a:prstGeom>
                        <a:solidFill>
                          <a:sysClr val="window" lastClr="FFFFFF"/>
                        </a:solidFill>
                        <a:ln w="6350">
                          <a:solidFill>
                            <a:schemeClr val="bg1">
                              <a:lumMod val="65000"/>
                            </a:schemeClr>
                          </a:solidFill>
                        </a:ln>
                        <a:effectLst/>
                      </wps:spPr>
                      <wps:txbx>
                        <w:txbxContent>
                          <w:p w14:paraId="616F877E" w14:textId="77777777" w:rsidR="006B6D34" w:rsidRPr="00985B78" w:rsidRDefault="006B6D34" w:rsidP="00445EBB">
                            <w:pPr>
                              <w:spacing w:line="360" w:lineRule="auto"/>
                              <w:rPr>
                                <w:b/>
                                <w:i/>
                                <w:sz w:val="16"/>
                                <w:szCs w:val="16"/>
                              </w:rPr>
                            </w:pPr>
                            <w:r w:rsidRPr="00985B78">
                              <w:rPr>
                                <w:b/>
                                <w:i/>
                                <w:sz w:val="16"/>
                                <w:szCs w:val="16"/>
                              </w:rPr>
                              <w:t>Demand-Side Characteristics</w:t>
                            </w:r>
                          </w:p>
                          <w:p w14:paraId="0EADCA4A" w14:textId="77777777" w:rsidR="006B6D34" w:rsidRPr="00985B78" w:rsidRDefault="006B6D34" w:rsidP="00445EBB">
                            <w:pPr>
                              <w:spacing w:line="360" w:lineRule="auto"/>
                              <w:rPr>
                                <w:sz w:val="16"/>
                                <w:szCs w:val="16"/>
                              </w:rPr>
                            </w:pPr>
                            <w:r w:rsidRPr="00985B78">
                              <w:rPr>
                                <w:rFonts w:hint="eastAsia"/>
                                <w:sz w:val="16"/>
                                <w:szCs w:val="16"/>
                              </w:rPr>
                              <w:t>Disaster</w:t>
                            </w:r>
                            <w:r w:rsidRPr="00985B78">
                              <w:rPr>
                                <w:sz w:val="16"/>
                                <w:szCs w:val="16"/>
                              </w:rPr>
                              <w:t xml:space="preserve"> </w:t>
                            </w:r>
                            <w:r w:rsidRPr="00985B78">
                              <w:rPr>
                                <w:rFonts w:hint="eastAsia"/>
                                <w:sz w:val="16"/>
                                <w:szCs w:val="16"/>
                              </w:rPr>
                              <w:t>Experience</w:t>
                            </w:r>
                          </w:p>
                          <w:p w14:paraId="3C36205F" w14:textId="77777777" w:rsidR="006B6D34" w:rsidRPr="00985B78" w:rsidRDefault="006B6D34" w:rsidP="00445EBB">
                            <w:pPr>
                              <w:spacing w:line="360" w:lineRule="auto"/>
                              <w:rPr>
                                <w:sz w:val="16"/>
                                <w:szCs w:val="16"/>
                              </w:rPr>
                            </w:pPr>
                            <w:r w:rsidRPr="00985B78">
                              <w:rPr>
                                <w:sz w:val="16"/>
                                <w:szCs w:val="16"/>
                              </w:rPr>
                              <w:t>Household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16F38" id="Text Box 49" o:spid="_x0000_s1032" type="#_x0000_t202" style="position:absolute;left:0;text-align:left;margin-left:18.45pt;margin-top:6.75pt;width:114.55pt;height:48.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" fillcolor="window" strokecolor="#a5a5a5 [2092]" strokeweight=".5pt">
                <v:textbox>
                  <w:txbxContent>
                    <w:p w14:paraId="616F877E" w14:textId="77777777" w:rsidR="006B6D34" w:rsidRPr="00985B78" w:rsidRDefault="006B6D34" w:rsidP="00445EBB">
                      <w:pPr>
                        <w:spacing w:line="360" w:lineRule="auto"/>
                        <w:rPr>
                          <w:b/>
                          <w:i/>
                          <w:sz w:val="16"/>
                          <w:szCs w:val="16"/>
                        </w:rPr>
                      </w:pPr>
                      <w:r w:rsidRPr="00985B78">
                        <w:rPr>
                          <w:b/>
                          <w:i/>
                          <w:sz w:val="16"/>
                          <w:szCs w:val="16"/>
                        </w:rPr>
                        <w:t>Demand-Side Characteristics</w:t>
                      </w:r>
                    </w:p>
                    <w:p w14:paraId="0EADCA4A" w14:textId="77777777" w:rsidR="006B6D34" w:rsidRPr="00985B78" w:rsidRDefault="006B6D34" w:rsidP="00445EBB">
                      <w:pPr>
                        <w:spacing w:line="360" w:lineRule="auto"/>
                        <w:rPr>
                          <w:sz w:val="16"/>
                          <w:szCs w:val="16"/>
                        </w:rPr>
                      </w:pPr>
                      <w:r w:rsidRPr="00985B78">
                        <w:rPr>
                          <w:rFonts w:hint="eastAsia"/>
                          <w:sz w:val="16"/>
                          <w:szCs w:val="16"/>
                        </w:rPr>
                        <w:t>Disaster</w:t>
                      </w:r>
                      <w:r w:rsidRPr="00985B78">
                        <w:rPr>
                          <w:sz w:val="16"/>
                          <w:szCs w:val="16"/>
                        </w:rPr>
                        <w:t xml:space="preserve"> </w:t>
                      </w:r>
                      <w:r w:rsidRPr="00985B78">
                        <w:rPr>
                          <w:rFonts w:hint="eastAsia"/>
                          <w:sz w:val="16"/>
                          <w:szCs w:val="16"/>
                        </w:rPr>
                        <w:t>Experience</w:t>
                      </w:r>
                    </w:p>
                    <w:p w14:paraId="3C36205F" w14:textId="77777777" w:rsidR="006B6D34" w:rsidRPr="00985B78" w:rsidRDefault="006B6D34" w:rsidP="00445EBB">
                      <w:pPr>
                        <w:spacing w:line="360" w:lineRule="auto"/>
                        <w:rPr>
                          <w:sz w:val="16"/>
                          <w:szCs w:val="16"/>
                        </w:rPr>
                      </w:pPr>
                      <w:r w:rsidRPr="00985B78">
                        <w:rPr>
                          <w:sz w:val="16"/>
                          <w:szCs w:val="16"/>
                        </w:rPr>
                        <w:t>Household Income</w:t>
                      </w:r>
                    </w:p>
                  </w:txbxContent>
                </v:textbox>
              </v:shape>
            </w:pict>
          </mc:Fallback>
        </mc:AlternateContent>
      </w:r>
    </w:p>
    <w:p w14:paraId="2EA1BBF8" w14:textId="77777777" w:rsidR="00D33601" w:rsidRPr="001E47AD" w:rsidRDefault="00EE0B06" w:rsidP="00537900">
      <w:pPr>
        <w:spacing w:line="480" w:lineRule="auto"/>
        <w:contextualSpacing/>
        <w:jc w:val="both"/>
        <w:rPr>
          <w:sz w:val="22"/>
          <w:szCs w:val="22"/>
          <w:lang w:eastAsia="zh-CN"/>
        </w:rPr>
      </w:pPr>
      <w:r w:rsidRPr="001E47AD">
        <w:rPr>
          <w:noProof/>
          <w:sz w:val="22"/>
          <w:szCs w:val="22"/>
          <w:lang w:eastAsia="zh-CN"/>
        </w:rPr>
        <mc:AlternateContent>
          <mc:Choice Requires="wps">
            <w:drawing>
              <wp:anchor distT="0" distB="0" distL="114300" distR="114300" simplePos="0" relativeHeight="251658752" behindDoc="0" locked="0" layoutInCell="1" allowOverlap="1" wp14:anchorId="5931C2A6" wp14:editId="65053DE2">
                <wp:simplePos x="0" y="0"/>
                <wp:positionH relativeFrom="column">
                  <wp:posOffset>1764996</wp:posOffset>
                </wp:positionH>
                <wp:positionV relativeFrom="paragraph">
                  <wp:posOffset>212725</wp:posOffset>
                </wp:positionV>
                <wp:extent cx="2385392" cy="0"/>
                <wp:effectExtent l="0" t="76200" r="15240" b="95250"/>
                <wp:wrapNone/>
                <wp:docPr id="18" name="Straight Arrow Connector 18"/>
                <wp:cNvGraphicFramePr/>
                <a:graphic xmlns:a="http://schemas.openxmlformats.org/drawingml/2006/main">
                  <a:graphicData uri="http://schemas.microsoft.com/office/word/2010/wordprocessingShape">
                    <wps:wsp>
                      <wps:cNvCnPr/>
                      <wps:spPr>
                        <a:xfrm>
                          <a:off x="0" y="0"/>
                          <a:ext cx="2385392" cy="0"/>
                        </a:xfrm>
                        <a:prstGeom prst="straightConnector1">
                          <a:avLst/>
                        </a:prstGeom>
                        <a:ln w="9525">
                          <a:solidFill>
                            <a:schemeClr val="bg1">
                              <a:lumMod val="6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76370" id="Straight Arrow Connector 18" o:spid="_x0000_s1026" type="#_x0000_t32" style="position:absolute;margin-left:139pt;margin-top:16.75pt;width:187.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" strokecolor="#a5a5a5 [2092]">
                <v:stroke endarrow="block" joinstyle="miter"/>
              </v:shape>
            </w:pict>
          </mc:Fallback>
        </mc:AlternateContent>
      </w:r>
    </w:p>
    <w:p w14:paraId="0DB4DC75" w14:textId="77777777" w:rsidR="00D354C1" w:rsidRPr="001E47AD" w:rsidRDefault="002300D2" w:rsidP="00D354C1">
      <w:pPr>
        <w:spacing w:before="120" w:after="120" w:line="360" w:lineRule="auto"/>
        <w:contextualSpacing/>
        <w:jc w:val="both"/>
      </w:pPr>
      <w:r w:rsidRPr="001E47AD">
        <w:rPr>
          <w:noProof/>
          <w:sz w:val="22"/>
          <w:szCs w:val="22"/>
          <w:lang w:eastAsia="zh-CN"/>
        </w:rPr>
        <mc:AlternateContent>
          <mc:Choice Requires="wps">
            <w:drawing>
              <wp:anchor distT="0" distB="0" distL="114300" distR="114300" simplePos="0" relativeHeight="251652608" behindDoc="0" locked="0" layoutInCell="1" allowOverlap="1" wp14:anchorId="1523F04E" wp14:editId="1EC694B7">
                <wp:simplePos x="0" y="0"/>
                <wp:positionH relativeFrom="column">
                  <wp:posOffset>233984</wp:posOffset>
                </wp:positionH>
                <wp:positionV relativeFrom="paragraph">
                  <wp:posOffset>173355</wp:posOffset>
                </wp:positionV>
                <wp:extent cx="1454785" cy="614045"/>
                <wp:effectExtent l="0" t="0" r="12065" b="14605"/>
                <wp:wrapNone/>
                <wp:docPr id="50" name="Text Box 50"/>
                <wp:cNvGraphicFramePr/>
                <a:graphic xmlns:a="http://schemas.openxmlformats.org/drawingml/2006/main">
                  <a:graphicData uri="http://schemas.microsoft.com/office/word/2010/wordprocessingShape">
                    <wps:wsp>
                      <wps:cNvSpPr txBox="1"/>
                      <wps:spPr>
                        <a:xfrm>
                          <a:off x="0" y="0"/>
                          <a:ext cx="1454785" cy="614045"/>
                        </a:xfrm>
                        <a:prstGeom prst="rect">
                          <a:avLst/>
                        </a:prstGeom>
                        <a:solidFill>
                          <a:sysClr val="window" lastClr="FFFFFF"/>
                        </a:solidFill>
                        <a:ln w="6350">
                          <a:solidFill>
                            <a:schemeClr val="bg1">
                              <a:lumMod val="65000"/>
                            </a:schemeClr>
                          </a:solidFill>
                        </a:ln>
                        <a:effectLst/>
                      </wps:spPr>
                      <wps:txbx>
                        <w:txbxContent>
                          <w:p w14:paraId="13BF1E9B" w14:textId="77777777" w:rsidR="006B6D34" w:rsidRPr="00985B78" w:rsidRDefault="006B6D34" w:rsidP="00445EBB">
                            <w:pPr>
                              <w:spacing w:line="360" w:lineRule="auto"/>
                              <w:rPr>
                                <w:b/>
                                <w:i/>
                                <w:sz w:val="16"/>
                                <w:szCs w:val="16"/>
                              </w:rPr>
                            </w:pPr>
                            <w:r w:rsidRPr="00985B78">
                              <w:rPr>
                                <w:b/>
                                <w:i/>
                                <w:sz w:val="16"/>
                                <w:szCs w:val="16"/>
                              </w:rPr>
                              <w:t>Disaster Characteristics</w:t>
                            </w:r>
                          </w:p>
                          <w:p w14:paraId="2605D8F5" w14:textId="77777777" w:rsidR="006B6D34" w:rsidRPr="00985B78" w:rsidRDefault="006B6D34" w:rsidP="00445EBB">
                            <w:pPr>
                              <w:spacing w:line="360" w:lineRule="auto"/>
                              <w:rPr>
                                <w:sz w:val="16"/>
                                <w:szCs w:val="16"/>
                              </w:rPr>
                            </w:pPr>
                            <w:r w:rsidRPr="00985B78">
                              <w:rPr>
                                <w:rFonts w:hint="eastAsia"/>
                                <w:sz w:val="16"/>
                                <w:szCs w:val="16"/>
                              </w:rPr>
                              <w:t xml:space="preserve">Hazard </w:t>
                            </w:r>
                            <w:r w:rsidRPr="00985B78">
                              <w:rPr>
                                <w:sz w:val="16"/>
                                <w:szCs w:val="16"/>
                              </w:rPr>
                              <w:t>Proximity</w:t>
                            </w:r>
                          </w:p>
                          <w:p w14:paraId="4960EEC5" w14:textId="77777777" w:rsidR="006B6D34" w:rsidRPr="00985B78" w:rsidRDefault="006B6D34" w:rsidP="00445EBB">
                            <w:pPr>
                              <w:spacing w:line="360" w:lineRule="auto"/>
                              <w:rPr>
                                <w:sz w:val="16"/>
                                <w:szCs w:val="16"/>
                              </w:rPr>
                            </w:pPr>
                            <w:r w:rsidRPr="00985B78">
                              <w:rPr>
                                <w:sz w:val="16"/>
                                <w:szCs w:val="16"/>
                              </w:rPr>
                              <w:t>H</w:t>
                            </w:r>
                            <w:r w:rsidRPr="00985B78">
                              <w:rPr>
                                <w:rFonts w:hint="eastAsia"/>
                                <w:sz w:val="16"/>
                                <w:szCs w:val="16"/>
                              </w:rPr>
                              <w:t xml:space="preserve">azard </w:t>
                            </w:r>
                            <w:r w:rsidRPr="00985B78">
                              <w:rPr>
                                <w:sz w:val="16"/>
                                <w:szCs w:val="16"/>
                              </w:rPr>
                              <w:t>Intensity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3F04E" id="Text Box 50" o:spid="_x0000_s1033" type="#_x0000_t202" style="position:absolute;left:0;text-align:left;margin-left:18.4pt;margin-top:13.65pt;width:114.55pt;height:4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" fillcolor="window" strokecolor="#a5a5a5 [2092]" strokeweight=".5pt">
                <v:textbox>
                  <w:txbxContent>
                    <w:p w14:paraId="13BF1E9B" w14:textId="77777777" w:rsidR="006B6D34" w:rsidRPr="00985B78" w:rsidRDefault="006B6D34" w:rsidP="00445EBB">
                      <w:pPr>
                        <w:spacing w:line="360" w:lineRule="auto"/>
                        <w:rPr>
                          <w:b/>
                          <w:i/>
                          <w:sz w:val="16"/>
                          <w:szCs w:val="16"/>
                        </w:rPr>
                      </w:pPr>
                      <w:r w:rsidRPr="00985B78">
                        <w:rPr>
                          <w:b/>
                          <w:i/>
                          <w:sz w:val="16"/>
                          <w:szCs w:val="16"/>
                        </w:rPr>
                        <w:t>Disaster Characteristics</w:t>
                      </w:r>
                    </w:p>
                    <w:p w14:paraId="2605D8F5" w14:textId="77777777" w:rsidR="006B6D34" w:rsidRPr="00985B78" w:rsidRDefault="006B6D34" w:rsidP="00445EBB">
                      <w:pPr>
                        <w:spacing w:line="360" w:lineRule="auto"/>
                        <w:rPr>
                          <w:sz w:val="16"/>
                          <w:szCs w:val="16"/>
                        </w:rPr>
                      </w:pPr>
                      <w:r w:rsidRPr="00985B78">
                        <w:rPr>
                          <w:rFonts w:hint="eastAsia"/>
                          <w:sz w:val="16"/>
                          <w:szCs w:val="16"/>
                        </w:rPr>
                        <w:t xml:space="preserve">Hazard </w:t>
                      </w:r>
                      <w:r w:rsidRPr="00985B78">
                        <w:rPr>
                          <w:sz w:val="16"/>
                          <w:szCs w:val="16"/>
                        </w:rPr>
                        <w:t>Proximity</w:t>
                      </w:r>
                    </w:p>
                    <w:p w14:paraId="4960EEC5" w14:textId="77777777" w:rsidR="006B6D34" w:rsidRPr="00985B78" w:rsidRDefault="006B6D34" w:rsidP="00445EBB">
                      <w:pPr>
                        <w:spacing w:line="360" w:lineRule="auto"/>
                        <w:rPr>
                          <w:sz w:val="16"/>
                          <w:szCs w:val="16"/>
                        </w:rPr>
                      </w:pPr>
                      <w:r w:rsidRPr="00985B78">
                        <w:rPr>
                          <w:sz w:val="16"/>
                          <w:szCs w:val="16"/>
                        </w:rPr>
                        <w:t>H</w:t>
                      </w:r>
                      <w:r w:rsidRPr="00985B78">
                        <w:rPr>
                          <w:rFonts w:hint="eastAsia"/>
                          <w:sz w:val="16"/>
                          <w:szCs w:val="16"/>
                        </w:rPr>
                        <w:t xml:space="preserve">azard </w:t>
                      </w:r>
                      <w:r w:rsidRPr="00985B78">
                        <w:rPr>
                          <w:sz w:val="16"/>
                          <w:szCs w:val="16"/>
                        </w:rPr>
                        <w:t>Intensity</w:t>
                      </w:r>
                    </w:p>
                  </w:txbxContent>
                </v:textbox>
              </v:shape>
            </w:pict>
          </mc:Fallback>
        </mc:AlternateContent>
      </w:r>
      <w:bookmarkStart w:id="8" w:name="_Ref513718693"/>
      <w:bookmarkStart w:id="9" w:name="_Ref528446009"/>
      <w:bookmarkStart w:id="10" w:name="_Ref535793680"/>
      <w:bookmarkStart w:id="11" w:name="_Toc520380526"/>
    </w:p>
    <w:p w14:paraId="6E7A334B" w14:textId="77777777" w:rsidR="00D354C1" w:rsidRPr="001E47AD" w:rsidRDefault="00D354C1" w:rsidP="00D354C1">
      <w:pPr>
        <w:spacing w:before="120" w:after="120" w:line="360" w:lineRule="auto"/>
        <w:contextualSpacing/>
        <w:jc w:val="both"/>
      </w:pPr>
    </w:p>
    <w:p w14:paraId="610EA653" w14:textId="77777777" w:rsidR="00D354C1" w:rsidRPr="001E47AD" w:rsidRDefault="00917236" w:rsidP="00917236">
      <w:pPr>
        <w:tabs>
          <w:tab w:val="left" w:pos="7811"/>
        </w:tabs>
        <w:spacing w:before="120" w:after="120" w:line="360" w:lineRule="auto"/>
        <w:contextualSpacing/>
        <w:jc w:val="both"/>
      </w:pPr>
      <w:r w:rsidRPr="001E47AD">
        <w:tab/>
      </w:r>
    </w:p>
    <w:p w14:paraId="14D3F8A9" w14:textId="77777777" w:rsidR="006B29A3" w:rsidRPr="001E47AD" w:rsidRDefault="006B29A3" w:rsidP="00D354C1">
      <w:pPr>
        <w:spacing w:before="120" w:after="120" w:line="360" w:lineRule="auto"/>
        <w:contextualSpacing/>
        <w:jc w:val="center"/>
        <w:rPr>
          <w:sz w:val="22"/>
          <w:szCs w:val="22"/>
        </w:rPr>
      </w:pPr>
      <w:bookmarkStart w:id="12" w:name="_Ref20836923"/>
    </w:p>
    <w:p w14:paraId="0A0FB584" w14:textId="6C7BF315" w:rsidR="00544EE0" w:rsidRPr="001E47AD" w:rsidRDefault="00544EE0" w:rsidP="00D354C1">
      <w:pPr>
        <w:spacing w:before="120" w:after="120" w:line="360" w:lineRule="auto"/>
        <w:contextualSpacing/>
        <w:jc w:val="center"/>
        <w:rPr>
          <w:sz w:val="22"/>
          <w:szCs w:val="22"/>
          <w:lang w:eastAsia="zh-CN"/>
        </w:rPr>
      </w:pPr>
      <w:bookmarkStart w:id="13" w:name="_Ref26652026"/>
      <w:r w:rsidRPr="001E47AD">
        <w:rPr>
          <w:sz w:val="22"/>
          <w:szCs w:val="22"/>
        </w:rPr>
        <w:t xml:space="preserve">Figure </w:t>
      </w:r>
      <w:r w:rsidR="00B54061" w:rsidRPr="001E47AD">
        <w:rPr>
          <w:sz w:val="22"/>
          <w:szCs w:val="22"/>
        </w:rPr>
        <w:fldChar w:fldCharType="begin"/>
      </w:r>
      <w:r w:rsidR="00B54061" w:rsidRPr="001E47AD">
        <w:rPr>
          <w:sz w:val="22"/>
          <w:szCs w:val="22"/>
        </w:rPr>
        <w:instrText xml:space="preserve"> SEQ Figure \* ARABIC </w:instrText>
      </w:r>
      <w:r w:rsidR="00B54061" w:rsidRPr="001E47AD">
        <w:rPr>
          <w:sz w:val="22"/>
          <w:szCs w:val="22"/>
        </w:rPr>
        <w:fldChar w:fldCharType="separate"/>
      </w:r>
      <w:r w:rsidR="009E3444" w:rsidRPr="001E47AD">
        <w:rPr>
          <w:noProof/>
          <w:sz w:val="22"/>
          <w:szCs w:val="22"/>
        </w:rPr>
        <w:t>1</w:t>
      </w:r>
      <w:r w:rsidR="00B54061" w:rsidRPr="001E47AD">
        <w:rPr>
          <w:sz w:val="22"/>
          <w:szCs w:val="22"/>
        </w:rPr>
        <w:fldChar w:fldCharType="end"/>
      </w:r>
      <w:bookmarkEnd w:id="8"/>
      <w:bookmarkEnd w:id="9"/>
      <w:bookmarkEnd w:id="10"/>
      <w:bookmarkEnd w:id="12"/>
      <w:bookmarkEnd w:id="13"/>
      <w:r w:rsidRPr="001E47AD">
        <w:rPr>
          <w:sz w:val="22"/>
          <w:szCs w:val="22"/>
        </w:rPr>
        <w:t>: Theoretical Model</w:t>
      </w:r>
      <w:bookmarkEnd w:id="11"/>
      <w:r w:rsidR="00DB25BB" w:rsidRPr="001E47AD">
        <w:rPr>
          <w:sz w:val="22"/>
          <w:szCs w:val="22"/>
        </w:rPr>
        <w:t>: Pre-Hurricane Consumer Stockpiling and Post-Hurricane Product Availability</w:t>
      </w:r>
    </w:p>
    <w:p w14:paraId="17B349FE" w14:textId="77777777" w:rsidR="00460A6F" w:rsidRPr="001E47AD" w:rsidRDefault="00460A6F" w:rsidP="00596F39">
      <w:pPr>
        <w:pStyle w:val="Heading2"/>
      </w:pPr>
      <w:bookmarkStart w:id="14" w:name="_Toc520380469"/>
      <w:r w:rsidRPr="001E47AD">
        <w:lastRenderedPageBreak/>
        <w:t>Effects of Consumer Stockpiling on In-Store Product Availability</w:t>
      </w:r>
      <w:bookmarkEnd w:id="14"/>
    </w:p>
    <w:p w14:paraId="542A6239" w14:textId="1B620C99" w:rsidR="0002428D" w:rsidRPr="001E47AD" w:rsidRDefault="0002428D" w:rsidP="00CB69E7">
      <w:pPr>
        <w:spacing w:before="120" w:after="120" w:line="480" w:lineRule="auto"/>
        <w:contextualSpacing/>
        <w:jc w:val="both"/>
        <w:rPr>
          <w:sz w:val="22"/>
          <w:szCs w:val="22"/>
        </w:rPr>
      </w:pPr>
      <w:r w:rsidRPr="001E47AD">
        <w:rPr>
          <w:sz w:val="22"/>
          <w:szCs w:val="22"/>
        </w:rPr>
        <w:t>C</w:t>
      </w:r>
      <w:r w:rsidRPr="001E47AD">
        <w:rPr>
          <w:noProof/>
          <w:sz w:val="22"/>
          <w:szCs w:val="22"/>
        </w:rPr>
        <w:t>onsumer stockpiling for natural disasters can be viewed as an unconventional inventory accumulation activity</w:t>
      </w:r>
      <w:r w:rsidRPr="001E47AD">
        <w:rPr>
          <w:sz w:val="22"/>
          <w:szCs w:val="22"/>
        </w:rPr>
        <w:t xml:space="preserve"> designed to minimize loss or a perceived threat of </w:t>
      </w:r>
      <w:r w:rsidRPr="001E47AD">
        <w:rPr>
          <w:noProof/>
          <w:sz w:val="22"/>
          <w:szCs w:val="22"/>
        </w:rPr>
        <w:t>loss</w:t>
      </w:r>
      <w:r w:rsidRPr="001E47AD">
        <w:rPr>
          <w:sz w:val="22"/>
          <w:szCs w:val="22"/>
        </w:rPr>
        <w:t xml:space="preserve">. </w:t>
      </w:r>
      <w:r w:rsidRPr="001E47AD">
        <w:rPr>
          <w:noProof/>
          <w:sz w:val="22"/>
          <w:szCs w:val="22"/>
        </w:rPr>
        <w:t>Mc</w:t>
      </w:r>
      <w:r w:rsidR="00AB02FD" w:rsidRPr="001E47AD">
        <w:rPr>
          <w:noProof/>
          <w:sz w:val="22"/>
          <w:szCs w:val="22"/>
        </w:rPr>
        <w:t>K</w:t>
      </w:r>
      <w:r w:rsidR="00A7720E" w:rsidRPr="001E47AD">
        <w:rPr>
          <w:noProof/>
          <w:sz w:val="22"/>
          <w:szCs w:val="22"/>
        </w:rPr>
        <w:t>innon</w:t>
      </w:r>
      <w:r w:rsidR="00B71784" w:rsidRPr="001E47AD">
        <w:rPr>
          <w:noProof/>
          <w:sz w:val="22"/>
          <w:szCs w:val="22"/>
        </w:rPr>
        <w:t xml:space="preserve"> </w:t>
      </w:r>
      <w:r w:rsidR="00D80A5C" w:rsidRPr="001E47AD">
        <w:rPr>
          <w:noProof/>
          <w:sz w:val="22"/>
          <w:szCs w:val="22"/>
          <w:lang w:eastAsia="zh-CN"/>
        </w:rPr>
        <w:t>et al.</w:t>
      </w:r>
      <w:r w:rsidRPr="001E47AD">
        <w:rPr>
          <w:noProof/>
          <w:sz w:val="22"/>
          <w:szCs w:val="22"/>
        </w:rPr>
        <w:t xml:space="preserve"> (1985) distinguish inventory accumulation activities based on two sets of criteria: 1) whether the accumulation is for profit-seeking or loss-avoidance, and 2) whether the accumulation can be viewed as conventional or </w:t>
      </w:r>
      <w:r w:rsidR="004E1CB2" w:rsidRPr="001E47AD">
        <w:rPr>
          <w:noProof/>
          <w:sz w:val="22"/>
          <w:szCs w:val="22"/>
        </w:rPr>
        <w:t>un</w:t>
      </w:r>
      <w:r w:rsidRPr="001E47AD">
        <w:rPr>
          <w:noProof/>
          <w:sz w:val="22"/>
          <w:szCs w:val="22"/>
        </w:rPr>
        <w:t xml:space="preserve">conventional. </w:t>
      </w:r>
      <w:r w:rsidR="00BA73AA" w:rsidRPr="001E47AD">
        <w:rPr>
          <w:sz w:val="22"/>
          <w:szCs w:val="22"/>
        </w:rPr>
        <w:t xml:space="preserve">According to King </w:t>
      </w:r>
      <w:r w:rsidR="006B44A4" w:rsidRPr="001E47AD">
        <w:rPr>
          <w:sz w:val="22"/>
          <w:szCs w:val="22"/>
        </w:rPr>
        <w:t>and</w:t>
      </w:r>
      <w:r w:rsidR="00BA73AA" w:rsidRPr="001E47AD">
        <w:rPr>
          <w:sz w:val="22"/>
          <w:szCs w:val="22"/>
        </w:rPr>
        <w:t xml:space="preserve"> Devasagayam (</w:t>
      </w:r>
      <w:r w:rsidR="00885860" w:rsidRPr="001E47AD">
        <w:rPr>
          <w:sz w:val="22"/>
          <w:szCs w:val="22"/>
        </w:rPr>
        <w:t>2017</w:t>
      </w:r>
      <w:r w:rsidR="00BA73AA" w:rsidRPr="001E47AD">
        <w:rPr>
          <w:sz w:val="22"/>
          <w:szCs w:val="22"/>
        </w:rPr>
        <w:t>), c</w:t>
      </w:r>
      <w:r w:rsidRPr="001E47AD">
        <w:rPr>
          <w:sz w:val="22"/>
          <w:szCs w:val="22"/>
        </w:rPr>
        <w:t xml:space="preserve">onsumer stockpiling for natural disasters can be explained using </w:t>
      </w:r>
      <w:r w:rsidR="00A47F0F" w:rsidRPr="001E47AD">
        <w:rPr>
          <w:sz w:val="22"/>
          <w:szCs w:val="22"/>
        </w:rPr>
        <w:t>c</w:t>
      </w:r>
      <w:r w:rsidRPr="001E47AD">
        <w:rPr>
          <w:sz w:val="22"/>
          <w:szCs w:val="22"/>
        </w:rPr>
        <w:t xml:space="preserve">ommodity </w:t>
      </w:r>
      <w:r w:rsidR="00A47F0F" w:rsidRPr="001E47AD">
        <w:rPr>
          <w:sz w:val="22"/>
          <w:szCs w:val="22"/>
        </w:rPr>
        <w:t>t</w:t>
      </w:r>
      <w:r w:rsidRPr="001E47AD">
        <w:rPr>
          <w:sz w:val="22"/>
          <w:szCs w:val="22"/>
        </w:rPr>
        <w:t xml:space="preserve">heory (Brock 1968) and </w:t>
      </w:r>
      <w:r w:rsidR="00256632" w:rsidRPr="001E47AD">
        <w:rPr>
          <w:sz w:val="22"/>
          <w:szCs w:val="22"/>
        </w:rPr>
        <w:t>p</w:t>
      </w:r>
      <w:r w:rsidRPr="001E47AD">
        <w:rPr>
          <w:sz w:val="22"/>
          <w:szCs w:val="22"/>
        </w:rPr>
        <w:t xml:space="preserve">rospect </w:t>
      </w:r>
      <w:r w:rsidR="00256632" w:rsidRPr="001E47AD">
        <w:rPr>
          <w:sz w:val="22"/>
          <w:szCs w:val="22"/>
        </w:rPr>
        <w:t>t</w:t>
      </w:r>
      <w:r w:rsidRPr="001E47AD">
        <w:rPr>
          <w:sz w:val="22"/>
          <w:szCs w:val="22"/>
        </w:rPr>
        <w:t xml:space="preserve">heory (Kahneman </w:t>
      </w:r>
      <w:r w:rsidR="00072E95" w:rsidRPr="001E47AD">
        <w:rPr>
          <w:sz w:val="22"/>
          <w:szCs w:val="22"/>
          <w:lang w:eastAsia="zh-CN"/>
        </w:rPr>
        <w:t>and</w:t>
      </w:r>
      <w:r w:rsidRPr="001E47AD">
        <w:rPr>
          <w:sz w:val="22"/>
          <w:szCs w:val="22"/>
        </w:rPr>
        <w:t xml:space="preserve"> Tversky 1979). </w:t>
      </w:r>
      <w:r w:rsidR="007B2FD5" w:rsidRPr="001E47AD">
        <w:rPr>
          <w:sz w:val="22"/>
          <w:szCs w:val="22"/>
        </w:rPr>
        <w:t>C</w:t>
      </w:r>
      <w:r w:rsidRPr="001E47AD">
        <w:rPr>
          <w:sz w:val="22"/>
          <w:szCs w:val="22"/>
        </w:rPr>
        <w:t xml:space="preserve">ommodity </w:t>
      </w:r>
      <w:r w:rsidR="00A47F0F" w:rsidRPr="001E47AD">
        <w:rPr>
          <w:sz w:val="22"/>
          <w:szCs w:val="22"/>
        </w:rPr>
        <w:t>t</w:t>
      </w:r>
      <w:r w:rsidRPr="001E47AD">
        <w:rPr>
          <w:sz w:val="22"/>
          <w:szCs w:val="22"/>
        </w:rPr>
        <w:t>heory deals with the psychological effects of scarcity (Lynn</w:t>
      </w:r>
      <w:r w:rsidR="00876D8A" w:rsidRPr="001E47AD">
        <w:rPr>
          <w:sz w:val="22"/>
          <w:szCs w:val="22"/>
        </w:rPr>
        <w:t xml:space="preserve"> 1991), </w:t>
      </w:r>
      <w:r w:rsidR="00166696" w:rsidRPr="001E47AD">
        <w:rPr>
          <w:sz w:val="22"/>
          <w:szCs w:val="22"/>
        </w:rPr>
        <w:t>in</w:t>
      </w:r>
      <w:r w:rsidRPr="001E47AD">
        <w:rPr>
          <w:sz w:val="22"/>
          <w:szCs w:val="22"/>
        </w:rPr>
        <w:t xml:space="preserve"> that any commodity will </w:t>
      </w:r>
      <w:r w:rsidR="00236054" w:rsidRPr="001E47AD">
        <w:rPr>
          <w:sz w:val="22"/>
          <w:szCs w:val="22"/>
        </w:rPr>
        <w:t xml:space="preserve">increase in value due to </w:t>
      </w:r>
      <w:r w:rsidR="00236054" w:rsidRPr="001E47AD">
        <w:rPr>
          <w:noProof/>
          <w:sz w:val="22"/>
          <w:szCs w:val="22"/>
        </w:rPr>
        <w:t>scarcity</w:t>
      </w:r>
      <w:r w:rsidRPr="001E47AD">
        <w:rPr>
          <w:sz w:val="22"/>
          <w:szCs w:val="22"/>
        </w:rPr>
        <w:t xml:space="preserve"> (Brock 1968). </w:t>
      </w:r>
      <w:r w:rsidR="00D23C29" w:rsidRPr="001E47AD">
        <w:rPr>
          <w:sz w:val="22"/>
          <w:szCs w:val="22"/>
        </w:rPr>
        <w:t>During</w:t>
      </w:r>
      <w:r w:rsidRPr="001E47AD">
        <w:rPr>
          <w:sz w:val="22"/>
          <w:szCs w:val="22"/>
        </w:rPr>
        <w:t xml:space="preserve"> natural disasters, the potential </w:t>
      </w:r>
      <w:r w:rsidRPr="001E47AD">
        <w:rPr>
          <w:noProof/>
          <w:sz w:val="22"/>
          <w:szCs w:val="22"/>
        </w:rPr>
        <w:t>scarcity</w:t>
      </w:r>
      <w:r w:rsidRPr="001E47AD">
        <w:rPr>
          <w:sz w:val="22"/>
          <w:szCs w:val="22"/>
        </w:rPr>
        <w:t xml:space="preserve"> of products </w:t>
      </w:r>
      <w:r w:rsidRPr="001E47AD">
        <w:rPr>
          <w:noProof/>
          <w:sz w:val="22"/>
          <w:szCs w:val="22"/>
        </w:rPr>
        <w:t>is</w:t>
      </w:r>
      <w:r w:rsidRPr="001E47AD">
        <w:rPr>
          <w:sz w:val="22"/>
          <w:szCs w:val="22"/>
        </w:rPr>
        <w:t xml:space="preserve"> likely to </w:t>
      </w:r>
      <w:r w:rsidRPr="001E47AD">
        <w:rPr>
          <w:noProof/>
          <w:sz w:val="22"/>
          <w:szCs w:val="22"/>
        </w:rPr>
        <w:t>affect</w:t>
      </w:r>
      <w:r w:rsidRPr="001E47AD">
        <w:rPr>
          <w:sz w:val="22"/>
          <w:szCs w:val="22"/>
        </w:rPr>
        <w:t xml:space="preserve"> consumer attitude</w:t>
      </w:r>
      <w:r w:rsidR="00166696" w:rsidRPr="001E47AD">
        <w:rPr>
          <w:sz w:val="22"/>
          <w:szCs w:val="22"/>
        </w:rPr>
        <w:t>s</w:t>
      </w:r>
      <w:r w:rsidRPr="001E47AD">
        <w:rPr>
          <w:sz w:val="22"/>
          <w:szCs w:val="22"/>
        </w:rPr>
        <w:t xml:space="preserve"> and behavior (Brock 1968</w:t>
      </w:r>
      <w:r w:rsidR="00991C03" w:rsidRPr="001E47AD">
        <w:rPr>
          <w:sz w:val="22"/>
          <w:szCs w:val="22"/>
          <w:lang w:eastAsia="zh-CN"/>
        </w:rPr>
        <w:t>,</w:t>
      </w:r>
      <w:r w:rsidRPr="001E47AD">
        <w:rPr>
          <w:sz w:val="22"/>
          <w:szCs w:val="22"/>
        </w:rPr>
        <w:t xml:space="preserve"> Lynn 1991),</w:t>
      </w:r>
      <w:r w:rsidR="00D23C29" w:rsidRPr="001E47AD">
        <w:rPr>
          <w:sz w:val="22"/>
          <w:szCs w:val="22"/>
        </w:rPr>
        <w:t xml:space="preserve"> and</w:t>
      </w:r>
      <w:r w:rsidRPr="001E47AD">
        <w:rPr>
          <w:sz w:val="22"/>
          <w:szCs w:val="22"/>
        </w:rPr>
        <w:t xml:space="preserve"> thus stimulat</w:t>
      </w:r>
      <w:r w:rsidR="00D23C29" w:rsidRPr="001E47AD">
        <w:rPr>
          <w:sz w:val="22"/>
          <w:szCs w:val="22"/>
        </w:rPr>
        <w:t>e</w:t>
      </w:r>
      <w:r w:rsidRPr="001E47AD">
        <w:rPr>
          <w:sz w:val="22"/>
          <w:szCs w:val="22"/>
        </w:rPr>
        <w:t xml:space="preserve"> stockpiling desirability. </w:t>
      </w:r>
      <w:r w:rsidR="002A6B06" w:rsidRPr="001E47AD">
        <w:rPr>
          <w:noProof/>
          <w:sz w:val="22"/>
          <w:szCs w:val="22"/>
        </w:rPr>
        <w:t>P</w:t>
      </w:r>
      <w:r w:rsidRPr="001E47AD">
        <w:rPr>
          <w:sz w:val="22"/>
          <w:szCs w:val="22"/>
        </w:rPr>
        <w:t xml:space="preserve">rospect </w:t>
      </w:r>
      <w:r w:rsidR="002A6B06" w:rsidRPr="001E47AD">
        <w:rPr>
          <w:sz w:val="22"/>
          <w:szCs w:val="22"/>
        </w:rPr>
        <w:t xml:space="preserve">Theory </w:t>
      </w:r>
      <w:r w:rsidRPr="001E47AD">
        <w:rPr>
          <w:sz w:val="22"/>
          <w:szCs w:val="22"/>
        </w:rPr>
        <w:t>(Kahneman</w:t>
      </w:r>
      <w:r w:rsidR="004537EA" w:rsidRPr="001E47AD">
        <w:rPr>
          <w:sz w:val="22"/>
          <w:szCs w:val="22"/>
        </w:rPr>
        <w:t xml:space="preserve"> </w:t>
      </w:r>
      <w:r w:rsidR="00991C03" w:rsidRPr="001E47AD">
        <w:rPr>
          <w:sz w:val="22"/>
          <w:szCs w:val="22"/>
          <w:lang w:eastAsia="zh-CN"/>
        </w:rPr>
        <w:t>and</w:t>
      </w:r>
      <w:r w:rsidRPr="001E47AD">
        <w:rPr>
          <w:sz w:val="22"/>
          <w:szCs w:val="22"/>
        </w:rPr>
        <w:t xml:space="preserve"> Tversky 1979) describes </w:t>
      </w:r>
      <w:r w:rsidR="00236054" w:rsidRPr="001E47AD">
        <w:rPr>
          <w:sz w:val="22"/>
          <w:szCs w:val="22"/>
        </w:rPr>
        <w:t>how</w:t>
      </w:r>
      <w:r w:rsidRPr="001E47AD">
        <w:rPr>
          <w:sz w:val="22"/>
          <w:szCs w:val="22"/>
        </w:rPr>
        <w:t xml:space="preserve"> people choose between alternatives that involve risk and uncertainty. The theory states that people make decisions based on the </w:t>
      </w:r>
      <w:r w:rsidRPr="001E47AD">
        <w:rPr>
          <w:noProof/>
          <w:sz w:val="22"/>
          <w:szCs w:val="22"/>
        </w:rPr>
        <w:t>potential</w:t>
      </w:r>
      <w:r w:rsidRPr="001E47AD">
        <w:rPr>
          <w:sz w:val="22"/>
          <w:szCs w:val="22"/>
        </w:rPr>
        <w:t xml:space="preserve"> value of losses and gains. In the face of </w:t>
      </w:r>
      <w:r w:rsidRPr="001E47AD">
        <w:rPr>
          <w:noProof/>
          <w:sz w:val="22"/>
          <w:szCs w:val="22"/>
        </w:rPr>
        <w:t>risk</w:t>
      </w:r>
      <w:r w:rsidRPr="001E47AD">
        <w:rPr>
          <w:sz w:val="22"/>
          <w:szCs w:val="22"/>
        </w:rPr>
        <w:t xml:space="preserve"> and uncertainty </w:t>
      </w:r>
      <w:r w:rsidR="00236054" w:rsidRPr="001E47AD">
        <w:rPr>
          <w:sz w:val="22"/>
          <w:szCs w:val="22"/>
        </w:rPr>
        <w:t>from pending</w:t>
      </w:r>
      <w:r w:rsidRPr="001E47AD">
        <w:rPr>
          <w:sz w:val="22"/>
          <w:szCs w:val="22"/>
        </w:rPr>
        <w:t xml:space="preserve"> natural disasters, consumers </w:t>
      </w:r>
      <w:r w:rsidR="003E0AA8" w:rsidRPr="001E47AD">
        <w:rPr>
          <w:noProof/>
          <w:sz w:val="22"/>
          <w:szCs w:val="22"/>
        </w:rPr>
        <w:t>can be</w:t>
      </w:r>
      <w:r w:rsidRPr="001E47AD">
        <w:rPr>
          <w:sz w:val="22"/>
          <w:szCs w:val="22"/>
        </w:rPr>
        <w:t xml:space="preserve"> loss avers</w:t>
      </w:r>
      <w:r w:rsidR="00236054" w:rsidRPr="001E47AD">
        <w:rPr>
          <w:sz w:val="22"/>
          <w:szCs w:val="22"/>
        </w:rPr>
        <w:t>e</w:t>
      </w:r>
      <w:r w:rsidR="00D23C29" w:rsidRPr="001E47AD">
        <w:rPr>
          <w:sz w:val="22"/>
          <w:szCs w:val="22"/>
        </w:rPr>
        <w:t>;</w:t>
      </w:r>
      <w:r w:rsidRPr="001E47AD">
        <w:rPr>
          <w:sz w:val="22"/>
          <w:szCs w:val="22"/>
        </w:rPr>
        <w:t xml:space="preserve"> thus</w:t>
      </w:r>
      <w:r w:rsidR="00D23C29" w:rsidRPr="001E47AD">
        <w:rPr>
          <w:sz w:val="22"/>
          <w:szCs w:val="22"/>
        </w:rPr>
        <w:t>, they</w:t>
      </w:r>
      <w:r w:rsidRPr="001E47AD">
        <w:rPr>
          <w:sz w:val="22"/>
          <w:szCs w:val="22"/>
        </w:rPr>
        <w:t xml:space="preserve"> may </w:t>
      </w:r>
      <w:r w:rsidR="00236054" w:rsidRPr="001E47AD">
        <w:rPr>
          <w:sz w:val="22"/>
          <w:szCs w:val="22"/>
        </w:rPr>
        <w:t xml:space="preserve">increase their </w:t>
      </w:r>
      <w:r w:rsidRPr="001E47AD">
        <w:rPr>
          <w:sz w:val="22"/>
          <w:szCs w:val="22"/>
        </w:rPr>
        <w:t>stockpil</w:t>
      </w:r>
      <w:r w:rsidR="00236054" w:rsidRPr="001E47AD">
        <w:rPr>
          <w:sz w:val="22"/>
          <w:szCs w:val="22"/>
        </w:rPr>
        <w:t>ing behavior.</w:t>
      </w:r>
    </w:p>
    <w:p w14:paraId="79071373" w14:textId="6217BB66" w:rsidR="00460A6F" w:rsidRPr="001E47AD" w:rsidRDefault="002A6B06" w:rsidP="00460A6F">
      <w:pPr>
        <w:spacing w:before="120" w:after="120" w:line="480" w:lineRule="auto"/>
        <w:ind w:firstLine="720"/>
        <w:contextualSpacing/>
        <w:jc w:val="both"/>
        <w:rPr>
          <w:sz w:val="22"/>
          <w:szCs w:val="22"/>
        </w:rPr>
      </w:pPr>
      <w:r w:rsidRPr="001E47AD">
        <w:rPr>
          <w:sz w:val="22"/>
          <w:szCs w:val="22"/>
        </w:rPr>
        <w:t>Such c</w:t>
      </w:r>
      <w:r w:rsidR="00460A6F" w:rsidRPr="001E47AD">
        <w:rPr>
          <w:sz w:val="22"/>
          <w:szCs w:val="22"/>
        </w:rPr>
        <w:t xml:space="preserve">onsumer stockpiling </w:t>
      </w:r>
      <w:r w:rsidRPr="001E47AD">
        <w:rPr>
          <w:sz w:val="22"/>
          <w:szCs w:val="22"/>
        </w:rPr>
        <w:t xml:space="preserve">behavior </w:t>
      </w:r>
      <w:r w:rsidR="00460A6F" w:rsidRPr="001E47AD">
        <w:rPr>
          <w:sz w:val="22"/>
          <w:szCs w:val="22"/>
        </w:rPr>
        <w:t>may have immediate and l</w:t>
      </w:r>
      <w:r w:rsidR="00803805" w:rsidRPr="001E47AD">
        <w:rPr>
          <w:sz w:val="22"/>
          <w:szCs w:val="22"/>
        </w:rPr>
        <w:t>onger-term</w:t>
      </w:r>
      <w:r w:rsidR="00460A6F" w:rsidRPr="001E47AD">
        <w:rPr>
          <w:sz w:val="22"/>
          <w:szCs w:val="22"/>
        </w:rPr>
        <w:t xml:space="preserve"> </w:t>
      </w:r>
      <w:r w:rsidR="00460A6F" w:rsidRPr="001E47AD">
        <w:rPr>
          <w:noProof/>
          <w:sz w:val="22"/>
          <w:szCs w:val="22"/>
        </w:rPr>
        <w:t>effects</w:t>
      </w:r>
      <w:r w:rsidR="00460A6F" w:rsidRPr="001E47AD">
        <w:rPr>
          <w:sz w:val="22"/>
          <w:szCs w:val="22"/>
        </w:rPr>
        <w:t xml:space="preserve"> on retail operations</w:t>
      </w:r>
      <w:r w:rsidR="00460A6F" w:rsidRPr="001E47AD">
        <w:rPr>
          <w:noProof/>
          <w:sz w:val="22"/>
          <w:szCs w:val="22"/>
        </w:rPr>
        <w:t xml:space="preserve">. First, </w:t>
      </w:r>
      <w:r w:rsidR="00A8478B" w:rsidRPr="001E47AD">
        <w:rPr>
          <w:noProof/>
          <w:sz w:val="22"/>
          <w:szCs w:val="22"/>
        </w:rPr>
        <w:t>retailers may increase</w:t>
      </w:r>
      <w:r w:rsidR="00460A6F" w:rsidRPr="001E47AD">
        <w:rPr>
          <w:noProof/>
          <w:sz w:val="22"/>
          <w:szCs w:val="22"/>
        </w:rPr>
        <w:t xml:space="preserve"> product availability before a hurricane strikes in anticipation of stockpiling behavior. In practice, retailers can plan inventory based on hurricane information updates while setting expectations for opera</w:t>
      </w:r>
      <w:r w:rsidR="00BB2A4E" w:rsidRPr="001E47AD">
        <w:rPr>
          <w:noProof/>
          <w:sz w:val="22"/>
          <w:szCs w:val="22"/>
        </w:rPr>
        <w:t xml:space="preserve">tional costs and service </w:t>
      </w:r>
      <w:r w:rsidR="00BB2A4E" w:rsidRPr="001E47AD">
        <w:rPr>
          <w:rFonts w:hint="eastAsia"/>
          <w:noProof/>
          <w:sz w:val="22"/>
          <w:szCs w:val="22"/>
          <w:lang w:eastAsia="zh-CN"/>
        </w:rPr>
        <w:t>level</w:t>
      </w:r>
      <w:r w:rsidR="00460A6F" w:rsidRPr="001E47AD">
        <w:rPr>
          <w:noProof/>
          <w:sz w:val="22"/>
          <w:szCs w:val="22"/>
        </w:rPr>
        <w:t xml:space="preserve"> (</w:t>
      </w:r>
      <w:r w:rsidR="000572D3" w:rsidRPr="001E47AD">
        <w:rPr>
          <w:rFonts w:hint="eastAsia"/>
          <w:noProof/>
          <w:sz w:val="22"/>
          <w:szCs w:val="22"/>
          <w:lang w:eastAsia="zh-CN"/>
        </w:rPr>
        <w:t xml:space="preserve">Davis et al. 2013, </w:t>
      </w:r>
      <w:r w:rsidR="00460A6F" w:rsidRPr="001E47AD">
        <w:rPr>
          <w:noProof/>
          <w:sz w:val="22"/>
          <w:szCs w:val="22"/>
        </w:rPr>
        <w:t xml:space="preserve">Lodree </w:t>
      </w:r>
      <w:r w:rsidR="00460A6F" w:rsidRPr="001E47AD">
        <w:rPr>
          <w:noProof/>
          <w:sz w:val="22"/>
          <w:szCs w:val="22"/>
          <w:lang w:eastAsia="zh-CN"/>
        </w:rPr>
        <w:t>and</w:t>
      </w:r>
      <w:r w:rsidR="00460A6F" w:rsidRPr="001E47AD">
        <w:rPr>
          <w:noProof/>
          <w:sz w:val="22"/>
          <w:szCs w:val="22"/>
        </w:rPr>
        <w:t xml:space="preserve"> Taskin 2009</w:t>
      </w:r>
      <w:r w:rsidR="00460A6F" w:rsidRPr="001E47AD">
        <w:rPr>
          <w:noProof/>
          <w:sz w:val="22"/>
          <w:szCs w:val="22"/>
          <w:lang w:eastAsia="zh-CN"/>
        </w:rPr>
        <w:t>,</w:t>
      </w:r>
      <w:r w:rsidR="00460A6F" w:rsidRPr="001E47AD">
        <w:rPr>
          <w:noProof/>
          <w:sz w:val="22"/>
          <w:szCs w:val="22"/>
        </w:rPr>
        <w:t xml:space="preserve"> </w:t>
      </w:r>
      <w:r w:rsidR="00460A6F" w:rsidRPr="001E47AD">
        <w:rPr>
          <w:sz w:val="22"/>
          <w:szCs w:val="22"/>
        </w:rPr>
        <w:t xml:space="preserve">Lodree et al. </w:t>
      </w:r>
      <w:r w:rsidR="00460A6F" w:rsidRPr="001E47AD">
        <w:rPr>
          <w:noProof/>
          <w:sz w:val="22"/>
          <w:szCs w:val="22"/>
        </w:rPr>
        <w:t>2012, Morrice et al. 2016</w:t>
      </w:r>
      <w:r w:rsidR="00460A6F" w:rsidRPr="001E47AD">
        <w:rPr>
          <w:noProof/>
          <w:sz w:val="22"/>
          <w:szCs w:val="22"/>
          <w:lang w:eastAsia="zh-CN"/>
        </w:rPr>
        <w:t>,</w:t>
      </w:r>
      <w:r w:rsidR="00460A6F" w:rsidRPr="001E47AD">
        <w:rPr>
          <w:noProof/>
          <w:sz w:val="22"/>
          <w:szCs w:val="22"/>
        </w:rPr>
        <w:t xml:space="preserve"> </w:t>
      </w:r>
      <w:r w:rsidR="009F7B00" w:rsidRPr="001E47AD">
        <w:rPr>
          <w:noProof/>
          <w:sz w:val="22"/>
          <w:szCs w:val="22"/>
        </w:rPr>
        <w:t xml:space="preserve">Rawls </w:t>
      </w:r>
      <w:r w:rsidR="009F7B00" w:rsidRPr="001E47AD">
        <w:rPr>
          <w:noProof/>
          <w:sz w:val="22"/>
          <w:szCs w:val="22"/>
          <w:lang w:eastAsia="zh-CN"/>
        </w:rPr>
        <w:t>and</w:t>
      </w:r>
      <w:r w:rsidR="009F7B00" w:rsidRPr="001E47AD">
        <w:rPr>
          <w:noProof/>
          <w:sz w:val="22"/>
          <w:szCs w:val="22"/>
        </w:rPr>
        <w:t xml:space="preserve"> Turnquist 2010</w:t>
      </w:r>
      <w:r w:rsidR="009F7B00" w:rsidRPr="001E47AD">
        <w:rPr>
          <w:rFonts w:hint="eastAsia"/>
          <w:noProof/>
          <w:sz w:val="22"/>
          <w:szCs w:val="22"/>
          <w:lang w:eastAsia="zh-CN"/>
        </w:rPr>
        <w:t xml:space="preserve">, </w:t>
      </w:r>
      <w:r w:rsidR="00460A6F" w:rsidRPr="001E47AD">
        <w:rPr>
          <w:noProof/>
          <w:sz w:val="22"/>
          <w:szCs w:val="22"/>
        </w:rPr>
        <w:t xml:space="preserve">Taskin </w:t>
      </w:r>
      <w:r w:rsidR="00460A6F" w:rsidRPr="001E47AD">
        <w:rPr>
          <w:noProof/>
          <w:sz w:val="22"/>
          <w:szCs w:val="22"/>
          <w:lang w:eastAsia="zh-CN"/>
        </w:rPr>
        <w:t>and</w:t>
      </w:r>
      <w:r w:rsidR="00460A6F" w:rsidRPr="001E47AD">
        <w:rPr>
          <w:noProof/>
          <w:sz w:val="22"/>
          <w:szCs w:val="22"/>
        </w:rPr>
        <w:t xml:space="preserve"> Lodree 2010</w:t>
      </w:r>
      <w:r w:rsidR="00460A6F" w:rsidRPr="001E47AD">
        <w:rPr>
          <w:noProof/>
          <w:sz w:val="22"/>
          <w:szCs w:val="22"/>
          <w:lang w:eastAsia="zh-CN"/>
        </w:rPr>
        <w:t>,</w:t>
      </w:r>
      <w:r w:rsidR="00460A6F" w:rsidRPr="001E47AD">
        <w:rPr>
          <w:noProof/>
          <w:sz w:val="22"/>
          <w:szCs w:val="22"/>
        </w:rPr>
        <w:t xml:space="preserve"> Taskin </w:t>
      </w:r>
      <w:r w:rsidR="00460A6F" w:rsidRPr="001E47AD">
        <w:rPr>
          <w:noProof/>
          <w:sz w:val="22"/>
          <w:szCs w:val="22"/>
          <w:lang w:eastAsia="zh-CN"/>
        </w:rPr>
        <w:t>and</w:t>
      </w:r>
      <w:r w:rsidR="00460A6F" w:rsidRPr="001E47AD">
        <w:rPr>
          <w:noProof/>
          <w:sz w:val="22"/>
          <w:szCs w:val="22"/>
        </w:rPr>
        <w:t xml:space="preserve"> Lodree 2011). </w:t>
      </w:r>
      <w:r w:rsidR="00460A6F" w:rsidRPr="001E47AD">
        <w:rPr>
          <w:sz w:val="22"/>
          <w:szCs w:val="22"/>
        </w:rPr>
        <w:t xml:space="preserve">However, natural disasters are difficult </w:t>
      </w:r>
      <w:r w:rsidR="00460A6F" w:rsidRPr="001E47AD">
        <w:rPr>
          <w:noProof/>
          <w:sz w:val="22"/>
          <w:szCs w:val="22"/>
        </w:rPr>
        <w:t>to accurately forecast</w:t>
      </w:r>
      <w:r w:rsidR="00460A6F" w:rsidRPr="001E47AD">
        <w:rPr>
          <w:sz w:val="22"/>
          <w:szCs w:val="22"/>
        </w:rPr>
        <w:t xml:space="preserve"> and are beyond the control of firms (Hendricks et al. 2017</w:t>
      </w:r>
      <w:r w:rsidR="00460A6F" w:rsidRPr="001E47AD">
        <w:rPr>
          <w:sz w:val="22"/>
          <w:szCs w:val="22"/>
          <w:lang w:eastAsia="zh-CN"/>
        </w:rPr>
        <w:t>,</w:t>
      </w:r>
      <w:r w:rsidR="00460A6F" w:rsidRPr="001E47AD">
        <w:rPr>
          <w:sz w:val="22"/>
          <w:szCs w:val="22"/>
        </w:rPr>
        <w:t xml:space="preserve"> Hu et al. 2013, Kleindorfer </w:t>
      </w:r>
      <w:r w:rsidR="00460A6F" w:rsidRPr="001E47AD">
        <w:rPr>
          <w:sz w:val="22"/>
          <w:szCs w:val="22"/>
          <w:lang w:eastAsia="zh-CN"/>
        </w:rPr>
        <w:t>and</w:t>
      </w:r>
      <w:r w:rsidR="00460A6F" w:rsidRPr="001E47AD">
        <w:rPr>
          <w:sz w:val="22"/>
          <w:szCs w:val="22"/>
        </w:rPr>
        <w:t xml:space="preserve"> Saad 2005). Thus, </w:t>
      </w:r>
      <w:r w:rsidR="00460A6F" w:rsidRPr="001E47AD">
        <w:rPr>
          <w:noProof/>
          <w:sz w:val="22"/>
          <w:szCs w:val="22"/>
        </w:rPr>
        <w:t>consumer</w:t>
      </w:r>
      <w:r w:rsidR="00460A6F" w:rsidRPr="001E47AD">
        <w:rPr>
          <w:sz w:val="22"/>
          <w:szCs w:val="22"/>
        </w:rPr>
        <w:t xml:space="preserve"> stockpiling may result </w:t>
      </w:r>
      <w:r w:rsidR="00460A6F" w:rsidRPr="001E47AD">
        <w:rPr>
          <w:noProof/>
          <w:sz w:val="22"/>
          <w:szCs w:val="22"/>
        </w:rPr>
        <w:t>in</w:t>
      </w:r>
      <w:r w:rsidR="00460A6F" w:rsidRPr="001E47AD">
        <w:rPr>
          <w:sz w:val="22"/>
          <w:szCs w:val="22"/>
        </w:rPr>
        <w:t xml:space="preserve"> lower in-store product availability following a disaster </w:t>
      </w:r>
      <w:r w:rsidR="00460A6F" w:rsidRPr="001E47AD">
        <w:rPr>
          <w:noProof/>
          <w:sz w:val="22"/>
          <w:szCs w:val="22"/>
        </w:rPr>
        <w:t>(</w:t>
      </w:r>
      <w:r w:rsidR="00460A6F" w:rsidRPr="001E47AD">
        <w:rPr>
          <w:sz w:val="22"/>
          <w:szCs w:val="22"/>
        </w:rPr>
        <w:t>Cavallo et al. 2014,</w:t>
      </w:r>
      <w:r w:rsidR="00460A6F" w:rsidRPr="001E47AD">
        <w:rPr>
          <w:sz w:val="22"/>
          <w:szCs w:val="22"/>
          <w:lang w:eastAsia="zh-CN"/>
        </w:rPr>
        <w:t xml:space="preserve"> </w:t>
      </w:r>
      <w:r w:rsidR="00460A6F" w:rsidRPr="001E47AD">
        <w:rPr>
          <w:sz w:val="22"/>
          <w:szCs w:val="22"/>
        </w:rPr>
        <w:t xml:space="preserve">Hu et al. 2013, Kleindorfer </w:t>
      </w:r>
      <w:r w:rsidR="00460A6F" w:rsidRPr="001E47AD">
        <w:rPr>
          <w:sz w:val="22"/>
          <w:szCs w:val="22"/>
          <w:lang w:eastAsia="zh-CN"/>
        </w:rPr>
        <w:t>and</w:t>
      </w:r>
      <w:r w:rsidR="00460A6F" w:rsidRPr="001E47AD">
        <w:rPr>
          <w:sz w:val="22"/>
          <w:szCs w:val="22"/>
        </w:rPr>
        <w:t xml:space="preserve"> Saad 2005</w:t>
      </w:r>
      <w:r w:rsidR="00460A6F" w:rsidRPr="001E47AD">
        <w:rPr>
          <w:noProof/>
          <w:sz w:val="22"/>
          <w:szCs w:val="22"/>
        </w:rPr>
        <w:t xml:space="preserve">). Depending on supply readiness, these effects may persist for several order cycles. For example, </w:t>
      </w:r>
      <w:r w:rsidR="00460A6F" w:rsidRPr="001E47AD">
        <w:rPr>
          <w:sz w:val="22"/>
          <w:szCs w:val="22"/>
        </w:rPr>
        <w:t xml:space="preserve">Cavallo </w:t>
      </w:r>
      <w:r w:rsidR="00460A6F" w:rsidRPr="001E47AD">
        <w:rPr>
          <w:sz w:val="22"/>
          <w:szCs w:val="22"/>
          <w:lang w:eastAsia="zh-CN"/>
        </w:rPr>
        <w:t xml:space="preserve">et al. </w:t>
      </w:r>
      <w:r w:rsidR="00460A6F" w:rsidRPr="001E47AD">
        <w:rPr>
          <w:sz w:val="22"/>
          <w:szCs w:val="22"/>
        </w:rPr>
        <w:t xml:space="preserve">(2014) find that it took considerable time for retailers to </w:t>
      </w:r>
      <w:r w:rsidR="00460A6F" w:rsidRPr="001E47AD">
        <w:rPr>
          <w:sz w:val="22"/>
          <w:szCs w:val="22"/>
        </w:rPr>
        <w:lastRenderedPageBreak/>
        <w:t xml:space="preserve">recover from product supply disruptions following </w:t>
      </w:r>
      <w:r w:rsidR="00460A6F" w:rsidRPr="001E47AD">
        <w:rPr>
          <w:noProof/>
          <w:sz w:val="22"/>
          <w:szCs w:val="22"/>
        </w:rPr>
        <w:t>the 2010 earthquake in Chile and the 2011 earthquake</w:t>
      </w:r>
      <w:r w:rsidR="00460A6F" w:rsidRPr="001E47AD">
        <w:rPr>
          <w:sz w:val="22"/>
          <w:szCs w:val="22"/>
        </w:rPr>
        <w:t xml:space="preserve"> in Japan</w:t>
      </w:r>
      <w:r w:rsidR="00517636" w:rsidRPr="001E47AD">
        <w:rPr>
          <w:sz w:val="22"/>
          <w:szCs w:val="22"/>
        </w:rPr>
        <w:t>, with</w:t>
      </w:r>
      <w:r w:rsidR="00E76042" w:rsidRPr="001E47AD">
        <w:rPr>
          <w:sz w:val="22"/>
          <w:szCs w:val="22"/>
        </w:rPr>
        <w:t xml:space="preserve"> a significant share o</w:t>
      </w:r>
      <w:r w:rsidR="00517636" w:rsidRPr="001E47AD">
        <w:rPr>
          <w:sz w:val="22"/>
          <w:szCs w:val="22"/>
        </w:rPr>
        <w:t>f products remaining</w:t>
      </w:r>
      <w:r w:rsidR="00E76042" w:rsidRPr="001E47AD">
        <w:rPr>
          <w:sz w:val="22"/>
          <w:szCs w:val="22"/>
        </w:rPr>
        <w:t xml:space="preserve"> out of stock after six months.</w:t>
      </w:r>
    </w:p>
    <w:p w14:paraId="1F820E74" w14:textId="77777777" w:rsidR="0064202C" w:rsidRPr="001E47AD" w:rsidRDefault="0064202C" w:rsidP="00596F39">
      <w:pPr>
        <w:pStyle w:val="Heading2"/>
      </w:pPr>
      <w:bookmarkStart w:id="15" w:name="_Toc520380465"/>
      <w:r w:rsidRPr="001E47AD">
        <w:t>Factors</w:t>
      </w:r>
      <w:r w:rsidR="0002428D" w:rsidRPr="001E47AD">
        <w:t xml:space="preserve"> A</w:t>
      </w:r>
      <w:r w:rsidR="00AB669C" w:rsidRPr="001E47AD">
        <w:t xml:space="preserve">ssociated with </w:t>
      </w:r>
      <w:r w:rsidR="0002428D" w:rsidRPr="001E47AD">
        <w:t>Consumer Stockpiling for Natural Disasters</w:t>
      </w:r>
      <w:bookmarkEnd w:id="15"/>
    </w:p>
    <w:p w14:paraId="5B712C5D" w14:textId="77777777" w:rsidR="00287983" w:rsidRPr="001E47AD" w:rsidRDefault="00287983" w:rsidP="00287983">
      <w:pPr>
        <w:spacing w:before="120" w:after="120" w:line="480" w:lineRule="auto"/>
        <w:contextualSpacing/>
        <w:jc w:val="both"/>
        <w:rPr>
          <w:sz w:val="22"/>
          <w:szCs w:val="22"/>
        </w:rPr>
      </w:pPr>
      <w:bookmarkStart w:id="16" w:name="_Toc520380466"/>
      <w:r w:rsidRPr="001E47AD">
        <w:rPr>
          <w:noProof/>
          <w:sz w:val="22"/>
          <w:szCs w:val="22"/>
        </w:rPr>
        <w:t>We distinguish between three groups of char</w:t>
      </w:r>
      <w:r w:rsidR="00A8478B" w:rsidRPr="001E47AD">
        <w:rPr>
          <w:noProof/>
          <w:sz w:val="22"/>
          <w:szCs w:val="22"/>
        </w:rPr>
        <w:t>acter</w:t>
      </w:r>
      <w:r w:rsidRPr="001E47AD">
        <w:rPr>
          <w:noProof/>
          <w:sz w:val="22"/>
          <w:szCs w:val="22"/>
        </w:rPr>
        <w:t>istics ass</w:t>
      </w:r>
      <w:r w:rsidR="00A8478B" w:rsidRPr="001E47AD">
        <w:rPr>
          <w:noProof/>
          <w:sz w:val="22"/>
          <w:szCs w:val="22"/>
        </w:rPr>
        <w:t>oci</w:t>
      </w:r>
      <w:r w:rsidRPr="001E47AD">
        <w:rPr>
          <w:noProof/>
          <w:sz w:val="22"/>
          <w:szCs w:val="22"/>
        </w:rPr>
        <w:t xml:space="preserve">ated with consumer stockpiling: supply-side, demand-side, and disaster characterstics. </w:t>
      </w:r>
    </w:p>
    <w:p w14:paraId="1FBFDCC8" w14:textId="77777777" w:rsidR="0064202C" w:rsidRPr="001E47AD" w:rsidRDefault="0002428D" w:rsidP="00517CB5">
      <w:pPr>
        <w:pStyle w:val="Heading3"/>
        <w:numPr>
          <w:ilvl w:val="2"/>
          <w:numId w:val="23"/>
        </w:numPr>
        <w:spacing w:before="120" w:after="120"/>
        <w:contextualSpacing/>
        <w:rPr>
          <w:sz w:val="22"/>
          <w:szCs w:val="22"/>
        </w:rPr>
      </w:pPr>
      <w:bookmarkStart w:id="17" w:name="_Ref17407907"/>
      <w:r w:rsidRPr="001E47AD">
        <w:rPr>
          <w:sz w:val="22"/>
          <w:szCs w:val="22"/>
        </w:rPr>
        <w:t>Supply-Side Characteristics</w:t>
      </w:r>
      <w:bookmarkEnd w:id="16"/>
      <w:bookmarkEnd w:id="17"/>
    </w:p>
    <w:p w14:paraId="1E8594D6" w14:textId="4F3AFB72" w:rsidR="008B1BD7" w:rsidRPr="001E47AD" w:rsidRDefault="00B85B16" w:rsidP="00CB69E7">
      <w:pPr>
        <w:spacing w:before="120" w:after="120" w:line="480" w:lineRule="auto"/>
        <w:contextualSpacing/>
        <w:jc w:val="both"/>
        <w:rPr>
          <w:sz w:val="22"/>
          <w:szCs w:val="22"/>
        </w:rPr>
      </w:pPr>
      <w:r w:rsidRPr="001E47AD">
        <w:rPr>
          <w:noProof/>
          <w:sz w:val="22"/>
          <w:szCs w:val="22"/>
        </w:rPr>
        <w:t>During</w:t>
      </w:r>
      <w:r w:rsidR="00B5615B" w:rsidRPr="001E47AD">
        <w:rPr>
          <w:noProof/>
          <w:sz w:val="22"/>
          <w:szCs w:val="22"/>
        </w:rPr>
        <w:t xml:space="preserve"> </w:t>
      </w:r>
      <w:r w:rsidR="0002428D" w:rsidRPr="001E47AD">
        <w:rPr>
          <w:noProof/>
          <w:sz w:val="22"/>
          <w:szCs w:val="22"/>
        </w:rPr>
        <w:t>hurricane disasters</w:t>
      </w:r>
      <w:r w:rsidR="0002428D" w:rsidRPr="001E47AD">
        <w:rPr>
          <w:sz w:val="22"/>
          <w:szCs w:val="22"/>
        </w:rPr>
        <w:t xml:space="preserve">, consumer stockpiling may </w:t>
      </w:r>
      <w:r w:rsidR="0002428D" w:rsidRPr="001E47AD">
        <w:rPr>
          <w:noProof/>
          <w:sz w:val="22"/>
          <w:szCs w:val="22"/>
        </w:rPr>
        <w:t xml:space="preserve">be </w:t>
      </w:r>
      <w:r w:rsidR="00C02411" w:rsidRPr="001E47AD">
        <w:rPr>
          <w:sz w:val="22"/>
          <w:szCs w:val="22"/>
        </w:rPr>
        <w:t>influenced by</w:t>
      </w:r>
      <w:r w:rsidR="0002428D" w:rsidRPr="001E47AD">
        <w:rPr>
          <w:sz w:val="22"/>
          <w:szCs w:val="22"/>
        </w:rPr>
        <w:t xml:space="preserve"> supply-side characteristics </w:t>
      </w:r>
      <w:r w:rsidR="00C02411" w:rsidRPr="001E47AD">
        <w:rPr>
          <w:sz w:val="22"/>
          <w:szCs w:val="22"/>
        </w:rPr>
        <w:t>that</w:t>
      </w:r>
      <w:r w:rsidR="0002428D" w:rsidRPr="001E47AD">
        <w:rPr>
          <w:sz w:val="22"/>
          <w:szCs w:val="22"/>
        </w:rPr>
        <w:t xml:space="preserve"> influence store </w:t>
      </w:r>
      <w:r w:rsidR="005E69F6" w:rsidRPr="001E47AD">
        <w:rPr>
          <w:sz w:val="22"/>
          <w:szCs w:val="22"/>
          <w:lang w:eastAsia="zh-CN"/>
        </w:rPr>
        <w:t>attractiveness</w:t>
      </w:r>
      <w:r w:rsidR="0002428D" w:rsidRPr="001E47AD">
        <w:rPr>
          <w:sz w:val="22"/>
          <w:szCs w:val="22"/>
        </w:rPr>
        <w:t>.</w:t>
      </w:r>
      <w:r w:rsidR="009F427B" w:rsidRPr="001E47AD">
        <w:rPr>
          <w:sz w:val="22"/>
          <w:szCs w:val="22"/>
        </w:rPr>
        <w:t xml:space="preserve"> </w:t>
      </w:r>
      <w:r w:rsidR="0002428D" w:rsidRPr="001E47AD">
        <w:rPr>
          <w:sz w:val="22"/>
          <w:szCs w:val="22"/>
        </w:rPr>
        <w:t xml:space="preserve">Intuitively, a </w:t>
      </w:r>
      <w:r w:rsidR="0002428D" w:rsidRPr="001E47AD">
        <w:rPr>
          <w:noProof/>
          <w:sz w:val="22"/>
          <w:szCs w:val="22"/>
        </w:rPr>
        <w:t>broad</w:t>
      </w:r>
      <w:r w:rsidR="0002428D" w:rsidRPr="001E47AD">
        <w:rPr>
          <w:sz w:val="22"/>
          <w:szCs w:val="22"/>
        </w:rPr>
        <w:t xml:space="preserve"> store network is likely to attract consumers due to name recognition</w:t>
      </w:r>
      <w:r w:rsidR="00C02411" w:rsidRPr="001E47AD">
        <w:rPr>
          <w:sz w:val="22"/>
          <w:szCs w:val="22"/>
        </w:rPr>
        <w:t>. H</w:t>
      </w:r>
      <w:r w:rsidR="0002428D" w:rsidRPr="001E47AD">
        <w:rPr>
          <w:sz w:val="22"/>
          <w:szCs w:val="22"/>
        </w:rPr>
        <w:t>ence</w:t>
      </w:r>
      <w:r w:rsidR="00C02411" w:rsidRPr="001E47AD">
        <w:rPr>
          <w:sz w:val="22"/>
          <w:szCs w:val="22"/>
        </w:rPr>
        <w:t>, this network association may</w:t>
      </w:r>
      <w:r w:rsidR="00A92F01" w:rsidRPr="001E47AD">
        <w:rPr>
          <w:sz w:val="22"/>
          <w:szCs w:val="22"/>
        </w:rPr>
        <w:t xml:space="preserve"> </w:t>
      </w:r>
      <w:r w:rsidR="00C02411" w:rsidRPr="001E47AD">
        <w:rPr>
          <w:sz w:val="22"/>
          <w:szCs w:val="22"/>
        </w:rPr>
        <w:t>enhance</w:t>
      </w:r>
      <w:r w:rsidR="0002428D" w:rsidRPr="001E47AD">
        <w:rPr>
          <w:sz w:val="22"/>
          <w:szCs w:val="22"/>
        </w:rPr>
        <w:t xml:space="preserve"> stockpiling at individual store outlets. However, </w:t>
      </w:r>
      <w:r w:rsidR="00A92F01" w:rsidRPr="001E47AD">
        <w:rPr>
          <w:noProof/>
          <w:sz w:val="22"/>
          <w:szCs w:val="22"/>
        </w:rPr>
        <w:t>a</w:t>
      </w:r>
      <w:r w:rsidR="0002428D" w:rsidRPr="001E47AD">
        <w:rPr>
          <w:noProof/>
          <w:sz w:val="22"/>
          <w:szCs w:val="22"/>
        </w:rPr>
        <w:t xml:space="preserve">ccording to inventory theory (Zipkin 2000), retailers with a dense </w:t>
      </w:r>
      <w:r w:rsidR="00A8478B" w:rsidRPr="001E47AD">
        <w:rPr>
          <w:noProof/>
          <w:sz w:val="22"/>
          <w:szCs w:val="22"/>
        </w:rPr>
        <w:t>intra-</w:t>
      </w:r>
      <w:r w:rsidR="0002428D" w:rsidRPr="001E47AD">
        <w:rPr>
          <w:noProof/>
          <w:sz w:val="22"/>
          <w:szCs w:val="22"/>
        </w:rPr>
        <w:t xml:space="preserve">regional network </w:t>
      </w:r>
      <w:r w:rsidR="00A92F01" w:rsidRPr="001E47AD">
        <w:rPr>
          <w:noProof/>
          <w:sz w:val="22"/>
          <w:szCs w:val="22"/>
        </w:rPr>
        <w:t>may</w:t>
      </w:r>
      <w:r w:rsidR="0002428D" w:rsidRPr="001E47AD">
        <w:rPr>
          <w:noProof/>
          <w:sz w:val="22"/>
          <w:szCs w:val="22"/>
        </w:rPr>
        <w:t xml:space="preserve"> carry </w:t>
      </w:r>
      <w:r w:rsidR="00A92F01" w:rsidRPr="001E47AD">
        <w:rPr>
          <w:noProof/>
          <w:sz w:val="22"/>
          <w:szCs w:val="22"/>
        </w:rPr>
        <w:t>less</w:t>
      </w:r>
      <w:r w:rsidR="0002428D" w:rsidRPr="001E47AD">
        <w:rPr>
          <w:noProof/>
          <w:sz w:val="22"/>
          <w:szCs w:val="22"/>
        </w:rPr>
        <w:t xml:space="preserve"> inventor</w:t>
      </w:r>
      <w:r w:rsidR="00A92F01" w:rsidRPr="001E47AD">
        <w:rPr>
          <w:noProof/>
          <w:sz w:val="22"/>
          <w:szCs w:val="22"/>
        </w:rPr>
        <w:t>y at</w:t>
      </w:r>
      <w:r w:rsidR="0002428D" w:rsidRPr="001E47AD">
        <w:rPr>
          <w:noProof/>
          <w:sz w:val="22"/>
          <w:szCs w:val="22"/>
        </w:rPr>
        <w:t xml:space="preserve"> individual store outlets due to inventory pooling effects, </w:t>
      </w:r>
      <w:r w:rsidR="00A92F01" w:rsidRPr="001E47AD">
        <w:rPr>
          <w:noProof/>
          <w:sz w:val="22"/>
          <w:szCs w:val="22"/>
        </w:rPr>
        <w:t>thus</w:t>
      </w:r>
      <w:r w:rsidR="0002428D" w:rsidRPr="001E47AD">
        <w:rPr>
          <w:noProof/>
          <w:sz w:val="22"/>
          <w:szCs w:val="22"/>
        </w:rPr>
        <w:t xml:space="preserve"> limit</w:t>
      </w:r>
      <w:r w:rsidR="00A92F01" w:rsidRPr="001E47AD">
        <w:rPr>
          <w:noProof/>
          <w:sz w:val="22"/>
          <w:szCs w:val="22"/>
        </w:rPr>
        <w:t>ing an individual</w:t>
      </w:r>
      <w:r w:rsidR="0002428D" w:rsidRPr="001E47AD">
        <w:rPr>
          <w:noProof/>
          <w:sz w:val="22"/>
          <w:szCs w:val="22"/>
        </w:rPr>
        <w:t xml:space="preserve"> </w:t>
      </w:r>
      <w:r w:rsidR="00A92F01" w:rsidRPr="001E47AD">
        <w:rPr>
          <w:noProof/>
          <w:sz w:val="22"/>
          <w:szCs w:val="22"/>
        </w:rPr>
        <w:t>store’</w:t>
      </w:r>
      <w:r w:rsidR="0002428D" w:rsidRPr="001E47AD">
        <w:rPr>
          <w:noProof/>
          <w:sz w:val="22"/>
          <w:szCs w:val="22"/>
        </w:rPr>
        <w:t>s ability to respond to demand-side shocks</w:t>
      </w:r>
      <w:r w:rsidR="00A92F01" w:rsidRPr="001E47AD">
        <w:rPr>
          <w:noProof/>
          <w:sz w:val="22"/>
          <w:szCs w:val="22"/>
        </w:rPr>
        <w:t xml:space="preserve"> as a hurricane approaches</w:t>
      </w:r>
      <w:r w:rsidR="00C02411" w:rsidRPr="001E47AD">
        <w:rPr>
          <w:noProof/>
          <w:sz w:val="22"/>
          <w:szCs w:val="22"/>
        </w:rPr>
        <w:t>.</w:t>
      </w:r>
      <w:r w:rsidR="0002428D" w:rsidRPr="001E47AD">
        <w:rPr>
          <w:noProof/>
          <w:sz w:val="22"/>
          <w:szCs w:val="22"/>
        </w:rPr>
        <w:t xml:space="preserve"> </w:t>
      </w:r>
      <w:r w:rsidR="00C02411" w:rsidRPr="001E47AD">
        <w:rPr>
          <w:noProof/>
          <w:sz w:val="22"/>
          <w:szCs w:val="22"/>
        </w:rPr>
        <w:t>I</w:t>
      </w:r>
      <w:r w:rsidR="0002428D" w:rsidRPr="001E47AD">
        <w:rPr>
          <w:noProof/>
          <w:sz w:val="22"/>
          <w:szCs w:val="22"/>
        </w:rPr>
        <w:t xml:space="preserve">n contrast, retailers with a dense inter-regional store network </w:t>
      </w:r>
      <w:r w:rsidR="00EB5CA0" w:rsidRPr="001E47AD">
        <w:rPr>
          <w:noProof/>
          <w:sz w:val="22"/>
          <w:szCs w:val="22"/>
        </w:rPr>
        <w:t>may</w:t>
      </w:r>
      <w:r w:rsidR="00A05380" w:rsidRPr="001E47AD">
        <w:rPr>
          <w:noProof/>
          <w:sz w:val="22"/>
          <w:szCs w:val="22"/>
        </w:rPr>
        <w:t xml:space="preserve"> carry </w:t>
      </w:r>
      <w:r w:rsidR="007A75E5" w:rsidRPr="001E47AD">
        <w:rPr>
          <w:noProof/>
          <w:sz w:val="22"/>
          <w:szCs w:val="22"/>
        </w:rPr>
        <w:t xml:space="preserve">more </w:t>
      </w:r>
      <w:r w:rsidR="00A05380" w:rsidRPr="001E47AD">
        <w:rPr>
          <w:noProof/>
          <w:sz w:val="22"/>
          <w:szCs w:val="22"/>
        </w:rPr>
        <w:t>overal</w:t>
      </w:r>
      <w:r w:rsidR="007A75E5" w:rsidRPr="001E47AD">
        <w:rPr>
          <w:noProof/>
          <w:sz w:val="22"/>
          <w:szCs w:val="22"/>
        </w:rPr>
        <w:t>l</w:t>
      </w:r>
      <w:r w:rsidR="00501BEC" w:rsidRPr="001E47AD">
        <w:rPr>
          <w:noProof/>
          <w:sz w:val="22"/>
          <w:szCs w:val="22"/>
        </w:rPr>
        <w:t xml:space="preserve"> inventory</w:t>
      </w:r>
      <w:r w:rsidR="008B1BD7" w:rsidRPr="001E47AD">
        <w:rPr>
          <w:noProof/>
          <w:sz w:val="22"/>
          <w:szCs w:val="22"/>
        </w:rPr>
        <w:t xml:space="preserve"> across </w:t>
      </w:r>
      <w:r w:rsidR="00EE2865" w:rsidRPr="001E47AD">
        <w:rPr>
          <w:noProof/>
          <w:sz w:val="22"/>
          <w:szCs w:val="22"/>
        </w:rPr>
        <w:t>the</w:t>
      </w:r>
      <w:r w:rsidR="00454DA1" w:rsidRPr="001E47AD">
        <w:rPr>
          <w:noProof/>
          <w:sz w:val="22"/>
          <w:szCs w:val="22"/>
        </w:rPr>
        <w:t>ir</w:t>
      </w:r>
      <w:r w:rsidR="00EE2865" w:rsidRPr="001E47AD">
        <w:rPr>
          <w:noProof/>
          <w:sz w:val="22"/>
          <w:szCs w:val="22"/>
        </w:rPr>
        <w:t xml:space="preserve"> </w:t>
      </w:r>
      <w:r w:rsidR="008B1BD7" w:rsidRPr="001E47AD">
        <w:rPr>
          <w:noProof/>
          <w:sz w:val="22"/>
          <w:szCs w:val="22"/>
        </w:rPr>
        <w:t>store network</w:t>
      </w:r>
      <w:r w:rsidR="00454DA1" w:rsidRPr="001E47AD">
        <w:rPr>
          <w:noProof/>
          <w:sz w:val="22"/>
          <w:szCs w:val="22"/>
        </w:rPr>
        <w:t xml:space="preserve">s due to scale </w:t>
      </w:r>
      <w:r w:rsidR="00D7361F" w:rsidRPr="001E47AD">
        <w:rPr>
          <w:noProof/>
          <w:sz w:val="22"/>
          <w:szCs w:val="22"/>
        </w:rPr>
        <w:t>considerations</w:t>
      </w:r>
      <w:r w:rsidR="008B1BD7" w:rsidRPr="001E47AD">
        <w:rPr>
          <w:noProof/>
          <w:sz w:val="22"/>
          <w:szCs w:val="22"/>
        </w:rPr>
        <w:t xml:space="preserve"> (Cachon </w:t>
      </w:r>
      <w:r w:rsidR="00826E93" w:rsidRPr="001E47AD">
        <w:rPr>
          <w:noProof/>
          <w:sz w:val="22"/>
          <w:szCs w:val="22"/>
          <w:lang w:eastAsia="zh-CN"/>
        </w:rPr>
        <w:t>and</w:t>
      </w:r>
      <w:r w:rsidR="008B1BD7" w:rsidRPr="001E47AD">
        <w:rPr>
          <w:noProof/>
          <w:sz w:val="22"/>
          <w:szCs w:val="22"/>
        </w:rPr>
        <w:t xml:space="preserve"> Olivares 2010</w:t>
      </w:r>
      <w:r w:rsidR="00826E93" w:rsidRPr="001E47AD">
        <w:rPr>
          <w:noProof/>
          <w:sz w:val="22"/>
          <w:szCs w:val="22"/>
          <w:lang w:eastAsia="zh-CN"/>
        </w:rPr>
        <w:t>,</w:t>
      </w:r>
      <w:r w:rsidR="008B1BD7" w:rsidRPr="001E47AD">
        <w:rPr>
          <w:noProof/>
          <w:sz w:val="22"/>
          <w:szCs w:val="22"/>
        </w:rPr>
        <w:t xml:space="preserve"> Gaur</w:t>
      </w:r>
      <w:r w:rsidR="00826E93" w:rsidRPr="001E47AD">
        <w:rPr>
          <w:noProof/>
          <w:sz w:val="22"/>
          <w:szCs w:val="22"/>
        </w:rPr>
        <w:t xml:space="preserve"> et al.</w:t>
      </w:r>
      <w:r w:rsidR="00A645F8" w:rsidRPr="001E47AD">
        <w:rPr>
          <w:noProof/>
          <w:sz w:val="22"/>
          <w:szCs w:val="22"/>
        </w:rPr>
        <w:t xml:space="preserve"> 2005,</w:t>
      </w:r>
      <w:r w:rsidR="00826E93" w:rsidRPr="001E47AD">
        <w:rPr>
          <w:noProof/>
          <w:sz w:val="22"/>
          <w:szCs w:val="22"/>
        </w:rPr>
        <w:t xml:space="preserve"> </w:t>
      </w:r>
      <w:r w:rsidR="008B1BD7" w:rsidRPr="001E47AD">
        <w:rPr>
          <w:noProof/>
          <w:sz w:val="22"/>
          <w:szCs w:val="22"/>
        </w:rPr>
        <w:t>Rajagopalan 2013)</w:t>
      </w:r>
      <w:r w:rsidR="00A05380" w:rsidRPr="001E47AD">
        <w:rPr>
          <w:noProof/>
          <w:sz w:val="22"/>
          <w:szCs w:val="22"/>
        </w:rPr>
        <w:t xml:space="preserve">; thus, </w:t>
      </w:r>
      <w:r w:rsidR="006A60C9" w:rsidRPr="001E47AD">
        <w:rPr>
          <w:noProof/>
          <w:sz w:val="22"/>
          <w:szCs w:val="22"/>
        </w:rPr>
        <w:t xml:space="preserve">they </w:t>
      </w:r>
      <w:r w:rsidR="00C02411" w:rsidRPr="001E47AD">
        <w:rPr>
          <w:noProof/>
          <w:sz w:val="22"/>
          <w:szCs w:val="22"/>
        </w:rPr>
        <w:t xml:space="preserve">may </w:t>
      </w:r>
      <w:r w:rsidR="0002428D" w:rsidRPr="001E47AD">
        <w:rPr>
          <w:noProof/>
          <w:sz w:val="22"/>
          <w:szCs w:val="22"/>
        </w:rPr>
        <w:t>respond to demand-side shock</w:t>
      </w:r>
      <w:r w:rsidR="00C02411" w:rsidRPr="001E47AD">
        <w:rPr>
          <w:noProof/>
          <w:sz w:val="22"/>
          <w:szCs w:val="22"/>
        </w:rPr>
        <w:t>s by bringing in inventory from outside the affected region</w:t>
      </w:r>
      <w:r w:rsidR="0002428D" w:rsidRPr="001E47AD">
        <w:rPr>
          <w:noProof/>
          <w:sz w:val="22"/>
          <w:szCs w:val="22"/>
        </w:rPr>
        <w:t xml:space="preserve"> (Holmes 2011</w:t>
      </w:r>
      <w:r w:rsidR="00826E93" w:rsidRPr="001E47AD">
        <w:rPr>
          <w:noProof/>
          <w:sz w:val="22"/>
          <w:szCs w:val="22"/>
          <w:lang w:eastAsia="zh-CN"/>
        </w:rPr>
        <w:t>,</w:t>
      </w:r>
      <w:r w:rsidR="00190FC5" w:rsidRPr="001E47AD">
        <w:rPr>
          <w:noProof/>
          <w:sz w:val="22"/>
          <w:szCs w:val="22"/>
        </w:rPr>
        <w:t xml:space="preserve"> Lim</w:t>
      </w:r>
      <w:r w:rsidR="00826E93" w:rsidRPr="001E47AD">
        <w:rPr>
          <w:noProof/>
          <w:sz w:val="22"/>
          <w:szCs w:val="22"/>
          <w:lang w:eastAsia="zh-CN"/>
        </w:rPr>
        <w:t xml:space="preserve"> et al.</w:t>
      </w:r>
      <w:r w:rsidR="0002428D" w:rsidRPr="001E47AD">
        <w:rPr>
          <w:noProof/>
          <w:sz w:val="22"/>
          <w:szCs w:val="22"/>
        </w:rPr>
        <w:t xml:space="preserve"> 2017).</w:t>
      </w:r>
      <w:r w:rsidR="00B766C4" w:rsidRPr="001E47AD">
        <w:rPr>
          <w:sz w:val="22"/>
          <w:szCs w:val="22"/>
        </w:rPr>
        <w:t xml:space="preserve"> </w:t>
      </w:r>
      <w:r w:rsidR="008B1BD7" w:rsidRPr="001E47AD">
        <w:rPr>
          <w:sz w:val="22"/>
          <w:szCs w:val="22"/>
        </w:rPr>
        <w:t xml:space="preserve">However, </w:t>
      </w:r>
      <w:r w:rsidR="00FA3AF2" w:rsidRPr="001E47AD">
        <w:rPr>
          <w:sz w:val="22"/>
          <w:szCs w:val="22"/>
        </w:rPr>
        <w:t xml:space="preserve">transshipment </w:t>
      </w:r>
      <w:r w:rsidR="00542FAC" w:rsidRPr="001E47AD">
        <w:rPr>
          <w:sz w:val="22"/>
          <w:szCs w:val="22"/>
        </w:rPr>
        <w:t>costs</w:t>
      </w:r>
      <w:r w:rsidR="003E0AA8" w:rsidRPr="001E47AD">
        <w:rPr>
          <w:sz w:val="22"/>
          <w:szCs w:val="22"/>
        </w:rPr>
        <w:t>,</w:t>
      </w:r>
      <w:r w:rsidR="00542FAC" w:rsidRPr="001E47AD">
        <w:rPr>
          <w:sz w:val="22"/>
          <w:szCs w:val="22"/>
        </w:rPr>
        <w:t xml:space="preserve"> </w:t>
      </w:r>
      <w:r w:rsidR="00FA3AF2" w:rsidRPr="001E47AD">
        <w:rPr>
          <w:sz w:val="22"/>
          <w:szCs w:val="22"/>
        </w:rPr>
        <w:t xml:space="preserve">such as </w:t>
      </w:r>
      <w:r w:rsidR="00FA3AF2" w:rsidRPr="001E47AD">
        <w:rPr>
          <w:noProof/>
          <w:sz w:val="22"/>
          <w:szCs w:val="22"/>
        </w:rPr>
        <w:t>long</w:t>
      </w:r>
      <w:r w:rsidR="00347142" w:rsidRPr="001E47AD">
        <w:rPr>
          <w:noProof/>
          <w:sz w:val="22"/>
          <w:szCs w:val="22"/>
        </w:rPr>
        <w:t>-</w:t>
      </w:r>
      <w:r w:rsidR="00FA3AF2" w:rsidRPr="001E47AD">
        <w:rPr>
          <w:noProof/>
          <w:sz w:val="22"/>
          <w:szCs w:val="22"/>
        </w:rPr>
        <w:t>distance</w:t>
      </w:r>
      <w:r w:rsidR="00FA3AF2" w:rsidRPr="001E47AD">
        <w:rPr>
          <w:sz w:val="22"/>
          <w:szCs w:val="22"/>
        </w:rPr>
        <w:t xml:space="preserve"> transportation</w:t>
      </w:r>
      <w:r w:rsidR="003E0AA8" w:rsidRPr="001E47AD">
        <w:rPr>
          <w:sz w:val="22"/>
          <w:szCs w:val="22"/>
        </w:rPr>
        <w:t xml:space="preserve"> tariffs,</w:t>
      </w:r>
      <w:r w:rsidR="00FA3AF2" w:rsidRPr="001E47AD">
        <w:rPr>
          <w:sz w:val="22"/>
          <w:szCs w:val="22"/>
        </w:rPr>
        <w:t xml:space="preserve"> </w:t>
      </w:r>
      <w:r w:rsidR="00542FAC" w:rsidRPr="001E47AD">
        <w:rPr>
          <w:sz w:val="22"/>
          <w:szCs w:val="22"/>
        </w:rPr>
        <w:t xml:space="preserve">may limit </w:t>
      </w:r>
      <w:r w:rsidR="003E0AA8" w:rsidRPr="001E47AD">
        <w:rPr>
          <w:sz w:val="22"/>
          <w:szCs w:val="22"/>
        </w:rPr>
        <w:t xml:space="preserve">a </w:t>
      </w:r>
      <w:r w:rsidR="00542FAC" w:rsidRPr="001E47AD">
        <w:rPr>
          <w:sz w:val="22"/>
          <w:szCs w:val="22"/>
        </w:rPr>
        <w:t>retailer</w:t>
      </w:r>
      <w:r w:rsidR="003E0AA8" w:rsidRPr="001E47AD">
        <w:rPr>
          <w:sz w:val="22"/>
          <w:szCs w:val="22"/>
        </w:rPr>
        <w:t>’</w:t>
      </w:r>
      <w:r w:rsidR="00542FAC" w:rsidRPr="001E47AD">
        <w:rPr>
          <w:sz w:val="22"/>
          <w:szCs w:val="22"/>
        </w:rPr>
        <w:t>s</w:t>
      </w:r>
      <w:r w:rsidR="002514D6" w:rsidRPr="001E47AD">
        <w:rPr>
          <w:sz w:val="22"/>
          <w:szCs w:val="22"/>
        </w:rPr>
        <w:t xml:space="preserve"> inclination</w:t>
      </w:r>
      <w:r w:rsidR="00542FAC" w:rsidRPr="001E47AD">
        <w:rPr>
          <w:sz w:val="22"/>
          <w:szCs w:val="22"/>
        </w:rPr>
        <w:t xml:space="preserve"> to </w:t>
      </w:r>
      <w:r w:rsidR="008B1BD7" w:rsidRPr="001E47AD">
        <w:rPr>
          <w:sz w:val="22"/>
          <w:szCs w:val="22"/>
        </w:rPr>
        <w:t xml:space="preserve">accommodate consumer stockpiling </w:t>
      </w:r>
      <w:r w:rsidR="00FA3AF2" w:rsidRPr="001E47AD">
        <w:rPr>
          <w:sz w:val="22"/>
          <w:szCs w:val="22"/>
        </w:rPr>
        <w:t>demand</w:t>
      </w:r>
      <w:r w:rsidR="008B1BD7" w:rsidRPr="001E47AD">
        <w:rPr>
          <w:sz w:val="22"/>
          <w:szCs w:val="22"/>
        </w:rPr>
        <w:t xml:space="preserve">. </w:t>
      </w:r>
      <w:r w:rsidR="0002428D" w:rsidRPr="001E47AD">
        <w:rPr>
          <w:sz w:val="22"/>
          <w:szCs w:val="22"/>
        </w:rPr>
        <w:t>Accordingly, we expect a retailer’s intra-regional and inter-regional store network</w:t>
      </w:r>
      <w:r w:rsidR="00C02411" w:rsidRPr="001E47AD">
        <w:rPr>
          <w:sz w:val="22"/>
          <w:szCs w:val="22"/>
        </w:rPr>
        <w:t>s</w:t>
      </w:r>
      <w:r w:rsidR="0002428D" w:rsidRPr="001E47AD">
        <w:rPr>
          <w:sz w:val="22"/>
          <w:szCs w:val="22"/>
        </w:rPr>
        <w:t xml:space="preserve"> </w:t>
      </w:r>
      <w:r w:rsidR="00A8478B" w:rsidRPr="001E47AD">
        <w:rPr>
          <w:sz w:val="22"/>
          <w:szCs w:val="22"/>
        </w:rPr>
        <w:t>to</w:t>
      </w:r>
      <w:r w:rsidR="0002428D" w:rsidRPr="001E47AD">
        <w:rPr>
          <w:sz w:val="22"/>
          <w:szCs w:val="22"/>
        </w:rPr>
        <w:t xml:space="preserve"> affect consumer stockpiling during hurricane disasters</w:t>
      </w:r>
      <w:r w:rsidR="00454DA1" w:rsidRPr="001E47AD">
        <w:rPr>
          <w:sz w:val="22"/>
          <w:szCs w:val="22"/>
        </w:rPr>
        <w:t xml:space="preserve">, although the impacts are difficult to predict </w:t>
      </w:r>
      <w:r w:rsidR="00454DA1" w:rsidRPr="001E47AD">
        <w:rPr>
          <w:i/>
          <w:sz w:val="22"/>
          <w:szCs w:val="22"/>
        </w:rPr>
        <w:t>a priori</w:t>
      </w:r>
      <w:r w:rsidR="0002428D" w:rsidRPr="001E47AD">
        <w:rPr>
          <w:sz w:val="22"/>
          <w:szCs w:val="22"/>
        </w:rPr>
        <w:t>.</w:t>
      </w:r>
    </w:p>
    <w:p w14:paraId="05ABA7B8" w14:textId="0CECAFFE" w:rsidR="00072CA2" w:rsidRPr="001E47AD" w:rsidRDefault="00DD5032" w:rsidP="00072CA2">
      <w:pPr>
        <w:spacing w:before="120" w:after="120" w:line="480" w:lineRule="auto"/>
        <w:ind w:firstLine="720"/>
        <w:contextualSpacing/>
        <w:jc w:val="both"/>
        <w:rPr>
          <w:sz w:val="22"/>
          <w:szCs w:val="22"/>
        </w:rPr>
      </w:pPr>
      <w:r w:rsidRPr="001E47AD">
        <w:rPr>
          <w:sz w:val="22"/>
          <w:szCs w:val="22"/>
        </w:rPr>
        <w:t xml:space="preserve">Another supply-side characteristic is the </w:t>
      </w:r>
      <w:r w:rsidRPr="001E47AD">
        <w:rPr>
          <w:noProof/>
          <w:sz w:val="22"/>
          <w:szCs w:val="22"/>
        </w:rPr>
        <w:t>variety</w:t>
      </w:r>
      <w:r w:rsidRPr="001E47AD">
        <w:rPr>
          <w:sz w:val="22"/>
          <w:szCs w:val="22"/>
        </w:rPr>
        <w:t xml:space="preserve"> of products offered at an individual outlet. Product variety plays a </w:t>
      </w:r>
      <w:r w:rsidRPr="001E47AD">
        <w:rPr>
          <w:noProof/>
          <w:sz w:val="22"/>
          <w:szCs w:val="22"/>
        </w:rPr>
        <w:t>major</w:t>
      </w:r>
      <w:r w:rsidRPr="001E47AD">
        <w:rPr>
          <w:sz w:val="22"/>
          <w:szCs w:val="22"/>
        </w:rPr>
        <w:t xml:space="preserve"> role in attracting consumers as </w:t>
      </w:r>
      <w:r w:rsidRPr="001E47AD">
        <w:rPr>
          <w:noProof/>
          <w:sz w:val="22"/>
          <w:szCs w:val="22"/>
        </w:rPr>
        <w:t>can be explained by psychology-based</w:t>
      </w:r>
      <w:r w:rsidRPr="001E47AD">
        <w:rPr>
          <w:sz w:val="22"/>
          <w:szCs w:val="22"/>
        </w:rPr>
        <w:t xml:space="preserve"> (Kahn 1998</w:t>
      </w:r>
      <w:r w:rsidRPr="001E47AD">
        <w:rPr>
          <w:sz w:val="22"/>
          <w:szCs w:val="22"/>
          <w:lang w:eastAsia="zh-CN"/>
        </w:rPr>
        <w:t>,</w:t>
      </w:r>
      <w:r w:rsidRPr="001E47AD">
        <w:rPr>
          <w:sz w:val="22"/>
          <w:szCs w:val="22"/>
        </w:rPr>
        <w:t xml:space="preserve"> McAlister </w:t>
      </w:r>
      <w:r w:rsidRPr="001E47AD">
        <w:rPr>
          <w:sz w:val="22"/>
          <w:szCs w:val="22"/>
          <w:lang w:eastAsia="zh-CN"/>
        </w:rPr>
        <w:t>and</w:t>
      </w:r>
      <w:r w:rsidRPr="001E47AD">
        <w:rPr>
          <w:sz w:val="22"/>
          <w:szCs w:val="22"/>
        </w:rPr>
        <w:t xml:space="preserve"> Pessemier 1982</w:t>
      </w:r>
      <w:r w:rsidRPr="001E47AD">
        <w:rPr>
          <w:sz w:val="22"/>
          <w:szCs w:val="22"/>
          <w:lang w:eastAsia="zh-CN"/>
        </w:rPr>
        <w:t>,</w:t>
      </w:r>
      <w:r w:rsidRPr="001E47AD">
        <w:rPr>
          <w:sz w:val="22"/>
          <w:szCs w:val="22"/>
        </w:rPr>
        <w:t xml:space="preserve"> Ren et al.</w:t>
      </w:r>
      <w:r w:rsidRPr="001E47AD">
        <w:rPr>
          <w:sz w:val="22"/>
          <w:szCs w:val="22"/>
          <w:lang w:eastAsia="zh-CN"/>
        </w:rPr>
        <w:t xml:space="preserve"> </w:t>
      </w:r>
      <w:r w:rsidRPr="001E47AD">
        <w:rPr>
          <w:sz w:val="22"/>
          <w:szCs w:val="22"/>
        </w:rPr>
        <w:t xml:space="preserve">2011), stockout-based (Chen </w:t>
      </w:r>
      <w:r w:rsidRPr="001E47AD">
        <w:rPr>
          <w:sz w:val="22"/>
          <w:szCs w:val="22"/>
          <w:lang w:eastAsia="zh-CN"/>
        </w:rPr>
        <w:t>and</w:t>
      </w:r>
      <w:r w:rsidRPr="001E47AD">
        <w:rPr>
          <w:sz w:val="22"/>
          <w:szCs w:val="22"/>
        </w:rPr>
        <w:t xml:space="preserve"> Plambeck 2008, Gilland </w:t>
      </w:r>
      <w:r w:rsidRPr="001E47AD">
        <w:rPr>
          <w:sz w:val="22"/>
          <w:szCs w:val="22"/>
          <w:lang w:eastAsia="zh-CN"/>
        </w:rPr>
        <w:t>and</w:t>
      </w:r>
      <w:r w:rsidRPr="001E47AD">
        <w:rPr>
          <w:sz w:val="22"/>
          <w:szCs w:val="22"/>
        </w:rPr>
        <w:t xml:space="preserve"> Heese 2013, Honhon </w:t>
      </w:r>
      <w:r w:rsidRPr="001E47AD">
        <w:rPr>
          <w:sz w:val="22"/>
          <w:szCs w:val="22"/>
          <w:lang w:eastAsia="zh-CN"/>
        </w:rPr>
        <w:t>and</w:t>
      </w:r>
      <w:r w:rsidRPr="001E47AD">
        <w:rPr>
          <w:sz w:val="22"/>
          <w:szCs w:val="22"/>
        </w:rPr>
        <w:t xml:space="preserve"> Seshadri 2013, Kraiselburd et al. 2004) and budget-based </w:t>
      </w:r>
      <w:r w:rsidR="006E0123" w:rsidRPr="001E47AD">
        <w:rPr>
          <w:sz w:val="22"/>
          <w:szCs w:val="22"/>
        </w:rPr>
        <w:t xml:space="preserve">(Huchzermeier et al. 2002) </w:t>
      </w:r>
      <w:r w:rsidRPr="001E47AD">
        <w:rPr>
          <w:sz w:val="22"/>
          <w:szCs w:val="22"/>
        </w:rPr>
        <w:t xml:space="preserve">motivations. Increased product variety is also linked to an increase in </w:t>
      </w:r>
      <w:r w:rsidRPr="001E47AD">
        <w:rPr>
          <w:noProof/>
          <w:sz w:val="22"/>
          <w:szCs w:val="22"/>
        </w:rPr>
        <w:t>total</w:t>
      </w:r>
      <w:r w:rsidRPr="001E47AD">
        <w:rPr>
          <w:sz w:val="22"/>
          <w:szCs w:val="22"/>
        </w:rPr>
        <w:t xml:space="preserve"> inventory (Zipkin 2000, Gaur et al. 2005</w:t>
      </w:r>
      <w:r w:rsidRPr="001E47AD">
        <w:rPr>
          <w:sz w:val="22"/>
          <w:szCs w:val="22"/>
          <w:lang w:eastAsia="zh-CN"/>
        </w:rPr>
        <w:t>,</w:t>
      </w:r>
      <w:r w:rsidRPr="001E47AD">
        <w:rPr>
          <w:sz w:val="22"/>
          <w:szCs w:val="22"/>
        </w:rPr>
        <w:t xml:space="preserve"> Rajagopalan 2013</w:t>
      </w:r>
      <w:r w:rsidRPr="001E47AD">
        <w:rPr>
          <w:sz w:val="22"/>
          <w:szCs w:val="22"/>
          <w:lang w:eastAsia="zh-CN"/>
        </w:rPr>
        <w:t>,</w:t>
      </w:r>
      <w:r w:rsidRPr="001E47AD">
        <w:rPr>
          <w:sz w:val="22"/>
          <w:szCs w:val="22"/>
        </w:rPr>
        <w:t xml:space="preserve"> Ton </w:t>
      </w:r>
      <w:r w:rsidRPr="001E47AD">
        <w:rPr>
          <w:sz w:val="22"/>
          <w:szCs w:val="22"/>
          <w:lang w:eastAsia="zh-CN"/>
        </w:rPr>
        <w:t>and</w:t>
      </w:r>
      <w:r w:rsidRPr="001E47AD">
        <w:rPr>
          <w:sz w:val="22"/>
          <w:szCs w:val="22"/>
        </w:rPr>
        <w:t xml:space="preserve"> Raman 2010), but this inventory </w:t>
      </w:r>
      <w:r w:rsidRPr="001E47AD">
        <w:rPr>
          <w:sz w:val="22"/>
          <w:szCs w:val="22"/>
        </w:rPr>
        <w:lastRenderedPageBreak/>
        <w:t xml:space="preserve">increase is limited since retailers take substitutability of demand into consideration in stocking decisions (Gilland </w:t>
      </w:r>
      <w:r w:rsidRPr="001E47AD">
        <w:rPr>
          <w:sz w:val="22"/>
          <w:szCs w:val="22"/>
          <w:lang w:eastAsia="zh-CN"/>
        </w:rPr>
        <w:t>and</w:t>
      </w:r>
      <w:r w:rsidRPr="001E47AD">
        <w:rPr>
          <w:sz w:val="22"/>
          <w:szCs w:val="22"/>
        </w:rPr>
        <w:t xml:space="preserve"> Heese 2013). Therefore, we </w:t>
      </w:r>
      <w:r w:rsidR="000B3C8F" w:rsidRPr="001E47AD">
        <w:rPr>
          <w:sz w:val="22"/>
          <w:szCs w:val="22"/>
        </w:rPr>
        <w:t>expect</w:t>
      </w:r>
      <w:r w:rsidRPr="001E47AD">
        <w:rPr>
          <w:sz w:val="22"/>
          <w:szCs w:val="22"/>
        </w:rPr>
        <w:t xml:space="preserve"> stockpiling </w:t>
      </w:r>
      <w:r w:rsidR="000B3C8F" w:rsidRPr="001E47AD">
        <w:rPr>
          <w:sz w:val="22"/>
          <w:szCs w:val="22"/>
        </w:rPr>
        <w:t xml:space="preserve">to </w:t>
      </w:r>
      <w:r w:rsidRPr="001E47AD">
        <w:rPr>
          <w:sz w:val="22"/>
          <w:szCs w:val="22"/>
        </w:rPr>
        <w:t xml:space="preserve">be positively associated with product </w:t>
      </w:r>
      <w:r w:rsidRPr="001E47AD">
        <w:rPr>
          <w:noProof/>
          <w:sz w:val="22"/>
          <w:szCs w:val="22"/>
        </w:rPr>
        <w:t xml:space="preserve">variety but with a decreasing rate due to demand </w:t>
      </w:r>
      <w:r w:rsidRPr="001E47AD">
        <w:rPr>
          <w:sz w:val="22"/>
          <w:szCs w:val="22"/>
        </w:rPr>
        <w:t>substitutability.</w:t>
      </w:r>
    </w:p>
    <w:p w14:paraId="254DE662" w14:textId="77777777" w:rsidR="0002428D" w:rsidRPr="001E47AD" w:rsidRDefault="0002428D" w:rsidP="00517CB5">
      <w:pPr>
        <w:pStyle w:val="Heading3"/>
        <w:numPr>
          <w:ilvl w:val="2"/>
          <w:numId w:val="23"/>
        </w:numPr>
        <w:spacing w:before="120" w:after="120"/>
        <w:contextualSpacing/>
        <w:rPr>
          <w:sz w:val="22"/>
          <w:szCs w:val="22"/>
        </w:rPr>
      </w:pPr>
      <w:bookmarkStart w:id="18" w:name="_Toc520380467"/>
      <w:r w:rsidRPr="001E47AD">
        <w:rPr>
          <w:sz w:val="22"/>
          <w:szCs w:val="22"/>
        </w:rPr>
        <w:t>Demand-Side Characteristics</w:t>
      </w:r>
      <w:bookmarkEnd w:id="18"/>
    </w:p>
    <w:p w14:paraId="388BFB58" w14:textId="72AAEB52" w:rsidR="000C434B" w:rsidRPr="001E47AD" w:rsidRDefault="00D7361F" w:rsidP="00BA4C3F">
      <w:pPr>
        <w:spacing w:before="120" w:after="120" w:line="480" w:lineRule="auto"/>
        <w:contextualSpacing/>
        <w:jc w:val="both"/>
        <w:rPr>
          <w:sz w:val="22"/>
          <w:szCs w:val="22"/>
        </w:rPr>
      </w:pPr>
      <w:r w:rsidRPr="001E47AD">
        <w:rPr>
          <w:noProof/>
          <w:sz w:val="22"/>
          <w:szCs w:val="22"/>
        </w:rPr>
        <w:t>With</w:t>
      </w:r>
      <w:r w:rsidR="0002428D" w:rsidRPr="001E47AD">
        <w:rPr>
          <w:noProof/>
          <w:sz w:val="22"/>
          <w:szCs w:val="22"/>
        </w:rPr>
        <w:t xml:space="preserve"> natural disasters, </w:t>
      </w:r>
      <w:r w:rsidR="0002428D" w:rsidRPr="001E47AD">
        <w:rPr>
          <w:sz w:val="22"/>
          <w:szCs w:val="22"/>
        </w:rPr>
        <w:t xml:space="preserve">consumer stockpiling propensity may </w:t>
      </w:r>
      <w:r w:rsidR="0002428D" w:rsidRPr="001E47AD">
        <w:rPr>
          <w:noProof/>
          <w:sz w:val="22"/>
          <w:szCs w:val="22"/>
        </w:rPr>
        <w:t>be related</w:t>
      </w:r>
      <w:r w:rsidR="0002428D" w:rsidRPr="001E47AD">
        <w:rPr>
          <w:sz w:val="22"/>
          <w:szCs w:val="22"/>
        </w:rPr>
        <w:t xml:space="preserve"> to demand-side characteristics that influence risk perception and purchasing power. </w:t>
      </w:r>
      <w:r w:rsidR="004B4AF6" w:rsidRPr="001E47AD">
        <w:rPr>
          <w:sz w:val="22"/>
          <w:szCs w:val="22"/>
        </w:rPr>
        <w:t xml:space="preserve">We focus on two key </w:t>
      </w:r>
      <w:r w:rsidR="007A4D88" w:rsidRPr="001E47AD">
        <w:rPr>
          <w:noProof/>
          <w:sz w:val="22"/>
          <w:szCs w:val="22"/>
        </w:rPr>
        <w:t>characteristics</w:t>
      </w:r>
      <w:r w:rsidR="004B4AF6" w:rsidRPr="001E47AD">
        <w:rPr>
          <w:sz w:val="22"/>
          <w:szCs w:val="22"/>
        </w:rPr>
        <w:t>:</w:t>
      </w:r>
      <w:r w:rsidR="007A4D88" w:rsidRPr="001E47AD">
        <w:rPr>
          <w:sz w:val="22"/>
          <w:szCs w:val="22"/>
        </w:rPr>
        <w:t xml:space="preserve"> </w:t>
      </w:r>
      <w:r w:rsidR="0002428D" w:rsidRPr="001E47AD">
        <w:rPr>
          <w:sz w:val="22"/>
          <w:szCs w:val="22"/>
        </w:rPr>
        <w:t>disaster experience and household income.</w:t>
      </w:r>
      <w:r w:rsidR="00BA4C3F" w:rsidRPr="001E47AD">
        <w:rPr>
          <w:sz w:val="22"/>
          <w:szCs w:val="22"/>
          <w:lang w:eastAsia="zh-CN"/>
        </w:rPr>
        <w:t xml:space="preserve"> </w:t>
      </w:r>
      <w:r w:rsidR="004B4AF6" w:rsidRPr="001E47AD">
        <w:rPr>
          <w:noProof/>
          <w:sz w:val="22"/>
          <w:szCs w:val="22"/>
        </w:rPr>
        <w:t>P</w:t>
      </w:r>
      <w:r w:rsidR="0002428D" w:rsidRPr="001E47AD">
        <w:rPr>
          <w:noProof/>
          <w:sz w:val="22"/>
          <w:szCs w:val="22"/>
        </w:rPr>
        <w:t>rior</w:t>
      </w:r>
      <w:r w:rsidR="0002428D" w:rsidRPr="001E47AD">
        <w:rPr>
          <w:sz w:val="22"/>
          <w:szCs w:val="22"/>
        </w:rPr>
        <w:t xml:space="preserve"> experience is likely to affect stockpiling propensity </w:t>
      </w:r>
      <w:r w:rsidR="004B4AF6" w:rsidRPr="001E47AD">
        <w:rPr>
          <w:noProof/>
          <w:sz w:val="22"/>
          <w:szCs w:val="22"/>
        </w:rPr>
        <w:t>in</w:t>
      </w:r>
      <w:r w:rsidR="004B4AF6" w:rsidRPr="001E47AD">
        <w:rPr>
          <w:sz w:val="22"/>
          <w:szCs w:val="22"/>
        </w:rPr>
        <w:t xml:space="preserve"> two somewhat opposite directions</w:t>
      </w:r>
      <w:r w:rsidR="0002428D" w:rsidRPr="001E47AD">
        <w:rPr>
          <w:sz w:val="22"/>
          <w:szCs w:val="22"/>
        </w:rPr>
        <w:t xml:space="preserve">. </w:t>
      </w:r>
      <w:r w:rsidR="004B4AF6" w:rsidRPr="001E47AD">
        <w:rPr>
          <w:sz w:val="22"/>
          <w:szCs w:val="22"/>
        </w:rPr>
        <w:t xml:space="preserve">Sattler et al. (2000) point out that </w:t>
      </w:r>
      <w:r w:rsidR="004B4AF6" w:rsidRPr="001E47AD">
        <w:rPr>
          <w:noProof/>
          <w:sz w:val="22"/>
          <w:szCs w:val="22"/>
        </w:rPr>
        <w:t>experience</w:t>
      </w:r>
      <w:r w:rsidR="004B4AF6" w:rsidRPr="001E47AD">
        <w:rPr>
          <w:sz w:val="22"/>
          <w:szCs w:val="22"/>
        </w:rPr>
        <w:t xml:space="preserve"> predicts hurricane disaster preparedness, supporting both the resource stress model (Hobfoll 1989) and the warning and response model (Lindell </w:t>
      </w:r>
      <w:r w:rsidR="004B4AF6" w:rsidRPr="001E47AD">
        <w:rPr>
          <w:sz w:val="22"/>
          <w:szCs w:val="22"/>
          <w:lang w:eastAsia="zh-CN"/>
        </w:rPr>
        <w:t>and</w:t>
      </w:r>
      <w:r w:rsidR="004B4AF6" w:rsidRPr="001E47AD">
        <w:rPr>
          <w:sz w:val="22"/>
          <w:szCs w:val="22"/>
        </w:rPr>
        <w:t xml:space="preserve"> Perry 1992). Thus, i</w:t>
      </w:r>
      <w:r w:rsidR="0002428D" w:rsidRPr="001E47AD">
        <w:rPr>
          <w:noProof/>
          <w:sz w:val="22"/>
          <w:szCs w:val="22"/>
        </w:rPr>
        <w:t>ndividuals</w:t>
      </w:r>
      <w:r w:rsidR="0002428D" w:rsidRPr="001E47AD">
        <w:rPr>
          <w:sz w:val="22"/>
          <w:szCs w:val="22"/>
        </w:rPr>
        <w:t xml:space="preserve"> with more hurricane experience </w:t>
      </w:r>
      <w:r w:rsidR="00AB0095" w:rsidRPr="001E47AD">
        <w:rPr>
          <w:noProof/>
          <w:sz w:val="22"/>
          <w:szCs w:val="22"/>
        </w:rPr>
        <w:t xml:space="preserve">tend to have </w:t>
      </w:r>
      <w:r w:rsidR="0002428D" w:rsidRPr="001E47AD">
        <w:rPr>
          <w:noProof/>
          <w:sz w:val="22"/>
          <w:szCs w:val="22"/>
        </w:rPr>
        <w:t>higher</w:t>
      </w:r>
      <w:r w:rsidR="0002428D" w:rsidRPr="001E47AD">
        <w:rPr>
          <w:sz w:val="22"/>
          <w:szCs w:val="22"/>
        </w:rPr>
        <w:t xml:space="preserve"> awareness </w:t>
      </w:r>
      <w:r w:rsidR="0002428D" w:rsidRPr="001E47AD">
        <w:rPr>
          <w:noProof/>
          <w:sz w:val="22"/>
          <w:szCs w:val="22"/>
        </w:rPr>
        <w:t>of</w:t>
      </w:r>
      <w:r w:rsidR="0002428D" w:rsidRPr="001E47AD">
        <w:rPr>
          <w:sz w:val="22"/>
          <w:szCs w:val="22"/>
        </w:rPr>
        <w:t xml:space="preserve"> hurricane hazard</w:t>
      </w:r>
      <w:r w:rsidR="00C17888" w:rsidRPr="001E47AD">
        <w:rPr>
          <w:sz w:val="22"/>
          <w:szCs w:val="22"/>
        </w:rPr>
        <w:t>s</w:t>
      </w:r>
      <w:r w:rsidR="0002428D" w:rsidRPr="001E47AD">
        <w:rPr>
          <w:sz w:val="22"/>
          <w:szCs w:val="22"/>
        </w:rPr>
        <w:t xml:space="preserve"> </w:t>
      </w:r>
      <w:r w:rsidR="00AD77F5" w:rsidRPr="001E47AD">
        <w:rPr>
          <w:sz w:val="22"/>
          <w:szCs w:val="22"/>
        </w:rPr>
        <w:t>(Trumbo</w:t>
      </w:r>
      <w:r w:rsidR="0004130B" w:rsidRPr="001E47AD">
        <w:rPr>
          <w:sz w:val="22"/>
          <w:szCs w:val="22"/>
        </w:rPr>
        <w:t xml:space="preserve"> et al. </w:t>
      </w:r>
      <w:r w:rsidR="0002428D" w:rsidRPr="001E47AD">
        <w:rPr>
          <w:sz w:val="22"/>
          <w:szCs w:val="22"/>
        </w:rPr>
        <w:t xml:space="preserve">2011), which may stimulate consumer stockpiling propensity due to higher </w:t>
      </w:r>
      <w:r w:rsidR="0002428D" w:rsidRPr="001E47AD">
        <w:rPr>
          <w:noProof/>
          <w:sz w:val="22"/>
          <w:szCs w:val="22"/>
        </w:rPr>
        <w:t>perceived</w:t>
      </w:r>
      <w:r w:rsidR="0002428D" w:rsidRPr="001E47AD">
        <w:rPr>
          <w:sz w:val="22"/>
          <w:szCs w:val="22"/>
        </w:rPr>
        <w:t xml:space="preserve"> risk. </w:t>
      </w:r>
      <w:r w:rsidR="0002428D" w:rsidRPr="001E47AD">
        <w:rPr>
          <w:noProof/>
          <w:sz w:val="22"/>
          <w:szCs w:val="22"/>
        </w:rPr>
        <w:t>However</w:t>
      </w:r>
      <w:r w:rsidR="004B4AF6" w:rsidRPr="001E47AD">
        <w:rPr>
          <w:sz w:val="22"/>
          <w:szCs w:val="22"/>
        </w:rPr>
        <w:t xml:space="preserve">, </w:t>
      </w:r>
      <w:r w:rsidR="0002428D" w:rsidRPr="001E47AD">
        <w:rPr>
          <w:sz w:val="22"/>
          <w:szCs w:val="22"/>
        </w:rPr>
        <w:t xml:space="preserve">prior experience may have a diminishing effect on consumer </w:t>
      </w:r>
      <w:r w:rsidR="0002428D" w:rsidRPr="001E47AD">
        <w:rPr>
          <w:noProof/>
          <w:sz w:val="22"/>
          <w:szCs w:val="22"/>
        </w:rPr>
        <w:t>stockpiling</w:t>
      </w:r>
      <w:r w:rsidR="0002428D" w:rsidRPr="001E47AD">
        <w:rPr>
          <w:sz w:val="22"/>
          <w:szCs w:val="22"/>
        </w:rPr>
        <w:t xml:space="preserve"> </w:t>
      </w:r>
      <w:r w:rsidR="0002428D" w:rsidRPr="001E47AD">
        <w:rPr>
          <w:noProof/>
          <w:sz w:val="22"/>
          <w:szCs w:val="22"/>
        </w:rPr>
        <w:t>prior to</w:t>
      </w:r>
      <w:r w:rsidR="0002428D" w:rsidRPr="001E47AD">
        <w:rPr>
          <w:sz w:val="22"/>
          <w:szCs w:val="22"/>
        </w:rPr>
        <w:t xml:space="preserve"> disasters. Consumers with significant hurricane experience may </w:t>
      </w:r>
      <w:r w:rsidR="0022210C" w:rsidRPr="001E47AD">
        <w:rPr>
          <w:sz w:val="22"/>
          <w:szCs w:val="22"/>
        </w:rPr>
        <w:t xml:space="preserve">have already </w:t>
      </w:r>
      <w:r w:rsidR="0002428D" w:rsidRPr="001E47AD">
        <w:rPr>
          <w:noProof/>
          <w:sz w:val="22"/>
          <w:szCs w:val="22"/>
        </w:rPr>
        <w:t>stockpile</w:t>
      </w:r>
      <w:r w:rsidR="0022210C" w:rsidRPr="001E47AD">
        <w:rPr>
          <w:noProof/>
          <w:sz w:val="22"/>
          <w:szCs w:val="22"/>
        </w:rPr>
        <w:t>d</w:t>
      </w:r>
      <w:r w:rsidR="0002428D" w:rsidRPr="001E47AD">
        <w:rPr>
          <w:sz w:val="22"/>
          <w:szCs w:val="22"/>
        </w:rPr>
        <w:t xml:space="preserve"> </w:t>
      </w:r>
      <w:r w:rsidR="005E4716" w:rsidRPr="001E47AD">
        <w:rPr>
          <w:sz w:val="22"/>
          <w:szCs w:val="22"/>
        </w:rPr>
        <w:t>due to</w:t>
      </w:r>
      <w:r w:rsidR="0002428D" w:rsidRPr="001E47AD">
        <w:rPr>
          <w:sz w:val="22"/>
          <w:szCs w:val="22"/>
        </w:rPr>
        <w:t xml:space="preserve"> seasonal preparedness instead of last-minute preparedness (Beatty</w:t>
      </w:r>
      <w:r w:rsidR="0004130B" w:rsidRPr="001E47AD">
        <w:rPr>
          <w:sz w:val="22"/>
          <w:szCs w:val="22"/>
        </w:rPr>
        <w:t xml:space="preserve"> et al.</w:t>
      </w:r>
      <w:r w:rsidR="0002428D" w:rsidRPr="001E47AD">
        <w:rPr>
          <w:sz w:val="22"/>
          <w:szCs w:val="22"/>
        </w:rPr>
        <w:t xml:space="preserve"> 201</w:t>
      </w:r>
      <w:r w:rsidR="00306749" w:rsidRPr="001E47AD">
        <w:rPr>
          <w:sz w:val="22"/>
          <w:szCs w:val="22"/>
          <w:lang w:eastAsia="zh-CN"/>
        </w:rPr>
        <w:t>8</w:t>
      </w:r>
      <w:r w:rsidR="0002428D" w:rsidRPr="001E47AD">
        <w:rPr>
          <w:sz w:val="22"/>
          <w:szCs w:val="22"/>
        </w:rPr>
        <w:t>). Moreover,</w:t>
      </w:r>
      <w:r w:rsidR="005E4716" w:rsidRPr="001E47AD">
        <w:rPr>
          <w:sz w:val="22"/>
          <w:szCs w:val="22"/>
        </w:rPr>
        <w:t xml:space="preserve"> </w:t>
      </w:r>
      <w:r w:rsidR="0002428D" w:rsidRPr="001E47AD">
        <w:rPr>
          <w:noProof/>
          <w:sz w:val="22"/>
          <w:szCs w:val="22"/>
        </w:rPr>
        <w:t>significant</w:t>
      </w:r>
      <w:r w:rsidR="0002428D" w:rsidRPr="001E47AD">
        <w:rPr>
          <w:sz w:val="22"/>
          <w:szCs w:val="22"/>
        </w:rPr>
        <w:t xml:space="preserve"> experience may </w:t>
      </w:r>
      <w:r w:rsidR="005E4716" w:rsidRPr="001E47AD">
        <w:rPr>
          <w:sz w:val="22"/>
          <w:szCs w:val="22"/>
        </w:rPr>
        <w:t xml:space="preserve">adversely </w:t>
      </w:r>
      <w:r w:rsidR="0002428D" w:rsidRPr="001E47AD">
        <w:rPr>
          <w:sz w:val="22"/>
          <w:szCs w:val="22"/>
        </w:rPr>
        <w:t>affect</w:t>
      </w:r>
      <w:r w:rsidR="005E4716" w:rsidRPr="001E47AD">
        <w:rPr>
          <w:sz w:val="22"/>
          <w:szCs w:val="22"/>
        </w:rPr>
        <w:t xml:space="preserve"> </w:t>
      </w:r>
      <w:r w:rsidR="0022210C" w:rsidRPr="001E47AD">
        <w:rPr>
          <w:sz w:val="22"/>
          <w:szCs w:val="22"/>
        </w:rPr>
        <w:t>consumers</w:t>
      </w:r>
      <w:r w:rsidR="006E0123" w:rsidRPr="001E47AD">
        <w:rPr>
          <w:sz w:val="22"/>
          <w:szCs w:val="22"/>
        </w:rPr>
        <w:t>’</w:t>
      </w:r>
      <w:r w:rsidR="007129FC" w:rsidRPr="001E47AD">
        <w:rPr>
          <w:sz w:val="22"/>
          <w:szCs w:val="22"/>
        </w:rPr>
        <w:t xml:space="preserve"> judgment</w:t>
      </w:r>
      <w:r w:rsidR="006E0123" w:rsidRPr="001E47AD">
        <w:rPr>
          <w:sz w:val="22"/>
          <w:szCs w:val="22"/>
        </w:rPr>
        <w:t xml:space="preserve"> as they </w:t>
      </w:r>
      <w:r w:rsidR="004E0145" w:rsidRPr="001E47AD">
        <w:rPr>
          <w:sz w:val="22"/>
          <w:szCs w:val="22"/>
        </w:rPr>
        <w:t>may</w:t>
      </w:r>
      <w:r w:rsidR="00360D43" w:rsidRPr="001E47AD">
        <w:rPr>
          <w:sz w:val="22"/>
          <w:szCs w:val="22"/>
        </w:rPr>
        <w:t xml:space="preserve"> become</w:t>
      </w:r>
      <w:r w:rsidR="0002428D" w:rsidRPr="001E47AD">
        <w:rPr>
          <w:sz w:val="22"/>
          <w:szCs w:val="22"/>
        </w:rPr>
        <w:t xml:space="preserve"> blasé about risks, resulting </w:t>
      </w:r>
      <w:r w:rsidR="0002428D" w:rsidRPr="001E47AD">
        <w:rPr>
          <w:noProof/>
          <w:sz w:val="22"/>
          <w:szCs w:val="22"/>
        </w:rPr>
        <w:t>in</w:t>
      </w:r>
      <w:r w:rsidR="0002428D" w:rsidRPr="001E47AD">
        <w:rPr>
          <w:sz w:val="22"/>
          <w:szCs w:val="22"/>
        </w:rPr>
        <w:t xml:space="preserve"> lower stockpiling propensity. Overall, these mixed effects indicate that prior hurricane experience may influence consumer stockpiling behavior in a </w:t>
      </w:r>
      <w:r w:rsidR="004E0145" w:rsidRPr="001E47AD">
        <w:rPr>
          <w:noProof/>
          <w:sz w:val="22"/>
          <w:szCs w:val="22"/>
        </w:rPr>
        <w:t>complex</w:t>
      </w:r>
      <w:r w:rsidR="0002428D" w:rsidRPr="001E47AD">
        <w:rPr>
          <w:sz w:val="22"/>
          <w:szCs w:val="22"/>
        </w:rPr>
        <w:t xml:space="preserve"> relationship.</w:t>
      </w:r>
    </w:p>
    <w:p w14:paraId="6D362C38" w14:textId="77777777" w:rsidR="0002428D" w:rsidRPr="001E47AD" w:rsidRDefault="0002428D" w:rsidP="00517CB5">
      <w:pPr>
        <w:spacing w:before="120" w:after="120" w:line="480" w:lineRule="auto"/>
        <w:ind w:firstLine="720"/>
        <w:contextualSpacing/>
        <w:jc w:val="both"/>
        <w:rPr>
          <w:sz w:val="22"/>
          <w:szCs w:val="22"/>
        </w:rPr>
      </w:pPr>
      <w:r w:rsidRPr="001E47AD">
        <w:rPr>
          <w:sz w:val="22"/>
          <w:szCs w:val="22"/>
        </w:rPr>
        <w:t>A handful of studies show that hurricane preparedness is related to household income (Baker 2011</w:t>
      </w:r>
      <w:r w:rsidR="0004130B" w:rsidRPr="001E47AD">
        <w:rPr>
          <w:sz w:val="22"/>
          <w:szCs w:val="22"/>
        </w:rPr>
        <w:t xml:space="preserve">, </w:t>
      </w:r>
      <w:r w:rsidRPr="001E47AD">
        <w:rPr>
          <w:sz w:val="22"/>
          <w:szCs w:val="22"/>
        </w:rPr>
        <w:t xml:space="preserve">Fothergill </w:t>
      </w:r>
      <w:r w:rsidR="0004130B" w:rsidRPr="001E47AD">
        <w:rPr>
          <w:sz w:val="22"/>
          <w:szCs w:val="22"/>
          <w:lang w:eastAsia="zh-CN"/>
        </w:rPr>
        <w:t>and</w:t>
      </w:r>
      <w:r w:rsidRPr="001E47AD">
        <w:rPr>
          <w:sz w:val="22"/>
          <w:szCs w:val="22"/>
        </w:rPr>
        <w:t xml:space="preserve"> Peek 2004). Individuals with higher income are more capable of purchasing emergency supplies in the face of natural disaster. For example, Baker (2011) finds that</w:t>
      </w:r>
      <w:r w:rsidR="0022210C" w:rsidRPr="001E47AD">
        <w:rPr>
          <w:sz w:val="22"/>
          <w:szCs w:val="22"/>
        </w:rPr>
        <w:t xml:space="preserve"> a</w:t>
      </w:r>
      <w:r w:rsidRPr="001E47AD">
        <w:rPr>
          <w:sz w:val="22"/>
          <w:szCs w:val="22"/>
        </w:rPr>
        <w:t xml:space="preserve"> household</w:t>
      </w:r>
      <w:r w:rsidR="0022210C" w:rsidRPr="001E47AD">
        <w:rPr>
          <w:sz w:val="22"/>
          <w:szCs w:val="22"/>
        </w:rPr>
        <w:t>’</w:t>
      </w:r>
      <w:r w:rsidRPr="001E47AD">
        <w:rPr>
          <w:sz w:val="22"/>
          <w:szCs w:val="22"/>
        </w:rPr>
        <w:t xml:space="preserve">s hurricane preparedness in Florida is strongly related to home ownership, residence type, and household income. Fothergill </w:t>
      </w:r>
      <w:r w:rsidR="002324FC" w:rsidRPr="001E47AD">
        <w:rPr>
          <w:sz w:val="22"/>
          <w:szCs w:val="22"/>
          <w:lang w:eastAsia="zh-CN"/>
        </w:rPr>
        <w:t xml:space="preserve">and </w:t>
      </w:r>
      <w:r w:rsidR="002324FC" w:rsidRPr="001E47AD">
        <w:rPr>
          <w:sz w:val="22"/>
          <w:szCs w:val="22"/>
        </w:rPr>
        <w:t>Peek</w:t>
      </w:r>
      <w:r w:rsidRPr="001E47AD">
        <w:rPr>
          <w:sz w:val="22"/>
          <w:szCs w:val="22"/>
        </w:rPr>
        <w:t xml:space="preserve"> (2004) conclude that the poor in the </w:t>
      </w:r>
      <w:r w:rsidRPr="001E47AD">
        <w:rPr>
          <w:noProof/>
          <w:sz w:val="22"/>
          <w:szCs w:val="22"/>
        </w:rPr>
        <w:t>U.S.</w:t>
      </w:r>
      <w:r w:rsidRPr="001E47AD">
        <w:rPr>
          <w:sz w:val="22"/>
          <w:szCs w:val="22"/>
        </w:rPr>
        <w:t xml:space="preserve"> are vulnerable to natural disasters due to factors</w:t>
      </w:r>
      <w:r w:rsidR="004E0145" w:rsidRPr="001E47AD">
        <w:rPr>
          <w:sz w:val="22"/>
          <w:szCs w:val="22"/>
        </w:rPr>
        <w:t xml:space="preserve"> such</w:t>
      </w:r>
      <w:r w:rsidRPr="001E47AD">
        <w:rPr>
          <w:sz w:val="22"/>
          <w:szCs w:val="22"/>
        </w:rPr>
        <w:t xml:space="preserve"> as residence location, </w:t>
      </w:r>
      <w:r w:rsidRPr="001E47AD">
        <w:rPr>
          <w:noProof/>
          <w:sz w:val="22"/>
          <w:szCs w:val="22"/>
        </w:rPr>
        <w:t>residence</w:t>
      </w:r>
      <w:r w:rsidRPr="001E47AD">
        <w:rPr>
          <w:sz w:val="22"/>
          <w:szCs w:val="22"/>
        </w:rPr>
        <w:t xml:space="preserve"> type, building construction, and social exclusion. However, individuals </w:t>
      </w:r>
      <w:r w:rsidR="005C063B" w:rsidRPr="001E47AD">
        <w:rPr>
          <w:sz w:val="22"/>
          <w:szCs w:val="22"/>
        </w:rPr>
        <w:t>who belong t</w:t>
      </w:r>
      <w:r w:rsidR="00B36CAC" w:rsidRPr="001E47AD">
        <w:rPr>
          <w:sz w:val="22"/>
          <w:szCs w:val="22"/>
        </w:rPr>
        <w:t xml:space="preserve">o a </w:t>
      </w:r>
      <w:r w:rsidR="00B36CAC" w:rsidRPr="001E47AD">
        <w:rPr>
          <w:noProof/>
          <w:sz w:val="22"/>
          <w:szCs w:val="22"/>
        </w:rPr>
        <w:t>higher</w:t>
      </w:r>
      <w:r w:rsidR="00B36CAC" w:rsidRPr="001E47AD">
        <w:rPr>
          <w:sz w:val="22"/>
          <w:szCs w:val="22"/>
        </w:rPr>
        <w:t xml:space="preserve"> socio-economic group</w:t>
      </w:r>
      <w:r w:rsidRPr="001E47AD">
        <w:rPr>
          <w:sz w:val="22"/>
          <w:szCs w:val="22"/>
        </w:rPr>
        <w:t xml:space="preserve"> with abundant resources may </w:t>
      </w:r>
      <w:r w:rsidR="005C063B" w:rsidRPr="001E47AD">
        <w:rPr>
          <w:sz w:val="22"/>
          <w:szCs w:val="22"/>
        </w:rPr>
        <w:t xml:space="preserve">have a lower </w:t>
      </w:r>
      <w:r w:rsidRPr="001E47AD">
        <w:rPr>
          <w:sz w:val="22"/>
          <w:szCs w:val="22"/>
        </w:rPr>
        <w:t xml:space="preserve">purchasing desirability before and during a natural disaster </w:t>
      </w:r>
      <w:r w:rsidR="00633D56" w:rsidRPr="001E47AD">
        <w:rPr>
          <w:sz w:val="22"/>
          <w:szCs w:val="22"/>
        </w:rPr>
        <w:t>(Peacock</w:t>
      </w:r>
      <w:r w:rsidR="0004130B" w:rsidRPr="001E47AD">
        <w:rPr>
          <w:sz w:val="22"/>
          <w:szCs w:val="22"/>
        </w:rPr>
        <w:t xml:space="preserve"> et al.</w:t>
      </w:r>
      <w:r w:rsidRPr="001E47AD">
        <w:rPr>
          <w:sz w:val="22"/>
          <w:szCs w:val="22"/>
        </w:rPr>
        <w:t xml:space="preserve"> 2005). </w:t>
      </w:r>
      <w:r w:rsidR="0022210C" w:rsidRPr="001E47AD">
        <w:rPr>
          <w:sz w:val="22"/>
          <w:szCs w:val="22"/>
        </w:rPr>
        <w:t>They</w:t>
      </w:r>
      <w:r w:rsidRPr="001E47AD">
        <w:rPr>
          <w:sz w:val="22"/>
          <w:szCs w:val="22"/>
        </w:rPr>
        <w:t xml:space="preserve"> are more </w:t>
      </w:r>
      <w:r w:rsidRPr="001E47AD">
        <w:rPr>
          <w:sz w:val="22"/>
          <w:szCs w:val="22"/>
        </w:rPr>
        <w:lastRenderedPageBreak/>
        <w:t xml:space="preserve">capable of fleeing from the disaster-affected area, resulting </w:t>
      </w:r>
      <w:r w:rsidRPr="001E47AD">
        <w:rPr>
          <w:noProof/>
          <w:sz w:val="22"/>
          <w:szCs w:val="22"/>
        </w:rPr>
        <w:t>in</w:t>
      </w:r>
      <w:r w:rsidRPr="001E47AD">
        <w:rPr>
          <w:sz w:val="22"/>
          <w:szCs w:val="22"/>
        </w:rPr>
        <w:t xml:space="preserve"> a discounting effect on consumer stockpiling behavior. </w:t>
      </w:r>
    </w:p>
    <w:p w14:paraId="524B4499" w14:textId="77777777" w:rsidR="0002428D" w:rsidRPr="001E47AD" w:rsidRDefault="0002428D" w:rsidP="00517CB5">
      <w:pPr>
        <w:pStyle w:val="Heading3"/>
        <w:numPr>
          <w:ilvl w:val="2"/>
          <w:numId w:val="23"/>
        </w:numPr>
        <w:spacing w:before="120" w:after="120"/>
        <w:contextualSpacing/>
        <w:rPr>
          <w:sz w:val="22"/>
          <w:szCs w:val="22"/>
        </w:rPr>
      </w:pPr>
      <w:bookmarkStart w:id="19" w:name="_Toc520380468"/>
      <w:r w:rsidRPr="001E47AD">
        <w:rPr>
          <w:sz w:val="22"/>
          <w:szCs w:val="22"/>
        </w:rPr>
        <w:t>Disaster Characteristics</w:t>
      </w:r>
      <w:bookmarkEnd w:id="19"/>
    </w:p>
    <w:p w14:paraId="2C937CEC" w14:textId="7AD7941C" w:rsidR="0002428D" w:rsidRPr="001E47AD" w:rsidRDefault="00F56987" w:rsidP="00517CB5">
      <w:pPr>
        <w:spacing w:before="120" w:after="120" w:line="480" w:lineRule="auto"/>
        <w:contextualSpacing/>
        <w:jc w:val="both"/>
        <w:rPr>
          <w:sz w:val="22"/>
          <w:szCs w:val="22"/>
          <w:lang w:eastAsia="zh-CN"/>
        </w:rPr>
      </w:pPr>
      <w:r w:rsidRPr="001E47AD">
        <w:rPr>
          <w:noProof/>
          <w:sz w:val="22"/>
          <w:szCs w:val="22"/>
        </w:rPr>
        <w:t xml:space="preserve">The proximity </w:t>
      </w:r>
      <w:r w:rsidRPr="001E47AD">
        <w:rPr>
          <w:sz w:val="22"/>
          <w:szCs w:val="22"/>
        </w:rPr>
        <w:t xml:space="preserve">(i.e., distance to landfall points and distance to </w:t>
      </w:r>
      <w:r w:rsidRPr="001E47AD">
        <w:rPr>
          <w:noProof/>
          <w:sz w:val="22"/>
          <w:szCs w:val="22"/>
        </w:rPr>
        <w:t>path</w:t>
      </w:r>
      <w:r w:rsidRPr="001E47AD">
        <w:rPr>
          <w:sz w:val="22"/>
          <w:szCs w:val="22"/>
        </w:rPr>
        <w:t xml:space="preserve"> of </w:t>
      </w:r>
      <w:r w:rsidRPr="001E47AD">
        <w:rPr>
          <w:noProof/>
          <w:sz w:val="22"/>
          <w:szCs w:val="22"/>
        </w:rPr>
        <w:t>hurricane</w:t>
      </w:r>
      <w:r w:rsidRPr="001E47AD">
        <w:rPr>
          <w:sz w:val="22"/>
          <w:szCs w:val="22"/>
        </w:rPr>
        <w:t xml:space="preserve">) </w:t>
      </w:r>
      <w:r w:rsidRPr="001E47AD">
        <w:rPr>
          <w:noProof/>
          <w:sz w:val="22"/>
          <w:szCs w:val="22"/>
        </w:rPr>
        <w:t xml:space="preserve">and intensity </w:t>
      </w:r>
      <w:r w:rsidRPr="001E47AD">
        <w:rPr>
          <w:sz w:val="22"/>
          <w:szCs w:val="22"/>
        </w:rPr>
        <w:t xml:space="preserve">(wind speed) </w:t>
      </w:r>
      <w:r w:rsidRPr="001E47AD">
        <w:rPr>
          <w:noProof/>
          <w:sz w:val="22"/>
          <w:szCs w:val="22"/>
        </w:rPr>
        <w:t>of the approaching hurricane may play an important factor in c</w:t>
      </w:r>
      <w:r w:rsidR="0002428D" w:rsidRPr="001E47AD">
        <w:rPr>
          <w:noProof/>
          <w:sz w:val="22"/>
          <w:szCs w:val="22"/>
        </w:rPr>
        <w:t>onsumer</w:t>
      </w:r>
      <w:r w:rsidR="0002428D" w:rsidRPr="001E47AD">
        <w:rPr>
          <w:sz w:val="22"/>
          <w:szCs w:val="22"/>
        </w:rPr>
        <w:t xml:space="preserve"> stockpiling propensity. Recent studies have shown that proximity to </w:t>
      </w:r>
      <w:r w:rsidR="004E0145" w:rsidRPr="001E47AD">
        <w:rPr>
          <w:sz w:val="22"/>
          <w:szCs w:val="22"/>
        </w:rPr>
        <w:t xml:space="preserve">a </w:t>
      </w:r>
      <w:r w:rsidR="0002428D" w:rsidRPr="001E47AD">
        <w:rPr>
          <w:noProof/>
          <w:sz w:val="22"/>
          <w:szCs w:val="22"/>
        </w:rPr>
        <w:t>hazard</w:t>
      </w:r>
      <w:r w:rsidR="0002428D" w:rsidRPr="001E47AD">
        <w:rPr>
          <w:sz w:val="22"/>
          <w:szCs w:val="22"/>
        </w:rPr>
        <w:t xml:space="preserve"> </w:t>
      </w:r>
      <w:r w:rsidR="0002428D" w:rsidRPr="001E47AD">
        <w:rPr>
          <w:noProof/>
          <w:sz w:val="22"/>
          <w:szCs w:val="22"/>
        </w:rPr>
        <w:t>and</w:t>
      </w:r>
      <w:r w:rsidR="0002428D" w:rsidRPr="001E47AD">
        <w:rPr>
          <w:sz w:val="22"/>
          <w:szCs w:val="22"/>
        </w:rPr>
        <w:t xml:space="preserve"> </w:t>
      </w:r>
      <w:r w:rsidR="00446B7A" w:rsidRPr="001E47AD">
        <w:rPr>
          <w:sz w:val="22"/>
          <w:szCs w:val="22"/>
        </w:rPr>
        <w:t xml:space="preserve">the </w:t>
      </w:r>
      <w:r w:rsidR="0002428D" w:rsidRPr="001E47AD">
        <w:rPr>
          <w:noProof/>
          <w:sz w:val="22"/>
          <w:szCs w:val="22"/>
        </w:rPr>
        <w:t>intensity</w:t>
      </w:r>
      <w:r w:rsidR="0002428D" w:rsidRPr="001E47AD">
        <w:rPr>
          <w:sz w:val="22"/>
          <w:szCs w:val="22"/>
        </w:rPr>
        <w:t xml:space="preserve"> of </w:t>
      </w:r>
      <w:r w:rsidR="004E0145" w:rsidRPr="001E47AD">
        <w:rPr>
          <w:sz w:val="22"/>
          <w:szCs w:val="22"/>
        </w:rPr>
        <w:t>the</w:t>
      </w:r>
      <w:r w:rsidR="00446B7A" w:rsidRPr="001E47AD">
        <w:rPr>
          <w:sz w:val="22"/>
          <w:szCs w:val="22"/>
        </w:rPr>
        <w:t xml:space="preserve"> </w:t>
      </w:r>
      <w:r w:rsidR="0002428D" w:rsidRPr="001E47AD">
        <w:rPr>
          <w:noProof/>
          <w:sz w:val="22"/>
          <w:szCs w:val="22"/>
        </w:rPr>
        <w:t>hazard</w:t>
      </w:r>
      <w:r w:rsidR="0002428D" w:rsidRPr="001E47AD">
        <w:rPr>
          <w:sz w:val="22"/>
          <w:szCs w:val="22"/>
        </w:rPr>
        <w:t xml:space="preserve"> </w:t>
      </w:r>
      <w:r w:rsidR="00446B7A" w:rsidRPr="001E47AD">
        <w:rPr>
          <w:noProof/>
          <w:sz w:val="22"/>
          <w:szCs w:val="22"/>
        </w:rPr>
        <w:t>are</w:t>
      </w:r>
      <w:r w:rsidR="0002428D" w:rsidRPr="001E47AD">
        <w:rPr>
          <w:sz w:val="22"/>
          <w:szCs w:val="22"/>
        </w:rPr>
        <w:t xml:space="preserve"> associated with </w:t>
      </w:r>
      <w:r w:rsidR="0002428D" w:rsidRPr="001E47AD">
        <w:rPr>
          <w:noProof/>
          <w:sz w:val="22"/>
          <w:szCs w:val="22"/>
        </w:rPr>
        <w:t>great</w:t>
      </w:r>
      <w:r w:rsidR="00BB75CC" w:rsidRPr="001E47AD">
        <w:rPr>
          <w:noProof/>
          <w:sz w:val="22"/>
          <w:szCs w:val="22"/>
        </w:rPr>
        <w:t>er</w:t>
      </w:r>
      <w:r w:rsidR="008335A9" w:rsidRPr="001E47AD">
        <w:rPr>
          <w:sz w:val="22"/>
          <w:szCs w:val="22"/>
        </w:rPr>
        <w:t xml:space="preserve"> risk awareness (</w:t>
      </w:r>
      <w:r w:rsidR="00204D31" w:rsidRPr="001E47AD">
        <w:rPr>
          <w:sz w:val="22"/>
          <w:szCs w:val="22"/>
        </w:rPr>
        <w:t>Moffatt</w:t>
      </w:r>
      <w:r w:rsidR="007D27CD" w:rsidRPr="001E47AD">
        <w:rPr>
          <w:sz w:val="22"/>
          <w:szCs w:val="22"/>
        </w:rPr>
        <w:t xml:space="preserve"> et al. </w:t>
      </w:r>
      <w:r w:rsidR="0002428D" w:rsidRPr="001E47AD">
        <w:rPr>
          <w:sz w:val="22"/>
          <w:szCs w:val="22"/>
        </w:rPr>
        <w:t>2003</w:t>
      </w:r>
      <w:r w:rsidR="007D27CD" w:rsidRPr="001E47AD">
        <w:rPr>
          <w:sz w:val="22"/>
          <w:szCs w:val="22"/>
        </w:rPr>
        <w:t xml:space="preserve">, </w:t>
      </w:r>
      <w:r w:rsidR="0002428D" w:rsidRPr="001E47AD">
        <w:rPr>
          <w:sz w:val="22"/>
          <w:szCs w:val="22"/>
        </w:rPr>
        <w:t>Peacock et al.</w:t>
      </w:r>
      <w:r w:rsidR="007D27CD" w:rsidRPr="001E47AD">
        <w:rPr>
          <w:sz w:val="22"/>
          <w:szCs w:val="22"/>
        </w:rPr>
        <w:t xml:space="preserve"> </w:t>
      </w:r>
      <w:r w:rsidR="0002428D" w:rsidRPr="001E47AD">
        <w:rPr>
          <w:sz w:val="22"/>
          <w:szCs w:val="22"/>
        </w:rPr>
        <w:t xml:space="preserve">2005). </w:t>
      </w:r>
      <w:r w:rsidR="002A6B06" w:rsidRPr="001E47AD">
        <w:rPr>
          <w:sz w:val="22"/>
          <w:szCs w:val="22"/>
        </w:rPr>
        <w:t xml:space="preserve">According to </w:t>
      </w:r>
      <w:r w:rsidR="0002428D" w:rsidRPr="001E47AD">
        <w:rPr>
          <w:sz w:val="22"/>
          <w:szCs w:val="22"/>
        </w:rPr>
        <w:t xml:space="preserve">Prospect </w:t>
      </w:r>
      <w:r w:rsidR="002A6B06" w:rsidRPr="001E47AD">
        <w:rPr>
          <w:sz w:val="22"/>
          <w:szCs w:val="22"/>
        </w:rPr>
        <w:t>Theory</w:t>
      </w:r>
      <w:r w:rsidR="005567D4" w:rsidRPr="001E47AD">
        <w:rPr>
          <w:sz w:val="22"/>
          <w:szCs w:val="22"/>
        </w:rPr>
        <w:t xml:space="preserve">, </w:t>
      </w:r>
      <w:r w:rsidR="0002428D" w:rsidRPr="001E47AD">
        <w:rPr>
          <w:sz w:val="22"/>
          <w:szCs w:val="22"/>
        </w:rPr>
        <w:t>people associate greater psychological discomfort with risks</w:t>
      </w:r>
      <w:r w:rsidR="00A935E1" w:rsidRPr="001E47AD">
        <w:rPr>
          <w:sz w:val="22"/>
          <w:szCs w:val="22"/>
        </w:rPr>
        <w:t>,</w:t>
      </w:r>
      <w:r w:rsidR="0002428D" w:rsidRPr="001E47AD">
        <w:rPr>
          <w:sz w:val="22"/>
          <w:szCs w:val="22"/>
        </w:rPr>
        <w:t xml:space="preserve"> </w:t>
      </w:r>
      <w:r w:rsidR="0002428D" w:rsidRPr="001E47AD">
        <w:rPr>
          <w:noProof/>
          <w:sz w:val="22"/>
          <w:szCs w:val="22"/>
        </w:rPr>
        <w:t>and</w:t>
      </w:r>
      <w:r w:rsidR="0002428D" w:rsidRPr="001E47AD">
        <w:rPr>
          <w:sz w:val="22"/>
          <w:szCs w:val="22"/>
        </w:rPr>
        <w:t xml:space="preserve"> the value function is steeper for </w:t>
      </w:r>
      <w:r w:rsidR="0002428D" w:rsidRPr="001E47AD">
        <w:rPr>
          <w:noProof/>
          <w:sz w:val="22"/>
          <w:szCs w:val="22"/>
        </w:rPr>
        <w:t>greater</w:t>
      </w:r>
      <w:r w:rsidR="0002428D" w:rsidRPr="001E47AD">
        <w:rPr>
          <w:sz w:val="22"/>
          <w:szCs w:val="22"/>
        </w:rPr>
        <w:t xml:space="preserve"> risk due to loss aversion. The theory predicts </w:t>
      </w:r>
      <w:r w:rsidR="0002428D" w:rsidRPr="001E47AD">
        <w:rPr>
          <w:noProof/>
          <w:sz w:val="22"/>
          <w:szCs w:val="22"/>
        </w:rPr>
        <w:t>that</w:t>
      </w:r>
      <w:r w:rsidR="0002428D" w:rsidRPr="001E47AD">
        <w:rPr>
          <w:sz w:val="22"/>
          <w:szCs w:val="22"/>
        </w:rPr>
        <w:t xml:space="preserve"> people </w:t>
      </w:r>
      <w:r w:rsidR="004E0145" w:rsidRPr="001E47AD">
        <w:rPr>
          <w:sz w:val="22"/>
          <w:szCs w:val="22"/>
        </w:rPr>
        <w:t>may</w:t>
      </w:r>
      <w:r w:rsidR="0002428D" w:rsidRPr="001E47AD">
        <w:rPr>
          <w:sz w:val="22"/>
          <w:szCs w:val="22"/>
        </w:rPr>
        <w:t xml:space="preserve"> not make rational decisions</w:t>
      </w:r>
      <w:r w:rsidR="00A32DE3" w:rsidRPr="001E47AD">
        <w:rPr>
          <w:sz w:val="22"/>
          <w:szCs w:val="22"/>
        </w:rPr>
        <w:t xml:space="preserve"> and</w:t>
      </w:r>
      <w:r w:rsidR="0002428D" w:rsidRPr="001E47AD">
        <w:rPr>
          <w:sz w:val="22"/>
          <w:szCs w:val="22"/>
        </w:rPr>
        <w:t xml:space="preserve"> </w:t>
      </w:r>
      <w:r w:rsidR="002612B6" w:rsidRPr="001E47AD">
        <w:rPr>
          <w:sz w:val="22"/>
          <w:szCs w:val="22"/>
        </w:rPr>
        <w:t>stockpil</w:t>
      </w:r>
      <w:r w:rsidR="00786DF8" w:rsidRPr="001E47AD">
        <w:rPr>
          <w:sz w:val="22"/>
          <w:szCs w:val="22"/>
        </w:rPr>
        <w:t>e</w:t>
      </w:r>
      <w:r w:rsidR="002612B6" w:rsidRPr="001E47AD">
        <w:rPr>
          <w:sz w:val="22"/>
          <w:szCs w:val="22"/>
        </w:rPr>
        <w:t xml:space="preserve"> </w:t>
      </w:r>
      <w:r w:rsidR="0002428D" w:rsidRPr="001E47AD">
        <w:rPr>
          <w:sz w:val="22"/>
          <w:szCs w:val="22"/>
        </w:rPr>
        <w:t>more than</w:t>
      </w:r>
      <w:r w:rsidR="004E0145" w:rsidRPr="001E47AD">
        <w:rPr>
          <w:sz w:val="22"/>
          <w:szCs w:val="22"/>
        </w:rPr>
        <w:t xml:space="preserve"> </w:t>
      </w:r>
      <w:r w:rsidR="00446B7A" w:rsidRPr="001E47AD">
        <w:rPr>
          <w:noProof/>
          <w:sz w:val="22"/>
          <w:szCs w:val="22"/>
        </w:rPr>
        <w:t>needed</w:t>
      </w:r>
      <w:r w:rsidR="0002428D" w:rsidRPr="001E47AD">
        <w:rPr>
          <w:sz w:val="22"/>
          <w:szCs w:val="22"/>
        </w:rPr>
        <w:t xml:space="preserve"> based on </w:t>
      </w:r>
      <w:r w:rsidR="004E0145" w:rsidRPr="001E47AD">
        <w:rPr>
          <w:sz w:val="22"/>
          <w:szCs w:val="22"/>
        </w:rPr>
        <w:t>the potential for a disaster</w:t>
      </w:r>
      <w:r w:rsidR="0002428D" w:rsidRPr="001E47AD">
        <w:rPr>
          <w:sz w:val="22"/>
          <w:szCs w:val="22"/>
        </w:rPr>
        <w:t xml:space="preserve">. Notably, hazard proximity and hazard intensity also affect consumer response. For example, storm information and forecasts </w:t>
      </w:r>
      <w:r w:rsidR="0002428D" w:rsidRPr="001E47AD">
        <w:rPr>
          <w:noProof/>
          <w:sz w:val="22"/>
          <w:szCs w:val="22"/>
        </w:rPr>
        <w:t>are normally</w:t>
      </w:r>
      <w:r w:rsidR="0002428D" w:rsidRPr="001E47AD">
        <w:rPr>
          <w:sz w:val="22"/>
          <w:szCs w:val="22"/>
        </w:rPr>
        <w:t xml:space="preserve"> issued based on hazard proximity and hazard intensity, such as hurricane and tropical storm watches, warnings, advisories, </w:t>
      </w:r>
      <w:r w:rsidR="0002428D" w:rsidRPr="001E47AD">
        <w:rPr>
          <w:noProof/>
          <w:sz w:val="22"/>
          <w:szCs w:val="22"/>
        </w:rPr>
        <w:t>and</w:t>
      </w:r>
      <w:r w:rsidR="0002428D" w:rsidRPr="001E47AD">
        <w:rPr>
          <w:sz w:val="22"/>
          <w:szCs w:val="22"/>
        </w:rPr>
        <w:t xml:space="preserve"> outlooks. Overall, we expect</w:t>
      </w:r>
      <w:r w:rsidR="002A6B06" w:rsidRPr="001E47AD">
        <w:rPr>
          <w:sz w:val="22"/>
          <w:szCs w:val="22"/>
        </w:rPr>
        <w:t xml:space="preserve"> that</w:t>
      </w:r>
      <w:r w:rsidR="0002428D" w:rsidRPr="001E47AD">
        <w:rPr>
          <w:sz w:val="22"/>
          <w:szCs w:val="22"/>
        </w:rPr>
        <w:t xml:space="preserve"> hazard proximity and intensity </w:t>
      </w:r>
      <w:r w:rsidR="00C137E8" w:rsidRPr="001E47AD">
        <w:rPr>
          <w:sz w:val="22"/>
          <w:szCs w:val="22"/>
        </w:rPr>
        <w:t>positively</w:t>
      </w:r>
      <w:r w:rsidR="0002428D" w:rsidRPr="001E47AD">
        <w:rPr>
          <w:sz w:val="22"/>
          <w:szCs w:val="22"/>
        </w:rPr>
        <w:t xml:space="preserve"> </w:t>
      </w:r>
      <w:r w:rsidR="004E0145" w:rsidRPr="001E47AD">
        <w:rPr>
          <w:sz w:val="22"/>
          <w:szCs w:val="22"/>
        </w:rPr>
        <w:t>impact</w:t>
      </w:r>
      <w:r w:rsidR="0002428D" w:rsidRPr="001E47AD">
        <w:rPr>
          <w:sz w:val="22"/>
          <w:szCs w:val="22"/>
        </w:rPr>
        <w:t xml:space="preserve"> consumer stockpiling behavior. </w:t>
      </w:r>
    </w:p>
    <w:p w14:paraId="312C2D52" w14:textId="77777777" w:rsidR="0064202C" w:rsidRPr="001E47AD" w:rsidRDefault="0002428D" w:rsidP="00E319F8">
      <w:pPr>
        <w:pStyle w:val="Heading1"/>
      </w:pPr>
      <w:bookmarkStart w:id="20" w:name="_Toc520380470"/>
      <w:r w:rsidRPr="001E47AD">
        <w:t>R</w:t>
      </w:r>
      <w:r w:rsidR="00493646" w:rsidRPr="001E47AD">
        <w:t>esearch Methodology</w:t>
      </w:r>
      <w:bookmarkEnd w:id="20"/>
    </w:p>
    <w:p w14:paraId="06D3767D" w14:textId="38143D7D" w:rsidR="005D5F90" w:rsidRPr="001E47AD" w:rsidRDefault="002E68F9" w:rsidP="00433603">
      <w:pPr>
        <w:spacing w:before="120" w:after="120" w:line="480" w:lineRule="auto"/>
        <w:contextualSpacing/>
        <w:jc w:val="both"/>
        <w:rPr>
          <w:sz w:val="22"/>
          <w:szCs w:val="22"/>
        </w:rPr>
      </w:pPr>
      <w:r w:rsidRPr="001E47AD">
        <w:rPr>
          <w:sz w:val="22"/>
          <w:szCs w:val="22"/>
        </w:rPr>
        <w:t>W</w:t>
      </w:r>
      <w:r w:rsidR="00313F93" w:rsidRPr="001E47AD">
        <w:rPr>
          <w:sz w:val="22"/>
          <w:szCs w:val="22"/>
        </w:rPr>
        <w:t xml:space="preserve">e </w:t>
      </w:r>
      <w:r w:rsidR="005D5F90" w:rsidRPr="001E47AD">
        <w:rPr>
          <w:sz w:val="22"/>
          <w:szCs w:val="22"/>
        </w:rPr>
        <w:t>study in-store product availability</w:t>
      </w:r>
      <w:r w:rsidR="00711A34" w:rsidRPr="001E47AD">
        <w:rPr>
          <w:sz w:val="22"/>
          <w:szCs w:val="22"/>
        </w:rPr>
        <w:t xml:space="preserve"> of bottled</w:t>
      </w:r>
      <w:r w:rsidR="005D5F90" w:rsidRPr="001E47AD">
        <w:rPr>
          <w:sz w:val="22"/>
          <w:szCs w:val="22"/>
        </w:rPr>
        <w:t xml:space="preserve"> </w:t>
      </w:r>
      <w:r w:rsidR="00314D2C" w:rsidRPr="001E47AD">
        <w:rPr>
          <w:sz w:val="22"/>
          <w:szCs w:val="22"/>
        </w:rPr>
        <w:t xml:space="preserve">water </w:t>
      </w:r>
      <w:r w:rsidR="005D5F90" w:rsidRPr="001E47AD">
        <w:rPr>
          <w:sz w:val="22"/>
          <w:szCs w:val="22"/>
        </w:rPr>
        <w:t xml:space="preserve">in light of consumer stockpiling behavior during hurricane </w:t>
      </w:r>
      <w:r w:rsidR="00BB75CC" w:rsidRPr="001E47AD">
        <w:rPr>
          <w:sz w:val="22"/>
          <w:szCs w:val="22"/>
        </w:rPr>
        <w:t>event</w:t>
      </w:r>
      <w:r w:rsidR="005D5F90" w:rsidRPr="001E47AD">
        <w:rPr>
          <w:sz w:val="22"/>
          <w:szCs w:val="22"/>
        </w:rPr>
        <w:t>s.</w:t>
      </w:r>
      <w:r w:rsidR="005E5363" w:rsidRPr="001E47AD">
        <w:rPr>
          <w:sz w:val="22"/>
          <w:szCs w:val="22"/>
        </w:rPr>
        <w:t xml:space="preserve"> Below we outline the methodological steps involved. </w:t>
      </w:r>
    </w:p>
    <w:p w14:paraId="797548C3" w14:textId="77777777" w:rsidR="0064202C" w:rsidRPr="001E47AD" w:rsidRDefault="0064202C" w:rsidP="00596F39">
      <w:pPr>
        <w:pStyle w:val="Heading2"/>
      </w:pPr>
      <w:bookmarkStart w:id="21" w:name="_Toc520380471"/>
      <w:r w:rsidRPr="001E47AD">
        <w:t>Data</w:t>
      </w:r>
      <w:r w:rsidR="00561355" w:rsidRPr="001E47AD">
        <w:t xml:space="preserve"> Collection</w:t>
      </w:r>
      <w:bookmarkEnd w:id="21"/>
    </w:p>
    <w:p w14:paraId="23755940" w14:textId="40A44909" w:rsidR="00205B43" w:rsidRPr="001E47AD" w:rsidRDefault="005D5F90" w:rsidP="0029356F">
      <w:pPr>
        <w:spacing w:before="120" w:after="120" w:line="480" w:lineRule="auto"/>
        <w:contextualSpacing/>
        <w:jc w:val="both"/>
        <w:rPr>
          <w:sz w:val="22"/>
          <w:szCs w:val="22"/>
          <w:lang w:eastAsia="zh-CN"/>
        </w:rPr>
      </w:pPr>
      <w:r w:rsidRPr="001E47AD">
        <w:rPr>
          <w:sz w:val="22"/>
          <w:szCs w:val="22"/>
        </w:rPr>
        <w:t xml:space="preserve">We collect data from recent continental hurricanes making </w:t>
      </w:r>
      <w:r w:rsidRPr="001E47AD">
        <w:rPr>
          <w:noProof/>
          <w:sz w:val="22"/>
          <w:szCs w:val="22"/>
        </w:rPr>
        <w:t>landfall</w:t>
      </w:r>
      <w:r w:rsidRPr="001E47AD">
        <w:rPr>
          <w:sz w:val="22"/>
          <w:szCs w:val="22"/>
        </w:rPr>
        <w:t xml:space="preserve"> in the U.S. between 2008 and</w:t>
      </w:r>
      <w:r w:rsidRPr="001E47AD">
        <w:rPr>
          <w:rStyle w:val="fontstyle01"/>
          <w:rFonts w:ascii="Times New Roman" w:hAnsi="Times New Roman"/>
          <w:noProof/>
          <w:color w:val="auto"/>
          <w:sz w:val="22"/>
          <w:szCs w:val="22"/>
        </w:rPr>
        <w:t xml:space="preserve"> </w:t>
      </w:r>
      <w:r w:rsidRPr="001E47AD">
        <w:rPr>
          <w:sz w:val="22"/>
          <w:szCs w:val="22"/>
        </w:rPr>
        <w:t xml:space="preserve">2014. </w:t>
      </w:r>
      <w:r w:rsidR="001674AB" w:rsidRPr="001E47AD">
        <w:rPr>
          <w:noProof/>
          <w:sz w:val="22"/>
          <w:szCs w:val="22"/>
        </w:rPr>
        <w:t>T</w:t>
      </w:r>
      <w:r w:rsidRPr="001E47AD">
        <w:rPr>
          <w:noProof/>
          <w:sz w:val="22"/>
          <w:szCs w:val="22"/>
        </w:rPr>
        <w:t xml:space="preserve">o </w:t>
      </w:r>
      <w:r w:rsidRPr="001E47AD">
        <w:rPr>
          <w:sz w:val="22"/>
          <w:szCs w:val="22"/>
        </w:rPr>
        <w:t xml:space="preserve">compare consumer stockpiling behavior across geographic markets, we focus on hurricane events with a wide range of </w:t>
      </w:r>
      <w:r w:rsidR="006F75A1" w:rsidRPr="001E47AD">
        <w:rPr>
          <w:sz w:val="22"/>
          <w:szCs w:val="22"/>
        </w:rPr>
        <w:t>impac</w:t>
      </w:r>
      <w:r w:rsidRPr="001E47AD">
        <w:rPr>
          <w:sz w:val="22"/>
          <w:szCs w:val="22"/>
        </w:rPr>
        <w:t>ts,</w:t>
      </w:r>
      <w:r w:rsidR="006F75A1" w:rsidRPr="001E47AD">
        <w:rPr>
          <w:sz w:val="22"/>
          <w:szCs w:val="22"/>
        </w:rPr>
        <w:t xml:space="preserve"> </w:t>
      </w:r>
      <w:r w:rsidR="00711A34" w:rsidRPr="001E47AD">
        <w:rPr>
          <w:sz w:val="22"/>
          <w:szCs w:val="22"/>
        </w:rPr>
        <w:t>includ</w:t>
      </w:r>
      <w:r w:rsidR="006F75A1" w:rsidRPr="001E47AD">
        <w:rPr>
          <w:sz w:val="22"/>
          <w:szCs w:val="22"/>
        </w:rPr>
        <w:t>ing</w:t>
      </w:r>
      <w:r w:rsidRPr="001E47AD">
        <w:rPr>
          <w:sz w:val="22"/>
          <w:szCs w:val="22"/>
        </w:rPr>
        <w:t xml:space="preserve"> Ike in 2008, Irene in 2011, Sandy in 2012, and Arthur in 2014. </w:t>
      </w:r>
      <w:r w:rsidR="0049669B" w:rsidRPr="001E47AD">
        <w:rPr>
          <w:sz w:val="22"/>
          <w:szCs w:val="22"/>
        </w:rPr>
        <w:fldChar w:fldCharType="begin"/>
      </w:r>
      <w:r w:rsidR="0049669B" w:rsidRPr="001E47AD">
        <w:rPr>
          <w:sz w:val="22"/>
          <w:szCs w:val="22"/>
        </w:rPr>
        <w:instrText xml:space="preserve"> REF _Ref21993748 \h </w:instrText>
      </w:r>
      <w:r w:rsidR="00F234CE" w:rsidRPr="001E47AD">
        <w:rPr>
          <w:sz w:val="22"/>
          <w:szCs w:val="22"/>
        </w:rPr>
        <w:instrText xml:space="preserve"> \* MERGEFORMAT </w:instrText>
      </w:r>
      <w:r w:rsidR="0049669B" w:rsidRPr="001E47AD">
        <w:rPr>
          <w:sz w:val="22"/>
          <w:szCs w:val="22"/>
        </w:rPr>
      </w:r>
      <w:r w:rsidR="0049669B" w:rsidRPr="001E47AD">
        <w:rPr>
          <w:sz w:val="22"/>
          <w:szCs w:val="22"/>
        </w:rPr>
        <w:fldChar w:fldCharType="separate"/>
      </w:r>
      <w:r w:rsidR="009E3444" w:rsidRPr="001E47AD">
        <w:rPr>
          <w:sz w:val="22"/>
          <w:szCs w:val="22"/>
        </w:rPr>
        <w:t>Figure 2</w:t>
      </w:r>
      <w:r w:rsidR="0049669B" w:rsidRPr="001E47AD">
        <w:rPr>
          <w:sz w:val="22"/>
          <w:szCs w:val="22"/>
        </w:rPr>
        <w:fldChar w:fldCharType="end"/>
      </w:r>
      <w:r w:rsidR="0049669B" w:rsidRPr="001E47AD">
        <w:rPr>
          <w:sz w:val="22"/>
          <w:szCs w:val="22"/>
        </w:rPr>
        <w:t xml:space="preserve"> </w:t>
      </w:r>
      <w:r w:rsidR="00D7060E" w:rsidRPr="001E47AD">
        <w:rPr>
          <w:sz w:val="22"/>
          <w:szCs w:val="22"/>
        </w:rPr>
        <w:t xml:space="preserve">shows the storm tracks of these four hurricanes. </w:t>
      </w:r>
      <w:r w:rsidRPr="001E47AD">
        <w:rPr>
          <w:sz w:val="22"/>
          <w:szCs w:val="22"/>
        </w:rPr>
        <w:t xml:space="preserve">The </w:t>
      </w:r>
      <w:r w:rsidR="00D7060E" w:rsidRPr="001E47AD">
        <w:rPr>
          <w:sz w:val="22"/>
          <w:szCs w:val="22"/>
        </w:rPr>
        <w:t xml:space="preserve">tracks are </w:t>
      </w:r>
      <w:r w:rsidRPr="001E47AD">
        <w:rPr>
          <w:sz w:val="22"/>
          <w:szCs w:val="22"/>
        </w:rPr>
        <w:t>from</w:t>
      </w:r>
      <w:r w:rsidR="006F75A1" w:rsidRPr="001E47AD">
        <w:rPr>
          <w:sz w:val="22"/>
          <w:szCs w:val="22"/>
        </w:rPr>
        <w:t xml:space="preserve"> the National Oceanic </w:t>
      </w:r>
      <w:r w:rsidR="006F75A1" w:rsidRPr="001E47AD">
        <w:rPr>
          <w:noProof/>
          <w:sz w:val="22"/>
          <w:szCs w:val="22"/>
        </w:rPr>
        <w:t>and</w:t>
      </w:r>
      <w:r w:rsidR="006F75A1" w:rsidRPr="001E47AD">
        <w:rPr>
          <w:sz w:val="22"/>
          <w:szCs w:val="22"/>
        </w:rPr>
        <w:t xml:space="preserve"> Atmospheric </w:t>
      </w:r>
      <w:r w:rsidR="003A44AF" w:rsidRPr="001E47AD">
        <w:rPr>
          <w:sz w:val="22"/>
          <w:szCs w:val="22"/>
        </w:rPr>
        <w:t>Administration’s (</w:t>
      </w:r>
      <w:r w:rsidRPr="001E47AD">
        <w:rPr>
          <w:sz w:val="22"/>
          <w:szCs w:val="22"/>
        </w:rPr>
        <w:t>NOAA’s</w:t>
      </w:r>
      <w:r w:rsidR="006F75A1" w:rsidRPr="001E47AD">
        <w:rPr>
          <w:sz w:val="22"/>
          <w:szCs w:val="22"/>
        </w:rPr>
        <w:t>)</w:t>
      </w:r>
      <w:r w:rsidRPr="001E47AD">
        <w:rPr>
          <w:sz w:val="22"/>
          <w:szCs w:val="22"/>
        </w:rPr>
        <w:t xml:space="preserve"> National Hurricane Center Atlantic Basin Best Tracks HURDAT2 database</w:t>
      </w:r>
      <w:r w:rsidR="00640ED7" w:rsidRPr="001E47AD">
        <w:rPr>
          <w:sz w:val="22"/>
          <w:szCs w:val="22"/>
        </w:rPr>
        <w:t xml:space="preserve"> </w:t>
      </w:r>
      <w:r w:rsidR="009062C7" w:rsidRPr="001E47AD">
        <w:rPr>
          <w:sz w:val="22"/>
          <w:szCs w:val="22"/>
        </w:rPr>
        <w:t xml:space="preserve">(Landsea and Franklin 2013) </w:t>
      </w:r>
      <w:r w:rsidR="00640ED7" w:rsidRPr="001E47AD">
        <w:rPr>
          <w:sz w:val="22"/>
          <w:szCs w:val="22"/>
        </w:rPr>
        <w:t>and</w:t>
      </w:r>
      <w:r w:rsidR="00D7060E" w:rsidRPr="001E47AD">
        <w:rPr>
          <w:sz w:val="22"/>
          <w:szCs w:val="22"/>
        </w:rPr>
        <w:t xml:space="preserve"> </w:t>
      </w:r>
      <w:r w:rsidR="004B0646" w:rsidRPr="001E47AD">
        <w:rPr>
          <w:sz w:val="22"/>
          <w:szCs w:val="22"/>
        </w:rPr>
        <w:t xml:space="preserve">the landfalls </w:t>
      </w:r>
      <w:r w:rsidR="00D7060E" w:rsidRPr="001E47AD">
        <w:rPr>
          <w:noProof/>
          <w:sz w:val="22"/>
          <w:szCs w:val="22"/>
        </w:rPr>
        <w:t>are listed</w:t>
      </w:r>
      <w:r w:rsidR="00D7060E" w:rsidRPr="001E47AD">
        <w:rPr>
          <w:sz w:val="22"/>
          <w:szCs w:val="22"/>
        </w:rPr>
        <w:t xml:space="preserve"> in</w:t>
      </w:r>
      <w:r w:rsidRPr="001E47AD">
        <w:rPr>
          <w:sz w:val="22"/>
          <w:szCs w:val="22"/>
        </w:rPr>
        <w:t xml:space="preserve"> NOAA’s Tropical </w:t>
      </w:r>
      <w:r w:rsidRPr="001E47AD">
        <w:rPr>
          <w:sz w:val="22"/>
          <w:szCs w:val="22"/>
        </w:rPr>
        <w:lastRenderedPageBreak/>
        <w:t>Cyclone Reports (</w:t>
      </w:r>
      <w:r w:rsidR="00287983" w:rsidRPr="001E47AD">
        <w:rPr>
          <w:sz w:val="22"/>
          <w:szCs w:val="22"/>
        </w:rPr>
        <w:t xml:space="preserve">Ike in </w:t>
      </w:r>
      <w:r w:rsidRPr="001E47AD">
        <w:rPr>
          <w:sz w:val="22"/>
          <w:szCs w:val="22"/>
        </w:rPr>
        <w:t>Berg 2009</w:t>
      </w:r>
      <w:r w:rsidR="00813712" w:rsidRPr="001E47AD">
        <w:rPr>
          <w:sz w:val="22"/>
          <w:szCs w:val="22"/>
        </w:rPr>
        <w:t>,</w:t>
      </w:r>
      <w:r w:rsidRPr="001E47AD">
        <w:rPr>
          <w:sz w:val="22"/>
          <w:szCs w:val="22"/>
        </w:rPr>
        <w:t xml:space="preserve"> </w:t>
      </w:r>
      <w:r w:rsidR="00287983" w:rsidRPr="001E47AD">
        <w:rPr>
          <w:sz w:val="22"/>
          <w:szCs w:val="22"/>
        </w:rPr>
        <w:t xml:space="preserve">Irene in Avila </w:t>
      </w:r>
      <w:r w:rsidR="00287983" w:rsidRPr="001E47AD">
        <w:rPr>
          <w:sz w:val="22"/>
          <w:szCs w:val="22"/>
          <w:lang w:eastAsia="zh-CN"/>
        </w:rPr>
        <w:t>and</w:t>
      </w:r>
      <w:r w:rsidR="00287983" w:rsidRPr="001E47AD">
        <w:rPr>
          <w:sz w:val="22"/>
          <w:szCs w:val="22"/>
        </w:rPr>
        <w:t xml:space="preserve"> Cangialosi 2011,</w:t>
      </w:r>
      <w:r w:rsidR="00287983" w:rsidRPr="001E47AD">
        <w:rPr>
          <w:sz w:val="22"/>
          <w:szCs w:val="22"/>
          <w:lang w:eastAsia="zh-CN"/>
        </w:rPr>
        <w:t xml:space="preserve"> Sandy in </w:t>
      </w:r>
      <w:r w:rsidR="00287983" w:rsidRPr="001E47AD">
        <w:rPr>
          <w:sz w:val="22"/>
          <w:szCs w:val="22"/>
        </w:rPr>
        <w:t>Blake et al. 2013</w:t>
      </w:r>
      <w:r w:rsidR="00287983" w:rsidRPr="001E47AD">
        <w:rPr>
          <w:sz w:val="22"/>
          <w:szCs w:val="22"/>
          <w:lang w:eastAsia="zh-CN"/>
        </w:rPr>
        <w:t xml:space="preserve">, and Arthur in </w:t>
      </w:r>
      <w:r w:rsidR="009B3BBD" w:rsidRPr="001E47AD">
        <w:rPr>
          <w:sz w:val="22"/>
          <w:szCs w:val="22"/>
        </w:rPr>
        <w:t>Berg 201</w:t>
      </w:r>
      <w:r w:rsidR="00287983" w:rsidRPr="001E47AD">
        <w:rPr>
          <w:sz w:val="22"/>
          <w:szCs w:val="22"/>
        </w:rPr>
        <w:t>5</w:t>
      </w:r>
      <w:r w:rsidRPr="001E47AD">
        <w:rPr>
          <w:sz w:val="22"/>
          <w:szCs w:val="22"/>
        </w:rPr>
        <w:t xml:space="preserve">). For each hurricane, we gather </w:t>
      </w:r>
      <w:r w:rsidR="00D7060E" w:rsidRPr="001E47AD">
        <w:rPr>
          <w:noProof/>
          <w:sz w:val="22"/>
          <w:szCs w:val="22"/>
        </w:rPr>
        <w:t>key</w:t>
      </w:r>
      <w:r w:rsidR="00D7060E" w:rsidRPr="001E47AD">
        <w:rPr>
          <w:sz w:val="22"/>
          <w:szCs w:val="22"/>
        </w:rPr>
        <w:t xml:space="preserve"> parameters including </w:t>
      </w:r>
      <w:r w:rsidRPr="001E47AD">
        <w:rPr>
          <w:sz w:val="22"/>
          <w:szCs w:val="22"/>
        </w:rPr>
        <w:t>landfall date</w:t>
      </w:r>
      <w:r w:rsidR="002A6B06" w:rsidRPr="001E47AD">
        <w:rPr>
          <w:sz w:val="22"/>
          <w:szCs w:val="22"/>
        </w:rPr>
        <w:t xml:space="preserve"> and </w:t>
      </w:r>
      <w:bookmarkStart w:id="22" w:name="_Ref492583027"/>
      <w:r w:rsidRPr="001E47AD">
        <w:rPr>
          <w:sz w:val="22"/>
          <w:szCs w:val="22"/>
        </w:rPr>
        <w:t xml:space="preserve">location, </w:t>
      </w:r>
      <w:r w:rsidR="00295CCC" w:rsidRPr="001E47AD">
        <w:rPr>
          <w:noProof/>
          <w:sz w:val="22"/>
          <w:szCs w:val="22"/>
        </w:rPr>
        <w:t xml:space="preserve">storm </w:t>
      </w:r>
      <w:r w:rsidR="00711A34" w:rsidRPr="001E47AD">
        <w:rPr>
          <w:noProof/>
          <w:sz w:val="22"/>
          <w:szCs w:val="22"/>
        </w:rPr>
        <w:t>path</w:t>
      </w:r>
      <w:r w:rsidRPr="001E47AD">
        <w:rPr>
          <w:sz w:val="22"/>
          <w:szCs w:val="22"/>
        </w:rPr>
        <w:t>, wind speed, and area affected.</w:t>
      </w:r>
      <w:r w:rsidR="0029356F" w:rsidRPr="001E47AD">
        <w:rPr>
          <w:sz w:val="22"/>
          <w:szCs w:val="22"/>
        </w:rPr>
        <w:t xml:space="preserve"> </w:t>
      </w:r>
    </w:p>
    <w:p w14:paraId="62531C46" w14:textId="7E8F77E4" w:rsidR="00CE7152" w:rsidRPr="001E47AD" w:rsidRDefault="00CE7152" w:rsidP="00CE7152">
      <w:pPr>
        <w:spacing w:before="120" w:after="120" w:line="480" w:lineRule="auto"/>
        <w:contextualSpacing/>
        <w:jc w:val="center"/>
        <w:rPr>
          <w:sz w:val="22"/>
          <w:szCs w:val="22"/>
          <w:lang w:eastAsia="zh-CN"/>
        </w:rPr>
      </w:pPr>
      <w:r w:rsidRPr="001E47AD">
        <w:rPr>
          <w:noProof/>
          <w:sz w:val="22"/>
          <w:szCs w:val="22"/>
          <w:lang w:eastAsia="zh-CN"/>
        </w:rPr>
        <w:drawing>
          <wp:inline distT="0" distB="0" distL="0" distR="0" wp14:anchorId="7A2CB29B" wp14:editId="011E7A2C">
            <wp:extent cx="4002132" cy="3086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6713" cy="3089633"/>
                    </a:xfrm>
                    <a:prstGeom prst="rect">
                      <a:avLst/>
                    </a:prstGeom>
                    <a:noFill/>
                    <a:ln>
                      <a:noFill/>
                    </a:ln>
                  </pic:spPr>
                </pic:pic>
              </a:graphicData>
            </a:graphic>
          </wp:inline>
        </w:drawing>
      </w:r>
    </w:p>
    <w:p w14:paraId="529F8D9E" w14:textId="04DDEFD6" w:rsidR="004F10E6" w:rsidRPr="001E47AD" w:rsidRDefault="00313F93" w:rsidP="009451C2">
      <w:pPr>
        <w:pStyle w:val="Caption"/>
      </w:pPr>
      <w:bookmarkStart w:id="23" w:name="_Ref21993748"/>
      <w:r w:rsidRPr="001E47AD">
        <w:t xml:space="preserve">Figure </w:t>
      </w:r>
      <w:r w:rsidRPr="001E47AD">
        <w:fldChar w:fldCharType="begin"/>
      </w:r>
      <w:r w:rsidRPr="001E47AD">
        <w:instrText xml:space="preserve"> SEQ Figure \* ARABIC </w:instrText>
      </w:r>
      <w:r w:rsidRPr="001E47AD">
        <w:fldChar w:fldCharType="separate"/>
      </w:r>
      <w:r w:rsidR="009E3444" w:rsidRPr="001E47AD">
        <w:t>2</w:t>
      </w:r>
      <w:r w:rsidRPr="001E47AD">
        <w:fldChar w:fldCharType="end"/>
      </w:r>
      <w:bookmarkEnd w:id="23"/>
      <w:r w:rsidRPr="001E47AD">
        <w:t>: The storm tracks of Hurricanes Ike (2008), Irene (2011), Sandy (2012) and Arthur (2014)</w:t>
      </w:r>
    </w:p>
    <w:p w14:paraId="50D452DB" w14:textId="77777777" w:rsidR="00A65D7B" w:rsidRPr="001E47AD" w:rsidRDefault="00A65D7B" w:rsidP="00A65D7B">
      <w:pPr>
        <w:spacing w:before="120" w:after="120" w:line="480" w:lineRule="auto"/>
        <w:ind w:firstLine="720"/>
        <w:contextualSpacing/>
        <w:jc w:val="both"/>
        <w:rPr>
          <w:noProof/>
          <w:sz w:val="22"/>
          <w:szCs w:val="22"/>
        </w:rPr>
      </w:pPr>
      <w:r w:rsidRPr="001E47AD">
        <w:rPr>
          <w:sz w:val="22"/>
          <w:szCs w:val="22"/>
        </w:rPr>
        <w:t xml:space="preserve">We estimate </w:t>
      </w:r>
      <w:r w:rsidRPr="001E47AD">
        <w:rPr>
          <w:noProof/>
          <w:sz w:val="22"/>
          <w:szCs w:val="22"/>
        </w:rPr>
        <w:t>consumer</w:t>
      </w:r>
      <w:r w:rsidRPr="001E47AD">
        <w:rPr>
          <w:sz w:val="22"/>
          <w:szCs w:val="22"/>
        </w:rPr>
        <w:t xml:space="preserve"> stockpiling propensity and in-store product availability of individual store outlets by matching hurricane event data with retail-level data. We collect retail-level information from the Nielsen Retail Scanner Data, which captures grocery sales from major retail chains across U.S. markets.</w:t>
      </w:r>
      <w:r w:rsidRPr="001E47AD">
        <w:rPr>
          <w:rStyle w:val="FootnoteReference"/>
          <w:sz w:val="22"/>
          <w:szCs w:val="22"/>
        </w:rPr>
        <w:footnoteReference w:id="2"/>
      </w:r>
      <w:r w:rsidRPr="001E47AD">
        <w:rPr>
          <w:sz w:val="22"/>
          <w:szCs w:val="22"/>
        </w:rPr>
        <w:t xml:space="preserve"> The dataset consists of information on </w:t>
      </w:r>
      <w:r w:rsidRPr="001E47AD">
        <w:rPr>
          <w:noProof/>
          <w:sz w:val="22"/>
          <w:szCs w:val="22"/>
        </w:rPr>
        <w:t>product</w:t>
      </w:r>
      <w:r w:rsidRPr="001E47AD">
        <w:rPr>
          <w:sz w:val="22"/>
          <w:szCs w:val="22"/>
        </w:rPr>
        <w:t xml:space="preserve"> category, sales volume, and store environment generated by point-of-sale systems from participating retail chains. Specifically, we collect data on the bottled water product category, an essential emergency category in hurricane preparedness, and w</w:t>
      </w:r>
      <w:r w:rsidRPr="001E47AD">
        <w:rPr>
          <w:noProof/>
          <w:sz w:val="22"/>
          <w:szCs w:val="22"/>
        </w:rPr>
        <w:t>e compare various formats of store outlets impacted by the four hurricanes.</w:t>
      </w:r>
    </w:p>
    <w:p w14:paraId="4E08C781" w14:textId="0C2C7EDA" w:rsidR="005D5F90" w:rsidRPr="001E47AD" w:rsidRDefault="005D5F90" w:rsidP="00596F39">
      <w:pPr>
        <w:pStyle w:val="Heading2"/>
      </w:pPr>
      <w:bookmarkStart w:id="24" w:name="_Toc520380472"/>
      <w:bookmarkEnd w:id="22"/>
      <w:r w:rsidRPr="001E47AD">
        <w:lastRenderedPageBreak/>
        <w:t>Sample Description</w:t>
      </w:r>
      <w:bookmarkEnd w:id="24"/>
    </w:p>
    <w:p w14:paraId="41DA894A" w14:textId="247D759B" w:rsidR="005D5F90" w:rsidRPr="001E47AD" w:rsidRDefault="005D5F90" w:rsidP="00517CB5">
      <w:pPr>
        <w:spacing w:before="120" w:after="120" w:line="480" w:lineRule="auto"/>
        <w:contextualSpacing/>
        <w:jc w:val="both"/>
        <w:rPr>
          <w:sz w:val="22"/>
          <w:szCs w:val="22"/>
        </w:rPr>
      </w:pPr>
      <w:r w:rsidRPr="001E47AD">
        <w:rPr>
          <w:sz w:val="22"/>
          <w:szCs w:val="22"/>
        </w:rPr>
        <w:t>We match each hurricane event with</w:t>
      </w:r>
      <w:r w:rsidR="00887CBE" w:rsidRPr="001E47AD">
        <w:rPr>
          <w:sz w:val="22"/>
          <w:szCs w:val="22"/>
        </w:rPr>
        <w:t xml:space="preserve"> the</w:t>
      </w:r>
      <w:r w:rsidRPr="001E47AD">
        <w:rPr>
          <w:sz w:val="22"/>
          <w:szCs w:val="22"/>
        </w:rPr>
        <w:t xml:space="preserve"> affected states and keep all store outlets within the </w:t>
      </w:r>
      <w:r w:rsidRPr="001E47AD">
        <w:rPr>
          <w:noProof/>
          <w:sz w:val="22"/>
          <w:szCs w:val="22"/>
        </w:rPr>
        <w:t>affected</w:t>
      </w:r>
      <w:r w:rsidRPr="001E47AD">
        <w:rPr>
          <w:sz w:val="22"/>
          <w:szCs w:val="22"/>
        </w:rPr>
        <w:t xml:space="preserve"> </w:t>
      </w:r>
      <w:r w:rsidRPr="001E47AD">
        <w:rPr>
          <w:noProof/>
          <w:sz w:val="22"/>
          <w:szCs w:val="22"/>
        </w:rPr>
        <w:t>states as our initial sample</w:t>
      </w:r>
      <w:r w:rsidR="00A755AF" w:rsidRPr="001E47AD">
        <w:rPr>
          <w:noProof/>
          <w:sz w:val="22"/>
          <w:szCs w:val="22"/>
        </w:rPr>
        <w:t>,</w:t>
      </w:r>
      <w:r w:rsidRPr="001E47AD">
        <w:rPr>
          <w:noProof/>
          <w:sz w:val="22"/>
          <w:szCs w:val="22"/>
        </w:rPr>
        <w:t xml:space="preserve"> generat</w:t>
      </w:r>
      <w:r w:rsidR="00A755AF" w:rsidRPr="001E47AD">
        <w:rPr>
          <w:noProof/>
          <w:sz w:val="22"/>
          <w:szCs w:val="22"/>
        </w:rPr>
        <w:t>ing</w:t>
      </w:r>
      <w:r w:rsidRPr="001E47AD">
        <w:rPr>
          <w:noProof/>
          <w:sz w:val="22"/>
          <w:szCs w:val="22"/>
        </w:rPr>
        <w:t xml:space="preserve"> </w:t>
      </w:r>
      <w:r w:rsidRPr="001E47AD">
        <w:rPr>
          <w:sz w:val="22"/>
          <w:szCs w:val="22"/>
        </w:rPr>
        <w:t xml:space="preserve">60,146 store-event observations. </w:t>
      </w:r>
      <w:r w:rsidR="00B90800" w:rsidRPr="001E47AD">
        <w:rPr>
          <w:sz w:val="22"/>
          <w:szCs w:val="22"/>
        </w:rPr>
        <w:t>Limiting</w:t>
      </w:r>
      <w:r w:rsidR="00287983" w:rsidRPr="001E47AD">
        <w:rPr>
          <w:sz w:val="22"/>
          <w:szCs w:val="22"/>
        </w:rPr>
        <w:t xml:space="preserve"> our attention to </w:t>
      </w:r>
      <w:r w:rsidR="00F85A1D" w:rsidRPr="001E47AD">
        <w:rPr>
          <w:sz w:val="22"/>
          <w:szCs w:val="22"/>
        </w:rPr>
        <w:t xml:space="preserve">observations that are potentially affected by hurricane events, </w:t>
      </w:r>
      <w:r w:rsidRPr="001E47AD">
        <w:rPr>
          <w:sz w:val="22"/>
          <w:szCs w:val="22"/>
        </w:rPr>
        <w:t>we</w:t>
      </w:r>
      <w:r w:rsidR="00A755AF" w:rsidRPr="001E47AD">
        <w:rPr>
          <w:sz w:val="22"/>
          <w:szCs w:val="22"/>
        </w:rPr>
        <w:t xml:space="preserve"> refine our sample</w:t>
      </w:r>
      <w:r w:rsidR="005E5363" w:rsidRPr="001E47AD">
        <w:rPr>
          <w:sz w:val="22"/>
          <w:szCs w:val="22"/>
        </w:rPr>
        <w:t xml:space="preserve"> following cleaning approaches used in the literature</w:t>
      </w:r>
      <w:r w:rsidR="00A755AF" w:rsidRPr="001E47AD">
        <w:rPr>
          <w:sz w:val="22"/>
          <w:szCs w:val="22"/>
        </w:rPr>
        <w:t xml:space="preserve">, </w:t>
      </w:r>
      <w:r w:rsidR="00006FB7" w:rsidRPr="001E47AD">
        <w:rPr>
          <w:sz w:val="22"/>
          <w:szCs w:val="22"/>
        </w:rPr>
        <w:t xml:space="preserve">ultimately </w:t>
      </w:r>
      <w:r w:rsidR="005E5363" w:rsidRPr="001E47AD">
        <w:rPr>
          <w:sz w:val="22"/>
          <w:szCs w:val="22"/>
        </w:rPr>
        <w:t xml:space="preserve">resulting </w:t>
      </w:r>
      <w:r w:rsidR="00786DF8" w:rsidRPr="001E47AD">
        <w:rPr>
          <w:sz w:val="22"/>
          <w:szCs w:val="22"/>
        </w:rPr>
        <w:t>in</w:t>
      </w:r>
      <w:r w:rsidR="005E5363" w:rsidRPr="001E47AD">
        <w:rPr>
          <w:sz w:val="22"/>
          <w:szCs w:val="22"/>
        </w:rPr>
        <w:t xml:space="preserve"> </w:t>
      </w:r>
      <w:r w:rsidRPr="001E47AD">
        <w:rPr>
          <w:sz w:val="22"/>
          <w:szCs w:val="22"/>
        </w:rPr>
        <w:t>38,418 store-event observations</w:t>
      </w:r>
      <w:r w:rsidR="005E5363" w:rsidRPr="001E47AD">
        <w:rPr>
          <w:sz w:val="22"/>
          <w:szCs w:val="22"/>
        </w:rPr>
        <w:t xml:space="preserve">. The refinement steps </w:t>
      </w:r>
      <w:r w:rsidR="00F85A1D" w:rsidRPr="001E47AD">
        <w:rPr>
          <w:sz w:val="22"/>
          <w:szCs w:val="22"/>
        </w:rPr>
        <w:t>are explained below</w:t>
      </w:r>
      <w:r w:rsidRPr="001E47AD">
        <w:rPr>
          <w:sz w:val="22"/>
          <w:szCs w:val="22"/>
        </w:rPr>
        <w:t xml:space="preserve">. </w:t>
      </w:r>
    </w:p>
    <w:p w14:paraId="77D1A529" w14:textId="77777777" w:rsidR="005A50F7" w:rsidRPr="001E47AD" w:rsidRDefault="005D5F90" w:rsidP="0055367A">
      <w:pPr>
        <w:spacing w:before="120" w:after="120" w:line="480" w:lineRule="auto"/>
        <w:ind w:firstLine="720"/>
        <w:contextualSpacing/>
        <w:jc w:val="both"/>
        <w:rPr>
          <w:sz w:val="22"/>
          <w:szCs w:val="22"/>
        </w:rPr>
      </w:pPr>
      <w:r w:rsidRPr="001E47AD">
        <w:rPr>
          <w:b/>
          <w:noProof/>
          <w:sz w:val="22"/>
          <w:szCs w:val="22"/>
        </w:rPr>
        <w:t xml:space="preserve">Hurricane </w:t>
      </w:r>
      <w:r w:rsidR="00CE7420" w:rsidRPr="001E47AD">
        <w:rPr>
          <w:b/>
          <w:noProof/>
          <w:sz w:val="22"/>
          <w:szCs w:val="22"/>
        </w:rPr>
        <w:t>l</w:t>
      </w:r>
      <w:r w:rsidRPr="001E47AD">
        <w:rPr>
          <w:b/>
          <w:noProof/>
          <w:sz w:val="22"/>
          <w:szCs w:val="22"/>
        </w:rPr>
        <w:t>andfall</w:t>
      </w:r>
      <w:r w:rsidR="00CE7420" w:rsidRPr="001E47AD">
        <w:rPr>
          <w:b/>
          <w:noProof/>
          <w:sz w:val="22"/>
          <w:szCs w:val="22"/>
        </w:rPr>
        <w:t>.</w:t>
      </w:r>
      <w:r w:rsidRPr="001E47AD">
        <w:rPr>
          <w:sz w:val="22"/>
          <w:szCs w:val="22"/>
        </w:rPr>
        <w:t xml:space="preserve"> </w:t>
      </w:r>
      <w:r w:rsidR="00887CBE" w:rsidRPr="001E47AD">
        <w:rPr>
          <w:sz w:val="22"/>
          <w:szCs w:val="22"/>
        </w:rPr>
        <w:t>W</w:t>
      </w:r>
      <w:r w:rsidRPr="001E47AD">
        <w:rPr>
          <w:sz w:val="22"/>
          <w:szCs w:val="22"/>
        </w:rPr>
        <w:t>e first u</w:t>
      </w:r>
      <w:r w:rsidR="009144C2" w:rsidRPr="001E47AD">
        <w:rPr>
          <w:sz w:val="22"/>
          <w:szCs w:val="22"/>
        </w:rPr>
        <w:t>se</w:t>
      </w:r>
      <w:r w:rsidRPr="001E47AD">
        <w:rPr>
          <w:sz w:val="22"/>
          <w:szCs w:val="22"/>
        </w:rPr>
        <w:t xml:space="preserve"> distance to landfall </w:t>
      </w:r>
      <w:r w:rsidR="00663E5C" w:rsidRPr="001E47AD">
        <w:rPr>
          <w:sz w:val="22"/>
          <w:szCs w:val="22"/>
        </w:rPr>
        <w:t>t</w:t>
      </w:r>
      <w:r w:rsidR="0098790E" w:rsidRPr="001E47AD">
        <w:rPr>
          <w:sz w:val="22"/>
          <w:szCs w:val="22"/>
        </w:rPr>
        <w:t>o</w:t>
      </w:r>
      <w:r w:rsidRPr="001E47AD">
        <w:rPr>
          <w:sz w:val="22"/>
          <w:szCs w:val="22"/>
        </w:rPr>
        <w:t xml:space="preserve"> </w:t>
      </w:r>
      <w:r w:rsidR="00314D2C" w:rsidRPr="001E47AD">
        <w:rPr>
          <w:sz w:val="22"/>
          <w:szCs w:val="22"/>
        </w:rPr>
        <w:t>determine geographic</w:t>
      </w:r>
      <w:r w:rsidRPr="001E47AD">
        <w:rPr>
          <w:sz w:val="22"/>
          <w:szCs w:val="22"/>
        </w:rPr>
        <w:t xml:space="preserve"> area</w:t>
      </w:r>
      <w:r w:rsidR="00663E5C" w:rsidRPr="001E47AD">
        <w:rPr>
          <w:sz w:val="22"/>
          <w:szCs w:val="22"/>
        </w:rPr>
        <w:t>s</w:t>
      </w:r>
      <w:r w:rsidRPr="001E47AD">
        <w:rPr>
          <w:sz w:val="22"/>
          <w:szCs w:val="22"/>
        </w:rPr>
        <w:t xml:space="preserve"> affected by the </w:t>
      </w:r>
      <w:r w:rsidR="002764AE" w:rsidRPr="001E47AD">
        <w:rPr>
          <w:sz w:val="22"/>
          <w:szCs w:val="22"/>
        </w:rPr>
        <w:t xml:space="preserve">sample hurricanes. </w:t>
      </w:r>
      <w:r w:rsidRPr="001E47AD">
        <w:rPr>
          <w:sz w:val="22"/>
          <w:szCs w:val="22"/>
        </w:rPr>
        <w:t xml:space="preserve">Beatty </w:t>
      </w:r>
      <w:r w:rsidR="007F4C06" w:rsidRPr="001E47AD">
        <w:rPr>
          <w:sz w:val="22"/>
          <w:szCs w:val="22"/>
          <w:lang w:eastAsia="zh-CN"/>
        </w:rPr>
        <w:t>et al.</w:t>
      </w:r>
      <w:r w:rsidRPr="001E47AD">
        <w:rPr>
          <w:sz w:val="22"/>
          <w:szCs w:val="22"/>
        </w:rPr>
        <w:t xml:space="preserve"> (201</w:t>
      </w:r>
      <w:r w:rsidR="00260888" w:rsidRPr="001E47AD">
        <w:rPr>
          <w:sz w:val="22"/>
          <w:szCs w:val="22"/>
          <w:lang w:eastAsia="zh-CN"/>
        </w:rPr>
        <w:t>8</w:t>
      </w:r>
      <w:r w:rsidRPr="001E47AD">
        <w:rPr>
          <w:sz w:val="22"/>
          <w:szCs w:val="22"/>
        </w:rPr>
        <w:t>) explore</w:t>
      </w:r>
      <w:r w:rsidR="004905BA" w:rsidRPr="001E47AD">
        <w:rPr>
          <w:sz w:val="22"/>
          <w:szCs w:val="22"/>
        </w:rPr>
        <w:t>d</w:t>
      </w:r>
      <w:r w:rsidRPr="001E47AD">
        <w:rPr>
          <w:sz w:val="22"/>
          <w:szCs w:val="22"/>
        </w:rPr>
        <w:t xml:space="preserve"> hurricane preparedness within 125 miles of landfall points, which corresponds to the </w:t>
      </w:r>
      <w:r w:rsidR="004905BA" w:rsidRPr="001E47AD">
        <w:rPr>
          <w:sz w:val="22"/>
          <w:szCs w:val="22"/>
        </w:rPr>
        <w:t>“</w:t>
      </w:r>
      <w:r w:rsidRPr="001E47AD">
        <w:rPr>
          <w:sz w:val="22"/>
          <w:szCs w:val="22"/>
        </w:rPr>
        <w:t>2/3 probability circle</w:t>
      </w:r>
      <w:r w:rsidR="004905BA" w:rsidRPr="001E47AD">
        <w:rPr>
          <w:sz w:val="22"/>
          <w:szCs w:val="22"/>
        </w:rPr>
        <w:t>”</w:t>
      </w:r>
      <w:r w:rsidRPr="001E47AD">
        <w:rPr>
          <w:sz w:val="22"/>
          <w:szCs w:val="22"/>
        </w:rPr>
        <w:t xml:space="preserve"> for Atlantic Basin tropical cyclone forecasts for approximately 48 to 72 hours </w:t>
      </w:r>
      <w:r w:rsidR="00C11E27" w:rsidRPr="001E47AD">
        <w:rPr>
          <w:noProof/>
          <w:sz w:val="22"/>
          <w:szCs w:val="22"/>
        </w:rPr>
        <w:t>before</w:t>
      </w:r>
      <w:r w:rsidRPr="001E47AD">
        <w:rPr>
          <w:sz w:val="22"/>
          <w:szCs w:val="22"/>
        </w:rPr>
        <w:t xml:space="preserve"> expected landfall. </w:t>
      </w:r>
      <w:r w:rsidR="00663E5C" w:rsidRPr="001E47AD">
        <w:rPr>
          <w:sz w:val="22"/>
          <w:szCs w:val="22"/>
        </w:rPr>
        <w:t xml:space="preserve">The </w:t>
      </w:r>
      <w:r w:rsidRPr="001E47AD">
        <w:rPr>
          <w:sz w:val="22"/>
          <w:szCs w:val="22"/>
        </w:rPr>
        <w:t xml:space="preserve">National Hurricane Center (NHC) issues a five-day </w:t>
      </w:r>
      <w:r w:rsidR="004A14E2" w:rsidRPr="001E47AD">
        <w:rPr>
          <w:sz w:val="22"/>
          <w:szCs w:val="22"/>
        </w:rPr>
        <w:t>‘</w:t>
      </w:r>
      <w:r w:rsidRPr="001E47AD">
        <w:rPr>
          <w:sz w:val="22"/>
          <w:szCs w:val="22"/>
        </w:rPr>
        <w:t>cone of uncertainty</w:t>
      </w:r>
      <w:r w:rsidR="00B016D9" w:rsidRPr="001E47AD">
        <w:rPr>
          <w:sz w:val="22"/>
          <w:szCs w:val="22"/>
        </w:rPr>
        <w:t>'</w:t>
      </w:r>
      <w:r w:rsidRPr="001E47AD">
        <w:rPr>
          <w:sz w:val="22"/>
          <w:szCs w:val="22"/>
        </w:rPr>
        <w:t xml:space="preserve"> to indicate the probable track of the center of a tropical cyclone</w:t>
      </w:r>
      <w:r w:rsidR="00663E5C" w:rsidRPr="001E47AD">
        <w:rPr>
          <w:sz w:val="22"/>
          <w:szCs w:val="22"/>
        </w:rPr>
        <w:t>.</w:t>
      </w:r>
      <w:r w:rsidRPr="001E47AD">
        <w:rPr>
          <w:rStyle w:val="FootnoteReference"/>
          <w:sz w:val="22"/>
          <w:szCs w:val="22"/>
        </w:rPr>
        <w:t xml:space="preserve"> </w:t>
      </w:r>
      <w:r w:rsidRPr="001E47AD">
        <w:rPr>
          <w:rStyle w:val="FootnoteReference"/>
          <w:sz w:val="22"/>
          <w:szCs w:val="22"/>
        </w:rPr>
        <w:footnoteReference w:id="3"/>
      </w:r>
      <w:r w:rsidRPr="001E47AD">
        <w:rPr>
          <w:sz w:val="22"/>
          <w:szCs w:val="22"/>
        </w:rPr>
        <w:t xml:space="preserve"> The radii of the cone circles are set to enclose 2/3 of the historical track forecast</w:t>
      </w:r>
      <w:r w:rsidR="00663E5C" w:rsidRPr="001E47AD">
        <w:rPr>
          <w:sz w:val="22"/>
          <w:szCs w:val="22"/>
        </w:rPr>
        <w:t xml:space="preserve"> probabilities</w:t>
      </w:r>
      <w:r w:rsidR="00006FB7" w:rsidRPr="001E47AD">
        <w:rPr>
          <w:sz w:val="22"/>
          <w:szCs w:val="22"/>
        </w:rPr>
        <w:t>;</w:t>
      </w:r>
      <w:r w:rsidRPr="001E47AD">
        <w:rPr>
          <w:sz w:val="22"/>
          <w:szCs w:val="22"/>
        </w:rPr>
        <w:t xml:space="preserve"> namely, </w:t>
      </w:r>
      <w:r w:rsidR="004905BA" w:rsidRPr="001E47AD">
        <w:rPr>
          <w:sz w:val="22"/>
          <w:szCs w:val="22"/>
        </w:rPr>
        <w:t>“</w:t>
      </w:r>
      <w:r w:rsidRPr="001E47AD">
        <w:rPr>
          <w:sz w:val="22"/>
          <w:szCs w:val="22"/>
        </w:rPr>
        <w:t>2/3 probability circle</w:t>
      </w:r>
      <w:r w:rsidR="0098790E" w:rsidRPr="001E47AD">
        <w:rPr>
          <w:sz w:val="22"/>
          <w:szCs w:val="22"/>
        </w:rPr>
        <w:t>s</w:t>
      </w:r>
      <w:r w:rsidR="004905BA" w:rsidRPr="001E47AD">
        <w:rPr>
          <w:sz w:val="22"/>
          <w:szCs w:val="22"/>
        </w:rPr>
        <w:t>”</w:t>
      </w:r>
      <w:r w:rsidR="005A50F7" w:rsidRPr="001E47AD">
        <w:rPr>
          <w:sz w:val="22"/>
          <w:szCs w:val="22"/>
        </w:rPr>
        <w:t xml:space="preserve">. </w:t>
      </w:r>
      <w:r w:rsidR="006A4879" w:rsidRPr="001E47AD">
        <w:rPr>
          <w:sz w:val="22"/>
          <w:szCs w:val="22"/>
        </w:rPr>
        <w:t>We not</w:t>
      </w:r>
      <w:r w:rsidR="00786DF8" w:rsidRPr="001E47AD">
        <w:rPr>
          <w:sz w:val="22"/>
          <w:szCs w:val="22"/>
        </w:rPr>
        <w:t>e</w:t>
      </w:r>
      <w:r w:rsidR="006A4879" w:rsidRPr="001E47AD">
        <w:rPr>
          <w:sz w:val="22"/>
          <w:szCs w:val="22"/>
        </w:rPr>
        <w:t xml:space="preserve"> that the threshold used by Beatty </w:t>
      </w:r>
      <w:r w:rsidR="006A4879" w:rsidRPr="001E47AD">
        <w:rPr>
          <w:sz w:val="22"/>
          <w:szCs w:val="22"/>
          <w:lang w:eastAsia="zh-CN"/>
        </w:rPr>
        <w:t>et al.</w:t>
      </w:r>
      <w:r w:rsidR="006A4879" w:rsidRPr="001E47AD">
        <w:rPr>
          <w:sz w:val="22"/>
          <w:szCs w:val="22"/>
        </w:rPr>
        <w:t xml:space="preserve"> (201</w:t>
      </w:r>
      <w:r w:rsidR="006A4879" w:rsidRPr="001E47AD">
        <w:rPr>
          <w:sz w:val="22"/>
          <w:szCs w:val="22"/>
          <w:lang w:eastAsia="zh-CN"/>
        </w:rPr>
        <w:t>8</w:t>
      </w:r>
      <w:r w:rsidR="006A4879" w:rsidRPr="001E47AD">
        <w:rPr>
          <w:sz w:val="22"/>
          <w:szCs w:val="22"/>
        </w:rPr>
        <w:t xml:space="preserve">) </w:t>
      </w:r>
      <w:r w:rsidR="00786DF8" w:rsidRPr="001E47AD">
        <w:rPr>
          <w:sz w:val="22"/>
          <w:szCs w:val="22"/>
        </w:rPr>
        <w:t>limits</w:t>
      </w:r>
      <w:r w:rsidR="006A4879" w:rsidRPr="001E47AD">
        <w:rPr>
          <w:sz w:val="22"/>
          <w:szCs w:val="22"/>
        </w:rPr>
        <w:t xml:space="preserve"> </w:t>
      </w:r>
      <w:r w:rsidR="00786DF8" w:rsidRPr="001E47AD">
        <w:rPr>
          <w:sz w:val="22"/>
          <w:szCs w:val="22"/>
        </w:rPr>
        <w:t>the</w:t>
      </w:r>
      <w:r w:rsidR="006A4879" w:rsidRPr="001E47AD">
        <w:rPr>
          <w:sz w:val="22"/>
          <w:szCs w:val="22"/>
        </w:rPr>
        <w:t xml:space="preserve"> study</w:t>
      </w:r>
      <w:r w:rsidR="00786DF8" w:rsidRPr="001E47AD">
        <w:rPr>
          <w:sz w:val="22"/>
          <w:szCs w:val="22"/>
        </w:rPr>
        <w:t xml:space="preserve"> of</w:t>
      </w:r>
      <w:r w:rsidR="006A4879" w:rsidRPr="001E47AD">
        <w:rPr>
          <w:sz w:val="22"/>
          <w:szCs w:val="22"/>
        </w:rPr>
        <w:t xml:space="preserve"> consumer stockpiling behavior, as it </w:t>
      </w:r>
      <w:r w:rsidR="00786DF8" w:rsidRPr="001E47AD">
        <w:rPr>
          <w:sz w:val="22"/>
          <w:szCs w:val="22"/>
        </w:rPr>
        <w:t>does not account for</w:t>
      </w:r>
      <w:r w:rsidR="006A4879" w:rsidRPr="001E47AD">
        <w:rPr>
          <w:sz w:val="22"/>
          <w:szCs w:val="22"/>
        </w:rPr>
        <w:t xml:space="preserve"> </w:t>
      </w:r>
      <w:r w:rsidR="00786DF8" w:rsidRPr="001E47AD">
        <w:rPr>
          <w:sz w:val="22"/>
          <w:szCs w:val="22"/>
        </w:rPr>
        <w:t xml:space="preserve">potential </w:t>
      </w:r>
      <w:r w:rsidR="006A4879" w:rsidRPr="001E47AD">
        <w:rPr>
          <w:sz w:val="22"/>
          <w:szCs w:val="22"/>
        </w:rPr>
        <w:t>wide-rang</w:t>
      </w:r>
      <w:r w:rsidR="00786DF8" w:rsidRPr="001E47AD">
        <w:rPr>
          <w:sz w:val="22"/>
          <w:szCs w:val="22"/>
        </w:rPr>
        <w:t>ing</w:t>
      </w:r>
      <w:r w:rsidR="006A4879" w:rsidRPr="001E47AD">
        <w:rPr>
          <w:sz w:val="22"/>
          <w:szCs w:val="22"/>
        </w:rPr>
        <w:t xml:space="preserve"> </w:t>
      </w:r>
      <w:r w:rsidR="00786DF8" w:rsidRPr="001E47AD">
        <w:rPr>
          <w:sz w:val="22"/>
          <w:szCs w:val="22"/>
        </w:rPr>
        <w:t>impacts</w:t>
      </w:r>
      <w:r w:rsidR="006A4879" w:rsidRPr="001E47AD">
        <w:rPr>
          <w:sz w:val="22"/>
          <w:szCs w:val="22"/>
        </w:rPr>
        <w:t xml:space="preserve"> </w:t>
      </w:r>
      <w:r w:rsidR="00786DF8" w:rsidRPr="001E47AD">
        <w:rPr>
          <w:sz w:val="22"/>
          <w:szCs w:val="22"/>
        </w:rPr>
        <w:t>due to</w:t>
      </w:r>
      <w:r w:rsidR="006A4879" w:rsidRPr="001E47AD">
        <w:rPr>
          <w:sz w:val="22"/>
          <w:szCs w:val="22"/>
        </w:rPr>
        <w:t xml:space="preserve"> </w:t>
      </w:r>
      <w:r w:rsidR="00786DF8" w:rsidRPr="001E47AD">
        <w:rPr>
          <w:sz w:val="22"/>
          <w:szCs w:val="22"/>
        </w:rPr>
        <w:t xml:space="preserve">storm </w:t>
      </w:r>
      <w:r w:rsidR="006A4879" w:rsidRPr="001E47AD">
        <w:rPr>
          <w:sz w:val="22"/>
          <w:szCs w:val="22"/>
        </w:rPr>
        <w:t xml:space="preserve">path </w:t>
      </w:r>
      <w:r w:rsidR="00786DF8" w:rsidRPr="001E47AD">
        <w:rPr>
          <w:sz w:val="22"/>
          <w:szCs w:val="22"/>
        </w:rPr>
        <w:t>uncertainty</w:t>
      </w:r>
      <w:r w:rsidR="006A4879" w:rsidRPr="001E47AD">
        <w:rPr>
          <w:sz w:val="22"/>
          <w:szCs w:val="22"/>
        </w:rPr>
        <w:t xml:space="preserve">. </w:t>
      </w:r>
      <w:r w:rsidR="005A50F7" w:rsidRPr="001E47AD">
        <w:rPr>
          <w:sz w:val="22"/>
          <w:szCs w:val="22"/>
        </w:rPr>
        <w:t xml:space="preserve">In practice, </w:t>
      </w:r>
      <w:r w:rsidR="005A50F7" w:rsidRPr="001E47AD">
        <w:rPr>
          <w:noProof/>
          <w:sz w:val="22"/>
          <w:szCs w:val="22"/>
        </w:rPr>
        <w:t>p</w:t>
      </w:r>
      <w:r w:rsidRPr="001E47AD">
        <w:rPr>
          <w:noProof/>
          <w:sz w:val="22"/>
          <w:szCs w:val="22"/>
        </w:rPr>
        <w:t>otential</w:t>
      </w:r>
      <w:r w:rsidR="00147A7F" w:rsidRPr="001E47AD">
        <w:rPr>
          <w:noProof/>
          <w:sz w:val="22"/>
          <w:szCs w:val="22"/>
        </w:rPr>
        <w:t>ly</w:t>
      </w:r>
      <w:r w:rsidRPr="001E47AD">
        <w:rPr>
          <w:sz w:val="22"/>
          <w:szCs w:val="22"/>
        </w:rPr>
        <w:t xml:space="preserve"> hazardous condition</w:t>
      </w:r>
      <w:r w:rsidR="00786DF8" w:rsidRPr="001E47AD">
        <w:rPr>
          <w:sz w:val="22"/>
          <w:szCs w:val="22"/>
        </w:rPr>
        <w:t>s</w:t>
      </w:r>
      <w:r w:rsidRPr="001E47AD">
        <w:rPr>
          <w:sz w:val="22"/>
          <w:szCs w:val="22"/>
        </w:rPr>
        <w:t xml:space="preserve"> may occur inside or outside of the cone</w:t>
      </w:r>
      <w:r w:rsidR="005A50F7" w:rsidRPr="001E47AD">
        <w:rPr>
          <w:sz w:val="22"/>
          <w:szCs w:val="22"/>
        </w:rPr>
        <w:t>;</w:t>
      </w:r>
      <w:r w:rsidRPr="001E47AD">
        <w:rPr>
          <w:sz w:val="22"/>
          <w:szCs w:val="22"/>
        </w:rPr>
        <w:t xml:space="preserve"> </w:t>
      </w:r>
      <w:r w:rsidR="005A50F7" w:rsidRPr="001E47AD">
        <w:rPr>
          <w:sz w:val="22"/>
          <w:szCs w:val="22"/>
        </w:rPr>
        <w:t xml:space="preserve">for example, </w:t>
      </w:r>
      <w:r w:rsidR="0098790E" w:rsidRPr="001E47AD">
        <w:rPr>
          <w:sz w:val="22"/>
          <w:szCs w:val="22"/>
        </w:rPr>
        <w:t xml:space="preserve">a </w:t>
      </w:r>
      <w:r w:rsidR="005A50F7" w:rsidRPr="001E47AD">
        <w:rPr>
          <w:sz w:val="22"/>
          <w:szCs w:val="22"/>
        </w:rPr>
        <w:t xml:space="preserve">storm surge may stretch </w:t>
      </w:r>
      <w:r w:rsidR="00663E5C" w:rsidRPr="001E47AD">
        <w:rPr>
          <w:sz w:val="22"/>
          <w:szCs w:val="22"/>
        </w:rPr>
        <w:t xml:space="preserve">up to </w:t>
      </w:r>
      <w:r w:rsidR="005A50F7" w:rsidRPr="001E47AD">
        <w:rPr>
          <w:sz w:val="22"/>
          <w:szCs w:val="22"/>
        </w:rPr>
        <w:t xml:space="preserve">1,000 miles </w:t>
      </w:r>
      <w:r w:rsidR="005A50F7" w:rsidRPr="001E47AD">
        <w:rPr>
          <w:noProof/>
          <w:sz w:val="22"/>
          <w:szCs w:val="22"/>
        </w:rPr>
        <w:t>wide</w:t>
      </w:r>
      <w:r w:rsidR="00663E5C" w:rsidRPr="001E47AD">
        <w:rPr>
          <w:sz w:val="22"/>
          <w:szCs w:val="22"/>
        </w:rPr>
        <w:t xml:space="preserve"> causing flood damage across a large coastal area</w:t>
      </w:r>
      <w:r w:rsidR="005A50F7" w:rsidRPr="001E47AD">
        <w:rPr>
          <w:sz w:val="22"/>
          <w:szCs w:val="22"/>
        </w:rPr>
        <w:t xml:space="preserve">. Therefore, </w:t>
      </w:r>
      <w:r w:rsidR="005A50F7" w:rsidRPr="001E47AD">
        <w:rPr>
          <w:noProof/>
          <w:sz w:val="22"/>
          <w:szCs w:val="22"/>
        </w:rPr>
        <w:t>to</w:t>
      </w:r>
      <w:r w:rsidR="005A50F7" w:rsidRPr="001E47AD">
        <w:rPr>
          <w:sz w:val="22"/>
          <w:szCs w:val="22"/>
        </w:rPr>
        <w:t xml:space="preserve"> study consumer stockpiling </w:t>
      </w:r>
      <w:r w:rsidR="00786DF8" w:rsidRPr="001E47AD">
        <w:rPr>
          <w:sz w:val="22"/>
          <w:szCs w:val="22"/>
        </w:rPr>
        <w:t>due to forecasted</w:t>
      </w:r>
      <w:r w:rsidR="005A50F7" w:rsidRPr="001E47AD">
        <w:rPr>
          <w:sz w:val="22"/>
          <w:szCs w:val="22"/>
        </w:rPr>
        <w:t xml:space="preserve"> hurricane</w:t>
      </w:r>
      <w:r w:rsidR="00786DF8" w:rsidRPr="001E47AD">
        <w:rPr>
          <w:sz w:val="22"/>
          <w:szCs w:val="22"/>
        </w:rPr>
        <w:t>s</w:t>
      </w:r>
      <w:r w:rsidR="005A50F7" w:rsidRPr="001E47AD">
        <w:rPr>
          <w:sz w:val="22"/>
          <w:szCs w:val="22"/>
        </w:rPr>
        <w:t>, we</w:t>
      </w:r>
      <w:r w:rsidR="0098790E" w:rsidRPr="001E47AD">
        <w:rPr>
          <w:sz w:val="22"/>
          <w:szCs w:val="22"/>
        </w:rPr>
        <w:t xml:space="preserve"> </w:t>
      </w:r>
      <w:r w:rsidR="0055367A" w:rsidRPr="001E47AD">
        <w:rPr>
          <w:sz w:val="22"/>
          <w:szCs w:val="22"/>
        </w:rPr>
        <w:t xml:space="preserve">extend Beatty </w:t>
      </w:r>
      <w:r w:rsidR="0055367A" w:rsidRPr="001E47AD">
        <w:rPr>
          <w:sz w:val="22"/>
          <w:szCs w:val="22"/>
          <w:lang w:eastAsia="zh-CN"/>
        </w:rPr>
        <w:t>et al.’s</w:t>
      </w:r>
      <w:r w:rsidR="0055367A" w:rsidRPr="001E47AD">
        <w:rPr>
          <w:sz w:val="22"/>
          <w:szCs w:val="22"/>
        </w:rPr>
        <w:t xml:space="preserve"> (201</w:t>
      </w:r>
      <w:r w:rsidR="0055367A" w:rsidRPr="001E47AD">
        <w:rPr>
          <w:sz w:val="22"/>
          <w:szCs w:val="22"/>
          <w:lang w:eastAsia="zh-CN"/>
        </w:rPr>
        <w:t>8</w:t>
      </w:r>
      <w:r w:rsidR="0055367A" w:rsidRPr="001E47AD">
        <w:rPr>
          <w:sz w:val="22"/>
          <w:szCs w:val="22"/>
        </w:rPr>
        <w:t xml:space="preserve">) measure and </w:t>
      </w:r>
      <w:r w:rsidR="00663E5C" w:rsidRPr="001E47AD">
        <w:rPr>
          <w:sz w:val="22"/>
          <w:szCs w:val="22"/>
        </w:rPr>
        <w:t>study</w:t>
      </w:r>
      <w:r w:rsidR="005A50F7" w:rsidRPr="001E47AD">
        <w:rPr>
          <w:sz w:val="22"/>
          <w:szCs w:val="22"/>
        </w:rPr>
        <w:t xml:space="preserve"> store outlets within 1,000 miles </w:t>
      </w:r>
      <w:r w:rsidR="00663E5C" w:rsidRPr="001E47AD">
        <w:rPr>
          <w:sz w:val="22"/>
          <w:szCs w:val="22"/>
        </w:rPr>
        <w:t>of</w:t>
      </w:r>
      <w:r w:rsidR="005A50F7" w:rsidRPr="001E47AD">
        <w:rPr>
          <w:sz w:val="22"/>
          <w:szCs w:val="22"/>
        </w:rPr>
        <w:t xml:space="preserve"> the expected landfall points.</w:t>
      </w:r>
    </w:p>
    <w:p w14:paraId="40BA0876" w14:textId="30CE725F" w:rsidR="005D5F90" w:rsidRPr="001E47AD" w:rsidRDefault="005D5F90" w:rsidP="00517CB5">
      <w:pPr>
        <w:spacing w:before="120" w:after="120" w:line="480" w:lineRule="auto"/>
        <w:ind w:firstLine="720"/>
        <w:contextualSpacing/>
        <w:jc w:val="both"/>
        <w:rPr>
          <w:sz w:val="22"/>
          <w:szCs w:val="22"/>
        </w:rPr>
      </w:pPr>
      <w:r w:rsidRPr="001E47AD">
        <w:rPr>
          <w:b/>
          <w:noProof/>
          <w:sz w:val="22"/>
          <w:szCs w:val="22"/>
        </w:rPr>
        <w:t xml:space="preserve">Hurricane </w:t>
      </w:r>
      <w:r w:rsidR="00CE7420" w:rsidRPr="001E47AD">
        <w:rPr>
          <w:b/>
          <w:noProof/>
          <w:sz w:val="22"/>
          <w:szCs w:val="22"/>
        </w:rPr>
        <w:t>s</w:t>
      </w:r>
      <w:r w:rsidRPr="001E47AD">
        <w:rPr>
          <w:b/>
          <w:noProof/>
          <w:sz w:val="22"/>
          <w:szCs w:val="22"/>
        </w:rPr>
        <w:t>ize</w:t>
      </w:r>
      <w:r w:rsidR="00CE7420" w:rsidRPr="001E47AD">
        <w:rPr>
          <w:b/>
          <w:noProof/>
          <w:sz w:val="22"/>
          <w:szCs w:val="22"/>
        </w:rPr>
        <w:t>.</w:t>
      </w:r>
      <w:r w:rsidRPr="001E47AD">
        <w:rPr>
          <w:sz w:val="22"/>
          <w:szCs w:val="22"/>
        </w:rPr>
        <w:t xml:space="preserve"> </w:t>
      </w:r>
      <w:r w:rsidR="00CE7420" w:rsidRPr="001E47AD">
        <w:rPr>
          <w:sz w:val="22"/>
          <w:szCs w:val="22"/>
        </w:rPr>
        <w:t>W</w:t>
      </w:r>
      <w:r w:rsidRPr="001E47AD">
        <w:rPr>
          <w:sz w:val="22"/>
          <w:szCs w:val="22"/>
        </w:rPr>
        <w:t>e further refine the geographic area affected by the sample hurrica</w:t>
      </w:r>
      <w:r w:rsidR="0098790E" w:rsidRPr="001E47AD">
        <w:rPr>
          <w:sz w:val="22"/>
          <w:szCs w:val="22"/>
        </w:rPr>
        <w:t>ne</w:t>
      </w:r>
      <w:r w:rsidRPr="001E47AD">
        <w:rPr>
          <w:sz w:val="22"/>
          <w:szCs w:val="22"/>
        </w:rPr>
        <w:t xml:space="preserve">s based on the size of the </w:t>
      </w:r>
      <w:r w:rsidRPr="001E47AD">
        <w:rPr>
          <w:noProof/>
          <w:sz w:val="22"/>
          <w:szCs w:val="22"/>
        </w:rPr>
        <w:t>hurricane</w:t>
      </w:r>
      <w:r w:rsidRPr="001E47AD">
        <w:rPr>
          <w:sz w:val="22"/>
          <w:szCs w:val="22"/>
        </w:rPr>
        <w:t xml:space="preserve">. The size of the NHC’s annual </w:t>
      </w:r>
      <w:r w:rsidR="00CE7420" w:rsidRPr="001E47AD">
        <w:rPr>
          <w:sz w:val="22"/>
          <w:szCs w:val="22"/>
        </w:rPr>
        <w:t>“</w:t>
      </w:r>
      <w:r w:rsidRPr="001E47AD">
        <w:rPr>
          <w:sz w:val="22"/>
          <w:szCs w:val="22"/>
        </w:rPr>
        <w:t>cone of uncertainty</w:t>
      </w:r>
      <w:r w:rsidR="00CE7420" w:rsidRPr="001E47AD">
        <w:rPr>
          <w:sz w:val="22"/>
          <w:szCs w:val="22"/>
        </w:rPr>
        <w:t>”</w:t>
      </w:r>
      <w:r w:rsidRPr="001E47AD">
        <w:rPr>
          <w:sz w:val="22"/>
          <w:szCs w:val="22"/>
        </w:rPr>
        <w:t xml:space="preserve"> is fixed for all storms and does not vary for forecasts </w:t>
      </w:r>
      <w:r w:rsidR="00786DF8" w:rsidRPr="001E47AD">
        <w:rPr>
          <w:sz w:val="22"/>
          <w:szCs w:val="22"/>
        </w:rPr>
        <w:t>during</w:t>
      </w:r>
      <w:r w:rsidRPr="001E47AD">
        <w:rPr>
          <w:sz w:val="22"/>
          <w:szCs w:val="22"/>
        </w:rPr>
        <w:t xml:space="preserve"> the</w:t>
      </w:r>
      <w:r w:rsidR="00786DF8" w:rsidRPr="001E47AD">
        <w:rPr>
          <w:sz w:val="22"/>
          <w:szCs w:val="22"/>
        </w:rPr>
        <w:t xml:space="preserve"> hurricane</w:t>
      </w:r>
      <w:r w:rsidRPr="001E47AD">
        <w:rPr>
          <w:sz w:val="22"/>
          <w:szCs w:val="22"/>
        </w:rPr>
        <w:t xml:space="preserve"> season. </w:t>
      </w:r>
      <w:r w:rsidR="00786DF8" w:rsidRPr="001E47AD">
        <w:rPr>
          <w:sz w:val="22"/>
          <w:szCs w:val="22"/>
        </w:rPr>
        <w:t>Moreover</w:t>
      </w:r>
      <w:r w:rsidRPr="001E47AD">
        <w:rPr>
          <w:sz w:val="22"/>
          <w:szCs w:val="22"/>
        </w:rPr>
        <w:t xml:space="preserve">, the cone only contains the probable path of the storm center but does not </w:t>
      </w:r>
      <w:r w:rsidR="00786DF8" w:rsidRPr="001E47AD">
        <w:rPr>
          <w:sz w:val="22"/>
          <w:szCs w:val="22"/>
        </w:rPr>
        <w:t>account for</w:t>
      </w:r>
      <w:r w:rsidRPr="001E47AD">
        <w:rPr>
          <w:sz w:val="22"/>
          <w:szCs w:val="22"/>
        </w:rPr>
        <w:t xml:space="preserve"> the size of a specific storm. The radius of the outermost closed isobar (ROCI) is a parameter that can be used to determine the size of </w:t>
      </w:r>
      <w:r w:rsidRPr="001E47AD">
        <w:rPr>
          <w:noProof/>
          <w:sz w:val="22"/>
          <w:szCs w:val="22"/>
        </w:rPr>
        <w:t>a specific</w:t>
      </w:r>
      <w:r w:rsidRPr="001E47AD">
        <w:rPr>
          <w:sz w:val="22"/>
          <w:szCs w:val="22"/>
        </w:rPr>
        <w:t xml:space="preserve"> </w:t>
      </w:r>
      <w:r w:rsidR="00BD724D" w:rsidRPr="001E47AD">
        <w:rPr>
          <w:sz w:val="22"/>
          <w:szCs w:val="22"/>
        </w:rPr>
        <w:t xml:space="preserve">hurricane (or more </w:t>
      </w:r>
      <w:r w:rsidR="00BD724D" w:rsidRPr="001E47AD">
        <w:rPr>
          <w:sz w:val="22"/>
          <w:szCs w:val="22"/>
        </w:rPr>
        <w:lastRenderedPageBreak/>
        <w:t>formally, tropical cyclone)</w:t>
      </w:r>
      <w:r w:rsidRPr="001E47AD">
        <w:rPr>
          <w:sz w:val="22"/>
          <w:szCs w:val="22"/>
        </w:rPr>
        <w:t xml:space="preserve"> (Cangialosi </w:t>
      </w:r>
      <w:r w:rsidR="007F3F9D" w:rsidRPr="001E47AD">
        <w:rPr>
          <w:sz w:val="22"/>
          <w:szCs w:val="22"/>
          <w:lang w:eastAsia="zh-CN"/>
        </w:rPr>
        <w:t>and</w:t>
      </w:r>
      <w:r w:rsidRPr="001E47AD">
        <w:rPr>
          <w:sz w:val="22"/>
          <w:szCs w:val="22"/>
        </w:rPr>
        <w:t xml:space="preserve"> Landsea 2016</w:t>
      </w:r>
      <w:r w:rsidR="007F3F9D" w:rsidRPr="001E47AD">
        <w:rPr>
          <w:sz w:val="22"/>
          <w:szCs w:val="22"/>
        </w:rPr>
        <w:t>,</w:t>
      </w:r>
      <w:r w:rsidR="0025734A" w:rsidRPr="001E47AD">
        <w:rPr>
          <w:sz w:val="22"/>
          <w:szCs w:val="22"/>
          <w:lang w:eastAsia="zh-CN"/>
        </w:rPr>
        <w:t xml:space="preserve"> </w:t>
      </w:r>
      <w:r w:rsidR="00B30888" w:rsidRPr="001E47AD">
        <w:rPr>
          <w:sz w:val="22"/>
          <w:szCs w:val="22"/>
        </w:rPr>
        <w:t>Carrasco</w:t>
      </w:r>
      <w:r w:rsidR="007F3F9D" w:rsidRPr="001E47AD">
        <w:rPr>
          <w:sz w:val="22"/>
          <w:szCs w:val="22"/>
        </w:rPr>
        <w:t xml:space="preserve"> et al.</w:t>
      </w:r>
      <w:r w:rsidRPr="001E47AD">
        <w:rPr>
          <w:sz w:val="22"/>
          <w:szCs w:val="22"/>
        </w:rPr>
        <w:t xml:space="preserve"> 2014</w:t>
      </w:r>
      <w:r w:rsidR="007F3F9D" w:rsidRPr="001E47AD">
        <w:rPr>
          <w:sz w:val="22"/>
          <w:szCs w:val="22"/>
        </w:rPr>
        <w:t>,</w:t>
      </w:r>
      <w:r w:rsidR="00B30888" w:rsidRPr="001E47AD">
        <w:rPr>
          <w:sz w:val="22"/>
          <w:szCs w:val="22"/>
        </w:rPr>
        <w:t xml:space="preserve"> Demuth</w:t>
      </w:r>
      <w:r w:rsidR="007F3F9D" w:rsidRPr="001E47AD">
        <w:rPr>
          <w:sz w:val="22"/>
          <w:szCs w:val="22"/>
        </w:rPr>
        <w:t xml:space="preserve"> et al.</w:t>
      </w:r>
      <w:r w:rsidR="00B30888" w:rsidRPr="001E47AD">
        <w:rPr>
          <w:sz w:val="22"/>
          <w:szCs w:val="22"/>
          <w:lang w:eastAsia="zh-CN"/>
        </w:rPr>
        <w:t xml:space="preserve"> </w:t>
      </w:r>
      <w:r w:rsidRPr="001E47AD">
        <w:rPr>
          <w:sz w:val="22"/>
          <w:szCs w:val="22"/>
        </w:rPr>
        <w:t>2006)</w:t>
      </w:r>
      <w:r w:rsidR="008F3C51" w:rsidRPr="001E47AD">
        <w:rPr>
          <w:sz w:val="22"/>
          <w:szCs w:val="22"/>
        </w:rPr>
        <w:t>.</w:t>
      </w:r>
      <w:r w:rsidRPr="001E47AD">
        <w:rPr>
          <w:rStyle w:val="FootnoteReference"/>
          <w:noProof/>
          <w:sz w:val="22"/>
          <w:szCs w:val="22"/>
        </w:rPr>
        <w:t xml:space="preserve"> </w:t>
      </w:r>
      <w:r w:rsidRPr="001E47AD">
        <w:rPr>
          <w:sz w:val="22"/>
          <w:szCs w:val="22"/>
        </w:rPr>
        <w:t xml:space="preserve">It </w:t>
      </w:r>
      <w:r w:rsidRPr="001E47AD">
        <w:rPr>
          <w:noProof/>
          <w:sz w:val="22"/>
          <w:szCs w:val="22"/>
        </w:rPr>
        <w:t>is measured</w:t>
      </w:r>
      <w:r w:rsidRPr="001E47AD">
        <w:rPr>
          <w:sz w:val="22"/>
          <w:szCs w:val="22"/>
        </w:rPr>
        <w:t xml:space="preserve"> as the average of the radii from the center of the storm to its outermost closed isobar. The values </w:t>
      </w:r>
      <w:r w:rsidRPr="001E47AD">
        <w:rPr>
          <w:noProof/>
          <w:sz w:val="22"/>
          <w:szCs w:val="22"/>
        </w:rPr>
        <w:t>are determined</w:t>
      </w:r>
      <w:r w:rsidRPr="001E47AD">
        <w:rPr>
          <w:sz w:val="22"/>
          <w:szCs w:val="22"/>
        </w:rPr>
        <w:t xml:space="preserve"> every six hours</w:t>
      </w:r>
      <w:r w:rsidR="00CE7420" w:rsidRPr="001E47AD">
        <w:rPr>
          <w:sz w:val="22"/>
          <w:szCs w:val="22"/>
        </w:rPr>
        <w:t xml:space="preserve"> in real time</w:t>
      </w:r>
      <w:r w:rsidR="004B7F7F" w:rsidRPr="001E47AD">
        <w:rPr>
          <w:sz w:val="22"/>
          <w:szCs w:val="22"/>
        </w:rPr>
        <w:t xml:space="preserve">, and </w:t>
      </w:r>
      <w:r w:rsidRPr="001E47AD">
        <w:rPr>
          <w:noProof/>
          <w:sz w:val="22"/>
          <w:szCs w:val="22"/>
        </w:rPr>
        <w:t>generally</w:t>
      </w:r>
      <w:r w:rsidRPr="001E47AD">
        <w:rPr>
          <w:sz w:val="22"/>
          <w:szCs w:val="22"/>
        </w:rPr>
        <w:t xml:space="preserve"> delimit the outermost extent of a </w:t>
      </w:r>
      <w:r w:rsidR="00BD724D" w:rsidRPr="001E47AD">
        <w:rPr>
          <w:sz w:val="22"/>
          <w:szCs w:val="22"/>
        </w:rPr>
        <w:t>hurricane</w:t>
      </w:r>
      <w:r w:rsidRPr="001E47AD">
        <w:rPr>
          <w:sz w:val="22"/>
          <w:szCs w:val="22"/>
        </w:rPr>
        <w:t>s</w:t>
      </w:r>
      <w:r w:rsidR="004B7F7F" w:rsidRPr="001E47AD">
        <w:rPr>
          <w:sz w:val="22"/>
          <w:szCs w:val="22"/>
        </w:rPr>
        <w:t>’</w:t>
      </w:r>
      <w:r w:rsidRPr="001E47AD">
        <w:rPr>
          <w:sz w:val="22"/>
          <w:szCs w:val="22"/>
        </w:rPr>
        <w:t xml:space="preserve"> wind circulation.</w:t>
      </w:r>
      <w:r w:rsidR="00115E0A" w:rsidRPr="001E47AD">
        <w:rPr>
          <w:rStyle w:val="FootnoteReference"/>
          <w:noProof/>
          <w:sz w:val="22"/>
          <w:szCs w:val="22"/>
        </w:rPr>
        <w:footnoteReference w:id="4"/>
      </w:r>
      <w:r w:rsidRPr="001E47AD">
        <w:rPr>
          <w:sz w:val="22"/>
          <w:szCs w:val="22"/>
        </w:rPr>
        <w:t xml:space="preserve"> The</w:t>
      </w:r>
      <w:r w:rsidR="00006FB7" w:rsidRPr="001E47AD">
        <w:rPr>
          <w:sz w:val="22"/>
          <w:szCs w:val="22"/>
        </w:rPr>
        <w:t>se</w:t>
      </w:r>
      <w:r w:rsidR="003A3CBE" w:rsidRPr="001E47AD">
        <w:rPr>
          <w:sz w:val="22"/>
          <w:szCs w:val="22"/>
        </w:rPr>
        <w:t xml:space="preserve"> hurricane </w:t>
      </w:r>
      <w:r w:rsidRPr="001E47AD">
        <w:rPr>
          <w:sz w:val="22"/>
          <w:szCs w:val="22"/>
        </w:rPr>
        <w:t xml:space="preserve">data </w:t>
      </w:r>
      <w:r w:rsidRPr="001E47AD">
        <w:rPr>
          <w:noProof/>
          <w:sz w:val="22"/>
          <w:szCs w:val="22"/>
        </w:rPr>
        <w:t>were</w:t>
      </w:r>
      <w:r w:rsidRPr="001E47AD">
        <w:rPr>
          <w:sz w:val="22"/>
          <w:szCs w:val="22"/>
        </w:rPr>
        <w:t xml:space="preserve"> collected from the Extended Best Tracks (EBT) dataset by Demuth </w:t>
      </w:r>
      <w:r w:rsidR="00A15761" w:rsidRPr="001E47AD">
        <w:rPr>
          <w:sz w:val="22"/>
          <w:szCs w:val="22"/>
          <w:lang w:eastAsia="zh-CN"/>
        </w:rPr>
        <w:t>et al.</w:t>
      </w:r>
      <w:r w:rsidR="006E217D" w:rsidRPr="001E47AD">
        <w:rPr>
          <w:sz w:val="22"/>
          <w:szCs w:val="22"/>
          <w:lang w:eastAsia="zh-CN"/>
        </w:rPr>
        <w:t xml:space="preserve"> </w:t>
      </w:r>
      <w:r w:rsidRPr="001E47AD">
        <w:rPr>
          <w:sz w:val="22"/>
          <w:szCs w:val="22"/>
        </w:rPr>
        <w:t xml:space="preserve">(2006). We refine the boundary of the </w:t>
      </w:r>
      <w:r w:rsidRPr="001E47AD">
        <w:rPr>
          <w:noProof/>
          <w:sz w:val="22"/>
          <w:szCs w:val="22"/>
        </w:rPr>
        <w:t>hurricane-affected</w:t>
      </w:r>
      <w:r w:rsidR="003A3CBE" w:rsidRPr="001E47AD">
        <w:rPr>
          <w:sz w:val="22"/>
          <w:szCs w:val="22"/>
        </w:rPr>
        <w:t xml:space="preserve"> area utiliz</w:t>
      </w:r>
      <w:r w:rsidRPr="001E47AD">
        <w:rPr>
          <w:sz w:val="22"/>
          <w:szCs w:val="22"/>
        </w:rPr>
        <w:t xml:space="preserve">ing the median of ROCI </w:t>
      </w:r>
      <w:r w:rsidR="00786DF8" w:rsidRPr="001E47AD">
        <w:rPr>
          <w:sz w:val="22"/>
          <w:szCs w:val="22"/>
        </w:rPr>
        <w:t>for</w:t>
      </w:r>
      <w:r w:rsidRPr="001E47AD">
        <w:rPr>
          <w:sz w:val="22"/>
          <w:szCs w:val="22"/>
        </w:rPr>
        <w:t xml:space="preserve"> each sample hurricane event (230 miles for Ike, 345 miles for Irene, 483 miles for Sandy, and 207 miles for Arthur).</w:t>
      </w:r>
    </w:p>
    <w:p w14:paraId="3BE3665E" w14:textId="03DCCA92" w:rsidR="005D5F90" w:rsidRPr="001E47AD" w:rsidRDefault="005D5F90" w:rsidP="00BA11AA">
      <w:pPr>
        <w:spacing w:before="120" w:after="120" w:line="480" w:lineRule="auto"/>
        <w:ind w:firstLine="720"/>
        <w:contextualSpacing/>
        <w:jc w:val="both"/>
        <w:rPr>
          <w:sz w:val="22"/>
          <w:szCs w:val="22"/>
        </w:rPr>
      </w:pPr>
      <w:r w:rsidRPr="001E47AD">
        <w:rPr>
          <w:b/>
          <w:noProof/>
          <w:sz w:val="22"/>
          <w:szCs w:val="22"/>
        </w:rPr>
        <w:t xml:space="preserve">Event </w:t>
      </w:r>
      <w:r w:rsidR="006E217D" w:rsidRPr="001E47AD">
        <w:rPr>
          <w:b/>
          <w:noProof/>
          <w:sz w:val="22"/>
          <w:szCs w:val="22"/>
        </w:rPr>
        <w:t>c</w:t>
      </w:r>
      <w:r w:rsidRPr="001E47AD">
        <w:rPr>
          <w:b/>
          <w:noProof/>
          <w:sz w:val="22"/>
          <w:szCs w:val="22"/>
        </w:rPr>
        <w:t>lustering</w:t>
      </w:r>
      <w:r w:rsidR="006E217D" w:rsidRPr="001E47AD">
        <w:rPr>
          <w:b/>
          <w:noProof/>
          <w:sz w:val="22"/>
          <w:szCs w:val="22"/>
        </w:rPr>
        <w:t>.</w:t>
      </w:r>
      <w:r w:rsidRPr="001E47AD">
        <w:rPr>
          <w:sz w:val="22"/>
          <w:szCs w:val="22"/>
        </w:rPr>
        <w:t xml:space="preserve"> </w:t>
      </w:r>
      <w:r w:rsidR="008272D1" w:rsidRPr="001E47AD">
        <w:rPr>
          <w:sz w:val="22"/>
          <w:szCs w:val="22"/>
        </w:rPr>
        <w:t>W</w:t>
      </w:r>
      <w:r w:rsidRPr="001E47AD">
        <w:rPr>
          <w:sz w:val="22"/>
          <w:szCs w:val="22"/>
        </w:rPr>
        <w:t xml:space="preserve">e address potential concerns over event clustering </w:t>
      </w:r>
      <w:r w:rsidR="00786DF8" w:rsidRPr="001E47AD">
        <w:rPr>
          <w:noProof/>
          <w:sz w:val="22"/>
          <w:szCs w:val="22"/>
        </w:rPr>
        <w:t>in</w:t>
      </w:r>
      <w:r w:rsidRPr="001E47AD">
        <w:rPr>
          <w:sz w:val="22"/>
          <w:szCs w:val="22"/>
        </w:rPr>
        <w:t xml:space="preserve"> apply</w:t>
      </w:r>
      <w:r w:rsidR="00786DF8" w:rsidRPr="001E47AD">
        <w:rPr>
          <w:sz w:val="22"/>
          <w:szCs w:val="22"/>
        </w:rPr>
        <w:t>ing</w:t>
      </w:r>
      <w:r w:rsidRPr="001E47AD">
        <w:rPr>
          <w:sz w:val="22"/>
          <w:szCs w:val="22"/>
        </w:rPr>
        <w:t xml:space="preserve"> </w:t>
      </w:r>
      <w:r w:rsidR="00786DF8" w:rsidRPr="001E47AD">
        <w:rPr>
          <w:sz w:val="22"/>
          <w:szCs w:val="22"/>
        </w:rPr>
        <w:t>the</w:t>
      </w:r>
      <w:r w:rsidR="008D6294" w:rsidRPr="001E47AD">
        <w:rPr>
          <w:sz w:val="22"/>
          <w:szCs w:val="22"/>
        </w:rPr>
        <w:t xml:space="preserve"> </w:t>
      </w:r>
      <w:r w:rsidRPr="001E47AD">
        <w:rPr>
          <w:noProof/>
          <w:sz w:val="22"/>
          <w:szCs w:val="22"/>
        </w:rPr>
        <w:t>event</w:t>
      </w:r>
      <w:r w:rsidR="00C2269A" w:rsidRPr="001E47AD">
        <w:rPr>
          <w:sz w:val="22"/>
          <w:szCs w:val="22"/>
        </w:rPr>
        <w:t xml:space="preserve"> analysis</w:t>
      </w:r>
      <w:r w:rsidRPr="001E47AD">
        <w:rPr>
          <w:sz w:val="22"/>
          <w:szCs w:val="22"/>
        </w:rPr>
        <w:t xml:space="preserve"> method. Event clustering may </w:t>
      </w:r>
      <w:r w:rsidR="00D124E4" w:rsidRPr="001E47AD">
        <w:rPr>
          <w:sz w:val="22"/>
          <w:szCs w:val="22"/>
        </w:rPr>
        <w:t>impact</w:t>
      </w:r>
      <w:r w:rsidRPr="001E47AD">
        <w:rPr>
          <w:sz w:val="22"/>
          <w:szCs w:val="22"/>
        </w:rPr>
        <w:t xml:space="preserve"> the independence assumption of the variables of interest (Brown </w:t>
      </w:r>
      <w:r w:rsidR="007F3F9D" w:rsidRPr="001E47AD">
        <w:rPr>
          <w:sz w:val="22"/>
          <w:szCs w:val="22"/>
          <w:lang w:eastAsia="zh-CN"/>
        </w:rPr>
        <w:t>and</w:t>
      </w:r>
      <w:r w:rsidRPr="001E47AD">
        <w:rPr>
          <w:sz w:val="22"/>
          <w:szCs w:val="22"/>
        </w:rPr>
        <w:t xml:space="preserve"> Warner 1985). A</w:t>
      </w:r>
      <w:r w:rsidR="001B55E9" w:rsidRPr="001E47AD">
        <w:rPr>
          <w:sz w:val="22"/>
          <w:szCs w:val="22"/>
        </w:rPr>
        <w:t>s two successive hurricane event</w:t>
      </w:r>
      <w:r w:rsidRPr="001E47AD">
        <w:rPr>
          <w:sz w:val="22"/>
          <w:szCs w:val="22"/>
        </w:rPr>
        <w:t>s may affect the same geographic areas within a short time window, such event clustering may contaminate the variables of interest (</w:t>
      </w:r>
      <w:r w:rsidR="0098790E" w:rsidRPr="001E47AD">
        <w:rPr>
          <w:sz w:val="22"/>
          <w:szCs w:val="22"/>
        </w:rPr>
        <w:t>namely</w:t>
      </w:r>
      <w:r w:rsidRPr="001E47AD">
        <w:rPr>
          <w:sz w:val="22"/>
          <w:szCs w:val="22"/>
        </w:rPr>
        <w:t>, consumer stockpiling propensity and in-store product availability). For example, Ike made landfall on September 13</w:t>
      </w:r>
      <w:r w:rsidR="008272D1" w:rsidRPr="001E47AD">
        <w:rPr>
          <w:sz w:val="22"/>
          <w:szCs w:val="22"/>
        </w:rPr>
        <w:t>,</w:t>
      </w:r>
      <w:r w:rsidR="009E0C71" w:rsidRPr="001E47AD">
        <w:rPr>
          <w:sz w:val="22"/>
          <w:szCs w:val="22"/>
        </w:rPr>
        <w:t xml:space="preserve"> </w:t>
      </w:r>
      <w:r w:rsidRPr="001E47AD">
        <w:rPr>
          <w:sz w:val="22"/>
          <w:szCs w:val="22"/>
        </w:rPr>
        <w:t>2008, while Gustav made landfall</w:t>
      </w:r>
      <w:r w:rsidR="008762B0" w:rsidRPr="001E47AD">
        <w:rPr>
          <w:sz w:val="22"/>
          <w:szCs w:val="22"/>
        </w:rPr>
        <w:t xml:space="preserve"> 12 days prior,</w:t>
      </w:r>
      <w:r w:rsidRPr="001E47AD">
        <w:rPr>
          <w:sz w:val="22"/>
          <w:szCs w:val="22"/>
        </w:rPr>
        <w:t xml:space="preserve"> on September 1</w:t>
      </w:r>
      <w:r w:rsidR="008272D1" w:rsidRPr="001E47AD">
        <w:rPr>
          <w:sz w:val="22"/>
          <w:szCs w:val="22"/>
        </w:rPr>
        <w:t>,</w:t>
      </w:r>
      <w:r w:rsidR="009E0C71" w:rsidRPr="001E47AD">
        <w:rPr>
          <w:sz w:val="22"/>
          <w:szCs w:val="22"/>
        </w:rPr>
        <w:t xml:space="preserve"> </w:t>
      </w:r>
      <w:r w:rsidRPr="001E47AD">
        <w:rPr>
          <w:sz w:val="22"/>
          <w:szCs w:val="22"/>
        </w:rPr>
        <w:t>2008. Among the fourteen states affected by Ike, four states</w:t>
      </w:r>
      <w:r w:rsidR="00D124E4" w:rsidRPr="001E47AD">
        <w:rPr>
          <w:sz w:val="22"/>
          <w:szCs w:val="22"/>
        </w:rPr>
        <w:t xml:space="preserve"> (FL, LA, TX, and AR) were also </w:t>
      </w:r>
      <w:r w:rsidRPr="001E47AD">
        <w:rPr>
          <w:sz w:val="22"/>
          <w:szCs w:val="22"/>
        </w:rPr>
        <w:t xml:space="preserve">affected by Gustav. </w:t>
      </w:r>
      <w:r w:rsidR="0098790E" w:rsidRPr="001E47AD">
        <w:rPr>
          <w:sz w:val="22"/>
          <w:szCs w:val="22"/>
        </w:rPr>
        <w:t>Using data from stores in t</w:t>
      </w:r>
      <w:r w:rsidRPr="001E47AD">
        <w:rPr>
          <w:sz w:val="22"/>
          <w:szCs w:val="22"/>
        </w:rPr>
        <w:t>he overlapp</w:t>
      </w:r>
      <w:r w:rsidR="004868E2" w:rsidRPr="001E47AD">
        <w:rPr>
          <w:sz w:val="22"/>
          <w:szCs w:val="22"/>
        </w:rPr>
        <w:t>ing</w:t>
      </w:r>
      <w:r w:rsidRPr="001E47AD">
        <w:rPr>
          <w:sz w:val="22"/>
          <w:szCs w:val="22"/>
        </w:rPr>
        <w:t xml:space="preserve"> area affected by the two hurricane</w:t>
      </w:r>
      <w:r w:rsidR="00686045" w:rsidRPr="001E47AD">
        <w:rPr>
          <w:sz w:val="22"/>
          <w:szCs w:val="22"/>
        </w:rPr>
        <w:t>s</w:t>
      </w:r>
      <w:r w:rsidRPr="001E47AD">
        <w:rPr>
          <w:sz w:val="22"/>
          <w:szCs w:val="22"/>
        </w:rPr>
        <w:t xml:space="preserve"> can bias the estimation </w:t>
      </w:r>
      <w:r w:rsidRPr="001E47AD">
        <w:rPr>
          <w:noProof/>
          <w:sz w:val="22"/>
          <w:szCs w:val="22"/>
        </w:rPr>
        <w:t>with respect to</w:t>
      </w:r>
      <w:r w:rsidRPr="001E47AD">
        <w:rPr>
          <w:sz w:val="22"/>
          <w:szCs w:val="22"/>
        </w:rPr>
        <w:t xml:space="preserve"> </w:t>
      </w:r>
      <w:r w:rsidRPr="001E47AD">
        <w:rPr>
          <w:noProof/>
          <w:sz w:val="22"/>
          <w:szCs w:val="22"/>
        </w:rPr>
        <w:t>individual</w:t>
      </w:r>
      <w:r w:rsidRPr="001E47AD">
        <w:rPr>
          <w:sz w:val="22"/>
          <w:szCs w:val="22"/>
        </w:rPr>
        <w:t xml:space="preserve"> hurricane event</w:t>
      </w:r>
      <w:r w:rsidR="003E5D97" w:rsidRPr="001E47AD">
        <w:rPr>
          <w:sz w:val="22"/>
          <w:szCs w:val="22"/>
        </w:rPr>
        <w:t>s</w:t>
      </w:r>
      <w:r w:rsidRPr="001E47AD">
        <w:rPr>
          <w:sz w:val="22"/>
          <w:szCs w:val="22"/>
        </w:rPr>
        <w:t xml:space="preserve">. Thus, for hurricane Ike, we do not </w:t>
      </w:r>
      <w:r w:rsidR="001A475E" w:rsidRPr="001E47AD">
        <w:rPr>
          <w:sz w:val="22"/>
          <w:szCs w:val="22"/>
        </w:rPr>
        <w:t>incorporate the</w:t>
      </w:r>
      <w:r w:rsidRPr="001E47AD">
        <w:rPr>
          <w:sz w:val="22"/>
          <w:szCs w:val="22"/>
        </w:rPr>
        <w:t xml:space="preserve"> four states with event</w:t>
      </w:r>
      <w:r w:rsidR="00686045" w:rsidRPr="001E47AD">
        <w:rPr>
          <w:sz w:val="22"/>
          <w:szCs w:val="22"/>
        </w:rPr>
        <w:t>-</w:t>
      </w:r>
      <w:r w:rsidRPr="001E47AD">
        <w:rPr>
          <w:sz w:val="22"/>
          <w:szCs w:val="22"/>
        </w:rPr>
        <w:t xml:space="preserve">clustering concerns. In this study, Gustav </w:t>
      </w:r>
      <w:r w:rsidRPr="001E47AD">
        <w:rPr>
          <w:noProof/>
          <w:sz w:val="22"/>
          <w:szCs w:val="22"/>
        </w:rPr>
        <w:t>was not included</w:t>
      </w:r>
      <w:r w:rsidR="005907A8" w:rsidRPr="001E47AD">
        <w:rPr>
          <w:sz w:val="22"/>
          <w:szCs w:val="22"/>
        </w:rPr>
        <w:t xml:space="preserve"> in our sample</w:t>
      </w:r>
      <w:r w:rsidRPr="001E47AD">
        <w:rPr>
          <w:sz w:val="22"/>
          <w:szCs w:val="22"/>
        </w:rPr>
        <w:t>s due to its l</w:t>
      </w:r>
      <w:r w:rsidR="00AF1771" w:rsidRPr="001E47AD">
        <w:rPr>
          <w:sz w:val="22"/>
          <w:szCs w:val="22"/>
        </w:rPr>
        <w:t>imited-</w:t>
      </w:r>
      <w:r w:rsidR="00026A99" w:rsidRPr="001E47AD">
        <w:rPr>
          <w:sz w:val="22"/>
          <w:szCs w:val="22"/>
        </w:rPr>
        <w:t xml:space="preserve">ranging </w:t>
      </w:r>
      <w:r w:rsidRPr="001E47AD">
        <w:rPr>
          <w:sz w:val="22"/>
          <w:szCs w:val="22"/>
        </w:rPr>
        <w:t>impact</w:t>
      </w:r>
      <w:r w:rsidR="00026A99" w:rsidRPr="001E47AD">
        <w:rPr>
          <w:sz w:val="22"/>
          <w:szCs w:val="22"/>
        </w:rPr>
        <w:t xml:space="preserve"> within the </w:t>
      </w:r>
      <w:r w:rsidR="00026A99" w:rsidRPr="001E47AD">
        <w:rPr>
          <w:noProof/>
          <w:sz w:val="22"/>
          <w:szCs w:val="22"/>
        </w:rPr>
        <w:t>cont</w:t>
      </w:r>
      <w:r w:rsidR="002D56C3" w:rsidRPr="001E47AD">
        <w:rPr>
          <w:noProof/>
          <w:sz w:val="22"/>
          <w:szCs w:val="22"/>
        </w:rPr>
        <w:t>inent</w:t>
      </w:r>
      <w:r w:rsidR="00026A99" w:rsidRPr="001E47AD">
        <w:rPr>
          <w:noProof/>
          <w:sz w:val="22"/>
          <w:szCs w:val="22"/>
        </w:rPr>
        <w:t>al</w:t>
      </w:r>
      <w:r w:rsidR="00026A99" w:rsidRPr="001E47AD">
        <w:rPr>
          <w:sz w:val="22"/>
          <w:szCs w:val="22"/>
        </w:rPr>
        <w:t xml:space="preserve"> U.S</w:t>
      </w:r>
      <w:r w:rsidRPr="001E47AD">
        <w:rPr>
          <w:sz w:val="22"/>
          <w:szCs w:val="22"/>
        </w:rPr>
        <w:t>.</w:t>
      </w:r>
    </w:p>
    <w:p w14:paraId="1DDAF346" w14:textId="1A1EF646" w:rsidR="00927309" w:rsidRPr="001E47AD" w:rsidRDefault="00927309" w:rsidP="00596F39">
      <w:pPr>
        <w:pStyle w:val="Heading2"/>
      </w:pPr>
      <w:bookmarkStart w:id="25" w:name="_Toc520380473"/>
      <w:r w:rsidRPr="001E47AD">
        <w:t xml:space="preserve">Event </w:t>
      </w:r>
      <w:bookmarkEnd w:id="25"/>
      <w:r w:rsidR="00E75DE1" w:rsidRPr="001E47AD">
        <w:t>Analy</w:t>
      </w:r>
      <w:r w:rsidR="003F3062" w:rsidRPr="001E47AD">
        <w:t>sis</w:t>
      </w:r>
    </w:p>
    <w:p w14:paraId="73B39713" w14:textId="22FC47B4" w:rsidR="00BB7D55" w:rsidRPr="001E47AD" w:rsidRDefault="00B01472" w:rsidP="00BB7D55">
      <w:pPr>
        <w:spacing w:before="120" w:after="120" w:line="480" w:lineRule="auto"/>
        <w:contextualSpacing/>
        <w:jc w:val="both"/>
        <w:rPr>
          <w:sz w:val="22"/>
          <w:szCs w:val="22"/>
          <w:lang w:eastAsia="zh-CN"/>
        </w:rPr>
      </w:pPr>
      <w:r w:rsidRPr="001E47AD">
        <w:rPr>
          <w:sz w:val="22"/>
          <w:szCs w:val="22"/>
        </w:rPr>
        <w:t>W</w:t>
      </w:r>
      <w:r w:rsidR="00AC6B22" w:rsidRPr="001E47AD">
        <w:rPr>
          <w:sz w:val="22"/>
          <w:szCs w:val="22"/>
        </w:rPr>
        <w:t>e u</w:t>
      </w:r>
      <w:r w:rsidR="002F2C54" w:rsidRPr="001E47AD">
        <w:rPr>
          <w:sz w:val="22"/>
          <w:szCs w:val="22"/>
        </w:rPr>
        <w:t>se a</w:t>
      </w:r>
      <w:r w:rsidR="00AC6B22" w:rsidRPr="001E47AD">
        <w:rPr>
          <w:sz w:val="22"/>
          <w:szCs w:val="22"/>
        </w:rPr>
        <w:t xml:space="preserve"> natural experiment</w:t>
      </w:r>
      <w:r w:rsidR="00927309" w:rsidRPr="001E47AD">
        <w:rPr>
          <w:sz w:val="22"/>
          <w:szCs w:val="22"/>
        </w:rPr>
        <w:t xml:space="preserve"> approach to estimate the two variables of interest: consumer stockpiling propensity </w:t>
      </w:r>
      <w:r w:rsidR="00EC5298" w:rsidRPr="001E47AD">
        <w:rPr>
          <w:sz w:val="22"/>
          <w:szCs w:val="22"/>
        </w:rPr>
        <w:t xml:space="preserve">before hurricane events </w:t>
      </w:r>
      <w:r w:rsidR="00927309" w:rsidRPr="001E47AD">
        <w:rPr>
          <w:sz w:val="22"/>
          <w:szCs w:val="22"/>
        </w:rPr>
        <w:t>and in-store product availability</w:t>
      </w:r>
      <w:r w:rsidR="00EC5298" w:rsidRPr="001E47AD">
        <w:rPr>
          <w:sz w:val="22"/>
          <w:szCs w:val="22"/>
        </w:rPr>
        <w:t xml:space="preserve"> </w:t>
      </w:r>
      <w:r w:rsidR="00AD54C1" w:rsidRPr="001E47AD">
        <w:rPr>
          <w:sz w:val="22"/>
          <w:szCs w:val="22"/>
        </w:rPr>
        <w:t>after hurricane events</w:t>
      </w:r>
      <w:r w:rsidR="00927309" w:rsidRPr="001E47AD">
        <w:rPr>
          <w:sz w:val="22"/>
          <w:szCs w:val="22"/>
        </w:rPr>
        <w:t>.</w:t>
      </w:r>
      <w:r w:rsidR="00802D33" w:rsidRPr="001E47AD">
        <w:rPr>
          <w:sz w:val="22"/>
          <w:szCs w:val="22"/>
        </w:rPr>
        <w:t xml:space="preserve"> </w:t>
      </w:r>
      <w:r w:rsidR="00927309" w:rsidRPr="001E47AD">
        <w:rPr>
          <w:noProof/>
          <w:sz w:val="22"/>
          <w:szCs w:val="22"/>
        </w:rPr>
        <w:t xml:space="preserve">To </w:t>
      </w:r>
      <w:r w:rsidR="00927309" w:rsidRPr="001E47AD">
        <w:rPr>
          <w:sz w:val="22"/>
          <w:szCs w:val="22"/>
        </w:rPr>
        <w:t xml:space="preserve">match the </w:t>
      </w:r>
      <w:r w:rsidR="00927309" w:rsidRPr="001E47AD">
        <w:rPr>
          <w:sz w:val="22"/>
          <w:szCs w:val="22"/>
        </w:rPr>
        <w:lastRenderedPageBreak/>
        <w:t xml:space="preserve">retail-level data with the hurricane event data, we define four </w:t>
      </w:r>
      <w:r w:rsidR="00AA4EEB" w:rsidRPr="001E47AD">
        <w:rPr>
          <w:sz w:val="22"/>
          <w:szCs w:val="22"/>
        </w:rPr>
        <w:t xml:space="preserve">hurricane event </w:t>
      </w:r>
      <w:r w:rsidR="00927309" w:rsidRPr="001E47AD">
        <w:rPr>
          <w:sz w:val="22"/>
          <w:szCs w:val="22"/>
        </w:rPr>
        <w:t xml:space="preserve">periods for each </w:t>
      </w:r>
      <w:r w:rsidR="00AA4EEB" w:rsidRPr="001E47AD">
        <w:rPr>
          <w:sz w:val="22"/>
          <w:szCs w:val="22"/>
        </w:rPr>
        <w:t>store outlet</w:t>
      </w:r>
      <w:r w:rsidR="00927309" w:rsidRPr="001E47AD">
        <w:rPr>
          <w:sz w:val="22"/>
          <w:szCs w:val="22"/>
        </w:rPr>
        <w:t xml:space="preserve"> as follows based on our weekly </w:t>
      </w:r>
      <w:r w:rsidR="0062608C" w:rsidRPr="001E47AD">
        <w:rPr>
          <w:sz w:val="22"/>
          <w:szCs w:val="22"/>
        </w:rPr>
        <w:t xml:space="preserve">calendar (i.e., Sunday through Saturday) </w:t>
      </w:r>
      <w:r w:rsidR="002F2C54" w:rsidRPr="001E47AD">
        <w:rPr>
          <w:sz w:val="22"/>
          <w:szCs w:val="22"/>
        </w:rPr>
        <w:t xml:space="preserve">of </w:t>
      </w:r>
      <w:r w:rsidR="00927309" w:rsidRPr="001E47AD">
        <w:rPr>
          <w:sz w:val="22"/>
          <w:szCs w:val="22"/>
        </w:rPr>
        <w:t>retail data availability</w:t>
      </w:r>
      <w:r w:rsidR="00E23215" w:rsidRPr="001E47AD">
        <w:rPr>
          <w:sz w:val="22"/>
          <w:szCs w:val="22"/>
        </w:rPr>
        <w:t>.</w:t>
      </w:r>
      <w:r w:rsidR="00BB7D55" w:rsidRPr="001E47AD">
        <w:rPr>
          <w:sz w:val="22"/>
          <w:szCs w:val="22"/>
          <w:lang w:eastAsia="zh-CN"/>
        </w:rPr>
        <w:t xml:space="preserve"> </w:t>
      </w:r>
    </w:p>
    <w:p w14:paraId="4BB79B27" w14:textId="76D155D6" w:rsidR="00927309" w:rsidRPr="001E47AD" w:rsidRDefault="00BB7D55" w:rsidP="003D0220">
      <w:pPr>
        <w:spacing w:before="120" w:after="120" w:line="480" w:lineRule="auto"/>
        <w:ind w:firstLine="720"/>
        <w:contextualSpacing/>
        <w:jc w:val="both"/>
      </w:pPr>
      <w:r w:rsidRPr="001E47AD">
        <w:rPr>
          <w:noProof/>
          <w:sz w:val="22"/>
          <w:szCs w:val="22"/>
          <w:lang w:eastAsia="zh-CN"/>
        </w:rPr>
        <w:t>A</w:t>
      </w:r>
      <w:r w:rsidRPr="001E47AD">
        <w:rPr>
          <w:noProof/>
          <w:sz w:val="22"/>
          <w:szCs w:val="22"/>
        </w:rPr>
        <w:t xml:space="preserve"> hurricane can be tracked for around two weeks from formation to dissipation. </w:t>
      </w:r>
      <w:r w:rsidR="00CF0454" w:rsidRPr="001E47AD">
        <w:rPr>
          <w:sz w:val="22"/>
          <w:szCs w:val="22"/>
        </w:rPr>
        <w:t xml:space="preserve">We split this event duration into two periods: an EARLY event week and a LATE event week. </w:t>
      </w:r>
      <w:r w:rsidR="00C472B7" w:rsidRPr="001E47AD">
        <w:rPr>
          <w:sz w:val="22"/>
          <w:szCs w:val="22"/>
        </w:rPr>
        <w:t>W</w:t>
      </w:r>
      <w:r w:rsidR="001753AE" w:rsidRPr="001E47AD">
        <w:rPr>
          <w:noProof/>
          <w:sz w:val="22"/>
          <w:szCs w:val="22"/>
        </w:rPr>
        <w:t xml:space="preserve">e </w:t>
      </w:r>
      <w:r w:rsidRPr="001E47AD">
        <w:rPr>
          <w:noProof/>
          <w:sz w:val="22"/>
          <w:szCs w:val="22"/>
        </w:rPr>
        <w:t>identify</w:t>
      </w:r>
      <w:r w:rsidR="000B6DAF" w:rsidRPr="001E47AD">
        <w:rPr>
          <w:noProof/>
          <w:sz w:val="22"/>
          <w:szCs w:val="22"/>
        </w:rPr>
        <w:t xml:space="preserve"> the</w:t>
      </w:r>
      <w:r w:rsidRPr="001E47AD">
        <w:rPr>
          <w:noProof/>
          <w:sz w:val="22"/>
          <w:szCs w:val="22"/>
        </w:rPr>
        <w:t xml:space="preserve"> </w:t>
      </w:r>
      <w:r w:rsidR="00A94CFC" w:rsidRPr="001E47AD">
        <w:rPr>
          <w:noProof/>
          <w:sz w:val="22"/>
          <w:szCs w:val="22"/>
        </w:rPr>
        <w:t>INFLUENCE</w:t>
      </w:r>
      <w:r w:rsidR="002A54EC" w:rsidRPr="001E47AD">
        <w:rPr>
          <w:noProof/>
          <w:sz w:val="22"/>
          <w:szCs w:val="22"/>
        </w:rPr>
        <w:t xml:space="preserve"> date</w:t>
      </w:r>
      <w:r w:rsidRPr="001E47AD">
        <w:rPr>
          <w:noProof/>
          <w:sz w:val="22"/>
          <w:szCs w:val="22"/>
        </w:rPr>
        <w:t xml:space="preserve"> for each </w:t>
      </w:r>
      <w:r w:rsidR="00431D73" w:rsidRPr="001E47AD">
        <w:rPr>
          <w:noProof/>
          <w:sz w:val="22"/>
          <w:szCs w:val="22"/>
        </w:rPr>
        <w:t xml:space="preserve">sample </w:t>
      </w:r>
      <w:r w:rsidRPr="001E47AD">
        <w:rPr>
          <w:noProof/>
          <w:sz w:val="22"/>
          <w:szCs w:val="22"/>
        </w:rPr>
        <w:t>store outlet</w:t>
      </w:r>
      <w:r w:rsidR="00C472B7" w:rsidRPr="001E47AD">
        <w:rPr>
          <w:noProof/>
          <w:sz w:val="22"/>
          <w:szCs w:val="22"/>
        </w:rPr>
        <w:t xml:space="preserve"> as</w:t>
      </w:r>
      <w:r w:rsidRPr="001E47AD">
        <w:rPr>
          <w:noProof/>
          <w:sz w:val="22"/>
          <w:szCs w:val="22"/>
        </w:rPr>
        <w:t xml:space="preserve"> </w:t>
      </w:r>
      <w:r w:rsidRPr="001E47AD">
        <w:rPr>
          <w:sz w:val="22"/>
          <w:szCs w:val="22"/>
        </w:rPr>
        <w:t>the date when the hurricane track is in</w:t>
      </w:r>
      <w:r w:rsidR="0006065D" w:rsidRPr="001E47AD">
        <w:rPr>
          <w:sz w:val="22"/>
          <w:szCs w:val="22"/>
        </w:rPr>
        <w:t xml:space="preserve"> closest</w:t>
      </w:r>
      <w:r w:rsidRPr="001E47AD">
        <w:rPr>
          <w:sz w:val="22"/>
          <w:szCs w:val="22"/>
        </w:rPr>
        <w:t xml:space="preserve"> proximity to the store in the observation</w:t>
      </w:r>
      <w:r w:rsidRPr="001E47AD">
        <w:rPr>
          <w:noProof/>
          <w:sz w:val="22"/>
          <w:szCs w:val="22"/>
        </w:rPr>
        <w:t xml:space="preserve">. </w:t>
      </w:r>
      <w:r w:rsidR="00927309" w:rsidRPr="001E47AD">
        <w:rPr>
          <w:sz w:val="22"/>
          <w:szCs w:val="22"/>
        </w:rPr>
        <w:t xml:space="preserve">The EARLY event </w:t>
      </w:r>
      <w:r w:rsidR="007E6BEC" w:rsidRPr="001E47AD">
        <w:rPr>
          <w:sz w:val="22"/>
          <w:szCs w:val="22"/>
        </w:rPr>
        <w:t xml:space="preserve">week </w:t>
      </w:r>
      <w:r w:rsidR="0062608C" w:rsidRPr="001E47AD">
        <w:rPr>
          <w:sz w:val="22"/>
          <w:szCs w:val="22"/>
        </w:rPr>
        <w:t xml:space="preserve">is a calendar </w:t>
      </w:r>
      <w:r w:rsidR="00927309" w:rsidRPr="001E47AD">
        <w:rPr>
          <w:sz w:val="22"/>
          <w:szCs w:val="22"/>
        </w:rPr>
        <w:t>week</w:t>
      </w:r>
      <w:r w:rsidR="0062608C" w:rsidRPr="001E47AD">
        <w:rPr>
          <w:sz w:val="22"/>
          <w:szCs w:val="22"/>
        </w:rPr>
        <w:t xml:space="preserve"> that </w:t>
      </w:r>
      <w:r w:rsidR="00927309" w:rsidRPr="001E47AD">
        <w:rPr>
          <w:sz w:val="22"/>
          <w:szCs w:val="22"/>
        </w:rPr>
        <w:t>contains at least f</w:t>
      </w:r>
      <w:r w:rsidR="007E6BEC" w:rsidRPr="001E47AD">
        <w:rPr>
          <w:sz w:val="22"/>
          <w:szCs w:val="22"/>
        </w:rPr>
        <w:t>our</w:t>
      </w:r>
      <w:r w:rsidR="00927309" w:rsidRPr="001E47AD">
        <w:rPr>
          <w:sz w:val="22"/>
          <w:szCs w:val="22"/>
        </w:rPr>
        <w:t xml:space="preserve"> days before the </w:t>
      </w:r>
      <w:r w:rsidR="00A94CFC" w:rsidRPr="001E47AD">
        <w:rPr>
          <w:sz w:val="22"/>
          <w:szCs w:val="22"/>
        </w:rPr>
        <w:t>INFLUENCE</w:t>
      </w:r>
      <w:r w:rsidR="002A54EC" w:rsidRPr="001E47AD">
        <w:rPr>
          <w:sz w:val="22"/>
          <w:szCs w:val="22"/>
        </w:rPr>
        <w:t xml:space="preserve"> date</w:t>
      </w:r>
      <w:r w:rsidR="007E6BEC" w:rsidRPr="001E47AD">
        <w:rPr>
          <w:sz w:val="22"/>
          <w:szCs w:val="22"/>
        </w:rPr>
        <w:t xml:space="preserve"> (not including the </w:t>
      </w:r>
      <w:r w:rsidR="002A54EC" w:rsidRPr="001E47AD">
        <w:rPr>
          <w:sz w:val="22"/>
          <w:szCs w:val="22"/>
        </w:rPr>
        <w:t>INFLUENCE date</w:t>
      </w:r>
      <w:r w:rsidR="007E6BEC" w:rsidRPr="001E47AD">
        <w:rPr>
          <w:sz w:val="22"/>
          <w:szCs w:val="22"/>
        </w:rPr>
        <w:t>)</w:t>
      </w:r>
      <w:r w:rsidR="00927309" w:rsidRPr="001E47AD">
        <w:rPr>
          <w:sz w:val="22"/>
          <w:szCs w:val="22"/>
        </w:rPr>
        <w:t>. The LATE event week is the w</w:t>
      </w:r>
      <w:r w:rsidR="003D0220" w:rsidRPr="001E47AD">
        <w:rPr>
          <w:sz w:val="22"/>
          <w:szCs w:val="22"/>
        </w:rPr>
        <w:t xml:space="preserve">eek after the EARLY event week. </w:t>
      </w:r>
      <w:r w:rsidR="00927309" w:rsidRPr="001E47AD">
        <w:rPr>
          <w:sz w:val="22"/>
          <w:szCs w:val="22"/>
        </w:rPr>
        <w:t xml:space="preserve">We then define a PRE event period </w:t>
      </w:r>
      <w:r w:rsidR="00C472B7" w:rsidRPr="001E47AD">
        <w:rPr>
          <w:sz w:val="22"/>
          <w:szCs w:val="22"/>
        </w:rPr>
        <w:t>as the</w:t>
      </w:r>
      <w:r w:rsidR="00927309" w:rsidRPr="001E47AD">
        <w:rPr>
          <w:sz w:val="22"/>
          <w:szCs w:val="22"/>
        </w:rPr>
        <w:t xml:space="preserve"> </w:t>
      </w:r>
      <w:r w:rsidR="00A6103A" w:rsidRPr="001E47AD">
        <w:rPr>
          <w:sz w:val="22"/>
          <w:szCs w:val="22"/>
          <w:lang w:eastAsia="zh-CN"/>
        </w:rPr>
        <w:t xml:space="preserve">four </w:t>
      </w:r>
      <w:r w:rsidR="00927309" w:rsidRPr="001E47AD">
        <w:rPr>
          <w:sz w:val="22"/>
          <w:szCs w:val="22"/>
        </w:rPr>
        <w:t xml:space="preserve">weeks preceding the </w:t>
      </w:r>
      <w:r w:rsidR="00927309" w:rsidRPr="001E47AD">
        <w:rPr>
          <w:noProof/>
          <w:sz w:val="22"/>
          <w:szCs w:val="22"/>
        </w:rPr>
        <w:t>EARLY</w:t>
      </w:r>
      <w:r w:rsidR="00927309" w:rsidRPr="001E47AD">
        <w:rPr>
          <w:sz w:val="22"/>
          <w:szCs w:val="22"/>
        </w:rPr>
        <w:t xml:space="preserve"> </w:t>
      </w:r>
      <w:r w:rsidR="00927309" w:rsidRPr="001E47AD">
        <w:rPr>
          <w:noProof/>
          <w:sz w:val="22"/>
          <w:szCs w:val="22"/>
        </w:rPr>
        <w:t>event</w:t>
      </w:r>
      <w:r w:rsidR="00927309" w:rsidRPr="001E47AD">
        <w:rPr>
          <w:sz w:val="22"/>
          <w:szCs w:val="22"/>
        </w:rPr>
        <w:t xml:space="preserve"> week and a POST</w:t>
      </w:r>
      <w:r w:rsidR="00D82ABD" w:rsidRPr="001E47AD">
        <w:rPr>
          <w:sz w:val="22"/>
          <w:szCs w:val="22"/>
        </w:rPr>
        <w:t xml:space="preserve"> </w:t>
      </w:r>
      <w:r w:rsidR="00927309" w:rsidRPr="001E47AD">
        <w:rPr>
          <w:sz w:val="22"/>
          <w:szCs w:val="22"/>
        </w:rPr>
        <w:t xml:space="preserve">event period </w:t>
      </w:r>
      <w:r w:rsidR="00C472B7" w:rsidRPr="001E47AD">
        <w:rPr>
          <w:sz w:val="22"/>
          <w:szCs w:val="22"/>
        </w:rPr>
        <w:t>as the</w:t>
      </w:r>
      <w:r w:rsidR="00927309" w:rsidRPr="001E47AD">
        <w:rPr>
          <w:sz w:val="22"/>
          <w:szCs w:val="22"/>
        </w:rPr>
        <w:t xml:space="preserve"> </w:t>
      </w:r>
      <w:r w:rsidR="00A6103A" w:rsidRPr="001E47AD">
        <w:rPr>
          <w:sz w:val="22"/>
          <w:szCs w:val="22"/>
          <w:lang w:eastAsia="zh-CN"/>
        </w:rPr>
        <w:t xml:space="preserve">four </w:t>
      </w:r>
      <w:r w:rsidR="00927309" w:rsidRPr="001E47AD">
        <w:rPr>
          <w:sz w:val="22"/>
          <w:szCs w:val="22"/>
        </w:rPr>
        <w:t>weeks following the LATE event week</w:t>
      </w:r>
      <w:r w:rsidR="00F23D57" w:rsidRPr="001E47AD">
        <w:rPr>
          <w:sz w:val="22"/>
          <w:szCs w:val="22"/>
        </w:rPr>
        <w:t>.</w:t>
      </w:r>
      <w:r w:rsidR="006C2CA9" w:rsidRPr="001E47AD">
        <w:rPr>
          <w:rStyle w:val="FootnoteReference"/>
          <w:sz w:val="22"/>
          <w:szCs w:val="22"/>
        </w:rPr>
        <w:footnoteReference w:id="5"/>
      </w:r>
      <w:r w:rsidR="006D62D5" w:rsidRPr="001E47AD">
        <w:rPr>
          <w:sz w:val="22"/>
          <w:szCs w:val="22"/>
        </w:rPr>
        <w:t xml:space="preserve"> Us</w:t>
      </w:r>
      <w:r w:rsidR="00927309" w:rsidRPr="001E47AD">
        <w:rPr>
          <w:sz w:val="22"/>
          <w:szCs w:val="22"/>
        </w:rPr>
        <w:t xml:space="preserve">ing the PRE event </w:t>
      </w:r>
      <w:r w:rsidR="004868E2" w:rsidRPr="001E47AD">
        <w:rPr>
          <w:sz w:val="22"/>
          <w:szCs w:val="22"/>
        </w:rPr>
        <w:t>period</w:t>
      </w:r>
      <w:r w:rsidR="00927309" w:rsidRPr="001E47AD">
        <w:rPr>
          <w:sz w:val="22"/>
          <w:szCs w:val="22"/>
        </w:rPr>
        <w:t xml:space="preserve"> as a benchmark, we estimate consumer stockpiling propensity during the EARLY event period and in-store product</w:t>
      </w:r>
      <w:r w:rsidR="00460D66" w:rsidRPr="001E47AD">
        <w:rPr>
          <w:sz w:val="22"/>
          <w:szCs w:val="22"/>
        </w:rPr>
        <w:t xml:space="preserve"> availability during the </w:t>
      </w:r>
      <w:r w:rsidR="00927309" w:rsidRPr="001E47AD">
        <w:rPr>
          <w:sz w:val="22"/>
          <w:szCs w:val="22"/>
        </w:rPr>
        <w:t>LATE and POST event periods.</w:t>
      </w:r>
      <w:r w:rsidR="008A475E" w:rsidRPr="001E47AD">
        <w:rPr>
          <w:rStyle w:val="FootnoteReference"/>
          <w:noProof/>
          <w:sz w:val="22"/>
          <w:szCs w:val="22"/>
        </w:rPr>
        <w:footnoteReference w:id="6"/>
      </w:r>
    </w:p>
    <w:bookmarkStart w:id="26" w:name="_Ref518082898"/>
    <w:bookmarkStart w:id="27" w:name="_Ref528448799"/>
    <w:bookmarkStart w:id="28" w:name="_Ref533969665"/>
    <w:bookmarkStart w:id="29" w:name="_Toc520380513"/>
    <w:p w14:paraId="5DC80CB2" w14:textId="00DEB3C8" w:rsidR="00CF0454" w:rsidRPr="001E47AD" w:rsidRDefault="00AA7EF9" w:rsidP="00B01472">
      <w:pPr>
        <w:spacing w:before="120" w:after="120" w:line="480" w:lineRule="auto"/>
        <w:ind w:firstLine="720"/>
        <w:contextualSpacing/>
        <w:jc w:val="both"/>
        <w:rPr>
          <w:noProof/>
          <w:sz w:val="22"/>
          <w:szCs w:val="22"/>
          <w:lang w:eastAsia="zh-CN"/>
        </w:rPr>
      </w:pPr>
      <w:r w:rsidRPr="001E47AD">
        <w:rPr>
          <w:sz w:val="22"/>
          <w:szCs w:val="22"/>
        </w:rPr>
        <w:fldChar w:fldCharType="begin"/>
      </w:r>
      <w:r w:rsidRPr="001E47AD">
        <w:rPr>
          <w:noProof/>
          <w:sz w:val="22"/>
          <w:szCs w:val="22"/>
        </w:rPr>
        <w:instrText xml:space="preserve"> REF _Ref21905335 \h </w:instrText>
      </w:r>
      <w:r w:rsidR="00F234CE" w:rsidRPr="001E47AD">
        <w:rPr>
          <w:sz w:val="22"/>
          <w:szCs w:val="22"/>
        </w:rPr>
        <w:instrText xml:space="preserve"> \* MERGEFORMAT </w:instrText>
      </w:r>
      <w:r w:rsidRPr="001E47AD">
        <w:rPr>
          <w:sz w:val="22"/>
          <w:szCs w:val="22"/>
        </w:rPr>
      </w:r>
      <w:r w:rsidRPr="001E47AD">
        <w:rPr>
          <w:sz w:val="22"/>
          <w:szCs w:val="22"/>
        </w:rPr>
        <w:fldChar w:fldCharType="separate"/>
      </w:r>
      <w:r w:rsidR="009E3444" w:rsidRPr="001E47AD">
        <w:rPr>
          <w:sz w:val="22"/>
          <w:szCs w:val="22"/>
        </w:rPr>
        <w:t xml:space="preserve">Table </w:t>
      </w:r>
      <w:r w:rsidR="009E3444" w:rsidRPr="001E47AD">
        <w:rPr>
          <w:noProof/>
          <w:sz w:val="22"/>
          <w:szCs w:val="22"/>
        </w:rPr>
        <w:t>1</w:t>
      </w:r>
      <w:r w:rsidRPr="001E47AD">
        <w:rPr>
          <w:sz w:val="22"/>
          <w:szCs w:val="22"/>
        </w:rPr>
        <w:fldChar w:fldCharType="end"/>
      </w:r>
      <w:r w:rsidRPr="001E47AD">
        <w:rPr>
          <w:sz w:val="22"/>
          <w:szCs w:val="22"/>
        </w:rPr>
        <w:t xml:space="preserve"> </w:t>
      </w:r>
      <w:r w:rsidR="00B01472" w:rsidRPr="001E47AD">
        <w:rPr>
          <w:noProof/>
          <w:sz w:val="22"/>
          <w:szCs w:val="22"/>
        </w:rPr>
        <w:t>illustrates</w:t>
      </w:r>
      <w:r w:rsidR="00B01472" w:rsidRPr="001E47AD">
        <w:rPr>
          <w:sz w:val="22"/>
          <w:szCs w:val="22"/>
        </w:rPr>
        <w:t xml:space="preserve"> the </w:t>
      </w:r>
      <w:r w:rsidR="00B01472" w:rsidRPr="001E47AD">
        <w:rPr>
          <w:noProof/>
          <w:sz w:val="22"/>
          <w:szCs w:val="22"/>
        </w:rPr>
        <w:t>event</w:t>
      </w:r>
      <w:r w:rsidR="00B01472" w:rsidRPr="001E47AD">
        <w:rPr>
          <w:sz w:val="22"/>
          <w:szCs w:val="22"/>
        </w:rPr>
        <w:t xml:space="preserve"> periods surrounding the four sample hurricane events</w:t>
      </w:r>
      <w:r w:rsidR="00B01472" w:rsidRPr="001E47AD">
        <w:rPr>
          <w:rFonts w:eastAsia="Calibri"/>
          <w:sz w:val="22"/>
          <w:szCs w:val="22"/>
        </w:rPr>
        <w:t xml:space="preserve">. </w:t>
      </w:r>
      <w:r w:rsidR="00653C61" w:rsidRPr="001E47AD">
        <w:rPr>
          <w:rFonts w:eastAsia="Calibri"/>
          <w:sz w:val="22"/>
          <w:szCs w:val="22"/>
        </w:rPr>
        <w:t>Given the availability of</w:t>
      </w:r>
      <w:r w:rsidR="00CF0454" w:rsidRPr="001E47AD">
        <w:rPr>
          <w:rFonts w:eastAsia="Calibri"/>
          <w:sz w:val="22"/>
          <w:szCs w:val="22"/>
        </w:rPr>
        <w:t xml:space="preserve"> </w:t>
      </w:r>
      <w:r w:rsidR="00C54C67" w:rsidRPr="001E47AD">
        <w:rPr>
          <w:rFonts w:eastAsia="Calibri"/>
          <w:sz w:val="22"/>
          <w:szCs w:val="22"/>
        </w:rPr>
        <w:t xml:space="preserve">the </w:t>
      </w:r>
      <w:r w:rsidR="00CF0454" w:rsidRPr="001E47AD">
        <w:rPr>
          <w:sz w:val="22"/>
          <w:szCs w:val="22"/>
        </w:rPr>
        <w:t>weekly calendar</w:t>
      </w:r>
      <w:r w:rsidR="00653C61" w:rsidRPr="001E47AD">
        <w:rPr>
          <w:sz w:val="22"/>
          <w:szCs w:val="22"/>
        </w:rPr>
        <w:t xml:space="preserve"> retail data,</w:t>
      </w:r>
      <w:r w:rsidR="00CF0454" w:rsidRPr="001E47AD">
        <w:rPr>
          <w:sz w:val="22"/>
          <w:szCs w:val="22"/>
        </w:rPr>
        <w:t xml:space="preserve"> </w:t>
      </w:r>
      <w:r w:rsidR="00653C61" w:rsidRPr="001E47AD">
        <w:rPr>
          <w:sz w:val="22"/>
          <w:szCs w:val="22"/>
        </w:rPr>
        <w:t>t</w:t>
      </w:r>
      <w:r w:rsidR="007528C6" w:rsidRPr="001E47AD">
        <w:rPr>
          <w:rFonts w:eastAsia="Calibri"/>
          <w:sz w:val="22"/>
          <w:szCs w:val="22"/>
        </w:rPr>
        <w:t>he estimation of consumer stockpiling propensity requires the EARLY event week to contain most of days during th</w:t>
      </w:r>
      <w:r w:rsidR="004F58C9" w:rsidRPr="001E47AD">
        <w:rPr>
          <w:rFonts w:eastAsia="Calibri"/>
          <w:sz w:val="22"/>
          <w:szCs w:val="22"/>
        </w:rPr>
        <w:t xml:space="preserve">e week before the </w:t>
      </w:r>
      <w:r w:rsidR="00A94CFC" w:rsidRPr="001E47AD">
        <w:rPr>
          <w:sz w:val="22"/>
          <w:szCs w:val="22"/>
        </w:rPr>
        <w:t xml:space="preserve">INFLUENCE </w:t>
      </w:r>
      <w:r w:rsidR="002A54EC" w:rsidRPr="001E47AD">
        <w:rPr>
          <w:sz w:val="22"/>
          <w:szCs w:val="22"/>
        </w:rPr>
        <w:t>date</w:t>
      </w:r>
      <w:r w:rsidR="007528C6" w:rsidRPr="001E47AD">
        <w:rPr>
          <w:rFonts w:eastAsia="Calibri"/>
          <w:sz w:val="22"/>
          <w:szCs w:val="22"/>
        </w:rPr>
        <w:t>.</w:t>
      </w:r>
      <w:r w:rsidR="00C472B7" w:rsidRPr="001E47AD">
        <w:rPr>
          <w:rStyle w:val="FootnoteReference"/>
          <w:rFonts w:eastAsia="Calibri"/>
          <w:sz w:val="22"/>
          <w:szCs w:val="22"/>
        </w:rPr>
        <w:footnoteReference w:id="7"/>
      </w:r>
      <w:r w:rsidR="007528C6" w:rsidRPr="001E47AD">
        <w:rPr>
          <w:rFonts w:eastAsia="Calibri"/>
          <w:sz w:val="22"/>
          <w:szCs w:val="22"/>
        </w:rPr>
        <w:t xml:space="preserve"> </w:t>
      </w:r>
      <w:r w:rsidR="00AA4EEB" w:rsidRPr="001E47AD">
        <w:rPr>
          <w:rFonts w:eastAsia="Calibri"/>
          <w:sz w:val="22"/>
          <w:szCs w:val="22"/>
        </w:rPr>
        <w:t xml:space="preserve">To capture </w:t>
      </w:r>
      <w:r w:rsidR="00A94CFC" w:rsidRPr="001E47AD">
        <w:rPr>
          <w:rFonts w:eastAsia="Calibri"/>
          <w:sz w:val="22"/>
          <w:szCs w:val="22"/>
        </w:rPr>
        <w:t xml:space="preserve">variation of the </w:t>
      </w:r>
      <w:r w:rsidR="00A94CFC" w:rsidRPr="001E47AD">
        <w:rPr>
          <w:sz w:val="22"/>
          <w:szCs w:val="22"/>
        </w:rPr>
        <w:t xml:space="preserve">INFLUENCE </w:t>
      </w:r>
      <w:r w:rsidR="002A54EC" w:rsidRPr="001E47AD">
        <w:rPr>
          <w:sz w:val="22"/>
          <w:szCs w:val="22"/>
        </w:rPr>
        <w:t>date</w:t>
      </w:r>
      <w:r w:rsidR="00CF0454" w:rsidRPr="001E47AD">
        <w:rPr>
          <w:rFonts w:eastAsia="Calibri"/>
          <w:sz w:val="22"/>
          <w:szCs w:val="22"/>
        </w:rPr>
        <w:t xml:space="preserve"> during the EARLY </w:t>
      </w:r>
      <w:r w:rsidR="00D812C1" w:rsidRPr="001E47AD">
        <w:rPr>
          <w:rFonts w:eastAsia="Calibri"/>
          <w:sz w:val="22"/>
          <w:szCs w:val="22"/>
        </w:rPr>
        <w:t>event week</w:t>
      </w:r>
      <w:r w:rsidR="00CF0454" w:rsidRPr="001E47AD">
        <w:rPr>
          <w:rFonts w:eastAsia="Calibri"/>
          <w:sz w:val="22"/>
          <w:szCs w:val="22"/>
        </w:rPr>
        <w:t xml:space="preserve">, we </w:t>
      </w:r>
      <w:r w:rsidR="00B01472" w:rsidRPr="001E47AD">
        <w:rPr>
          <w:noProof/>
          <w:sz w:val="22"/>
          <w:szCs w:val="22"/>
          <w:lang w:eastAsia="zh-CN"/>
        </w:rPr>
        <w:t xml:space="preserve">control for the </w:t>
      </w:r>
      <w:r w:rsidR="00B0752B" w:rsidRPr="001E47AD">
        <w:rPr>
          <w:noProof/>
          <w:sz w:val="22"/>
          <w:szCs w:val="22"/>
          <w:lang w:eastAsia="zh-CN"/>
        </w:rPr>
        <w:t>number of sales days</w:t>
      </w:r>
      <w:r w:rsidR="00B01472" w:rsidRPr="001E47AD">
        <w:rPr>
          <w:noProof/>
          <w:sz w:val="22"/>
          <w:szCs w:val="22"/>
          <w:lang w:eastAsia="zh-CN"/>
        </w:rPr>
        <w:t xml:space="preserve"> before the </w:t>
      </w:r>
      <w:r w:rsidR="002A54EC" w:rsidRPr="001E47AD">
        <w:rPr>
          <w:sz w:val="22"/>
          <w:szCs w:val="22"/>
        </w:rPr>
        <w:t>INFLUENCE date</w:t>
      </w:r>
      <w:r w:rsidR="00B01472" w:rsidRPr="001E47AD">
        <w:rPr>
          <w:noProof/>
          <w:sz w:val="22"/>
          <w:szCs w:val="22"/>
          <w:lang w:eastAsia="zh-CN"/>
        </w:rPr>
        <w:t xml:space="preserve"> during the EARLY event week</w:t>
      </w:r>
      <w:r w:rsidR="00C472B7" w:rsidRPr="001E47AD">
        <w:rPr>
          <w:noProof/>
          <w:sz w:val="22"/>
          <w:szCs w:val="22"/>
          <w:lang w:eastAsia="zh-CN"/>
        </w:rPr>
        <w:t xml:space="preserve"> in our estimations</w:t>
      </w:r>
      <w:r w:rsidR="007E6BEC" w:rsidRPr="001E47AD">
        <w:rPr>
          <w:noProof/>
          <w:sz w:val="22"/>
          <w:szCs w:val="22"/>
          <w:lang w:eastAsia="zh-CN"/>
        </w:rPr>
        <w:t>.</w:t>
      </w:r>
      <w:r w:rsidR="00B01472" w:rsidRPr="001E47AD">
        <w:rPr>
          <w:noProof/>
          <w:sz w:val="22"/>
          <w:szCs w:val="22"/>
          <w:lang w:eastAsia="zh-CN"/>
        </w:rPr>
        <w:t xml:space="preserve"> </w:t>
      </w:r>
    </w:p>
    <w:p w14:paraId="14743C1B" w14:textId="34CEA944" w:rsidR="00E243D3" w:rsidRPr="001E47AD" w:rsidRDefault="00E243D3" w:rsidP="00E243D3">
      <w:pPr>
        <w:spacing w:before="120" w:after="120" w:line="480" w:lineRule="auto"/>
        <w:ind w:firstLine="720"/>
        <w:jc w:val="both"/>
      </w:pPr>
      <w:r w:rsidRPr="001E47AD">
        <w:rPr>
          <w:rFonts w:eastAsia="Calibri"/>
          <w:sz w:val="22"/>
          <w:szCs w:val="22"/>
        </w:rPr>
        <w:t xml:space="preserve">Note that the </w:t>
      </w:r>
      <w:r w:rsidRPr="001E47AD">
        <w:rPr>
          <w:sz w:val="22"/>
          <w:szCs w:val="22"/>
        </w:rPr>
        <w:t>INFLUENCE date</w:t>
      </w:r>
      <w:r w:rsidRPr="001E47AD">
        <w:rPr>
          <w:rFonts w:eastAsia="Calibri"/>
          <w:sz w:val="22"/>
          <w:szCs w:val="22"/>
        </w:rPr>
        <w:t xml:space="preserve"> may either happen before or after a hurricane actually makes landfall. Landfall is the intersection of the surface </w:t>
      </w:r>
      <w:hyperlink r:id="rId9" w:anchor="CENTER" w:history="1">
        <w:r w:rsidRPr="001E47AD">
          <w:rPr>
            <w:rFonts w:eastAsia="Calibri"/>
            <w:sz w:val="22"/>
            <w:szCs w:val="22"/>
          </w:rPr>
          <w:t>center</w:t>
        </w:r>
      </w:hyperlink>
      <w:r w:rsidRPr="001E47AD">
        <w:rPr>
          <w:rFonts w:eastAsia="Calibri"/>
          <w:sz w:val="22"/>
          <w:szCs w:val="22"/>
        </w:rPr>
        <w:t xml:space="preserve"> of a </w:t>
      </w:r>
      <w:r w:rsidR="00FC2E5B" w:rsidRPr="001E47AD">
        <w:rPr>
          <w:rFonts w:hint="eastAsia"/>
          <w:lang w:eastAsia="zh-CN"/>
        </w:rPr>
        <w:t>hurrican</w:t>
      </w:r>
      <w:r w:rsidR="00AB013D" w:rsidRPr="001E47AD">
        <w:rPr>
          <w:rFonts w:hint="eastAsia"/>
          <w:lang w:eastAsia="zh-CN"/>
        </w:rPr>
        <w:t xml:space="preserve">e </w:t>
      </w:r>
      <w:r w:rsidRPr="001E47AD">
        <w:rPr>
          <w:rFonts w:eastAsia="Calibri"/>
          <w:sz w:val="22"/>
          <w:szCs w:val="22"/>
        </w:rPr>
        <w:t>with a coastline. As the strongest winds in a tropical cyclone are not located precisely at the center, it is possible for a cyclone's strongest winds to be experienced before landfall.</w:t>
      </w:r>
      <w:r w:rsidRPr="001E47AD">
        <w:rPr>
          <w:rStyle w:val="FootnoteReference"/>
          <w:rFonts w:eastAsia="Calibri"/>
          <w:sz w:val="22"/>
          <w:szCs w:val="22"/>
        </w:rPr>
        <w:footnoteReference w:id="8"/>
      </w:r>
      <w:r w:rsidRPr="001E47AD">
        <w:rPr>
          <w:rFonts w:eastAsia="Calibri"/>
          <w:sz w:val="22"/>
          <w:szCs w:val="22"/>
        </w:rPr>
        <w:t xml:space="preserve"> </w:t>
      </w:r>
      <w:r w:rsidRPr="001E47AD">
        <w:rPr>
          <w:noProof/>
          <w:sz w:val="22"/>
          <w:szCs w:val="22"/>
        </w:rPr>
        <w:t xml:space="preserve">To capture the interaction of LANDFALL date and </w:t>
      </w:r>
      <w:r w:rsidRPr="001E47AD">
        <w:rPr>
          <w:sz w:val="22"/>
          <w:szCs w:val="22"/>
        </w:rPr>
        <w:lastRenderedPageBreak/>
        <w:t>INFLUENCE date</w:t>
      </w:r>
      <w:r w:rsidRPr="001E47AD">
        <w:rPr>
          <w:noProof/>
          <w:sz w:val="22"/>
          <w:szCs w:val="22"/>
        </w:rPr>
        <w:t xml:space="preserve"> on consumer stockpiling behavior, w</w:t>
      </w:r>
      <w:r w:rsidRPr="001E47AD">
        <w:rPr>
          <w:noProof/>
          <w:sz w:val="22"/>
          <w:szCs w:val="22"/>
          <w:lang w:eastAsia="zh-CN"/>
        </w:rPr>
        <w:t xml:space="preserve">e control for </w:t>
      </w:r>
      <w:r w:rsidRPr="001E47AD">
        <w:rPr>
          <w:sz w:val="22"/>
          <w:szCs w:val="22"/>
        </w:rPr>
        <w:t>the elapsed time between the LANDFALL and INFLUENCE dates.</w:t>
      </w:r>
      <w:r w:rsidRPr="001E47AD">
        <w:rPr>
          <w:rStyle w:val="FootnoteReference"/>
          <w:sz w:val="22"/>
          <w:szCs w:val="22"/>
        </w:rPr>
        <w:footnoteReference w:id="9"/>
      </w:r>
      <w:r w:rsidRPr="001E47AD">
        <w:rPr>
          <w:sz w:val="22"/>
          <w:szCs w:val="22"/>
        </w:rPr>
        <w:t xml:space="preserve"> </w:t>
      </w:r>
    </w:p>
    <w:p w14:paraId="5E9BE739" w14:textId="560C4C2D" w:rsidR="00CB1AEB" w:rsidRPr="001E47AD" w:rsidRDefault="00CB1AEB" w:rsidP="00CB1AEB">
      <w:pPr>
        <w:spacing w:before="120" w:after="120" w:line="360" w:lineRule="auto"/>
        <w:rPr>
          <w:b/>
          <w:sz w:val="22"/>
          <w:szCs w:val="22"/>
        </w:rPr>
      </w:pPr>
      <w:bookmarkStart w:id="30" w:name="_Ref21905335"/>
      <w:r w:rsidRPr="001E47AD">
        <w:rPr>
          <w:sz w:val="22"/>
          <w:szCs w:val="22"/>
        </w:rPr>
        <w:t xml:space="preserve">Table </w:t>
      </w:r>
      <w:r w:rsidRPr="001E47AD">
        <w:rPr>
          <w:b/>
          <w:sz w:val="22"/>
          <w:szCs w:val="22"/>
        </w:rPr>
        <w:fldChar w:fldCharType="begin"/>
      </w:r>
      <w:r w:rsidRPr="001E47AD">
        <w:rPr>
          <w:sz w:val="22"/>
          <w:szCs w:val="22"/>
        </w:rPr>
        <w:instrText xml:space="preserve"> SEQ Table \* ARABIC </w:instrText>
      </w:r>
      <w:r w:rsidRPr="001E47AD">
        <w:rPr>
          <w:b/>
          <w:sz w:val="22"/>
          <w:szCs w:val="22"/>
        </w:rPr>
        <w:fldChar w:fldCharType="separate"/>
      </w:r>
      <w:r w:rsidR="009E3444" w:rsidRPr="001E47AD">
        <w:rPr>
          <w:noProof/>
          <w:sz w:val="22"/>
          <w:szCs w:val="22"/>
        </w:rPr>
        <w:t>1</w:t>
      </w:r>
      <w:r w:rsidRPr="001E47AD">
        <w:rPr>
          <w:b/>
          <w:sz w:val="22"/>
          <w:szCs w:val="22"/>
        </w:rPr>
        <w:fldChar w:fldCharType="end"/>
      </w:r>
      <w:bookmarkEnd w:id="30"/>
      <w:r w:rsidRPr="001E47AD">
        <w:rPr>
          <w:sz w:val="22"/>
          <w:szCs w:val="22"/>
        </w:rPr>
        <w:t xml:space="preserve">: </w:t>
      </w:r>
      <w:r w:rsidR="009B55E6" w:rsidRPr="001E47AD">
        <w:rPr>
          <w:sz w:val="22"/>
          <w:szCs w:val="22"/>
        </w:rPr>
        <w:t xml:space="preserve">The </w:t>
      </w:r>
      <w:r w:rsidRPr="001E47AD">
        <w:rPr>
          <w:sz w:val="22"/>
          <w:szCs w:val="22"/>
        </w:rPr>
        <w:t>Event Periods for the Four Hurricanes</w:t>
      </w:r>
      <w:r w:rsidR="009B55E6" w:rsidRPr="001E47AD">
        <w:rPr>
          <w:sz w:val="22"/>
          <w:szCs w:val="22"/>
        </w:rPr>
        <w:t xml:space="preserve"> in the Sample</w:t>
      </w:r>
    </w:p>
    <w:tbl>
      <w:tblPr>
        <w:tblW w:w="9708" w:type="dxa"/>
        <w:tblBorders>
          <w:top w:val="single" w:sz="4" w:space="0" w:color="000000"/>
          <w:bottom w:val="single" w:sz="4" w:space="0" w:color="000000"/>
        </w:tblBorders>
        <w:tblLayout w:type="fixed"/>
        <w:tblLook w:val="04A0" w:firstRow="1" w:lastRow="0" w:firstColumn="1" w:lastColumn="0" w:noHBand="0" w:noVBand="1"/>
      </w:tblPr>
      <w:tblGrid>
        <w:gridCol w:w="648"/>
        <w:gridCol w:w="1080"/>
        <w:gridCol w:w="1170"/>
        <w:gridCol w:w="1170"/>
        <w:gridCol w:w="1122"/>
        <w:gridCol w:w="1080"/>
        <w:gridCol w:w="1180"/>
        <w:gridCol w:w="1160"/>
        <w:gridCol w:w="1098"/>
      </w:tblGrid>
      <w:tr w:rsidR="00393153" w:rsidRPr="001E47AD" w14:paraId="72C4E754" w14:textId="77777777" w:rsidTr="0003195D">
        <w:trPr>
          <w:trHeight w:val="350"/>
        </w:trPr>
        <w:tc>
          <w:tcPr>
            <w:tcW w:w="648" w:type="dxa"/>
            <w:tcBorders>
              <w:top w:val="single" w:sz="4" w:space="0" w:color="000000"/>
              <w:left w:val="nil"/>
              <w:bottom w:val="single" w:sz="4" w:space="0" w:color="000000"/>
              <w:right w:val="nil"/>
            </w:tcBorders>
            <w:vAlign w:val="center"/>
          </w:tcPr>
          <w:p w14:paraId="1E025864"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Name</w:t>
            </w:r>
          </w:p>
        </w:tc>
        <w:tc>
          <w:tcPr>
            <w:tcW w:w="1080" w:type="dxa"/>
            <w:tcBorders>
              <w:top w:val="single" w:sz="4" w:space="0" w:color="000000"/>
              <w:left w:val="nil"/>
              <w:bottom w:val="single" w:sz="4" w:space="0" w:color="000000"/>
              <w:right w:val="nil"/>
            </w:tcBorders>
            <w:vAlign w:val="center"/>
          </w:tcPr>
          <w:p w14:paraId="5B05B045"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LANDFALL</w:t>
            </w:r>
          </w:p>
          <w:p w14:paraId="04482CE6"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Date</w:t>
            </w:r>
          </w:p>
        </w:tc>
        <w:tc>
          <w:tcPr>
            <w:tcW w:w="1170" w:type="dxa"/>
            <w:tcBorders>
              <w:top w:val="single" w:sz="4" w:space="0" w:color="000000"/>
              <w:left w:val="nil"/>
              <w:bottom w:val="single" w:sz="4" w:space="0" w:color="000000"/>
              <w:right w:val="nil"/>
            </w:tcBorders>
            <w:vAlign w:val="center"/>
          </w:tcPr>
          <w:p w14:paraId="5FEF2142"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INFLUENCE</w:t>
            </w:r>
          </w:p>
          <w:p w14:paraId="73DBD989"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Date</w:t>
            </w:r>
            <w:r w:rsidR="000B6DAF" w:rsidRPr="001E47AD">
              <w:rPr>
                <w:rFonts w:eastAsia="Times New Roman"/>
                <w:sz w:val="16"/>
                <w:szCs w:val="16"/>
              </w:rPr>
              <w:t>s</w:t>
            </w:r>
          </w:p>
        </w:tc>
        <w:tc>
          <w:tcPr>
            <w:tcW w:w="1170" w:type="dxa"/>
            <w:tcBorders>
              <w:top w:val="single" w:sz="4" w:space="0" w:color="000000"/>
              <w:left w:val="nil"/>
              <w:bottom w:val="single" w:sz="4" w:space="0" w:color="000000"/>
              <w:right w:val="nil"/>
            </w:tcBorders>
            <w:vAlign w:val="center"/>
          </w:tcPr>
          <w:p w14:paraId="54354093"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INFLUENCE</w:t>
            </w:r>
          </w:p>
          <w:p w14:paraId="19FB1F25"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Date</w:t>
            </w:r>
          </w:p>
          <w:p w14:paraId="51E69CD1" w14:textId="77777777" w:rsidR="00CB1AEB" w:rsidRPr="001E47AD" w:rsidRDefault="002839C2" w:rsidP="00E40896">
            <w:pPr>
              <w:spacing w:before="120" w:after="120"/>
              <w:contextualSpacing/>
              <w:jc w:val="center"/>
              <w:rPr>
                <w:rFonts w:eastAsia="Times New Roman"/>
                <w:sz w:val="16"/>
                <w:szCs w:val="16"/>
              </w:rPr>
            </w:pPr>
            <w:r w:rsidRPr="001E47AD">
              <w:rPr>
                <w:rFonts w:eastAsia="Times New Roman"/>
                <w:sz w:val="16"/>
                <w:szCs w:val="16"/>
              </w:rPr>
              <w:t>minus</w:t>
            </w:r>
          </w:p>
          <w:p w14:paraId="171AD79E"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LANDFALL</w:t>
            </w:r>
          </w:p>
          <w:p w14:paraId="7BCE8C21"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Date</w:t>
            </w:r>
          </w:p>
          <w:p w14:paraId="3DE2D5FC" w14:textId="77777777" w:rsidR="00FA4FB2" w:rsidRPr="001E47AD" w:rsidRDefault="00FA4FB2" w:rsidP="00E40896">
            <w:pPr>
              <w:spacing w:before="120" w:after="120"/>
              <w:contextualSpacing/>
              <w:jc w:val="center"/>
              <w:rPr>
                <w:rFonts w:eastAsia="Times New Roman"/>
                <w:sz w:val="16"/>
                <w:szCs w:val="16"/>
              </w:rPr>
            </w:pPr>
            <w:r w:rsidRPr="001E47AD">
              <w:rPr>
                <w:rFonts w:eastAsia="Times New Roman"/>
                <w:sz w:val="16"/>
                <w:szCs w:val="16"/>
              </w:rPr>
              <w:t>(Range)</w:t>
            </w:r>
          </w:p>
        </w:tc>
        <w:tc>
          <w:tcPr>
            <w:tcW w:w="1122" w:type="dxa"/>
            <w:tcBorders>
              <w:top w:val="single" w:sz="4" w:space="0" w:color="000000"/>
              <w:left w:val="nil"/>
              <w:bottom w:val="single" w:sz="4" w:space="0" w:color="000000"/>
              <w:right w:val="nil"/>
            </w:tcBorders>
            <w:vAlign w:val="center"/>
          </w:tcPr>
          <w:p w14:paraId="4237F219" w14:textId="77777777" w:rsidR="007E17B4" w:rsidRPr="001E47AD" w:rsidRDefault="002839C2" w:rsidP="00E40896">
            <w:pPr>
              <w:spacing w:before="120" w:after="120"/>
              <w:contextualSpacing/>
              <w:jc w:val="center"/>
              <w:rPr>
                <w:rFonts w:eastAsia="Times New Roman"/>
                <w:sz w:val="16"/>
                <w:szCs w:val="16"/>
              </w:rPr>
            </w:pPr>
            <w:r w:rsidRPr="001E47AD">
              <w:rPr>
                <w:rFonts w:eastAsia="Times New Roman"/>
                <w:sz w:val="16"/>
                <w:szCs w:val="16"/>
              </w:rPr>
              <w:t xml:space="preserve"># </w:t>
            </w:r>
            <w:r w:rsidR="00FA4FB2" w:rsidRPr="001E47AD">
              <w:rPr>
                <w:rFonts w:eastAsia="Times New Roman"/>
                <w:sz w:val="16"/>
                <w:szCs w:val="16"/>
              </w:rPr>
              <w:t xml:space="preserve">of </w:t>
            </w:r>
            <w:r w:rsidR="00CB1AEB" w:rsidRPr="001E47AD">
              <w:rPr>
                <w:rFonts w:eastAsia="Times New Roman"/>
                <w:sz w:val="16"/>
                <w:szCs w:val="16"/>
              </w:rPr>
              <w:t>Days</w:t>
            </w:r>
            <w:r w:rsidR="00FA4FB2" w:rsidRPr="001E47AD">
              <w:rPr>
                <w:rFonts w:eastAsia="Times New Roman"/>
                <w:sz w:val="16"/>
                <w:szCs w:val="16"/>
              </w:rPr>
              <w:t xml:space="preserve"> in </w:t>
            </w:r>
            <w:r w:rsidR="0033164B" w:rsidRPr="001E47AD">
              <w:rPr>
                <w:rFonts w:eastAsia="Times New Roman"/>
                <w:sz w:val="16"/>
                <w:szCs w:val="16"/>
              </w:rPr>
              <w:t>EARLY</w:t>
            </w:r>
          </w:p>
          <w:p w14:paraId="774F82D8" w14:textId="77777777" w:rsidR="00CB1AEB" w:rsidRPr="001E47AD" w:rsidRDefault="00FA4FB2" w:rsidP="00E40896">
            <w:pPr>
              <w:spacing w:before="120" w:after="120"/>
              <w:contextualSpacing/>
              <w:jc w:val="center"/>
              <w:rPr>
                <w:rFonts w:eastAsia="Times New Roman"/>
                <w:sz w:val="16"/>
                <w:szCs w:val="16"/>
              </w:rPr>
            </w:pPr>
            <w:r w:rsidRPr="001E47AD">
              <w:rPr>
                <w:rFonts w:eastAsia="Times New Roman"/>
                <w:sz w:val="16"/>
                <w:szCs w:val="16"/>
              </w:rPr>
              <w:t>prior to</w:t>
            </w:r>
          </w:p>
          <w:p w14:paraId="405B8989"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INFLUENCE</w:t>
            </w:r>
          </w:p>
          <w:p w14:paraId="12B82A5C" w14:textId="77777777" w:rsidR="00CB1AEB" w:rsidRPr="001E47AD" w:rsidRDefault="00CB1AEB" w:rsidP="003B535F">
            <w:pPr>
              <w:spacing w:before="120" w:after="120"/>
              <w:contextualSpacing/>
              <w:jc w:val="center"/>
              <w:rPr>
                <w:rFonts w:eastAsia="Times New Roman"/>
                <w:sz w:val="16"/>
                <w:szCs w:val="16"/>
              </w:rPr>
            </w:pPr>
            <w:r w:rsidRPr="001E47AD">
              <w:rPr>
                <w:rFonts w:eastAsia="Times New Roman"/>
                <w:sz w:val="16"/>
                <w:szCs w:val="16"/>
              </w:rPr>
              <w:t>Date</w:t>
            </w:r>
          </w:p>
          <w:p w14:paraId="3E3DB9E1" w14:textId="77777777" w:rsidR="003B535F" w:rsidRPr="001E47AD" w:rsidRDefault="003B535F" w:rsidP="003B535F">
            <w:pPr>
              <w:spacing w:before="120" w:after="120"/>
              <w:contextualSpacing/>
              <w:jc w:val="center"/>
              <w:rPr>
                <w:rFonts w:eastAsia="Times New Roman"/>
                <w:sz w:val="16"/>
                <w:szCs w:val="16"/>
              </w:rPr>
            </w:pPr>
            <w:r w:rsidRPr="001E47AD">
              <w:rPr>
                <w:rFonts w:eastAsia="Times New Roman"/>
                <w:sz w:val="16"/>
                <w:szCs w:val="16"/>
              </w:rPr>
              <w:t>(Range)</w:t>
            </w:r>
          </w:p>
        </w:tc>
        <w:tc>
          <w:tcPr>
            <w:tcW w:w="1080" w:type="dxa"/>
            <w:tcBorders>
              <w:top w:val="single" w:sz="4" w:space="0" w:color="000000"/>
              <w:left w:val="nil"/>
              <w:bottom w:val="single" w:sz="4" w:space="0" w:color="000000"/>
              <w:right w:val="nil"/>
            </w:tcBorders>
            <w:shd w:val="clear" w:color="auto" w:fill="auto"/>
            <w:vAlign w:val="center"/>
          </w:tcPr>
          <w:p w14:paraId="6110B7E4"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PRE Period</w:t>
            </w:r>
          </w:p>
          <w:p w14:paraId="596B86C9"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(4</w:t>
            </w:r>
            <w:r w:rsidRPr="001E47AD">
              <w:rPr>
                <w:sz w:val="16"/>
                <w:szCs w:val="16"/>
              </w:rPr>
              <w:t xml:space="preserve"> Weeks</w:t>
            </w:r>
            <w:r w:rsidRPr="001E47AD">
              <w:rPr>
                <w:rFonts w:eastAsia="Times New Roman"/>
                <w:sz w:val="16"/>
                <w:szCs w:val="16"/>
              </w:rPr>
              <w:t>)</w:t>
            </w:r>
          </w:p>
        </w:tc>
        <w:tc>
          <w:tcPr>
            <w:tcW w:w="1180" w:type="dxa"/>
            <w:tcBorders>
              <w:top w:val="single" w:sz="4" w:space="0" w:color="000000"/>
              <w:left w:val="nil"/>
              <w:bottom w:val="single" w:sz="4" w:space="0" w:color="000000"/>
              <w:right w:val="nil"/>
            </w:tcBorders>
            <w:shd w:val="clear" w:color="auto" w:fill="auto"/>
            <w:vAlign w:val="center"/>
          </w:tcPr>
          <w:p w14:paraId="0D1EA883"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noProof/>
                <w:sz w:val="16"/>
                <w:szCs w:val="16"/>
              </w:rPr>
              <w:t>EARLY</w:t>
            </w:r>
            <w:r w:rsidRPr="001E47AD">
              <w:rPr>
                <w:rFonts w:eastAsia="Times New Roman"/>
                <w:sz w:val="16"/>
                <w:szCs w:val="16"/>
              </w:rPr>
              <w:t xml:space="preserve"> Period</w:t>
            </w:r>
          </w:p>
          <w:p w14:paraId="6C3354BF" w14:textId="77777777" w:rsidR="00CB1AEB" w:rsidRPr="001E47AD" w:rsidRDefault="00CB1AEB" w:rsidP="00E40896">
            <w:pPr>
              <w:spacing w:before="120" w:after="120"/>
              <w:contextualSpacing/>
              <w:jc w:val="center"/>
              <w:rPr>
                <w:sz w:val="16"/>
                <w:szCs w:val="16"/>
              </w:rPr>
            </w:pPr>
            <w:r w:rsidRPr="001E47AD">
              <w:rPr>
                <w:rFonts w:eastAsia="Times New Roman"/>
                <w:sz w:val="16"/>
                <w:szCs w:val="16"/>
              </w:rPr>
              <w:t>(1</w:t>
            </w:r>
            <w:r w:rsidRPr="001E47AD">
              <w:rPr>
                <w:sz w:val="16"/>
                <w:szCs w:val="16"/>
              </w:rPr>
              <w:t xml:space="preserve"> Week)</w:t>
            </w:r>
          </w:p>
        </w:tc>
        <w:tc>
          <w:tcPr>
            <w:tcW w:w="1160" w:type="dxa"/>
            <w:tcBorders>
              <w:top w:val="single" w:sz="4" w:space="0" w:color="000000"/>
              <w:left w:val="nil"/>
              <w:bottom w:val="single" w:sz="4" w:space="0" w:color="000000"/>
              <w:right w:val="nil"/>
            </w:tcBorders>
            <w:shd w:val="clear" w:color="auto" w:fill="auto"/>
            <w:vAlign w:val="center"/>
          </w:tcPr>
          <w:p w14:paraId="08471535"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LATE Period</w:t>
            </w:r>
          </w:p>
          <w:p w14:paraId="2A05426F" w14:textId="77777777" w:rsidR="00CB1AEB" w:rsidRPr="001E47AD" w:rsidRDefault="00CB1AEB" w:rsidP="00E40896">
            <w:pPr>
              <w:spacing w:before="120" w:after="120"/>
              <w:contextualSpacing/>
              <w:jc w:val="center"/>
              <w:rPr>
                <w:sz w:val="16"/>
                <w:szCs w:val="16"/>
              </w:rPr>
            </w:pPr>
            <w:r w:rsidRPr="001E47AD">
              <w:rPr>
                <w:rFonts w:eastAsia="Times New Roman"/>
                <w:sz w:val="16"/>
                <w:szCs w:val="16"/>
              </w:rPr>
              <w:t>(1</w:t>
            </w:r>
            <w:r w:rsidRPr="001E47AD">
              <w:rPr>
                <w:sz w:val="16"/>
                <w:szCs w:val="16"/>
              </w:rPr>
              <w:t xml:space="preserve"> Week)</w:t>
            </w:r>
          </w:p>
        </w:tc>
        <w:tc>
          <w:tcPr>
            <w:tcW w:w="1098" w:type="dxa"/>
            <w:tcBorders>
              <w:top w:val="single" w:sz="4" w:space="0" w:color="000000"/>
              <w:left w:val="nil"/>
              <w:bottom w:val="single" w:sz="4" w:space="0" w:color="000000"/>
              <w:right w:val="nil"/>
            </w:tcBorders>
            <w:shd w:val="clear" w:color="auto" w:fill="auto"/>
            <w:vAlign w:val="center"/>
          </w:tcPr>
          <w:p w14:paraId="26D26E4C"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POST Period</w:t>
            </w:r>
          </w:p>
          <w:p w14:paraId="71DE2882" w14:textId="77777777" w:rsidR="00CB1AEB" w:rsidRPr="001E47AD" w:rsidRDefault="00CB1AEB" w:rsidP="00E40896">
            <w:pPr>
              <w:spacing w:before="120" w:after="120"/>
              <w:contextualSpacing/>
              <w:jc w:val="center"/>
              <w:rPr>
                <w:sz w:val="16"/>
                <w:szCs w:val="16"/>
              </w:rPr>
            </w:pPr>
            <w:r w:rsidRPr="001E47AD">
              <w:rPr>
                <w:rFonts w:eastAsia="Times New Roman"/>
                <w:sz w:val="16"/>
                <w:szCs w:val="16"/>
              </w:rPr>
              <w:t>(4</w:t>
            </w:r>
            <w:r w:rsidRPr="001E47AD">
              <w:rPr>
                <w:sz w:val="16"/>
                <w:szCs w:val="16"/>
              </w:rPr>
              <w:t xml:space="preserve"> Weeks)</w:t>
            </w:r>
          </w:p>
        </w:tc>
      </w:tr>
      <w:tr w:rsidR="00393153" w:rsidRPr="001E47AD" w14:paraId="74F0A945" w14:textId="77777777" w:rsidTr="0003195D">
        <w:trPr>
          <w:trHeight w:val="350"/>
        </w:trPr>
        <w:tc>
          <w:tcPr>
            <w:tcW w:w="648" w:type="dxa"/>
            <w:tcBorders>
              <w:top w:val="single" w:sz="4" w:space="0" w:color="000000"/>
              <w:left w:val="nil"/>
              <w:bottom w:val="single" w:sz="4" w:space="0" w:color="BFBFBF" w:themeColor="background1" w:themeShade="BF"/>
              <w:right w:val="nil"/>
            </w:tcBorders>
          </w:tcPr>
          <w:p w14:paraId="06EB7522" w14:textId="77777777" w:rsidR="00CB1AEB" w:rsidRPr="001E47AD" w:rsidRDefault="00CB1AEB" w:rsidP="00E40896">
            <w:pPr>
              <w:spacing w:before="120" w:after="120"/>
              <w:contextualSpacing/>
              <w:jc w:val="center"/>
              <w:rPr>
                <w:sz w:val="16"/>
                <w:szCs w:val="16"/>
              </w:rPr>
            </w:pPr>
            <w:r w:rsidRPr="001E47AD">
              <w:rPr>
                <w:sz w:val="16"/>
                <w:szCs w:val="16"/>
              </w:rPr>
              <w:t>Ike</w:t>
            </w:r>
          </w:p>
          <w:p w14:paraId="11F95752" w14:textId="77777777" w:rsidR="00CB1AEB" w:rsidRPr="001E47AD" w:rsidRDefault="00CB1AEB" w:rsidP="00E40896">
            <w:pPr>
              <w:spacing w:before="120" w:after="120"/>
              <w:contextualSpacing/>
              <w:jc w:val="center"/>
              <w:rPr>
                <w:sz w:val="16"/>
                <w:szCs w:val="16"/>
              </w:rPr>
            </w:pPr>
            <w:r w:rsidRPr="001E47AD">
              <w:rPr>
                <w:sz w:val="16"/>
                <w:szCs w:val="16"/>
              </w:rPr>
              <w:t>2008</w:t>
            </w:r>
          </w:p>
        </w:tc>
        <w:tc>
          <w:tcPr>
            <w:tcW w:w="1080" w:type="dxa"/>
            <w:tcBorders>
              <w:top w:val="single" w:sz="4" w:space="0" w:color="000000"/>
              <w:left w:val="nil"/>
              <w:bottom w:val="single" w:sz="4" w:space="0" w:color="BFBFBF" w:themeColor="background1" w:themeShade="BF"/>
              <w:right w:val="nil"/>
            </w:tcBorders>
            <w:vAlign w:val="center"/>
          </w:tcPr>
          <w:p w14:paraId="2597A095" w14:textId="77777777" w:rsidR="00CB1AEB" w:rsidRPr="001E47AD" w:rsidRDefault="00CB1AEB" w:rsidP="00E40896">
            <w:pPr>
              <w:spacing w:before="120" w:after="120"/>
              <w:contextualSpacing/>
              <w:jc w:val="center"/>
              <w:rPr>
                <w:sz w:val="16"/>
                <w:szCs w:val="16"/>
              </w:rPr>
            </w:pPr>
            <w:r w:rsidRPr="001E47AD">
              <w:rPr>
                <w:sz w:val="16"/>
                <w:szCs w:val="16"/>
              </w:rPr>
              <w:t>09/13</w:t>
            </w:r>
          </w:p>
          <w:p w14:paraId="44F84C05" w14:textId="77777777" w:rsidR="00CB1AEB" w:rsidRPr="001E47AD" w:rsidRDefault="00CB1AEB" w:rsidP="00E40896">
            <w:pPr>
              <w:spacing w:before="120" w:after="120"/>
              <w:contextualSpacing/>
              <w:jc w:val="center"/>
              <w:rPr>
                <w:sz w:val="16"/>
                <w:szCs w:val="16"/>
              </w:rPr>
            </w:pPr>
            <w:r w:rsidRPr="001E47AD">
              <w:rPr>
                <w:sz w:val="16"/>
                <w:szCs w:val="16"/>
              </w:rPr>
              <w:t>(Sat)</w:t>
            </w:r>
          </w:p>
        </w:tc>
        <w:tc>
          <w:tcPr>
            <w:tcW w:w="1170" w:type="dxa"/>
            <w:tcBorders>
              <w:top w:val="single" w:sz="4" w:space="0" w:color="000000"/>
              <w:left w:val="nil"/>
              <w:bottom w:val="single" w:sz="4" w:space="0" w:color="BFBFBF" w:themeColor="background1" w:themeShade="BF"/>
              <w:right w:val="nil"/>
            </w:tcBorders>
            <w:vAlign w:val="center"/>
          </w:tcPr>
          <w:p w14:paraId="04893822" w14:textId="77777777" w:rsidR="00CB1AEB" w:rsidRPr="001E47AD" w:rsidRDefault="00CB1AEB" w:rsidP="00E40896">
            <w:pPr>
              <w:spacing w:before="120" w:after="120"/>
              <w:contextualSpacing/>
              <w:jc w:val="center"/>
              <w:rPr>
                <w:sz w:val="16"/>
                <w:szCs w:val="16"/>
              </w:rPr>
            </w:pPr>
            <w:r w:rsidRPr="001E47AD">
              <w:rPr>
                <w:sz w:val="16"/>
                <w:szCs w:val="16"/>
              </w:rPr>
              <w:t>09/12 - 09/14</w:t>
            </w:r>
          </w:p>
          <w:p w14:paraId="1F3B1B70" w14:textId="77777777" w:rsidR="00CB1AEB" w:rsidRPr="001E47AD" w:rsidRDefault="00CB1AEB" w:rsidP="00E40896">
            <w:pPr>
              <w:spacing w:before="120" w:after="120"/>
              <w:contextualSpacing/>
              <w:jc w:val="center"/>
              <w:rPr>
                <w:rFonts w:eastAsia="Times New Roman"/>
                <w:sz w:val="16"/>
                <w:szCs w:val="16"/>
              </w:rPr>
            </w:pPr>
            <w:r w:rsidRPr="001E47AD">
              <w:rPr>
                <w:sz w:val="16"/>
                <w:szCs w:val="16"/>
              </w:rPr>
              <w:t>(Fri - Sun)</w:t>
            </w:r>
          </w:p>
        </w:tc>
        <w:tc>
          <w:tcPr>
            <w:tcW w:w="1170" w:type="dxa"/>
            <w:tcBorders>
              <w:top w:val="single" w:sz="4" w:space="0" w:color="000000"/>
              <w:left w:val="nil"/>
              <w:bottom w:val="single" w:sz="4" w:space="0" w:color="BFBFBF" w:themeColor="background1" w:themeShade="BF"/>
              <w:right w:val="nil"/>
            </w:tcBorders>
            <w:vAlign w:val="center"/>
          </w:tcPr>
          <w:p w14:paraId="39985C2C" w14:textId="77777777" w:rsidR="00CB1AEB" w:rsidRPr="001E47AD" w:rsidRDefault="00CB1AEB" w:rsidP="00E40896">
            <w:pPr>
              <w:spacing w:before="120" w:after="120"/>
              <w:contextualSpacing/>
              <w:jc w:val="center"/>
              <w:rPr>
                <w:sz w:val="16"/>
                <w:szCs w:val="16"/>
              </w:rPr>
            </w:pPr>
            <w:r w:rsidRPr="001E47AD">
              <w:rPr>
                <w:sz w:val="16"/>
                <w:szCs w:val="16"/>
              </w:rPr>
              <w:t>(-1, 1)</w:t>
            </w:r>
          </w:p>
        </w:tc>
        <w:tc>
          <w:tcPr>
            <w:tcW w:w="1122" w:type="dxa"/>
            <w:tcBorders>
              <w:top w:val="single" w:sz="4" w:space="0" w:color="000000"/>
              <w:left w:val="nil"/>
              <w:bottom w:val="single" w:sz="4" w:space="0" w:color="BFBFBF" w:themeColor="background1" w:themeShade="BF"/>
              <w:right w:val="nil"/>
            </w:tcBorders>
            <w:vAlign w:val="center"/>
          </w:tcPr>
          <w:p w14:paraId="2514DE93" w14:textId="77777777" w:rsidR="00CB1AEB" w:rsidRPr="001E47AD" w:rsidRDefault="00CB1AEB" w:rsidP="00E40896">
            <w:pPr>
              <w:spacing w:before="120" w:after="120"/>
              <w:contextualSpacing/>
              <w:jc w:val="center"/>
              <w:rPr>
                <w:sz w:val="16"/>
                <w:szCs w:val="16"/>
              </w:rPr>
            </w:pPr>
            <w:r w:rsidRPr="001E47AD">
              <w:rPr>
                <w:sz w:val="16"/>
                <w:szCs w:val="16"/>
              </w:rPr>
              <w:t>(5, 7)</w:t>
            </w:r>
          </w:p>
        </w:tc>
        <w:tc>
          <w:tcPr>
            <w:tcW w:w="1080" w:type="dxa"/>
            <w:tcBorders>
              <w:top w:val="single" w:sz="4" w:space="0" w:color="000000"/>
              <w:left w:val="nil"/>
              <w:bottom w:val="single" w:sz="4" w:space="0" w:color="BFBFBF" w:themeColor="background1" w:themeShade="BF"/>
              <w:right w:val="nil"/>
            </w:tcBorders>
            <w:shd w:val="clear" w:color="auto" w:fill="auto"/>
            <w:vAlign w:val="center"/>
          </w:tcPr>
          <w:p w14:paraId="2CAB7808" w14:textId="77777777" w:rsidR="00CB1AEB" w:rsidRPr="001E47AD" w:rsidRDefault="00CB1AEB" w:rsidP="00E40896">
            <w:pPr>
              <w:spacing w:before="120" w:after="120"/>
              <w:contextualSpacing/>
              <w:jc w:val="center"/>
              <w:rPr>
                <w:sz w:val="16"/>
                <w:szCs w:val="16"/>
              </w:rPr>
            </w:pPr>
            <w:r w:rsidRPr="001E47AD">
              <w:rPr>
                <w:sz w:val="16"/>
                <w:szCs w:val="16"/>
              </w:rPr>
              <w:t>08/10 - 09/06</w:t>
            </w:r>
          </w:p>
          <w:p w14:paraId="4928A173" w14:textId="77777777" w:rsidR="00CB1AEB" w:rsidRPr="001E47AD" w:rsidRDefault="00CB1AEB" w:rsidP="00E40896">
            <w:pPr>
              <w:spacing w:before="120" w:after="120"/>
              <w:contextualSpacing/>
              <w:jc w:val="center"/>
              <w:rPr>
                <w:rFonts w:eastAsia="Times New Roman"/>
                <w:sz w:val="16"/>
                <w:szCs w:val="16"/>
              </w:rPr>
            </w:pPr>
            <w:r w:rsidRPr="001E47AD">
              <w:rPr>
                <w:sz w:val="16"/>
                <w:szCs w:val="16"/>
              </w:rPr>
              <w:t>(Sun - Sat)</w:t>
            </w:r>
          </w:p>
        </w:tc>
        <w:tc>
          <w:tcPr>
            <w:tcW w:w="1180" w:type="dxa"/>
            <w:tcBorders>
              <w:top w:val="single" w:sz="4" w:space="0" w:color="000000"/>
              <w:left w:val="nil"/>
              <w:bottom w:val="single" w:sz="4" w:space="0" w:color="BFBFBF" w:themeColor="background1" w:themeShade="BF"/>
              <w:right w:val="nil"/>
            </w:tcBorders>
            <w:shd w:val="clear" w:color="auto" w:fill="auto"/>
            <w:vAlign w:val="center"/>
          </w:tcPr>
          <w:p w14:paraId="36C68AC0" w14:textId="77777777" w:rsidR="00CB1AEB" w:rsidRPr="001E47AD" w:rsidRDefault="00CB1AEB" w:rsidP="00E40896">
            <w:pPr>
              <w:spacing w:before="120" w:after="120"/>
              <w:contextualSpacing/>
              <w:jc w:val="center"/>
              <w:rPr>
                <w:sz w:val="16"/>
                <w:szCs w:val="16"/>
              </w:rPr>
            </w:pPr>
            <w:r w:rsidRPr="001E47AD">
              <w:rPr>
                <w:sz w:val="16"/>
                <w:szCs w:val="16"/>
              </w:rPr>
              <w:t>09/07  - 09/13</w:t>
            </w:r>
          </w:p>
          <w:p w14:paraId="79C5B6A5" w14:textId="77777777" w:rsidR="00CB1AEB" w:rsidRPr="001E47AD" w:rsidRDefault="00CB1AEB" w:rsidP="00E40896">
            <w:pPr>
              <w:spacing w:before="120" w:after="120"/>
              <w:contextualSpacing/>
              <w:jc w:val="center"/>
              <w:rPr>
                <w:rFonts w:eastAsia="Times New Roman"/>
                <w:noProof/>
                <w:sz w:val="16"/>
                <w:szCs w:val="16"/>
              </w:rPr>
            </w:pPr>
            <w:r w:rsidRPr="001E47AD">
              <w:rPr>
                <w:sz w:val="16"/>
                <w:szCs w:val="16"/>
              </w:rPr>
              <w:t>(Sun - Sat)</w:t>
            </w:r>
          </w:p>
        </w:tc>
        <w:tc>
          <w:tcPr>
            <w:tcW w:w="1160" w:type="dxa"/>
            <w:tcBorders>
              <w:top w:val="single" w:sz="4" w:space="0" w:color="000000"/>
              <w:left w:val="nil"/>
              <w:bottom w:val="single" w:sz="4" w:space="0" w:color="BFBFBF" w:themeColor="background1" w:themeShade="BF"/>
              <w:right w:val="nil"/>
            </w:tcBorders>
            <w:shd w:val="clear" w:color="auto" w:fill="auto"/>
            <w:vAlign w:val="center"/>
          </w:tcPr>
          <w:p w14:paraId="30FCE269" w14:textId="77777777" w:rsidR="00CB1AEB" w:rsidRPr="001E47AD" w:rsidRDefault="00CB1AEB" w:rsidP="00E40896">
            <w:pPr>
              <w:spacing w:before="120" w:after="120"/>
              <w:contextualSpacing/>
              <w:jc w:val="center"/>
              <w:rPr>
                <w:sz w:val="16"/>
                <w:szCs w:val="16"/>
              </w:rPr>
            </w:pPr>
            <w:r w:rsidRPr="001E47AD">
              <w:rPr>
                <w:sz w:val="16"/>
                <w:szCs w:val="16"/>
              </w:rPr>
              <w:t>09/14 - 09/20</w:t>
            </w:r>
          </w:p>
          <w:p w14:paraId="7086A365" w14:textId="77777777" w:rsidR="00CB1AEB" w:rsidRPr="001E47AD" w:rsidRDefault="00CB1AEB" w:rsidP="00E40896">
            <w:pPr>
              <w:spacing w:before="120" w:after="120"/>
              <w:contextualSpacing/>
              <w:jc w:val="center"/>
              <w:rPr>
                <w:rFonts w:eastAsia="Times New Roman"/>
                <w:sz w:val="16"/>
                <w:szCs w:val="16"/>
              </w:rPr>
            </w:pPr>
            <w:r w:rsidRPr="001E47AD">
              <w:rPr>
                <w:sz w:val="16"/>
                <w:szCs w:val="16"/>
              </w:rPr>
              <w:t>(Sun - Sat)</w:t>
            </w:r>
          </w:p>
        </w:tc>
        <w:tc>
          <w:tcPr>
            <w:tcW w:w="1098" w:type="dxa"/>
            <w:tcBorders>
              <w:top w:val="single" w:sz="4" w:space="0" w:color="000000"/>
              <w:left w:val="nil"/>
              <w:bottom w:val="single" w:sz="4" w:space="0" w:color="BFBFBF" w:themeColor="background1" w:themeShade="BF"/>
              <w:right w:val="nil"/>
            </w:tcBorders>
            <w:shd w:val="clear" w:color="auto" w:fill="auto"/>
            <w:vAlign w:val="center"/>
          </w:tcPr>
          <w:p w14:paraId="78373DF1" w14:textId="77777777" w:rsidR="00CB1AEB" w:rsidRPr="001E47AD" w:rsidRDefault="00CB1AEB" w:rsidP="00E40896">
            <w:pPr>
              <w:spacing w:before="120" w:after="120"/>
              <w:contextualSpacing/>
              <w:jc w:val="center"/>
              <w:rPr>
                <w:sz w:val="16"/>
                <w:szCs w:val="16"/>
              </w:rPr>
            </w:pPr>
            <w:r w:rsidRPr="001E47AD">
              <w:rPr>
                <w:sz w:val="16"/>
                <w:szCs w:val="16"/>
              </w:rPr>
              <w:t>09/21 - 10/18</w:t>
            </w:r>
          </w:p>
          <w:p w14:paraId="7A504840" w14:textId="77777777" w:rsidR="00CB1AEB" w:rsidRPr="001E47AD" w:rsidRDefault="00CB1AEB" w:rsidP="00E40896">
            <w:pPr>
              <w:spacing w:before="120" w:after="120"/>
              <w:contextualSpacing/>
              <w:jc w:val="center"/>
              <w:rPr>
                <w:rFonts w:eastAsia="Times New Roman"/>
                <w:sz w:val="16"/>
                <w:szCs w:val="16"/>
              </w:rPr>
            </w:pPr>
            <w:r w:rsidRPr="001E47AD">
              <w:rPr>
                <w:sz w:val="16"/>
                <w:szCs w:val="16"/>
              </w:rPr>
              <w:t>(Sun - Sat)</w:t>
            </w:r>
          </w:p>
        </w:tc>
      </w:tr>
      <w:tr w:rsidR="00393153" w:rsidRPr="001E47AD" w14:paraId="7AD6517C" w14:textId="77777777" w:rsidTr="0003195D">
        <w:trPr>
          <w:trHeight w:val="300"/>
        </w:trPr>
        <w:tc>
          <w:tcPr>
            <w:tcW w:w="648" w:type="dxa"/>
            <w:tcBorders>
              <w:top w:val="single" w:sz="4" w:space="0" w:color="BFBFBF" w:themeColor="background1" w:themeShade="BF"/>
              <w:left w:val="nil"/>
              <w:bottom w:val="single" w:sz="4" w:space="0" w:color="BFBFBF" w:themeColor="background1" w:themeShade="BF"/>
              <w:right w:val="nil"/>
            </w:tcBorders>
          </w:tcPr>
          <w:p w14:paraId="4F9ABD2B"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Irene</w:t>
            </w:r>
          </w:p>
          <w:p w14:paraId="7E57F342"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2011</w:t>
            </w:r>
          </w:p>
        </w:tc>
        <w:tc>
          <w:tcPr>
            <w:tcW w:w="1080" w:type="dxa"/>
            <w:tcBorders>
              <w:top w:val="single" w:sz="4" w:space="0" w:color="BFBFBF" w:themeColor="background1" w:themeShade="BF"/>
              <w:left w:val="nil"/>
              <w:bottom w:val="single" w:sz="4" w:space="0" w:color="BFBFBF" w:themeColor="background1" w:themeShade="BF"/>
              <w:right w:val="nil"/>
            </w:tcBorders>
            <w:vAlign w:val="center"/>
          </w:tcPr>
          <w:p w14:paraId="0F1C269D"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08/27</w:t>
            </w:r>
          </w:p>
          <w:p w14:paraId="4601FD6C"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(Sat)</w:t>
            </w:r>
          </w:p>
        </w:tc>
        <w:tc>
          <w:tcPr>
            <w:tcW w:w="1170" w:type="dxa"/>
            <w:tcBorders>
              <w:top w:val="single" w:sz="4" w:space="0" w:color="BFBFBF" w:themeColor="background1" w:themeShade="BF"/>
              <w:left w:val="nil"/>
              <w:bottom w:val="single" w:sz="4" w:space="0" w:color="BFBFBF" w:themeColor="background1" w:themeShade="BF"/>
              <w:right w:val="nil"/>
            </w:tcBorders>
            <w:vAlign w:val="center"/>
          </w:tcPr>
          <w:p w14:paraId="5563EE67"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08/25 - 08/29</w:t>
            </w:r>
          </w:p>
          <w:p w14:paraId="75BDBAE8" w14:textId="77777777" w:rsidR="00CB1AEB" w:rsidRPr="001E47AD" w:rsidRDefault="00CB1AEB" w:rsidP="00E40896">
            <w:pPr>
              <w:spacing w:before="120" w:after="120"/>
              <w:contextualSpacing/>
              <w:jc w:val="center"/>
              <w:rPr>
                <w:sz w:val="16"/>
                <w:szCs w:val="16"/>
              </w:rPr>
            </w:pPr>
            <w:r w:rsidRPr="001E47AD">
              <w:rPr>
                <w:rFonts w:eastAsia="Times New Roman"/>
                <w:sz w:val="16"/>
                <w:szCs w:val="16"/>
              </w:rPr>
              <w:t>(Thu - Mon)</w:t>
            </w:r>
          </w:p>
        </w:tc>
        <w:tc>
          <w:tcPr>
            <w:tcW w:w="1170" w:type="dxa"/>
            <w:tcBorders>
              <w:top w:val="single" w:sz="4" w:space="0" w:color="BFBFBF" w:themeColor="background1" w:themeShade="BF"/>
              <w:left w:val="nil"/>
              <w:bottom w:val="single" w:sz="4" w:space="0" w:color="BFBFBF" w:themeColor="background1" w:themeShade="BF"/>
              <w:right w:val="nil"/>
            </w:tcBorders>
            <w:vAlign w:val="center"/>
          </w:tcPr>
          <w:p w14:paraId="0AB86027" w14:textId="77777777" w:rsidR="00CB1AEB" w:rsidRPr="001E47AD" w:rsidRDefault="00CB1AEB" w:rsidP="00E40896">
            <w:pPr>
              <w:spacing w:before="120" w:after="120"/>
              <w:contextualSpacing/>
              <w:jc w:val="center"/>
              <w:rPr>
                <w:sz w:val="16"/>
                <w:szCs w:val="16"/>
              </w:rPr>
            </w:pPr>
            <w:r w:rsidRPr="001E47AD">
              <w:rPr>
                <w:sz w:val="16"/>
                <w:szCs w:val="16"/>
              </w:rPr>
              <w:t>(-2, 2)</w:t>
            </w:r>
          </w:p>
        </w:tc>
        <w:tc>
          <w:tcPr>
            <w:tcW w:w="1122" w:type="dxa"/>
            <w:tcBorders>
              <w:top w:val="single" w:sz="4" w:space="0" w:color="BFBFBF" w:themeColor="background1" w:themeShade="BF"/>
              <w:left w:val="nil"/>
              <w:bottom w:val="single" w:sz="4" w:space="0" w:color="BFBFBF" w:themeColor="background1" w:themeShade="BF"/>
              <w:right w:val="nil"/>
            </w:tcBorders>
            <w:vAlign w:val="center"/>
          </w:tcPr>
          <w:p w14:paraId="5E4D7409" w14:textId="77777777" w:rsidR="00CB1AEB" w:rsidRPr="001E47AD" w:rsidRDefault="00CB1AEB" w:rsidP="00E40896">
            <w:pPr>
              <w:spacing w:before="120" w:after="120"/>
              <w:contextualSpacing/>
              <w:jc w:val="center"/>
              <w:rPr>
                <w:sz w:val="16"/>
                <w:szCs w:val="16"/>
              </w:rPr>
            </w:pPr>
            <w:r w:rsidRPr="001E47AD">
              <w:rPr>
                <w:sz w:val="16"/>
                <w:szCs w:val="16"/>
              </w:rPr>
              <w:t>(4, 7)</w:t>
            </w:r>
          </w:p>
        </w:tc>
        <w:tc>
          <w:tcPr>
            <w:tcW w:w="108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C695C21" w14:textId="77777777" w:rsidR="00CB1AEB" w:rsidRPr="001E47AD" w:rsidRDefault="00CB1AEB" w:rsidP="00E40896">
            <w:pPr>
              <w:spacing w:before="120" w:after="120"/>
              <w:contextualSpacing/>
              <w:jc w:val="center"/>
              <w:rPr>
                <w:sz w:val="16"/>
                <w:szCs w:val="16"/>
              </w:rPr>
            </w:pPr>
            <w:r w:rsidRPr="001E47AD">
              <w:rPr>
                <w:sz w:val="16"/>
                <w:szCs w:val="16"/>
              </w:rPr>
              <w:t>07/24 - 08/20</w:t>
            </w:r>
          </w:p>
          <w:p w14:paraId="5100362E"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8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02B5489" w14:textId="77777777" w:rsidR="00CB1AEB" w:rsidRPr="001E47AD" w:rsidRDefault="00CB1AEB" w:rsidP="00E40896">
            <w:pPr>
              <w:spacing w:before="120" w:after="120"/>
              <w:contextualSpacing/>
              <w:jc w:val="center"/>
              <w:rPr>
                <w:sz w:val="16"/>
                <w:szCs w:val="16"/>
              </w:rPr>
            </w:pPr>
            <w:r w:rsidRPr="001E47AD">
              <w:rPr>
                <w:sz w:val="16"/>
                <w:szCs w:val="16"/>
              </w:rPr>
              <w:t>08/21 - 08/27</w:t>
            </w:r>
          </w:p>
          <w:p w14:paraId="6956CCBB"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6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1F90E48" w14:textId="77777777" w:rsidR="00CB1AEB" w:rsidRPr="001E47AD" w:rsidRDefault="00CB1AEB" w:rsidP="00E40896">
            <w:pPr>
              <w:spacing w:before="120" w:after="120"/>
              <w:contextualSpacing/>
              <w:jc w:val="center"/>
              <w:rPr>
                <w:sz w:val="16"/>
                <w:szCs w:val="16"/>
              </w:rPr>
            </w:pPr>
            <w:r w:rsidRPr="001E47AD">
              <w:rPr>
                <w:sz w:val="16"/>
                <w:szCs w:val="16"/>
              </w:rPr>
              <w:t>08/28 - 09/03</w:t>
            </w:r>
          </w:p>
          <w:p w14:paraId="0AA5ACA9"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098"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0DD9455" w14:textId="77777777" w:rsidR="00CB1AEB" w:rsidRPr="001E47AD" w:rsidRDefault="00CB1AEB" w:rsidP="00E40896">
            <w:pPr>
              <w:spacing w:before="120" w:after="120"/>
              <w:contextualSpacing/>
              <w:jc w:val="center"/>
              <w:rPr>
                <w:sz w:val="16"/>
                <w:szCs w:val="16"/>
              </w:rPr>
            </w:pPr>
            <w:r w:rsidRPr="001E47AD">
              <w:rPr>
                <w:sz w:val="16"/>
                <w:szCs w:val="16"/>
              </w:rPr>
              <w:t>09/04 - 10/01</w:t>
            </w:r>
          </w:p>
          <w:p w14:paraId="1F90388E" w14:textId="77777777" w:rsidR="00CB1AEB" w:rsidRPr="001E47AD" w:rsidRDefault="00CB1AEB" w:rsidP="00E40896">
            <w:pPr>
              <w:spacing w:before="120" w:after="120"/>
              <w:contextualSpacing/>
              <w:jc w:val="center"/>
              <w:rPr>
                <w:sz w:val="16"/>
                <w:szCs w:val="16"/>
              </w:rPr>
            </w:pPr>
            <w:r w:rsidRPr="001E47AD">
              <w:rPr>
                <w:sz w:val="16"/>
                <w:szCs w:val="16"/>
              </w:rPr>
              <w:t>(Sun - Sat)</w:t>
            </w:r>
          </w:p>
        </w:tc>
      </w:tr>
      <w:tr w:rsidR="00393153" w:rsidRPr="001E47AD" w14:paraId="6A8C1F73" w14:textId="77777777" w:rsidTr="0003195D">
        <w:trPr>
          <w:trHeight w:val="300"/>
        </w:trPr>
        <w:tc>
          <w:tcPr>
            <w:tcW w:w="648" w:type="dxa"/>
            <w:tcBorders>
              <w:top w:val="single" w:sz="4" w:space="0" w:color="BFBFBF" w:themeColor="background1" w:themeShade="BF"/>
              <w:left w:val="nil"/>
              <w:bottom w:val="single" w:sz="4" w:space="0" w:color="BFBFBF" w:themeColor="background1" w:themeShade="BF"/>
              <w:right w:val="nil"/>
            </w:tcBorders>
            <w:vAlign w:val="center"/>
          </w:tcPr>
          <w:p w14:paraId="0B010134"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Sandy</w:t>
            </w:r>
          </w:p>
          <w:p w14:paraId="4097E4CF"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2012</w:t>
            </w:r>
          </w:p>
        </w:tc>
        <w:tc>
          <w:tcPr>
            <w:tcW w:w="1080" w:type="dxa"/>
            <w:tcBorders>
              <w:top w:val="single" w:sz="4" w:space="0" w:color="BFBFBF" w:themeColor="background1" w:themeShade="BF"/>
              <w:left w:val="nil"/>
              <w:bottom w:val="single" w:sz="4" w:space="0" w:color="BFBFBF" w:themeColor="background1" w:themeShade="BF"/>
              <w:right w:val="nil"/>
            </w:tcBorders>
            <w:vAlign w:val="center"/>
          </w:tcPr>
          <w:p w14:paraId="1E31A687"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10/29</w:t>
            </w:r>
          </w:p>
          <w:p w14:paraId="71CE4DE6"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(Mon)</w:t>
            </w:r>
          </w:p>
        </w:tc>
        <w:tc>
          <w:tcPr>
            <w:tcW w:w="1170" w:type="dxa"/>
            <w:tcBorders>
              <w:top w:val="single" w:sz="4" w:space="0" w:color="BFBFBF" w:themeColor="background1" w:themeShade="BF"/>
              <w:left w:val="nil"/>
              <w:bottom w:val="single" w:sz="4" w:space="0" w:color="BFBFBF" w:themeColor="background1" w:themeShade="BF"/>
              <w:right w:val="nil"/>
            </w:tcBorders>
            <w:vAlign w:val="center"/>
          </w:tcPr>
          <w:p w14:paraId="128F6DFD"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10/26 - 10/31</w:t>
            </w:r>
          </w:p>
          <w:p w14:paraId="237B3916"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(Fri - Wed)</w:t>
            </w:r>
          </w:p>
        </w:tc>
        <w:tc>
          <w:tcPr>
            <w:tcW w:w="1170" w:type="dxa"/>
            <w:tcBorders>
              <w:top w:val="single" w:sz="4" w:space="0" w:color="BFBFBF" w:themeColor="background1" w:themeShade="BF"/>
              <w:left w:val="nil"/>
              <w:bottom w:val="single" w:sz="4" w:space="0" w:color="BFBFBF" w:themeColor="background1" w:themeShade="BF"/>
              <w:right w:val="nil"/>
            </w:tcBorders>
            <w:vAlign w:val="center"/>
          </w:tcPr>
          <w:p w14:paraId="4949C0FB" w14:textId="77777777" w:rsidR="00CB1AEB" w:rsidRPr="001E47AD" w:rsidRDefault="00CB1AEB" w:rsidP="00E40896">
            <w:pPr>
              <w:spacing w:before="120" w:after="120"/>
              <w:contextualSpacing/>
              <w:jc w:val="center"/>
              <w:rPr>
                <w:sz w:val="16"/>
                <w:szCs w:val="16"/>
              </w:rPr>
            </w:pPr>
            <w:r w:rsidRPr="001E47AD">
              <w:rPr>
                <w:sz w:val="16"/>
                <w:szCs w:val="16"/>
              </w:rPr>
              <w:t>(-3, 2)</w:t>
            </w:r>
          </w:p>
        </w:tc>
        <w:tc>
          <w:tcPr>
            <w:tcW w:w="1122" w:type="dxa"/>
            <w:tcBorders>
              <w:top w:val="single" w:sz="4" w:space="0" w:color="BFBFBF" w:themeColor="background1" w:themeShade="BF"/>
              <w:left w:val="nil"/>
              <w:bottom w:val="single" w:sz="4" w:space="0" w:color="BFBFBF" w:themeColor="background1" w:themeShade="BF"/>
              <w:right w:val="nil"/>
            </w:tcBorders>
            <w:vAlign w:val="center"/>
          </w:tcPr>
          <w:p w14:paraId="2D7D3BAB" w14:textId="77777777" w:rsidR="00CB1AEB" w:rsidRPr="001E47AD" w:rsidRDefault="00CB1AEB" w:rsidP="00E40896">
            <w:pPr>
              <w:spacing w:before="120" w:after="120"/>
              <w:contextualSpacing/>
              <w:jc w:val="center"/>
              <w:rPr>
                <w:sz w:val="16"/>
                <w:szCs w:val="16"/>
              </w:rPr>
            </w:pPr>
            <w:r w:rsidRPr="001E47AD">
              <w:rPr>
                <w:sz w:val="16"/>
                <w:szCs w:val="16"/>
              </w:rPr>
              <w:t>(5, 7)</w:t>
            </w:r>
          </w:p>
        </w:tc>
        <w:tc>
          <w:tcPr>
            <w:tcW w:w="108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866EAD6" w14:textId="77777777" w:rsidR="00CB1AEB" w:rsidRPr="001E47AD" w:rsidRDefault="00CB1AEB" w:rsidP="00E40896">
            <w:pPr>
              <w:spacing w:before="120" w:after="120"/>
              <w:contextualSpacing/>
              <w:jc w:val="center"/>
              <w:rPr>
                <w:sz w:val="16"/>
                <w:szCs w:val="16"/>
              </w:rPr>
            </w:pPr>
            <w:r w:rsidRPr="001E47AD">
              <w:rPr>
                <w:sz w:val="16"/>
                <w:szCs w:val="16"/>
              </w:rPr>
              <w:t>09/23 - 10/20</w:t>
            </w:r>
          </w:p>
          <w:p w14:paraId="5F4BD3CE"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8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B096B49" w14:textId="77777777" w:rsidR="00CB1AEB" w:rsidRPr="001E47AD" w:rsidRDefault="00CB1AEB" w:rsidP="00E40896">
            <w:pPr>
              <w:spacing w:before="120" w:after="120"/>
              <w:contextualSpacing/>
              <w:jc w:val="center"/>
              <w:rPr>
                <w:sz w:val="16"/>
                <w:szCs w:val="16"/>
              </w:rPr>
            </w:pPr>
            <w:r w:rsidRPr="001E47AD">
              <w:rPr>
                <w:sz w:val="16"/>
                <w:szCs w:val="16"/>
              </w:rPr>
              <w:t>10/21  - 10/27</w:t>
            </w:r>
          </w:p>
          <w:p w14:paraId="3365CD7A"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6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38881D5" w14:textId="77777777" w:rsidR="00CB1AEB" w:rsidRPr="001E47AD" w:rsidRDefault="00CB1AEB" w:rsidP="00E40896">
            <w:pPr>
              <w:spacing w:before="120" w:after="120"/>
              <w:contextualSpacing/>
              <w:jc w:val="center"/>
              <w:rPr>
                <w:sz w:val="16"/>
                <w:szCs w:val="16"/>
              </w:rPr>
            </w:pPr>
            <w:r w:rsidRPr="001E47AD">
              <w:rPr>
                <w:sz w:val="16"/>
                <w:szCs w:val="16"/>
              </w:rPr>
              <w:t>10/28 - 11/03</w:t>
            </w:r>
          </w:p>
          <w:p w14:paraId="06E9B148"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098"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E42D605" w14:textId="77777777" w:rsidR="00CB1AEB" w:rsidRPr="001E47AD" w:rsidRDefault="00CB1AEB" w:rsidP="00E40896">
            <w:pPr>
              <w:spacing w:before="120" w:after="120"/>
              <w:contextualSpacing/>
              <w:jc w:val="center"/>
              <w:rPr>
                <w:sz w:val="16"/>
                <w:szCs w:val="16"/>
              </w:rPr>
            </w:pPr>
            <w:r w:rsidRPr="001E47AD">
              <w:rPr>
                <w:sz w:val="16"/>
                <w:szCs w:val="16"/>
              </w:rPr>
              <w:t>11/04 - 12/01</w:t>
            </w:r>
          </w:p>
          <w:p w14:paraId="751966DD" w14:textId="77777777" w:rsidR="00CB1AEB" w:rsidRPr="001E47AD" w:rsidRDefault="00CB1AEB" w:rsidP="00E40896">
            <w:pPr>
              <w:spacing w:before="120" w:after="120"/>
              <w:contextualSpacing/>
              <w:jc w:val="center"/>
              <w:rPr>
                <w:sz w:val="16"/>
                <w:szCs w:val="16"/>
              </w:rPr>
            </w:pPr>
            <w:r w:rsidRPr="001E47AD">
              <w:rPr>
                <w:sz w:val="16"/>
                <w:szCs w:val="16"/>
              </w:rPr>
              <w:t>(Sun - Sat)</w:t>
            </w:r>
          </w:p>
        </w:tc>
      </w:tr>
      <w:tr w:rsidR="00393153" w:rsidRPr="001E47AD" w14:paraId="3D43EDB2" w14:textId="77777777" w:rsidTr="0003195D">
        <w:trPr>
          <w:trHeight w:val="300"/>
        </w:trPr>
        <w:tc>
          <w:tcPr>
            <w:tcW w:w="648" w:type="dxa"/>
            <w:vMerge w:val="restart"/>
            <w:tcBorders>
              <w:top w:val="single" w:sz="4" w:space="0" w:color="BFBFBF" w:themeColor="background1" w:themeShade="BF"/>
              <w:left w:val="nil"/>
              <w:bottom w:val="single" w:sz="4" w:space="0" w:color="BFBFBF" w:themeColor="background1" w:themeShade="BF"/>
              <w:right w:val="nil"/>
            </w:tcBorders>
            <w:vAlign w:val="center"/>
          </w:tcPr>
          <w:p w14:paraId="1C9F5FAA"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Arthur</w:t>
            </w:r>
          </w:p>
          <w:p w14:paraId="2925AAEA"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2014</w:t>
            </w:r>
          </w:p>
        </w:tc>
        <w:tc>
          <w:tcPr>
            <w:tcW w:w="1080" w:type="dxa"/>
            <w:vMerge w:val="restart"/>
            <w:tcBorders>
              <w:top w:val="single" w:sz="4" w:space="0" w:color="BFBFBF" w:themeColor="background1" w:themeShade="BF"/>
              <w:left w:val="nil"/>
              <w:bottom w:val="single" w:sz="4" w:space="0" w:color="BFBFBF" w:themeColor="background1" w:themeShade="BF"/>
              <w:right w:val="nil"/>
            </w:tcBorders>
            <w:vAlign w:val="center"/>
          </w:tcPr>
          <w:p w14:paraId="251AA8A7"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07/04</w:t>
            </w:r>
          </w:p>
          <w:p w14:paraId="0AC4D9C0"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(Fri)</w:t>
            </w:r>
          </w:p>
        </w:tc>
        <w:tc>
          <w:tcPr>
            <w:tcW w:w="1170" w:type="dxa"/>
            <w:tcBorders>
              <w:top w:val="single" w:sz="4" w:space="0" w:color="BFBFBF" w:themeColor="background1" w:themeShade="BF"/>
              <w:left w:val="nil"/>
              <w:bottom w:val="single" w:sz="4" w:space="0" w:color="BFBFBF" w:themeColor="background1" w:themeShade="BF"/>
              <w:right w:val="nil"/>
            </w:tcBorders>
            <w:vAlign w:val="center"/>
          </w:tcPr>
          <w:p w14:paraId="3CE24E60"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07/01 - 07/02</w:t>
            </w:r>
          </w:p>
          <w:p w14:paraId="50E5987C"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(Tue - Wed)</w:t>
            </w:r>
          </w:p>
        </w:tc>
        <w:tc>
          <w:tcPr>
            <w:tcW w:w="1170" w:type="dxa"/>
            <w:tcBorders>
              <w:top w:val="single" w:sz="4" w:space="0" w:color="BFBFBF" w:themeColor="background1" w:themeShade="BF"/>
              <w:left w:val="nil"/>
              <w:bottom w:val="single" w:sz="4" w:space="0" w:color="BFBFBF" w:themeColor="background1" w:themeShade="BF"/>
              <w:right w:val="nil"/>
            </w:tcBorders>
            <w:vAlign w:val="center"/>
          </w:tcPr>
          <w:p w14:paraId="13179E33" w14:textId="77777777" w:rsidR="00CB1AEB" w:rsidRPr="001E47AD" w:rsidRDefault="00CB1AEB" w:rsidP="00E40896">
            <w:pPr>
              <w:spacing w:before="120" w:after="120"/>
              <w:contextualSpacing/>
              <w:jc w:val="center"/>
              <w:rPr>
                <w:sz w:val="16"/>
                <w:szCs w:val="16"/>
              </w:rPr>
            </w:pPr>
            <w:r w:rsidRPr="001E47AD">
              <w:rPr>
                <w:sz w:val="16"/>
                <w:szCs w:val="16"/>
              </w:rPr>
              <w:t>(-3, -2)</w:t>
            </w:r>
          </w:p>
        </w:tc>
        <w:tc>
          <w:tcPr>
            <w:tcW w:w="1122" w:type="dxa"/>
            <w:tcBorders>
              <w:top w:val="single" w:sz="4" w:space="0" w:color="BFBFBF" w:themeColor="background1" w:themeShade="BF"/>
              <w:left w:val="nil"/>
              <w:bottom w:val="single" w:sz="4" w:space="0" w:color="BFBFBF" w:themeColor="background1" w:themeShade="BF"/>
              <w:right w:val="nil"/>
            </w:tcBorders>
            <w:vAlign w:val="center"/>
          </w:tcPr>
          <w:p w14:paraId="0C1CB324" w14:textId="77777777" w:rsidR="00CB1AEB" w:rsidRPr="001E47AD" w:rsidRDefault="00CB1AEB" w:rsidP="00E40896">
            <w:pPr>
              <w:spacing w:before="120" w:after="120"/>
              <w:contextualSpacing/>
              <w:jc w:val="center"/>
              <w:rPr>
                <w:sz w:val="16"/>
                <w:szCs w:val="16"/>
              </w:rPr>
            </w:pPr>
            <w:r w:rsidRPr="001E47AD">
              <w:rPr>
                <w:sz w:val="16"/>
                <w:szCs w:val="16"/>
              </w:rPr>
              <w:t>(7, 7)</w:t>
            </w:r>
          </w:p>
        </w:tc>
        <w:tc>
          <w:tcPr>
            <w:tcW w:w="108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41130CA" w14:textId="77777777" w:rsidR="00CB1AEB" w:rsidRPr="001E47AD" w:rsidRDefault="00CB1AEB" w:rsidP="00E40896">
            <w:pPr>
              <w:spacing w:before="120" w:after="120"/>
              <w:contextualSpacing/>
              <w:jc w:val="center"/>
              <w:rPr>
                <w:sz w:val="16"/>
                <w:szCs w:val="16"/>
              </w:rPr>
            </w:pPr>
            <w:r w:rsidRPr="001E47AD">
              <w:rPr>
                <w:sz w:val="16"/>
                <w:szCs w:val="16"/>
              </w:rPr>
              <w:t>05/25 - 06/21</w:t>
            </w:r>
          </w:p>
          <w:p w14:paraId="62897E83"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8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FC74C38" w14:textId="77777777" w:rsidR="00CB1AEB" w:rsidRPr="001E47AD" w:rsidRDefault="00CB1AEB" w:rsidP="00E40896">
            <w:pPr>
              <w:spacing w:before="120" w:after="120"/>
              <w:contextualSpacing/>
              <w:jc w:val="center"/>
              <w:rPr>
                <w:sz w:val="16"/>
                <w:szCs w:val="16"/>
              </w:rPr>
            </w:pPr>
            <w:r w:rsidRPr="001E47AD">
              <w:rPr>
                <w:sz w:val="16"/>
                <w:szCs w:val="16"/>
              </w:rPr>
              <w:t>06/22 -06/28</w:t>
            </w:r>
          </w:p>
          <w:p w14:paraId="2BC3D803"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6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342B280" w14:textId="77777777" w:rsidR="00CB1AEB" w:rsidRPr="001E47AD" w:rsidRDefault="00CB1AEB" w:rsidP="00E40896">
            <w:pPr>
              <w:spacing w:before="120" w:after="120"/>
              <w:contextualSpacing/>
              <w:jc w:val="center"/>
              <w:rPr>
                <w:sz w:val="16"/>
                <w:szCs w:val="16"/>
              </w:rPr>
            </w:pPr>
            <w:r w:rsidRPr="001E47AD">
              <w:rPr>
                <w:sz w:val="16"/>
                <w:szCs w:val="16"/>
              </w:rPr>
              <w:t>06/29 - 07/05</w:t>
            </w:r>
          </w:p>
          <w:p w14:paraId="00C68FF3"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098"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C8D20A3" w14:textId="77777777" w:rsidR="00CB1AEB" w:rsidRPr="001E47AD" w:rsidRDefault="00CB1AEB" w:rsidP="00E40896">
            <w:pPr>
              <w:spacing w:before="120" w:after="120"/>
              <w:contextualSpacing/>
              <w:jc w:val="center"/>
              <w:rPr>
                <w:sz w:val="16"/>
                <w:szCs w:val="16"/>
              </w:rPr>
            </w:pPr>
            <w:r w:rsidRPr="001E47AD">
              <w:rPr>
                <w:sz w:val="16"/>
                <w:szCs w:val="16"/>
              </w:rPr>
              <w:t>07/06 - 08/02</w:t>
            </w:r>
          </w:p>
          <w:p w14:paraId="2D29F25F" w14:textId="77777777" w:rsidR="00CB1AEB" w:rsidRPr="001E47AD" w:rsidRDefault="00CB1AEB" w:rsidP="00E40896">
            <w:pPr>
              <w:spacing w:before="120" w:after="120"/>
              <w:contextualSpacing/>
              <w:jc w:val="center"/>
              <w:rPr>
                <w:sz w:val="16"/>
                <w:szCs w:val="16"/>
              </w:rPr>
            </w:pPr>
            <w:r w:rsidRPr="001E47AD">
              <w:rPr>
                <w:sz w:val="16"/>
                <w:szCs w:val="16"/>
              </w:rPr>
              <w:t>(Sun - Sat)</w:t>
            </w:r>
          </w:p>
        </w:tc>
      </w:tr>
      <w:tr w:rsidR="00393153" w:rsidRPr="001E47AD" w14:paraId="5A6C77CD" w14:textId="77777777" w:rsidTr="0003195D">
        <w:trPr>
          <w:trHeight w:val="300"/>
        </w:trPr>
        <w:tc>
          <w:tcPr>
            <w:tcW w:w="648" w:type="dxa"/>
            <w:vMerge/>
            <w:tcBorders>
              <w:top w:val="single" w:sz="4" w:space="0" w:color="BFBFBF" w:themeColor="background1" w:themeShade="BF"/>
              <w:left w:val="nil"/>
              <w:bottom w:val="single" w:sz="4" w:space="0" w:color="000000"/>
              <w:right w:val="nil"/>
            </w:tcBorders>
          </w:tcPr>
          <w:p w14:paraId="72028E91" w14:textId="77777777" w:rsidR="00CB1AEB" w:rsidRPr="001E47AD" w:rsidRDefault="00CB1AEB" w:rsidP="00E40896">
            <w:pPr>
              <w:spacing w:before="120" w:after="120"/>
              <w:contextualSpacing/>
              <w:jc w:val="center"/>
              <w:rPr>
                <w:rFonts w:eastAsia="Times New Roman"/>
                <w:sz w:val="16"/>
                <w:szCs w:val="16"/>
              </w:rPr>
            </w:pPr>
          </w:p>
        </w:tc>
        <w:tc>
          <w:tcPr>
            <w:tcW w:w="1080" w:type="dxa"/>
            <w:vMerge/>
            <w:tcBorders>
              <w:top w:val="single" w:sz="4" w:space="0" w:color="BFBFBF" w:themeColor="background1" w:themeShade="BF"/>
              <w:left w:val="nil"/>
              <w:bottom w:val="single" w:sz="4" w:space="0" w:color="000000"/>
              <w:right w:val="nil"/>
            </w:tcBorders>
            <w:vAlign w:val="center"/>
          </w:tcPr>
          <w:p w14:paraId="672446C3" w14:textId="77777777" w:rsidR="00CB1AEB" w:rsidRPr="001E47AD" w:rsidRDefault="00CB1AEB" w:rsidP="00E40896">
            <w:pPr>
              <w:spacing w:before="120" w:after="120"/>
              <w:contextualSpacing/>
              <w:jc w:val="center"/>
              <w:rPr>
                <w:rFonts w:eastAsia="Times New Roman"/>
                <w:sz w:val="16"/>
                <w:szCs w:val="16"/>
              </w:rPr>
            </w:pPr>
          </w:p>
        </w:tc>
        <w:tc>
          <w:tcPr>
            <w:tcW w:w="1170" w:type="dxa"/>
            <w:tcBorders>
              <w:top w:val="single" w:sz="4" w:space="0" w:color="BFBFBF" w:themeColor="background1" w:themeShade="BF"/>
              <w:left w:val="nil"/>
              <w:bottom w:val="single" w:sz="4" w:space="0" w:color="000000"/>
              <w:right w:val="nil"/>
            </w:tcBorders>
            <w:vAlign w:val="center"/>
          </w:tcPr>
          <w:p w14:paraId="75BB8ADE"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07/03 - 07/05</w:t>
            </w:r>
          </w:p>
          <w:p w14:paraId="36CB534C" w14:textId="77777777" w:rsidR="00CB1AEB" w:rsidRPr="001E47AD" w:rsidRDefault="00CB1AEB" w:rsidP="00E40896">
            <w:pPr>
              <w:spacing w:before="120" w:after="120"/>
              <w:contextualSpacing/>
              <w:jc w:val="center"/>
              <w:rPr>
                <w:rFonts w:eastAsia="Times New Roman"/>
                <w:sz w:val="16"/>
                <w:szCs w:val="16"/>
              </w:rPr>
            </w:pPr>
            <w:r w:rsidRPr="001E47AD">
              <w:rPr>
                <w:rFonts w:eastAsia="Times New Roman"/>
                <w:sz w:val="16"/>
                <w:szCs w:val="16"/>
              </w:rPr>
              <w:t>(Thu - Sat)</w:t>
            </w:r>
          </w:p>
        </w:tc>
        <w:tc>
          <w:tcPr>
            <w:tcW w:w="1170" w:type="dxa"/>
            <w:tcBorders>
              <w:top w:val="single" w:sz="4" w:space="0" w:color="BFBFBF" w:themeColor="background1" w:themeShade="BF"/>
              <w:left w:val="nil"/>
              <w:bottom w:val="single" w:sz="4" w:space="0" w:color="000000"/>
              <w:right w:val="nil"/>
            </w:tcBorders>
            <w:vAlign w:val="center"/>
          </w:tcPr>
          <w:p w14:paraId="31474CC6" w14:textId="77777777" w:rsidR="00CB1AEB" w:rsidRPr="001E47AD" w:rsidRDefault="00CB1AEB" w:rsidP="00E40896">
            <w:pPr>
              <w:spacing w:before="120" w:after="120"/>
              <w:contextualSpacing/>
              <w:jc w:val="center"/>
              <w:rPr>
                <w:sz w:val="16"/>
                <w:szCs w:val="16"/>
              </w:rPr>
            </w:pPr>
            <w:r w:rsidRPr="001E47AD">
              <w:rPr>
                <w:sz w:val="16"/>
                <w:szCs w:val="16"/>
              </w:rPr>
              <w:t>(-1, 1)</w:t>
            </w:r>
          </w:p>
        </w:tc>
        <w:tc>
          <w:tcPr>
            <w:tcW w:w="1122" w:type="dxa"/>
            <w:tcBorders>
              <w:top w:val="single" w:sz="4" w:space="0" w:color="BFBFBF" w:themeColor="background1" w:themeShade="BF"/>
              <w:left w:val="nil"/>
              <w:bottom w:val="single" w:sz="4" w:space="0" w:color="000000"/>
              <w:right w:val="nil"/>
            </w:tcBorders>
            <w:vAlign w:val="center"/>
          </w:tcPr>
          <w:p w14:paraId="17590A52" w14:textId="77777777" w:rsidR="00CB1AEB" w:rsidRPr="001E47AD" w:rsidRDefault="00CB1AEB" w:rsidP="00E40896">
            <w:pPr>
              <w:spacing w:before="120" w:after="120"/>
              <w:contextualSpacing/>
              <w:jc w:val="center"/>
              <w:rPr>
                <w:sz w:val="16"/>
                <w:szCs w:val="16"/>
              </w:rPr>
            </w:pPr>
            <w:r w:rsidRPr="001E47AD">
              <w:rPr>
                <w:sz w:val="16"/>
                <w:szCs w:val="16"/>
              </w:rPr>
              <w:t>(4, 6)</w:t>
            </w:r>
          </w:p>
        </w:tc>
        <w:tc>
          <w:tcPr>
            <w:tcW w:w="1080" w:type="dxa"/>
            <w:tcBorders>
              <w:top w:val="single" w:sz="4" w:space="0" w:color="BFBFBF" w:themeColor="background1" w:themeShade="BF"/>
              <w:left w:val="nil"/>
              <w:bottom w:val="single" w:sz="4" w:space="0" w:color="000000"/>
              <w:right w:val="nil"/>
            </w:tcBorders>
            <w:shd w:val="clear" w:color="auto" w:fill="auto"/>
            <w:vAlign w:val="center"/>
          </w:tcPr>
          <w:p w14:paraId="4DED9CB7" w14:textId="77777777" w:rsidR="00CB1AEB" w:rsidRPr="001E47AD" w:rsidRDefault="00CB1AEB" w:rsidP="00E40896">
            <w:pPr>
              <w:spacing w:before="120" w:after="120"/>
              <w:contextualSpacing/>
              <w:jc w:val="center"/>
              <w:rPr>
                <w:sz w:val="16"/>
                <w:szCs w:val="16"/>
              </w:rPr>
            </w:pPr>
            <w:r w:rsidRPr="001E47AD">
              <w:rPr>
                <w:sz w:val="16"/>
                <w:szCs w:val="16"/>
              </w:rPr>
              <w:t>06/01 - 06/28</w:t>
            </w:r>
          </w:p>
          <w:p w14:paraId="2FA209C6"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80" w:type="dxa"/>
            <w:tcBorders>
              <w:top w:val="single" w:sz="4" w:space="0" w:color="BFBFBF" w:themeColor="background1" w:themeShade="BF"/>
              <w:left w:val="nil"/>
              <w:bottom w:val="single" w:sz="4" w:space="0" w:color="000000"/>
              <w:right w:val="nil"/>
            </w:tcBorders>
            <w:shd w:val="clear" w:color="auto" w:fill="auto"/>
            <w:vAlign w:val="center"/>
          </w:tcPr>
          <w:p w14:paraId="765DBCFB" w14:textId="77777777" w:rsidR="00CB1AEB" w:rsidRPr="001E47AD" w:rsidRDefault="00CB1AEB" w:rsidP="00E40896">
            <w:pPr>
              <w:spacing w:before="120" w:after="120"/>
              <w:contextualSpacing/>
              <w:jc w:val="center"/>
              <w:rPr>
                <w:sz w:val="16"/>
                <w:szCs w:val="16"/>
              </w:rPr>
            </w:pPr>
            <w:r w:rsidRPr="001E47AD">
              <w:rPr>
                <w:sz w:val="16"/>
                <w:szCs w:val="16"/>
              </w:rPr>
              <w:t>06/29  - 07/05</w:t>
            </w:r>
          </w:p>
          <w:p w14:paraId="0527D10A"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160" w:type="dxa"/>
            <w:tcBorders>
              <w:top w:val="single" w:sz="4" w:space="0" w:color="BFBFBF" w:themeColor="background1" w:themeShade="BF"/>
              <w:left w:val="nil"/>
              <w:bottom w:val="single" w:sz="4" w:space="0" w:color="000000"/>
              <w:right w:val="nil"/>
            </w:tcBorders>
            <w:shd w:val="clear" w:color="auto" w:fill="auto"/>
            <w:vAlign w:val="center"/>
          </w:tcPr>
          <w:p w14:paraId="638B16D1" w14:textId="77777777" w:rsidR="00CB1AEB" w:rsidRPr="001E47AD" w:rsidRDefault="00CB1AEB" w:rsidP="00E40896">
            <w:pPr>
              <w:spacing w:before="120" w:after="120"/>
              <w:contextualSpacing/>
              <w:jc w:val="center"/>
              <w:rPr>
                <w:sz w:val="16"/>
                <w:szCs w:val="16"/>
              </w:rPr>
            </w:pPr>
            <w:r w:rsidRPr="001E47AD">
              <w:rPr>
                <w:sz w:val="16"/>
                <w:szCs w:val="16"/>
              </w:rPr>
              <w:t>07/06 - 07/12</w:t>
            </w:r>
          </w:p>
          <w:p w14:paraId="69F733E1" w14:textId="77777777" w:rsidR="00CB1AEB" w:rsidRPr="001E47AD" w:rsidRDefault="00CB1AEB" w:rsidP="00E40896">
            <w:pPr>
              <w:spacing w:before="120" w:after="120"/>
              <w:contextualSpacing/>
              <w:jc w:val="center"/>
              <w:rPr>
                <w:sz w:val="16"/>
                <w:szCs w:val="16"/>
              </w:rPr>
            </w:pPr>
            <w:r w:rsidRPr="001E47AD">
              <w:rPr>
                <w:sz w:val="16"/>
                <w:szCs w:val="16"/>
              </w:rPr>
              <w:t>(Sun - Sat)</w:t>
            </w:r>
          </w:p>
        </w:tc>
        <w:tc>
          <w:tcPr>
            <w:tcW w:w="1098" w:type="dxa"/>
            <w:tcBorders>
              <w:top w:val="single" w:sz="4" w:space="0" w:color="BFBFBF" w:themeColor="background1" w:themeShade="BF"/>
              <w:left w:val="nil"/>
              <w:bottom w:val="single" w:sz="4" w:space="0" w:color="000000"/>
              <w:right w:val="nil"/>
            </w:tcBorders>
            <w:shd w:val="clear" w:color="auto" w:fill="auto"/>
            <w:vAlign w:val="center"/>
          </w:tcPr>
          <w:p w14:paraId="4B8E246A" w14:textId="77777777" w:rsidR="00CB1AEB" w:rsidRPr="001E47AD" w:rsidRDefault="00CB1AEB" w:rsidP="00E40896">
            <w:pPr>
              <w:spacing w:before="120" w:after="120"/>
              <w:contextualSpacing/>
              <w:jc w:val="center"/>
              <w:rPr>
                <w:sz w:val="16"/>
                <w:szCs w:val="16"/>
              </w:rPr>
            </w:pPr>
            <w:r w:rsidRPr="001E47AD">
              <w:rPr>
                <w:sz w:val="16"/>
                <w:szCs w:val="16"/>
              </w:rPr>
              <w:t>07/13 - 08/09</w:t>
            </w:r>
          </w:p>
          <w:p w14:paraId="2717E301" w14:textId="77777777" w:rsidR="00CB1AEB" w:rsidRPr="001E47AD" w:rsidRDefault="00CB1AEB" w:rsidP="00E40896">
            <w:pPr>
              <w:spacing w:before="120" w:after="120"/>
              <w:contextualSpacing/>
              <w:jc w:val="center"/>
              <w:rPr>
                <w:sz w:val="16"/>
                <w:szCs w:val="16"/>
              </w:rPr>
            </w:pPr>
            <w:r w:rsidRPr="001E47AD">
              <w:rPr>
                <w:sz w:val="16"/>
                <w:szCs w:val="16"/>
              </w:rPr>
              <w:t>(Sun - Sat)</w:t>
            </w:r>
          </w:p>
        </w:tc>
      </w:tr>
    </w:tbl>
    <w:p w14:paraId="4EFED7D4" w14:textId="77777777" w:rsidR="000A77E1" w:rsidRPr="001E47AD" w:rsidRDefault="000A77E1" w:rsidP="00596F39">
      <w:pPr>
        <w:pStyle w:val="Heading2"/>
      </w:pPr>
      <w:bookmarkStart w:id="31" w:name="_Toc520380475"/>
      <w:bookmarkStart w:id="32" w:name="_Toc520380474"/>
      <w:bookmarkEnd w:id="26"/>
      <w:bookmarkEnd w:id="27"/>
      <w:bookmarkEnd w:id="28"/>
      <w:bookmarkEnd w:id="29"/>
      <w:r w:rsidRPr="001E47AD">
        <w:t>Estimation Model</w:t>
      </w:r>
      <w:bookmarkEnd w:id="31"/>
    </w:p>
    <w:p w14:paraId="21AAB13D" w14:textId="6D0687C0" w:rsidR="00C3763D" w:rsidRPr="001E47AD" w:rsidRDefault="000A77E1" w:rsidP="00E53298">
      <w:pPr>
        <w:spacing w:before="120" w:after="120" w:line="480" w:lineRule="auto"/>
        <w:contextualSpacing/>
        <w:jc w:val="both"/>
        <w:rPr>
          <w:noProof/>
          <w:sz w:val="22"/>
          <w:szCs w:val="22"/>
        </w:rPr>
      </w:pPr>
      <w:r w:rsidRPr="001E47AD">
        <w:rPr>
          <w:noProof/>
          <w:sz w:val="22"/>
          <w:szCs w:val="22"/>
        </w:rPr>
        <w:t>We conduct</w:t>
      </w:r>
      <w:r w:rsidR="00EB3C5F" w:rsidRPr="001E47AD">
        <w:rPr>
          <w:noProof/>
          <w:sz w:val="22"/>
          <w:szCs w:val="22"/>
        </w:rPr>
        <w:t xml:space="preserve"> our analysis </w:t>
      </w:r>
      <w:r w:rsidR="00285F62" w:rsidRPr="001E47AD">
        <w:rPr>
          <w:noProof/>
          <w:sz w:val="22"/>
          <w:szCs w:val="22"/>
        </w:rPr>
        <w:t>in</w:t>
      </w:r>
      <w:r w:rsidR="00EB3C5F" w:rsidRPr="001E47AD">
        <w:rPr>
          <w:noProof/>
          <w:sz w:val="22"/>
          <w:szCs w:val="22"/>
        </w:rPr>
        <w:t xml:space="preserve"> two steps. </w:t>
      </w:r>
      <w:r w:rsidR="008B255F" w:rsidRPr="001E47AD">
        <w:rPr>
          <w:rFonts w:hint="eastAsia"/>
          <w:noProof/>
          <w:sz w:val="22"/>
          <w:szCs w:val="22"/>
          <w:lang w:eastAsia="zh-CN"/>
        </w:rPr>
        <w:t xml:space="preserve">In estimating </w:t>
      </w:r>
      <w:r w:rsidRPr="001E47AD">
        <w:rPr>
          <w:noProof/>
          <w:sz w:val="22"/>
          <w:szCs w:val="22"/>
        </w:rPr>
        <w:t>consumer stockpiling propen</w:t>
      </w:r>
      <w:r w:rsidR="008B255F" w:rsidRPr="001E47AD">
        <w:rPr>
          <w:noProof/>
          <w:sz w:val="22"/>
          <w:szCs w:val="22"/>
        </w:rPr>
        <w:t xml:space="preserve">sity during the EARLY event </w:t>
      </w:r>
      <w:r w:rsidR="008B255F" w:rsidRPr="001E47AD">
        <w:rPr>
          <w:rFonts w:hint="eastAsia"/>
          <w:noProof/>
          <w:sz w:val="22"/>
          <w:szCs w:val="22"/>
          <w:lang w:eastAsia="zh-CN"/>
        </w:rPr>
        <w:t>period, we utilize the</w:t>
      </w:r>
      <w:r w:rsidRPr="001E47AD">
        <w:rPr>
          <w:noProof/>
          <w:sz w:val="22"/>
          <w:szCs w:val="22"/>
        </w:rPr>
        <w:t xml:space="preserve"> supply-side, demand-side, and disaster characteristics as independent variables</w:t>
      </w:r>
      <w:r w:rsidR="0019613B" w:rsidRPr="001E47AD">
        <w:rPr>
          <w:noProof/>
          <w:sz w:val="22"/>
          <w:szCs w:val="22"/>
        </w:rPr>
        <w:t xml:space="preserve">. </w:t>
      </w:r>
      <w:r w:rsidR="0019613B" w:rsidRPr="001E47AD">
        <w:rPr>
          <w:sz w:val="22"/>
          <w:szCs w:val="22"/>
        </w:rPr>
        <w:t>In estimating in-store availability during the LATE and POST events periods, we treat stockpiling propensity during</w:t>
      </w:r>
      <w:r w:rsidR="00834E88" w:rsidRPr="001E47AD">
        <w:rPr>
          <w:sz w:val="22"/>
          <w:szCs w:val="22"/>
        </w:rPr>
        <w:t xml:space="preserve"> the</w:t>
      </w:r>
      <w:r w:rsidR="0019613B" w:rsidRPr="001E47AD">
        <w:rPr>
          <w:sz w:val="22"/>
          <w:szCs w:val="22"/>
        </w:rPr>
        <w:t xml:space="preserve"> EARLY event week as an endogenous variable. Accordingly, we employ two-stage least squares estimation (2SLS)</w:t>
      </w:r>
      <w:r w:rsidR="00834E88" w:rsidRPr="001E47AD">
        <w:rPr>
          <w:sz w:val="22"/>
          <w:szCs w:val="22"/>
        </w:rPr>
        <w:t>,</w:t>
      </w:r>
      <w:r w:rsidR="0019613B" w:rsidRPr="001E47AD">
        <w:rPr>
          <w:sz w:val="22"/>
          <w:szCs w:val="22"/>
        </w:rPr>
        <w:t xml:space="preserve"> thereby using the estimated values of stockpiling propensity </w:t>
      </w:r>
      <w:r w:rsidR="008B255F" w:rsidRPr="001E47AD">
        <w:rPr>
          <w:sz w:val="22"/>
          <w:szCs w:val="22"/>
        </w:rPr>
        <w:t>instead of their actual values</w:t>
      </w:r>
      <w:r w:rsidR="008B255F" w:rsidRPr="001E47AD">
        <w:rPr>
          <w:rFonts w:hint="eastAsia"/>
          <w:sz w:val="22"/>
          <w:szCs w:val="22"/>
          <w:lang w:eastAsia="zh-CN"/>
        </w:rPr>
        <w:t>. To</w:t>
      </w:r>
      <w:r w:rsidRPr="001E47AD">
        <w:rPr>
          <w:noProof/>
          <w:sz w:val="22"/>
          <w:szCs w:val="22"/>
          <w:lang w:eastAsia="zh-CN"/>
        </w:rPr>
        <w:t xml:space="preserve"> </w:t>
      </w:r>
      <w:r w:rsidR="008B255F" w:rsidRPr="001E47AD">
        <w:rPr>
          <w:sz w:val="22"/>
          <w:szCs w:val="22"/>
        </w:rPr>
        <w:t>obtain the estimated value</w:t>
      </w:r>
      <w:r w:rsidR="00834E88" w:rsidRPr="001E47AD">
        <w:rPr>
          <w:sz w:val="22"/>
          <w:szCs w:val="22"/>
        </w:rPr>
        <w:t>s</w:t>
      </w:r>
      <w:r w:rsidR="008B255F" w:rsidRPr="001E47AD">
        <w:rPr>
          <w:sz w:val="22"/>
          <w:szCs w:val="22"/>
        </w:rPr>
        <w:t xml:space="preserve"> for consumer stockpiling propensity during the EARLY event period</w:t>
      </w:r>
      <w:r w:rsidR="00834E88" w:rsidRPr="001E47AD">
        <w:rPr>
          <w:sz w:val="22"/>
          <w:szCs w:val="22"/>
        </w:rPr>
        <w:t>s</w:t>
      </w:r>
      <w:r w:rsidR="008B255F" w:rsidRPr="001E47AD">
        <w:rPr>
          <w:sz w:val="22"/>
          <w:szCs w:val="22"/>
        </w:rPr>
        <w:t xml:space="preserve">, we utilize </w:t>
      </w:r>
      <w:r w:rsidR="003369E1" w:rsidRPr="001E47AD">
        <w:rPr>
          <w:sz w:val="22"/>
          <w:szCs w:val="22"/>
        </w:rPr>
        <w:t xml:space="preserve">industrial water use </w:t>
      </w:r>
      <w:r w:rsidR="005A60A0" w:rsidRPr="001E47AD">
        <w:rPr>
          <w:sz w:val="22"/>
          <w:szCs w:val="22"/>
        </w:rPr>
        <w:t xml:space="preserve">in the county where a store outlet is located </w:t>
      </w:r>
      <w:r w:rsidR="008B255F" w:rsidRPr="001E47AD">
        <w:rPr>
          <w:sz w:val="22"/>
          <w:szCs w:val="22"/>
        </w:rPr>
        <w:t>as instrumental</w:t>
      </w:r>
      <w:r w:rsidR="008C4E52" w:rsidRPr="001E47AD">
        <w:rPr>
          <w:sz w:val="22"/>
          <w:szCs w:val="22"/>
        </w:rPr>
        <w:t xml:space="preserve"> variables</w:t>
      </w:r>
      <w:r w:rsidR="00D30FEA" w:rsidRPr="001E47AD">
        <w:rPr>
          <w:sz w:val="22"/>
          <w:szCs w:val="22"/>
        </w:rPr>
        <w:t>, as further</w:t>
      </w:r>
      <w:r w:rsidR="008C4E52" w:rsidRPr="001E47AD">
        <w:rPr>
          <w:sz w:val="22"/>
          <w:szCs w:val="22"/>
        </w:rPr>
        <w:t xml:space="preserve"> explained in Section 3.5.</w:t>
      </w:r>
    </w:p>
    <w:p w14:paraId="2C5E471B" w14:textId="768BE078" w:rsidR="00E75CAC" w:rsidRPr="001E47AD" w:rsidRDefault="003369E1" w:rsidP="00E75CAC">
      <w:pPr>
        <w:spacing w:before="120" w:after="120" w:line="480" w:lineRule="auto"/>
        <w:ind w:firstLine="720"/>
        <w:contextualSpacing/>
        <w:jc w:val="both"/>
        <w:rPr>
          <w:sz w:val="22"/>
          <w:szCs w:val="22"/>
        </w:rPr>
      </w:pPr>
      <w:r w:rsidRPr="001E47AD">
        <w:rPr>
          <w:noProof/>
          <w:sz w:val="22"/>
          <w:szCs w:val="22"/>
          <w:lang w:eastAsia="zh-CN"/>
        </w:rPr>
        <w:t xml:space="preserve">In </w:t>
      </w:r>
      <w:r w:rsidR="009B712B" w:rsidRPr="001E47AD">
        <w:rPr>
          <w:noProof/>
          <w:sz w:val="22"/>
          <w:szCs w:val="22"/>
          <w:lang w:eastAsia="zh-CN"/>
        </w:rPr>
        <w:t>E</w:t>
      </w:r>
      <w:r w:rsidR="00F54047" w:rsidRPr="001E47AD">
        <w:rPr>
          <w:noProof/>
          <w:sz w:val="22"/>
          <w:szCs w:val="22"/>
          <w:lang w:eastAsia="zh-CN"/>
        </w:rPr>
        <w:t>quations (1)</w:t>
      </w:r>
      <w:r w:rsidR="005824C6" w:rsidRPr="001E47AD">
        <w:rPr>
          <w:noProof/>
          <w:sz w:val="22"/>
          <w:szCs w:val="22"/>
          <w:lang w:eastAsia="zh-CN"/>
        </w:rPr>
        <w:t xml:space="preserve"> </w:t>
      </w:r>
      <w:r w:rsidR="00F54047" w:rsidRPr="001E47AD">
        <w:rPr>
          <w:noProof/>
          <w:sz w:val="22"/>
          <w:szCs w:val="22"/>
          <w:lang w:eastAsia="zh-CN"/>
        </w:rPr>
        <w:t>and (</w:t>
      </w:r>
      <w:r w:rsidR="005824C6" w:rsidRPr="001E47AD">
        <w:rPr>
          <w:noProof/>
          <w:sz w:val="22"/>
          <w:szCs w:val="22"/>
          <w:lang w:eastAsia="zh-CN"/>
        </w:rPr>
        <w:t>2</w:t>
      </w:r>
      <w:r w:rsidR="00F54047" w:rsidRPr="001E47AD">
        <w:rPr>
          <w:noProof/>
          <w:sz w:val="22"/>
          <w:szCs w:val="22"/>
          <w:lang w:eastAsia="zh-CN"/>
        </w:rPr>
        <w:t xml:space="preserve">), </w:t>
      </w:r>
      <m:oMath>
        <m:sSub>
          <m:sSubPr>
            <m:ctrlPr>
              <w:rPr>
                <w:rFonts w:ascii="Cambria Math" w:hAnsi="Cambria Math"/>
                <w:sz w:val="22"/>
                <w:szCs w:val="22"/>
              </w:rPr>
            </m:ctrlPr>
          </m:sSubPr>
          <m:e>
            <m:r>
              <m:rPr>
                <m:sty m:val="p"/>
              </m:rPr>
              <w:rPr>
                <w:rFonts w:ascii="Cambria Math" w:hAnsi="Cambria Math"/>
                <w:sz w:val="22"/>
                <w:szCs w:val="22"/>
              </w:rPr>
              <m:t>STOCK_PROP_EARLY</m:t>
            </m:r>
          </m:e>
          <m:sub>
            <m:r>
              <m:rPr>
                <m:sty m:val="p"/>
              </m:rPr>
              <w:rPr>
                <w:rFonts w:ascii="Cambria Math" w:hAnsi="Cambria Math"/>
                <w:sz w:val="22"/>
                <w:szCs w:val="22"/>
              </w:rPr>
              <m:t>ich</m:t>
            </m:r>
          </m:sub>
        </m:sSub>
      </m:oMath>
      <w:r w:rsidR="002F28CA" w:rsidRPr="001E47AD">
        <w:rPr>
          <w:noProof/>
          <w:sz w:val="22"/>
          <w:szCs w:val="22"/>
        </w:rPr>
        <w:t xml:space="preserve"> </w:t>
      </w:r>
      <w:r w:rsidR="002F28CA" w:rsidRPr="001E47AD">
        <w:rPr>
          <w:noProof/>
          <w:sz w:val="22"/>
          <w:szCs w:val="22"/>
          <w:lang w:eastAsia="zh-CN"/>
        </w:rPr>
        <w:t xml:space="preserve">and </w:t>
      </w:r>
      <m:oMath>
        <m:sSub>
          <m:sSubPr>
            <m:ctrlPr>
              <w:rPr>
                <w:rFonts w:ascii="Cambria Math" w:hAnsi="Cambria Math"/>
                <w:sz w:val="22"/>
                <w:szCs w:val="22"/>
              </w:rPr>
            </m:ctrlPr>
          </m:sSubPr>
          <m:e>
            <m:r>
              <m:rPr>
                <m:sty m:val="p"/>
              </m:rPr>
              <w:rPr>
                <w:rFonts w:ascii="Cambria Math" w:hAnsi="Cambria Math"/>
                <w:sz w:val="22"/>
                <w:szCs w:val="22"/>
              </w:rPr>
              <m:t>PRODUCT_AVAIL_LATE\_POST</m:t>
            </m:r>
          </m:e>
          <m:sub>
            <m:r>
              <m:rPr>
                <m:sty m:val="p"/>
              </m:rPr>
              <w:rPr>
                <w:rFonts w:ascii="Cambria Math" w:hAnsi="Cambria Math"/>
                <w:sz w:val="22"/>
                <w:szCs w:val="22"/>
              </w:rPr>
              <m:t>ich</m:t>
            </m:r>
          </m:sub>
        </m:sSub>
      </m:oMath>
      <w:r w:rsidR="002F28CA" w:rsidRPr="001E47AD">
        <w:rPr>
          <w:sz w:val="22"/>
          <w:szCs w:val="22"/>
        </w:rPr>
        <w:t xml:space="preserve"> are the dependent variables observed for individual store outlet </w:t>
      </w:r>
      <m:oMath>
        <m:r>
          <m:rPr>
            <m:sty m:val="p"/>
          </m:rPr>
          <w:rPr>
            <w:rFonts w:ascii="Cambria Math" w:hAnsi="Cambria Math"/>
            <w:noProof/>
            <w:sz w:val="22"/>
            <w:szCs w:val="22"/>
          </w:rPr>
          <m:t>i</m:t>
        </m:r>
      </m:oMath>
      <w:r w:rsidR="002F28CA" w:rsidRPr="001E47AD">
        <w:rPr>
          <w:sz w:val="22"/>
          <w:szCs w:val="22"/>
        </w:rPr>
        <w:t xml:space="preserve"> located in county </w:t>
      </w:r>
      <m:oMath>
        <m:r>
          <m:rPr>
            <m:sty m:val="p"/>
          </m:rPr>
          <w:rPr>
            <w:rFonts w:ascii="Cambria Math" w:hAnsi="Cambria Math"/>
            <w:sz w:val="22"/>
            <w:szCs w:val="22"/>
          </w:rPr>
          <m:t>c</m:t>
        </m:r>
      </m:oMath>
      <w:r w:rsidR="002F28CA" w:rsidRPr="001E47AD">
        <w:rPr>
          <w:sz w:val="22"/>
          <w:szCs w:val="22"/>
        </w:rPr>
        <w:t xml:space="preserve"> affected by hurricane event </w:t>
      </w:r>
      <m:oMath>
        <m:r>
          <m:rPr>
            <m:sty m:val="p"/>
          </m:rPr>
          <w:rPr>
            <w:rFonts w:ascii="Cambria Math" w:hAnsi="Cambria Math"/>
            <w:sz w:val="22"/>
            <w:szCs w:val="22"/>
          </w:rPr>
          <m:t>h</m:t>
        </m:r>
      </m:oMath>
      <w:r w:rsidR="002F28CA" w:rsidRPr="001E47AD">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δ</m:t>
            </m:r>
          </m:e>
          <m:sub>
            <m:r>
              <m:rPr>
                <m:sty m:val="p"/>
              </m:rPr>
              <w:rPr>
                <w:rFonts w:ascii="Cambria Math" w:hAnsi="Cambria Math"/>
                <w:sz w:val="22"/>
                <w:szCs w:val="22"/>
              </w:rPr>
              <m:t>c</m:t>
            </m:r>
          </m:sub>
        </m:sSub>
      </m:oMath>
      <w:r w:rsidR="002F28CA" w:rsidRPr="001E47AD">
        <w:rPr>
          <w:sz w:val="22"/>
          <w:szCs w:val="22"/>
        </w:rPr>
        <w:t xml:space="preserve"> </w:t>
      </w:r>
      <w:r w:rsidR="008415BB" w:rsidRPr="001E47AD">
        <w:rPr>
          <w:rFonts w:hint="eastAsia"/>
          <w:sz w:val="22"/>
          <w:szCs w:val="22"/>
          <w:lang w:eastAsia="zh-CN"/>
        </w:rPr>
        <w:t>(</w:t>
      </w:r>
      <m:oMath>
        <m:sSub>
          <m:sSubPr>
            <m:ctrlPr>
              <w:rPr>
                <w:rFonts w:ascii="Cambria Math" w:hAnsi="Cambria Math"/>
                <w:sz w:val="22"/>
                <w:szCs w:val="22"/>
              </w:rPr>
            </m:ctrlPr>
          </m:sSubPr>
          <m:e>
            <m:r>
              <m:rPr>
                <m:sty m:val="p"/>
              </m:rPr>
              <w:rPr>
                <w:rFonts w:ascii="Cambria Math" w:hAnsi="Cambria Math"/>
                <w:sz w:val="22"/>
                <w:szCs w:val="22"/>
              </w:rPr>
              <m:t>θ</m:t>
            </m:r>
          </m:e>
          <m:sub>
            <m:r>
              <m:rPr>
                <m:sty m:val="p"/>
              </m:rPr>
              <w:rPr>
                <w:rFonts w:ascii="Cambria Math" w:hAnsi="Cambria Math"/>
                <w:sz w:val="22"/>
                <w:szCs w:val="22"/>
              </w:rPr>
              <m:t>c</m:t>
            </m:r>
          </m:sub>
        </m:sSub>
      </m:oMath>
      <w:r w:rsidR="008415BB" w:rsidRPr="001E47AD">
        <w:rPr>
          <w:rFonts w:hint="eastAsia"/>
          <w:sz w:val="22"/>
          <w:szCs w:val="22"/>
          <w:lang w:eastAsia="zh-CN"/>
        </w:rPr>
        <w:t xml:space="preserve">) </w:t>
      </w:r>
      <w:r w:rsidR="00D30FEA" w:rsidRPr="001E47AD">
        <w:rPr>
          <w:noProof/>
          <w:sz w:val="22"/>
          <w:szCs w:val="22"/>
        </w:rPr>
        <w:t>is</w:t>
      </w:r>
      <w:r w:rsidR="002F28CA" w:rsidRPr="001E47AD">
        <w:rPr>
          <w:noProof/>
          <w:sz w:val="22"/>
          <w:szCs w:val="22"/>
        </w:rPr>
        <w:t xml:space="preserve"> the unobserved county-invariant individual effect;</w:t>
      </w:r>
      <w:r w:rsidR="002F28CA" w:rsidRPr="001E47AD">
        <w:rPr>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μ</m:t>
            </m:r>
          </m:e>
          <m:sub>
            <m:r>
              <m:rPr>
                <m:sty m:val="p"/>
              </m:rPr>
              <w:rPr>
                <w:rFonts w:ascii="Cambria Math" w:hAnsi="Cambria Math"/>
                <w:sz w:val="22"/>
                <w:szCs w:val="22"/>
              </w:rPr>
              <m:t>ich</m:t>
            </m:r>
          </m:sub>
        </m:sSub>
      </m:oMath>
      <w:r w:rsidR="002F28CA" w:rsidRPr="001E47AD">
        <w:rPr>
          <w:sz w:val="22"/>
          <w:szCs w:val="22"/>
        </w:rPr>
        <w:t xml:space="preserve"> </w:t>
      </w:r>
      <w:r w:rsidR="008415BB" w:rsidRPr="001E47AD">
        <w:rPr>
          <w:rFonts w:hint="eastAsia"/>
          <w:sz w:val="22"/>
          <w:szCs w:val="22"/>
          <w:lang w:eastAsia="zh-CN"/>
        </w:rPr>
        <w:t>(</w:t>
      </w:r>
      <m:oMath>
        <m:sSub>
          <m:sSubPr>
            <m:ctrlPr>
              <w:rPr>
                <w:rFonts w:ascii="Cambria Math" w:hAnsi="Cambria Math"/>
                <w:sz w:val="22"/>
                <w:szCs w:val="22"/>
              </w:rPr>
            </m:ctrlPr>
          </m:sSubPr>
          <m:e>
            <m:r>
              <m:rPr>
                <m:sty m:val="p"/>
              </m:rPr>
              <w:rPr>
                <w:rFonts w:ascii="Cambria Math" w:hAnsi="Cambria Math"/>
                <w:sz w:val="22"/>
                <w:szCs w:val="22"/>
              </w:rPr>
              <m:t>ε</m:t>
            </m:r>
          </m:e>
          <m:sub>
            <m:r>
              <m:rPr>
                <m:sty m:val="p"/>
              </m:rPr>
              <w:rPr>
                <w:rFonts w:ascii="Cambria Math" w:hAnsi="Cambria Math"/>
                <w:sz w:val="22"/>
                <w:szCs w:val="22"/>
              </w:rPr>
              <m:t>ich</m:t>
            </m:r>
          </m:sub>
        </m:sSub>
      </m:oMath>
      <w:r w:rsidR="008415BB" w:rsidRPr="001E47AD">
        <w:rPr>
          <w:rFonts w:hint="eastAsia"/>
          <w:sz w:val="22"/>
          <w:szCs w:val="22"/>
          <w:lang w:eastAsia="zh-CN"/>
        </w:rPr>
        <w:t xml:space="preserve">) </w:t>
      </w:r>
      <w:r w:rsidR="002F28CA" w:rsidRPr="001E47AD">
        <w:rPr>
          <w:noProof/>
          <w:sz w:val="22"/>
          <w:szCs w:val="22"/>
        </w:rPr>
        <w:t>is the error term.</w:t>
      </w:r>
      <w:r w:rsidR="002F28CA" w:rsidRPr="001E47AD">
        <w:rPr>
          <w:sz w:val="22"/>
          <w:szCs w:val="22"/>
        </w:rPr>
        <w:t xml:space="preserve"> </w:t>
      </w:r>
      <w:r w:rsidR="00F85A1D" w:rsidRPr="001E47AD">
        <w:rPr>
          <w:sz w:val="22"/>
          <w:szCs w:val="22"/>
        </w:rPr>
        <w:t xml:space="preserve">The variables are fully defined in </w:t>
      </w:r>
      <w:r w:rsidR="00FD6CB1" w:rsidRPr="001E47AD">
        <w:rPr>
          <w:sz w:val="22"/>
          <w:szCs w:val="22"/>
        </w:rPr>
        <w:t xml:space="preserve">Section </w:t>
      </w:r>
      <w:r w:rsidR="00F85A1D" w:rsidRPr="001E47AD">
        <w:rPr>
          <w:sz w:val="22"/>
          <w:szCs w:val="22"/>
        </w:rPr>
        <w:fldChar w:fldCharType="begin"/>
      </w:r>
      <w:r w:rsidR="00F85A1D" w:rsidRPr="001E47AD">
        <w:rPr>
          <w:sz w:val="22"/>
          <w:szCs w:val="22"/>
        </w:rPr>
        <w:instrText xml:space="preserve"> REF _Ref17407457 \r \h </w:instrText>
      </w:r>
      <w:r w:rsidR="00F234CE" w:rsidRPr="001E47AD">
        <w:rPr>
          <w:sz w:val="22"/>
          <w:szCs w:val="22"/>
        </w:rPr>
        <w:instrText xml:space="preserve"> \* MERGEFORMAT </w:instrText>
      </w:r>
      <w:r w:rsidR="00F85A1D" w:rsidRPr="001E47AD">
        <w:rPr>
          <w:sz w:val="22"/>
          <w:szCs w:val="22"/>
        </w:rPr>
      </w:r>
      <w:r w:rsidR="00F85A1D" w:rsidRPr="001E47AD">
        <w:rPr>
          <w:sz w:val="22"/>
          <w:szCs w:val="22"/>
        </w:rPr>
        <w:fldChar w:fldCharType="separate"/>
      </w:r>
      <w:r w:rsidR="009E3444" w:rsidRPr="001E47AD">
        <w:rPr>
          <w:sz w:val="22"/>
          <w:szCs w:val="22"/>
        </w:rPr>
        <w:t>3.5</w:t>
      </w:r>
      <w:r w:rsidR="00F85A1D" w:rsidRPr="001E47AD">
        <w:rPr>
          <w:sz w:val="22"/>
          <w:szCs w:val="22"/>
        </w:rPr>
        <w:fldChar w:fldCharType="end"/>
      </w:r>
      <w:r w:rsidR="00F85A1D" w:rsidRPr="001E47AD">
        <w:rPr>
          <w:sz w:val="22"/>
          <w:szCs w:val="22"/>
        </w:rPr>
        <w:t>.</w:t>
      </w:r>
      <w:r w:rsidR="00576435" w:rsidRPr="001E47AD">
        <w:rPr>
          <w:rStyle w:val="FootnoteReference"/>
          <w:sz w:val="22"/>
          <w:szCs w:val="22"/>
        </w:rPr>
        <w:t xml:space="preserve"> </w:t>
      </w:r>
    </w:p>
    <w:p w14:paraId="7C1F45E5" w14:textId="77777777" w:rsidR="0061404D" w:rsidRPr="001E47AD" w:rsidRDefault="0061404D" w:rsidP="00C3763D">
      <w:pPr>
        <w:spacing w:before="120" w:after="120" w:line="480" w:lineRule="auto"/>
        <w:ind w:firstLine="720"/>
        <w:contextualSpacing/>
        <w:jc w:val="both"/>
        <w:rPr>
          <w:sz w:val="22"/>
          <w:szCs w:val="22"/>
        </w:rPr>
      </w:pPr>
    </w:p>
    <w:p w14:paraId="57EEED8F" w14:textId="59D54CE1" w:rsidR="008C3690" w:rsidRPr="001E47AD" w:rsidRDefault="00B3690A" w:rsidP="00C3763D">
      <w:pPr>
        <w:spacing w:before="120" w:after="120" w:line="480" w:lineRule="auto"/>
        <w:ind w:firstLine="720"/>
        <w:contextualSpacing/>
        <w:jc w:val="both"/>
        <w:rPr>
          <w:sz w:val="22"/>
          <w:szCs w:val="22"/>
        </w:rPr>
      </w:pPr>
      <w:r w:rsidRPr="001E47AD">
        <w:rPr>
          <w:sz w:val="22"/>
          <w:szCs w:val="22"/>
        </w:rPr>
        <w:lastRenderedPageBreak/>
        <w:t xml:space="preserve">Step 1: </w:t>
      </w:r>
      <w:r w:rsidR="006A00AF" w:rsidRPr="001E47AD">
        <w:rPr>
          <w:sz w:val="22"/>
          <w:szCs w:val="22"/>
        </w:rPr>
        <w:t>C</w:t>
      </w:r>
      <w:r w:rsidR="00BD03B4" w:rsidRPr="001E47AD">
        <w:rPr>
          <w:sz w:val="22"/>
          <w:szCs w:val="22"/>
        </w:rPr>
        <w:t xml:space="preserve">onsumer </w:t>
      </w:r>
      <w:r w:rsidR="006A00AF" w:rsidRPr="001E47AD">
        <w:rPr>
          <w:sz w:val="22"/>
          <w:szCs w:val="22"/>
        </w:rPr>
        <w:t>S</w:t>
      </w:r>
      <w:r w:rsidR="00BD03B4" w:rsidRPr="001E47AD">
        <w:rPr>
          <w:sz w:val="22"/>
          <w:szCs w:val="22"/>
        </w:rPr>
        <w:t xml:space="preserve">tockpiling </w:t>
      </w:r>
      <w:r w:rsidR="006A00AF" w:rsidRPr="001E47AD">
        <w:rPr>
          <w:sz w:val="22"/>
          <w:szCs w:val="22"/>
        </w:rPr>
        <w:t>P</w:t>
      </w:r>
      <w:r w:rsidR="00BD03B4" w:rsidRPr="001E47AD">
        <w:rPr>
          <w:sz w:val="22"/>
          <w:szCs w:val="22"/>
        </w:rPr>
        <w:t>ropensity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8659"/>
      </w:tblGrid>
      <w:tr w:rsidR="00393153" w:rsidRPr="001E47AD" w14:paraId="50D0CA82" w14:textId="77777777" w:rsidTr="001D3239">
        <w:tc>
          <w:tcPr>
            <w:tcW w:w="5000" w:type="pct"/>
            <w:gridSpan w:val="2"/>
          </w:tcPr>
          <w:p w14:paraId="041C680F" w14:textId="600A8ED8" w:rsidR="007528C6" w:rsidRPr="001E47AD" w:rsidRDefault="00BA1AA4" w:rsidP="001D3239">
            <w:pPr>
              <w:spacing w:line="360" w:lineRule="auto"/>
              <w:ind w:left="720"/>
              <w:contextualSpacing/>
              <w:rPr>
                <w:rFonts w:ascii="Times New Roman" w:hAnsi="Times New Roman" w:cs="Times New Roman"/>
                <w:sz w:val="18"/>
                <w:szCs w:val="18"/>
              </w:rPr>
            </w:pPr>
            <m:oMath>
              <m:r>
                <m:rPr>
                  <m:sty m:val="p"/>
                </m:rPr>
                <w:rPr>
                  <w:rFonts w:ascii="Cambria Math" w:hAnsi="Cambria Math" w:cs="Times New Roman"/>
                  <w:sz w:val="18"/>
                  <w:szCs w:val="18"/>
                </w:rPr>
                <m:t>LN(</m:t>
              </m:r>
              <m:sSub>
                <m:sSubPr>
                  <m:ctrlPr>
                    <w:rPr>
                      <w:rFonts w:ascii="Cambria Math" w:hAnsi="Cambria Math" w:cs="Times New Roman"/>
                      <w:sz w:val="18"/>
                      <w:szCs w:val="18"/>
                    </w:rPr>
                  </m:ctrlPr>
                </m:sSubPr>
                <m:e>
                  <m:r>
                    <m:rPr>
                      <m:sty m:val="p"/>
                    </m:rPr>
                    <w:rPr>
                      <w:rFonts w:ascii="Cambria Math" w:hAnsi="Cambria Math" w:cs="Times New Roman"/>
                      <w:sz w:val="18"/>
                      <w:szCs w:val="18"/>
                    </w:rPr>
                    <m:t>STOCK_PROP_EARLY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oMath>
            <w:r w:rsidR="008C4E83" w:rsidRPr="001E47AD">
              <w:rPr>
                <w:rFonts w:ascii="Times New Roman" w:hAnsi="Times New Roman" w:cs="Times New Roman"/>
                <w:sz w:val="18"/>
                <w:szCs w:val="18"/>
              </w:rPr>
              <w:t xml:space="preserv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0</m:t>
                  </m:r>
                </m:sub>
              </m:sSub>
            </m:oMath>
          </w:p>
        </w:tc>
      </w:tr>
      <w:tr w:rsidR="007528C6" w:rsidRPr="001E47AD" w14:paraId="0730D72E" w14:textId="77777777" w:rsidTr="001D3239">
        <w:tc>
          <w:tcPr>
            <w:tcW w:w="479" w:type="pct"/>
          </w:tcPr>
          <w:p w14:paraId="74F5CCDE" w14:textId="77777777" w:rsidR="007528C6" w:rsidRPr="001E47AD" w:rsidRDefault="007528C6" w:rsidP="002B748E">
            <w:pPr>
              <w:spacing w:line="360" w:lineRule="auto"/>
              <w:rPr>
                <w:rFonts w:ascii="Times New Roman" w:hAnsi="Times New Roman" w:cs="Times New Roman"/>
                <w:sz w:val="18"/>
                <w:szCs w:val="18"/>
              </w:rPr>
            </w:pPr>
          </w:p>
        </w:tc>
        <w:tc>
          <w:tcPr>
            <w:tcW w:w="4521" w:type="pct"/>
          </w:tcPr>
          <w:p w14:paraId="14C15337" w14:textId="5F148D90"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INTRA_NTW_COUNTY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(INTRA_NTW_COUNTY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57A2347A" w14:textId="77777777"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3</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INTER_NTW_COUNTRY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4</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(INTER_NTW_COUNTRY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04C421D0" w14:textId="1F6F4535"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5</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PROD_VAR_UPC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6</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(PROD_VAR_UPC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7351D4D8" w14:textId="77777777"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7</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HUR_EXP_STATE</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8</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HUR_EXP_STATE</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255F49B9" w14:textId="77777777"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9</m:t>
                        </m:r>
                      </m:sub>
                    </m:sSub>
                    <m:r>
                      <m:rPr>
                        <m:sty m:val="p"/>
                      </m:rPr>
                      <w:rPr>
                        <w:rFonts w:ascii="Cambria Math" w:hAnsi="Cambria Math" w:cs="Times New Roman"/>
                        <w:sz w:val="18"/>
                        <w:szCs w:val="18"/>
                      </w:rPr>
                      <m:t>∙PER_CAPITA_INC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10</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PER_CAPITA_INC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539BFD5F" w14:textId="77777777"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11</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HUR_LANDFALL_DIST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12</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(HUR_</m:t>
                    </m:r>
                    <m:sSub>
                      <m:sSubPr>
                        <m:ctrlPr>
                          <w:rPr>
                            <w:rFonts w:ascii="Cambria Math" w:hAnsi="Cambria Math" w:cs="Times New Roman"/>
                            <w:sz w:val="18"/>
                            <w:szCs w:val="18"/>
                          </w:rPr>
                        </m:ctrlPr>
                      </m:sSubPr>
                      <m:e>
                        <m:r>
                          <m:rPr>
                            <m:sty m:val="p"/>
                          </m:rPr>
                          <w:rPr>
                            <w:rFonts w:ascii="Cambria Math" w:hAnsi="Cambria Math" w:cs="Times New Roman"/>
                            <w:sz w:val="18"/>
                            <w:szCs w:val="18"/>
                          </w:rPr>
                          <m:t>LANDFALL_DIST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22540413" w14:textId="77777777"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13</m:t>
                    </m:r>
                  </m:sub>
                </m:sSub>
                <m:r>
                  <m:rPr>
                    <m:sty m:val="p"/>
                  </m:rPr>
                  <w:rPr>
                    <w:rFonts w:ascii="Cambria Math" w:hAnsi="Cambria Math" w:cs="Times New Roman"/>
                    <w:sz w:val="18"/>
                    <w:szCs w:val="18"/>
                  </w:rPr>
                  <m:t>∙HUR_</m:t>
                </m:r>
                <m:sSub>
                  <m:sSubPr>
                    <m:ctrlPr>
                      <w:rPr>
                        <w:rFonts w:ascii="Cambria Math" w:hAnsi="Cambria Math" w:cs="Times New Roman"/>
                        <w:sz w:val="18"/>
                        <w:szCs w:val="18"/>
                      </w:rPr>
                    </m:ctrlPr>
                  </m:sSubPr>
                  <m:e>
                    <m:r>
                      <m:rPr>
                        <m:sty m:val="p"/>
                      </m:rPr>
                      <w:rPr>
                        <w:rFonts w:ascii="Cambria Math" w:hAnsi="Cambria Math" w:cs="Times New Roman"/>
                        <w:sz w:val="18"/>
                        <w:szCs w:val="18"/>
                      </w:rPr>
                      <m:t>TRACK_DIST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14</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(HUR_TRACK_DIST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0C2D0939" w14:textId="77777777"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15</m:t>
                    </m:r>
                  </m:sub>
                </m:sSub>
                <m:r>
                  <m:rPr>
                    <m:sty m:val="p"/>
                  </m:rPr>
                  <w:rPr>
                    <w:rFonts w:ascii="Cambria Math" w:hAnsi="Cambria Math" w:cs="Times New Roman"/>
                    <w:sz w:val="18"/>
                    <w:szCs w:val="18"/>
                  </w:rPr>
                  <m:t>∙HUR_</m:t>
                </m:r>
                <m:sSub>
                  <m:sSubPr>
                    <m:ctrlPr>
                      <w:rPr>
                        <w:rFonts w:ascii="Cambria Math" w:hAnsi="Cambria Math" w:cs="Times New Roman"/>
                        <w:sz w:val="18"/>
                        <w:szCs w:val="18"/>
                      </w:rPr>
                    </m:ctrlPr>
                  </m:sSubPr>
                  <m:e>
                    <m:r>
                      <m:rPr>
                        <m:sty m:val="p"/>
                      </m:rPr>
                      <w:rPr>
                        <w:rFonts w:ascii="Cambria Math" w:hAnsi="Cambria Math" w:cs="Times New Roman"/>
                        <w:sz w:val="18"/>
                        <w:szCs w:val="18"/>
                      </w:rPr>
                      <m:t>TRACK_WIND</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16</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(HUR_TRACK_WIND</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36C78BA7" w14:textId="77777777"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17</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RETAIL_FORMAT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18</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RETAIL_CHAIN</m:t>
                    </m:r>
                  </m:e>
                  <m:sub>
                    <m:r>
                      <m:rPr>
                        <m:sty m:val="p"/>
                      </m:rPr>
                      <w:rPr>
                        <w:rFonts w:ascii="Cambria Math" w:hAnsi="Cambria Math" w:cs="Times New Roman"/>
                        <w:sz w:val="18"/>
                        <w:szCs w:val="18"/>
                      </w:rPr>
                      <m:t>ich</m:t>
                    </m:r>
                  </m:sub>
                </m:sSub>
              </m:oMath>
            </m:oMathPara>
          </w:p>
          <w:p w14:paraId="1C79FD6C" w14:textId="269BA7A2" w:rsidR="00E75EDE" w:rsidRPr="001E47AD" w:rsidRDefault="00E75EDE" w:rsidP="00E75ED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19</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DAYS_BEF_INFLUENCE_EARLY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20</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DAYS_INFLUENCE_AFT_LANDFALL</m:t>
                    </m:r>
                  </m:e>
                  <m:sub>
                    <m:r>
                      <m:rPr>
                        <m:sty m:val="p"/>
                      </m:rPr>
                      <w:rPr>
                        <w:rFonts w:ascii="Cambria Math" w:hAnsi="Cambria Math" w:cs="Times New Roman"/>
                        <w:sz w:val="18"/>
                        <w:szCs w:val="18"/>
                      </w:rPr>
                      <m:t>ich</m:t>
                    </m:r>
                  </m:sub>
                </m:sSub>
              </m:oMath>
            </m:oMathPara>
          </w:p>
          <w:p w14:paraId="715D61C3" w14:textId="1116986D"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21</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VOL_COUNTY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22</m:t>
                    </m:r>
                  </m:sub>
                </m:sSub>
                <m:sSub>
                  <m:sSubPr>
                    <m:ctrlPr>
                      <w:rPr>
                        <w:rFonts w:ascii="Cambria Math" w:hAnsi="Cambria Math" w:cs="Times New Roman"/>
                        <w:sz w:val="18"/>
                        <w:szCs w:val="18"/>
                      </w:rPr>
                    </m:ctrlPr>
                  </m:sSubPr>
                  <m:e>
                    <m:r>
                      <m:rPr>
                        <m:sty m:val="p"/>
                      </m:rPr>
                      <w:rPr>
                        <w:rFonts w:ascii="Cambria Math" w:hAnsi="Cambria Math" w:cs="Times New Roman"/>
                        <w:sz w:val="18"/>
                        <w:szCs w:val="18"/>
                      </w:rPr>
                      <m:t>∙VOL_STATE</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23</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HHI_COUNTY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24</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HHI_STATE</m:t>
                    </m:r>
                  </m:e>
                  <m:sub>
                    <m:r>
                      <m:rPr>
                        <m:sty m:val="p"/>
                      </m:rPr>
                      <w:rPr>
                        <w:rFonts w:ascii="Cambria Math" w:hAnsi="Cambria Math" w:cs="Times New Roman"/>
                        <w:sz w:val="18"/>
                        <w:szCs w:val="18"/>
                      </w:rPr>
                      <m:t>ich</m:t>
                    </m:r>
                  </m:sub>
                </m:sSub>
              </m:oMath>
            </m:oMathPara>
          </w:p>
          <w:p w14:paraId="0F78D95E" w14:textId="06E5B7EC" w:rsidR="007528C6" w:rsidRPr="001E47AD" w:rsidRDefault="007528C6"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25</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POP_DEN_COUNTY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26</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POP_DEN_STATE</m:t>
                    </m:r>
                  </m:e>
                  <m:sub>
                    <m:r>
                      <m:rPr>
                        <m:sty m:val="p"/>
                      </m:rPr>
                      <w:rPr>
                        <w:rFonts w:ascii="Cambria Math" w:hAnsi="Cambria Math" w:cs="Times New Roman"/>
                        <w:sz w:val="18"/>
                        <w:szCs w:val="18"/>
                      </w:rPr>
                      <m:t>ich</m:t>
                    </m:r>
                  </m:sub>
                </m:sSub>
              </m:oMath>
            </m:oMathPara>
          </w:p>
          <w:p w14:paraId="51B6B66E" w14:textId="02CB7808" w:rsidR="00EC65A4" w:rsidRPr="001E47AD" w:rsidRDefault="00EC65A4" w:rsidP="00EC65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27</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LAND_AREA_COUNTY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28</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LAND_AREA_STATE</m:t>
                    </m:r>
                  </m:e>
                  <m:sub>
                    <m:r>
                      <m:rPr>
                        <m:sty m:val="p"/>
                      </m:rPr>
                      <w:rPr>
                        <w:rFonts w:ascii="Cambria Math" w:hAnsi="Cambria Math" w:cs="Times New Roman"/>
                        <w:sz w:val="18"/>
                        <w:szCs w:val="18"/>
                      </w:rPr>
                      <m:t>ich</m:t>
                    </m:r>
                  </m:sub>
                </m:sSub>
              </m:oMath>
            </m:oMathPara>
          </w:p>
          <w:p w14:paraId="33D2C607" w14:textId="7190FCAB" w:rsidR="007528C6" w:rsidRPr="001E47AD" w:rsidRDefault="00EC65A4" w:rsidP="00BA1AA4">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29</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WATER_AREA_COUNTY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β</m:t>
                    </m:r>
                  </m:e>
                  <m:sub>
                    <m:r>
                      <m:rPr>
                        <m:sty m:val="p"/>
                      </m:rPr>
                      <w:rPr>
                        <w:rFonts w:ascii="Cambria Math" w:hAnsi="Cambria Math" w:cs="Times New Roman"/>
                        <w:sz w:val="18"/>
                        <w:szCs w:val="18"/>
                      </w:rPr>
                      <m:t>30</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WATER_AREA_STATE</m:t>
                    </m:r>
                  </m:e>
                  <m:sub>
                    <m:r>
                      <m:rPr>
                        <m:sty m:val="p"/>
                      </m:rPr>
                      <w:rPr>
                        <w:rFonts w:ascii="Cambria Math" w:hAnsi="Cambria Math" w:cs="Times New Roman"/>
                        <w:sz w:val="18"/>
                        <w:szCs w:val="18"/>
                      </w:rPr>
                      <m:t>ich</m:t>
                    </m:r>
                  </m:sub>
                </m:sSub>
              </m:oMath>
            </m:oMathPara>
          </w:p>
          <w:p w14:paraId="3803DC8D" w14:textId="37BCFB74" w:rsidR="007528C6" w:rsidRPr="001E47AD" w:rsidRDefault="007528C6" w:rsidP="00E75CAC">
            <w:pPr>
              <w:spacing w:line="360" w:lineRule="auto"/>
              <w:contextualSpacing/>
              <w:rPr>
                <w:rFonts w:ascii="Times New Roman" w:hAnsi="Times New Roman" w:cs="Times New Roman"/>
                <w:sz w:val="18"/>
                <w:szCs w:val="18"/>
              </w:rPr>
            </w:p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δ</m:t>
                  </m:r>
                </m:e>
                <m:sub>
                  <m:r>
                    <m:rPr>
                      <m:sty m:val="p"/>
                    </m:rPr>
                    <w:rPr>
                      <w:rFonts w:ascii="Cambria Math" w:hAnsi="Cambria Math" w:cs="Times New Roman"/>
                      <w:sz w:val="18"/>
                      <w:szCs w:val="18"/>
                    </w:rPr>
                    <m:t>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μ</m:t>
                  </m:r>
                </m:e>
                <m:sub>
                  <m:r>
                    <m:rPr>
                      <m:sty m:val="p"/>
                    </m:rPr>
                    <w:rPr>
                      <w:rFonts w:ascii="Cambria Math" w:hAnsi="Cambria Math" w:cs="Times New Roman"/>
                      <w:sz w:val="18"/>
                      <w:szCs w:val="18"/>
                    </w:rPr>
                    <m:t>ich</m:t>
                  </m:r>
                </m:sub>
              </m:sSub>
            </m:oMath>
            <w:r w:rsidRPr="001E47AD">
              <w:rPr>
                <w:rFonts w:ascii="Times New Roman" w:hAnsi="Times New Roman" w:cs="Times New Roman"/>
                <w:sz w:val="18"/>
                <w:szCs w:val="18"/>
              </w:rPr>
              <w:t xml:space="preserve"> </w:t>
            </w:r>
            <w:r w:rsidR="00BA1AA4" w:rsidRPr="001E47AD">
              <w:rPr>
                <w:rFonts w:ascii="Times New Roman" w:hAnsi="Times New Roman" w:cs="Times New Roman"/>
                <w:sz w:val="18"/>
                <w:szCs w:val="18"/>
              </w:rPr>
              <w:t xml:space="preserve">                                                                                                  </w:t>
            </w:r>
            <w:r w:rsidR="001D3239" w:rsidRPr="001E47AD">
              <w:rPr>
                <w:rFonts w:ascii="Times New Roman" w:hAnsi="Times New Roman" w:cs="Times New Roman"/>
                <w:sz w:val="18"/>
                <w:szCs w:val="18"/>
              </w:rPr>
              <w:t xml:space="preserve">                                                         </w:t>
            </w:r>
            <w:r w:rsidR="00BA1AA4" w:rsidRPr="001E47AD">
              <w:rPr>
                <w:rFonts w:ascii="Times New Roman" w:hAnsi="Times New Roman" w:cs="Times New Roman"/>
                <w:sz w:val="18"/>
                <w:szCs w:val="18"/>
              </w:rPr>
              <w:t xml:space="preserve"> </w:t>
            </w:r>
            <w:r w:rsidRPr="001E47AD">
              <w:rPr>
                <w:rFonts w:ascii="Times New Roman" w:hAnsi="Times New Roman" w:cs="Times New Roman"/>
                <w:sz w:val="18"/>
                <w:szCs w:val="18"/>
              </w:rPr>
              <w:t>(</w:t>
            </w:r>
            <w:r w:rsidR="00E75CAC" w:rsidRPr="001E47AD">
              <w:rPr>
                <w:rFonts w:ascii="Times New Roman" w:hAnsi="Times New Roman" w:cs="Times New Roman"/>
                <w:sz w:val="18"/>
                <w:szCs w:val="18"/>
              </w:rPr>
              <w:t>1)</w:t>
            </w:r>
          </w:p>
        </w:tc>
      </w:tr>
    </w:tbl>
    <w:p w14:paraId="2628221A" w14:textId="77777777" w:rsidR="00045AEB" w:rsidRPr="001E47AD" w:rsidRDefault="00045AEB" w:rsidP="006C6E9F">
      <w:pPr>
        <w:spacing w:before="120" w:after="120" w:line="480" w:lineRule="auto"/>
        <w:ind w:firstLine="720"/>
        <w:contextualSpacing/>
        <w:jc w:val="both"/>
        <w:rPr>
          <w:sz w:val="22"/>
          <w:szCs w:val="22"/>
        </w:rPr>
      </w:pPr>
    </w:p>
    <w:p w14:paraId="31FC2068" w14:textId="7FD67DD3" w:rsidR="00CD51C5" w:rsidRPr="001E47AD" w:rsidRDefault="00B3690A" w:rsidP="006C6E9F">
      <w:pPr>
        <w:spacing w:before="120" w:after="120" w:line="480" w:lineRule="auto"/>
        <w:ind w:firstLine="720"/>
        <w:contextualSpacing/>
        <w:jc w:val="both"/>
        <w:rPr>
          <w:sz w:val="22"/>
          <w:szCs w:val="22"/>
        </w:rPr>
      </w:pPr>
      <w:r w:rsidRPr="001E47AD">
        <w:rPr>
          <w:sz w:val="22"/>
          <w:szCs w:val="22"/>
        </w:rPr>
        <w:t xml:space="preserve">Step 2: </w:t>
      </w:r>
      <w:r w:rsidR="006A00AF" w:rsidRPr="001E47AD">
        <w:rPr>
          <w:sz w:val="22"/>
          <w:szCs w:val="22"/>
        </w:rPr>
        <w:t>I</w:t>
      </w:r>
      <w:r w:rsidR="00BD03B4" w:rsidRPr="001E47AD">
        <w:rPr>
          <w:sz w:val="22"/>
          <w:szCs w:val="22"/>
        </w:rPr>
        <w:t>n-</w:t>
      </w:r>
      <w:r w:rsidR="006A00AF" w:rsidRPr="001E47AD">
        <w:rPr>
          <w:sz w:val="22"/>
          <w:szCs w:val="22"/>
        </w:rPr>
        <w:t>Store Product A</w:t>
      </w:r>
      <w:r w:rsidR="00BD03B4" w:rsidRPr="001E47AD">
        <w:rPr>
          <w:sz w:val="22"/>
          <w:szCs w:val="22"/>
        </w:rPr>
        <w:t>vailability</w:t>
      </w:r>
      <w:r w:rsidR="008B40A7" w:rsidRPr="001E47AD">
        <w:rPr>
          <w:sz w:val="22"/>
          <w:szCs w:val="22"/>
        </w:rPr>
        <w:t xml:space="preserve"> (Second-Stage of 2SLS)</w:t>
      </w:r>
      <w:r w:rsidR="008B40A7" w:rsidRPr="001E47AD">
        <w:rPr>
          <w:rStyle w:val="FootnoteReference"/>
          <w:sz w:val="22"/>
          <w:szCs w:val="22"/>
        </w:rPr>
        <w:footnoteReference w:id="10"/>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8659"/>
      </w:tblGrid>
      <w:tr w:rsidR="00A35933" w:rsidRPr="001E47AD" w14:paraId="1908E87B" w14:textId="77777777" w:rsidTr="001D3239">
        <w:tc>
          <w:tcPr>
            <w:tcW w:w="5000" w:type="pct"/>
            <w:gridSpan w:val="2"/>
          </w:tcPr>
          <w:p w14:paraId="25A3D401" w14:textId="7CDD6F80" w:rsidR="00BA1AA4" w:rsidRPr="001E47AD" w:rsidRDefault="00BA1AA4" w:rsidP="000F0CF8">
            <w:pPr>
              <w:spacing w:line="360" w:lineRule="auto"/>
              <w:ind w:left="720"/>
              <w:contextualSpacing/>
              <w:rPr>
                <w:rFonts w:ascii="Times New Roman" w:hAnsi="Times New Roman" w:cs="Times New Roman"/>
                <w:sz w:val="18"/>
                <w:szCs w:val="18"/>
              </w:rPr>
            </w:pPr>
            <m:oMath>
              <m:r>
                <m:rPr>
                  <m:sty m:val="p"/>
                </m:rPr>
                <w:rPr>
                  <w:rFonts w:ascii="Cambria Math" w:hAnsi="Cambria Math" w:cs="Times New Roman"/>
                  <w:sz w:val="18"/>
                  <w:szCs w:val="18"/>
                </w:rPr>
                <m:t>LN(</m:t>
              </m:r>
              <m:sSub>
                <m:sSubPr>
                  <m:ctrlPr>
                    <w:rPr>
                      <w:rFonts w:ascii="Cambria Math" w:hAnsi="Cambria Math" w:cs="Times New Roman"/>
                      <w:sz w:val="18"/>
                      <w:szCs w:val="18"/>
                    </w:rPr>
                  </m:ctrlPr>
                </m:sSubPr>
                <m:e>
                  <m:r>
                    <m:rPr>
                      <m:sty m:val="p"/>
                    </m:rPr>
                    <w:rPr>
                      <w:rFonts w:ascii="Cambria Math" w:hAnsi="Cambria Math" w:cs="Times New Roman"/>
                      <w:sz w:val="18"/>
                      <w:szCs w:val="18"/>
                    </w:rPr>
                    <m:t>PRODUCT_AVAIL_LATE\_POST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0</m:t>
                  </m:r>
                </m:sub>
              </m:sSub>
              <m:r>
                <m:rPr>
                  <m:sty m:val="p"/>
                </m:rPr>
                <w:rPr>
                  <w:rFonts w:ascii="Cambria Math" w:hAnsi="Cambria Math" w:cs="Times New Roman"/>
                  <w:sz w:val="18"/>
                  <w:szCs w:val="18"/>
                </w:rPr>
                <m:t>+(α∙</m:t>
              </m:r>
              <m:sSub>
                <m:sSubPr>
                  <m:ctrlPr>
                    <w:rPr>
                      <w:rFonts w:ascii="Cambria Math" w:hAnsi="Cambria Math" w:cs="Times New Roman"/>
                      <w:sz w:val="18"/>
                      <w:szCs w:val="18"/>
                    </w:rPr>
                  </m:ctrlPr>
                </m:sSubPr>
                <m:e>
                  <m:r>
                    <m:rPr>
                      <m:sty m:val="p"/>
                    </m:rPr>
                    <w:rPr>
                      <w:rFonts w:ascii="Cambria Math" w:hAnsi="Cambria Math" w:cs="Times New Roman"/>
                      <w:sz w:val="18"/>
                      <w:szCs w:val="18"/>
                    </w:rPr>
                    <m:t>PREDICTED_STOCK_PROP_EARLY</m:t>
                  </m:r>
                </m:e>
                <m:sub>
                  <m:r>
                    <m:rPr>
                      <m:sty m:val="p"/>
                    </m:rPr>
                    <w:rPr>
                      <w:rFonts w:ascii="Cambria Math" w:hAnsi="Cambria Math" w:cs="Times New Roman"/>
                      <w:sz w:val="18"/>
                      <w:szCs w:val="18"/>
                    </w:rPr>
                    <m:t>ich</m:t>
                  </m:r>
                </m:sub>
              </m:sSub>
            </m:oMath>
            <w:r w:rsidRPr="001E47AD">
              <w:rPr>
                <w:rFonts w:ascii="Times New Roman" w:hAnsi="Times New Roman" w:cs="Times New Roman"/>
                <w:sz w:val="18"/>
                <w:szCs w:val="18"/>
              </w:rPr>
              <w:t>)</w:t>
            </w:r>
          </w:p>
        </w:tc>
      </w:tr>
      <w:tr w:rsidR="00A35933" w:rsidRPr="001E47AD" w14:paraId="772CF1F0" w14:textId="77777777" w:rsidTr="001D3239">
        <w:trPr>
          <w:trHeight w:val="710"/>
        </w:trPr>
        <w:tc>
          <w:tcPr>
            <w:tcW w:w="479" w:type="pct"/>
          </w:tcPr>
          <w:p w14:paraId="05CB806B" w14:textId="77777777" w:rsidR="00BA1AA4" w:rsidRPr="001E47AD" w:rsidRDefault="00BA1AA4" w:rsidP="00537DAE">
            <w:pPr>
              <w:spacing w:line="360" w:lineRule="auto"/>
              <w:jc w:val="both"/>
              <w:rPr>
                <w:rFonts w:ascii="Times New Roman" w:hAnsi="Times New Roman" w:cs="Times New Roman"/>
                <w:sz w:val="18"/>
                <w:szCs w:val="18"/>
              </w:rPr>
            </w:pPr>
          </w:p>
        </w:tc>
        <w:tc>
          <w:tcPr>
            <w:tcW w:w="4521" w:type="pct"/>
          </w:tcPr>
          <w:p w14:paraId="6B0A3227" w14:textId="15E5C9F2"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INTRA_NTW_COUNTY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2</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(INTRA_NTW_COUNTY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01330599" w14:textId="65697D63"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3</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INTER_NTW_COUNTRY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4</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(INTER_NTW_COUNTRY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1D6A62C6" w14:textId="2EE3BB8C"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5</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PROD_VAR_UPC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6</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(PROD_VAR_UPC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155C1582" w14:textId="5DAE6AC5"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7</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HUR_EXP_STATE</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8</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HUR_EXP_STATE</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08B1D776" w14:textId="53B78A67"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9</m:t>
                        </m:r>
                      </m:sub>
                    </m:sSub>
                    <m:r>
                      <m:rPr>
                        <m:sty m:val="p"/>
                      </m:rPr>
                      <w:rPr>
                        <w:rFonts w:ascii="Cambria Math" w:hAnsi="Cambria Math" w:cs="Times New Roman"/>
                        <w:sz w:val="18"/>
                        <w:szCs w:val="18"/>
                      </w:rPr>
                      <m:t>∙PER_CAPITA_INC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10</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PER_CAPITA_INC</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29A380AE" w14:textId="3E4C820F"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11</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HUR_LANDFALL_DIST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12</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(HUR_</m:t>
                    </m:r>
                    <m:sSub>
                      <m:sSubPr>
                        <m:ctrlPr>
                          <w:rPr>
                            <w:rFonts w:ascii="Cambria Math" w:hAnsi="Cambria Math" w:cs="Times New Roman"/>
                            <w:sz w:val="18"/>
                            <w:szCs w:val="18"/>
                          </w:rPr>
                        </m:ctrlPr>
                      </m:sSubPr>
                      <m:e>
                        <m:r>
                          <m:rPr>
                            <m:sty m:val="p"/>
                          </m:rPr>
                          <w:rPr>
                            <w:rFonts w:ascii="Cambria Math" w:hAnsi="Cambria Math" w:cs="Times New Roman"/>
                            <w:sz w:val="18"/>
                            <w:szCs w:val="18"/>
                          </w:rPr>
                          <m:t>LANDFALL_DIST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008C54E4" w14:textId="56B2BCD2"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13</m:t>
                    </m:r>
                  </m:sub>
                </m:sSub>
                <m:r>
                  <m:rPr>
                    <m:sty m:val="p"/>
                  </m:rPr>
                  <w:rPr>
                    <w:rFonts w:ascii="Cambria Math" w:hAnsi="Cambria Math" w:cs="Times New Roman"/>
                    <w:sz w:val="18"/>
                    <w:szCs w:val="18"/>
                  </w:rPr>
                  <m:t>∙HUR_</m:t>
                </m:r>
                <m:sSub>
                  <m:sSubPr>
                    <m:ctrlPr>
                      <w:rPr>
                        <w:rFonts w:ascii="Cambria Math" w:hAnsi="Cambria Math" w:cs="Times New Roman"/>
                        <w:sz w:val="18"/>
                        <w:szCs w:val="18"/>
                      </w:rPr>
                    </m:ctrlPr>
                  </m:sSubPr>
                  <m:e>
                    <m:r>
                      <m:rPr>
                        <m:sty m:val="p"/>
                      </m:rPr>
                      <w:rPr>
                        <w:rFonts w:ascii="Cambria Math" w:hAnsi="Cambria Math" w:cs="Times New Roman"/>
                        <w:sz w:val="18"/>
                        <w:szCs w:val="18"/>
                      </w:rPr>
                      <m:t>TRACK_DIST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14</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(HUR_TRACK_DIST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22A1571B" w14:textId="46F3C9FD"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15</m:t>
                    </m:r>
                  </m:sub>
                </m:sSub>
                <m:r>
                  <m:rPr>
                    <m:sty m:val="p"/>
                  </m:rPr>
                  <w:rPr>
                    <w:rFonts w:ascii="Cambria Math" w:hAnsi="Cambria Math" w:cs="Times New Roman"/>
                    <w:sz w:val="18"/>
                    <w:szCs w:val="18"/>
                  </w:rPr>
                  <m:t>∙HUR_</m:t>
                </m:r>
                <m:sSub>
                  <m:sSubPr>
                    <m:ctrlPr>
                      <w:rPr>
                        <w:rFonts w:ascii="Cambria Math" w:hAnsi="Cambria Math" w:cs="Times New Roman"/>
                        <w:sz w:val="18"/>
                        <w:szCs w:val="18"/>
                      </w:rPr>
                    </m:ctrlPr>
                  </m:sSubPr>
                  <m:e>
                    <m:r>
                      <m:rPr>
                        <m:sty m:val="p"/>
                      </m:rPr>
                      <w:rPr>
                        <w:rFonts w:ascii="Cambria Math" w:hAnsi="Cambria Math" w:cs="Times New Roman"/>
                        <w:sz w:val="18"/>
                        <w:szCs w:val="18"/>
                      </w:rPr>
                      <m:t>TRACK_WIND</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16</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sSub>
                      <m:sSubPr>
                        <m:ctrlPr>
                          <w:rPr>
                            <w:rFonts w:ascii="Cambria Math" w:hAnsi="Cambria Math" w:cs="Times New Roman"/>
                            <w:sz w:val="18"/>
                            <w:szCs w:val="18"/>
                          </w:rPr>
                        </m:ctrlPr>
                      </m:sSubPr>
                      <m:e>
                        <m:r>
                          <m:rPr>
                            <m:sty m:val="p"/>
                          </m:rPr>
                          <w:rPr>
                            <w:rFonts w:ascii="Cambria Math" w:hAnsi="Cambria Math" w:cs="Times New Roman"/>
                            <w:sz w:val="18"/>
                            <w:szCs w:val="18"/>
                          </w:rPr>
                          <m:t>(HUR_TRACK_WIND</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oMath>
            </m:oMathPara>
          </w:p>
          <w:p w14:paraId="22975F58" w14:textId="1C274EF3"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17</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RETAIL_FORMAT</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18</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RETAIL_CHAIN</m:t>
                    </m:r>
                  </m:e>
                  <m:sub>
                    <m:r>
                      <m:rPr>
                        <m:sty m:val="p"/>
                      </m:rPr>
                      <w:rPr>
                        <w:rFonts w:ascii="Cambria Math" w:hAnsi="Cambria Math" w:cs="Times New Roman"/>
                        <w:sz w:val="18"/>
                        <w:szCs w:val="18"/>
                      </w:rPr>
                      <m:t>ich</m:t>
                    </m:r>
                  </m:sub>
                </m:sSub>
              </m:oMath>
            </m:oMathPara>
          </w:p>
          <w:p w14:paraId="1B137CF6" w14:textId="64419540" w:rsidR="00CC11DD" w:rsidRPr="001E47AD" w:rsidRDefault="00973F13" w:rsidP="00CC11DD">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19</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DAYS_BEF_INFLUENCE_EARLY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20</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DAYS_INFLUENCE_AFT_LANDFALL</m:t>
                    </m:r>
                  </m:e>
                  <m:sub>
                    <m:r>
                      <m:rPr>
                        <m:sty m:val="p"/>
                      </m:rPr>
                      <w:rPr>
                        <w:rFonts w:ascii="Cambria Math" w:hAnsi="Cambria Math" w:cs="Times New Roman"/>
                        <w:sz w:val="18"/>
                        <w:szCs w:val="18"/>
                      </w:rPr>
                      <m:t>ich</m:t>
                    </m:r>
                  </m:sub>
                </m:sSub>
              </m:oMath>
            </m:oMathPara>
          </w:p>
          <w:p w14:paraId="028343D5" w14:textId="75965350" w:rsidR="00BA1AA4" w:rsidRPr="001E47AD" w:rsidRDefault="00BA1AA4"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21</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VOL_COUNTY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22</m:t>
                    </m:r>
                  </m:sub>
                </m:sSub>
                <m:sSub>
                  <m:sSubPr>
                    <m:ctrlPr>
                      <w:rPr>
                        <w:rFonts w:ascii="Cambria Math" w:hAnsi="Cambria Math" w:cs="Times New Roman"/>
                        <w:sz w:val="18"/>
                        <w:szCs w:val="18"/>
                      </w:rPr>
                    </m:ctrlPr>
                  </m:sSubPr>
                  <m:e>
                    <m:r>
                      <m:rPr>
                        <m:sty m:val="p"/>
                      </m:rPr>
                      <w:rPr>
                        <w:rFonts w:ascii="Cambria Math" w:hAnsi="Cambria Math" w:cs="Times New Roman"/>
                        <w:sz w:val="18"/>
                        <w:szCs w:val="18"/>
                      </w:rPr>
                      <m:t>∙VOL_STATE</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23</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HHI_COUNTY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24</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HHI_STATE</m:t>
                    </m:r>
                  </m:e>
                  <m:sub>
                    <m:r>
                      <m:rPr>
                        <m:sty m:val="p"/>
                      </m:rPr>
                      <w:rPr>
                        <w:rFonts w:ascii="Cambria Math" w:hAnsi="Cambria Math" w:cs="Times New Roman"/>
                        <w:sz w:val="18"/>
                        <w:szCs w:val="18"/>
                      </w:rPr>
                      <m:t>ich</m:t>
                    </m:r>
                  </m:sub>
                </m:sSub>
              </m:oMath>
            </m:oMathPara>
          </w:p>
          <w:p w14:paraId="4B0EED09" w14:textId="1D3D2B51" w:rsidR="0099450B" w:rsidRPr="001E47AD" w:rsidRDefault="0099450B" w:rsidP="0099450B">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m:rPr>
                        <m:sty m:val="p"/>
                      </m:rPr>
                      <w:rPr>
                        <w:rFonts w:ascii="Cambria Math" w:hAnsi="Cambria Math" w:cs="Times New Roman"/>
                        <w:sz w:val="18"/>
                        <w:szCs w:val="18"/>
                      </w:rPr>
                      <m:t>25</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POP_DEN_COUNTY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m:rPr>
                        <m:sty m:val="p"/>
                      </m:rPr>
                      <w:rPr>
                        <w:rFonts w:ascii="Cambria Math" w:hAnsi="Cambria Math" w:cs="Times New Roman"/>
                        <w:sz w:val="18"/>
                        <w:szCs w:val="18"/>
                      </w:rPr>
                      <m:t>26</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POP_DEN_STATE</m:t>
                    </m:r>
                  </m:e>
                  <m:sub>
                    <m:r>
                      <m:rPr>
                        <m:sty m:val="p"/>
                      </m:rPr>
                      <w:rPr>
                        <w:rFonts w:ascii="Cambria Math" w:hAnsi="Cambria Math" w:cs="Times New Roman"/>
                        <w:sz w:val="18"/>
                        <w:szCs w:val="18"/>
                      </w:rPr>
                      <m:t>ich</m:t>
                    </m:r>
                  </m:sub>
                </m:sSub>
              </m:oMath>
            </m:oMathPara>
          </w:p>
          <w:p w14:paraId="2592CDA4" w14:textId="093F301F" w:rsidR="00B846B5" w:rsidRPr="001E47AD" w:rsidRDefault="00B846B5" w:rsidP="00B846B5">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m:rPr>
                        <m:sty m:val="p"/>
                      </m:rPr>
                      <w:rPr>
                        <w:rFonts w:ascii="Cambria Math" w:hAnsi="Cambria Math" w:cs="Times New Roman"/>
                        <w:sz w:val="18"/>
                        <w:szCs w:val="18"/>
                      </w:rPr>
                      <m:t>27</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LAND_AREA_COUNTY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m:rPr>
                        <m:sty m:val="p"/>
                      </m:rPr>
                      <w:rPr>
                        <w:rFonts w:ascii="Cambria Math" w:hAnsi="Cambria Math" w:cs="Times New Roman"/>
                        <w:sz w:val="18"/>
                        <w:szCs w:val="18"/>
                      </w:rPr>
                      <m:t>28</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LAND_AREA_STATE</m:t>
                    </m:r>
                  </m:e>
                  <m:sub>
                    <m:r>
                      <m:rPr>
                        <m:sty m:val="p"/>
                      </m:rPr>
                      <w:rPr>
                        <w:rFonts w:ascii="Cambria Math" w:hAnsi="Cambria Math" w:cs="Times New Roman"/>
                        <w:sz w:val="18"/>
                        <w:szCs w:val="18"/>
                      </w:rPr>
                      <m:t>ich</m:t>
                    </m:r>
                  </m:sub>
                </m:sSub>
              </m:oMath>
            </m:oMathPara>
          </w:p>
          <w:p w14:paraId="4B5CB269" w14:textId="3BA716F0" w:rsidR="00B846B5" w:rsidRPr="001E47AD" w:rsidRDefault="00B846B5" w:rsidP="00B846B5">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m:rPr>
                        <m:sty m:val="p"/>
                      </m:rPr>
                      <w:rPr>
                        <w:rFonts w:ascii="Cambria Math" w:hAnsi="Cambria Math" w:cs="Times New Roman"/>
                        <w:sz w:val="18"/>
                        <w:szCs w:val="18"/>
                      </w:rPr>
                      <m:t>29</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WATER_AREA_COUNTY</m:t>
                    </m:r>
                  </m:e>
                  <m:sub>
                    <m:r>
                      <m:rPr>
                        <m:sty m:val="p"/>
                      </m:rPr>
                      <w:rPr>
                        <w:rFonts w:ascii="Cambria Math" w:hAnsi="Cambria Math" w:cs="Times New Roman"/>
                        <w:sz w:val="18"/>
                        <w:szCs w:val="18"/>
                      </w:rPr>
                      <m:t>ich</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m:rPr>
                        <m:sty m:val="p"/>
                      </m:rPr>
                      <w:rPr>
                        <w:rFonts w:ascii="Cambria Math" w:hAnsi="Cambria Math" w:cs="Times New Roman"/>
                        <w:sz w:val="18"/>
                        <w:szCs w:val="18"/>
                      </w:rPr>
                      <m:t>30</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WATER_AREA_STATE</m:t>
                    </m:r>
                  </m:e>
                  <m:sub>
                    <m:r>
                      <m:rPr>
                        <m:sty m:val="p"/>
                      </m:rPr>
                      <w:rPr>
                        <w:rFonts w:ascii="Cambria Math" w:hAnsi="Cambria Math" w:cs="Times New Roman"/>
                        <w:sz w:val="18"/>
                        <w:szCs w:val="18"/>
                      </w:rPr>
                      <m:t>ich</m:t>
                    </m:r>
                  </m:sub>
                </m:sSub>
              </m:oMath>
            </m:oMathPara>
          </w:p>
          <w:p w14:paraId="085E4D78" w14:textId="353DF96D" w:rsidR="00C50642" w:rsidRPr="001E47AD" w:rsidRDefault="00C50642" w:rsidP="00537DAE">
            <w:pPr>
              <w:spacing w:line="360" w:lineRule="auto"/>
              <w:contextualSpacing/>
              <w:rPr>
                <w:rFonts w:ascii="Times New Roman" w:hAnsi="Times New Roman" w:cs="Times New Roman"/>
                <w:sz w:val="18"/>
                <w:szCs w:val="18"/>
              </w:rPr>
            </w:pPr>
            <m:oMathPara>
              <m:oMathParaPr>
                <m:jc m:val="left"/>
              </m:oMathPara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γ</m:t>
                    </m:r>
                  </m:e>
                  <m:sub>
                    <m:r>
                      <w:rPr>
                        <w:rFonts w:ascii="Cambria Math" w:hAnsi="Cambria Math" w:cs="Times New Roman"/>
                        <w:sz w:val="18"/>
                        <w:szCs w:val="18"/>
                      </w:rPr>
                      <m:t>31</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sz w:val="18"/>
                        <w:szCs w:val="18"/>
                      </w:rPr>
                      <m:t>CHANGE_VOL_LATE</m:t>
                    </m:r>
                    <m:r>
                      <m:rPr>
                        <m:sty m:val="p"/>
                      </m:rPr>
                      <w:rPr>
                        <w:rFonts w:ascii="Cambria Math" w:hAnsi="Cambria Math" w:cs="Times New Roman"/>
                        <w:sz w:val="18"/>
                        <w:szCs w:val="18"/>
                      </w:rPr>
                      <m:t>\_POST</m:t>
                    </m:r>
                  </m:e>
                  <m:sub>
                    <m:r>
                      <m:rPr>
                        <m:sty m:val="p"/>
                      </m:rPr>
                      <w:rPr>
                        <w:rFonts w:ascii="Cambria Math" w:hAnsi="Cambria Math" w:cs="Times New Roman"/>
                        <w:sz w:val="18"/>
                        <w:szCs w:val="18"/>
                      </w:rPr>
                      <m:t>ich</m:t>
                    </m:r>
                  </m:sub>
                </m:sSub>
              </m:oMath>
            </m:oMathPara>
          </w:p>
          <w:p w14:paraId="00CDEDEB" w14:textId="41F4D5CF" w:rsidR="00BA1AA4" w:rsidRPr="001E47AD" w:rsidRDefault="00BA1AA4" w:rsidP="00E27758">
            <w:pPr>
              <w:spacing w:line="360" w:lineRule="auto"/>
              <w:contextualSpacing/>
              <w:rPr>
                <w:rFonts w:ascii="Times New Roman" w:hAnsi="Times New Roman" w:cs="Times New Roman"/>
                <w:sz w:val="18"/>
                <w:szCs w:val="18"/>
              </w:rPr>
            </w:pPr>
            <m:oMath>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θ</m:t>
                  </m:r>
                </m:e>
                <m:sub>
                  <m:r>
                    <m:rPr>
                      <m:sty m:val="p"/>
                    </m:rPr>
                    <w:rPr>
                      <w:rFonts w:ascii="Cambria Math" w:hAnsi="Cambria Math" w:cs="Times New Roman"/>
                      <w:sz w:val="18"/>
                      <w:szCs w:val="18"/>
                    </w:rPr>
                    <m:t>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Arial"/>
                      <w:sz w:val="18"/>
                      <w:szCs w:val="18"/>
                      <w:shd w:val="clear" w:color="auto" w:fill="FFFFFF"/>
                    </w:rPr>
                    <m:t>ε</m:t>
                  </m:r>
                </m:e>
                <m:sub>
                  <m:r>
                    <m:rPr>
                      <m:sty m:val="p"/>
                    </m:rPr>
                    <w:rPr>
                      <w:rFonts w:ascii="Cambria Math" w:hAnsi="Cambria Math" w:cs="Times New Roman"/>
                      <w:sz w:val="18"/>
                      <w:szCs w:val="18"/>
                    </w:rPr>
                    <m:t>ich</m:t>
                  </m:r>
                </m:sub>
              </m:sSub>
            </m:oMath>
            <w:r w:rsidRPr="001E47AD">
              <w:rPr>
                <w:rFonts w:ascii="Times New Roman" w:hAnsi="Times New Roman" w:cs="Times New Roman"/>
                <w:sz w:val="18"/>
                <w:szCs w:val="18"/>
              </w:rPr>
              <w:t xml:space="preserve">                                                                             </w:t>
            </w:r>
            <w:r w:rsidR="00E75CAC" w:rsidRPr="001E47AD">
              <w:rPr>
                <w:rFonts w:ascii="Times New Roman" w:hAnsi="Times New Roman" w:cs="Times New Roman"/>
                <w:sz w:val="18"/>
                <w:szCs w:val="18"/>
              </w:rPr>
              <w:t xml:space="preserve">                           </w:t>
            </w:r>
            <w:r w:rsidR="001D3239" w:rsidRPr="001E47AD">
              <w:rPr>
                <w:rFonts w:ascii="Times New Roman" w:hAnsi="Times New Roman" w:cs="Times New Roman"/>
                <w:sz w:val="18"/>
                <w:szCs w:val="18"/>
              </w:rPr>
              <w:t xml:space="preserve">                                                    </w:t>
            </w:r>
            <w:r w:rsidR="00E75CAC" w:rsidRPr="001E47AD">
              <w:rPr>
                <w:rFonts w:ascii="Times New Roman" w:hAnsi="Times New Roman" w:cs="Times New Roman"/>
                <w:sz w:val="18"/>
                <w:szCs w:val="18"/>
              </w:rPr>
              <w:t xml:space="preserve"> (2)</w:t>
            </w:r>
          </w:p>
        </w:tc>
      </w:tr>
    </w:tbl>
    <w:p w14:paraId="124A836A" w14:textId="41A3150E" w:rsidR="00D116CF" w:rsidRPr="001E47AD" w:rsidRDefault="00D116CF" w:rsidP="00596F39">
      <w:pPr>
        <w:pStyle w:val="Heading2"/>
      </w:pPr>
      <w:bookmarkStart w:id="33" w:name="_Ref17407457"/>
      <w:r w:rsidRPr="001E47AD">
        <w:lastRenderedPageBreak/>
        <w:t>Variable Definitions</w:t>
      </w:r>
      <w:bookmarkEnd w:id="32"/>
      <w:bookmarkEnd w:id="33"/>
    </w:p>
    <w:p w14:paraId="4FA02A49" w14:textId="77777777" w:rsidR="00C83202" w:rsidRPr="001E47AD" w:rsidRDefault="00C83202" w:rsidP="004310FA">
      <w:pPr>
        <w:spacing w:before="120" w:after="120" w:line="480" w:lineRule="auto"/>
        <w:contextualSpacing/>
        <w:jc w:val="both"/>
        <w:rPr>
          <w:b/>
          <w:sz w:val="22"/>
          <w:szCs w:val="22"/>
          <w:lang w:eastAsia="zh-CN"/>
        </w:rPr>
      </w:pPr>
      <w:r w:rsidRPr="001E47AD">
        <w:rPr>
          <w:b/>
          <w:sz w:val="22"/>
          <w:szCs w:val="22"/>
        </w:rPr>
        <w:t>Dependen</w:t>
      </w:r>
      <w:r w:rsidRPr="001E47AD">
        <w:rPr>
          <w:rFonts w:hint="eastAsia"/>
          <w:b/>
          <w:sz w:val="22"/>
          <w:szCs w:val="22"/>
          <w:lang w:eastAsia="zh-CN"/>
        </w:rPr>
        <w:t>t</w:t>
      </w:r>
      <w:r w:rsidR="00EB09F1" w:rsidRPr="001E47AD">
        <w:rPr>
          <w:b/>
          <w:sz w:val="22"/>
          <w:szCs w:val="22"/>
        </w:rPr>
        <w:t xml:space="preserve"> </w:t>
      </w:r>
      <w:r w:rsidR="00D116CF" w:rsidRPr="001E47AD">
        <w:rPr>
          <w:b/>
          <w:sz w:val="22"/>
          <w:szCs w:val="22"/>
        </w:rPr>
        <w:t>Variables</w:t>
      </w:r>
    </w:p>
    <w:p w14:paraId="515CFA7A" w14:textId="4D3EF049" w:rsidR="00B80324" w:rsidRPr="001E47AD" w:rsidRDefault="00D116CF" w:rsidP="004310FA">
      <w:pPr>
        <w:spacing w:before="120" w:after="120" w:line="480" w:lineRule="auto"/>
        <w:contextualSpacing/>
        <w:jc w:val="both"/>
        <w:rPr>
          <w:sz w:val="22"/>
          <w:szCs w:val="22"/>
          <w:lang w:eastAsia="zh-CN"/>
        </w:rPr>
      </w:pPr>
      <w:r w:rsidRPr="001E47AD">
        <w:rPr>
          <w:b/>
          <w:sz w:val="22"/>
          <w:szCs w:val="22"/>
        </w:rPr>
        <w:t>Consumer stockpiling propensity</w:t>
      </w:r>
      <w:r w:rsidR="005F7676" w:rsidRPr="001E47AD">
        <w:rPr>
          <w:b/>
          <w:sz w:val="22"/>
          <w:szCs w:val="22"/>
          <w:lang w:eastAsia="zh-CN"/>
        </w:rPr>
        <w:t xml:space="preserve"> </w:t>
      </w:r>
      <w:r w:rsidR="001234BC" w:rsidRPr="001E47AD">
        <w:rPr>
          <w:sz w:val="22"/>
          <w:szCs w:val="22"/>
          <w:lang w:eastAsia="zh-CN"/>
        </w:rPr>
        <w:t>(</w:t>
      </w:r>
      <m:oMath>
        <m:r>
          <m:rPr>
            <m:sty m:val="p"/>
          </m:rPr>
          <w:rPr>
            <w:rFonts w:ascii="Cambria Math" w:hAnsi="Cambria Math"/>
            <w:sz w:val="22"/>
            <w:szCs w:val="22"/>
            <w:lang w:eastAsia="zh-CN"/>
          </w:rPr>
          <m:t>STOCK_PROP_EARLY</m:t>
        </m:r>
      </m:oMath>
      <w:r w:rsidR="001234BC" w:rsidRPr="001E47AD">
        <w:rPr>
          <w:sz w:val="22"/>
          <w:szCs w:val="22"/>
          <w:lang w:eastAsia="zh-CN"/>
        </w:rPr>
        <w:t>)</w:t>
      </w:r>
      <w:r w:rsidR="001234BC" w:rsidRPr="001E47AD">
        <w:rPr>
          <w:b/>
          <w:sz w:val="22"/>
          <w:szCs w:val="22"/>
          <w:lang w:eastAsia="zh-CN"/>
        </w:rPr>
        <w:t xml:space="preserve"> </w:t>
      </w:r>
      <w:r w:rsidRPr="001E47AD">
        <w:rPr>
          <w:noProof/>
          <w:sz w:val="22"/>
          <w:szCs w:val="22"/>
        </w:rPr>
        <w:t>is estimated</w:t>
      </w:r>
      <w:r w:rsidRPr="001E47AD">
        <w:rPr>
          <w:sz w:val="22"/>
          <w:szCs w:val="22"/>
        </w:rPr>
        <w:t xml:space="preserve"> for the EARLY event week. For each sample store outlet </w:t>
      </w:r>
      <w:r w:rsidR="000C7011" w:rsidRPr="001E47AD">
        <w:rPr>
          <w:sz w:val="22"/>
          <w:szCs w:val="22"/>
        </w:rPr>
        <w:t>observation</w:t>
      </w:r>
      <w:r w:rsidRPr="001E47AD">
        <w:rPr>
          <w:sz w:val="22"/>
          <w:szCs w:val="22"/>
        </w:rPr>
        <w:t xml:space="preserve">, </w:t>
      </w:r>
      <w:r w:rsidR="004868E2" w:rsidRPr="001E47AD">
        <w:rPr>
          <w:sz w:val="22"/>
          <w:szCs w:val="22"/>
        </w:rPr>
        <w:t>the variable</w:t>
      </w:r>
      <w:r w:rsidRPr="001E47AD">
        <w:rPr>
          <w:sz w:val="22"/>
          <w:szCs w:val="22"/>
        </w:rPr>
        <w:t xml:space="preserve"> represents the ratio of the sales volume of the bottled water category during the EARLY event week to the average weekly sales volume d</w:t>
      </w:r>
      <w:r w:rsidR="00313111" w:rsidRPr="001E47AD">
        <w:rPr>
          <w:sz w:val="22"/>
          <w:szCs w:val="22"/>
        </w:rPr>
        <w:t>uring the four PRE event weeks.</w:t>
      </w:r>
      <w:r w:rsidR="004B285F" w:rsidRPr="001E47AD">
        <w:rPr>
          <w:rStyle w:val="FootnoteReference"/>
          <w:sz w:val="22"/>
          <w:szCs w:val="22"/>
        </w:rPr>
        <w:t xml:space="preserve"> </w:t>
      </w:r>
      <w:r w:rsidR="004B285F" w:rsidRPr="001E47AD">
        <w:rPr>
          <w:rStyle w:val="FootnoteReference"/>
          <w:sz w:val="22"/>
          <w:szCs w:val="22"/>
        </w:rPr>
        <w:footnoteReference w:id="11"/>
      </w:r>
      <w:r w:rsidR="00313111" w:rsidRPr="001E47AD">
        <w:rPr>
          <w:sz w:val="22"/>
          <w:szCs w:val="22"/>
        </w:rPr>
        <w:t xml:space="preserve"> </w:t>
      </w:r>
      <w:r w:rsidRPr="001E47AD">
        <w:rPr>
          <w:b/>
          <w:sz w:val="22"/>
          <w:szCs w:val="22"/>
        </w:rPr>
        <w:t>In-store product availability</w:t>
      </w:r>
      <w:r w:rsidR="005F7676" w:rsidRPr="001E47AD">
        <w:rPr>
          <w:b/>
          <w:sz w:val="22"/>
          <w:szCs w:val="22"/>
          <w:lang w:eastAsia="zh-CN"/>
        </w:rPr>
        <w:t xml:space="preserve"> </w:t>
      </w:r>
      <w:r w:rsidR="001234BC" w:rsidRPr="001E47AD">
        <w:rPr>
          <w:sz w:val="22"/>
          <w:szCs w:val="22"/>
          <w:lang w:eastAsia="zh-CN"/>
        </w:rPr>
        <w:t>(</w:t>
      </w:r>
      <m:oMath>
        <m:r>
          <m:rPr>
            <m:sty m:val="p"/>
          </m:rPr>
          <w:rPr>
            <w:rFonts w:ascii="Cambria Math" w:hAnsi="Cambria Math"/>
            <w:sz w:val="22"/>
            <w:szCs w:val="22"/>
            <w:lang w:eastAsia="zh-CN"/>
          </w:rPr>
          <m:t>PRODUCT_AVAIL_LATE\_POST</m:t>
        </m:r>
      </m:oMath>
      <w:r w:rsidR="001234BC" w:rsidRPr="001E47AD">
        <w:rPr>
          <w:sz w:val="22"/>
          <w:szCs w:val="22"/>
          <w:lang w:eastAsia="zh-CN"/>
        </w:rPr>
        <w:t>)</w:t>
      </w:r>
      <w:r w:rsidR="001234BC" w:rsidRPr="001E47AD">
        <w:rPr>
          <w:b/>
          <w:sz w:val="22"/>
          <w:szCs w:val="22"/>
          <w:lang w:eastAsia="zh-CN"/>
        </w:rPr>
        <w:t xml:space="preserve"> </w:t>
      </w:r>
      <w:r w:rsidR="009A54F3" w:rsidRPr="001E47AD">
        <w:rPr>
          <w:sz w:val="22"/>
          <w:szCs w:val="22"/>
        </w:rPr>
        <w:t>is estimated for the</w:t>
      </w:r>
      <w:r w:rsidRPr="001E47AD">
        <w:rPr>
          <w:sz w:val="22"/>
          <w:szCs w:val="22"/>
        </w:rPr>
        <w:t xml:space="preserve"> LATE event week and </w:t>
      </w:r>
      <w:r w:rsidR="00F9158C" w:rsidRPr="001E47AD">
        <w:rPr>
          <w:sz w:val="22"/>
          <w:szCs w:val="22"/>
        </w:rPr>
        <w:t xml:space="preserve">for </w:t>
      </w:r>
      <w:r w:rsidRPr="001E47AD">
        <w:rPr>
          <w:sz w:val="22"/>
          <w:szCs w:val="22"/>
        </w:rPr>
        <w:t xml:space="preserve">each of the POST event weeks. </w:t>
      </w:r>
      <w:r w:rsidR="004B285F" w:rsidRPr="001E47AD">
        <w:rPr>
          <w:sz w:val="22"/>
          <w:szCs w:val="22"/>
        </w:rPr>
        <w:t>Ideally, the measure for in-store product availability would be an inventory count of the stock-keeping units of bottled water relative to the PRE period. However, inventory counts are not publicly available to the researchers. Thus, similar to Gallino et al. (2016), we estimate in-store product availability using retail sales data</w:t>
      </w:r>
      <w:r w:rsidR="00B80324" w:rsidRPr="001E47AD">
        <w:rPr>
          <w:rFonts w:hint="eastAsia"/>
          <w:sz w:val="22"/>
          <w:szCs w:val="22"/>
          <w:lang w:eastAsia="zh-CN"/>
        </w:rPr>
        <w:t xml:space="preserve">. </w:t>
      </w:r>
      <w:r w:rsidR="00B80324" w:rsidRPr="001E47AD">
        <w:rPr>
          <w:sz w:val="22"/>
          <w:szCs w:val="22"/>
        </w:rPr>
        <w:t xml:space="preserve">A possible measurement bias </w:t>
      </w:r>
      <w:r w:rsidR="00232793" w:rsidRPr="001E47AD">
        <w:rPr>
          <w:sz w:val="22"/>
          <w:szCs w:val="22"/>
        </w:rPr>
        <w:t xml:space="preserve">is that the number of product </w:t>
      </w:r>
      <w:r w:rsidR="00B80324" w:rsidRPr="001E47AD">
        <w:rPr>
          <w:sz w:val="22"/>
          <w:szCs w:val="22"/>
        </w:rPr>
        <w:t>U</w:t>
      </w:r>
      <w:r w:rsidR="00232793" w:rsidRPr="001E47AD">
        <w:rPr>
          <w:sz w:val="22"/>
          <w:szCs w:val="22"/>
        </w:rPr>
        <w:t>PC</w:t>
      </w:r>
      <w:r w:rsidR="00B80324" w:rsidRPr="001E47AD">
        <w:rPr>
          <w:sz w:val="22"/>
          <w:szCs w:val="22"/>
        </w:rPr>
        <w:t>s sold may be related to the sales volume</w:t>
      </w:r>
      <w:r w:rsidR="009B712B" w:rsidRPr="001E47AD">
        <w:rPr>
          <w:sz w:val="22"/>
          <w:szCs w:val="22"/>
        </w:rPr>
        <w:t>, which we address</w:t>
      </w:r>
      <w:r w:rsidR="00FB145E" w:rsidRPr="001E47AD">
        <w:rPr>
          <w:rFonts w:hint="eastAsia"/>
          <w:sz w:val="22"/>
          <w:szCs w:val="22"/>
          <w:lang w:eastAsia="zh-CN"/>
        </w:rPr>
        <w:t xml:space="preserve"> using two methods</w:t>
      </w:r>
      <w:r w:rsidR="00B80324" w:rsidRPr="001E47AD">
        <w:rPr>
          <w:sz w:val="22"/>
          <w:szCs w:val="22"/>
        </w:rPr>
        <w:t>.</w:t>
      </w:r>
      <w:r w:rsidR="00643B84" w:rsidRPr="001E47AD">
        <w:rPr>
          <w:sz w:val="22"/>
          <w:szCs w:val="22"/>
        </w:rPr>
        <w:t xml:space="preserve"> </w:t>
      </w:r>
      <w:r w:rsidR="00643B84" w:rsidRPr="001E47AD">
        <w:rPr>
          <w:rFonts w:hint="eastAsia"/>
          <w:sz w:val="22"/>
          <w:szCs w:val="22"/>
          <w:lang w:eastAsia="zh-CN"/>
        </w:rPr>
        <w:t>First</w:t>
      </w:r>
      <w:r w:rsidR="00043F7D" w:rsidRPr="001E47AD">
        <w:rPr>
          <w:sz w:val="22"/>
          <w:szCs w:val="22"/>
        </w:rPr>
        <w:t xml:space="preserve">, we </w:t>
      </w:r>
      <w:r w:rsidR="00643B84" w:rsidRPr="001E47AD">
        <w:rPr>
          <w:rFonts w:hint="eastAsia"/>
          <w:sz w:val="22"/>
          <w:szCs w:val="22"/>
          <w:lang w:eastAsia="zh-CN"/>
        </w:rPr>
        <w:t xml:space="preserve">estimate </w:t>
      </w:r>
      <w:r w:rsidR="00043F7D" w:rsidRPr="001E47AD">
        <w:rPr>
          <w:rFonts w:hint="eastAsia"/>
          <w:sz w:val="22"/>
          <w:szCs w:val="22"/>
          <w:lang w:eastAsia="zh-CN"/>
        </w:rPr>
        <w:t xml:space="preserve">in-store product availability </w:t>
      </w:r>
      <w:r w:rsidR="00643B84" w:rsidRPr="001E47AD">
        <w:rPr>
          <w:rFonts w:hint="eastAsia"/>
          <w:sz w:val="22"/>
          <w:szCs w:val="22"/>
          <w:lang w:eastAsia="zh-CN"/>
        </w:rPr>
        <w:t xml:space="preserve">using </w:t>
      </w:r>
      <w:r w:rsidR="00DA1DB9" w:rsidRPr="001E47AD">
        <w:rPr>
          <w:sz w:val="22"/>
          <w:szCs w:val="22"/>
          <w:lang w:eastAsia="zh-CN"/>
        </w:rPr>
        <w:t xml:space="preserve">a </w:t>
      </w:r>
      <w:r w:rsidR="00643B84" w:rsidRPr="001E47AD">
        <w:rPr>
          <w:rFonts w:hint="eastAsia"/>
          <w:sz w:val="22"/>
          <w:szCs w:val="22"/>
          <w:lang w:eastAsia="zh-CN"/>
        </w:rPr>
        <w:t>ratio</w:t>
      </w:r>
      <w:r w:rsidR="00DA1DB9" w:rsidRPr="001E47AD">
        <w:rPr>
          <w:sz w:val="22"/>
          <w:szCs w:val="22"/>
          <w:lang w:eastAsia="zh-CN"/>
        </w:rPr>
        <w:t>-based</w:t>
      </w:r>
      <w:r w:rsidR="00643B84" w:rsidRPr="001E47AD">
        <w:rPr>
          <w:rFonts w:hint="eastAsia"/>
          <w:sz w:val="22"/>
          <w:szCs w:val="22"/>
          <w:lang w:eastAsia="zh-CN"/>
        </w:rPr>
        <w:t xml:space="preserve"> measurement, </w:t>
      </w:r>
      <w:r w:rsidR="00B80324" w:rsidRPr="001E47AD">
        <w:rPr>
          <w:sz w:val="22"/>
          <w:szCs w:val="22"/>
        </w:rPr>
        <w:t>the r</w:t>
      </w:r>
      <w:r w:rsidR="00232793" w:rsidRPr="001E47AD">
        <w:rPr>
          <w:sz w:val="22"/>
          <w:szCs w:val="22"/>
        </w:rPr>
        <w:t xml:space="preserve">atio of the number of product </w:t>
      </w:r>
      <w:r w:rsidR="00B80324" w:rsidRPr="001E47AD">
        <w:rPr>
          <w:sz w:val="22"/>
          <w:szCs w:val="22"/>
        </w:rPr>
        <w:t>U</w:t>
      </w:r>
      <w:r w:rsidR="00232793" w:rsidRPr="001E47AD">
        <w:rPr>
          <w:sz w:val="22"/>
          <w:szCs w:val="22"/>
        </w:rPr>
        <w:t>PC</w:t>
      </w:r>
      <w:r w:rsidR="00B80324" w:rsidRPr="001E47AD">
        <w:rPr>
          <w:sz w:val="22"/>
          <w:szCs w:val="22"/>
        </w:rPr>
        <w:t xml:space="preserve">s sold during the LATE (or each of the POST) event week(s) relative to the </w:t>
      </w:r>
      <w:r w:rsidR="00B80324" w:rsidRPr="001E47AD">
        <w:rPr>
          <w:sz w:val="22"/>
          <w:szCs w:val="22"/>
          <w:lang w:eastAsia="zh-CN"/>
        </w:rPr>
        <w:t xml:space="preserve">weekly average of the four </w:t>
      </w:r>
      <w:r w:rsidR="00B80324" w:rsidRPr="001E47AD">
        <w:rPr>
          <w:sz w:val="22"/>
          <w:szCs w:val="22"/>
        </w:rPr>
        <w:t xml:space="preserve">PRE event </w:t>
      </w:r>
      <w:r w:rsidR="00B80324" w:rsidRPr="001E47AD">
        <w:rPr>
          <w:sz w:val="22"/>
          <w:szCs w:val="22"/>
          <w:lang w:eastAsia="zh-CN"/>
        </w:rPr>
        <w:t>weeks</w:t>
      </w:r>
      <w:r w:rsidR="004B285F" w:rsidRPr="001E47AD">
        <w:rPr>
          <w:sz w:val="22"/>
          <w:szCs w:val="22"/>
        </w:rPr>
        <w:t>.</w:t>
      </w:r>
      <w:r w:rsidR="00807D84" w:rsidRPr="001E47AD">
        <w:rPr>
          <w:rStyle w:val="FootnoteReference"/>
          <w:sz w:val="22"/>
          <w:szCs w:val="22"/>
        </w:rPr>
        <w:footnoteReference w:id="12"/>
      </w:r>
      <w:r w:rsidR="00643B84" w:rsidRPr="001E47AD">
        <w:rPr>
          <w:rFonts w:hint="eastAsia"/>
          <w:sz w:val="22"/>
          <w:szCs w:val="22"/>
          <w:lang w:eastAsia="zh-CN"/>
        </w:rPr>
        <w:t xml:space="preserve"> Second</w:t>
      </w:r>
      <w:r w:rsidR="00FB145E" w:rsidRPr="001E47AD">
        <w:rPr>
          <w:rFonts w:hint="eastAsia"/>
          <w:sz w:val="22"/>
          <w:szCs w:val="22"/>
          <w:lang w:eastAsia="zh-CN"/>
        </w:rPr>
        <w:t xml:space="preserve">, </w:t>
      </w:r>
      <w:r w:rsidR="00FB145E" w:rsidRPr="001E47AD">
        <w:rPr>
          <w:sz w:val="22"/>
          <w:szCs w:val="22"/>
        </w:rPr>
        <w:t xml:space="preserve">we </w:t>
      </w:r>
      <w:r w:rsidR="00643B84" w:rsidRPr="001E47AD">
        <w:rPr>
          <w:rFonts w:hint="eastAsia"/>
          <w:sz w:val="22"/>
          <w:szCs w:val="22"/>
          <w:lang w:eastAsia="zh-CN"/>
        </w:rPr>
        <w:t>cont</w:t>
      </w:r>
      <w:r w:rsidR="00643B84" w:rsidRPr="001E47AD">
        <w:rPr>
          <w:sz w:val="22"/>
          <w:szCs w:val="22"/>
          <w:lang w:eastAsia="zh-CN"/>
        </w:rPr>
        <w:t>rol</w:t>
      </w:r>
      <w:r w:rsidR="00643B84" w:rsidRPr="001E47AD">
        <w:rPr>
          <w:rFonts w:hint="eastAsia"/>
          <w:sz w:val="22"/>
          <w:szCs w:val="22"/>
          <w:lang w:eastAsia="zh-CN"/>
        </w:rPr>
        <w:t xml:space="preserve"> for sales volume</w:t>
      </w:r>
      <w:r w:rsidR="00F9158C" w:rsidRPr="001E47AD">
        <w:rPr>
          <w:sz w:val="22"/>
          <w:szCs w:val="22"/>
          <w:lang w:eastAsia="zh-CN"/>
        </w:rPr>
        <w:t xml:space="preserve"> changes</w:t>
      </w:r>
      <w:r w:rsidR="00DA1DB9" w:rsidRPr="001E47AD">
        <w:rPr>
          <w:sz w:val="22"/>
          <w:szCs w:val="22"/>
          <w:lang w:eastAsia="zh-CN"/>
        </w:rPr>
        <w:t xml:space="preserve"> in the estimation model</w:t>
      </w:r>
      <w:r w:rsidR="00643B84" w:rsidRPr="001E47AD">
        <w:rPr>
          <w:rFonts w:hint="eastAsia"/>
          <w:sz w:val="22"/>
          <w:szCs w:val="22"/>
          <w:lang w:eastAsia="zh-CN"/>
        </w:rPr>
        <w:t xml:space="preserve">, </w:t>
      </w:r>
      <w:r w:rsidR="00F9158C" w:rsidRPr="001E47AD">
        <w:rPr>
          <w:sz w:val="22"/>
          <w:szCs w:val="22"/>
          <w:lang w:eastAsia="zh-CN"/>
        </w:rPr>
        <w:t xml:space="preserve">using a variable that measures </w:t>
      </w:r>
      <w:r w:rsidR="00FB145E" w:rsidRPr="001E47AD">
        <w:rPr>
          <w:sz w:val="22"/>
          <w:szCs w:val="22"/>
        </w:rPr>
        <w:t>the difference between the sales volume during the LATE (or each of the POST) event week(s) and the weekly average of the four PRE event weeks</w:t>
      </w:r>
      <w:r w:rsidR="00443A8B" w:rsidRPr="001E47AD">
        <w:rPr>
          <w:rFonts w:hint="eastAsia"/>
          <w:sz w:val="22"/>
          <w:szCs w:val="22"/>
          <w:lang w:eastAsia="zh-CN"/>
        </w:rPr>
        <w:t>.</w:t>
      </w:r>
      <w:r w:rsidR="00FB145E" w:rsidRPr="001E47AD">
        <w:rPr>
          <w:rStyle w:val="FootnoteReference"/>
          <w:rFonts w:hint="eastAsia"/>
          <w:sz w:val="22"/>
          <w:szCs w:val="22"/>
          <w:lang w:eastAsia="zh-CN"/>
        </w:rPr>
        <w:t xml:space="preserve"> </w:t>
      </w:r>
      <w:r w:rsidR="004B285F" w:rsidRPr="001E47AD">
        <w:rPr>
          <w:rStyle w:val="FootnoteReference"/>
          <w:sz w:val="22"/>
          <w:szCs w:val="22"/>
        </w:rPr>
        <w:footnoteReference w:id="13"/>
      </w:r>
      <w:r w:rsidR="007F477C" w:rsidRPr="001E47AD">
        <w:rPr>
          <w:sz w:val="22"/>
          <w:szCs w:val="22"/>
          <w:vertAlign w:val="superscript"/>
          <w:lang w:eastAsia="zh-CN"/>
        </w:rPr>
        <w:t>,</w:t>
      </w:r>
      <w:r w:rsidR="007F477C" w:rsidRPr="001E47AD">
        <w:rPr>
          <w:rStyle w:val="FootnoteReference"/>
          <w:sz w:val="22"/>
          <w:szCs w:val="22"/>
          <w:lang w:eastAsia="zh-CN"/>
        </w:rPr>
        <w:footnoteReference w:id="14"/>
      </w:r>
      <w:r w:rsidR="000462F5" w:rsidRPr="001E47AD">
        <w:rPr>
          <w:rStyle w:val="FootnoteReference"/>
          <w:color w:val="0070C0"/>
          <w:sz w:val="22"/>
          <w:szCs w:val="22"/>
        </w:rPr>
        <w:t xml:space="preserve"> </w:t>
      </w:r>
      <w:r w:rsidR="00A47874" w:rsidRPr="001E47AD">
        <w:rPr>
          <w:sz w:val="22"/>
          <w:szCs w:val="22"/>
        </w:rPr>
        <w:t xml:space="preserve"> </w:t>
      </w:r>
    </w:p>
    <w:p w14:paraId="15EB06AC" w14:textId="77777777" w:rsidR="00D116CF" w:rsidRPr="001E47AD" w:rsidRDefault="00D116CF" w:rsidP="0052121E">
      <w:pPr>
        <w:spacing w:before="120" w:after="120" w:line="480" w:lineRule="auto"/>
        <w:contextualSpacing/>
        <w:jc w:val="both"/>
        <w:rPr>
          <w:b/>
          <w:sz w:val="22"/>
          <w:szCs w:val="22"/>
        </w:rPr>
      </w:pPr>
      <w:r w:rsidRPr="001E47AD">
        <w:rPr>
          <w:b/>
          <w:sz w:val="22"/>
          <w:szCs w:val="22"/>
        </w:rPr>
        <w:t>Independent Variables</w:t>
      </w:r>
    </w:p>
    <w:p w14:paraId="746BB538" w14:textId="42DBA959" w:rsidR="00D116CF" w:rsidRPr="001E47AD" w:rsidRDefault="005D2E3D" w:rsidP="005F7676">
      <w:pPr>
        <w:spacing w:before="120" w:after="120" w:line="480" w:lineRule="auto"/>
        <w:contextualSpacing/>
        <w:jc w:val="both"/>
        <w:rPr>
          <w:sz w:val="22"/>
          <w:szCs w:val="22"/>
          <w:lang w:eastAsia="zh-CN"/>
        </w:rPr>
      </w:pPr>
      <w:r w:rsidRPr="001E47AD">
        <w:rPr>
          <w:sz w:val="22"/>
          <w:szCs w:val="22"/>
        </w:rPr>
        <w:t>The independent varia</w:t>
      </w:r>
      <w:r w:rsidRPr="001E47AD">
        <w:rPr>
          <w:noProof/>
          <w:sz w:val="22"/>
          <w:szCs w:val="22"/>
        </w:rPr>
        <w:t xml:space="preserve">bles include supply-side, demand-side, and disaster characteristics. </w:t>
      </w:r>
      <w:r w:rsidR="00AD314B" w:rsidRPr="001E47AD">
        <w:rPr>
          <w:sz w:val="22"/>
          <w:szCs w:val="22"/>
        </w:rPr>
        <w:t xml:space="preserve">We focus on two </w:t>
      </w:r>
      <w:r w:rsidR="005F7676" w:rsidRPr="001E47AD">
        <w:rPr>
          <w:sz w:val="22"/>
          <w:szCs w:val="22"/>
          <w:lang w:eastAsia="zh-CN"/>
        </w:rPr>
        <w:t xml:space="preserve">supply-side </w:t>
      </w:r>
      <w:r w:rsidR="005F7676" w:rsidRPr="001E47AD">
        <w:rPr>
          <w:noProof/>
          <w:sz w:val="22"/>
          <w:szCs w:val="22"/>
        </w:rPr>
        <w:t>characteristics</w:t>
      </w:r>
      <w:r w:rsidR="005F7676" w:rsidRPr="001E47AD">
        <w:rPr>
          <w:sz w:val="22"/>
          <w:szCs w:val="22"/>
        </w:rPr>
        <w:t xml:space="preserve">: </w:t>
      </w:r>
      <w:r w:rsidR="005F7676" w:rsidRPr="001E47AD">
        <w:rPr>
          <w:sz w:val="22"/>
          <w:szCs w:val="22"/>
          <w:lang w:eastAsia="zh-CN"/>
        </w:rPr>
        <w:t>retail network</w:t>
      </w:r>
      <w:r w:rsidR="005F7676" w:rsidRPr="001E47AD">
        <w:rPr>
          <w:sz w:val="22"/>
          <w:szCs w:val="22"/>
        </w:rPr>
        <w:t xml:space="preserve"> and </w:t>
      </w:r>
      <w:r w:rsidR="005F7676" w:rsidRPr="001E47AD">
        <w:rPr>
          <w:sz w:val="22"/>
          <w:szCs w:val="22"/>
          <w:lang w:eastAsia="zh-CN"/>
        </w:rPr>
        <w:t>product variety</w:t>
      </w:r>
      <w:r w:rsidR="005F7676" w:rsidRPr="001E47AD">
        <w:rPr>
          <w:sz w:val="22"/>
          <w:szCs w:val="22"/>
        </w:rPr>
        <w:t>.</w:t>
      </w:r>
      <w:r w:rsidR="005F7676" w:rsidRPr="001E47AD">
        <w:rPr>
          <w:sz w:val="22"/>
          <w:szCs w:val="22"/>
          <w:lang w:eastAsia="zh-CN"/>
        </w:rPr>
        <w:t xml:space="preserve"> </w:t>
      </w:r>
      <w:r w:rsidR="00D116CF" w:rsidRPr="001E47AD">
        <w:rPr>
          <w:b/>
          <w:sz w:val="22"/>
          <w:szCs w:val="22"/>
        </w:rPr>
        <w:t>Retail network</w:t>
      </w:r>
      <w:r w:rsidR="005F7676" w:rsidRPr="001E47AD">
        <w:rPr>
          <w:b/>
          <w:sz w:val="22"/>
          <w:szCs w:val="22"/>
          <w:lang w:eastAsia="zh-CN"/>
        </w:rPr>
        <w:t xml:space="preserve"> </w:t>
      </w:r>
      <w:r w:rsidR="00D116CF" w:rsidRPr="001E47AD">
        <w:rPr>
          <w:noProof/>
          <w:sz w:val="22"/>
          <w:szCs w:val="22"/>
        </w:rPr>
        <w:t>is defined</w:t>
      </w:r>
      <w:r w:rsidR="00D116CF" w:rsidRPr="001E47AD">
        <w:rPr>
          <w:sz w:val="22"/>
          <w:szCs w:val="22"/>
        </w:rPr>
        <w:t xml:space="preserve"> as the </w:t>
      </w:r>
      <w:r w:rsidR="00D116CF" w:rsidRPr="001E47AD">
        <w:rPr>
          <w:sz w:val="22"/>
          <w:szCs w:val="22"/>
        </w:rPr>
        <w:lastRenderedPageBreak/>
        <w:t xml:space="preserve">number of stores </w:t>
      </w:r>
      <w:r w:rsidR="0060550C" w:rsidRPr="001E47AD">
        <w:rPr>
          <w:sz w:val="22"/>
          <w:szCs w:val="22"/>
        </w:rPr>
        <w:t xml:space="preserve">within a geographic market </w:t>
      </w:r>
      <w:r w:rsidR="00D116CF" w:rsidRPr="001E47AD">
        <w:rPr>
          <w:sz w:val="22"/>
          <w:szCs w:val="22"/>
        </w:rPr>
        <w:t xml:space="preserve">belonging to the same retail chain as the sample store outlet (Rajagopalan 2013). For each sample store outlet, we measure intra-regional store network at the county </w:t>
      </w:r>
      <w:r w:rsidR="00F15CA5" w:rsidRPr="001E47AD">
        <w:rPr>
          <w:sz w:val="22"/>
          <w:szCs w:val="22"/>
        </w:rPr>
        <w:t>level</w:t>
      </w:r>
      <m:oMath>
        <m:r>
          <w:rPr>
            <w:rFonts w:ascii="Cambria Math" w:hAnsi="Cambria Math"/>
            <w:sz w:val="22"/>
            <w:szCs w:val="22"/>
            <w:lang w:eastAsia="zh-CN"/>
          </w:rPr>
          <m:t>(</m:t>
        </m:r>
        <m:r>
          <m:rPr>
            <m:sty m:val="p"/>
          </m:rPr>
          <w:rPr>
            <w:rFonts w:ascii="Cambria Math" w:hAnsi="Cambria Math"/>
            <w:sz w:val="22"/>
            <w:szCs w:val="22"/>
            <w:lang w:eastAsia="zh-CN"/>
          </w:rPr>
          <m:t>INTRA_NTW_COUNTY</m:t>
        </m:r>
      </m:oMath>
      <w:r w:rsidR="007C6EF7" w:rsidRPr="001E47AD">
        <w:rPr>
          <w:sz w:val="22"/>
          <w:szCs w:val="22"/>
          <w:lang w:eastAsia="zh-CN"/>
        </w:rPr>
        <w:t xml:space="preserve">) </w:t>
      </w:r>
      <w:r w:rsidR="00D116CF" w:rsidRPr="001E47AD">
        <w:rPr>
          <w:sz w:val="22"/>
          <w:szCs w:val="22"/>
        </w:rPr>
        <w:t>and inter-regional store network at the country-level</w:t>
      </w:r>
      <w:r w:rsidR="007C6EF7" w:rsidRPr="001E47AD">
        <w:rPr>
          <w:sz w:val="22"/>
          <w:szCs w:val="22"/>
          <w:lang w:eastAsia="zh-CN"/>
        </w:rPr>
        <w:t xml:space="preserve"> (</w:t>
      </w:r>
      <m:oMath>
        <m:r>
          <m:rPr>
            <m:sty m:val="p"/>
          </m:rPr>
          <w:rPr>
            <w:rFonts w:ascii="Cambria Math" w:hAnsi="Cambria Math"/>
            <w:sz w:val="22"/>
            <w:szCs w:val="22"/>
            <w:lang w:eastAsia="zh-CN"/>
          </w:rPr>
          <m:t>INTER_NTW_COUNTRY</m:t>
        </m:r>
      </m:oMath>
      <w:r w:rsidR="007C6EF7" w:rsidRPr="001E47AD">
        <w:rPr>
          <w:sz w:val="22"/>
          <w:szCs w:val="22"/>
          <w:lang w:eastAsia="zh-CN"/>
        </w:rPr>
        <w:t>)</w:t>
      </w:r>
      <w:r w:rsidR="00D116CF" w:rsidRPr="001E47AD">
        <w:rPr>
          <w:sz w:val="22"/>
          <w:szCs w:val="22"/>
        </w:rPr>
        <w:t>.</w:t>
      </w:r>
      <w:r w:rsidR="005F7676" w:rsidRPr="001E47AD">
        <w:rPr>
          <w:sz w:val="22"/>
          <w:szCs w:val="22"/>
          <w:lang w:eastAsia="zh-CN"/>
        </w:rPr>
        <w:t xml:space="preserve"> </w:t>
      </w:r>
      <w:r w:rsidR="00D116CF" w:rsidRPr="001E47AD">
        <w:rPr>
          <w:b/>
          <w:noProof/>
          <w:sz w:val="22"/>
          <w:szCs w:val="22"/>
        </w:rPr>
        <w:t>Product variety</w:t>
      </w:r>
      <w:r w:rsidR="005F7676" w:rsidRPr="001E47AD">
        <w:rPr>
          <w:noProof/>
          <w:sz w:val="22"/>
          <w:szCs w:val="22"/>
          <w:lang w:eastAsia="zh-CN"/>
        </w:rPr>
        <w:t xml:space="preserve"> </w:t>
      </w:r>
      <w:r w:rsidR="007C6EF7" w:rsidRPr="001E47AD">
        <w:rPr>
          <w:noProof/>
          <w:sz w:val="22"/>
          <w:szCs w:val="22"/>
          <w:lang w:eastAsia="zh-CN"/>
        </w:rPr>
        <w:t>(</w:t>
      </w:r>
      <m:oMath>
        <m:r>
          <m:rPr>
            <m:sty m:val="p"/>
          </m:rPr>
          <w:rPr>
            <w:rFonts w:ascii="Cambria Math" w:hAnsi="Cambria Math"/>
            <w:noProof/>
            <w:sz w:val="22"/>
            <w:szCs w:val="22"/>
            <w:lang w:eastAsia="zh-CN"/>
          </w:rPr>
          <m:t>PROD_VAR_UPC</m:t>
        </m:r>
      </m:oMath>
      <w:r w:rsidR="007C6EF7" w:rsidRPr="001E47AD">
        <w:rPr>
          <w:noProof/>
          <w:sz w:val="22"/>
          <w:szCs w:val="22"/>
          <w:lang w:eastAsia="zh-CN"/>
        </w:rPr>
        <w:t>)</w:t>
      </w:r>
      <w:r w:rsidR="007C6EF7" w:rsidRPr="001E47AD">
        <w:rPr>
          <w:b/>
          <w:noProof/>
          <w:sz w:val="22"/>
          <w:szCs w:val="22"/>
          <w:lang w:eastAsia="zh-CN"/>
        </w:rPr>
        <w:t xml:space="preserve"> </w:t>
      </w:r>
      <w:r w:rsidR="00D116CF" w:rsidRPr="001E47AD">
        <w:rPr>
          <w:noProof/>
          <w:sz w:val="22"/>
          <w:szCs w:val="22"/>
        </w:rPr>
        <w:t>is defined</w:t>
      </w:r>
      <w:r w:rsidR="007F2DBF" w:rsidRPr="001E47AD">
        <w:rPr>
          <w:sz w:val="22"/>
          <w:szCs w:val="22"/>
        </w:rPr>
        <w:t xml:space="preserve"> as the number of UPC</w:t>
      </w:r>
      <w:r w:rsidR="00D116CF" w:rsidRPr="001E47AD">
        <w:rPr>
          <w:sz w:val="22"/>
          <w:szCs w:val="22"/>
        </w:rPr>
        <w:t xml:space="preserve">s </w:t>
      </w:r>
      <w:r w:rsidR="00166478" w:rsidRPr="001E47AD">
        <w:rPr>
          <w:sz w:val="22"/>
          <w:szCs w:val="22"/>
        </w:rPr>
        <w:t xml:space="preserve">(Universal Product Code) </w:t>
      </w:r>
      <w:r w:rsidR="00D116CF" w:rsidRPr="001E47AD">
        <w:rPr>
          <w:sz w:val="22"/>
          <w:szCs w:val="22"/>
        </w:rPr>
        <w:t xml:space="preserve">in the bottled water category sold by a sample store outlet over the </w:t>
      </w:r>
      <w:r w:rsidR="00806778" w:rsidRPr="001E47AD">
        <w:rPr>
          <w:sz w:val="22"/>
          <w:szCs w:val="22"/>
        </w:rPr>
        <w:t>entire</w:t>
      </w:r>
      <w:r w:rsidR="00D116CF" w:rsidRPr="001E47AD">
        <w:rPr>
          <w:sz w:val="22"/>
          <w:szCs w:val="22"/>
        </w:rPr>
        <w:t xml:space="preserve"> </w:t>
      </w:r>
      <w:r w:rsidR="003A7CAE" w:rsidRPr="001E47AD">
        <w:rPr>
          <w:sz w:val="22"/>
          <w:szCs w:val="22"/>
        </w:rPr>
        <w:t xml:space="preserve">calendar </w:t>
      </w:r>
      <w:r w:rsidR="00D116CF" w:rsidRPr="001E47AD">
        <w:rPr>
          <w:sz w:val="22"/>
          <w:szCs w:val="22"/>
        </w:rPr>
        <w:t>year of the corresponding hurricane event.</w:t>
      </w:r>
      <w:r w:rsidR="007F2DBF" w:rsidRPr="001E47AD">
        <w:rPr>
          <w:rStyle w:val="FootnoteReference"/>
          <w:sz w:val="22"/>
          <w:szCs w:val="22"/>
        </w:rPr>
        <w:footnoteReference w:id="15"/>
      </w:r>
      <w:r w:rsidR="00D116CF" w:rsidRPr="001E47AD">
        <w:rPr>
          <w:sz w:val="22"/>
          <w:szCs w:val="22"/>
        </w:rPr>
        <w:t xml:space="preserve"> </w:t>
      </w:r>
    </w:p>
    <w:p w14:paraId="63142326" w14:textId="187A911D" w:rsidR="00D116CF" w:rsidRPr="001E47AD" w:rsidRDefault="00E24840" w:rsidP="0002764C">
      <w:pPr>
        <w:spacing w:before="120" w:after="120" w:line="480" w:lineRule="auto"/>
        <w:ind w:firstLine="720"/>
        <w:contextualSpacing/>
        <w:jc w:val="both"/>
        <w:rPr>
          <w:sz w:val="22"/>
          <w:szCs w:val="22"/>
        </w:rPr>
      </w:pPr>
      <w:r w:rsidRPr="001E47AD">
        <w:rPr>
          <w:sz w:val="22"/>
          <w:szCs w:val="22"/>
        </w:rPr>
        <w:t xml:space="preserve">We </w:t>
      </w:r>
      <w:r w:rsidR="00806778" w:rsidRPr="001E47AD">
        <w:rPr>
          <w:sz w:val="22"/>
          <w:szCs w:val="22"/>
          <w:lang w:eastAsia="zh-CN"/>
        </w:rPr>
        <w:t>employ</w:t>
      </w:r>
      <w:r w:rsidR="00AD314B" w:rsidRPr="001E47AD">
        <w:rPr>
          <w:sz w:val="22"/>
          <w:szCs w:val="22"/>
        </w:rPr>
        <w:t xml:space="preserve"> two </w:t>
      </w:r>
      <w:r w:rsidR="00AD314B" w:rsidRPr="001E47AD">
        <w:rPr>
          <w:sz w:val="22"/>
          <w:szCs w:val="22"/>
          <w:lang w:eastAsia="zh-CN"/>
        </w:rPr>
        <w:t>demand</w:t>
      </w:r>
      <w:r w:rsidR="005F7676" w:rsidRPr="001E47AD">
        <w:rPr>
          <w:sz w:val="22"/>
          <w:szCs w:val="22"/>
          <w:lang w:eastAsia="zh-CN"/>
        </w:rPr>
        <w:t xml:space="preserve">-side </w:t>
      </w:r>
      <w:r w:rsidR="005F7676" w:rsidRPr="001E47AD">
        <w:rPr>
          <w:noProof/>
          <w:sz w:val="22"/>
          <w:szCs w:val="22"/>
        </w:rPr>
        <w:t>characteristics</w:t>
      </w:r>
      <w:r w:rsidR="005F7676" w:rsidRPr="001E47AD">
        <w:rPr>
          <w:sz w:val="22"/>
          <w:szCs w:val="22"/>
        </w:rPr>
        <w:t>: disaster experience and household income</w:t>
      </w:r>
      <w:r w:rsidR="005F7676" w:rsidRPr="001E47AD">
        <w:rPr>
          <w:sz w:val="22"/>
          <w:szCs w:val="22"/>
          <w:lang w:eastAsia="zh-CN"/>
        </w:rPr>
        <w:t xml:space="preserve">. </w:t>
      </w:r>
      <w:r w:rsidR="00D7202C" w:rsidRPr="001E47AD">
        <w:rPr>
          <w:b/>
          <w:noProof/>
          <w:sz w:val="22"/>
          <w:szCs w:val="22"/>
        </w:rPr>
        <w:t xml:space="preserve">Disaster </w:t>
      </w:r>
      <w:r w:rsidR="00D116CF" w:rsidRPr="001E47AD">
        <w:rPr>
          <w:b/>
          <w:noProof/>
          <w:sz w:val="22"/>
          <w:szCs w:val="22"/>
        </w:rPr>
        <w:t>experience</w:t>
      </w:r>
      <w:r w:rsidR="005F7676" w:rsidRPr="001E47AD">
        <w:rPr>
          <w:b/>
          <w:noProof/>
          <w:sz w:val="22"/>
          <w:szCs w:val="22"/>
          <w:lang w:eastAsia="zh-CN"/>
        </w:rPr>
        <w:t xml:space="preserve"> </w:t>
      </w:r>
      <w:r w:rsidR="00891714" w:rsidRPr="001E47AD">
        <w:rPr>
          <w:noProof/>
          <w:sz w:val="22"/>
          <w:szCs w:val="22"/>
          <w:lang w:eastAsia="zh-CN"/>
        </w:rPr>
        <w:t>(</w:t>
      </w:r>
      <m:oMath>
        <m:r>
          <m:rPr>
            <m:sty m:val="p"/>
          </m:rPr>
          <w:rPr>
            <w:rFonts w:ascii="Cambria Math" w:hAnsi="Cambria Math"/>
            <w:noProof/>
            <w:sz w:val="22"/>
            <w:szCs w:val="22"/>
            <w:lang w:eastAsia="zh-CN"/>
          </w:rPr>
          <m:t>HUR_EXP_STATE</m:t>
        </m:r>
      </m:oMath>
      <w:r w:rsidR="00891714" w:rsidRPr="001E47AD">
        <w:rPr>
          <w:noProof/>
          <w:sz w:val="22"/>
          <w:szCs w:val="22"/>
          <w:lang w:eastAsia="zh-CN"/>
        </w:rPr>
        <w:t xml:space="preserve">) </w:t>
      </w:r>
      <w:r w:rsidR="00D116CF" w:rsidRPr="001E47AD">
        <w:rPr>
          <w:sz w:val="22"/>
          <w:szCs w:val="22"/>
        </w:rPr>
        <w:t xml:space="preserve">counts the number of historical landfalls experienced by an affected state </w:t>
      </w:r>
      <w:r w:rsidR="00BA1738" w:rsidRPr="001E47AD">
        <w:rPr>
          <w:noProof/>
          <w:sz w:val="22"/>
          <w:szCs w:val="22"/>
        </w:rPr>
        <w:t>before</w:t>
      </w:r>
      <w:r w:rsidR="00D116CF" w:rsidRPr="001E47AD">
        <w:rPr>
          <w:sz w:val="22"/>
          <w:szCs w:val="22"/>
        </w:rPr>
        <w:t xml:space="preserve"> a hurricane event in the past 20 years. The hurricane landfall history</w:t>
      </w:r>
      <w:r w:rsidR="006D4EA3" w:rsidRPr="001E47AD">
        <w:rPr>
          <w:sz w:val="22"/>
          <w:szCs w:val="22"/>
        </w:rPr>
        <w:t>, recorded by NOAA,</w:t>
      </w:r>
      <w:r w:rsidR="00D116CF" w:rsidRPr="001E47AD">
        <w:rPr>
          <w:sz w:val="22"/>
          <w:szCs w:val="22"/>
        </w:rPr>
        <w:t xml:space="preserve"> </w:t>
      </w:r>
      <w:r w:rsidR="00D116CF" w:rsidRPr="001E47AD">
        <w:rPr>
          <w:noProof/>
          <w:sz w:val="22"/>
          <w:szCs w:val="22"/>
        </w:rPr>
        <w:t>is based</w:t>
      </w:r>
      <w:r w:rsidR="00D116CF" w:rsidRPr="001E47AD">
        <w:rPr>
          <w:sz w:val="22"/>
          <w:szCs w:val="22"/>
        </w:rPr>
        <w:t xml:space="preserve"> on </w:t>
      </w:r>
      <w:r w:rsidR="00856288" w:rsidRPr="001E47AD">
        <w:rPr>
          <w:sz w:val="22"/>
          <w:szCs w:val="22"/>
        </w:rPr>
        <w:t xml:space="preserve">the historical record of </w:t>
      </w:r>
      <w:r w:rsidR="00D116CF" w:rsidRPr="001E47AD">
        <w:rPr>
          <w:sz w:val="22"/>
          <w:szCs w:val="22"/>
        </w:rPr>
        <w:t xml:space="preserve">continental hurricanes making landfalls </w:t>
      </w:r>
      <w:r w:rsidR="008A3494" w:rsidRPr="001E47AD">
        <w:rPr>
          <w:sz w:val="22"/>
          <w:szCs w:val="22"/>
        </w:rPr>
        <w:t>in the United States</w:t>
      </w:r>
      <w:r w:rsidR="00D116CF" w:rsidRPr="001E47AD">
        <w:rPr>
          <w:sz w:val="22"/>
          <w:szCs w:val="22"/>
        </w:rPr>
        <w:t xml:space="preserve">. </w:t>
      </w:r>
      <w:r w:rsidR="00D116CF" w:rsidRPr="001E47AD">
        <w:rPr>
          <w:b/>
          <w:noProof/>
          <w:sz w:val="22"/>
          <w:szCs w:val="22"/>
        </w:rPr>
        <w:t>Household income</w:t>
      </w:r>
      <w:r w:rsidR="005F7676" w:rsidRPr="001E47AD">
        <w:rPr>
          <w:b/>
          <w:noProof/>
          <w:sz w:val="22"/>
          <w:szCs w:val="22"/>
          <w:lang w:eastAsia="zh-CN"/>
        </w:rPr>
        <w:t xml:space="preserve"> </w:t>
      </w:r>
      <w:r w:rsidR="00891714" w:rsidRPr="001E47AD">
        <w:rPr>
          <w:noProof/>
          <w:sz w:val="22"/>
          <w:szCs w:val="22"/>
          <w:lang w:eastAsia="zh-CN"/>
        </w:rPr>
        <w:t>(</w:t>
      </w:r>
      <m:oMath>
        <m:r>
          <m:rPr>
            <m:sty m:val="p"/>
          </m:rPr>
          <w:rPr>
            <w:rFonts w:ascii="Cambria Math" w:hAnsi="Cambria Math"/>
            <w:noProof/>
            <w:sz w:val="22"/>
            <w:szCs w:val="22"/>
            <w:lang w:eastAsia="zh-CN"/>
          </w:rPr>
          <m:t>PER_CAPITA_INC</m:t>
        </m:r>
      </m:oMath>
      <w:r w:rsidR="00891714" w:rsidRPr="001E47AD">
        <w:rPr>
          <w:noProof/>
          <w:sz w:val="22"/>
          <w:szCs w:val="22"/>
          <w:lang w:eastAsia="zh-CN"/>
        </w:rPr>
        <w:t>)</w:t>
      </w:r>
      <w:r w:rsidR="00891714" w:rsidRPr="001E47AD">
        <w:rPr>
          <w:b/>
          <w:noProof/>
          <w:sz w:val="22"/>
          <w:szCs w:val="22"/>
          <w:lang w:eastAsia="zh-CN"/>
        </w:rPr>
        <w:t xml:space="preserve"> </w:t>
      </w:r>
      <w:r w:rsidR="00D116CF" w:rsidRPr="001E47AD">
        <w:rPr>
          <w:sz w:val="22"/>
          <w:szCs w:val="22"/>
        </w:rPr>
        <w:t xml:space="preserve">is a measure of the average household income level of the county where a sample store outlet </w:t>
      </w:r>
      <w:r w:rsidR="00D116CF" w:rsidRPr="001E47AD">
        <w:rPr>
          <w:noProof/>
          <w:sz w:val="22"/>
          <w:szCs w:val="22"/>
        </w:rPr>
        <w:t>is located</w:t>
      </w:r>
      <w:r w:rsidR="00D116CF" w:rsidRPr="001E47AD">
        <w:rPr>
          <w:sz w:val="22"/>
          <w:szCs w:val="22"/>
        </w:rPr>
        <w:t>. We utilize</w:t>
      </w:r>
      <w:r w:rsidR="006D4EA3" w:rsidRPr="001E47AD">
        <w:rPr>
          <w:sz w:val="22"/>
          <w:szCs w:val="22"/>
        </w:rPr>
        <w:t xml:space="preserve"> the</w:t>
      </w:r>
      <w:r w:rsidR="00D116CF" w:rsidRPr="001E47AD">
        <w:rPr>
          <w:sz w:val="22"/>
          <w:szCs w:val="22"/>
        </w:rPr>
        <w:t xml:space="preserve"> county</w:t>
      </w:r>
      <w:r w:rsidR="006D4EA3" w:rsidRPr="001E47AD">
        <w:rPr>
          <w:sz w:val="22"/>
          <w:szCs w:val="22"/>
        </w:rPr>
        <w:t>’s</w:t>
      </w:r>
      <w:r w:rsidR="00D116CF" w:rsidRPr="001E47AD">
        <w:rPr>
          <w:sz w:val="22"/>
          <w:szCs w:val="22"/>
        </w:rPr>
        <w:t xml:space="preserve"> per-capita</w:t>
      </w:r>
      <w:r w:rsidR="0049182F" w:rsidRPr="001E47AD">
        <w:rPr>
          <w:sz w:val="22"/>
          <w:szCs w:val="22"/>
        </w:rPr>
        <w:t xml:space="preserve"> household </w:t>
      </w:r>
      <w:r w:rsidR="00D116CF" w:rsidRPr="001E47AD">
        <w:rPr>
          <w:sz w:val="22"/>
          <w:szCs w:val="22"/>
        </w:rPr>
        <w:t>income in the analysis</w:t>
      </w:r>
      <w:r w:rsidR="00F46FD3" w:rsidRPr="001E47AD">
        <w:rPr>
          <w:sz w:val="22"/>
          <w:szCs w:val="22"/>
        </w:rPr>
        <w:t xml:space="preserve">, </w:t>
      </w:r>
      <w:r w:rsidR="00D116CF" w:rsidRPr="001E47AD">
        <w:rPr>
          <w:sz w:val="22"/>
          <w:szCs w:val="22"/>
        </w:rPr>
        <w:t>collect</w:t>
      </w:r>
      <w:r w:rsidR="00F46FD3" w:rsidRPr="001E47AD">
        <w:rPr>
          <w:sz w:val="22"/>
          <w:szCs w:val="22"/>
        </w:rPr>
        <w:t>ed</w:t>
      </w:r>
      <w:r w:rsidR="00D116CF" w:rsidRPr="001E47AD">
        <w:rPr>
          <w:sz w:val="22"/>
          <w:szCs w:val="22"/>
        </w:rPr>
        <w:t xml:space="preserve"> from </w:t>
      </w:r>
      <w:r w:rsidR="00BA1738" w:rsidRPr="001E47AD">
        <w:rPr>
          <w:sz w:val="22"/>
          <w:szCs w:val="22"/>
        </w:rPr>
        <w:t xml:space="preserve">the </w:t>
      </w:r>
      <w:r w:rsidR="00D116CF" w:rsidRPr="001E47AD">
        <w:rPr>
          <w:noProof/>
          <w:sz w:val="22"/>
          <w:szCs w:val="22"/>
        </w:rPr>
        <w:t>U.S.</w:t>
      </w:r>
      <w:r w:rsidR="00D116CF" w:rsidRPr="001E47AD">
        <w:rPr>
          <w:sz w:val="22"/>
          <w:szCs w:val="22"/>
        </w:rPr>
        <w:t xml:space="preserve"> Census Bureau.</w:t>
      </w:r>
    </w:p>
    <w:p w14:paraId="3B17DE44" w14:textId="380E8C66" w:rsidR="00B33F6B" w:rsidRPr="001E47AD" w:rsidRDefault="007D24BB" w:rsidP="00640A7C">
      <w:pPr>
        <w:spacing w:before="120" w:after="120" w:line="480" w:lineRule="auto"/>
        <w:ind w:firstLine="720"/>
        <w:contextualSpacing/>
        <w:jc w:val="both"/>
        <w:rPr>
          <w:sz w:val="22"/>
          <w:szCs w:val="22"/>
        </w:rPr>
      </w:pPr>
      <w:r w:rsidRPr="001E47AD">
        <w:rPr>
          <w:noProof/>
          <w:sz w:val="22"/>
          <w:szCs w:val="22"/>
        </w:rPr>
        <w:t xml:space="preserve">We </w:t>
      </w:r>
      <w:r w:rsidRPr="001E47AD">
        <w:rPr>
          <w:noProof/>
          <w:sz w:val="22"/>
          <w:szCs w:val="22"/>
          <w:lang w:eastAsia="zh-CN"/>
        </w:rPr>
        <w:t>concentrate</w:t>
      </w:r>
      <w:r w:rsidRPr="001E47AD">
        <w:rPr>
          <w:noProof/>
          <w:sz w:val="22"/>
          <w:szCs w:val="22"/>
        </w:rPr>
        <w:t xml:space="preserve"> on </w:t>
      </w:r>
      <w:r w:rsidRPr="001E47AD">
        <w:rPr>
          <w:noProof/>
          <w:sz w:val="22"/>
          <w:szCs w:val="22"/>
          <w:lang w:eastAsia="zh-CN"/>
        </w:rPr>
        <w:t>three</w:t>
      </w:r>
      <w:r w:rsidRPr="001E47AD">
        <w:rPr>
          <w:noProof/>
          <w:sz w:val="22"/>
          <w:szCs w:val="22"/>
        </w:rPr>
        <w:t xml:space="preserve"> </w:t>
      </w:r>
      <w:r w:rsidRPr="001E47AD">
        <w:rPr>
          <w:noProof/>
          <w:sz w:val="22"/>
          <w:szCs w:val="22"/>
          <w:lang w:eastAsia="zh-CN"/>
        </w:rPr>
        <w:t xml:space="preserve">disaster-related </w:t>
      </w:r>
      <w:r w:rsidRPr="001E47AD">
        <w:rPr>
          <w:noProof/>
          <w:sz w:val="22"/>
          <w:szCs w:val="22"/>
        </w:rPr>
        <w:t xml:space="preserve">characteristics: </w:t>
      </w:r>
      <w:r w:rsidRPr="001E47AD">
        <w:rPr>
          <w:noProof/>
          <w:sz w:val="22"/>
          <w:szCs w:val="22"/>
          <w:lang w:eastAsia="zh-CN"/>
        </w:rPr>
        <w:t>landfall distance, track distance, and wind speed.</w:t>
      </w:r>
      <w:r w:rsidR="005F7676" w:rsidRPr="001E47AD">
        <w:rPr>
          <w:noProof/>
          <w:sz w:val="22"/>
          <w:szCs w:val="22"/>
          <w:lang w:eastAsia="zh-CN"/>
        </w:rPr>
        <w:t xml:space="preserve"> </w:t>
      </w:r>
      <w:r w:rsidR="00D116CF" w:rsidRPr="001E47AD">
        <w:rPr>
          <w:b/>
          <w:noProof/>
          <w:sz w:val="22"/>
          <w:szCs w:val="22"/>
        </w:rPr>
        <w:t>Landfall distance</w:t>
      </w:r>
      <w:r w:rsidR="005F7676" w:rsidRPr="001E47AD">
        <w:rPr>
          <w:b/>
          <w:noProof/>
          <w:sz w:val="22"/>
          <w:szCs w:val="22"/>
          <w:lang w:eastAsia="zh-CN"/>
        </w:rPr>
        <w:t xml:space="preserve"> </w:t>
      </w:r>
      <w:r w:rsidR="00D52C75" w:rsidRPr="001E47AD">
        <w:rPr>
          <w:noProof/>
          <w:sz w:val="22"/>
          <w:szCs w:val="22"/>
          <w:lang w:eastAsia="zh-CN"/>
        </w:rPr>
        <w:t>(</w:t>
      </w:r>
      <m:oMath>
        <m:r>
          <m:rPr>
            <m:sty m:val="p"/>
          </m:rPr>
          <w:rPr>
            <w:rFonts w:ascii="Cambria Math" w:hAnsi="Cambria Math"/>
            <w:noProof/>
            <w:sz w:val="22"/>
            <w:szCs w:val="22"/>
            <w:lang w:eastAsia="zh-CN"/>
          </w:rPr>
          <m:t>HUR_LANDFALL_DIST</m:t>
        </m:r>
      </m:oMath>
      <w:r w:rsidR="00D52C75" w:rsidRPr="001E47AD">
        <w:rPr>
          <w:noProof/>
          <w:sz w:val="22"/>
          <w:szCs w:val="22"/>
          <w:lang w:eastAsia="zh-CN"/>
        </w:rPr>
        <w:t xml:space="preserve">) </w:t>
      </w:r>
      <w:r w:rsidR="00FA60DF" w:rsidRPr="001E47AD">
        <w:rPr>
          <w:sz w:val="22"/>
          <w:szCs w:val="22"/>
        </w:rPr>
        <w:t xml:space="preserve">indicates the minimum </w:t>
      </w:r>
      <w:r w:rsidR="00D116CF" w:rsidRPr="001E47AD">
        <w:rPr>
          <w:noProof/>
          <w:sz w:val="22"/>
          <w:szCs w:val="22"/>
        </w:rPr>
        <w:t>distance</w:t>
      </w:r>
      <w:r w:rsidR="00D116CF" w:rsidRPr="001E47AD">
        <w:rPr>
          <w:sz w:val="22"/>
          <w:szCs w:val="22"/>
        </w:rPr>
        <w:t xml:space="preserve"> from the county where a store outlet </w:t>
      </w:r>
      <w:r w:rsidR="00D116CF" w:rsidRPr="001E47AD">
        <w:rPr>
          <w:noProof/>
          <w:sz w:val="22"/>
          <w:szCs w:val="22"/>
        </w:rPr>
        <w:t>is located</w:t>
      </w:r>
      <w:r w:rsidR="00D116CF" w:rsidRPr="001E47AD">
        <w:rPr>
          <w:sz w:val="22"/>
          <w:szCs w:val="22"/>
        </w:rPr>
        <w:t xml:space="preserve"> </w:t>
      </w:r>
      <w:r w:rsidR="00D116CF" w:rsidRPr="001E47AD">
        <w:rPr>
          <w:noProof/>
          <w:sz w:val="22"/>
          <w:szCs w:val="22"/>
        </w:rPr>
        <w:t>to</w:t>
      </w:r>
      <w:r w:rsidR="00D116CF" w:rsidRPr="001E47AD">
        <w:rPr>
          <w:sz w:val="22"/>
          <w:szCs w:val="22"/>
        </w:rPr>
        <w:t xml:space="preserve"> landfall points. </w:t>
      </w:r>
      <w:r w:rsidR="006B57EB" w:rsidRPr="001E47AD">
        <w:rPr>
          <w:sz w:val="22"/>
          <w:szCs w:val="22"/>
        </w:rPr>
        <w:t>T</w:t>
      </w:r>
      <w:r w:rsidR="00D116CF" w:rsidRPr="001E47AD">
        <w:rPr>
          <w:sz w:val="22"/>
          <w:szCs w:val="22"/>
        </w:rPr>
        <w:t xml:space="preserve">he latitude and longitude of the counties </w:t>
      </w:r>
      <w:r w:rsidR="00B33F6B" w:rsidRPr="001E47AD">
        <w:rPr>
          <w:sz w:val="22"/>
          <w:szCs w:val="22"/>
        </w:rPr>
        <w:t xml:space="preserve">and the latitude and longitude of hurricane landfall locations </w:t>
      </w:r>
      <w:r w:rsidR="006B57EB" w:rsidRPr="001E47AD">
        <w:rPr>
          <w:sz w:val="22"/>
          <w:szCs w:val="22"/>
        </w:rPr>
        <w:t xml:space="preserve">are </w:t>
      </w:r>
      <w:r w:rsidR="00D116CF" w:rsidRPr="001E47AD">
        <w:rPr>
          <w:sz w:val="22"/>
          <w:szCs w:val="22"/>
        </w:rPr>
        <w:t>from the U.S. Census Burea</w:t>
      </w:r>
      <w:r w:rsidR="00D116CF" w:rsidRPr="001E47AD">
        <w:rPr>
          <w:noProof/>
          <w:sz w:val="22"/>
          <w:szCs w:val="22"/>
        </w:rPr>
        <w:t>u</w:t>
      </w:r>
      <w:r w:rsidR="00B33F6B" w:rsidRPr="001E47AD">
        <w:rPr>
          <w:noProof/>
          <w:sz w:val="22"/>
          <w:szCs w:val="22"/>
        </w:rPr>
        <w:t xml:space="preserve"> and </w:t>
      </w:r>
      <w:r w:rsidR="00D116CF" w:rsidRPr="001E47AD">
        <w:rPr>
          <w:sz w:val="22"/>
          <w:szCs w:val="22"/>
        </w:rPr>
        <w:t>NOAA</w:t>
      </w:r>
      <w:r w:rsidR="00B33F6B" w:rsidRPr="001E47AD">
        <w:rPr>
          <w:sz w:val="22"/>
          <w:szCs w:val="22"/>
        </w:rPr>
        <w:t>, respectively</w:t>
      </w:r>
      <w:r w:rsidR="00D116CF" w:rsidRPr="001E47AD">
        <w:rPr>
          <w:sz w:val="22"/>
          <w:szCs w:val="22"/>
        </w:rPr>
        <w:t xml:space="preserve">. </w:t>
      </w:r>
      <w:r w:rsidR="00D116CF" w:rsidRPr="001E47AD">
        <w:rPr>
          <w:b/>
          <w:sz w:val="22"/>
          <w:szCs w:val="22"/>
        </w:rPr>
        <w:t>Track distance</w:t>
      </w:r>
      <w:r w:rsidR="005F7676" w:rsidRPr="001E47AD">
        <w:rPr>
          <w:b/>
          <w:sz w:val="22"/>
          <w:szCs w:val="22"/>
          <w:lang w:eastAsia="zh-CN"/>
        </w:rPr>
        <w:t xml:space="preserve"> </w:t>
      </w:r>
      <w:r w:rsidR="00D52C75" w:rsidRPr="001E47AD">
        <w:rPr>
          <w:sz w:val="22"/>
          <w:szCs w:val="22"/>
          <w:lang w:eastAsia="zh-CN"/>
        </w:rPr>
        <w:t>(</w:t>
      </w:r>
      <m:oMath>
        <m:r>
          <m:rPr>
            <m:sty m:val="p"/>
          </m:rPr>
          <w:rPr>
            <w:rFonts w:ascii="Cambria Math" w:hAnsi="Cambria Math"/>
            <w:sz w:val="22"/>
            <w:szCs w:val="22"/>
            <w:lang w:eastAsia="zh-CN"/>
          </w:rPr>
          <m:t>HUR_TRACK_DIST</m:t>
        </m:r>
      </m:oMath>
      <w:r w:rsidR="00D52C75" w:rsidRPr="001E47AD">
        <w:rPr>
          <w:sz w:val="22"/>
          <w:szCs w:val="22"/>
          <w:lang w:eastAsia="zh-CN"/>
        </w:rPr>
        <w:t xml:space="preserve">) </w:t>
      </w:r>
      <w:r w:rsidR="00D116CF" w:rsidRPr="001E47AD">
        <w:rPr>
          <w:sz w:val="22"/>
          <w:szCs w:val="22"/>
        </w:rPr>
        <w:t xml:space="preserve">measures the minimum </w:t>
      </w:r>
      <w:r w:rsidR="00D116CF" w:rsidRPr="001E47AD">
        <w:rPr>
          <w:noProof/>
          <w:sz w:val="22"/>
          <w:szCs w:val="22"/>
        </w:rPr>
        <w:t>distance</w:t>
      </w:r>
      <w:r w:rsidR="00D116CF" w:rsidRPr="001E47AD">
        <w:rPr>
          <w:sz w:val="22"/>
          <w:szCs w:val="22"/>
        </w:rPr>
        <w:t xml:space="preserve"> from the county where the store outlet </w:t>
      </w:r>
      <w:r w:rsidR="00D116CF" w:rsidRPr="001E47AD">
        <w:rPr>
          <w:noProof/>
          <w:sz w:val="22"/>
          <w:szCs w:val="22"/>
        </w:rPr>
        <w:t>is located</w:t>
      </w:r>
      <w:r w:rsidR="00D116CF" w:rsidRPr="001E47AD">
        <w:rPr>
          <w:sz w:val="22"/>
          <w:szCs w:val="22"/>
        </w:rPr>
        <w:t xml:space="preserve"> to the hurricane track. </w:t>
      </w:r>
      <w:r w:rsidR="006B57EB" w:rsidRPr="001E47AD">
        <w:rPr>
          <w:sz w:val="22"/>
          <w:szCs w:val="22"/>
        </w:rPr>
        <w:t>T</w:t>
      </w:r>
      <w:r w:rsidR="00D116CF" w:rsidRPr="001E47AD">
        <w:rPr>
          <w:sz w:val="22"/>
          <w:szCs w:val="22"/>
        </w:rPr>
        <w:t xml:space="preserve">he latitude and longitude of the hurricane track </w:t>
      </w:r>
      <w:r w:rsidR="006B57EB" w:rsidRPr="001E47AD">
        <w:rPr>
          <w:sz w:val="22"/>
          <w:szCs w:val="22"/>
        </w:rPr>
        <w:t xml:space="preserve">are </w:t>
      </w:r>
      <w:r w:rsidR="00D116CF" w:rsidRPr="001E47AD">
        <w:rPr>
          <w:sz w:val="22"/>
          <w:szCs w:val="22"/>
        </w:rPr>
        <w:t xml:space="preserve">from NOAA, which </w:t>
      </w:r>
      <w:r w:rsidR="006B2B61" w:rsidRPr="001E47AD">
        <w:rPr>
          <w:sz w:val="22"/>
          <w:szCs w:val="22"/>
        </w:rPr>
        <w:t>tracks</w:t>
      </w:r>
      <w:r w:rsidR="00D116CF" w:rsidRPr="001E47AD">
        <w:rPr>
          <w:sz w:val="22"/>
          <w:szCs w:val="22"/>
        </w:rPr>
        <w:t xml:space="preserve"> the hurricane every six hours from hurricane form</w:t>
      </w:r>
      <w:r w:rsidR="006B2B61" w:rsidRPr="001E47AD">
        <w:rPr>
          <w:sz w:val="22"/>
          <w:szCs w:val="22"/>
        </w:rPr>
        <w:t>ation</w:t>
      </w:r>
      <w:r w:rsidR="00D116CF" w:rsidRPr="001E47AD">
        <w:rPr>
          <w:sz w:val="22"/>
          <w:szCs w:val="22"/>
        </w:rPr>
        <w:t xml:space="preserve"> to dissipat</w:t>
      </w:r>
      <w:r w:rsidR="006B2B61" w:rsidRPr="001E47AD">
        <w:rPr>
          <w:sz w:val="22"/>
          <w:szCs w:val="22"/>
        </w:rPr>
        <w:t>ion</w:t>
      </w:r>
      <w:r w:rsidR="00D116CF" w:rsidRPr="001E47AD">
        <w:rPr>
          <w:sz w:val="22"/>
          <w:szCs w:val="22"/>
        </w:rPr>
        <w:t xml:space="preserve">. </w:t>
      </w:r>
      <w:r w:rsidR="00D116CF" w:rsidRPr="001E47AD">
        <w:rPr>
          <w:b/>
          <w:sz w:val="22"/>
          <w:szCs w:val="22"/>
        </w:rPr>
        <w:t>Wind speed</w:t>
      </w:r>
      <w:r w:rsidR="005F7676" w:rsidRPr="001E47AD">
        <w:rPr>
          <w:b/>
          <w:sz w:val="22"/>
          <w:szCs w:val="22"/>
          <w:lang w:eastAsia="zh-CN"/>
        </w:rPr>
        <w:t xml:space="preserve"> </w:t>
      </w:r>
      <w:r w:rsidR="00D52C75" w:rsidRPr="001E47AD">
        <w:rPr>
          <w:sz w:val="22"/>
          <w:szCs w:val="22"/>
          <w:lang w:eastAsia="zh-CN"/>
        </w:rPr>
        <w:t>(</w:t>
      </w:r>
      <m:oMath>
        <m:r>
          <m:rPr>
            <m:sty m:val="p"/>
          </m:rPr>
          <w:rPr>
            <w:rFonts w:ascii="Cambria Math" w:hAnsi="Cambria Math"/>
            <w:sz w:val="22"/>
            <w:szCs w:val="22"/>
            <w:lang w:eastAsia="zh-CN"/>
          </w:rPr>
          <m:t>HUR_TRACK_WIND</m:t>
        </m:r>
      </m:oMath>
      <w:r w:rsidR="00D52C75" w:rsidRPr="001E47AD">
        <w:rPr>
          <w:sz w:val="22"/>
          <w:szCs w:val="22"/>
          <w:lang w:eastAsia="zh-CN"/>
        </w:rPr>
        <w:t>)</w:t>
      </w:r>
      <w:r w:rsidR="00D52C75" w:rsidRPr="001E47AD">
        <w:rPr>
          <w:b/>
          <w:sz w:val="22"/>
          <w:szCs w:val="22"/>
          <w:lang w:eastAsia="zh-CN"/>
        </w:rPr>
        <w:t xml:space="preserve"> </w:t>
      </w:r>
      <w:r w:rsidR="00D116CF" w:rsidRPr="001E47AD">
        <w:rPr>
          <w:sz w:val="22"/>
          <w:szCs w:val="22"/>
        </w:rPr>
        <w:t>measures the intensity of</w:t>
      </w:r>
      <w:r w:rsidR="00BA73AB" w:rsidRPr="001E47AD">
        <w:rPr>
          <w:sz w:val="22"/>
          <w:szCs w:val="22"/>
        </w:rPr>
        <w:t xml:space="preserve"> the</w:t>
      </w:r>
      <w:r w:rsidR="00D116CF" w:rsidRPr="001E47AD">
        <w:rPr>
          <w:sz w:val="22"/>
          <w:szCs w:val="22"/>
        </w:rPr>
        <w:t xml:space="preserve"> </w:t>
      </w:r>
      <w:r w:rsidR="00D116CF" w:rsidRPr="001E47AD">
        <w:rPr>
          <w:noProof/>
          <w:sz w:val="22"/>
          <w:szCs w:val="22"/>
        </w:rPr>
        <w:t>storm wind</w:t>
      </w:r>
      <w:r w:rsidR="00D116CF" w:rsidRPr="001E47AD">
        <w:rPr>
          <w:sz w:val="22"/>
          <w:szCs w:val="22"/>
        </w:rPr>
        <w:t xml:space="preserve"> when the </w:t>
      </w:r>
      <w:r w:rsidR="00D116CF" w:rsidRPr="001E47AD">
        <w:rPr>
          <w:noProof/>
          <w:sz w:val="22"/>
          <w:szCs w:val="22"/>
        </w:rPr>
        <w:t>hurricane</w:t>
      </w:r>
      <w:r w:rsidR="00D116CF" w:rsidRPr="001E47AD">
        <w:rPr>
          <w:sz w:val="22"/>
          <w:szCs w:val="22"/>
        </w:rPr>
        <w:t xml:space="preserve"> is </w:t>
      </w:r>
      <w:r w:rsidR="00D116CF" w:rsidRPr="001E47AD">
        <w:rPr>
          <w:noProof/>
          <w:sz w:val="22"/>
          <w:szCs w:val="22"/>
        </w:rPr>
        <w:t>in close proximity to</w:t>
      </w:r>
      <w:r w:rsidR="00D116CF" w:rsidRPr="001E47AD">
        <w:rPr>
          <w:sz w:val="22"/>
          <w:szCs w:val="22"/>
        </w:rPr>
        <w:t xml:space="preserve"> a sample store outlet. </w:t>
      </w:r>
      <w:r w:rsidR="006B57EB" w:rsidRPr="001E47AD">
        <w:rPr>
          <w:sz w:val="22"/>
          <w:szCs w:val="22"/>
        </w:rPr>
        <w:t>T</w:t>
      </w:r>
      <w:r w:rsidR="00D116CF" w:rsidRPr="001E47AD">
        <w:rPr>
          <w:sz w:val="22"/>
          <w:szCs w:val="22"/>
        </w:rPr>
        <w:t xml:space="preserve">he wind speed information associated with each documented hurricane track location </w:t>
      </w:r>
      <w:r w:rsidR="005C1A94" w:rsidRPr="001E47AD">
        <w:rPr>
          <w:sz w:val="22"/>
          <w:szCs w:val="22"/>
        </w:rPr>
        <w:t>is</w:t>
      </w:r>
      <w:r w:rsidR="006B57EB" w:rsidRPr="001E47AD">
        <w:rPr>
          <w:sz w:val="22"/>
          <w:szCs w:val="22"/>
        </w:rPr>
        <w:t xml:space="preserve"> </w:t>
      </w:r>
      <w:r w:rsidR="00D116CF" w:rsidRPr="001E47AD">
        <w:rPr>
          <w:sz w:val="22"/>
          <w:szCs w:val="22"/>
        </w:rPr>
        <w:t>from NOAA.</w:t>
      </w:r>
      <w:r w:rsidR="00070683" w:rsidRPr="001E47AD">
        <w:rPr>
          <w:sz w:val="22"/>
          <w:szCs w:val="22"/>
        </w:rPr>
        <w:t xml:space="preserve"> </w:t>
      </w:r>
    </w:p>
    <w:p w14:paraId="7708072A" w14:textId="59E180D2" w:rsidR="00D116CF" w:rsidRPr="001E47AD" w:rsidRDefault="00D116CF" w:rsidP="0002764C">
      <w:pPr>
        <w:spacing w:before="120" w:after="120" w:line="480" w:lineRule="auto"/>
        <w:contextualSpacing/>
        <w:rPr>
          <w:b/>
          <w:sz w:val="22"/>
          <w:szCs w:val="22"/>
        </w:rPr>
      </w:pPr>
      <w:r w:rsidRPr="001E47AD">
        <w:rPr>
          <w:b/>
          <w:sz w:val="22"/>
          <w:szCs w:val="22"/>
        </w:rPr>
        <w:t>Control Variables</w:t>
      </w:r>
    </w:p>
    <w:p w14:paraId="0A07BABE" w14:textId="2A9485D8" w:rsidR="00D116CF" w:rsidRPr="001E47AD" w:rsidRDefault="000C4C9C" w:rsidP="005D2E3D">
      <w:pPr>
        <w:spacing w:before="120" w:after="120" w:line="480" w:lineRule="auto"/>
        <w:contextualSpacing/>
        <w:jc w:val="both"/>
        <w:rPr>
          <w:sz w:val="22"/>
          <w:szCs w:val="22"/>
        </w:rPr>
      </w:pPr>
      <w:r w:rsidRPr="001E47AD">
        <w:rPr>
          <w:sz w:val="22"/>
          <w:szCs w:val="22"/>
          <w:lang w:eastAsia="zh-CN"/>
        </w:rPr>
        <w:lastRenderedPageBreak/>
        <w:t xml:space="preserve">We first control for </w:t>
      </w:r>
      <w:r w:rsidR="005D2E3D" w:rsidRPr="001E47AD">
        <w:rPr>
          <w:sz w:val="22"/>
          <w:szCs w:val="22"/>
          <w:lang w:eastAsia="zh-CN"/>
        </w:rPr>
        <w:t>retail format and retail chain</w:t>
      </w:r>
      <w:r w:rsidR="00B33F6B" w:rsidRPr="001E47AD">
        <w:rPr>
          <w:sz w:val="22"/>
          <w:szCs w:val="22"/>
          <w:lang w:eastAsia="zh-CN"/>
        </w:rPr>
        <w:t xml:space="preserve"> measures</w:t>
      </w:r>
      <w:r w:rsidR="005D2E3D" w:rsidRPr="001E47AD">
        <w:rPr>
          <w:sz w:val="22"/>
          <w:szCs w:val="22"/>
          <w:lang w:eastAsia="zh-CN"/>
        </w:rPr>
        <w:t xml:space="preserve">. </w:t>
      </w:r>
      <w:r w:rsidR="00D116CF" w:rsidRPr="001E47AD">
        <w:rPr>
          <w:b/>
          <w:noProof/>
          <w:sz w:val="22"/>
          <w:szCs w:val="22"/>
        </w:rPr>
        <w:t>Retail</w:t>
      </w:r>
      <w:r w:rsidR="00D116CF" w:rsidRPr="001E47AD">
        <w:rPr>
          <w:b/>
          <w:sz w:val="22"/>
          <w:szCs w:val="22"/>
        </w:rPr>
        <w:t xml:space="preserve"> format</w:t>
      </w:r>
      <w:r w:rsidR="005D2E3D" w:rsidRPr="001E47AD">
        <w:rPr>
          <w:b/>
          <w:sz w:val="22"/>
          <w:szCs w:val="22"/>
          <w:lang w:eastAsia="zh-CN"/>
        </w:rPr>
        <w:t xml:space="preserve"> </w:t>
      </w:r>
      <w:r w:rsidR="00D116CF" w:rsidRPr="001E47AD">
        <w:rPr>
          <w:noProof/>
          <w:sz w:val="22"/>
          <w:szCs w:val="22"/>
        </w:rPr>
        <w:t>is defined</w:t>
      </w:r>
      <w:r w:rsidR="00D116CF" w:rsidRPr="001E47AD">
        <w:rPr>
          <w:sz w:val="22"/>
          <w:szCs w:val="22"/>
        </w:rPr>
        <w:t xml:space="preserve"> as a vector of dummy variables indicating </w:t>
      </w:r>
      <w:r w:rsidR="00B33F6B" w:rsidRPr="001E47AD">
        <w:rPr>
          <w:sz w:val="22"/>
          <w:szCs w:val="22"/>
        </w:rPr>
        <w:t xml:space="preserve">the </w:t>
      </w:r>
      <w:r w:rsidR="00D116CF" w:rsidRPr="001E47AD">
        <w:rPr>
          <w:sz w:val="22"/>
          <w:szCs w:val="22"/>
        </w:rPr>
        <w:t>store format</w:t>
      </w:r>
      <w:r w:rsidR="00B33F6B" w:rsidRPr="001E47AD">
        <w:rPr>
          <w:sz w:val="22"/>
          <w:szCs w:val="22"/>
        </w:rPr>
        <w:t xml:space="preserve"> type:</w:t>
      </w:r>
      <w:r w:rsidR="00D116CF" w:rsidRPr="001E47AD">
        <w:rPr>
          <w:sz w:val="22"/>
          <w:szCs w:val="22"/>
        </w:rPr>
        <w:t xml:space="preserve"> grocery </w:t>
      </w:r>
      <w:r w:rsidR="000E5905" w:rsidRPr="001E47AD">
        <w:rPr>
          <w:sz w:val="22"/>
          <w:szCs w:val="22"/>
          <w:lang w:eastAsia="zh-CN"/>
        </w:rPr>
        <w:t>(</w:t>
      </w:r>
      <m:oMath>
        <m:r>
          <m:rPr>
            <m:sty m:val="p"/>
          </m:rPr>
          <w:rPr>
            <w:rFonts w:ascii="Cambria Math" w:hAnsi="Cambria Math"/>
            <w:sz w:val="22"/>
            <w:szCs w:val="22"/>
            <w:lang w:eastAsia="zh-CN"/>
          </w:rPr>
          <m:t>CHAIN_GROC</m:t>
        </m:r>
      </m:oMath>
      <w:r w:rsidR="000E5905" w:rsidRPr="001E47AD">
        <w:rPr>
          <w:sz w:val="22"/>
          <w:szCs w:val="22"/>
          <w:lang w:eastAsia="zh-CN"/>
        </w:rPr>
        <w:t>)</w:t>
      </w:r>
      <w:r w:rsidR="00D116CF" w:rsidRPr="001E47AD">
        <w:rPr>
          <w:sz w:val="22"/>
          <w:szCs w:val="22"/>
        </w:rPr>
        <w:t>, warehouse club</w:t>
      </w:r>
      <w:r w:rsidR="00BA73AB" w:rsidRPr="001E47AD">
        <w:rPr>
          <w:sz w:val="22"/>
          <w:szCs w:val="22"/>
        </w:rPr>
        <w:t>s</w:t>
      </w:r>
      <w:r w:rsidR="000E5905" w:rsidRPr="001E47AD">
        <w:rPr>
          <w:sz w:val="22"/>
          <w:szCs w:val="22"/>
          <w:lang w:eastAsia="zh-CN"/>
        </w:rPr>
        <w:t xml:space="preserve"> (</w:t>
      </w:r>
      <m:oMath>
        <m:r>
          <m:rPr>
            <m:sty m:val="p"/>
          </m:rPr>
          <w:rPr>
            <w:rFonts w:ascii="Cambria Math" w:hAnsi="Cambria Math"/>
            <w:sz w:val="22"/>
            <w:szCs w:val="22"/>
            <w:lang w:eastAsia="zh-CN"/>
          </w:rPr>
          <m:t>CHAIN_WHS</m:t>
        </m:r>
      </m:oMath>
      <w:r w:rsidR="000E5905" w:rsidRPr="001E47AD">
        <w:rPr>
          <w:sz w:val="22"/>
          <w:szCs w:val="22"/>
          <w:lang w:eastAsia="zh-CN"/>
        </w:rPr>
        <w:t>)</w:t>
      </w:r>
      <w:r w:rsidR="00D116CF" w:rsidRPr="001E47AD">
        <w:rPr>
          <w:sz w:val="22"/>
          <w:szCs w:val="22"/>
        </w:rPr>
        <w:t xml:space="preserve">, discount </w:t>
      </w:r>
      <w:r w:rsidR="000E5905" w:rsidRPr="001E47AD">
        <w:rPr>
          <w:sz w:val="22"/>
          <w:szCs w:val="22"/>
          <w:lang w:eastAsia="zh-CN"/>
        </w:rPr>
        <w:t>(</w:t>
      </w:r>
      <m:oMath>
        <m:r>
          <m:rPr>
            <m:sty m:val="p"/>
          </m:rPr>
          <w:rPr>
            <w:rFonts w:ascii="Cambria Math" w:hAnsi="Cambria Math"/>
            <w:sz w:val="22"/>
            <w:szCs w:val="22"/>
            <w:lang w:eastAsia="zh-CN"/>
          </w:rPr>
          <m:t>CHAIN_DISC</m:t>
        </m:r>
      </m:oMath>
      <w:r w:rsidR="000E5905" w:rsidRPr="001E47AD">
        <w:rPr>
          <w:sz w:val="22"/>
          <w:szCs w:val="22"/>
          <w:lang w:eastAsia="zh-CN"/>
        </w:rPr>
        <w:t>)</w:t>
      </w:r>
      <w:r w:rsidR="00D116CF" w:rsidRPr="001E47AD">
        <w:rPr>
          <w:sz w:val="22"/>
          <w:szCs w:val="22"/>
        </w:rPr>
        <w:t xml:space="preserve">, dollar </w:t>
      </w:r>
      <w:r w:rsidR="000E5905" w:rsidRPr="001E47AD">
        <w:rPr>
          <w:sz w:val="22"/>
          <w:szCs w:val="22"/>
          <w:lang w:eastAsia="zh-CN"/>
        </w:rPr>
        <w:t>(</w:t>
      </w:r>
      <m:oMath>
        <m:r>
          <m:rPr>
            <m:sty m:val="p"/>
          </m:rPr>
          <w:rPr>
            <w:rFonts w:ascii="Cambria Math" w:hAnsi="Cambria Math"/>
            <w:sz w:val="22"/>
            <w:szCs w:val="22"/>
            <w:lang w:eastAsia="zh-CN"/>
          </w:rPr>
          <m:t>CHAIN_DOLLAR</m:t>
        </m:r>
      </m:oMath>
      <w:r w:rsidR="000E5905" w:rsidRPr="001E47AD">
        <w:rPr>
          <w:sz w:val="22"/>
          <w:szCs w:val="22"/>
          <w:lang w:eastAsia="zh-CN"/>
        </w:rPr>
        <w:t>)</w:t>
      </w:r>
      <w:r w:rsidR="00644131" w:rsidRPr="001E47AD">
        <w:rPr>
          <w:sz w:val="22"/>
          <w:szCs w:val="22"/>
        </w:rPr>
        <w:t xml:space="preserve">, drug </w:t>
      </w:r>
      <w:r w:rsidR="000E5905" w:rsidRPr="001E47AD">
        <w:rPr>
          <w:sz w:val="22"/>
          <w:szCs w:val="22"/>
          <w:lang w:eastAsia="zh-CN"/>
        </w:rPr>
        <w:t>(</w:t>
      </w:r>
      <m:oMath>
        <m:r>
          <m:rPr>
            <m:sty m:val="p"/>
          </m:rPr>
          <w:rPr>
            <w:rFonts w:ascii="Cambria Math" w:hAnsi="Cambria Math"/>
            <w:sz w:val="22"/>
            <w:szCs w:val="22"/>
            <w:lang w:eastAsia="zh-CN"/>
          </w:rPr>
          <m:t>CHAIN_DRUG</m:t>
        </m:r>
      </m:oMath>
      <w:r w:rsidR="000E5905" w:rsidRPr="001E47AD">
        <w:rPr>
          <w:sz w:val="22"/>
          <w:szCs w:val="22"/>
          <w:lang w:eastAsia="zh-CN"/>
        </w:rPr>
        <w:t>)</w:t>
      </w:r>
      <w:r w:rsidR="00D116CF" w:rsidRPr="001E47AD">
        <w:rPr>
          <w:sz w:val="22"/>
          <w:szCs w:val="22"/>
        </w:rPr>
        <w:t xml:space="preserve">, liquor </w:t>
      </w:r>
      <w:r w:rsidR="000E5905" w:rsidRPr="001E47AD">
        <w:rPr>
          <w:sz w:val="22"/>
          <w:szCs w:val="22"/>
          <w:lang w:eastAsia="zh-CN"/>
        </w:rPr>
        <w:t>(</w:t>
      </w:r>
      <m:oMath>
        <m:r>
          <m:rPr>
            <m:sty m:val="p"/>
          </m:rPr>
          <w:rPr>
            <w:rFonts w:ascii="Cambria Math" w:hAnsi="Cambria Math"/>
            <w:sz w:val="22"/>
            <w:szCs w:val="22"/>
            <w:lang w:eastAsia="zh-CN"/>
          </w:rPr>
          <m:t>CHAIN_LIQ</m:t>
        </m:r>
      </m:oMath>
      <w:r w:rsidR="000E5905" w:rsidRPr="001E47AD">
        <w:rPr>
          <w:sz w:val="22"/>
          <w:szCs w:val="22"/>
          <w:lang w:eastAsia="zh-CN"/>
        </w:rPr>
        <w:t>)</w:t>
      </w:r>
      <w:r w:rsidR="00D116CF" w:rsidRPr="001E47AD">
        <w:rPr>
          <w:sz w:val="22"/>
          <w:szCs w:val="22"/>
        </w:rPr>
        <w:t xml:space="preserve">, and convenience </w:t>
      </w:r>
      <w:r w:rsidR="000E5905" w:rsidRPr="001E47AD">
        <w:rPr>
          <w:sz w:val="22"/>
          <w:szCs w:val="22"/>
          <w:lang w:eastAsia="zh-CN"/>
        </w:rPr>
        <w:t>(</w:t>
      </w:r>
      <m:oMath>
        <m:r>
          <m:rPr>
            <m:sty m:val="p"/>
          </m:rPr>
          <w:rPr>
            <w:rFonts w:ascii="Cambria Math" w:hAnsi="Cambria Math"/>
            <w:sz w:val="22"/>
            <w:szCs w:val="22"/>
            <w:lang w:eastAsia="zh-CN"/>
          </w:rPr>
          <m:t>CHAIN_CONV</m:t>
        </m:r>
      </m:oMath>
      <w:r w:rsidR="000E5905" w:rsidRPr="001E47AD">
        <w:rPr>
          <w:sz w:val="22"/>
          <w:szCs w:val="22"/>
          <w:lang w:eastAsia="zh-CN"/>
        </w:rPr>
        <w:t>)</w:t>
      </w:r>
      <w:r w:rsidR="00D116CF" w:rsidRPr="001E47AD">
        <w:rPr>
          <w:sz w:val="22"/>
          <w:szCs w:val="22"/>
        </w:rPr>
        <w:t>. We utilize</w:t>
      </w:r>
      <w:r w:rsidR="00BA73AB" w:rsidRPr="001E47AD">
        <w:rPr>
          <w:sz w:val="22"/>
          <w:szCs w:val="22"/>
        </w:rPr>
        <w:t xml:space="preserve"> the</w:t>
      </w:r>
      <w:r w:rsidR="00D116CF" w:rsidRPr="001E47AD">
        <w:rPr>
          <w:sz w:val="22"/>
          <w:szCs w:val="22"/>
        </w:rPr>
        <w:t xml:space="preserve"> </w:t>
      </w:r>
      <w:r w:rsidR="00D116CF" w:rsidRPr="001E47AD">
        <w:rPr>
          <w:noProof/>
          <w:sz w:val="22"/>
          <w:szCs w:val="22"/>
        </w:rPr>
        <w:t>convenien</w:t>
      </w:r>
      <w:r w:rsidR="00BA73AB" w:rsidRPr="001E47AD">
        <w:rPr>
          <w:noProof/>
          <w:sz w:val="22"/>
          <w:szCs w:val="22"/>
        </w:rPr>
        <w:t>ce</w:t>
      </w:r>
      <w:r w:rsidR="00D116CF" w:rsidRPr="001E47AD">
        <w:rPr>
          <w:sz w:val="22"/>
          <w:szCs w:val="22"/>
        </w:rPr>
        <w:t xml:space="preserve"> store </w:t>
      </w:r>
      <w:r w:rsidR="006A27E5" w:rsidRPr="001E47AD">
        <w:rPr>
          <w:sz w:val="22"/>
          <w:szCs w:val="22"/>
        </w:rPr>
        <w:t xml:space="preserve">format </w:t>
      </w:r>
      <w:r w:rsidR="00D116CF" w:rsidRPr="001E47AD">
        <w:rPr>
          <w:sz w:val="22"/>
          <w:szCs w:val="22"/>
        </w:rPr>
        <w:t>as the base case in our analysis.</w:t>
      </w:r>
      <w:r w:rsidR="005D2E3D" w:rsidRPr="001E47AD">
        <w:rPr>
          <w:sz w:val="22"/>
          <w:szCs w:val="22"/>
          <w:lang w:eastAsia="zh-CN"/>
        </w:rPr>
        <w:t xml:space="preserve"> </w:t>
      </w:r>
      <w:r w:rsidR="00D116CF" w:rsidRPr="001E47AD">
        <w:rPr>
          <w:b/>
          <w:noProof/>
          <w:sz w:val="22"/>
          <w:szCs w:val="22"/>
        </w:rPr>
        <w:t>Retail</w:t>
      </w:r>
      <w:r w:rsidR="00D116CF" w:rsidRPr="001E47AD">
        <w:rPr>
          <w:b/>
          <w:sz w:val="22"/>
          <w:szCs w:val="22"/>
        </w:rPr>
        <w:t xml:space="preserve"> chain</w:t>
      </w:r>
      <w:r w:rsidR="005D2E3D" w:rsidRPr="001E47AD">
        <w:rPr>
          <w:b/>
          <w:sz w:val="22"/>
          <w:szCs w:val="22"/>
          <w:lang w:eastAsia="zh-CN"/>
        </w:rPr>
        <w:t xml:space="preserve"> </w:t>
      </w:r>
      <w:r w:rsidR="000E5905" w:rsidRPr="001E47AD">
        <w:rPr>
          <w:sz w:val="22"/>
          <w:szCs w:val="22"/>
          <w:lang w:eastAsia="zh-CN"/>
        </w:rPr>
        <w:t>(</w:t>
      </w:r>
      <m:oMath>
        <m:r>
          <m:rPr>
            <m:sty m:val="p"/>
          </m:rPr>
          <w:rPr>
            <w:rFonts w:ascii="Cambria Math" w:hAnsi="Cambria Math"/>
            <w:sz w:val="22"/>
            <w:szCs w:val="22"/>
            <w:lang w:eastAsia="zh-CN"/>
          </w:rPr>
          <m:t>RETAIL_CHAIN</m:t>
        </m:r>
      </m:oMath>
      <w:r w:rsidR="000E5905" w:rsidRPr="001E47AD">
        <w:rPr>
          <w:sz w:val="22"/>
          <w:szCs w:val="22"/>
          <w:lang w:eastAsia="zh-CN"/>
        </w:rPr>
        <w:t>)</w:t>
      </w:r>
      <w:r w:rsidR="000E5905" w:rsidRPr="001E47AD">
        <w:rPr>
          <w:b/>
          <w:sz w:val="22"/>
          <w:szCs w:val="22"/>
          <w:lang w:eastAsia="zh-CN"/>
        </w:rPr>
        <w:t xml:space="preserve"> </w:t>
      </w:r>
      <w:r w:rsidR="00D116CF" w:rsidRPr="001E47AD">
        <w:rPr>
          <w:noProof/>
          <w:sz w:val="22"/>
          <w:szCs w:val="22"/>
        </w:rPr>
        <w:t>is defined</w:t>
      </w:r>
      <w:r w:rsidR="00D116CF" w:rsidRPr="001E47AD">
        <w:rPr>
          <w:sz w:val="22"/>
          <w:szCs w:val="22"/>
        </w:rPr>
        <w:t xml:space="preserve"> as a vector of dummy variables indicating the retail chain the store belong</w:t>
      </w:r>
      <w:r w:rsidR="00B33F6B" w:rsidRPr="001E47AD">
        <w:rPr>
          <w:sz w:val="22"/>
          <w:szCs w:val="22"/>
        </w:rPr>
        <w:t>s</w:t>
      </w:r>
      <w:r w:rsidR="00D116CF" w:rsidRPr="001E47AD">
        <w:rPr>
          <w:sz w:val="22"/>
          <w:szCs w:val="22"/>
        </w:rPr>
        <w:t xml:space="preserve"> </w:t>
      </w:r>
      <w:r w:rsidR="00D116CF" w:rsidRPr="001E47AD">
        <w:rPr>
          <w:noProof/>
          <w:sz w:val="22"/>
          <w:szCs w:val="22"/>
        </w:rPr>
        <w:t>to</w:t>
      </w:r>
      <w:r w:rsidR="00D116CF" w:rsidRPr="001E47AD">
        <w:rPr>
          <w:sz w:val="22"/>
          <w:szCs w:val="22"/>
        </w:rPr>
        <w:t xml:space="preserve">. </w:t>
      </w:r>
    </w:p>
    <w:p w14:paraId="6593AE76" w14:textId="76A908E0" w:rsidR="00D116CF" w:rsidRPr="001E47AD" w:rsidRDefault="000C4C9C" w:rsidP="0002764C">
      <w:pPr>
        <w:spacing w:before="120" w:after="120" w:line="480" w:lineRule="auto"/>
        <w:ind w:firstLine="720"/>
        <w:contextualSpacing/>
        <w:jc w:val="both"/>
        <w:rPr>
          <w:sz w:val="22"/>
          <w:szCs w:val="22"/>
        </w:rPr>
      </w:pPr>
      <w:r w:rsidRPr="001E47AD">
        <w:rPr>
          <w:noProof/>
          <w:sz w:val="22"/>
          <w:szCs w:val="22"/>
          <w:lang w:eastAsia="zh-CN"/>
        </w:rPr>
        <w:t xml:space="preserve">We also </w:t>
      </w:r>
      <w:r w:rsidR="00103D5A" w:rsidRPr="001E47AD">
        <w:rPr>
          <w:noProof/>
          <w:sz w:val="22"/>
          <w:szCs w:val="22"/>
          <w:lang w:eastAsia="zh-CN"/>
        </w:rPr>
        <w:t xml:space="preserve">control for category volume and market competition </w:t>
      </w:r>
      <w:r w:rsidR="00251F8D" w:rsidRPr="001E47AD">
        <w:rPr>
          <w:noProof/>
          <w:sz w:val="22"/>
          <w:szCs w:val="22"/>
          <w:lang w:eastAsia="zh-CN"/>
        </w:rPr>
        <w:t>in</w:t>
      </w:r>
      <w:r w:rsidR="00103D5A" w:rsidRPr="001E47AD">
        <w:rPr>
          <w:noProof/>
          <w:sz w:val="22"/>
          <w:szCs w:val="22"/>
          <w:lang w:eastAsia="zh-CN"/>
        </w:rPr>
        <w:t xml:space="preserve"> </w:t>
      </w:r>
      <w:r w:rsidR="0049182F" w:rsidRPr="001E47AD">
        <w:rPr>
          <w:noProof/>
          <w:sz w:val="22"/>
          <w:szCs w:val="22"/>
          <w:lang w:eastAsia="zh-CN"/>
        </w:rPr>
        <w:t xml:space="preserve">the </w:t>
      </w:r>
      <w:r w:rsidR="00103D5A" w:rsidRPr="001E47AD">
        <w:rPr>
          <w:noProof/>
          <w:sz w:val="22"/>
          <w:szCs w:val="22"/>
          <w:lang w:eastAsia="zh-CN"/>
        </w:rPr>
        <w:t>bottled water category</w:t>
      </w:r>
      <w:r w:rsidR="005D2E3D" w:rsidRPr="001E47AD">
        <w:rPr>
          <w:noProof/>
          <w:sz w:val="22"/>
          <w:szCs w:val="22"/>
          <w:lang w:eastAsia="zh-CN"/>
        </w:rPr>
        <w:t>.</w:t>
      </w:r>
      <w:r w:rsidR="005D2E3D" w:rsidRPr="001E47AD">
        <w:rPr>
          <w:b/>
          <w:noProof/>
          <w:sz w:val="22"/>
          <w:szCs w:val="22"/>
          <w:lang w:eastAsia="zh-CN"/>
        </w:rPr>
        <w:t xml:space="preserve"> </w:t>
      </w:r>
      <w:r w:rsidR="00103D5A" w:rsidRPr="001E47AD">
        <w:rPr>
          <w:b/>
          <w:noProof/>
          <w:sz w:val="22"/>
          <w:szCs w:val="22"/>
          <w:lang w:eastAsia="zh-CN"/>
        </w:rPr>
        <w:t>C</w:t>
      </w:r>
      <w:r w:rsidR="00D116CF" w:rsidRPr="001E47AD">
        <w:rPr>
          <w:b/>
          <w:noProof/>
          <w:sz w:val="22"/>
          <w:szCs w:val="22"/>
        </w:rPr>
        <w:t>ategory volume</w:t>
      </w:r>
      <w:r w:rsidR="005D2E3D" w:rsidRPr="001E47AD">
        <w:rPr>
          <w:b/>
          <w:noProof/>
          <w:sz w:val="22"/>
          <w:szCs w:val="22"/>
          <w:lang w:eastAsia="zh-CN"/>
        </w:rPr>
        <w:t xml:space="preserve"> </w:t>
      </w:r>
      <w:r w:rsidR="00103D5A" w:rsidRPr="001E47AD">
        <w:rPr>
          <w:sz w:val="22"/>
          <w:szCs w:val="22"/>
          <w:lang w:eastAsia="zh-CN"/>
        </w:rPr>
        <w:t>i</w:t>
      </w:r>
      <w:r w:rsidR="00EC7C97" w:rsidRPr="001E47AD">
        <w:rPr>
          <w:sz w:val="22"/>
          <w:szCs w:val="22"/>
          <w:lang w:eastAsia="zh-CN"/>
        </w:rPr>
        <w:t>s</w:t>
      </w:r>
      <w:r w:rsidR="00D116CF" w:rsidRPr="001E47AD">
        <w:rPr>
          <w:sz w:val="22"/>
          <w:szCs w:val="22"/>
        </w:rPr>
        <w:t xml:space="preserve"> the annual sales volume of the bottled water category sold by all the stores belonging to the same chain as the sample store outlet in a geographic market</w:t>
      </w:r>
      <w:r w:rsidR="00B33F6B" w:rsidRPr="001E47AD">
        <w:rPr>
          <w:sz w:val="22"/>
          <w:szCs w:val="22"/>
        </w:rPr>
        <w:t>—</w:t>
      </w:r>
      <w:r w:rsidR="00103D5A" w:rsidRPr="001E47AD">
        <w:rPr>
          <w:noProof/>
          <w:sz w:val="22"/>
          <w:szCs w:val="22"/>
        </w:rPr>
        <w:t xml:space="preserve">at </w:t>
      </w:r>
      <w:r w:rsidR="00B33F6B" w:rsidRPr="001E47AD">
        <w:rPr>
          <w:noProof/>
          <w:sz w:val="22"/>
          <w:szCs w:val="22"/>
        </w:rPr>
        <w:t xml:space="preserve">the </w:t>
      </w:r>
      <w:r w:rsidR="00103D5A" w:rsidRPr="001E47AD">
        <w:rPr>
          <w:noProof/>
          <w:sz w:val="22"/>
          <w:szCs w:val="22"/>
        </w:rPr>
        <w:t>county</w:t>
      </w:r>
      <w:r w:rsidR="00B33F6B" w:rsidRPr="001E47AD">
        <w:rPr>
          <w:noProof/>
          <w:sz w:val="22"/>
          <w:szCs w:val="22"/>
        </w:rPr>
        <w:t xml:space="preserve"> </w:t>
      </w:r>
      <w:r w:rsidR="00103D5A" w:rsidRPr="001E47AD">
        <w:rPr>
          <w:noProof/>
          <w:sz w:val="22"/>
          <w:szCs w:val="22"/>
        </w:rPr>
        <w:t xml:space="preserve">level </w:t>
      </w:r>
      <w:r w:rsidR="000E5905" w:rsidRPr="001E47AD">
        <w:rPr>
          <w:noProof/>
          <w:sz w:val="22"/>
          <w:szCs w:val="22"/>
          <w:lang w:eastAsia="zh-CN"/>
        </w:rPr>
        <w:t>(</w:t>
      </w:r>
      <m:oMath>
        <m:r>
          <m:rPr>
            <m:sty m:val="p"/>
          </m:rPr>
          <w:rPr>
            <w:rFonts w:ascii="Cambria Math" w:hAnsi="Cambria Math"/>
            <w:noProof/>
            <w:sz w:val="22"/>
            <w:szCs w:val="22"/>
            <w:lang w:eastAsia="zh-CN"/>
          </w:rPr>
          <m:t>VOL_COUNTY</m:t>
        </m:r>
      </m:oMath>
      <w:r w:rsidR="000E5905" w:rsidRPr="001E47AD">
        <w:rPr>
          <w:noProof/>
          <w:sz w:val="22"/>
          <w:szCs w:val="22"/>
          <w:lang w:eastAsia="zh-CN"/>
        </w:rPr>
        <w:t xml:space="preserve">) </w:t>
      </w:r>
      <w:r w:rsidR="00103D5A" w:rsidRPr="001E47AD">
        <w:rPr>
          <w:noProof/>
          <w:sz w:val="22"/>
          <w:szCs w:val="22"/>
        </w:rPr>
        <w:t>and</w:t>
      </w:r>
      <w:r w:rsidR="00B33F6B" w:rsidRPr="001E47AD">
        <w:rPr>
          <w:noProof/>
          <w:sz w:val="22"/>
          <w:szCs w:val="22"/>
        </w:rPr>
        <w:t xml:space="preserve"> at the</w:t>
      </w:r>
      <w:r w:rsidR="00103D5A" w:rsidRPr="001E47AD">
        <w:rPr>
          <w:noProof/>
          <w:sz w:val="22"/>
          <w:szCs w:val="22"/>
        </w:rPr>
        <w:t xml:space="preserve"> state</w:t>
      </w:r>
      <w:r w:rsidR="00B33F6B" w:rsidRPr="001E47AD">
        <w:rPr>
          <w:noProof/>
          <w:sz w:val="22"/>
          <w:szCs w:val="22"/>
        </w:rPr>
        <w:t xml:space="preserve"> </w:t>
      </w:r>
      <w:r w:rsidR="00103D5A" w:rsidRPr="001E47AD">
        <w:rPr>
          <w:noProof/>
          <w:sz w:val="22"/>
          <w:szCs w:val="22"/>
        </w:rPr>
        <w:t>level</w:t>
      </w:r>
      <w:r w:rsidR="000E5905" w:rsidRPr="001E47AD">
        <w:rPr>
          <w:noProof/>
          <w:sz w:val="22"/>
          <w:szCs w:val="22"/>
          <w:lang w:eastAsia="zh-CN"/>
        </w:rPr>
        <w:t xml:space="preserve"> (VOL_STATE)</w:t>
      </w:r>
      <w:r w:rsidR="00103D5A" w:rsidRPr="001E47AD">
        <w:rPr>
          <w:noProof/>
          <w:sz w:val="22"/>
          <w:szCs w:val="22"/>
        </w:rPr>
        <w:t>.</w:t>
      </w:r>
      <w:r w:rsidR="00103D5A" w:rsidRPr="001E47AD">
        <w:rPr>
          <w:noProof/>
          <w:sz w:val="22"/>
          <w:szCs w:val="22"/>
          <w:lang w:eastAsia="zh-CN"/>
        </w:rPr>
        <w:t xml:space="preserve"> </w:t>
      </w:r>
      <w:r w:rsidR="005D2E3D" w:rsidRPr="001E47AD">
        <w:rPr>
          <w:sz w:val="22"/>
          <w:szCs w:val="22"/>
          <w:lang w:eastAsia="zh-CN"/>
        </w:rPr>
        <w:t>We measure</w:t>
      </w:r>
      <w:r w:rsidR="00D116CF" w:rsidRPr="001E47AD">
        <w:rPr>
          <w:sz w:val="22"/>
          <w:szCs w:val="22"/>
        </w:rPr>
        <w:t xml:space="preserve"> </w:t>
      </w:r>
      <w:r w:rsidR="00103D5A" w:rsidRPr="001E47AD">
        <w:rPr>
          <w:b/>
          <w:noProof/>
          <w:sz w:val="22"/>
          <w:szCs w:val="22"/>
          <w:lang w:eastAsia="zh-CN"/>
        </w:rPr>
        <w:t>c</w:t>
      </w:r>
      <w:r w:rsidR="00103D5A" w:rsidRPr="001E47AD">
        <w:rPr>
          <w:b/>
          <w:noProof/>
          <w:sz w:val="22"/>
          <w:szCs w:val="22"/>
        </w:rPr>
        <w:t>ategory competition</w:t>
      </w:r>
      <w:r w:rsidR="00103D5A" w:rsidRPr="001E47AD">
        <w:rPr>
          <w:b/>
          <w:noProof/>
          <w:sz w:val="22"/>
          <w:szCs w:val="22"/>
          <w:lang w:eastAsia="zh-CN"/>
        </w:rPr>
        <w:t xml:space="preserve"> </w:t>
      </w:r>
      <w:r w:rsidR="00D116CF" w:rsidRPr="001E47AD">
        <w:rPr>
          <w:sz w:val="22"/>
          <w:szCs w:val="22"/>
        </w:rPr>
        <w:t xml:space="preserve">using the Herfindahl-Hirschman index (HHI) at the county-level </w:t>
      </w:r>
      <w:r w:rsidR="000E5905" w:rsidRPr="001E47AD">
        <w:rPr>
          <w:sz w:val="22"/>
          <w:szCs w:val="22"/>
          <w:lang w:eastAsia="zh-CN"/>
        </w:rPr>
        <w:t>(</w:t>
      </w:r>
      <m:oMath>
        <m:r>
          <m:rPr>
            <m:sty m:val="p"/>
          </m:rPr>
          <w:rPr>
            <w:rFonts w:ascii="Cambria Math" w:hAnsi="Cambria Math"/>
            <w:sz w:val="22"/>
            <w:szCs w:val="22"/>
            <w:lang w:eastAsia="zh-CN"/>
          </w:rPr>
          <m:t>HHI_COUNTY</m:t>
        </m:r>
      </m:oMath>
      <w:r w:rsidR="000E5905" w:rsidRPr="001E47AD">
        <w:rPr>
          <w:sz w:val="22"/>
          <w:szCs w:val="22"/>
          <w:lang w:eastAsia="zh-CN"/>
        </w:rPr>
        <w:t xml:space="preserve">) </w:t>
      </w:r>
      <w:r w:rsidR="00D116CF" w:rsidRPr="001E47AD">
        <w:rPr>
          <w:sz w:val="22"/>
          <w:szCs w:val="22"/>
        </w:rPr>
        <w:t>and state-level</w:t>
      </w:r>
      <w:r w:rsidR="000E5905" w:rsidRPr="001E47AD">
        <w:rPr>
          <w:sz w:val="22"/>
          <w:szCs w:val="22"/>
          <w:lang w:eastAsia="zh-CN"/>
        </w:rPr>
        <w:t xml:space="preserve"> (</w:t>
      </w:r>
      <m:oMath>
        <m:r>
          <m:rPr>
            <m:sty m:val="p"/>
          </m:rPr>
          <w:rPr>
            <w:rFonts w:ascii="Cambria Math" w:hAnsi="Cambria Math"/>
            <w:sz w:val="22"/>
            <w:szCs w:val="22"/>
            <w:lang w:eastAsia="zh-CN"/>
          </w:rPr>
          <m:t>HHI_STATE</m:t>
        </m:r>
      </m:oMath>
      <w:r w:rsidR="000E5905" w:rsidRPr="001E47AD">
        <w:rPr>
          <w:sz w:val="22"/>
          <w:szCs w:val="22"/>
          <w:lang w:eastAsia="zh-CN"/>
        </w:rPr>
        <w:t>)</w:t>
      </w:r>
      <w:r w:rsidR="00D116CF" w:rsidRPr="001E47AD">
        <w:rPr>
          <w:sz w:val="22"/>
          <w:szCs w:val="22"/>
        </w:rPr>
        <w:t xml:space="preserve">. </w:t>
      </w:r>
      <w:r w:rsidR="005666CD" w:rsidRPr="001E47AD">
        <w:rPr>
          <w:sz w:val="22"/>
          <w:szCs w:val="22"/>
        </w:rPr>
        <w:t xml:space="preserve">HHI is </w:t>
      </w:r>
      <w:r w:rsidR="00B33F6B" w:rsidRPr="001E47AD">
        <w:rPr>
          <w:sz w:val="22"/>
          <w:szCs w:val="22"/>
        </w:rPr>
        <w:t xml:space="preserve">the summation of the </w:t>
      </w:r>
      <w:r w:rsidR="005666CD" w:rsidRPr="001E47AD">
        <w:rPr>
          <w:sz w:val="22"/>
          <w:szCs w:val="22"/>
        </w:rPr>
        <w:t>sq</w:t>
      </w:r>
      <w:r w:rsidR="00AB3B81" w:rsidRPr="001E47AD">
        <w:rPr>
          <w:sz w:val="22"/>
          <w:szCs w:val="22"/>
        </w:rPr>
        <w:t>uar</w:t>
      </w:r>
      <w:r w:rsidR="00B33F6B" w:rsidRPr="001E47AD">
        <w:rPr>
          <w:sz w:val="22"/>
          <w:szCs w:val="22"/>
        </w:rPr>
        <w:t>ed</w:t>
      </w:r>
      <w:r w:rsidR="00AB3B81" w:rsidRPr="001E47AD">
        <w:rPr>
          <w:sz w:val="22"/>
          <w:szCs w:val="22"/>
        </w:rPr>
        <w:t xml:space="preserve"> market share </w:t>
      </w:r>
      <w:r w:rsidR="00850BB6" w:rsidRPr="001E47AD">
        <w:rPr>
          <w:rFonts w:hint="eastAsia"/>
          <w:sz w:val="22"/>
          <w:szCs w:val="22"/>
          <w:lang w:eastAsia="zh-CN"/>
        </w:rPr>
        <w:t>(</w:t>
      </w:r>
      <w:r w:rsidR="00B33F6B" w:rsidRPr="001E47AD">
        <w:rPr>
          <w:sz w:val="22"/>
          <w:szCs w:val="22"/>
          <w:lang w:eastAsia="zh-CN"/>
        </w:rPr>
        <w:t xml:space="preserve">by </w:t>
      </w:r>
      <w:r w:rsidR="00480955" w:rsidRPr="001E47AD">
        <w:rPr>
          <w:rFonts w:hint="eastAsia"/>
          <w:sz w:val="22"/>
          <w:szCs w:val="22"/>
          <w:lang w:eastAsia="zh-CN"/>
        </w:rPr>
        <w:t>sales volume)</w:t>
      </w:r>
      <w:r w:rsidR="00850BB6" w:rsidRPr="001E47AD">
        <w:rPr>
          <w:rFonts w:hint="eastAsia"/>
          <w:sz w:val="22"/>
          <w:szCs w:val="22"/>
          <w:lang w:eastAsia="zh-CN"/>
        </w:rPr>
        <w:t xml:space="preserve"> of </w:t>
      </w:r>
      <w:r w:rsidR="00AB3B81" w:rsidRPr="001E47AD">
        <w:rPr>
          <w:sz w:val="22"/>
          <w:szCs w:val="22"/>
        </w:rPr>
        <w:t xml:space="preserve">individual </w:t>
      </w:r>
      <w:r w:rsidR="005666CD" w:rsidRPr="001E47AD">
        <w:rPr>
          <w:sz w:val="22"/>
          <w:szCs w:val="22"/>
        </w:rPr>
        <w:t>store</w:t>
      </w:r>
      <w:r w:rsidR="00B33F6B" w:rsidRPr="001E47AD">
        <w:rPr>
          <w:sz w:val="22"/>
          <w:szCs w:val="22"/>
        </w:rPr>
        <w:t>s</w:t>
      </w:r>
      <w:r w:rsidR="005666CD" w:rsidRPr="001E47AD">
        <w:rPr>
          <w:sz w:val="22"/>
          <w:szCs w:val="22"/>
        </w:rPr>
        <w:t xml:space="preserve"> competing in the market </w:t>
      </w:r>
      <w:r w:rsidR="00265AC5" w:rsidRPr="001E47AD">
        <w:rPr>
          <w:sz w:val="22"/>
          <w:szCs w:val="22"/>
        </w:rPr>
        <w:t>(</w:t>
      </w:r>
      <w:r w:rsidR="00265AC5" w:rsidRPr="001E47AD">
        <w:rPr>
          <w:sz w:val="22"/>
          <w:szCs w:val="22"/>
          <w:lang w:val="en-SG"/>
        </w:rPr>
        <w:t>Hendel and Nevo 2006</w:t>
      </w:r>
      <w:r w:rsidR="00265AC5" w:rsidRPr="001E47AD">
        <w:rPr>
          <w:sz w:val="22"/>
          <w:szCs w:val="22"/>
        </w:rPr>
        <w:t>)</w:t>
      </w:r>
      <w:r w:rsidR="00C44341" w:rsidRPr="001E47AD">
        <w:rPr>
          <w:sz w:val="22"/>
          <w:szCs w:val="22"/>
        </w:rPr>
        <w:t>.</w:t>
      </w:r>
      <w:r w:rsidR="00C44341" w:rsidRPr="001E47AD">
        <w:rPr>
          <w:rStyle w:val="FootnoteReference"/>
          <w:sz w:val="22"/>
          <w:szCs w:val="22"/>
        </w:rPr>
        <w:footnoteReference w:id="16"/>
      </w:r>
    </w:p>
    <w:p w14:paraId="6D98E1D8" w14:textId="77777777" w:rsidR="00D116CF" w:rsidRPr="001E47AD" w:rsidRDefault="006E74C9" w:rsidP="0002764C">
      <w:pPr>
        <w:spacing w:before="120" w:after="120" w:line="480" w:lineRule="auto"/>
        <w:ind w:firstLine="720"/>
        <w:contextualSpacing/>
        <w:jc w:val="both"/>
        <w:rPr>
          <w:sz w:val="22"/>
          <w:szCs w:val="22"/>
        </w:rPr>
      </w:pPr>
      <w:r w:rsidRPr="001E47AD">
        <w:rPr>
          <w:noProof/>
          <w:sz w:val="22"/>
          <w:szCs w:val="22"/>
          <w:lang w:eastAsia="zh-CN"/>
        </w:rPr>
        <w:t>W</w:t>
      </w:r>
      <w:r w:rsidR="00093D38" w:rsidRPr="001E47AD">
        <w:rPr>
          <w:noProof/>
          <w:sz w:val="22"/>
          <w:szCs w:val="22"/>
          <w:lang w:eastAsia="zh-CN"/>
        </w:rPr>
        <w:t xml:space="preserve">e </w:t>
      </w:r>
      <w:r w:rsidR="004339B4" w:rsidRPr="001E47AD">
        <w:rPr>
          <w:noProof/>
          <w:sz w:val="22"/>
          <w:szCs w:val="22"/>
          <w:lang w:eastAsia="zh-CN"/>
        </w:rPr>
        <w:t xml:space="preserve">further </w:t>
      </w:r>
      <w:r w:rsidR="00846DFB" w:rsidRPr="001E47AD">
        <w:rPr>
          <w:noProof/>
          <w:sz w:val="22"/>
          <w:szCs w:val="22"/>
          <w:lang w:eastAsia="zh-CN"/>
        </w:rPr>
        <w:t>capture</w:t>
      </w:r>
      <w:r w:rsidR="00AB11D6" w:rsidRPr="001E47AD">
        <w:rPr>
          <w:noProof/>
          <w:sz w:val="22"/>
          <w:szCs w:val="22"/>
          <w:lang w:eastAsia="zh-CN"/>
        </w:rPr>
        <w:t xml:space="preserve"> the </w:t>
      </w:r>
      <w:r w:rsidR="009F4F26" w:rsidRPr="001E47AD">
        <w:rPr>
          <w:noProof/>
          <w:sz w:val="22"/>
          <w:szCs w:val="22"/>
          <w:lang w:eastAsia="zh-CN"/>
        </w:rPr>
        <w:t>effects of INFLUENCE date</w:t>
      </w:r>
      <w:r w:rsidR="00846DFB" w:rsidRPr="001E47AD">
        <w:rPr>
          <w:noProof/>
          <w:sz w:val="22"/>
          <w:szCs w:val="22"/>
          <w:lang w:eastAsia="zh-CN"/>
        </w:rPr>
        <w:t xml:space="preserve"> and </w:t>
      </w:r>
      <w:r w:rsidR="009F4F26" w:rsidRPr="001E47AD">
        <w:rPr>
          <w:noProof/>
          <w:sz w:val="22"/>
          <w:szCs w:val="22"/>
          <w:lang w:eastAsia="zh-CN"/>
        </w:rPr>
        <w:t>LANDFALL date.</w:t>
      </w:r>
      <w:r w:rsidR="004339B4" w:rsidRPr="001E47AD">
        <w:rPr>
          <w:noProof/>
          <w:sz w:val="22"/>
          <w:szCs w:val="22"/>
          <w:lang w:eastAsia="zh-CN"/>
        </w:rPr>
        <w:t xml:space="preserve"> </w:t>
      </w:r>
      <w:r w:rsidR="009F4F26" w:rsidRPr="001E47AD">
        <w:rPr>
          <w:noProof/>
          <w:sz w:val="22"/>
          <w:szCs w:val="22"/>
          <w:lang w:eastAsia="zh-CN"/>
        </w:rPr>
        <w:t>G</w:t>
      </w:r>
      <w:r w:rsidRPr="001E47AD">
        <w:rPr>
          <w:noProof/>
          <w:sz w:val="22"/>
          <w:szCs w:val="22"/>
          <w:lang w:eastAsia="zh-CN"/>
        </w:rPr>
        <w:t xml:space="preserve">iven </w:t>
      </w:r>
      <w:r w:rsidR="005236E5" w:rsidRPr="001E47AD">
        <w:rPr>
          <w:noProof/>
          <w:sz w:val="22"/>
          <w:szCs w:val="22"/>
          <w:lang w:eastAsia="zh-CN"/>
        </w:rPr>
        <w:t>our use of</w:t>
      </w:r>
      <w:r w:rsidRPr="001E47AD">
        <w:rPr>
          <w:noProof/>
          <w:sz w:val="22"/>
          <w:szCs w:val="22"/>
          <w:lang w:eastAsia="zh-CN"/>
        </w:rPr>
        <w:t xml:space="preserve"> weekly retail-level data</w:t>
      </w:r>
      <w:r w:rsidR="009F4F26" w:rsidRPr="001E47AD">
        <w:rPr>
          <w:noProof/>
          <w:sz w:val="22"/>
          <w:szCs w:val="22"/>
          <w:lang w:eastAsia="zh-CN"/>
        </w:rPr>
        <w:t>,</w:t>
      </w:r>
      <w:r w:rsidR="00846DFB" w:rsidRPr="001E47AD">
        <w:rPr>
          <w:noProof/>
          <w:sz w:val="22"/>
          <w:szCs w:val="22"/>
          <w:lang w:eastAsia="zh-CN"/>
        </w:rPr>
        <w:t xml:space="preserve"> </w:t>
      </w:r>
      <w:r w:rsidR="009F4F26" w:rsidRPr="001E47AD">
        <w:rPr>
          <w:noProof/>
          <w:sz w:val="22"/>
          <w:szCs w:val="22"/>
          <w:lang w:eastAsia="zh-CN"/>
        </w:rPr>
        <w:t>w</w:t>
      </w:r>
      <w:r w:rsidR="00846DFB" w:rsidRPr="001E47AD">
        <w:rPr>
          <w:noProof/>
          <w:sz w:val="22"/>
          <w:szCs w:val="22"/>
          <w:lang w:eastAsia="zh-CN"/>
        </w:rPr>
        <w:t xml:space="preserve">e control for the </w:t>
      </w:r>
      <w:r w:rsidR="004339B4" w:rsidRPr="001E47AD">
        <w:rPr>
          <w:noProof/>
          <w:sz w:val="22"/>
          <w:szCs w:val="22"/>
          <w:lang w:eastAsia="zh-CN"/>
        </w:rPr>
        <w:t>number of sales days</w:t>
      </w:r>
      <w:r w:rsidR="00AB11D6" w:rsidRPr="001E47AD">
        <w:rPr>
          <w:noProof/>
          <w:sz w:val="22"/>
          <w:szCs w:val="22"/>
          <w:lang w:eastAsia="zh-CN"/>
        </w:rPr>
        <w:t xml:space="preserve"> before </w:t>
      </w:r>
      <w:r w:rsidR="004339B4" w:rsidRPr="001E47AD">
        <w:rPr>
          <w:noProof/>
          <w:sz w:val="22"/>
          <w:szCs w:val="22"/>
          <w:lang w:eastAsia="zh-CN"/>
        </w:rPr>
        <w:t xml:space="preserve">the </w:t>
      </w:r>
      <w:r w:rsidR="009F4F26" w:rsidRPr="001E47AD">
        <w:rPr>
          <w:noProof/>
          <w:sz w:val="22"/>
          <w:szCs w:val="22"/>
          <w:lang w:eastAsia="zh-CN"/>
        </w:rPr>
        <w:t>INFLUENCE date</w:t>
      </w:r>
      <w:r w:rsidR="004339B4" w:rsidRPr="001E47AD">
        <w:rPr>
          <w:noProof/>
          <w:sz w:val="22"/>
          <w:szCs w:val="22"/>
          <w:lang w:eastAsia="zh-CN"/>
        </w:rPr>
        <w:t xml:space="preserve"> during the EARLY</w:t>
      </w:r>
      <w:r w:rsidR="00846DFB" w:rsidRPr="001E47AD">
        <w:rPr>
          <w:noProof/>
          <w:sz w:val="22"/>
          <w:szCs w:val="22"/>
          <w:lang w:eastAsia="zh-CN"/>
        </w:rPr>
        <w:t xml:space="preserve"> week (</w:t>
      </w:r>
      <m:oMath>
        <m:r>
          <m:rPr>
            <m:sty m:val="p"/>
          </m:rPr>
          <w:rPr>
            <w:rFonts w:ascii="Cambria Math" w:hAnsi="Cambria Math"/>
            <w:noProof/>
            <w:sz w:val="22"/>
            <w:szCs w:val="22"/>
            <w:lang w:eastAsia="zh-CN"/>
          </w:rPr>
          <m:t>DAYS_BEF_INFL_EARLY</m:t>
        </m:r>
      </m:oMath>
      <w:r w:rsidR="00846DFB" w:rsidRPr="001E47AD">
        <w:rPr>
          <w:noProof/>
          <w:sz w:val="22"/>
          <w:szCs w:val="22"/>
          <w:lang w:eastAsia="zh-CN"/>
        </w:rPr>
        <w:t>)</w:t>
      </w:r>
      <w:r w:rsidR="00F46384" w:rsidRPr="001E47AD">
        <w:rPr>
          <w:noProof/>
          <w:sz w:val="22"/>
          <w:szCs w:val="22"/>
          <w:lang w:eastAsia="zh-CN"/>
        </w:rPr>
        <w:t xml:space="preserve">, as well as for the number of days </w:t>
      </w:r>
      <w:r w:rsidR="004E456E" w:rsidRPr="001E47AD">
        <w:rPr>
          <w:noProof/>
          <w:sz w:val="22"/>
          <w:szCs w:val="22"/>
          <w:lang w:eastAsia="zh-CN"/>
        </w:rPr>
        <w:t xml:space="preserve">between </w:t>
      </w:r>
      <w:r w:rsidR="004E456E" w:rsidRPr="001E47AD">
        <w:rPr>
          <w:sz w:val="22"/>
          <w:szCs w:val="22"/>
        </w:rPr>
        <w:t xml:space="preserve">LANDFALL and the INFLUENCE date </w:t>
      </w:r>
      <w:r w:rsidR="000E5905" w:rsidRPr="001E47AD">
        <w:rPr>
          <w:noProof/>
          <w:sz w:val="22"/>
          <w:szCs w:val="22"/>
          <w:lang w:eastAsia="zh-CN"/>
        </w:rPr>
        <w:t>(</w:t>
      </w:r>
      <m:oMath>
        <m:r>
          <m:rPr>
            <m:sty m:val="p"/>
          </m:rPr>
          <w:rPr>
            <w:rFonts w:ascii="Cambria Math" w:hAnsi="Cambria Math"/>
            <w:noProof/>
            <w:sz w:val="22"/>
            <w:szCs w:val="22"/>
            <w:lang w:eastAsia="zh-CN"/>
          </w:rPr>
          <m:t>DAYS_INFL_AFT_LANDFALL</m:t>
        </m:r>
      </m:oMath>
      <w:r w:rsidR="000E5905" w:rsidRPr="001E47AD">
        <w:rPr>
          <w:noProof/>
          <w:sz w:val="22"/>
          <w:szCs w:val="22"/>
          <w:lang w:eastAsia="zh-CN"/>
        </w:rPr>
        <w:t xml:space="preserve">) </w:t>
      </w:r>
      <w:r w:rsidR="004E456E" w:rsidRPr="001E47AD">
        <w:rPr>
          <w:noProof/>
          <w:sz w:val="22"/>
          <w:szCs w:val="22"/>
          <w:lang w:eastAsia="zh-CN"/>
        </w:rPr>
        <w:t xml:space="preserve">for each </w:t>
      </w:r>
      <w:r w:rsidR="00D116CF" w:rsidRPr="001E47AD">
        <w:rPr>
          <w:sz w:val="22"/>
          <w:szCs w:val="22"/>
        </w:rPr>
        <w:t>store outlet</w:t>
      </w:r>
      <w:r w:rsidR="003F684B" w:rsidRPr="001E47AD">
        <w:rPr>
          <w:sz w:val="22"/>
          <w:szCs w:val="22"/>
        </w:rPr>
        <w:t>.</w:t>
      </w:r>
    </w:p>
    <w:p w14:paraId="19CE0744" w14:textId="569884AE" w:rsidR="00E66104" w:rsidRPr="001E47AD" w:rsidRDefault="00863453" w:rsidP="004B2871">
      <w:pPr>
        <w:spacing w:before="120" w:after="120" w:line="480" w:lineRule="auto"/>
        <w:ind w:firstLine="720"/>
        <w:contextualSpacing/>
        <w:jc w:val="both"/>
        <w:rPr>
          <w:sz w:val="22"/>
          <w:szCs w:val="22"/>
        </w:rPr>
      </w:pPr>
      <w:r w:rsidRPr="001E47AD">
        <w:rPr>
          <w:noProof/>
          <w:sz w:val="22"/>
          <w:szCs w:val="22"/>
          <w:lang w:eastAsia="zh-CN"/>
        </w:rPr>
        <w:t>W</w:t>
      </w:r>
      <w:r w:rsidR="00745153" w:rsidRPr="001E47AD">
        <w:rPr>
          <w:noProof/>
          <w:sz w:val="22"/>
          <w:szCs w:val="22"/>
          <w:lang w:eastAsia="zh-CN"/>
        </w:rPr>
        <w:t xml:space="preserve">e </w:t>
      </w:r>
      <w:r w:rsidR="00745153" w:rsidRPr="001E47AD">
        <w:rPr>
          <w:rFonts w:hint="eastAsia"/>
          <w:noProof/>
          <w:sz w:val="22"/>
          <w:szCs w:val="22"/>
          <w:lang w:eastAsia="zh-CN"/>
        </w:rPr>
        <w:t xml:space="preserve">also </w:t>
      </w:r>
      <w:r w:rsidR="00BC3586" w:rsidRPr="001E47AD">
        <w:rPr>
          <w:noProof/>
          <w:sz w:val="22"/>
          <w:szCs w:val="22"/>
          <w:lang w:eastAsia="zh-CN"/>
        </w:rPr>
        <w:t>control</w:t>
      </w:r>
      <w:r w:rsidR="00745153" w:rsidRPr="001E47AD">
        <w:rPr>
          <w:rFonts w:hint="eastAsia"/>
          <w:noProof/>
          <w:sz w:val="22"/>
          <w:szCs w:val="22"/>
          <w:lang w:eastAsia="zh-CN"/>
        </w:rPr>
        <w:t xml:space="preserve"> </w:t>
      </w:r>
      <w:r w:rsidR="00D116CF" w:rsidRPr="001E47AD">
        <w:rPr>
          <w:b/>
          <w:sz w:val="22"/>
          <w:szCs w:val="22"/>
        </w:rPr>
        <w:t xml:space="preserve">geodemographic </w:t>
      </w:r>
      <w:r w:rsidR="00D116CF" w:rsidRPr="001E47AD">
        <w:rPr>
          <w:b/>
          <w:noProof/>
          <w:sz w:val="22"/>
          <w:szCs w:val="22"/>
        </w:rPr>
        <w:t>features</w:t>
      </w:r>
      <w:r w:rsidR="00D116CF" w:rsidRPr="001E47AD">
        <w:rPr>
          <w:sz w:val="22"/>
          <w:szCs w:val="22"/>
        </w:rPr>
        <w:t xml:space="preserve"> of the county and the state where a store outlet </w:t>
      </w:r>
      <w:r w:rsidR="00D116CF" w:rsidRPr="001E47AD">
        <w:rPr>
          <w:noProof/>
          <w:sz w:val="22"/>
          <w:szCs w:val="22"/>
        </w:rPr>
        <w:t>is located</w:t>
      </w:r>
      <w:r w:rsidR="00745153" w:rsidRPr="001E47AD">
        <w:rPr>
          <w:noProof/>
          <w:sz w:val="22"/>
          <w:szCs w:val="22"/>
          <w:lang w:eastAsia="zh-CN"/>
        </w:rPr>
        <w:t xml:space="preserve">. </w:t>
      </w:r>
      <w:r w:rsidR="00C34C66" w:rsidRPr="001E47AD">
        <w:rPr>
          <w:sz w:val="22"/>
          <w:szCs w:val="22"/>
        </w:rPr>
        <w:t>Variables</w:t>
      </w:r>
      <w:r w:rsidR="003F684B" w:rsidRPr="001E47AD">
        <w:rPr>
          <w:sz w:val="22"/>
          <w:szCs w:val="22"/>
        </w:rPr>
        <w:t xml:space="preserve"> include</w:t>
      </w:r>
      <w:r w:rsidR="00D116CF" w:rsidRPr="001E47AD">
        <w:rPr>
          <w:sz w:val="22"/>
          <w:szCs w:val="22"/>
        </w:rPr>
        <w:t xml:space="preserve"> population density</w:t>
      </w:r>
      <w:r w:rsidR="00CA69DD" w:rsidRPr="001E47AD">
        <w:rPr>
          <w:sz w:val="22"/>
          <w:szCs w:val="22"/>
          <w:lang w:eastAsia="zh-CN"/>
        </w:rPr>
        <w:t xml:space="preserve"> (</w:t>
      </w:r>
      <m:oMath>
        <m:r>
          <m:rPr>
            <m:sty m:val="p"/>
          </m:rPr>
          <w:rPr>
            <w:rFonts w:ascii="Cambria Math" w:hAnsi="Cambria Math"/>
            <w:sz w:val="22"/>
            <w:szCs w:val="22"/>
            <w:lang w:eastAsia="zh-CN"/>
          </w:rPr>
          <m:t>POP_DEN_COUNTY</m:t>
        </m:r>
      </m:oMath>
      <w:r w:rsidR="007F7151" w:rsidRPr="001E47AD">
        <w:rPr>
          <w:sz w:val="22"/>
          <w:szCs w:val="22"/>
          <w:lang w:eastAsia="zh-CN"/>
        </w:rPr>
        <w:t xml:space="preserve"> </w:t>
      </w:r>
      <w:r w:rsidR="00CA69DD" w:rsidRPr="001E47AD">
        <w:rPr>
          <w:sz w:val="22"/>
          <w:szCs w:val="22"/>
          <w:lang w:eastAsia="zh-CN"/>
        </w:rPr>
        <w:t xml:space="preserve">and </w:t>
      </w:r>
      <m:oMath>
        <m:r>
          <m:rPr>
            <m:sty m:val="p"/>
          </m:rPr>
          <w:rPr>
            <w:rFonts w:ascii="Cambria Math" w:hAnsi="Cambria Math"/>
            <w:sz w:val="22"/>
            <w:szCs w:val="22"/>
            <w:lang w:eastAsia="zh-CN"/>
          </w:rPr>
          <m:t>POP_DEN_STATE</m:t>
        </m:r>
      </m:oMath>
      <w:r w:rsidR="00CA69DD" w:rsidRPr="001E47AD">
        <w:rPr>
          <w:sz w:val="22"/>
          <w:szCs w:val="22"/>
          <w:lang w:eastAsia="zh-CN"/>
        </w:rPr>
        <w:t>)</w:t>
      </w:r>
      <w:r w:rsidR="00D116CF" w:rsidRPr="001E47AD">
        <w:rPr>
          <w:sz w:val="22"/>
          <w:szCs w:val="22"/>
        </w:rPr>
        <w:t>, land area</w:t>
      </w:r>
      <w:r w:rsidR="00CA69DD" w:rsidRPr="001E47AD">
        <w:rPr>
          <w:sz w:val="22"/>
          <w:szCs w:val="22"/>
          <w:lang w:eastAsia="zh-CN"/>
        </w:rPr>
        <w:t xml:space="preserve"> (</w:t>
      </w:r>
      <m:oMath>
        <m:r>
          <m:rPr>
            <m:sty m:val="p"/>
          </m:rPr>
          <w:rPr>
            <w:rFonts w:ascii="Cambria Math" w:hAnsi="Cambria Math"/>
            <w:sz w:val="22"/>
            <w:szCs w:val="22"/>
            <w:lang w:eastAsia="zh-CN"/>
          </w:rPr>
          <m:t xml:space="preserve">LAND_AREA_COUNTY </m:t>
        </m:r>
      </m:oMath>
      <w:r w:rsidR="00CA69DD" w:rsidRPr="001E47AD">
        <w:rPr>
          <w:sz w:val="22"/>
          <w:szCs w:val="22"/>
          <w:lang w:eastAsia="zh-CN"/>
        </w:rPr>
        <w:t xml:space="preserve">and </w:t>
      </w:r>
      <m:oMath>
        <m:r>
          <m:rPr>
            <m:sty m:val="p"/>
          </m:rPr>
          <w:rPr>
            <w:rFonts w:ascii="Cambria Math" w:hAnsi="Cambria Math"/>
            <w:sz w:val="22"/>
            <w:szCs w:val="22"/>
            <w:lang w:eastAsia="zh-CN"/>
          </w:rPr>
          <m:t>LAND_AREA_STATE</m:t>
        </m:r>
      </m:oMath>
      <w:r w:rsidR="00CA69DD" w:rsidRPr="001E47AD">
        <w:rPr>
          <w:sz w:val="22"/>
          <w:szCs w:val="22"/>
          <w:lang w:eastAsia="zh-CN"/>
        </w:rPr>
        <w:t>)</w:t>
      </w:r>
      <w:r w:rsidR="00D116CF" w:rsidRPr="001E47AD">
        <w:rPr>
          <w:sz w:val="22"/>
          <w:szCs w:val="22"/>
        </w:rPr>
        <w:t>, and water area</w:t>
      </w:r>
      <w:r w:rsidR="00CA69DD" w:rsidRPr="001E47AD">
        <w:rPr>
          <w:sz w:val="22"/>
          <w:szCs w:val="22"/>
          <w:lang w:eastAsia="zh-CN"/>
        </w:rPr>
        <w:t xml:space="preserve"> (</w:t>
      </w:r>
      <m:oMath>
        <m:r>
          <m:rPr>
            <m:sty m:val="p"/>
          </m:rPr>
          <w:rPr>
            <w:rFonts w:ascii="Cambria Math" w:hAnsi="Cambria Math"/>
            <w:sz w:val="22"/>
            <w:szCs w:val="22"/>
            <w:lang w:eastAsia="zh-CN"/>
          </w:rPr>
          <m:t xml:space="preserve">WATER_AREA_COUNTY </m:t>
        </m:r>
      </m:oMath>
      <w:r w:rsidR="00CA69DD" w:rsidRPr="001E47AD">
        <w:rPr>
          <w:sz w:val="22"/>
          <w:szCs w:val="22"/>
          <w:lang w:eastAsia="zh-CN"/>
        </w:rPr>
        <w:t xml:space="preserve">and </w:t>
      </w:r>
      <m:oMath>
        <m:r>
          <m:rPr>
            <m:sty m:val="p"/>
          </m:rPr>
          <w:rPr>
            <w:rFonts w:ascii="Cambria Math" w:hAnsi="Cambria Math"/>
            <w:sz w:val="22"/>
            <w:szCs w:val="22"/>
            <w:lang w:eastAsia="zh-CN"/>
          </w:rPr>
          <m:t>WATER_AREA_STATE</m:t>
        </m:r>
      </m:oMath>
      <w:r w:rsidR="00CA69DD" w:rsidRPr="001E47AD">
        <w:rPr>
          <w:sz w:val="22"/>
          <w:szCs w:val="22"/>
          <w:lang w:eastAsia="zh-CN"/>
        </w:rPr>
        <w:t>)</w:t>
      </w:r>
      <w:r w:rsidR="00D116CF" w:rsidRPr="001E47AD">
        <w:rPr>
          <w:sz w:val="22"/>
          <w:szCs w:val="22"/>
        </w:rPr>
        <w:t xml:space="preserve">. </w:t>
      </w:r>
      <w:r w:rsidR="00B33F6B" w:rsidRPr="001E47AD">
        <w:rPr>
          <w:sz w:val="22"/>
          <w:szCs w:val="22"/>
        </w:rPr>
        <w:t>G</w:t>
      </w:r>
      <w:r w:rsidR="00D116CF" w:rsidRPr="001E47AD">
        <w:rPr>
          <w:sz w:val="22"/>
          <w:szCs w:val="22"/>
        </w:rPr>
        <w:t xml:space="preserve">eodemographic data </w:t>
      </w:r>
      <w:r w:rsidR="00B33F6B" w:rsidRPr="001E47AD">
        <w:rPr>
          <w:sz w:val="22"/>
          <w:szCs w:val="22"/>
        </w:rPr>
        <w:t xml:space="preserve">is obtained </w:t>
      </w:r>
      <w:r w:rsidR="00D116CF" w:rsidRPr="001E47AD">
        <w:rPr>
          <w:sz w:val="22"/>
          <w:szCs w:val="22"/>
        </w:rPr>
        <w:t xml:space="preserve">from </w:t>
      </w:r>
      <w:r w:rsidR="0069126B" w:rsidRPr="001E47AD">
        <w:rPr>
          <w:sz w:val="22"/>
          <w:szCs w:val="22"/>
        </w:rPr>
        <w:t xml:space="preserve">the </w:t>
      </w:r>
      <w:r w:rsidR="004268F4" w:rsidRPr="001E47AD">
        <w:rPr>
          <w:sz w:val="22"/>
          <w:szCs w:val="22"/>
        </w:rPr>
        <w:t>U.S. Gazetteer Files (U</w:t>
      </w:r>
      <w:r w:rsidR="00E0227C" w:rsidRPr="001E47AD">
        <w:rPr>
          <w:sz w:val="22"/>
          <w:szCs w:val="22"/>
        </w:rPr>
        <w:t xml:space="preserve">.S. </w:t>
      </w:r>
      <w:r w:rsidR="004268F4" w:rsidRPr="001E47AD">
        <w:rPr>
          <w:sz w:val="22"/>
          <w:szCs w:val="22"/>
        </w:rPr>
        <w:t>Census Bureau 2010, 2012, 2014)</w:t>
      </w:r>
      <w:r w:rsidR="00D116CF" w:rsidRPr="001E47AD">
        <w:rPr>
          <w:sz w:val="22"/>
          <w:szCs w:val="22"/>
        </w:rPr>
        <w:t>.</w:t>
      </w:r>
      <w:r w:rsidR="00547B37" w:rsidRPr="001E47AD">
        <w:rPr>
          <w:rStyle w:val="FootnoteReference"/>
          <w:sz w:val="22"/>
          <w:szCs w:val="22"/>
        </w:rPr>
        <w:footnoteReference w:id="17"/>
      </w:r>
    </w:p>
    <w:p w14:paraId="3631EF02" w14:textId="7236AD14" w:rsidR="007F3198" w:rsidRPr="001E47AD" w:rsidRDefault="007F3198" w:rsidP="007F3198">
      <w:pPr>
        <w:spacing w:before="120" w:after="120" w:line="480" w:lineRule="auto"/>
        <w:ind w:firstLine="720"/>
        <w:contextualSpacing/>
        <w:jc w:val="both"/>
        <w:rPr>
          <w:sz w:val="22"/>
          <w:szCs w:val="22"/>
          <w:lang w:eastAsia="zh-CN"/>
        </w:rPr>
      </w:pPr>
      <w:r w:rsidRPr="001E47AD">
        <w:rPr>
          <w:sz w:val="22"/>
          <w:szCs w:val="22"/>
        </w:rPr>
        <w:lastRenderedPageBreak/>
        <w:t>Since inventory counts of the stock-keeping units are not publicly available, w</w:t>
      </w:r>
      <w:r w:rsidRPr="001E47AD">
        <w:rPr>
          <w:sz w:val="22"/>
          <w:szCs w:val="22"/>
          <w:lang w:val="en-CA"/>
        </w:rPr>
        <w:t xml:space="preserve">e </w:t>
      </w:r>
      <w:r w:rsidRPr="001E47AD">
        <w:rPr>
          <w:sz w:val="22"/>
          <w:szCs w:val="22"/>
        </w:rPr>
        <w:t xml:space="preserve">estimate in-store product availability using retail sales data. We also </w:t>
      </w:r>
      <w:r w:rsidRPr="001E47AD">
        <w:rPr>
          <w:sz w:val="22"/>
          <w:szCs w:val="22"/>
          <w:lang w:eastAsia="zh-CN"/>
        </w:rPr>
        <w:t>control</w:t>
      </w:r>
      <w:r w:rsidRPr="001E47AD">
        <w:rPr>
          <w:rFonts w:hint="eastAsia"/>
          <w:sz w:val="22"/>
          <w:szCs w:val="22"/>
          <w:lang w:eastAsia="zh-CN"/>
        </w:rPr>
        <w:t xml:space="preserve"> for</w:t>
      </w:r>
      <w:r w:rsidRPr="001E47AD">
        <w:rPr>
          <w:sz w:val="22"/>
          <w:szCs w:val="22"/>
        </w:rPr>
        <w:t xml:space="preserve"> </w:t>
      </w:r>
      <w:r w:rsidRPr="001E47AD">
        <w:rPr>
          <w:sz w:val="22"/>
          <w:szCs w:val="22"/>
          <w:lang w:eastAsia="zh-CN"/>
        </w:rPr>
        <w:t>changes in</w:t>
      </w:r>
      <w:r w:rsidRPr="001E47AD">
        <w:rPr>
          <w:rFonts w:hint="eastAsia"/>
          <w:sz w:val="22"/>
          <w:szCs w:val="22"/>
          <w:lang w:eastAsia="zh-CN"/>
        </w:rPr>
        <w:t xml:space="preserve"> sales volume (</w:t>
      </w:r>
      <m:oMath>
        <m:r>
          <m:rPr>
            <m:sty m:val="p"/>
          </m:rPr>
          <w:rPr>
            <w:rFonts w:ascii="Cambria Math" w:hAnsi="Cambria Math"/>
            <w:sz w:val="22"/>
            <w:szCs w:val="22"/>
            <w:lang w:eastAsia="zh-CN"/>
          </w:rPr>
          <m:t>CHANGE_VOL_LATE\_POST</m:t>
        </m:r>
      </m:oMath>
      <w:r w:rsidRPr="001E47AD">
        <w:rPr>
          <w:rFonts w:hint="eastAsia"/>
          <w:sz w:val="22"/>
          <w:szCs w:val="22"/>
          <w:lang w:eastAsia="zh-CN"/>
        </w:rPr>
        <w:t>)</w:t>
      </w:r>
      <w:r w:rsidRPr="001E47AD">
        <w:rPr>
          <w:sz w:val="22"/>
          <w:szCs w:val="22"/>
          <w:lang w:eastAsia="zh-CN"/>
        </w:rPr>
        <w:t xml:space="preserve"> in the estimation model</w:t>
      </w:r>
      <w:r w:rsidRPr="001E47AD">
        <w:rPr>
          <w:rFonts w:hint="eastAsia"/>
          <w:sz w:val="22"/>
          <w:szCs w:val="22"/>
          <w:lang w:eastAsia="zh-CN"/>
        </w:rPr>
        <w:t>,</w:t>
      </w:r>
      <w:r w:rsidRPr="001E47AD">
        <w:rPr>
          <w:sz w:val="22"/>
          <w:szCs w:val="22"/>
          <w:lang w:eastAsia="zh-CN"/>
        </w:rPr>
        <w:t xml:space="preserve"> capturing </w:t>
      </w:r>
      <w:r w:rsidRPr="001E47AD">
        <w:rPr>
          <w:sz w:val="22"/>
          <w:szCs w:val="22"/>
        </w:rPr>
        <w:t>the difference between the sales volume during the LATE (or each of the POST) event week(s) and the weekly average of the four PRE event weeks</w:t>
      </w:r>
      <w:r w:rsidRPr="001E47AD">
        <w:rPr>
          <w:rFonts w:hint="eastAsia"/>
          <w:sz w:val="22"/>
          <w:szCs w:val="22"/>
          <w:lang w:eastAsia="zh-CN"/>
        </w:rPr>
        <w:t>.</w:t>
      </w:r>
    </w:p>
    <w:p w14:paraId="5A0FAE78" w14:textId="5F260867" w:rsidR="007F3198" w:rsidRPr="001E47AD" w:rsidRDefault="007F3198" w:rsidP="007F3198">
      <w:pPr>
        <w:spacing w:before="120" w:after="120" w:line="480" w:lineRule="auto"/>
        <w:contextualSpacing/>
        <w:rPr>
          <w:b/>
          <w:sz w:val="22"/>
          <w:szCs w:val="22"/>
        </w:rPr>
      </w:pPr>
      <w:r w:rsidRPr="001E47AD">
        <w:rPr>
          <w:b/>
          <w:sz w:val="22"/>
          <w:szCs w:val="22"/>
        </w:rPr>
        <w:t>Instrumental Variables</w:t>
      </w:r>
    </w:p>
    <w:p w14:paraId="1D657675" w14:textId="0B72DCB3" w:rsidR="00C931B8" w:rsidRPr="001E47AD" w:rsidRDefault="00061086" w:rsidP="007F3198">
      <w:pPr>
        <w:spacing w:before="120" w:after="120" w:line="480" w:lineRule="auto"/>
        <w:contextualSpacing/>
        <w:jc w:val="both"/>
        <w:rPr>
          <w:sz w:val="22"/>
          <w:szCs w:val="22"/>
        </w:rPr>
      </w:pPr>
      <w:r w:rsidRPr="001E47AD">
        <w:rPr>
          <w:sz w:val="22"/>
          <w:szCs w:val="22"/>
        </w:rPr>
        <w:t>T</w:t>
      </w:r>
      <w:r w:rsidR="00F153AE" w:rsidRPr="001E47AD">
        <w:rPr>
          <w:sz w:val="22"/>
          <w:szCs w:val="22"/>
        </w:rPr>
        <w:t xml:space="preserve">wo-stage least square models </w:t>
      </w:r>
      <w:r w:rsidR="003A6634" w:rsidRPr="001E47AD">
        <w:rPr>
          <w:sz w:val="22"/>
          <w:szCs w:val="22"/>
        </w:rPr>
        <w:t xml:space="preserve">(2SLS) </w:t>
      </w:r>
      <w:r w:rsidRPr="001E47AD">
        <w:rPr>
          <w:sz w:val="22"/>
          <w:szCs w:val="22"/>
        </w:rPr>
        <w:t xml:space="preserve">are applied </w:t>
      </w:r>
      <w:r w:rsidR="00BC3586" w:rsidRPr="001E47AD">
        <w:rPr>
          <w:sz w:val="22"/>
          <w:szCs w:val="22"/>
        </w:rPr>
        <w:t xml:space="preserve">to estimate the mediation effects of consumer stockpiling propensity during the EARLY event period on product availability during the LATE and POST event periods. </w:t>
      </w:r>
      <w:r w:rsidR="00F153AE" w:rsidRPr="001E47AD">
        <w:rPr>
          <w:sz w:val="22"/>
          <w:szCs w:val="22"/>
        </w:rPr>
        <w:t>Thus, we need to include</w:t>
      </w:r>
      <w:r w:rsidR="00D25D26" w:rsidRPr="001E47AD">
        <w:rPr>
          <w:sz w:val="22"/>
          <w:szCs w:val="22"/>
        </w:rPr>
        <w:t xml:space="preserve"> </w:t>
      </w:r>
      <w:r w:rsidRPr="001E47AD">
        <w:rPr>
          <w:sz w:val="22"/>
          <w:szCs w:val="22"/>
        </w:rPr>
        <w:t xml:space="preserve">instrumental </w:t>
      </w:r>
      <w:r w:rsidR="00F153AE" w:rsidRPr="001E47AD">
        <w:rPr>
          <w:sz w:val="22"/>
          <w:szCs w:val="22"/>
        </w:rPr>
        <w:t>variable</w:t>
      </w:r>
      <w:r w:rsidR="00B83B74" w:rsidRPr="001E47AD">
        <w:rPr>
          <w:sz w:val="22"/>
          <w:szCs w:val="22"/>
        </w:rPr>
        <w:t>s</w:t>
      </w:r>
      <w:r w:rsidR="00F153AE" w:rsidRPr="001E47AD">
        <w:rPr>
          <w:sz w:val="22"/>
          <w:szCs w:val="22"/>
        </w:rPr>
        <w:t xml:space="preserve"> that </w:t>
      </w:r>
      <w:r w:rsidR="00B83B74" w:rsidRPr="001E47AD">
        <w:rPr>
          <w:sz w:val="22"/>
          <w:szCs w:val="22"/>
        </w:rPr>
        <w:t>are</w:t>
      </w:r>
      <w:r w:rsidR="00D25D26" w:rsidRPr="001E47AD">
        <w:rPr>
          <w:sz w:val="22"/>
          <w:szCs w:val="22"/>
        </w:rPr>
        <w:t xml:space="preserve"> </w:t>
      </w:r>
      <w:r w:rsidR="00F153AE" w:rsidRPr="001E47AD">
        <w:rPr>
          <w:sz w:val="22"/>
          <w:szCs w:val="22"/>
        </w:rPr>
        <w:t xml:space="preserve">significantly </w:t>
      </w:r>
      <w:r w:rsidR="00D25D26" w:rsidRPr="001E47AD">
        <w:rPr>
          <w:sz w:val="22"/>
          <w:szCs w:val="22"/>
        </w:rPr>
        <w:t>associated with</w:t>
      </w:r>
      <w:r w:rsidR="00F153AE" w:rsidRPr="001E47AD">
        <w:rPr>
          <w:sz w:val="22"/>
          <w:szCs w:val="22"/>
        </w:rPr>
        <w:t xml:space="preserve"> consumer behavior </w:t>
      </w:r>
      <w:r w:rsidR="00E90927" w:rsidRPr="001E47AD">
        <w:rPr>
          <w:sz w:val="22"/>
          <w:szCs w:val="22"/>
        </w:rPr>
        <w:t xml:space="preserve">for bottled water </w:t>
      </w:r>
      <w:r w:rsidR="00F153AE" w:rsidRPr="001E47AD">
        <w:rPr>
          <w:sz w:val="22"/>
          <w:szCs w:val="22"/>
        </w:rPr>
        <w:t xml:space="preserve">during the EARLY event period, </w:t>
      </w:r>
      <w:r w:rsidR="00D25D26" w:rsidRPr="001E47AD">
        <w:rPr>
          <w:sz w:val="22"/>
          <w:szCs w:val="22"/>
        </w:rPr>
        <w:t>but do not impact</w:t>
      </w:r>
      <w:r w:rsidR="00F153AE" w:rsidRPr="001E47AD">
        <w:rPr>
          <w:sz w:val="22"/>
          <w:szCs w:val="22"/>
        </w:rPr>
        <w:t xml:space="preserve"> retailer decisions on product availability during the LATE and POST event periods.</w:t>
      </w:r>
      <w:r w:rsidR="00D25D26" w:rsidRPr="001E47AD">
        <w:rPr>
          <w:sz w:val="22"/>
          <w:szCs w:val="22"/>
        </w:rPr>
        <w:t xml:space="preserve"> The instrumental variable</w:t>
      </w:r>
      <w:r w:rsidR="00B83B74" w:rsidRPr="001E47AD">
        <w:rPr>
          <w:sz w:val="22"/>
          <w:szCs w:val="22"/>
        </w:rPr>
        <w:t>s</w:t>
      </w:r>
      <w:r w:rsidR="00D25D26" w:rsidRPr="001E47AD">
        <w:rPr>
          <w:sz w:val="22"/>
          <w:szCs w:val="22"/>
        </w:rPr>
        <w:t xml:space="preserve"> we deploy </w:t>
      </w:r>
      <w:r w:rsidR="00B83B74" w:rsidRPr="001E47AD">
        <w:rPr>
          <w:sz w:val="22"/>
          <w:szCs w:val="22"/>
        </w:rPr>
        <w:t>relate to</w:t>
      </w:r>
      <w:r w:rsidR="00D25D26" w:rsidRPr="001E47AD">
        <w:rPr>
          <w:sz w:val="22"/>
          <w:szCs w:val="22"/>
        </w:rPr>
        <w:t xml:space="preserve"> industrial water use </w:t>
      </w:r>
      <w:r w:rsidR="0048542A" w:rsidRPr="001E47AD">
        <w:rPr>
          <w:sz w:val="22"/>
          <w:szCs w:val="22"/>
        </w:rPr>
        <w:t>(</w:t>
      </w:r>
      <m:oMath>
        <m:r>
          <m:rPr>
            <m:sty m:val="p"/>
          </m:rPr>
          <w:rPr>
            <w:rFonts w:ascii="Cambria Math" w:hAnsi="Cambria Math"/>
            <w:sz w:val="22"/>
            <w:szCs w:val="22"/>
          </w:rPr>
          <m:t>WATER_USE_IN</m:t>
        </m:r>
      </m:oMath>
      <w:r w:rsidR="0048542A" w:rsidRPr="001E47AD">
        <w:rPr>
          <w:sz w:val="22"/>
          <w:szCs w:val="22"/>
        </w:rPr>
        <w:t xml:space="preserve">) </w:t>
      </w:r>
      <w:r w:rsidR="00B83B74" w:rsidRPr="001E47AD">
        <w:rPr>
          <w:sz w:val="22"/>
          <w:szCs w:val="22"/>
        </w:rPr>
        <w:t>in</w:t>
      </w:r>
      <w:r w:rsidR="00D25D26" w:rsidRPr="001E47AD">
        <w:rPr>
          <w:sz w:val="22"/>
          <w:szCs w:val="22"/>
        </w:rPr>
        <w:t xml:space="preserve"> the county where a store outlet is located.</w:t>
      </w:r>
      <w:r w:rsidR="00F153AE" w:rsidRPr="001E47AD">
        <w:rPr>
          <w:sz w:val="22"/>
          <w:szCs w:val="22"/>
        </w:rPr>
        <w:t xml:space="preserve"> </w:t>
      </w:r>
      <w:r w:rsidR="00F153AE" w:rsidRPr="001E47AD">
        <w:rPr>
          <w:bCs/>
          <w:sz w:val="22"/>
          <w:szCs w:val="22"/>
        </w:rPr>
        <w:t xml:space="preserve">Historically, </w:t>
      </w:r>
      <w:r w:rsidR="00D25D26" w:rsidRPr="001E47AD">
        <w:rPr>
          <w:bCs/>
          <w:sz w:val="22"/>
          <w:szCs w:val="22"/>
        </w:rPr>
        <w:t xml:space="preserve">the withdrawal of </w:t>
      </w:r>
      <w:r w:rsidR="00F153AE" w:rsidRPr="001E47AD">
        <w:rPr>
          <w:bCs/>
          <w:sz w:val="22"/>
          <w:szCs w:val="22"/>
        </w:rPr>
        <w:t>industrial withdrawal wate</w:t>
      </w:r>
      <w:r w:rsidR="00D25D26" w:rsidRPr="001E47AD">
        <w:rPr>
          <w:bCs/>
          <w:sz w:val="22"/>
          <w:szCs w:val="22"/>
        </w:rPr>
        <w:t>r is</w:t>
      </w:r>
      <w:r w:rsidR="00F153AE" w:rsidRPr="001E47AD">
        <w:rPr>
          <w:bCs/>
          <w:sz w:val="22"/>
          <w:szCs w:val="22"/>
        </w:rPr>
        <w:t xml:space="preserve"> driven by access to </w:t>
      </w:r>
      <w:r w:rsidR="00D25D26" w:rsidRPr="001E47AD">
        <w:rPr>
          <w:bCs/>
          <w:sz w:val="22"/>
          <w:szCs w:val="22"/>
        </w:rPr>
        <w:t>an abundant</w:t>
      </w:r>
      <w:r w:rsidR="00F153AE" w:rsidRPr="001E47AD">
        <w:rPr>
          <w:bCs/>
          <w:sz w:val="22"/>
          <w:szCs w:val="22"/>
        </w:rPr>
        <w:t xml:space="preserve"> water</w:t>
      </w:r>
      <w:r w:rsidR="00D25D26" w:rsidRPr="001E47AD">
        <w:rPr>
          <w:bCs/>
          <w:sz w:val="22"/>
          <w:szCs w:val="22"/>
        </w:rPr>
        <w:t xml:space="preserve"> supply</w:t>
      </w:r>
      <w:r w:rsidR="005945A3" w:rsidRPr="001E47AD">
        <w:rPr>
          <w:bCs/>
          <w:sz w:val="22"/>
          <w:szCs w:val="22"/>
        </w:rPr>
        <w:t xml:space="preserve">, </w:t>
      </w:r>
      <w:r w:rsidR="00D25D26" w:rsidRPr="001E47AD">
        <w:rPr>
          <w:sz w:val="22"/>
          <w:szCs w:val="22"/>
        </w:rPr>
        <w:t>with</w:t>
      </w:r>
      <w:r w:rsidR="00D27C9B" w:rsidRPr="001E47AD">
        <w:rPr>
          <w:sz w:val="22"/>
          <w:szCs w:val="22"/>
        </w:rPr>
        <w:t xml:space="preserve"> </w:t>
      </w:r>
      <w:r w:rsidR="00F153AE" w:rsidRPr="001E47AD">
        <w:rPr>
          <w:bCs/>
          <w:sz w:val="22"/>
          <w:szCs w:val="22"/>
        </w:rPr>
        <w:t>fresh surface water account</w:t>
      </w:r>
      <w:r w:rsidR="00D25D26" w:rsidRPr="001E47AD">
        <w:rPr>
          <w:bCs/>
          <w:sz w:val="22"/>
          <w:szCs w:val="22"/>
        </w:rPr>
        <w:t>ing</w:t>
      </w:r>
      <w:r w:rsidR="00F153AE" w:rsidRPr="001E47AD">
        <w:rPr>
          <w:bCs/>
          <w:sz w:val="22"/>
          <w:szCs w:val="22"/>
        </w:rPr>
        <w:t xml:space="preserve"> for the majority of industrial withdrawal</w:t>
      </w:r>
      <w:r w:rsidR="00D25D26" w:rsidRPr="001E47AD">
        <w:rPr>
          <w:bCs/>
          <w:sz w:val="22"/>
          <w:szCs w:val="22"/>
        </w:rPr>
        <w:t>s</w:t>
      </w:r>
      <w:r w:rsidR="005945A3" w:rsidRPr="001E47AD">
        <w:rPr>
          <w:bCs/>
          <w:sz w:val="22"/>
          <w:szCs w:val="22"/>
        </w:rPr>
        <w:t xml:space="preserve"> (</w:t>
      </w:r>
      <w:r w:rsidR="005945A3" w:rsidRPr="001E47AD">
        <w:rPr>
          <w:rFonts w:eastAsia="Times New Roman"/>
          <w:sz w:val="22"/>
          <w:szCs w:val="22"/>
          <w:lang w:val="en-CA" w:eastAsia="zh-CN"/>
        </w:rPr>
        <w:t>Dieter et al. 2018)</w:t>
      </w:r>
      <w:r w:rsidR="00F153AE" w:rsidRPr="001E47AD">
        <w:rPr>
          <w:bCs/>
          <w:sz w:val="22"/>
          <w:szCs w:val="22"/>
        </w:rPr>
        <w:t xml:space="preserve">. </w:t>
      </w:r>
      <w:r w:rsidR="00CF163C" w:rsidRPr="001E47AD">
        <w:rPr>
          <w:bCs/>
          <w:sz w:val="22"/>
          <w:szCs w:val="22"/>
        </w:rPr>
        <w:t xml:space="preserve">Thus, </w:t>
      </w:r>
      <w:r w:rsidR="00D61F52" w:rsidRPr="001E47AD">
        <w:rPr>
          <w:bCs/>
          <w:sz w:val="22"/>
          <w:szCs w:val="22"/>
        </w:rPr>
        <w:t xml:space="preserve">industrial water use reflects </w:t>
      </w:r>
      <w:r w:rsidR="00001494" w:rsidRPr="001E47AD">
        <w:rPr>
          <w:bCs/>
          <w:sz w:val="22"/>
          <w:szCs w:val="22"/>
        </w:rPr>
        <w:t xml:space="preserve">local </w:t>
      </w:r>
      <w:r w:rsidR="00F153AE" w:rsidRPr="001E47AD">
        <w:rPr>
          <w:bCs/>
          <w:sz w:val="22"/>
          <w:szCs w:val="22"/>
        </w:rPr>
        <w:t>gro</w:t>
      </w:r>
      <w:r w:rsidR="00001494" w:rsidRPr="001E47AD">
        <w:rPr>
          <w:bCs/>
          <w:sz w:val="22"/>
          <w:szCs w:val="22"/>
        </w:rPr>
        <w:t>und and surface water resources</w:t>
      </w:r>
      <w:r w:rsidR="00B83B74" w:rsidRPr="001E47AD">
        <w:rPr>
          <w:bCs/>
          <w:sz w:val="22"/>
          <w:szCs w:val="22"/>
        </w:rPr>
        <w:t xml:space="preserve"> in the county that may</w:t>
      </w:r>
      <w:r w:rsidR="004F4E67" w:rsidRPr="001E47AD">
        <w:rPr>
          <w:bCs/>
          <w:sz w:val="22"/>
          <w:szCs w:val="22"/>
        </w:rPr>
        <w:t xml:space="preserve"> </w:t>
      </w:r>
      <w:r w:rsidR="00B100EA" w:rsidRPr="001E47AD">
        <w:rPr>
          <w:bCs/>
          <w:sz w:val="22"/>
          <w:szCs w:val="22"/>
        </w:rPr>
        <w:t>relate to</w:t>
      </w:r>
      <w:r w:rsidR="004F4E67" w:rsidRPr="001E47AD">
        <w:rPr>
          <w:bCs/>
          <w:sz w:val="22"/>
          <w:szCs w:val="22"/>
        </w:rPr>
        <w:t xml:space="preserve"> the use of bottled water by consumers but does</w:t>
      </w:r>
      <w:r w:rsidR="00F153AE" w:rsidRPr="001E47AD">
        <w:rPr>
          <w:bCs/>
          <w:sz w:val="22"/>
          <w:szCs w:val="22"/>
        </w:rPr>
        <w:t xml:space="preserve"> not directly affect retailer decision</w:t>
      </w:r>
      <w:r w:rsidR="00001494" w:rsidRPr="001E47AD">
        <w:rPr>
          <w:bCs/>
          <w:sz w:val="22"/>
          <w:szCs w:val="22"/>
        </w:rPr>
        <w:t>s</w:t>
      </w:r>
      <w:r w:rsidR="00F153AE" w:rsidRPr="001E47AD">
        <w:rPr>
          <w:bCs/>
          <w:sz w:val="22"/>
          <w:szCs w:val="22"/>
        </w:rPr>
        <w:t xml:space="preserve"> on </w:t>
      </w:r>
      <w:r w:rsidR="00CF163C" w:rsidRPr="001E47AD">
        <w:rPr>
          <w:bCs/>
          <w:sz w:val="22"/>
          <w:szCs w:val="22"/>
        </w:rPr>
        <w:t>product</w:t>
      </w:r>
      <w:r w:rsidR="00F153AE" w:rsidRPr="001E47AD">
        <w:rPr>
          <w:bCs/>
          <w:sz w:val="22"/>
          <w:szCs w:val="22"/>
        </w:rPr>
        <w:t xml:space="preserve"> availability.</w:t>
      </w:r>
      <w:r w:rsidR="00E90927" w:rsidRPr="001E47AD">
        <w:rPr>
          <w:bCs/>
          <w:sz w:val="22"/>
          <w:szCs w:val="22"/>
        </w:rPr>
        <w:t xml:space="preserve"> We conduct a series of tests</w:t>
      </w:r>
      <w:r w:rsidR="006D1F62" w:rsidRPr="001E47AD">
        <w:rPr>
          <w:bCs/>
          <w:sz w:val="22"/>
          <w:szCs w:val="22"/>
        </w:rPr>
        <w:t>, which</w:t>
      </w:r>
      <w:r w:rsidR="00CF163C" w:rsidRPr="001E47AD">
        <w:rPr>
          <w:bCs/>
          <w:sz w:val="22"/>
          <w:szCs w:val="22"/>
        </w:rPr>
        <w:t xml:space="preserve"> demonstrate</w:t>
      </w:r>
      <w:r w:rsidR="00E90927" w:rsidRPr="001E47AD">
        <w:rPr>
          <w:bCs/>
          <w:sz w:val="22"/>
          <w:szCs w:val="22"/>
        </w:rPr>
        <w:t xml:space="preserve"> our instrument set is appropriate. </w:t>
      </w:r>
      <w:r w:rsidR="00FC2BE1" w:rsidRPr="001E47AD">
        <w:rPr>
          <w:bCs/>
          <w:sz w:val="22"/>
          <w:szCs w:val="22"/>
        </w:rPr>
        <w:t>V</w:t>
      </w:r>
      <w:r w:rsidR="00BC3586" w:rsidRPr="001E47AD">
        <w:rPr>
          <w:sz w:val="22"/>
          <w:szCs w:val="22"/>
        </w:rPr>
        <w:t>ariable</w:t>
      </w:r>
      <w:r w:rsidR="00F61F6E" w:rsidRPr="001E47AD">
        <w:rPr>
          <w:sz w:val="22"/>
          <w:szCs w:val="22"/>
        </w:rPr>
        <w:t>s</w:t>
      </w:r>
      <w:r w:rsidR="00BC3586" w:rsidRPr="001E47AD">
        <w:rPr>
          <w:sz w:val="22"/>
          <w:szCs w:val="22"/>
        </w:rPr>
        <w:t xml:space="preserve"> include </w:t>
      </w:r>
      <w:r w:rsidR="00B83B74" w:rsidRPr="001E47AD">
        <w:rPr>
          <w:sz w:val="22"/>
          <w:szCs w:val="22"/>
        </w:rPr>
        <w:t xml:space="preserve">use of </w:t>
      </w:r>
      <w:r w:rsidR="00BC3586" w:rsidRPr="001E47AD">
        <w:rPr>
          <w:sz w:val="22"/>
          <w:szCs w:val="22"/>
        </w:rPr>
        <w:t>ground fresh water (</w:t>
      </w:r>
      <m:oMath>
        <m:r>
          <m:rPr>
            <m:sty m:val="p"/>
          </m:rPr>
          <w:rPr>
            <w:rFonts w:ascii="Cambria Math" w:hAnsi="Cambria Math"/>
            <w:sz w:val="22"/>
            <w:szCs w:val="22"/>
          </w:rPr>
          <m:t>GROUND_FRESH_IN</m:t>
        </m:r>
      </m:oMath>
      <w:r w:rsidR="00BC3586" w:rsidRPr="001E47AD">
        <w:rPr>
          <w:sz w:val="22"/>
          <w:szCs w:val="22"/>
        </w:rPr>
        <w:t>), ground saline water (</w:t>
      </w:r>
      <m:oMath>
        <m:r>
          <m:rPr>
            <m:sty m:val="p"/>
          </m:rPr>
          <w:rPr>
            <w:rFonts w:ascii="Cambria Math" w:hAnsi="Cambria Math"/>
            <w:sz w:val="22"/>
            <w:szCs w:val="22"/>
          </w:rPr>
          <m:t>GROUND_SALINE_IN</m:t>
        </m:r>
      </m:oMath>
      <w:r w:rsidR="00BC3586" w:rsidRPr="001E47AD">
        <w:rPr>
          <w:sz w:val="22"/>
          <w:szCs w:val="22"/>
        </w:rPr>
        <w:t>), surface fresh water (</w:t>
      </w:r>
      <m:oMath>
        <m:r>
          <m:rPr>
            <m:sty m:val="p"/>
          </m:rPr>
          <w:rPr>
            <w:rFonts w:ascii="Cambria Math" w:hAnsi="Cambria Math"/>
            <w:sz w:val="22"/>
            <w:szCs w:val="22"/>
          </w:rPr>
          <m:t>SURFACE_FRESH_IN</m:t>
        </m:r>
      </m:oMath>
      <w:r w:rsidR="00BC3586" w:rsidRPr="001E47AD">
        <w:rPr>
          <w:sz w:val="22"/>
          <w:szCs w:val="22"/>
        </w:rPr>
        <w:t>), and surface saline water (</w:t>
      </w:r>
      <m:oMath>
        <m:r>
          <m:rPr>
            <m:sty m:val="p"/>
          </m:rPr>
          <w:rPr>
            <w:rFonts w:ascii="Cambria Math" w:hAnsi="Cambria Math"/>
            <w:sz w:val="22"/>
            <w:szCs w:val="22"/>
          </w:rPr>
          <m:t>SURFACE_SALINE_IN</m:t>
        </m:r>
      </m:oMath>
      <w:r w:rsidR="00BC3586" w:rsidRPr="001E47AD">
        <w:rPr>
          <w:sz w:val="22"/>
          <w:szCs w:val="22"/>
        </w:rPr>
        <w:t>). Industrial water use data is obtained from the U.S. Geological Survey (Estimated Use of Water in the United States County-Level Data 2010, 2015).</w:t>
      </w:r>
      <w:r w:rsidR="00E90927" w:rsidRPr="001E47AD">
        <w:rPr>
          <w:rStyle w:val="FootnoteReference"/>
          <w:sz w:val="22"/>
          <w:szCs w:val="22"/>
        </w:rPr>
        <w:footnoteReference w:id="18"/>
      </w:r>
    </w:p>
    <w:p w14:paraId="05272C1B" w14:textId="7935A5B4" w:rsidR="00F706AB" w:rsidRPr="001E47AD" w:rsidRDefault="003E00B7" w:rsidP="00275EDB">
      <w:pPr>
        <w:spacing w:before="120" w:after="120" w:line="480" w:lineRule="auto"/>
        <w:ind w:firstLine="720"/>
        <w:contextualSpacing/>
        <w:jc w:val="both"/>
        <w:rPr>
          <w:sz w:val="22"/>
          <w:szCs w:val="22"/>
          <w:lang w:eastAsia="zh-CN"/>
        </w:rPr>
      </w:pPr>
      <w:r w:rsidRPr="001E47AD">
        <w:rPr>
          <w:sz w:val="22"/>
          <w:szCs w:val="22"/>
        </w:rPr>
        <w:fldChar w:fldCharType="begin"/>
      </w:r>
      <w:r w:rsidRPr="001E47AD">
        <w:rPr>
          <w:sz w:val="22"/>
          <w:szCs w:val="22"/>
        </w:rPr>
        <w:instrText xml:space="preserve"> REF _Ref16895708 \h </w:instrText>
      </w:r>
      <w:r w:rsidR="00324301" w:rsidRPr="001E47AD">
        <w:rPr>
          <w:sz w:val="22"/>
          <w:szCs w:val="22"/>
        </w:rPr>
        <w:instrText xml:space="preserve"> \* MERGEFORMAT </w:instrText>
      </w:r>
      <w:r w:rsidRPr="001E47AD">
        <w:rPr>
          <w:sz w:val="22"/>
          <w:szCs w:val="22"/>
        </w:rPr>
      </w:r>
      <w:r w:rsidRPr="001E47AD">
        <w:rPr>
          <w:sz w:val="22"/>
          <w:szCs w:val="22"/>
        </w:rPr>
        <w:fldChar w:fldCharType="separate"/>
      </w:r>
      <w:r w:rsidR="009E3444" w:rsidRPr="001E47AD">
        <w:rPr>
          <w:sz w:val="22"/>
          <w:szCs w:val="22"/>
          <w:lang w:eastAsia="zh-CN"/>
        </w:rPr>
        <w:t>Table</w:t>
      </w:r>
      <w:r w:rsidR="009E3444" w:rsidRPr="001E47AD">
        <w:rPr>
          <w:sz w:val="22"/>
          <w:szCs w:val="22"/>
        </w:rPr>
        <w:t xml:space="preserve"> </w:t>
      </w:r>
      <w:r w:rsidR="009E3444" w:rsidRPr="001E47AD">
        <w:rPr>
          <w:noProof/>
          <w:sz w:val="22"/>
          <w:szCs w:val="22"/>
        </w:rPr>
        <w:t>2</w:t>
      </w:r>
      <w:r w:rsidRPr="001E47AD">
        <w:rPr>
          <w:sz w:val="22"/>
          <w:szCs w:val="22"/>
        </w:rPr>
        <w:fldChar w:fldCharType="end"/>
      </w:r>
      <w:r w:rsidRPr="001E47AD">
        <w:rPr>
          <w:sz w:val="22"/>
          <w:szCs w:val="22"/>
        </w:rPr>
        <w:t xml:space="preserve"> </w:t>
      </w:r>
      <w:r w:rsidR="00F706AB" w:rsidRPr="001E47AD">
        <w:rPr>
          <w:sz w:val="22"/>
          <w:szCs w:val="22"/>
        </w:rPr>
        <w:t xml:space="preserve">illustrates the descriptive statistics. </w:t>
      </w:r>
      <w:r w:rsidR="00846DFB" w:rsidRPr="001E47AD">
        <w:rPr>
          <w:sz w:val="22"/>
          <w:szCs w:val="22"/>
        </w:rPr>
        <w:t>In the estimation models, w</w:t>
      </w:r>
      <w:r w:rsidR="00275EDB" w:rsidRPr="001E47AD">
        <w:rPr>
          <w:sz w:val="22"/>
          <w:szCs w:val="22"/>
        </w:rPr>
        <w:t>e log transform the dependent variables</w:t>
      </w:r>
      <w:r w:rsidR="00D31C60" w:rsidRPr="001E47AD">
        <w:rPr>
          <w:sz w:val="22"/>
          <w:szCs w:val="22"/>
        </w:rPr>
        <w:t>,</w:t>
      </w:r>
      <m:oMath>
        <m:r>
          <m:rPr>
            <m:sty m:val="p"/>
          </m:rPr>
          <w:rPr>
            <w:rFonts w:ascii="Cambria Math" w:hAnsi="Cambria Math"/>
            <w:sz w:val="22"/>
            <w:szCs w:val="22"/>
          </w:rPr>
          <m:t>LN(STOCK_PROP_EARLY)×1000</m:t>
        </m:r>
      </m:oMath>
      <w:r w:rsidR="00275EDB" w:rsidRPr="001E47AD">
        <w:rPr>
          <w:sz w:val="22"/>
          <w:szCs w:val="22"/>
        </w:rPr>
        <w:t xml:space="preserve"> </w:t>
      </w:r>
      <w:r w:rsidR="007D6ABA" w:rsidRPr="001E47AD">
        <w:rPr>
          <w:sz w:val="22"/>
          <w:szCs w:val="22"/>
        </w:rPr>
        <w:t>and</w:t>
      </w:r>
      <w:r w:rsidR="00635C36" w:rsidRPr="001E47AD">
        <w:rPr>
          <w:rFonts w:hint="eastAsia"/>
          <w:sz w:val="22"/>
          <w:szCs w:val="22"/>
          <w:lang w:eastAsia="zh-CN"/>
        </w:rPr>
        <w:t xml:space="preserve"> </w:t>
      </w:r>
      <m:oMath>
        <m:r>
          <m:rPr>
            <m:sty m:val="p"/>
          </m:rPr>
          <w:rPr>
            <w:rFonts w:ascii="Cambria Math" w:hAnsi="Cambria Math"/>
            <w:sz w:val="22"/>
            <w:szCs w:val="22"/>
          </w:rPr>
          <m:t>LN(PRODUCT_AVAIL_LATE</m:t>
        </m:r>
        <m:r>
          <m:rPr>
            <m:lit/>
            <m:sty m:val="p"/>
          </m:rPr>
          <w:rPr>
            <w:rFonts w:ascii="Cambria Math" w:hAnsi="Cambria Math"/>
            <w:sz w:val="22"/>
            <w:szCs w:val="22"/>
          </w:rPr>
          <m:t>_</m:t>
        </m:r>
        <m:r>
          <m:rPr>
            <m:sty m:val="p"/>
          </m:rPr>
          <w:rPr>
            <w:rFonts w:ascii="Cambria Math" w:hAnsi="Cambria Math"/>
            <w:sz w:val="22"/>
            <w:szCs w:val="22"/>
          </w:rPr>
          <m:t>POST)×1000</m:t>
        </m:r>
      </m:oMath>
      <w:r w:rsidR="00275EDB" w:rsidRPr="001E47AD">
        <w:rPr>
          <w:sz w:val="22"/>
          <w:szCs w:val="22"/>
        </w:rPr>
        <w:t xml:space="preserve">. </w:t>
      </w:r>
      <w:r w:rsidR="00F706AB" w:rsidRPr="001E47AD">
        <w:rPr>
          <w:sz w:val="22"/>
          <w:szCs w:val="22"/>
        </w:rPr>
        <w:t>Table A1 in Appendix I presents the correlation matrix after data transformation</w:t>
      </w:r>
      <w:r w:rsidR="00C34C66" w:rsidRPr="001E47AD">
        <w:rPr>
          <w:sz w:val="22"/>
          <w:szCs w:val="22"/>
        </w:rPr>
        <w:t>s</w:t>
      </w:r>
      <w:r w:rsidR="00C616E3" w:rsidRPr="001E47AD">
        <w:rPr>
          <w:rFonts w:hint="eastAsia"/>
          <w:sz w:val="22"/>
          <w:szCs w:val="22"/>
          <w:lang w:eastAsia="zh-CN"/>
        </w:rPr>
        <w:t xml:space="preserve">. </w:t>
      </w:r>
    </w:p>
    <w:p w14:paraId="4AD3CD6B" w14:textId="2C427E95" w:rsidR="00654570" w:rsidRPr="001E47AD" w:rsidRDefault="00A40CC8" w:rsidP="00F92D31">
      <w:pPr>
        <w:spacing w:before="120" w:after="120" w:line="360" w:lineRule="auto"/>
        <w:contextualSpacing/>
        <w:rPr>
          <w:sz w:val="22"/>
          <w:szCs w:val="22"/>
        </w:rPr>
      </w:pPr>
      <w:bookmarkStart w:id="34" w:name="_Ref16895708"/>
      <w:bookmarkStart w:id="35" w:name="_Toc520380514"/>
      <w:r w:rsidRPr="001E47AD">
        <w:rPr>
          <w:sz w:val="22"/>
          <w:szCs w:val="22"/>
        </w:rPr>
        <w:lastRenderedPageBreak/>
        <w:t xml:space="preserve">Table </w:t>
      </w:r>
      <w:r w:rsidRPr="001E47AD">
        <w:rPr>
          <w:b/>
          <w:sz w:val="22"/>
          <w:szCs w:val="22"/>
        </w:rPr>
        <w:fldChar w:fldCharType="begin"/>
      </w:r>
      <w:r w:rsidRPr="001E47AD">
        <w:rPr>
          <w:sz w:val="22"/>
          <w:szCs w:val="22"/>
        </w:rPr>
        <w:instrText xml:space="preserve"> SEQ Table \* ARABIC </w:instrText>
      </w:r>
      <w:r w:rsidRPr="001E47AD">
        <w:rPr>
          <w:b/>
          <w:sz w:val="22"/>
          <w:szCs w:val="22"/>
        </w:rPr>
        <w:fldChar w:fldCharType="separate"/>
      </w:r>
      <w:r w:rsidR="009E3444" w:rsidRPr="001E47AD">
        <w:rPr>
          <w:noProof/>
          <w:sz w:val="22"/>
          <w:szCs w:val="22"/>
        </w:rPr>
        <w:t>2</w:t>
      </w:r>
      <w:r w:rsidRPr="001E47AD">
        <w:rPr>
          <w:b/>
          <w:sz w:val="22"/>
          <w:szCs w:val="22"/>
        </w:rPr>
        <w:fldChar w:fldCharType="end"/>
      </w:r>
      <w:bookmarkEnd w:id="34"/>
      <w:r w:rsidRPr="001E47AD">
        <w:rPr>
          <w:sz w:val="22"/>
          <w:szCs w:val="22"/>
        </w:rPr>
        <w:t xml:space="preserve">: </w:t>
      </w:r>
      <w:r w:rsidR="00654570" w:rsidRPr="001E47AD">
        <w:rPr>
          <w:sz w:val="22"/>
          <w:szCs w:val="22"/>
        </w:rPr>
        <w:t>Data Description</w:t>
      </w:r>
      <w:bookmarkEnd w:id="35"/>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813"/>
        <w:gridCol w:w="952"/>
        <w:gridCol w:w="1055"/>
        <w:gridCol w:w="1025"/>
        <w:gridCol w:w="961"/>
      </w:tblGrid>
      <w:tr w:rsidR="00393153" w:rsidRPr="001E47AD" w14:paraId="6A4B6964" w14:textId="77777777" w:rsidTr="00F67185">
        <w:tc>
          <w:tcPr>
            <w:tcW w:w="1446" w:type="pct"/>
            <w:tcBorders>
              <w:top w:val="single" w:sz="4" w:space="0" w:color="auto"/>
              <w:left w:val="nil"/>
              <w:bottom w:val="single" w:sz="4" w:space="0" w:color="auto"/>
              <w:right w:val="nil"/>
            </w:tcBorders>
            <w:shd w:val="clear" w:color="auto" w:fill="auto"/>
            <w:vAlign w:val="center"/>
          </w:tcPr>
          <w:p w14:paraId="3A7C5D64" w14:textId="77777777" w:rsidR="008032CD" w:rsidRPr="001E47AD" w:rsidRDefault="008032CD" w:rsidP="0082394A">
            <w:pPr>
              <w:contextualSpacing/>
              <w:jc w:val="center"/>
              <w:rPr>
                <w:rFonts w:ascii="Times New Roman" w:hAnsi="Times New Roman" w:cs="Times New Roman"/>
                <w:sz w:val="16"/>
                <w:szCs w:val="16"/>
              </w:rPr>
            </w:pPr>
            <w:r w:rsidRPr="001E47AD">
              <w:rPr>
                <w:rFonts w:ascii="Times New Roman" w:hAnsi="Times New Roman" w:cs="Times New Roman"/>
                <w:sz w:val="16"/>
                <w:szCs w:val="16"/>
              </w:rPr>
              <w:t>Variable</w:t>
            </w:r>
          </w:p>
        </w:tc>
        <w:tc>
          <w:tcPr>
            <w:tcW w:w="1469" w:type="pct"/>
            <w:tcBorders>
              <w:top w:val="single" w:sz="4" w:space="0" w:color="auto"/>
              <w:left w:val="nil"/>
              <w:bottom w:val="single" w:sz="4" w:space="0" w:color="auto"/>
              <w:right w:val="nil"/>
            </w:tcBorders>
            <w:shd w:val="clear" w:color="auto" w:fill="auto"/>
            <w:vAlign w:val="center"/>
          </w:tcPr>
          <w:p w14:paraId="5017A5E9" w14:textId="77777777" w:rsidR="008032CD" w:rsidRPr="001E47AD" w:rsidRDefault="008032CD" w:rsidP="0082394A">
            <w:pPr>
              <w:contextualSpacing/>
              <w:jc w:val="center"/>
              <w:rPr>
                <w:rFonts w:ascii="Times New Roman" w:hAnsi="Times New Roman" w:cs="Times New Roman"/>
                <w:sz w:val="16"/>
                <w:szCs w:val="16"/>
              </w:rPr>
            </w:pPr>
            <w:r w:rsidRPr="001E47AD">
              <w:rPr>
                <w:rFonts w:ascii="Times New Roman" w:hAnsi="Times New Roman" w:cs="Times New Roman"/>
                <w:sz w:val="16"/>
                <w:szCs w:val="16"/>
              </w:rPr>
              <w:t>Unit</w:t>
            </w:r>
          </w:p>
        </w:tc>
        <w:tc>
          <w:tcPr>
            <w:tcW w:w="497" w:type="pct"/>
            <w:tcBorders>
              <w:top w:val="single" w:sz="4" w:space="0" w:color="auto"/>
              <w:left w:val="nil"/>
              <w:bottom w:val="single" w:sz="4" w:space="0" w:color="auto"/>
              <w:right w:val="nil"/>
            </w:tcBorders>
            <w:shd w:val="clear" w:color="auto" w:fill="auto"/>
            <w:vAlign w:val="center"/>
          </w:tcPr>
          <w:p w14:paraId="3644BAA8" w14:textId="77777777" w:rsidR="008032CD" w:rsidRPr="001E47AD" w:rsidRDefault="008032CD" w:rsidP="008239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Mean</w:t>
            </w:r>
          </w:p>
        </w:tc>
        <w:tc>
          <w:tcPr>
            <w:tcW w:w="551" w:type="pct"/>
            <w:tcBorders>
              <w:top w:val="single" w:sz="4" w:space="0" w:color="auto"/>
              <w:left w:val="nil"/>
              <w:bottom w:val="single" w:sz="4" w:space="0" w:color="auto"/>
              <w:right w:val="nil"/>
            </w:tcBorders>
            <w:shd w:val="clear" w:color="auto" w:fill="auto"/>
            <w:vAlign w:val="center"/>
          </w:tcPr>
          <w:p w14:paraId="05B97ECD" w14:textId="77777777" w:rsidR="008032CD" w:rsidRPr="001E47AD" w:rsidRDefault="008032CD" w:rsidP="0082394A">
            <w:pPr>
              <w:contextualSpacing/>
              <w:jc w:val="center"/>
              <w:rPr>
                <w:rFonts w:ascii="Times New Roman" w:hAnsi="Times New Roman" w:cs="Times New Roman"/>
                <w:sz w:val="16"/>
                <w:szCs w:val="16"/>
              </w:rPr>
            </w:pPr>
            <w:r w:rsidRPr="001E47AD">
              <w:rPr>
                <w:rFonts w:ascii="Times New Roman" w:hAnsi="Times New Roman" w:cs="Times New Roman"/>
                <w:sz w:val="16"/>
                <w:szCs w:val="16"/>
              </w:rPr>
              <w:t>Std. Dev.</w:t>
            </w:r>
          </w:p>
        </w:tc>
        <w:tc>
          <w:tcPr>
            <w:tcW w:w="535" w:type="pct"/>
            <w:tcBorders>
              <w:top w:val="single" w:sz="4" w:space="0" w:color="auto"/>
              <w:left w:val="nil"/>
              <w:bottom w:val="single" w:sz="4" w:space="0" w:color="auto"/>
              <w:right w:val="nil"/>
            </w:tcBorders>
            <w:shd w:val="clear" w:color="auto" w:fill="auto"/>
            <w:vAlign w:val="center"/>
          </w:tcPr>
          <w:p w14:paraId="384221B1" w14:textId="77777777" w:rsidR="008032CD" w:rsidRPr="001E47AD" w:rsidRDefault="008032CD" w:rsidP="008239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Min</w:t>
            </w:r>
          </w:p>
        </w:tc>
        <w:tc>
          <w:tcPr>
            <w:tcW w:w="502" w:type="pct"/>
            <w:tcBorders>
              <w:top w:val="single" w:sz="4" w:space="0" w:color="auto"/>
              <w:left w:val="nil"/>
              <w:bottom w:val="single" w:sz="4" w:space="0" w:color="auto"/>
              <w:right w:val="nil"/>
            </w:tcBorders>
            <w:shd w:val="clear" w:color="auto" w:fill="auto"/>
            <w:vAlign w:val="center"/>
          </w:tcPr>
          <w:p w14:paraId="5C134503" w14:textId="77777777" w:rsidR="008032CD" w:rsidRPr="001E47AD" w:rsidRDefault="008032CD" w:rsidP="008239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Max</w:t>
            </w:r>
          </w:p>
        </w:tc>
      </w:tr>
      <w:tr w:rsidR="00393153" w:rsidRPr="001E47AD" w14:paraId="4579AD2A" w14:textId="77777777" w:rsidTr="00F67185">
        <w:tc>
          <w:tcPr>
            <w:tcW w:w="1446" w:type="pct"/>
            <w:tcBorders>
              <w:top w:val="single" w:sz="4" w:space="0" w:color="auto"/>
              <w:left w:val="nil"/>
              <w:bottom w:val="nil"/>
              <w:right w:val="nil"/>
            </w:tcBorders>
            <w:shd w:val="clear" w:color="auto" w:fill="auto"/>
            <w:vAlign w:val="center"/>
          </w:tcPr>
          <w:p w14:paraId="6A171158" w14:textId="369ACF67" w:rsidR="008032CD" w:rsidRPr="001E47AD" w:rsidRDefault="008032CD" w:rsidP="0082394A">
            <w:pPr>
              <w:contextualSpacing/>
              <w:rPr>
                <w:rFonts w:ascii="Times New Roman" w:hAnsi="Times New Roman" w:cs="Times New Roman"/>
                <w:sz w:val="16"/>
                <w:szCs w:val="16"/>
              </w:rPr>
            </w:pPr>
            <w:r w:rsidRPr="001E47AD">
              <w:rPr>
                <w:rFonts w:ascii="Times New Roman" w:hAnsi="Times New Roman" w:cs="Times New Roman"/>
                <w:sz w:val="16"/>
                <w:szCs w:val="16"/>
              </w:rPr>
              <w:t>Dependent Variable</w:t>
            </w:r>
            <w:r w:rsidR="00124028" w:rsidRPr="001E47AD">
              <w:rPr>
                <w:rFonts w:ascii="Times New Roman" w:hAnsi="Times New Roman" w:cs="Times New Roman"/>
                <w:sz w:val="16"/>
                <w:szCs w:val="16"/>
              </w:rPr>
              <w:t>s</w:t>
            </w:r>
          </w:p>
        </w:tc>
        <w:tc>
          <w:tcPr>
            <w:tcW w:w="1469" w:type="pct"/>
            <w:tcBorders>
              <w:top w:val="single" w:sz="4" w:space="0" w:color="auto"/>
              <w:left w:val="nil"/>
              <w:bottom w:val="nil"/>
              <w:right w:val="nil"/>
            </w:tcBorders>
            <w:shd w:val="clear" w:color="auto" w:fill="auto"/>
            <w:vAlign w:val="center"/>
          </w:tcPr>
          <w:p w14:paraId="12014C04" w14:textId="77777777" w:rsidR="008032CD" w:rsidRPr="001E47AD" w:rsidRDefault="008032CD" w:rsidP="0082394A">
            <w:pPr>
              <w:contextualSpacing/>
              <w:rPr>
                <w:rFonts w:ascii="Times New Roman" w:hAnsi="Times New Roman" w:cs="Times New Roman"/>
                <w:sz w:val="16"/>
                <w:szCs w:val="16"/>
              </w:rPr>
            </w:pPr>
          </w:p>
        </w:tc>
        <w:tc>
          <w:tcPr>
            <w:tcW w:w="497" w:type="pct"/>
            <w:tcBorders>
              <w:top w:val="single" w:sz="4" w:space="0" w:color="auto"/>
              <w:left w:val="nil"/>
              <w:bottom w:val="nil"/>
              <w:right w:val="nil"/>
            </w:tcBorders>
            <w:shd w:val="clear" w:color="auto" w:fill="auto"/>
            <w:vAlign w:val="bottom"/>
          </w:tcPr>
          <w:p w14:paraId="56CDF045" w14:textId="77777777" w:rsidR="008032CD" w:rsidRPr="001E47AD" w:rsidRDefault="008032CD" w:rsidP="0082394A">
            <w:pPr>
              <w:contextualSpacing/>
              <w:jc w:val="right"/>
              <w:rPr>
                <w:rFonts w:ascii="Times New Roman" w:hAnsi="Times New Roman" w:cs="Times New Roman"/>
                <w:sz w:val="16"/>
                <w:szCs w:val="16"/>
              </w:rPr>
            </w:pPr>
          </w:p>
        </w:tc>
        <w:tc>
          <w:tcPr>
            <w:tcW w:w="551" w:type="pct"/>
            <w:tcBorders>
              <w:top w:val="single" w:sz="4" w:space="0" w:color="auto"/>
              <w:left w:val="nil"/>
              <w:bottom w:val="nil"/>
              <w:right w:val="nil"/>
            </w:tcBorders>
            <w:shd w:val="clear" w:color="auto" w:fill="auto"/>
            <w:vAlign w:val="bottom"/>
          </w:tcPr>
          <w:p w14:paraId="35877776" w14:textId="77777777" w:rsidR="008032CD" w:rsidRPr="001E47AD" w:rsidRDefault="008032CD" w:rsidP="0082394A">
            <w:pPr>
              <w:contextualSpacing/>
              <w:jc w:val="right"/>
              <w:rPr>
                <w:rFonts w:ascii="Times New Roman" w:hAnsi="Times New Roman" w:cs="Times New Roman"/>
                <w:sz w:val="16"/>
                <w:szCs w:val="16"/>
              </w:rPr>
            </w:pPr>
          </w:p>
        </w:tc>
        <w:tc>
          <w:tcPr>
            <w:tcW w:w="535" w:type="pct"/>
            <w:tcBorders>
              <w:top w:val="single" w:sz="4" w:space="0" w:color="auto"/>
              <w:left w:val="nil"/>
              <w:bottom w:val="nil"/>
              <w:right w:val="nil"/>
            </w:tcBorders>
            <w:shd w:val="clear" w:color="auto" w:fill="auto"/>
            <w:vAlign w:val="bottom"/>
          </w:tcPr>
          <w:p w14:paraId="28FEAF07" w14:textId="77777777" w:rsidR="008032CD" w:rsidRPr="001E47AD" w:rsidRDefault="008032CD" w:rsidP="0082394A">
            <w:pPr>
              <w:contextualSpacing/>
              <w:jc w:val="right"/>
              <w:rPr>
                <w:rFonts w:ascii="Times New Roman" w:hAnsi="Times New Roman" w:cs="Times New Roman"/>
                <w:sz w:val="16"/>
                <w:szCs w:val="16"/>
              </w:rPr>
            </w:pPr>
          </w:p>
        </w:tc>
        <w:tc>
          <w:tcPr>
            <w:tcW w:w="502" w:type="pct"/>
            <w:tcBorders>
              <w:top w:val="single" w:sz="4" w:space="0" w:color="auto"/>
              <w:left w:val="nil"/>
              <w:bottom w:val="nil"/>
              <w:right w:val="nil"/>
            </w:tcBorders>
            <w:shd w:val="clear" w:color="auto" w:fill="auto"/>
            <w:vAlign w:val="bottom"/>
          </w:tcPr>
          <w:p w14:paraId="4D8D6C1F" w14:textId="77777777" w:rsidR="008032CD" w:rsidRPr="001E47AD" w:rsidRDefault="008032CD" w:rsidP="0082394A">
            <w:pPr>
              <w:contextualSpacing/>
              <w:jc w:val="right"/>
              <w:rPr>
                <w:rFonts w:ascii="Times New Roman" w:hAnsi="Times New Roman" w:cs="Times New Roman"/>
                <w:sz w:val="16"/>
                <w:szCs w:val="16"/>
              </w:rPr>
            </w:pPr>
          </w:p>
        </w:tc>
      </w:tr>
      <w:tr w:rsidR="00393153" w:rsidRPr="001E47AD" w14:paraId="3CC7B6A0" w14:textId="77777777" w:rsidTr="00F67185">
        <w:tc>
          <w:tcPr>
            <w:tcW w:w="5000" w:type="pct"/>
            <w:gridSpan w:val="6"/>
            <w:tcBorders>
              <w:top w:val="nil"/>
              <w:left w:val="nil"/>
              <w:bottom w:val="nil"/>
              <w:right w:val="nil"/>
            </w:tcBorders>
            <w:shd w:val="clear" w:color="auto" w:fill="auto"/>
            <w:vAlign w:val="center"/>
          </w:tcPr>
          <w:p w14:paraId="67F4FE2B" w14:textId="77777777" w:rsidR="008032CD" w:rsidRPr="001E47AD" w:rsidRDefault="008032CD" w:rsidP="0082394A">
            <w:pPr>
              <w:contextualSpacing/>
              <w:rPr>
                <w:rFonts w:ascii="Times New Roman" w:hAnsi="Times New Roman" w:cs="Times New Roman"/>
                <w:sz w:val="16"/>
                <w:szCs w:val="16"/>
                <w:u w:val="single"/>
              </w:rPr>
            </w:pPr>
            <w:r w:rsidRPr="001E47AD">
              <w:rPr>
                <w:rFonts w:ascii="Times New Roman" w:eastAsia="宋体" w:hAnsi="Times New Roman" w:cs="Times New Roman"/>
                <w:sz w:val="16"/>
                <w:szCs w:val="16"/>
                <w:u w:val="single"/>
              </w:rPr>
              <w:t>Consumer Stockpiling Propensity</w:t>
            </w:r>
          </w:p>
        </w:tc>
      </w:tr>
      <w:tr w:rsidR="00393153" w:rsidRPr="001E47AD" w14:paraId="7B918FF1" w14:textId="77777777" w:rsidTr="00F67185">
        <w:tc>
          <w:tcPr>
            <w:tcW w:w="1446" w:type="pct"/>
            <w:tcBorders>
              <w:top w:val="nil"/>
              <w:left w:val="nil"/>
              <w:bottom w:val="nil"/>
              <w:right w:val="nil"/>
            </w:tcBorders>
            <w:shd w:val="clear" w:color="auto" w:fill="auto"/>
            <w:vAlign w:val="center"/>
          </w:tcPr>
          <w:p w14:paraId="54B5ED64" w14:textId="77777777" w:rsidR="008032CD" w:rsidRPr="001E47AD" w:rsidRDefault="00895142"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STOCK_PROP_EARLY</m:t>
                </m:r>
              </m:oMath>
            </m:oMathPara>
          </w:p>
        </w:tc>
        <w:tc>
          <w:tcPr>
            <w:tcW w:w="1469" w:type="pct"/>
            <w:tcBorders>
              <w:top w:val="nil"/>
              <w:left w:val="nil"/>
              <w:bottom w:val="nil"/>
              <w:right w:val="nil"/>
            </w:tcBorders>
            <w:shd w:val="clear" w:color="auto" w:fill="auto"/>
            <w:vAlign w:val="center"/>
          </w:tcPr>
          <w:p w14:paraId="62610A4A" w14:textId="77777777" w:rsidR="008032CD" w:rsidRPr="001E47AD" w:rsidRDefault="008032CD" w:rsidP="0082394A">
            <w:pPr>
              <w:contextualSpacing/>
              <w:rPr>
                <w:rFonts w:ascii="Times New Roman" w:hAnsi="Times New Roman" w:cs="Times New Roman"/>
                <w:sz w:val="16"/>
                <w:szCs w:val="16"/>
              </w:rPr>
            </w:pPr>
            <w:r w:rsidRPr="001E47AD">
              <w:rPr>
                <w:rFonts w:ascii="Times New Roman" w:hAnsi="Times New Roman" w:cs="Times New Roman"/>
                <w:sz w:val="16"/>
                <w:szCs w:val="16"/>
              </w:rPr>
              <w:t>Ratio</w:t>
            </w:r>
          </w:p>
        </w:tc>
        <w:tc>
          <w:tcPr>
            <w:tcW w:w="497" w:type="pct"/>
            <w:tcBorders>
              <w:top w:val="nil"/>
              <w:left w:val="nil"/>
              <w:bottom w:val="nil"/>
              <w:right w:val="nil"/>
            </w:tcBorders>
            <w:shd w:val="clear" w:color="auto" w:fill="auto"/>
            <w:vAlign w:val="bottom"/>
          </w:tcPr>
          <w:p w14:paraId="3FD4A77A" w14:textId="77777777" w:rsidR="008032CD" w:rsidRPr="001E47AD" w:rsidRDefault="008032CD"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1.585</w:t>
            </w:r>
          </w:p>
        </w:tc>
        <w:tc>
          <w:tcPr>
            <w:tcW w:w="551" w:type="pct"/>
            <w:tcBorders>
              <w:top w:val="nil"/>
              <w:left w:val="nil"/>
              <w:bottom w:val="nil"/>
              <w:right w:val="nil"/>
            </w:tcBorders>
            <w:shd w:val="clear" w:color="auto" w:fill="auto"/>
            <w:vAlign w:val="bottom"/>
          </w:tcPr>
          <w:p w14:paraId="5C29D10E" w14:textId="77777777" w:rsidR="008032CD" w:rsidRPr="001E47AD" w:rsidRDefault="008032CD"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0.914</w:t>
            </w:r>
          </w:p>
        </w:tc>
        <w:tc>
          <w:tcPr>
            <w:tcW w:w="535" w:type="pct"/>
            <w:tcBorders>
              <w:top w:val="nil"/>
              <w:left w:val="nil"/>
              <w:bottom w:val="nil"/>
              <w:right w:val="nil"/>
            </w:tcBorders>
            <w:shd w:val="clear" w:color="auto" w:fill="auto"/>
            <w:vAlign w:val="bottom"/>
          </w:tcPr>
          <w:p w14:paraId="4B45E8D7" w14:textId="77777777" w:rsidR="008032CD" w:rsidRPr="001E47AD" w:rsidRDefault="008032CD"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0.188</w:t>
            </w:r>
          </w:p>
        </w:tc>
        <w:tc>
          <w:tcPr>
            <w:tcW w:w="502" w:type="pct"/>
            <w:tcBorders>
              <w:top w:val="nil"/>
              <w:left w:val="nil"/>
              <w:bottom w:val="nil"/>
              <w:right w:val="nil"/>
            </w:tcBorders>
            <w:shd w:val="clear" w:color="auto" w:fill="auto"/>
            <w:vAlign w:val="bottom"/>
          </w:tcPr>
          <w:p w14:paraId="54026961" w14:textId="77777777" w:rsidR="008032CD" w:rsidRPr="001E47AD" w:rsidRDefault="008032CD"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5.728</w:t>
            </w:r>
          </w:p>
        </w:tc>
      </w:tr>
      <w:tr w:rsidR="00393153" w:rsidRPr="001E47AD" w14:paraId="725C972B" w14:textId="77777777" w:rsidTr="00F67185">
        <w:tc>
          <w:tcPr>
            <w:tcW w:w="5000" w:type="pct"/>
            <w:gridSpan w:val="6"/>
            <w:tcBorders>
              <w:top w:val="nil"/>
              <w:left w:val="nil"/>
              <w:bottom w:val="nil"/>
              <w:right w:val="nil"/>
            </w:tcBorders>
            <w:shd w:val="clear" w:color="auto" w:fill="auto"/>
            <w:vAlign w:val="center"/>
          </w:tcPr>
          <w:p w14:paraId="1A4C0B5C" w14:textId="77777777" w:rsidR="008032CD" w:rsidRPr="001E47AD" w:rsidRDefault="008032CD" w:rsidP="0082394A">
            <w:pPr>
              <w:contextualSpacing/>
              <w:rPr>
                <w:rFonts w:ascii="Times New Roman" w:hAnsi="Times New Roman" w:cs="Times New Roman"/>
                <w:sz w:val="16"/>
                <w:szCs w:val="16"/>
                <w:u w:val="single"/>
              </w:rPr>
            </w:pPr>
            <w:r w:rsidRPr="001E47AD">
              <w:rPr>
                <w:rFonts w:ascii="Times New Roman" w:eastAsia="宋体" w:hAnsi="Times New Roman" w:cs="Times New Roman"/>
                <w:sz w:val="16"/>
                <w:szCs w:val="16"/>
                <w:u w:val="single"/>
              </w:rPr>
              <w:t>In-Store Product Availability</w:t>
            </w:r>
          </w:p>
        </w:tc>
      </w:tr>
      <w:tr w:rsidR="00393153" w:rsidRPr="001E47AD" w14:paraId="59D8B718" w14:textId="77777777" w:rsidTr="00F67185">
        <w:tc>
          <w:tcPr>
            <w:tcW w:w="1446" w:type="pct"/>
            <w:tcBorders>
              <w:top w:val="nil"/>
              <w:left w:val="nil"/>
              <w:bottom w:val="nil"/>
              <w:right w:val="nil"/>
            </w:tcBorders>
            <w:shd w:val="clear" w:color="auto" w:fill="auto"/>
            <w:vAlign w:val="center"/>
          </w:tcPr>
          <w:p w14:paraId="65204926"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PRODUCT_AVAIL_LATE</m:t>
                </m:r>
              </m:oMath>
            </m:oMathPara>
          </w:p>
        </w:tc>
        <w:tc>
          <w:tcPr>
            <w:tcW w:w="1469" w:type="pct"/>
            <w:tcBorders>
              <w:top w:val="nil"/>
              <w:left w:val="nil"/>
              <w:bottom w:val="nil"/>
              <w:right w:val="nil"/>
            </w:tcBorders>
            <w:shd w:val="clear" w:color="auto" w:fill="auto"/>
            <w:vAlign w:val="center"/>
          </w:tcPr>
          <w:p w14:paraId="22A332D0"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Ratio</w:t>
            </w:r>
          </w:p>
        </w:tc>
        <w:tc>
          <w:tcPr>
            <w:tcW w:w="497" w:type="pct"/>
            <w:tcBorders>
              <w:top w:val="nil"/>
              <w:left w:val="nil"/>
              <w:bottom w:val="nil"/>
              <w:right w:val="nil"/>
            </w:tcBorders>
            <w:shd w:val="clear" w:color="auto" w:fill="auto"/>
            <w:vAlign w:val="bottom"/>
          </w:tcPr>
          <w:p w14:paraId="69E120A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0.983</w:t>
            </w:r>
          </w:p>
        </w:tc>
        <w:tc>
          <w:tcPr>
            <w:tcW w:w="551" w:type="pct"/>
            <w:tcBorders>
              <w:top w:val="nil"/>
              <w:left w:val="nil"/>
              <w:bottom w:val="nil"/>
              <w:right w:val="nil"/>
            </w:tcBorders>
            <w:shd w:val="clear" w:color="auto" w:fill="auto"/>
            <w:vAlign w:val="bottom"/>
          </w:tcPr>
          <w:p w14:paraId="7CAE0D9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0.135</w:t>
            </w:r>
          </w:p>
        </w:tc>
        <w:tc>
          <w:tcPr>
            <w:tcW w:w="535" w:type="pct"/>
            <w:tcBorders>
              <w:top w:val="nil"/>
              <w:left w:val="nil"/>
              <w:bottom w:val="nil"/>
              <w:right w:val="nil"/>
            </w:tcBorders>
            <w:shd w:val="clear" w:color="auto" w:fill="auto"/>
            <w:vAlign w:val="bottom"/>
          </w:tcPr>
          <w:p w14:paraId="3C4B5349"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0.057</w:t>
            </w:r>
          </w:p>
        </w:tc>
        <w:tc>
          <w:tcPr>
            <w:tcW w:w="502" w:type="pct"/>
            <w:tcBorders>
              <w:top w:val="nil"/>
              <w:left w:val="nil"/>
              <w:bottom w:val="nil"/>
              <w:right w:val="nil"/>
            </w:tcBorders>
            <w:shd w:val="clear" w:color="auto" w:fill="auto"/>
            <w:vAlign w:val="bottom"/>
          </w:tcPr>
          <w:p w14:paraId="30C6E8A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3.692</w:t>
            </w:r>
          </w:p>
        </w:tc>
      </w:tr>
      <w:tr w:rsidR="00393153" w:rsidRPr="001E47AD" w14:paraId="6B44C8D4" w14:textId="77777777" w:rsidTr="00F67185">
        <w:tc>
          <w:tcPr>
            <w:tcW w:w="1446" w:type="pct"/>
            <w:tcBorders>
              <w:top w:val="nil"/>
              <w:left w:val="nil"/>
              <w:bottom w:val="nil"/>
              <w:right w:val="nil"/>
            </w:tcBorders>
            <w:shd w:val="clear" w:color="auto" w:fill="auto"/>
            <w:vAlign w:val="center"/>
          </w:tcPr>
          <w:p w14:paraId="69F4FECA"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PRODUCT_AVAIL_POST_W1</m:t>
                </m:r>
              </m:oMath>
            </m:oMathPara>
          </w:p>
        </w:tc>
        <w:tc>
          <w:tcPr>
            <w:tcW w:w="1469" w:type="pct"/>
            <w:tcBorders>
              <w:top w:val="nil"/>
              <w:left w:val="nil"/>
              <w:bottom w:val="nil"/>
              <w:right w:val="nil"/>
            </w:tcBorders>
            <w:shd w:val="clear" w:color="auto" w:fill="auto"/>
            <w:vAlign w:val="center"/>
          </w:tcPr>
          <w:p w14:paraId="76DF7AE0"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Ratio</w:t>
            </w:r>
          </w:p>
        </w:tc>
        <w:tc>
          <w:tcPr>
            <w:tcW w:w="497" w:type="pct"/>
            <w:tcBorders>
              <w:top w:val="nil"/>
              <w:left w:val="nil"/>
              <w:bottom w:val="nil"/>
              <w:right w:val="nil"/>
            </w:tcBorders>
            <w:shd w:val="clear" w:color="auto" w:fill="auto"/>
            <w:vAlign w:val="bottom"/>
          </w:tcPr>
          <w:p w14:paraId="7679C80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0.949</w:t>
            </w:r>
          </w:p>
        </w:tc>
        <w:tc>
          <w:tcPr>
            <w:tcW w:w="551" w:type="pct"/>
            <w:tcBorders>
              <w:top w:val="nil"/>
              <w:left w:val="nil"/>
              <w:bottom w:val="nil"/>
              <w:right w:val="nil"/>
            </w:tcBorders>
            <w:shd w:val="clear" w:color="auto" w:fill="auto"/>
            <w:vAlign w:val="bottom"/>
          </w:tcPr>
          <w:p w14:paraId="38FAA61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0.125</w:t>
            </w:r>
          </w:p>
        </w:tc>
        <w:tc>
          <w:tcPr>
            <w:tcW w:w="535" w:type="pct"/>
            <w:tcBorders>
              <w:top w:val="nil"/>
              <w:left w:val="nil"/>
              <w:bottom w:val="nil"/>
              <w:right w:val="nil"/>
            </w:tcBorders>
            <w:shd w:val="clear" w:color="auto" w:fill="auto"/>
            <w:vAlign w:val="bottom"/>
          </w:tcPr>
          <w:p w14:paraId="02C3284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0.024</w:t>
            </w:r>
          </w:p>
        </w:tc>
        <w:tc>
          <w:tcPr>
            <w:tcW w:w="502" w:type="pct"/>
            <w:tcBorders>
              <w:top w:val="nil"/>
              <w:left w:val="nil"/>
              <w:bottom w:val="nil"/>
              <w:right w:val="nil"/>
            </w:tcBorders>
            <w:shd w:val="clear" w:color="auto" w:fill="auto"/>
            <w:vAlign w:val="bottom"/>
          </w:tcPr>
          <w:p w14:paraId="13EC4CA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4.000</w:t>
            </w:r>
          </w:p>
        </w:tc>
      </w:tr>
      <w:tr w:rsidR="00393153" w:rsidRPr="001E47AD" w14:paraId="708266CA" w14:textId="77777777" w:rsidTr="00F67185">
        <w:tc>
          <w:tcPr>
            <w:tcW w:w="1446" w:type="pct"/>
            <w:tcBorders>
              <w:top w:val="nil"/>
              <w:left w:val="nil"/>
              <w:bottom w:val="nil"/>
              <w:right w:val="nil"/>
            </w:tcBorders>
            <w:shd w:val="clear" w:color="auto" w:fill="auto"/>
            <w:vAlign w:val="center"/>
          </w:tcPr>
          <w:p w14:paraId="48D96606"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PRODUCT_AVAIL_POST_W2</m:t>
                </m:r>
              </m:oMath>
            </m:oMathPara>
          </w:p>
        </w:tc>
        <w:tc>
          <w:tcPr>
            <w:tcW w:w="1469" w:type="pct"/>
            <w:tcBorders>
              <w:top w:val="nil"/>
              <w:left w:val="nil"/>
              <w:bottom w:val="nil"/>
              <w:right w:val="nil"/>
            </w:tcBorders>
            <w:shd w:val="clear" w:color="auto" w:fill="auto"/>
            <w:vAlign w:val="center"/>
          </w:tcPr>
          <w:p w14:paraId="572BDB81"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Ratio</w:t>
            </w:r>
          </w:p>
        </w:tc>
        <w:tc>
          <w:tcPr>
            <w:tcW w:w="497" w:type="pct"/>
            <w:tcBorders>
              <w:top w:val="nil"/>
              <w:left w:val="nil"/>
              <w:bottom w:val="nil"/>
              <w:right w:val="nil"/>
            </w:tcBorders>
            <w:shd w:val="clear" w:color="auto" w:fill="auto"/>
            <w:vAlign w:val="bottom"/>
          </w:tcPr>
          <w:p w14:paraId="4890D036"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0.956</w:t>
            </w:r>
          </w:p>
        </w:tc>
        <w:tc>
          <w:tcPr>
            <w:tcW w:w="551" w:type="pct"/>
            <w:tcBorders>
              <w:top w:val="nil"/>
              <w:left w:val="nil"/>
              <w:bottom w:val="nil"/>
              <w:right w:val="nil"/>
            </w:tcBorders>
            <w:shd w:val="clear" w:color="auto" w:fill="auto"/>
            <w:vAlign w:val="bottom"/>
          </w:tcPr>
          <w:p w14:paraId="7690741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0.124</w:t>
            </w:r>
          </w:p>
        </w:tc>
        <w:tc>
          <w:tcPr>
            <w:tcW w:w="535" w:type="pct"/>
            <w:tcBorders>
              <w:top w:val="nil"/>
              <w:left w:val="nil"/>
              <w:bottom w:val="nil"/>
              <w:right w:val="nil"/>
            </w:tcBorders>
            <w:shd w:val="clear" w:color="auto" w:fill="auto"/>
            <w:vAlign w:val="bottom"/>
          </w:tcPr>
          <w:p w14:paraId="1EC38E3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0.024</w:t>
            </w:r>
          </w:p>
        </w:tc>
        <w:tc>
          <w:tcPr>
            <w:tcW w:w="502" w:type="pct"/>
            <w:tcBorders>
              <w:top w:val="nil"/>
              <w:left w:val="nil"/>
              <w:bottom w:val="nil"/>
              <w:right w:val="nil"/>
            </w:tcBorders>
            <w:shd w:val="clear" w:color="auto" w:fill="auto"/>
            <w:vAlign w:val="bottom"/>
          </w:tcPr>
          <w:p w14:paraId="4F32F23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4.000</w:t>
            </w:r>
          </w:p>
        </w:tc>
      </w:tr>
      <w:tr w:rsidR="00393153" w:rsidRPr="001E47AD" w14:paraId="2FF4D2A4" w14:textId="77777777" w:rsidTr="00124028">
        <w:tc>
          <w:tcPr>
            <w:tcW w:w="1446" w:type="pct"/>
            <w:tcBorders>
              <w:top w:val="nil"/>
              <w:left w:val="nil"/>
              <w:bottom w:val="nil"/>
              <w:right w:val="nil"/>
            </w:tcBorders>
            <w:shd w:val="clear" w:color="auto" w:fill="auto"/>
            <w:vAlign w:val="center"/>
          </w:tcPr>
          <w:p w14:paraId="55AE5289"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PRODUCT_AVAIL_POST_W3</m:t>
                </m:r>
              </m:oMath>
            </m:oMathPara>
          </w:p>
        </w:tc>
        <w:tc>
          <w:tcPr>
            <w:tcW w:w="1469" w:type="pct"/>
            <w:tcBorders>
              <w:top w:val="nil"/>
              <w:left w:val="nil"/>
              <w:bottom w:val="nil"/>
              <w:right w:val="nil"/>
            </w:tcBorders>
            <w:shd w:val="clear" w:color="auto" w:fill="auto"/>
            <w:vAlign w:val="center"/>
          </w:tcPr>
          <w:p w14:paraId="1BA1350D"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Ratio</w:t>
            </w:r>
          </w:p>
        </w:tc>
        <w:tc>
          <w:tcPr>
            <w:tcW w:w="497" w:type="pct"/>
            <w:tcBorders>
              <w:top w:val="nil"/>
              <w:left w:val="nil"/>
              <w:bottom w:val="nil"/>
              <w:right w:val="nil"/>
            </w:tcBorders>
            <w:shd w:val="clear" w:color="auto" w:fill="auto"/>
            <w:vAlign w:val="bottom"/>
          </w:tcPr>
          <w:p w14:paraId="127D010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0.951</w:t>
            </w:r>
          </w:p>
        </w:tc>
        <w:tc>
          <w:tcPr>
            <w:tcW w:w="551" w:type="pct"/>
            <w:tcBorders>
              <w:top w:val="nil"/>
              <w:left w:val="nil"/>
              <w:bottom w:val="nil"/>
              <w:right w:val="nil"/>
            </w:tcBorders>
            <w:shd w:val="clear" w:color="auto" w:fill="auto"/>
            <w:vAlign w:val="bottom"/>
          </w:tcPr>
          <w:p w14:paraId="609E149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0.126</w:t>
            </w:r>
          </w:p>
        </w:tc>
        <w:tc>
          <w:tcPr>
            <w:tcW w:w="535" w:type="pct"/>
            <w:tcBorders>
              <w:top w:val="nil"/>
              <w:left w:val="nil"/>
              <w:bottom w:val="nil"/>
              <w:right w:val="nil"/>
            </w:tcBorders>
            <w:shd w:val="clear" w:color="auto" w:fill="auto"/>
            <w:vAlign w:val="bottom"/>
          </w:tcPr>
          <w:p w14:paraId="2B886F32"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0.048</w:t>
            </w:r>
          </w:p>
        </w:tc>
        <w:tc>
          <w:tcPr>
            <w:tcW w:w="502" w:type="pct"/>
            <w:tcBorders>
              <w:top w:val="nil"/>
              <w:left w:val="nil"/>
              <w:bottom w:val="nil"/>
              <w:right w:val="nil"/>
            </w:tcBorders>
            <w:shd w:val="clear" w:color="auto" w:fill="auto"/>
            <w:vAlign w:val="bottom"/>
          </w:tcPr>
          <w:p w14:paraId="2C1EAD8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4.513</w:t>
            </w:r>
          </w:p>
        </w:tc>
      </w:tr>
      <w:tr w:rsidR="00393153" w:rsidRPr="001E47AD" w14:paraId="5C4CAD2E" w14:textId="77777777" w:rsidTr="00124028">
        <w:tc>
          <w:tcPr>
            <w:tcW w:w="1446" w:type="pct"/>
            <w:tcBorders>
              <w:top w:val="nil"/>
              <w:left w:val="nil"/>
              <w:bottom w:val="single" w:sz="4" w:space="0" w:color="auto"/>
              <w:right w:val="nil"/>
            </w:tcBorders>
            <w:shd w:val="clear" w:color="auto" w:fill="auto"/>
            <w:vAlign w:val="center"/>
          </w:tcPr>
          <w:p w14:paraId="5E419DF1"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PRODUCT_AVAIL_POST_W4</m:t>
                </m:r>
              </m:oMath>
            </m:oMathPara>
          </w:p>
        </w:tc>
        <w:tc>
          <w:tcPr>
            <w:tcW w:w="1469" w:type="pct"/>
            <w:tcBorders>
              <w:top w:val="nil"/>
              <w:left w:val="nil"/>
              <w:bottom w:val="single" w:sz="4" w:space="0" w:color="auto"/>
              <w:right w:val="nil"/>
            </w:tcBorders>
            <w:shd w:val="clear" w:color="auto" w:fill="auto"/>
            <w:vAlign w:val="center"/>
          </w:tcPr>
          <w:p w14:paraId="16550184"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Ratio</w:t>
            </w:r>
          </w:p>
        </w:tc>
        <w:tc>
          <w:tcPr>
            <w:tcW w:w="497" w:type="pct"/>
            <w:tcBorders>
              <w:top w:val="nil"/>
              <w:left w:val="nil"/>
              <w:bottom w:val="single" w:sz="4" w:space="0" w:color="auto"/>
              <w:right w:val="nil"/>
            </w:tcBorders>
            <w:shd w:val="clear" w:color="auto" w:fill="auto"/>
            <w:vAlign w:val="bottom"/>
          </w:tcPr>
          <w:p w14:paraId="5627EC0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0.952</w:t>
            </w:r>
          </w:p>
        </w:tc>
        <w:tc>
          <w:tcPr>
            <w:tcW w:w="551" w:type="pct"/>
            <w:tcBorders>
              <w:top w:val="nil"/>
              <w:left w:val="nil"/>
              <w:bottom w:val="single" w:sz="4" w:space="0" w:color="auto"/>
              <w:right w:val="nil"/>
            </w:tcBorders>
            <w:shd w:val="clear" w:color="auto" w:fill="auto"/>
            <w:vAlign w:val="bottom"/>
          </w:tcPr>
          <w:p w14:paraId="5497E3C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0.126</w:t>
            </w:r>
          </w:p>
        </w:tc>
        <w:tc>
          <w:tcPr>
            <w:tcW w:w="535" w:type="pct"/>
            <w:tcBorders>
              <w:top w:val="nil"/>
              <w:left w:val="nil"/>
              <w:bottom w:val="single" w:sz="4" w:space="0" w:color="auto"/>
              <w:right w:val="nil"/>
            </w:tcBorders>
            <w:shd w:val="clear" w:color="auto" w:fill="auto"/>
            <w:vAlign w:val="bottom"/>
          </w:tcPr>
          <w:p w14:paraId="62091098"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0.020</w:t>
            </w:r>
          </w:p>
        </w:tc>
        <w:tc>
          <w:tcPr>
            <w:tcW w:w="502" w:type="pct"/>
            <w:tcBorders>
              <w:top w:val="nil"/>
              <w:left w:val="nil"/>
              <w:bottom w:val="single" w:sz="4" w:space="0" w:color="auto"/>
              <w:right w:val="nil"/>
            </w:tcBorders>
            <w:shd w:val="clear" w:color="auto" w:fill="auto"/>
            <w:vAlign w:val="bottom"/>
          </w:tcPr>
          <w:p w14:paraId="10CE7AE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4.513</w:t>
            </w:r>
          </w:p>
        </w:tc>
      </w:tr>
      <w:tr w:rsidR="00393153" w:rsidRPr="001E47AD" w14:paraId="46051E60" w14:textId="77777777" w:rsidTr="00124028">
        <w:tc>
          <w:tcPr>
            <w:tcW w:w="1446" w:type="pct"/>
            <w:tcBorders>
              <w:top w:val="single" w:sz="4" w:space="0" w:color="auto"/>
              <w:left w:val="nil"/>
              <w:bottom w:val="nil"/>
              <w:right w:val="nil"/>
            </w:tcBorders>
            <w:shd w:val="clear" w:color="auto" w:fill="auto"/>
            <w:vAlign w:val="center"/>
          </w:tcPr>
          <w:p w14:paraId="049C9455" w14:textId="2B6BE32B" w:rsidR="00B55E03" w:rsidRPr="001E47AD" w:rsidRDefault="00B55E03" w:rsidP="0082394A">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Independent Variable</w:t>
            </w:r>
            <w:r w:rsidR="008E1B13" w:rsidRPr="001E47AD">
              <w:rPr>
                <w:rFonts w:ascii="Times New Roman" w:eastAsia="宋体" w:hAnsi="Times New Roman" w:cs="Times New Roman"/>
                <w:sz w:val="16"/>
                <w:szCs w:val="16"/>
              </w:rPr>
              <w:t>s</w:t>
            </w:r>
          </w:p>
        </w:tc>
        <w:tc>
          <w:tcPr>
            <w:tcW w:w="1469" w:type="pct"/>
            <w:tcBorders>
              <w:top w:val="single" w:sz="4" w:space="0" w:color="auto"/>
              <w:left w:val="nil"/>
              <w:bottom w:val="nil"/>
              <w:right w:val="nil"/>
            </w:tcBorders>
            <w:shd w:val="clear" w:color="auto" w:fill="auto"/>
            <w:vAlign w:val="center"/>
          </w:tcPr>
          <w:p w14:paraId="05F33376" w14:textId="77777777" w:rsidR="00B55E03" w:rsidRPr="001E47AD" w:rsidRDefault="00B55E03" w:rsidP="0082394A">
            <w:pPr>
              <w:contextualSpacing/>
              <w:rPr>
                <w:rFonts w:ascii="Times New Roman" w:hAnsi="Times New Roman" w:cs="Times New Roman"/>
                <w:sz w:val="16"/>
                <w:szCs w:val="16"/>
              </w:rPr>
            </w:pPr>
          </w:p>
        </w:tc>
        <w:tc>
          <w:tcPr>
            <w:tcW w:w="497" w:type="pct"/>
            <w:tcBorders>
              <w:top w:val="single" w:sz="4" w:space="0" w:color="auto"/>
              <w:left w:val="nil"/>
              <w:bottom w:val="nil"/>
              <w:right w:val="nil"/>
            </w:tcBorders>
            <w:shd w:val="clear" w:color="auto" w:fill="auto"/>
            <w:vAlign w:val="center"/>
          </w:tcPr>
          <w:p w14:paraId="5E09DA48"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single" w:sz="4" w:space="0" w:color="auto"/>
              <w:left w:val="nil"/>
              <w:bottom w:val="nil"/>
              <w:right w:val="nil"/>
            </w:tcBorders>
            <w:shd w:val="clear" w:color="auto" w:fill="auto"/>
            <w:vAlign w:val="center"/>
          </w:tcPr>
          <w:p w14:paraId="3B07E0A3"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single" w:sz="4" w:space="0" w:color="auto"/>
              <w:left w:val="nil"/>
              <w:bottom w:val="nil"/>
              <w:right w:val="nil"/>
            </w:tcBorders>
            <w:shd w:val="clear" w:color="auto" w:fill="auto"/>
            <w:vAlign w:val="center"/>
          </w:tcPr>
          <w:p w14:paraId="384196F2"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single" w:sz="4" w:space="0" w:color="auto"/>
              <w:left w:val="nil"/>
              <w:bottom w:val="nil"/>
              <w:right w:val="nil"/>
            </w:tcBorders>
            <w:shd w:val="clear" w:color="auto" w:fill="auto"/>
            <w:vAlign w:val="center"/>
          </w:tcPr>
          <w:p w14:paraId="47489190"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766B503A" w14:textId="77777777" w:rsidTr="00F67185">
        <w:tc>
          <w:tcPr>
            <w:tcW w:w="1446" w:type="pct"/>
            <w:tcBorders>
              <w:top w:val="nil"/>
              <w:left w:val="nil"/>
              <w:bottom w:val="nil"/>
              <w:right w:val="nil"/>
            </w:tcBorders>
            <w:shd w:val="clear" w:color="auto" w:fill="auto"/>
            <w:vAlign w:val="center"/>
          </w:tcPr>
          <w:p w14:paraId="4D6B1347"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Supply-Side Characteristics</w:t>
            </w:r>
          </w:p>
        </w:tc>
        <w:tc>
          <w:tcPr>
            <w:tcW w:w="1469" w:type="pct"/>
            <w:tcBorders>
              <w:top w:val="nil"/>
              <w:left w:val="nil"/>
              <w:bottom w:val="nil"/>
              <w:right w:val="nil"/>
            </w:tcBorders>
            <w:shd w:val="clear" w:color="auto" w:fill="auto"/>
            <w:vAlign w:val="center"/>
          </w:tcPr>
          <w:p w14:paraId="1FCF72CC"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center"/>
          </w:tcPr>
          <w:p w14:paraId="7473B414"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center"/>
          </w:tcPr>
          <w:p w14:paraId="15D05768"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center"/>
          </w:tcPr>
          <w:p w14:paraId="74B5F93C"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center"/>
          </w:tcPr>
          <w:p w14:paraId="04276571"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3C1F7DC0" w14:textId="77777777" w:rsidTr="00F67185">
        <w:tc>
          <w:tcPr>
            <w:tcW w:w="1446" w:type="pct"/>
            <w:tcBorders>
              <w:top w:val="nil"/>
              <w:left w:val="nil"/>
              <w:bottom w:val="nil"/>
              <w:right w:val="nil"/>
            </w:tcBorders>
            <w:shd w:val="clear" w:color="auto" w:fill="auto"/>
            <w:vAlign w:val="center"/>
          </w:tcPr>
          <w:p w14:paraId="0DF1B969"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INTRA_NTW_COUNTY</m:t>
                </m:r>
              </m:oMath>
            </m:oMathPara>
          </w:p>
        </w:tc>
        <w:tc>
          <w:tcPr>
            <w:tcW w:w="1469" w:type="pct"/>
            <w:tcBorders>
              <w:top w:val="nil"/>
              <w:left w:val="nil"/>
              <w:bottom w:val="nil"/>
              <w:right w:val="nil"/>
            </w:tcBorders>
            <w:shd w:val="clear" w:color="auto" w:fill="auto"/>
            <w:vAlign w:val="center"/>
          </w:tcPr>
          <w:p w14:paraId="0D6299D6"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Stores</w:t>
            </w:r>
          </w:p>
        </w:tc>
        <w:tc>
          <w:tcPr>
            <w:tcW w:w="497" w:type="pct"/>
            <w:tcBorders>
              <w:top w:val="nil"/>
              <w:left w:val="nil"/>
              <w:bottom w:val="nil"/>
              <w:right w:val="nil"/>
            </w:tcBorders>
            <w:shd w:val="clear" w:color="auto" w:fill="auto"/>
            <w:vAlign w:val="bottom"/>
          </w:tcPr>
          <w:p w14:paraId="1AB44C0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0.192</w:t>
            </w:r>
          </w:p>
        </w:tc>
        <w:tc>
          <w:tcPr>
            <w:tcW w:w="551" w:type="pct"/>
            <w:tcBorders>
              <w:top w:val="nil"/>
              <w:left w:val="nil"/>
              <w:bottom w:val="nil"/>
              <w:right w:val="nil"/>
            </w:tcBorders>
            <w:shd w:val="clear" w:color="auto" w:fill="auto"/>
            <w:vAlign w:val="bottom"/>
          </w:tcPr>
          <w:p w14:paraId="11D6A076"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0.321</w:t>
            </w:r>
          </w:p>
        </w:tc>
        <w:tc>
          <w:tcPr>
            <w:tcW w:w="535" w:type="pct"/>
            <w:tcBorders>
              <w:top w:val="nil"/>
              <w:left w:val="nil"/>
              <w:bottom w:val="nil"/>
              <w:right w:val="nil"/>
            </w:tcBorders>
            <w:shd w:val="clear" w:color="auto" w:fill="auto"/>
            <w:vAlign w:val="bottom"/>
          </w:tcPr>
          <w:p w14:paraId="71D68D8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0.010</w:t>
            </w:r>
          </w:p>
        </w:tc>
        <w:tc>
          <w:tcPr>
            <w:tcW w:w="502" w:type="pct"/>
            <w:tcBorders>
              <w:top w:val="nil"/>
              <w:left w:val="nil"/>
              <w:bottom w:val="nil"/>
              <w:right w:val="nil"/>
            </w:tcBorders>
            <w:shd w:val="clear" w:color="auto" w:fill="auto"/>
            <w:vAlign w:val="bottom"/>
          </w:tcPr>
          <w:p w14:paraId="4EFF885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2.660</w:t>
            </w:r>
          </w:p>
        </w:tc>
      </w:tr>
      <w:tr w:rsidR="00393153" w:rsidRPr="001E47AD" w14:paraId="3F05E967" w14:textId="77777777" w:rsidTr="00F67185">
        <w:tc>
          <w:tcPr>
            <w:tcW w:w="1446" w:type="pct"/>
            <w:tcBorders>
              <w:top w:val="nil"/>
              <w:left w:val="nil"/>
              <w:bottom w:val="nil"/>
              <w:right w:val="nil"/>
            </w:tcBorders>
            <w:shd w:val="clear" w:color="auto" w:fill="auto"/>
            <w:vAlign w:val="center"/>
          </w:tcPr>
          <w:p w14:paraId="1F281567"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INTER_NTW_COUNTRY</m:t>
                </m:r>
              </m:oMath>
            </m:oMathPara>
          </w:p>
        </w:tc>
        <w:tc>
          <w:tcPr>
            <w:tcW w:w="1469" w:type="pct"/>
            <w:tcBorders>
              <w:top w:val="nil"/>
              <w:left w:val="nil"/>
              <w:bottom w:val="nil"/>
              <w:right w:val="nil"/>
            </w:tcBorders>
            <w:shd w:val="clear" w:color="auto" w:fill="auto"/>
            <w:vAlign w:val="center"/>
          </w:tcPr>
          <w:p w14:paraId="5FC9E469"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Stores</w:t>
            </w:r>
          </w:p>
        </w:tc>
        <w:tc>
          <w:tcPr>
            <w:tcW w:w="497" w:type="pct"/>
            <w:tcBorders>
              <w:top w:val="nil"/>
              <w:left w:val="nil"/>
              <w:bottom w:val="nil"/>
              <w:right w:val="nil"/>
            </w:tcBorders>
            <w:shd w:val="clear" w:color="auto" w:fill="auto"/>
            <w:vAlign w:val="bottom"/>
          </w:tcPr>
          <w:p w14:paraId="5F4C81BC"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38.455</w:t>
            </w:r>
          </w:p>
        </w:tc>
        <w:tc>
          <w:tcPr>
            <w:tcW w:w="551" w:type="pct"/>
            <w:tcBorders>
              <w:top w:val="nil"/>
              <w:left w:val="nil"/>
              <w:bottom w:val="nil"/>
              <w:right w:val="nil"/>
            </w:tcBorders>
            <w:shd w:val="clear" w:color="auto" w:fill="auto"/>
            <w:vAlign w:val="bottom"/>
          </w:tcPr>
          <w:p w14:paraId="1519F13A"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31.708</w:t>
            </w:r>
          </w:p>
        </w:tc>
        <w:tc>
          <w:tcPr>
            <w:tcW w:w="535" w:type="pct"/>
            <w:tcBorders>
              <w:top w:val="nil"/>
              <w:left w:val="nil"/>
              <w:bottom w:val="nil"/>
              <w:right w:val="nil"/>
            </w:tcBorders>
            <w:shd w:val="clear" w:color="auto" w:fill="auto"/>
            <w:vAlign w:val="bottom"/>
          </w:tcPr>
          <w:p w14:paraId="1F47EF1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0.010</w:t>
            </w:r>
          </w:p>
        </w:tc>
        <w:tc>
          <w:tcPr>
            <w:tcW w:w="502" w:type="pct"/>
            <w:tcBorders>
              <w:top w:val="nil"/>
              <w:left w:val="nil"/>
              <w:bottom w:val="nil"/>
              <w:right w:val="nil"/>
            </w:tcBorders>
            <w:shd w:val="clear" w:color="auto" w:fill="auto"/>
            <w:vAlign w:val="bottom"/>
          </w:tcPr>
          <w:p w14:paraId="25AB7DC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84.840</w:t>
            </w:r>
          </w:p>
        </w:tc>
      </w:tr>
      <w:tr w:rsidR="00393153" w:rsidRPr="001E47AD" w14:paraId="42590A59" w14:textId="77777777" w:rsidTr="00F67185">
        <w:tc>
          <w:tcPr>
            <w:tcW w:w="1446" w:type="pct"/>
            <w:tcBorders>
              <w:top w:val="nil"/>
              <w:left w:val="nil"/>
              <w:bottom w:val="nil"/>
              <w:right w:val="nil"/>
            </w:tcBorders>
            <w:shd w:val="clear" w:color="auto" w:fill="auto"/>
            <w:vAlign w:val="center"/>
          </w:tcPr>
          <w:p w14:paraId="60D7FCA4" w14:textId="22E97189"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PROD_VAR_UPC</m:t>
                </m:r>
              </m:oMath>
            </m:oMathPara>
          </w:p>
        </w:tc>
        <w:tc>
          <w:tcPr>
            <w:tcW w:w="1469" w:type="pct"/>
            <w:tcBorders>
              <w:top w:val="nil"/>
              <w:left w:val="nil"/>
              <w:bottom w:val="nil"/>
              <w:right w:val="nil"/>
            </w:tcBorders>
            <w:shd w:val="clear" w:color="auto" w:fill="auto"/>
            <w:vAlign w:val="center"/>
          </w:tcPr>
          <w:p w14:paraId="590412D1" w14:textId="7B6403BE" w:rsidR="00B55E03" w:rsidRPr="001E47AD" w:rsidRDefault="00F730F6" w:rsidP="0082394A">
            <w:pPr>
              <w:contextualSpacing/>
              <w:rPr>
                <w:rFonts w:ascii="Times New Roman" w:hAnsi="Times New Roman" w:cs="Times New Roman"/>
                <w:sz w:val="16"/>
                <w:szCs w:val="16"/>
              </w:rPr>
            </w:pPr>
            <w:r w:rsidRPr="001E47AD">
              <w:rPr>
                <w:rFonts w:ascii="Times New Roman" w:hAnsi="Times New Roman" w:cs="Times New Roman"/>
                <w:sz w:val="16"/>
                <w:szCs w:val="16"/>
              </w:rPr>
              <w:t xml:space="preserve">Number of Product </w:t>
            </w:r>
            <w:r w:rsidR="00B55E03" w:rsidRPr="001E47AD">
              <w:rPr>
                <w:rFonts w:ascii="Times New Roman" w:hAnsi="Times New Roman" w:cs="Times New Roman"/>
                <w:sz w:val="16"/>
                <w:szCs w:val="16"/>
              </w:rPr>
              <w:t>U</w:t>
            </w:r>
            <w:r w:rsidRPr="001E47AD">
              <w:rPr>
                <w:rFonts w:ascii="Times New Roman" w:hAnsi="Times New Roman" w:cs="Times New Roman"/>
                <w:sz w:val="16"/>
                <w:szCs w:val="16"/>
              </w:rPr>
              <w:t>PC</w:t>
            </w:r>
            <w:r w:rsidR="00B55E03" w:rsidRPr="001E47AD">
              <w:rPr>
                <w:rFonts w:ascii="Times New Roman" w:hAnsi="Times New Roman" w:cs="Times New Roman"/>
                <w:sz w:val="16"/>
                <w:szCs w:val="16"/>
              </w:rPr>
              <w:t>s</w:t>
            </w:r>
          </w:p>
        </w:tc>
        <w:tc>
          <w:tcPr>
            <w:tcW w:w="497" w:type="pct"/>
            <w:tcBorders>
              <w:top w:val="nil"/>
              <w:left w:val="nil"/>
              <w:bottom w:val="nil"/>
              <w:right w:val="nil"/>
            </w:tcBorders>
            <w:shd w:val="clear" w:color="auto" w:fill="auto"/>
            <w:vAlign w:val="bottom"/>
          </w:tcPr>
          <w:p w14:paraId="0C52C3B4"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93.869</w:t>
            </w:r>
          </w:p>
        </w:tc>
        <w:tc>
          <w:tcPr>
            <w:tcW w:w="551" w:type="pct"/>
            <w:tcBorders>
              <w:top w:val="nil"/>
              <w:left w:val="nil"/>
              <w:bottom w:val="nil"/>
              <w:right w:val="nil"/>
            </w:tcBorders>
            <w:shd w:val="clear" w:color="auto" w:fill="auto"/>
            <w:vAlign w:val="bottom"/>
          </w:tcPr>
          <w:p w14:paraId="5E2A99D2"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65.189</w:t>
            </w:r>
          </w:p>
        </w:tc>
        <w:tc>
          <w:tcPr>
            <w:tcW w:w="535" w:type="pct"/>
            <w:tcBorders>
              <w:top w:val="nil"/>
              <w:left w:val="nil"/>
              <w:bottom w:val="nil"/>
              <w:right w:val="nil"/>
            </w:tcBorders>
            <w:shd w:val="clear" w:color="auto" w:fill="auto"/>
            <w:vAlign w:val="bottom"/>
          </w:tcPr>
          <w:p w14:paraId="235BE76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c>
          <w:tcPr>
            <w:tcW w:w="502" w:type="pct"/>
            <w:tcBorders>
              <w:top w:val="nil"/>
              <w:left w:val="nil"/>
              <w:bottom w:val="nil"/>
              <w:right w:val="nil"/>
            </w:tcBorders>
            <w:shd w:val="clear" w:color="auto" w:fill="auto"/>
            <w:vAlign w:val="bottom"/>
          </w:tcPr>
          <w:p w14:paraId="17CA2E2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340.000</w:t>
            </w:r>
          </w:p>
        </w:tc>
      </w:tr>
      <w:tr w:rsidR="00393153" w:rsidRPr="001E47AD" w14:paraId="3974D10F" w14:textId="77777777" w:rsidTr="00F67185">
        <w:tc>
          <w:tcPr>
            <w:tcW w:w="1446" w:type="pct"/>
            <w:tcBorders>
              <w:top w:val="nil"/>
              <w:left w:val="nil"/>
              <w:bottom w:val="nil"/>
              <w:right w:val="nil"/>
            </w:tcBorders>
            <w:shd w:val="clear" w:color="auto" w:fill="auto"/>
            <w:vAlign w:val="center"/>
          </w:tcPr>
          <w:p w14:paraId="6CEEC80E"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Demand-Side Characteristics</w:t>
            </w:r>
          </w:p>
        </w:tc>
        <w:tc>
          <w:tcPr>
            <w:tcW w:w="1469" w:type="pct"/>
            <w:tcBorders>
              <w:top w:val="nil"/>
              <w:left w:val="nil"/>
              <w:bottom w:val="nil"/>
              <w:right w:val="nil"/>
            </w:tcBorders>
            <w:shd w:val="clear" w:color="auto" w:fill="auto"/>
            <w:vAlign w:val="center"/>
          </w:tcPr>
          <w:p w14:paraId="1F7DA51E"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bottom"/>
          </w:tcPr>
          <w:p w14:paraId="32343642"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18124AF6"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10D26FB3"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7413DF92"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0CF0966E" w14:textId="77777777" w:rsidTr="00F67185">
        <w:tc>
          <w:tcPr>
            <w:tcW w:w="1446" w:type="pct"/>
            <w:tcBorders>
              <w:top w:val="nil"/>
              <w:left w:val="nil"/>
              <w:bottom w:val="nil"/>
              <w:right w:val="nil"/>
            </w:tcBorders>
            <w:shd w:val="clear" w:color="auto" w:fill="auto"/>
            <w:vAlign w:val="center"/>
          </w:tcPr>
          <w:p w14:paraId="51851160"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HUR_EXP_STATE</m:t>
                </m:r>
              </m:oMath>
            </m:oMathPara>
          </w:p>
        </w:tc>
        <w:tc>
          <w:tcPr>
            <w:tcW w:w="1469" w:type="pct"/>
            <w:tcBorders>
              <w:top w:val="nil"/>
              <w:left w:val="nil"/>
              <w:bottom w:val="nil"/>
              <w:right w:val="nil"/>
            </w:tcBorders>
            <w:shd w:val="clear" w:color="auto" w:fill="auto"/>
            <w:vAlign w:val="center"/>
          </w:tcPr>
          <w:p w14:paraId="78F88369"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Number of Recent Landfalls</w:t>
            </w:r>
          </w:p>
        </w:tc>
        <w:tc>
          <w:tcPr>
            <w:tcW w:w="497" w:type="pct"/>
            <w:tcBorders>
              <w:top w:val="nil"/>
              <w:left w:val="nil"/>
              <w:bottom w:val="nil"/>
              <w:right w:val="nil"/>
            </w:tcBorders>
            <w:shd w:val="clear" w:color="auto" w:fill="auto"/>
            <w:vAlign w:val="bottom"/>
          </w:tcPr>
          <w:p w14:paraId="70D656CA"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3.503</w:t>
            </w:r>
          </w:p>
        </w:tc>
        <w:tc>
          <w:tcPr>
            <w:tcW w:w="551" w:type="pct"/>
            <w:tcBorders>
              <w:top w:val="nil"/>
              <w:left w:val="nil"/>
              <w:bottom w:val="nil"/>
              <w:right w:val="nil"/>
            </w:tcBorders>
            <w:shd w:val="clear" w:color="auto" w:fill="auto"/>
            <w:vAlign w:val="bottom"/>
          </w:tcPr>
          <w:p w14:paraId="69CC892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5.299</w:t>
            </w:r>
          </w:p>
        </w:tc>
        <w:tc>
          <w:tcPr>
            <w:tcW w:w="535" w:type="pct"/>
            <w:tcBorders>
              <w:top w:val="nil"/>
              <w:left w:val="nil"/>
              <w:bottom w:val="nil"/>
              <w:right w:val="nil"/>
            </w:tcBorders>
            <w:shd w:val="clear" w:color="auto" w:fill="auto"/>
            <w:vAlign w:val="bottom"/>
          </w:tcPr>
          <w:p w14:paraId="66B599A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5FD5176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14.000</w:t>
            </w:r>
          </w:p>
        </w:tc>
      </w:tr>
      <w:tr w:rsidR="00393153" w:rsidRPr="001E47AD" w14:paraId="2476962F" w14:textId="77777777" w:rsidTr="00F67185">
        <w:tc>
          <w:tcPr>
            <w:tcW w:w="1446" w:type="pct"/>
            <w:tcBorders>
              <w:top w:val="nil"/>
              <w:left w:val="nil"/>
              <w:bottom w:val="nil"/>
              <w:right w:val="nil"/>
            </w:tcBorders>
            <w:shd w:val="clear" w:color="auto" w:fill="auto"/>
            <w:vAlign w:val="center"/>
          </w:tcPr>
          <w:p w14:paraId="04C7A7AC"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PER_CAPITA_INC</m:t>
                </m:r>
              </m:oMath>
            </m:oMathPara>
          </w:p>
        </w:tc>
        <w:tc>
          <w:tcPr>
            <w:tcW w:w="1469" w:type="pct"/>
            <w:tcBorders>
              <w:top w:val="nil"/>
              <w:left w:val="nil"/>
              <w:bottom w:val="nil"/>
              <w:right w:val="nil"/>
            </w:tcBorders>
            <w:shd w:val="clear" w:color="auto" w:fill="auto"/>
            <w:vAlign w:val="center"/>
          </w:tcPr>
          <w:p w14:paraId="7A781D50"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10K Dollars</w:t>
            </w:r>
          </w:p>
        </w:tc>
        <w:tc>
          <w:tcPr>
            <w:tcW w:w="497" w:type="pct"/>
            <w:tcBorders>
              <w:top w:val="nil"/>
              <w:left w:val="nil"/>
              <w:bottom w:val="nil"/>
              <w:right w:val="nil"/>
            </w:tcBorders>
            <w:shd w:val="clear" w:color="auto" w:fill="auto"/>
            <w:vAlign w:val="bottom"/>
          </w:tcPr>
          <w:p w14:paraId="6D09903A"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4.647</w:t>
            </w:r>
          </w:p>
        </w:tc>
        <w:tc>
          <w:tcPr>
            <w:tcW w:w="551" w:type="pct"/>
            <w:tcBorders>
              <w:top w:val="nil"/>
              <w:left w:val="nil"/>
              <w:bottom w:val="nil"/>
              <w:right w:val="nil"/>
            </w:tcBorders>
            <w:shd w:val="clear" w:color="auto" w:fill="auto"/>
            <w:vAlign w:val="bottom"/>
          </w:tcPr>
          <w:p w14:paraId="22EEFF2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1.747</w:t>
            </w:r>
          </w:p>
        </w:tc>
        <w:tc>
          <w:tcPr>
            <w:tcW w:w="535" w:type="pct"/>
            <w:tcBorders>
              <w:top w:val="nil"/>
              <w:left w:val="nil"/>
              <w:bottom w:val="nil"/>
              <w:right w:val="nil"/>
            </w:tcBorders>
            <w:shd w:val="clear" w:color="auto" w:fill="auto"/>
            <w:vAlign w:val="bottom"/>
          </w:tcPr>
          <w:p w14:paraId="45C02FCC"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1.710</w:t>
            </w:r>
          </w:p>
        </w:tc>
        <w:tc>
          <w:tcPr>
            <w:tcW w:w="502" w:type="pct"/>
            <w:tcBorders>
              <w:top w:val="nil"/>
              <w:left w:val="nil"/>
              <w:bottom w:val="nil"/>
              <w:right w:val="nil"/>
            </w:tcBorders>
            <w:shd w:val="clear" w:color="auto" w:fill="auto"/>
            <w:vAlign w:val="bottom"/>
          </w:tcPr>
          <w:p w14:paraId="78F685C4"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15.321</w:t>
            </w:r>
          </w:p>
        </w:tc>
      </w:tr>
      <w:tr w:rsidR="00393153" w:rsidRPr="001E47AD" w14:paraId="2155CD1A" w14:textId="77777777" w:rsidTr="00F67185">
        <w:tc>
          <w:tcPr>
            <w:tcW w:w="1446" w:type="pct"/>
            <w:tcBorders>
              <w:top w:val="nil"/>
              <w:left w:val="nil"/>
              <w:bottom w:val="nil"/>
              <w:right w:val="nil"/>
            </w:tcBorders>
            <w:shd w:val="clear" w:color="auto" w:fill="auto"/>
            <w:vAlign w:val="center"/>
          </w:tcPr>
          <w:p w14:paraId="746C44CA"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Disaster Characteristics</w:t>
            </w:r>
          </w:p>
        </w:tc>
        <w:tc>
          <w:tcPr>
            <w:tcW w:w="1469" w:type="pct"/>
            <w:tcBorders>
              <w:top w:val="nil"/>
              <w:left w:val="nil"/>
              <w:bottom w:val="nil"/>
              <w:right w:val="nil"/>
            </w:tcBorders>
            <w:shd w:val="clear" w:color="auto" w:fill="auto"/>
            <w:vAlign w:val="center"/>
          </w:tcPr>
          <w:p w14:paraId="7897F0AA"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bottom"/>
          </w:tcPr>
          <w:p w14:paraId="77F8B08D"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1A9A08BC"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224DE359"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21179903"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2F4F36AD" w14:textId="77777777" w:rsidTr="00F67185">
        <w:tc>
          <w:tcPr>
            <w:tcW w:w="1446" w:type="pct"/>
            <w:tcBorders>
              <w:top w:val="nil"/>
              <w:left w:val="nil"/>
              <w:bottom w:val="nil"/>
              <w:right w:val="nil"/>
            </w:tcBorders>
            <w:shd w:val="clear" w:color="auto" w:fill="auto"/>
            <w:vAlign w:val="center"/>
          </w:tcPr>
          <w:p w14:paraId="73AA1D15"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HUR_LANDFALL_DIST</m:t>
                </m:r>
              </m:oMath>
            </m:oMathPara>
          </w:p>
        </w:tc>
        <w:tc>
          <w:tcPr>
            <w:tcW w:w="1469" w:type="pct"/>
            <w:tcBorders>
              <w:top w:val="nil"/>
              <w:left w:val="nil"/>
              <w:bottom w:val="nil"/>
              <w:right w:val="nil"/>
            </w:tcBorders>
            <w:shd w:val="clear" w:color="auto" w:fill="auto"/>
            <w:vAlign w:val="center"/>
          </w:tcPr>
          <w:p w14:paraId="602AA923"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Miles</w:t>
            </w:r>
          </w:p>
        </w:tc>
        <w:tc>
          <w:tcPr>
            <w:tcW w:w="497" w:type="pct"/>
            <w:tcBorders>
              <w:top w:val="nil"/>
              <w:left w:val="nil"/>
              <w:bottom w:val="nil"/>
              <w:right w:val="nil"/>
            </w:tcBorders>
            <w:shd w:val="clear" w:color="auto" w:fill="auto"/>
            <w:vAlign w:val="bottom"/>
          </w:tcPr>
          <w:p w14:paraId="5FA77CF4"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3.559</w:t>
            </w:r>
          </w:p>
        </w:tc>
        <w:tc>
          <w:tcPr>
            <w:tcW w:w="551" w:type="pct"/>
            <w:tcBorders>
              <w:top w:val="nil"/>
              <w:left w:val="nil"/>
              <w:bottom w:val="nil"/>
              <w:right w:val="nil"/>
            </w:tcBorders>
            <w:shd w:val="clear" w:color="auto" w:fill="auto"/>
            <w:vAlign w:val="bottom"/>
          </w:tcPr>
          <w:p w14:paraId="3771834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2.615</w:t>
            </w:r>
          </w:p>
        </w:tc>
        <w:tc>
          <w:tcPr>
            <w:tcW w:w="535" w:type="pct"/>
            <w:tcBorders>
              <w:top w:val="nil"/>
              <w:left w:val="nil"/>
              <w:bottom w:val="nil"/>
              <w:right w:val="nil"/>
            </w:tcBorders>
            <w:shd w:val="clear" w:color="auto" w:fill="auto"/>
            <w:vAlign w:val="bottom"/>
          </w:tcPr>
          <w:p w14:paraId="18C6A83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0.036</w:t>
            </w:r>
          </w:p>
        </w:tc>
        <w:tc>
          <w:tcPr>
            <w:tcW w:w="502" w:type="pct"/>
            <w:tcBorders>
              <w:top w:val="nil"/>
              <w:left w:val="nil"/>
              <w:bottom w:val="nil"/>
              <w:right w:val="nil"/>
            </w:tcBorders>
            <w:shd w:val="clear" w:color="auto" w:fill="auto"/>
            <w:vAlign w:val="bottom"/>
          </w:tcPr>
          <w:p w14:paraId="18311DC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9.969</w:t>
            </w:r>
          </w:p>
        </w:tc>
      </w:tr>
      <w:tr w:rsidR="00393153" w:rsidRPr="001E47AD" w14:paraId="42FDD814" w14:textId="77777777" w:rsidTr="00F67185">
        <w:tc>
          <w:tcPr>
            <w:tcW w:w="1446" w:type="pct"/>
            <w:tcBorders>
              <w:top w:val="nil"/>
              <w:left w:val="nil"/>
              <w:bottom w:val="nil"/>
              <w:right w:val="nil"/>
            </w:tcBorders>
            <w:shd w:val="clear" w:color="auto" w:fill="auto"/>
            <w:vAlign w:val="center"/>
          </w:tcPr>
          <w:p w14:paraId="0CF16238"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HUR_TRACK_DIST</m:t>
                </m:r>
              </m:oMath>
            </m:oMathPara>
          </w:p>
        </w:tc>
        <w:tc>
          <w:tcPr>
            <w:tcW w:w="1469" w:type="pct"/>
            <w:tcBorders>
              <w:top w:val="nil"/>
              <w:left w:val="nil"/>
              <w:bottom w:val="nil"/>
              <w:right w:val="nil"/>
            </w:tcBorders>
            <w:shd w:val="clear" w:color="auto" w:fill="auto"/>
            <w:vAlign w:val="center"/>
          </w:tcPr>
          <w:p w14:paraId="2351A9E1"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Miles</w:t>
            </w:r>
          </w:p>
        </w:tc>
        <w:tc>
          <w:tcPr>
            <w:tcW w:w="497" w:type="pct"/>
            <w:tcBorders>
              <w:top w:val="nil"/>
              <w:left w:val="nil"/>
              <w:bottom w:val="nil"/>
              <w:right w:val="nil"/>
            </w:tcBorders>
            <w:shd w:val="clear" w:color="auto" w:fill="auto"/>
            <w:vAlign w:val="bottom"/>
          </w:tcPr>
          <w:p w14:paraId="0EEEE4AC"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1.709</w:t>
            </w:r>
          </w:p>
        </w:tc>
        <w:tc>
          <w:tcPr>
            <w:tcW w:w="551" w:type="pct"/>
            <w:tcBorders>
              <w:top w:val="nil"/>
              <w:left w:val="nil"/>
              <w:bottom w:val="nil"/>
              <w:right w:val="nil"/>
            </w:tcBorders>
            <w:shd w:val="clear" w:color="auto" w:fill="auto"/>
            <w:vAlign w:val="bottom"/>
          </w:tcPr>
          <w:p w14:paraId="7DC75C58"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1.006</w:t>
            </w:r>
          </w:p>
        </w:tc>
        <w:tc>
          <w:tcPr>
            <w:tcW w:w="535" w:type="pct"/>
            <w:tcBorders>
              <w:top w:val="nil"/>
              <w:left w:val="nil"/>
              <w:bottom w:val="nil"/>
              <w:right w:val="nil"/>
            </w:tcBorders>
            <w:shd w:val="clear" w:color="auto" w:fill="auto"/>
            <w:vAlign w:val="bottom"/>
          </w:tcPr>
          <w:p w14:paraId="642E8F3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0.029</w:t>
            </w:r>
          </w:p>
        </w:tc>
        <w:tc>
          <w:tcPr>
            <w:tcW w:w="502" w:type="pct"/>
            <w:tcBorders>
              <w:top w:val="nil"/>
              <w:left w:val="nil"/>
              <w:bottom w:val="nil"/>
              <w:right w:val="nil"/>
            </w:tcBorders>
            <w:shd w:val="clear" w:color="auto" w:fill="auto"/>
            <w:vAlign w:val="bottom"/>
          </w:tcPr>
          <w:p w14:paraId="6938CC2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4.820</w:t>
            </w:r>
          </w:p>
        </w:tc>
      </w:tr>
      <w:tr w:rsidR="00393153" w:rsidRPr="001E47AD" w14:paraId="60FBA3B6" w14:textId="77777777" w:rsidTr="000A28E3">
        <w:tc>
          <w:tcPr>
            <w:tcW w:w="1446" w:type="pct"/>
            <w:tcBorders>
              <w:top w:val="nil"/>
              <w:left w:val="nil"/>
              <w:bottom w:val="single" w:sz="4" w:space="0" w:color="auto"/>
              <w:right w:val="nil"/>
            </w:tcBorders>
            <w:shd w:val="clear" w:color="auto" w:fill="auto"/>
            <w:vAlign w:val="center"/>
          </w:tcPr>
          <w:p w14:paraId="1F57492A"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HUR_TRACK_WIND</m:t>
                </m:r>
              </m:oMath>
            </m:oMathPara>
          </w:p>
        </w:tc>
        <w:tc>
          <w:tcPr>
            <w:tcW w:w="1469" w:type="pct"/>
            <w:tcBorders>
              <w:top w:val="nil"/>
              <w:left w:val="nil"/>
              <w:bottom w:val="single" w:sz="4" w:space="0" w:color="auto"/>
              <w:right w:val="nil"/>
            </w:tcBorders>
            <w:shd w:val="clear" w:color="auto" w:fill="auto"/>
            <w:vAlign w:val="center"/>
          </w:tcPr>
          <w:p w14:paraId="729E9830"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Miles Per Hour</w:t>
            </w:r>
          </w:p>
        </w:tc>
        <w:tc>
          <w:tcPr>
            <w:tcW w:w="497" w:type="pct"/>
            <w:tcBorders>
              <w:top w:val="nil"/>
              <w:left w:val="nil"/>
              <w:bottom w:val="single" w:sz="4" w:space="0" w:color="auto"/>
              <w:right w:val="nil"/>
            </w:tcBorders>
            <w:shd w:val="clear" w:color="auto" w:fill="auto"/>
            <w:vAlign w:val="bottom"/>
          </w:tcPr>
          <w:p w14:paraId="494151AA"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61.497</w:t>
            </w:r>
          </w:p>
        </w:tc>
        <w:tc>
          <w:tcPr>
            <w:tcW w:w="551" w:type="pct"/>
            <w:tcBorders>
              <w:top w:val="nil"/>
              <w:left w:val="nil"/>
              <w:bottom w:val="single" w:sz="4" w:space="0" w:color="auto"/>
              <w:right w:val="nil"/>
            </w:tcBorders>
            <w:shd w:val="clear" w:color="auto" w:fill="auto"/>
            <w:vAlign w:val="bottom"/>
          </w:tcPr>
          <w:p w14:paraId="69E6B3B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14.171</w:t>
            </w:r>
          </w:p>
        </w:tc>
        <w:tc>
          <w:tcPr>
            <w:tcW w:w="535" w:type="pct"/>
            <w:tcBorders>
              <w:top w:val="nil"/>
              <w:left w:val="nil"/>
              <w:bottom w:val="single" w:sz="4" w:space="0" w:color="auto"/>
              <w:right w:val="nil"/>
            </w:tcBorders>
            <w:shd w:val="clear" w:color="auto" w:fill="auto"/>
            <w:vAlign w:val="bottom"/>
          </w:tcPr>
          <w:p w14:paraId="5289157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30.000</w:t>
            </w:r>
          </w:p>
        </w:tc>
        <w:tc>
          <w:tcPr>
            <w:tcW w:w="502" w:type="pct"/>
            <w:tcBorders>
              <w:top w:val="nil"/>
              <w:left w:val="nil"/>
              <w:bottom w:val="single" w:sz="4" w:space="0" w:color="auto"/>
              <w:right w:val="nil"/>
            </w:tcBorders>
            <w:shd w:val="clear" w:color="auto" w:fill="auto"/>
            <w:vAlign w:val="bottom"/>
          </w:tcPr>
          <w:p w14:paraId="700A94C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90.000</w:t>
            </w:r>
          </w:p>
        </w:tc>
      </w:tr>
      <w:tr w:rsidR="00393153" w:rsidRPr="001E47AD" w14:paraId="3BBE07BD" w14:textId="77777777" w:rsidTr="000A28E3">
        <w:tc>
          <w:tcPr>
            <w:tcW w:w="1446" w:type="pct"/>
            <w:tcBorders>
              <w:top w:val="single" w:sz="4" w:space="0" w:color="auto"/>
              <w:left w:val="nil"/>
              <w:bottom w:val="nil"/>
              <w:right w:val="nil"/>
            </w:tcBorders>
            <w:shd w:val="clear" w:color="auto" w:fill="auto"/>
            <w:vAlign w:val="center"/>
          </w:tcPr>
          <w:p w14:paraId="30C46724" w14:textId="575C5868" w:rsidR="00B55E03" w:rsidRPr="001E47AD" w:rsidRDefault="00B55E03" w:rsidP="0082394A">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Control Variable</w:t>
            </w:r>
            <w:r w:rsidR="008E1B13" w:rsidRPr="001E47AD">
              <w:rPr>
                <w:rFonts w:ascii="Times New Roman" w:eastAsia="宋体" w:hAnsi="Times New Roman" w:cs="Times New Roman"/>
                <w:sz w:val="16"/>
                <w:szCs w:val="16"/>
              </w:rPr>
              <w:t>s</w:t>
            </w:r>
          </w:p>
        </w:tc>
        <w:tc>
          <w:tcPr>
            <w:tcW w:w="1469" w:type="pct"/>
            <w:tcBorders>
              <w:top w:val="single" w:sz="4" w:space="0" w:color="auto"/>
              <w:left w:val="nil"/>
              <w:bottom w:val="nil"/>
              <w:right w:val="nil"/>
            </w:tcBorders>
            <w:shd w:val="clear" w:color="auto" w:fill="auto"/>
            <w:vAlign w:val="center"/>
          </w:tcPr>
          <w:p w14:paraId="79B5AABD" w14:textId="77777777" w:rsidR="00B55E03" w:rsidRPr="001E47AD" w:rsidRDefault="00B55E03" w:rsidP="0082394A">
            <w:pPr>
              <w:contextualSpacing/>
              <w:rPr>
                <w:rFonts w:ascii="Times New Roman" w:hAnsi="Times New Roman" w:cs="Times New Roman"/>
                <w:sz w:val="16"/>
                <w:szCs w:val="16"/>
              </w:rPr>
            </w:pPr>
          </w:p>
        </w:tc>
        <w:tc>
          <w:tcPr>
            <w:tcW w:w="497" w:type="pct"/>
            <w:tcBorders>
              <w:top w:val="single" w:sz="4" w:space="0" w:color="auto"/>
              <w:left w:val="nil"/>
              <w:bottom w:val="nil"/>
              <w:right w:val="nil"/>
            </w:tcBorders>
            <w:shd w:val="clear" w:color="auto" w:fill="auto"/>
            <w:vAlign w:val="bottom"/>
          </w:tcPr>
          <w:p w14:paraId="49640C9F"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single" w:sz="4" w:space="0" w:color="auto"/>
              <w:left w:val="nil"/>
              <w:bottom w:val="nil"/>
              <w:right w:val="nil"/>
            </w:tcBorders>
            <w:shd w:val="clear" w:color="auto" w:fill="auto"/>
            <w:vAlign w:val="bottom"/>
          </w:tcPr>
          <w:p w14:paraId="1E450243"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single" w:sz="4" w:space="0" w:color="auto"/>
              <w:left w:val="nil"/>
              <w:bottom w:val="nil"/>
              <w:right w:val="nil"/>
            </w:tcBorders>
            <w:shd w:val="clear" w:color="auto" w:fill="auto"/>
            <w:vAlign w:val="bottom"/>
          </w:tcPr>
          <w:p w14:paraId="5874774A"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single" w:sz="4" w:space="0" w:color="auto"/>
              <w:left w:val="nil"/>
              <w:bottom w:val="nil"/>
              <w:right w:val="nil"/>
            </w:tcBorders>
            <w:shd w:val="clear" w:color="auto" w:fill="auto"/>
            <w:vAlign w:val="bottom"/>
          </w:tcPr>
          <w:p w14:paraId="07113F82"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1A25A69B" w14:textId="77777777" w:rsidTr="00F67185">
        <w:tc>
          <w:tcPr>
            <w:tcW w:w="1446" w:type="pct"/>
            <w:tcBorders>
              <w:top w:val="nil"/>
              <w:left w:val="nil"/>
              <w:bottom w:val="nil"/>
              <w:right w:val="nil"/>
            </w:tcBorders>
            <w:shd w:val="clear" w:color="auto" w:fill="auto"/>
            <w:vAlign w:val="center"/>
          </w:tcPr>
          <w:p w14:paraId="043BA944"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Format</w:t>
            </w:r>
          </w:p>
        </w:tc>
        <w:tc>
          <w:tcPr>
            <w:tcW w:w="1469" w:type="pct"/>
            <w:tcBorders>
              <w:top w:val="nil"/>
              <w:left w:val="nil"/>
              <w:bottom w:val="nil"/>
              <w:right w:val="nil"/>
            </w:tcBorders>
            <w:shd w:val="clear" w:color="auto" w:fill="auto"/>
            <w:vAlign w:val="center"/>
          </w:tcPr>
          <w:p w14:paraId="7FD953BD"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bottom"/>
          </w:tcPr>
          <w:p w14:paraId="4F6E8926"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5E904AA6"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608CA5F5"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0EC7982D"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3A997D39" w14:textId="77777777" w:rsidTr="00F67185">
        <w:tc>
          <w:tcPr>
            <w:tcW w:w="1446" w:type="pct"/>
            <w:tcBorders>
              <w:top w:val="nil"/>
              <w:left w:val="nil"/>
              <w:bottom w:val="nil"/>
              <w:right w:val="nil"/>
            </w:tcBorders>
            <w:shd w:val="clear" w:color="auto" w:fill="auto"/>
            <w:vAlign w:val="center"/>
          </w:tcPr>
          <w:p w14:paraId="31753AE3"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CHAIN_GROC</m:t>
                </m:r>
              </m:oMath>
            </m:oMathPara>
          </w:p>
        </w:tc>
        <w:tc>
          <w:tcPr>
            <w:tcW w:w="1469" w:type="pct"/>
            <w:tcBorders>
              <w:top w:val="nil"/>
              <w:left w:val="nil"/>
              <w:bottom w:val="nil"/>
              <w:right w:val="nil"/>
            </w:tcBorders>
            <w:shd w:val="clear" w:color="auto" w:fill="auto"/>
            <w:vAlign w:val="center"/>
          </w:tcPr>
          <w:p w14:paraId="7960E13D" w14:textId="5EE62B6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Dummy Variable (Binary)</w:t>
            </w:r>
          </w:p>
        </w:tc>
        <w:tc>
          <w:tcPr>
            <w:tcW w:w="497" w:type="pct"/>
            <w:tcBorders>
              <w:top w:val="nil"/>
              <w:left w:val="nil"/>
              <w:bottom w:val="nil"/>
              <w:right w:val="nil"/>
            </w:tcBorders>
            <w:shd w:val="clear" w:color="auto" w:fill="auto"/>
            <w:vAlign w:val="bottom"/>
          </w:tcPr>
          <w:p w14:paraId="14ADEC0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0.280</w:t>
            </w:r>
          </w:p>
        </w:tc>
        <w:tc>
          <w:tcPr>
            <w:tcW w:w="551" w:type="pct"/>
            <w:tcBorders>
              <w:top w:val="nil"/>
              <w:left w:val="nil"/>
              <w:bottom w:val="nil"/>
              <w:right w:val="nil"/>
            </w:tcBorders>
            <w:shd w:val="clear" w:color="auto" w:fill="auto"/>
            <w:vAlign w:val="bottom"/>
          </w:tcPr>
          <w:p w14:paraId="6F43AC2A"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0.449</w:t>
            </w:r>
          </w:p>
        </w:tc>
        <w:tc>
          <w:tcPr>
            <w:tcW w:w="535" w:type="pct"/>
            <w:tcBorders>
              <w:top w:val="nil"/>
              <w:left w:val="nil"/>
              <w:bottom w:val="nil"/>
              <w:right w:val="nil"/>
            </w:tcBorders>
            <w:shd w:val="clear" w:color="auto" w:fill="auto"/>
            <w:vAlign w:val="bottom"/>
          </w:tcPr>
          <w:p w14:paraId="1230C43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73E53119"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672DF14F" w14:textId="77777777" w:rsidTr="00F67185">
        <w:tc>
          <w:tcPr>
            <w:tcW w:w="1446" w:type="pct"/>
            <w:tcBorders>
              <w:top w:val="nil"/>
              <w:left w:val="nil"/>
              <w:bottom w:val="nil"/>
              <w:right w:val="nil"/>
            </w:tcBorders>
            <w:shd w:val="clear" w:color="auto" w:fill="auto"/>
            <w:vAlign w:val="center"/>
          </w:tcPr>
          <w:p w14:paraId="2D65D856"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CHAIN_WHS</m:t>
                </m:r>
              </m:oMath>
            </m:oMathPara>
          </w:p>
        </w:tc>
        <w:tc>
          <w:tcPr>
            <w:tcW w:w="1469" w:type="pct"/>
            <w:tcBorders>
              <w:top w:val="nil"/>
              <w:left w:val="nil"/>
              <w:bottom w:val="nil"/>
              <w:right w:val="nil"/>
            </w:tcBorders>
            <w:shd w:val="clear" w:color="auto" w:fill="auto"/>
            <w:vAlign w:val="center"/>
          </w:tcPr>
          <w:p w14:paraId="372932E9"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Dummy Variable (Binary)</w:t>
            </w:r>
          </w:p>
        </w:tc>
        <w:tc>
          <w:tcPr>
            <w:tcW w:w="497" w:type="pct"/>
            <w:tcBorders>
              <w:top w:val="nil"/>
              <w:left w:val="nil"/>
              <w:bottom w:val="nil"/>
              <w:right w:val="nil"/>
            </w:tcBorders>
            <w:shd w:val="clear" w:color="auto" w:fill="auto"/>
            <w:vAlign w:val="bottom"/>
          </w:tcPr>
          <w:p w14:paraId="4292DC0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0.013</w:t>
            </w:r>
          </w:p>
        </w:tc>
        <w:tc>
          <w:tcPr>
            <w:tcW w:w="551" w:type="pct"/>
            <w:tcBorders>
              <w:top w:val="nil"/>
              <w:left w:val="nil"/>
              <w:bottom w:val="nil"/>
              <w:right w:val="nil"/>
            </w:tcBorders>
            <w:shd w:val="clear" w:color="auto" w:fill="auto"/>
            <w:vAlign w:val="bottom"/>
          </w:tcPr>
          <w:p w14:paraId="1710BC89"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0.113</w:t>
            </w:r>
          </w:p>
        </w:tc>
        <w:tc>
          <w:tcPr>
            <w:tcW w:w="535" w:type="pct"/>
            <w:tcBorders>
              <w:top w:val="nil"/>
              <w:left w:val="nil"/>
              <w:bottom w:val="nil"/>
              <w:right w:val="nil"/>
            </w:tcBorders>
            <w:shd w:val="clear" w:color="auto" w:fill="auto"/>
            <w:vAlign w:val="bottom"/>
          </w:tcPr>
          <w:p w14:paraId="781D972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223BB22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6AF07512" w14:textId="77777777" w:rsidTr="00F67185">
        <w:tc>
          <w:tcPr>
            <w:tcW w:w="1446" w:type="pct"/>
            <w:tcBorders>
              <w:top w:val="nil"/>
              <w:left w:val="nil"/>
              <w:bottom w:val="nil"/>
              <w:right w:val="nil"/>
            </w:tcBorders>
            <w:shd w:val="clear" w:color="auto" w:fill="auto"/>
            <w:vAlign w:val="center"/>
          </w:tcPr>
          <w:p w14:paraId="688F428E"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CHAIN_DISC</m:t>
                </m:r>
              </m:oMath>
            </m:oMathPara>
          </w:p>
        </w:tc>
        <w:tc>
          <w:tcPr>
            <w:tcW w:w="1469" w:type="pct"/>
            <w:tcBorders>
              <w:top w:val="nil"/>
              <w:left w:val="nil"/>
              <w:bottom w:val="nil"/>
              <w:right w:val="nil"/>
            </w:tcBorders>
            <w:shd w:val="clear" w:color="auto" w:fill="auto"/>
            <w:vAlign w:val="center"/>
          </w:tcPr>
          <w:p w14:paraId="5AF94023"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Dummy Variable (Binary)</w:t>
            </w:r>
          </w:p>
        </w:tc>
        <w:tc>
          <w:tcPr>
            <w:tcW w:w="497" w:type="pct"/>
            <w:tcBorders>
              <w:top w:val="nil"/>
              <w:left w:val="nil"/>
              <w:bottom w:val="nil"/>
              <w:right w:val="nil"/>
            </w:tcBorders>
            <w:shd w:val="clear" w:color="auto" w:fill="auto"/>
            <w:vAlign w:val="bottom"/>
          </w:tcPr>
          <w:p w14:paraId="271E76E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0.076</w:t>
            </w:r>
          </w:p>
        </w:tc>
        <w:tc>
          <w:tcPr>
            <w:tcW w:w="551" w:type="pct"/>
            <w:tcBorders>
              <w:top w:val="nil"/>
              <w:left w:val="nil"/>
              <w:bottom w:val="nil"/>
              <w:right w:val="nil"/>
            </w:tcBorders>
            <w:shd w:val="clear" w:color="auto" w:fill="auto"/>
            <w:vAlign w:val="bottom"/>
          </w:tcPr>
          <w:p w14:paraId="56C43CE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0.265</w:t>
            </w:r>
          </w:p>
        </w:tc>
        <w:tc>
          <w:tcPr>
            <w:tcW w:w="535" w:type="pct"/>
            <w:tcBorders>
              <w:top w:val="nil"/>
              <w:left w:val="nil"/>
              <w:bottom w:val="nil"/>
              <w:right w:val="nil"/>
            </w:tcBorders>
            <w:shd w:val="clear" w:color="auto" w:fill="auto"/>
            <w:vAlign w:val="bottom"/>
          </w:tcPr>
          <w:p w14:paraId="41607016"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2BB8C87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5B907246" w14:textId="77777777" w:rsidTr="00F67185">
        <w:tc>
          <w:tcPr>
            <w:tcW w:w="1446" w:type="pct"/>
            <w:tcBorders>
              <w:top w:val="nil"/>
              <w:left w:val="nil"/>
              <w:bottom w:val="nil"/>
              <w:right w:val="nil"/>
            </w:tcBorders>
            <w:shd w:val="clear" w:color="auto" w:fill="auto"/>
            <w:vAlign w:val="center"/>
          </w:tcPr>
          <w:p w14:paraId="25C81193"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CHAIN_DOLLAR</m:t>
                </m:r>
              </m:oMath>
            </m:oMathPara>
          </w:p>
        </w:tc>
        <w:tc>
          <w:tcPr>
            <w:tcW w:w="1469" w:type="pct"/>
            <w:tcBorders>
              <w:top w:val="nil"/>
              <w:left w:val="nil"/>
              <w:bottom w:val="nil"/>
              <w:right w:val="nil"/>
            </w:tcBorders>
            <w:shd w:val="clear" w:color="auto" w:fill="auto"/>
            <w:vAlign w:val="center"/>
          </w:tcPr>
          <w:p w14:paraId="07570CBF"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Dummy Variable (Binary)</w:t>
            </w:r>
          </w:p>
        </w:tc>
        <w:tc>
          <w:tcPr>
            <w:tcW w:w="497" w:type="pct"/>
            <w:tcBorders>
              <w:top w:val="nil"/>
              <w:left w:val="nil"/>
              <w:bottom w:val="nil"/>
              <w:right w:val="nil"/>
            </w:tcBorders>
            <w:shd w:val="clear" w:color="auto" w:fill="auto"/>
            <w:vAlign w:val="bottom"/>
          </w:tcPr>
          <w:p w14:paraId="3190B4C8"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0.191</w:t>
            </w:r>
          </w:p>
        </w:tc>
        <w:tc>
          <w:tcPr>
            <w:tcW w:w="551" w:type="pct"/>
            <w:tcBorders>
              <w:top w:val="nil"/>
              <w:left w:val="nil"/>
              <w:bottom w:val="nil"/>
              <w:right w:val="nil"/>
            </w:tcBorders>
            <w:shd w:val="clear" w:color="auto" w:fill="auto"/>
            <w:vAlign w:val="bottom"/>
          </w:tcPr>
          <w:p w14:paraId="17743BB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0.393</w:t>
            </w:r>
          </w:p>
        </w:tc>
        <w:tc>
          <w:tcPr>
            <w:tcW w:w="535" w:type="pct"/>
            <w:tcBorders>
              <w:top w:val="nil"/>
              <w:left w:val="nil"/>
              <w:bottom w:val="nil"/>
              <w:right w:val="nil"/>
            </w:tcBorders>
            <w:shd w:val="clear" w:color="auto" w:fill="auto"/>
            <w:vAlign w:val="bottom"/>
          </w:tcPr>
          <w:p w14:paraId="6124AEC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57510DE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46B47682" w14:textId="77777777" w:rsidTr="00F67185">
        <w:tc>
          <w:tcPr>
            <w:tcW w:w="1446" w:type="pct"/>
            <w:tcBorders>
              <w:top w:val="nil"/>
              <w:left w:val="nil"/>
              <w:bottom w:val="nil"/>
              <w:right w:val="nil"/>
            </w:tcBorders>
            <w:shd w:val="clear" w:color="auto" w:fill="auto"/>
            <w:vAlign w:val="center"/>
          </w:tcPr>
          <w:p w14:paraId="4F7CC936"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CHAIN_DRUG</m:t>
                </m:r>
              </m:oMath>
            </m:oMathPara>
          </w:p>
        </w:tc>
        <w:tc>
          <w:tcPr>
            <w:tcW w:w="1469" w:type="pct"/>
            <w:tcBorders>
              <w:top w:val="nil"/>
              <w:left w:val="nil"/>
              <w:bottom w:val="nil"/>
              <w:right w:val="nil"/>
            </w:tcBorders>
            <w:shd w:val="clear" w:color="auto" w:fill="auto"/>
            <w:vAlign w:val="center"/>
          </w:tcPr>
          <w:p w14:paraId="013FF809"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Dummy Variable (Binary)</w:t>
            </w:r>
          </w:p>
        </w:tc>
        <w:tc>
          <w:tcPr>
            <w:tcW w:w="497" w:type="pct"/>
            <w:tcBorders>
              <w:top w:val="nil"/>
              <w:left w:val="nil"/>
              <w:bottom w:val="nil"/>
              <w:right w:val="nil"/>
            </w:tcBorders>
            <w:shd w:val="clear" w:color="auto" w:fill="auto"/>
            <w:vAlign w:val="bottom"/>
          </w:tcPr>
          <w:p w14:paraId="0E1B157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0.381</w:t>
            </w:r>
          </w:p>
        </w:tc>
        <w:tc>
          <w:tcPr>
            <w:tcW w:w="551" w:type="pct"/>
            <w:tcBorders>
              <w:top w:val="nil"/>
              <w:left w:val="nil"/>
              <w:bottom w:val="nil"/>
              <w:right w:val="nil"/>
            </w:tcBorders>
            <w:shd w:val="clear" w:color="auto" w:fill="auto"/>
            <w:vAlign w:val="bottom"/>
          </w:tcPr>
          <w:p w14:paraId="40131F7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0.486</w:t>
            </w:r>
          </w:p>
        </w:tc>
        <w:tc>
          <w:tcPr>
            <w:tcW w:w="535" w:type="pct"/>
            <w:tcBorders>
              <w:top w:val="nil"/>
              <w:left w:val="nil"/>
              <w:bottom w:val="nil"/>
              <w:right w:val="nil"/>
            </w:tcBorders>
            <w:shd w:val="clear" w:color="auto" w:fill="auto"/>
            <w:vAlign w:val="bottom"/>
          </w:tcPr>
          <w:p w14:paraId="38AA13A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6FC07E26"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48A1E143" w14:textId="77777777" w:rsidTr="00F67185">
        <w:tc>
          <w:tcPr>
            <w:tcW w:w="1446" w:type="pct"/>
            <w:tcBorders>
              <w:top w:val="nil"/>
              <w:left w:val="nil"/>
              <w:bottom w:val="nil"/>
              <w:right w:val="nil"/>
            </w:tcBorders>
            <w:shd w:val="clear" w:color="auto" w:fill="auto"/>
            <w:vAlign w:val="center"/>
          </w:tcPr>
          <w:p w14:paraId="14333910"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CHAIN_LIQ</m:t>
                </m:r>
              </m:oMath>
            </m:oMathPara>
          </w:p>
        </w:tc>
        <w:tc>
          <w:tcPr>
            <w:tcW w:w="1469" w:type="pct"/>
            <w:tcBorders>
              <w:top w:val="nil"/>
              <w:left w:val="nil"/>
              <w:bottom w:val="nil"/>
              <w:right w:val="nil"/>
            </w:tcBorders>
            <w:shd w:val="clear" w:color="auto" w:fill="auto"/>
            <w:vAlign w:val="center"/>
          </w:tcPr>
          <w:p w14:paraId="0C20DA81"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Dummy Variable (Binary)</w:t>
            </w:r>
          </w:p>
        </w:tc>
        <w:tc>
          <w:tcPr>
            <w:tcW w:w="497" w:type="pct"/>
            <w:tcBorders>
              <w:top w:val="nil"/>
              <w:left w:val="nil"/>
              <w:bottom w:val="nil"/>
              <w:right w:val="nil"/>
            </w:tcBorders>
            <w:shd w:val="clear" w:color="auto" w:fill="auto"/>
            <w:vAlign w:val="bottom"/>
          </w:tcPr>
          <w:p w14:paraId="636B4979"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0.009</w:t>
            </w:r>
          </w:p>
        </w:tc>
        <w:tc>
          <w:tcPr>
            <w:tcW w:w="551" w:type="pct"/>
            <w:tcBorders>
              <w:top w:val="nil"/>
              <w:left w:val="nil"/>
              <w:bottom w:val="nil"/>
              <w:right w:val="nil"/>
            </w:tcBorders>
            <w:shd w:val="clear" w:color="auto" w:fill="auto"/>
            <w:vAlign w:val="bottom"/>
          </w:tcPr>
          <w:p w14:paraId="25EE9328"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0.092</w:t>
            </w:r>
          </w:p>
        </w:tc>
        <w:tc>
          <w:tcPr>
            <w:tcW w:w="535" w:type="pct"/>
            <w:tcBorders>
              <w:top w:val="nil"/>
              <w:left w:val="nil"/>
              <w:bottom w:val="nil"/>
              <w:right w:val="nil"/>
            </w:tcBorders>
            <w:shd w:val="clear" w:color="auto" w:fill="auto"/>
            <w:vAlign w:val="bottom"/>
          </w:tcPr>
          <w:p w14:paraId="4C902419"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50C5A042"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0F453AC7" w14:textId="77777777" w:rsidTr="00F67185">
        <w:tc>
          <w:tcPr>
            <w:tcW w:w="1446" w:type="pct"/>
            <w:tcBorders>
              <w:top w:val="nil"/>
              <w:left w:val="nil"/>
              <w:bottom w:val="nil"/>
              <w:right w:val="nil"/>
            </w:tcBorders>
            <w:shd w:val="clear" w:color="auto" w:fill="auto"/>
            <w:vAlign w:val="center"/>
          </w:tcPr>
          <w:p w14:paraId="054BA6A7"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CHAIN_CONV</m:t>
                </m:r>
              </m:oMath>
            </m:oMathPara>
          </w:p>
        </w:tc>
        <w:tc>
          <w:tcPr>
            <w:tcW w:w="1469" w:type="pct"/>
            <w:tcBorders>
              <w:top w:val="nil"/>
              <w:left w:val="nil"/>
              <w:bottom w:val="nil"/>
              <w:right w:val="nil"/>
            </w:tcBorders>
            <w:shd w:val="clear" w:color="auto" w:fill="auto"/>
            <w:vAlign w:val="center"/>
          </w:tcPr>
          <w:p w14:paraId="424509F1"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Dummy Variable (Binary)</w:t>
            </w:r>
          </w:p>
        </w:tc>
        <w:tc>
          <w:tcPr>
            <w:tcW w:w="497" w:type="pct"/>
            <w:tcBorders>
              <w:top w:val="nil"/>
              <w:left w:val="nil"/>
              <w:bottom w:val="nil"/>
              <w:right w:val="nil"/>
            </w:tcBorders>
            <w:shd w:val="clear" w:color="auto" w:fill="auto"/>
            <w:vAlign w:val="bottom"/>
          </w:tcPr>
          <w:p w14:paraId="6D9B4202"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0.050</w:t>
            </w:r>
          </w:p>
        </w:tc>
        <w:tc>
          <w:tcPr>
            <w:tcW w:w="551" w:type="pct"/>
            <w:tcBorders>
              <w:top w:val="nil"/>
              <w:left w:val="nil"/>
              <w:bottom w:val="nil"/>
              <w:right w:val="nil"/>
            </w:tcBorders>
            <w:shd w:val="clear" w:color="auto" w:fill="auto"/>
            <w:vAlign w:val="bottom"/>
          </w:tcPr>
          <w:p w14:paraId="7840304C"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0.219</w:t>
            </w:r>
          </w:p>
        </w:tc>
        <w:tc>
          <w:tcPr>
            <w:tcW w:w="535" w:type="pct"/>
            <w:tcBorders>
              <w:top w:val="nil"/>
              <w:left w:val="nil"/>
              <w:bottom w:val="nil"/>
              <w:right w:val="nil"/>
            </w:tcBorders>
            <w:shd w:val="clear" w:color="auto" w:fill="auto"/>
            <w:vAlign w:val="bottom"/>
          </w:tcPr>
          <w:p w14:paraId="5189D14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2F2DE8B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7C8BAD9B" w14:textId="77777777" w:rsidTr="00F67185">
        <w:tc>
          <w:tcPr>
            <w:tcW w:w="1446" w:type="pct"/>
            <w:tcBorders>
              <w:top w:val="nil"/>
              <w:left w:val="nil"/>
              <w:bottom w:val="nil"/>
              <w:right w:val="nil"/>
            </w:tcBorders>
            <w:shd w:val="clear" w:color="auto" w:fill="auto"/>
            <w:vAlign w:val="center"/>
          </w:tcPr>
          <w:p w14:paraId="6DECA1A8"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Chain</w:t>
            </w:r>
          </w:p>
        </w:tc>
        <w:tc>
          <w:tcPr>
            <w:tcW w:w="1469" w:type="pct"/>
            <w:tcBorders>
              <w:top w:val="nil"/>
              <w:left w:val="nil"/>
              <w:bottom w:val="nil"/>
              <w:right w:val="nil"/>
            </w:tcBorders>
            <w:shd w:val="clear" w:color="auto" w:fill="auto"/>
            <w:vAlign w:val="center"/>
          </w:tcPr>
          <w:p w14:paraId="2A02A12B"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bottom"/>
          </w:tcPr>
          <w:p w14:paraId="41EDC144"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591C34F4"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2A285A05"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69124270"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73F435C2" w14:textId="77777777" w:rsidTr="00F67185">
        <w:tc>
          <w:tcPr>
            <w:tcW w:w="1446" w:type="pct"/>
            <w:tcBorders>
              <w:top w:val="nil"/>
              <w:left w:val="nil"/>
              <w:bottom w:val="nil"/>
              <w:right w:val="nil"/>
            </w:tcBorders>
            <w:shd w:val="clear" w:color="auto" w:fill="auto"/>
            <w:vAlign w:val="center"/>
          </w:tcPr>
          <w:p w14:paraId="15901B3B"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RETAIL_CHAIN</m:t>
                </m:r>
              </m:oMath>
            </m:oMathPara>
          </w:p>
        </w:tc>
        <w:tc>
          <w:tcPr>
            <w:tcW w:w="1469" w:type="pct"/>
            <w:tcBorders>
              <w:top w:val="nil"/>
              <w:left w:val="nil"/>
              <w:bottom w:val="nil"/>
              <w:right w:val="nil"/>
            </w:tcBorders>
            <w:shd w:val="clear" w:color="auto" w:fill="auto"/>
            <w:vAlign w:val="center"/>
          </w:tcPr>
          <w:p w14:paraId="54716D17"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60 Dummy Variables (Binary)</w:t>
            </w:r>
          </w:p>
        </w:tc>
        <w:tc>
          <w:tcPr>
            <w:tcW w:w="497" w:type="pct"/>
            <w:tcBorders>
              <w:top w:val="nil"/>
              <w:left w:val="nil"/>
              <w:bottom w:val="nil"/>
              <w:right w:val="nil"/>
            </w:tcBorders>
            <w:shd w:val="clear" w:color="auto" w:fill="auto"/>
            <w:vAlign w:val="bottom"/>
          </w:tcPr>
          <w:p w14:paraId="1E72F036"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3A760DD3"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5DFD390F"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5682D362"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2D3D8DCA" w14:textId="77777777" w:rsidTr="00F67185">
        <w:tc>
          <w:tcPr>
            <w:tcW w:w="1446" w:type="pct"/>
            <w:tcBorders>
              <w:top w:val="nil"/>
              <w:left w:val="nil"/>
              <w:bottom w:val="nil"/>
              <w:right w:val="nil"/>
            </w:tcBorders>
            <w:shd w:val="clear" w:color="auto" w:fill="auto"/>
            <w:vAlign w:val="center"/>
          </w:tcPr>
          <w:p w14:paraId="7ABF478A"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Hurricane Influence</w:t>
            </w:r>
          </w:p>
        </w:tc>
        <w:tc>
          <w:tcPr>
            <w:tcW w:w="1469" w:type="pct"/>
            <w:tcBorders>
              <w:top w:val="nil"/>
              <w:left w:val="nil"/>
              <w:bottom w:val="nil"/>
              <w:right w:val="nil"/>
            </w:tcBorders>
            <w:shd w:val="clear" w:color="auto" w:fill="auto"/>
            <w:vAlign w:val="center"/>
          </w:tcPr>
          <w:p w14:paraId="172860E9"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bottom"/>
          </w:tcPr>
          <w:p w14:paraId="031A9427"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2DB256EA"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2DBD1213"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496B1CD2"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2B33E20B" w14:textId="77777777" w:rsidTr="00F67185">
        <w:tc>
          <w:tcPr>
            <w:tcW w:w="1446" w:type="pct"/>
            <w:tcBorders>
              <w:top w:val="nil"/>
              <w:left w:val="nil"/>
              <w:bottom w:val="nil"/>
              <w:right w:val="nil"/>
            </w:tcBorders>
            <w:shd w:val="clear" w:color="auto" w:fill="auto"/>
            <w:vAlign w:val="center"/>
          </w:tcPr>
          <w:p w14:paraId="2D754EA2" w14:textId="77777777" w:rsidR="00B55E03" w:rsidRPr="001E47AD" w:rsidRDefault="00895142"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DAYS_BEF_INFL_EARLY</m:t>
                </m:r>
              </m:oMath>
            </m:oMathPara>
          </w:p>
        </w:tc>
        <w:tc>
          <w:tcPr>
            <w:tcW w:w="1469" w:type="pct"/>
            <w:tcBorders>
              <w:top w:val="nil"/>
              <w:left w:val="nil"/>
              <w:bottom w:val="nil"/>
              <w:right w:val="nil"/>
            </w:tcBorders>
            <w:shd w:val="clear" w:color="auto" w:fill="auto"/>
            <w:vAlign w:val="center"/>
          </w:tcPr>
          <w:p w14:paraId="085664F0"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Days</w:t>
            </w:r>
          </w:p>
        </w:tc>
        <w:tc>
          <w:tcPr>
            <w:tcW w:w="497" w:type="pct"/>
            <w:tcBorders>
              <w:top w:val="nil"/>
              <w:left w:val="nil"/>
              <w:bottom w:val="nil"/>
              <w:right w:val="nil"/>
            </w:tcBorders>
            <w:shd w:val="clear" w:color="auto" w:fill="auto"/>
            <w:vAlign w:val="bottom"/>
          </w:tcPr>
          <w:p w14:paraId="756AF49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6.376</w:t>
            </w:r>
          </w:p>
        </w:tc>
        <w:tc>
          <w:tcPr>
            <w:tcW w:w="551" w:type="pct"/>
            <w:tcBorders>
              <w:top w:val="nil"/>
              <w:left w:val="nil"/>
              <w:bottom w:val="nil"/>
              <w:right w:val="nil"/>
            </w:tcBorders>
            <w:shd w:val="clear" w:color="auto" w:fill="auto"/>
            <w:vAlign w:val="bottom"/>
          </w:tcPr>
          <w:p w14:paraId="233762C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0.907</w:t>
            </w:r>
          </w:p>
        </w:tc>
        <w:tc>
          <w:tcPr>
            <w:tcW w:w="535" w:type="pct"/>
            <w:tcBorders>
              <w:top w:val="nil"/>
              <w:left w:val="nil"/>
              <w:bottom w:val="nil"/>
              <w:right w:val="nil"/>
            </w:tcBorders>
            <w:shd w:val="clear" w:color="auto" w:fill="auto"/>
            <w:vAlign w:val="bottom"/>
          </w:tcPr>
          <w:p w14:paraId="1ED4950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4.000</w:t>
            </w:r>
          </w:p>
        </w:tc>
        <w:tc>
          <w:tcPr>
            <w:tcW w:w="502" w:type="pct"/>
            <w:tcBorders>
              <w:top w:val="nil"/>
              <w:left w:val="nil"/>
              <w:bottom w:val="nil"/>
              <w:right w:val="nil"/>
            </w:tcBorders>
            <w:shd w:val="clear" w:color="auto" w:fill="auto"/>
            <w:vAlign w:val="bottom"/>
          </w:tcPr>
          <w:p w14:paraId="5C6509C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7.000</w:t>
            </w:r>
          </w:p>
        </w:tc>
      </w:tr>
      <w:tr w:rsidR="00393153" w:rsidRPr="001E47AD" w14:paraId="67158E5F" w14:textId="77777777" w:rsidTr="00F67185">
        <w:tc>
          <w:tcPr>
            <w:tcW w:w="1446" w:type="pct"/>
            <w:tcBorders>
              <w:top w:val="nil"/>
              <w:left w:val="nil"/>
              <w:bottom w:val="nil"/>
              <w:right w:val="nil"/>
            </w:tcBorders>
            <w:shd w:val="clear" w:color="auto" w:fill="auto"/>
            <w:vAlign w:val="center"/>
          </w:tcPr>
          <w:p w14:paraId="00738AEE" w14:textId="77777777" w:rsidR="00B55E03" w:rsidRPr="001E47AD" w:rsidRDefault="00895142"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DAYS_INFL_AFT_LANDFALL</m:t>
                </m:r>
              </m:oMath>
            </m:oMathPara>
          </w:p>
        </w:tc>
        <w:tc>
          <w:tcPr>
            <w:tcW w:w="1469" w:type="pct"/>
            <w:tcBorders>
              <w:top w:val="nil"/>
              <w:left w:val="nil"/>
              <w:bottom w:val="nil"/>
              <w:right w:val="nil"/>
            </w:tcBorders>
            <w:shd w:val="clear" w:color="auto" w:fill="auto"/>
            <w:vAlign w:val="center"/>
          </w:tcPr>
          <w:p w14:paraId="6BA57226"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Days</w:t>
            </w:r>
          </w:p>
        </w:tc>
        <w:tc>
          <w:tcPr>
            <w:tcW w:w="497" w:type="pct"/>
            <w:tcBorders>
              <w:top w:val="nil"/>
              <w:left w:val="nil"/>
              <w:bottom w:val="nil"/>
              <w:right w:val="nil"/>
            </w:tcBorders>
            <w:shd w:val="clear" w:color="auto" w:fill="auto"/>
            <w:vAlign w:val="bottom"/>
          </w:tcPr>
          <w:p w14:paraId="451903A8"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0.337</w:t>
            </w:r>
          </w:p>
        </w:tc>
        <w:tc>
          <w:tcPr>
            <w:tcW w:w="551" w:type="pct"/>
            <w:tcBorders>
              <w:top w:val="nil"/>
              <w:left w:val="nil"/>
              <w:bottom w:val="nil"/>
              <w:right w:val="nil"/>
            </w:tcBorders>
            <w:shd w:val="clear" w:color="auto" w:fill="auto"/>
            <w:vAlign w:val="bottom"/>
          </w:tcPr>
          <w:p w14:paraId="6BAE1FF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1.284</w:t>
            </w:r>
          </w:p>
        </w:tc>
        <w:tc>
          <w:tcPr>
            <w:tcW w:w="535" w:type="pct"/>
            <w:tcBorders>
              <w:top w:val="nil"/>
              <w:left w:val="nil"/>
              <w:bottom w:val="nil"/>
              <w:right w:val="nil"/>
            </w:tcBorders>
            <w:shd w:val="clear" w:color="auto" w:fill="auto"/>
            <w:vAlign w:val="bottom"/>
          </w:tcPr>
          <w:p w14:paraId="120D421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-3.000</w:t>
            </w:r>
          </w:p>
        </w:tc>
        <w:tc>
          <w:tcPr>
            <w:tcW w:w="502" w:type="pct"/>
            <w:tcBorders>
              <w:top w:val="nil"/>
              <w:left w:val="nil"/>
              <w:bottom w:val="nil"/>
              <w:right w:val="nil"/>
            </w:tcBorders>
            <w:shd w:val="clear" w:color="auto" w:fill="auto"/>
            <w:vAlign w:val="bottom"/>
          </w:tcPr>
          <w:p w14:paraId="21AC390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2.000</w:t>
            </w:r>
          </w:p>
        </w:tc>
      </w:tr>
      <w:tr w:rsidR="00393153" w:rsidRPr="001E47AD" w14:paraId="6D27C011" w14:textId="77777777" w:rsidTr="00F67185">
        <w:tc>
          <w:tcPr>
            <w:tcW w:w="1446" w:type="pct"/>
            <w:tcBorders>
              <w:top w:val="nil"/>
              <w:left w:val="nil"/>
              <w:bottom w:val="nil"/>
              <w:right w:val="nil"/>
            </w:tcBorders>
            <w:shd w:val="clear" w:color="auto" w:fill="auto"/>
            <w:vAlign w:val="center"/>
          </w:tcPr>
          <w:p w14:paraId="4103CCDF"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Category Competition</w:t>
            </w:r>
          </w:p>
        </w:tc>
        <w:tc>
          <w:tcPr>
            <w:tcW w:w="1469" w:type="pct"/>
            <w:tcBorders>
              <w:top w:val="nil"/>
              <w:left w:val="nil"/>
              <w:bottom w:val="nil"/>
              <w:right w:val="nil"/>
            </w:tcBorders>
            <w:shd w:val="clear" w:color="auto" w:fill="auto"/>
            <w:vAlign w:val="center"/>
          </w:tcPr>
          <w:p w14:paraId="49D7523D"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center"/>
          </w:tcPr>
          <w:p w14:paraId="647AD615"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center"/>
          </w:tcPr>
          <w:p w14:paraId="5773E15C"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center"/>
          </w:tcPr>
          <w:p w14:paraId="13995852"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center"/>
          </w:tcPr>
          <w:p w14:paraId="7CDE09B8"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7BC3760E" w14:textId="77777777" w:rsidTr="00F67185">
        <w:tc>
          <w:tcPr>
            <w:tcW w:w="1446" w:type="pct"/>
            <w:tcBorders>
              <w:top w:val="nil"/>
              <w:left w:val="nil"/>
              <w:bottom w:val="nil"/>
              <w:right w:val="nil"/>
            </w:tcBorders>
            <w:shd w:val="clear" w:color="auto" w:fill="auto"/>
            <w:vAlign w:val="center"/>
          </w:tcPr>
          <w:p w14:paraId="29003F7E" w14:textId="77777777" w:rsidR="00B55E03" w:rsidRPr="001E47AD" w:rsidRDefault="00B55E03" w:rsidP="0082394A">
            <w:pPr>
              <w:contextualSpacing/>
              <w:jc w:val="both"/>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VOL_COUNTY</m:t>
                </m:r>
              </m:oMath>
            </m:oMathPara>
          </w:p>
        </w:tc>
        <w:tc>
          <w:tcPr>
            <w:tcW w:w="1469" w:type="pct"/>
            <w:tcBorders>
              <w:top w:val="nil"/>
              <w:left w:val="nil"/>
              <w:bottom w:val="nil"/>
              <w:right w:val="nil"/>
            </w:tcBorders>
            <w:shd w:val="clear" w:color="auto" w:fill="auto"/>
            <w:vAlign w:val="center"/>
          </w:tcPr>
          <w:p w14:paraId="09908D3C"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100,000,000 OZ</w:t>
            </w:r>
          </w:p>
        </w:tc>
        <w:tc>
          <w:tcPr>
            <w:tcW w:w="497" w:type="pct"/>
            <w:tcBorders>
              <w:top w:val="nil"/>
              <w:left w:val="nil"/>
              <w:bottom w:val="nil"/>
              <w:right w:val="nil"/>
            </w:tcBorders>
            <w:shd w:val="clear" w:color="auto" w:fill="auto"/>
            <w:vAlign w:val="bottom"/>
          </w:tcPr>
          <w:p w14:paraId="0986DCB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0.923</w:t>
            </w:r>
          </w:p>
        </w:tc>
        <w:tc>
          <w:tcPr>
            <w:tcW w:w="551" w:type="pct"/>
            <w:tcBorders>
              <w:top w:val="nil"/>
              <w:left w:val="nil"/>
              <w:bottom w:val="nil"/>
              <w:right w:val="nil"/>
            </w:tcBorders>
            <w:shd w:val="clear" w:color="auto" w:fill="auto"/>
            <w:vAlign w:val="bottom"/>
          </w:tcPr>
          <w:p w14:paraId="15CE088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1.773</w:t>
            </w:r>
          </w:p>
        </w:tc>
        <w:tc>
          <w:tcPr>
            <w:tcW w:w="535" w:type="pct"/>
            <w:tcBorders>
              <w:top w:val="nil"/>
              <w:left w:val="nil"/>
              <w:bottom w:val="nil"/>
              <w:right w:val="nil"/>
            </w:tcBorders>
            <w:shd w:val="clear" w:color="auto" w:fill="auto"/>
            <w:vAlign w:val="bottom"/>
          </w:tcPr>
          <w:p w14:paraId="1C294DA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7793CA4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17.744</w:t>
            </w:r>
          </w:p>
        </w:tc>
      </w:tr>
      <w:tr w:rsidR="00393153" w:rsidRPr="001E47AD" w14:paraId="534D8642" w14:textId="77777777" w:rsidTr="00F67185">
        <w:tc>
          <w:tcPr>
            <w:tcW w:w="1446" w:type="pct"/>
            <w:tcBorders>
              <w:top w:val="nil"/>
              <w:left w:val="nil"/>
              <w:bottom w:val="nil"/>
              <w:right w:val="nil"/>
            </w:tcBorders>
            <w:shd w:val="clear" w:color="auto" w:fill="auto"/>
            <w:vAlign w:val="center"/>
          </w:tcPr>
          <w:p w14:paraId="1494F1E5" w14:textId="77777777" w:rsidR="00B55E03" w:rsidRPr="001E47AD" w:rsidRDefault="00B55E03" w:rsidP="0082394A">
            <w:pPr>
              <w:contextualSpacing/>
              <w:jc w:val="both"/>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VOL_STATE</m:t>
                </m:r>
              </m:oMath>
            </m:oMathPara>
          </w:p>
        </w:tc>
        <w:tc>
          <w:tcPr>
            <w:tcW w:w="1469" w:type="pct"/>
            <w:tcBorders>
              <w:top w:val="nil"/>
              <w:left w:val="nil"/>
              <w:bottom w:val="nil"/>
              <w:right w:val="nil"/>
            </w:tcBorders>
            <w:shd w:val="clear" w:color="auto" w:fill="auto"/>
            <w:vAlign w:val="center"/>
          </w:tcPr>
          <w:p w14:paraId="3110ACF1"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100,000,000 OZ</w:t>
            </w:r>
          </w:p>
        </w:tc>
        <w:tc>
          <w:tcPr>
            <w:tcW w:w="497" w:type="pct"/>
            <w:tcBorders>
              <w:top w:val="nil"/>
              <w:left w:val="nil"/>
              <w:bottom w:val="nil"/>
              <w:right w:val="nil"/>
            </w:tcBorders>
            <w:shd w:val="clear" w:color="auto" w:fill="auto"/>
            <w:vAlign w:val="bottom"/>
          </w:tcPr>
          <w:p w14:paraId="67C76FB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9.565</w:t>
            </w:r>
          </w:p>
        </w:tc>
        <w:tc>
          <w:tcPr>
            <w:tcW w:w="551" w:type="pct"/>
            <w:tcBorders>
              <w:top w:val="nil"/>
              <w:left w:val="nil"/>
              <w:bottom w:val="nil"/>
              <w:right w:val="nil"/>
            </w:tcBorders>
            <w:shd w:val="clear" w:color="auto" w:fill="auto"/>
            <w:vAlign w:val="bottom"/>
          </w:tcPr>
          <w:p w14:paraId="6915BB56"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12.329</w:t>
            </w:r>
          </w:p>
        </w:tc>
        <w:tc>
          <w:tcPr>
            <w:tcW w:w="535" w:type="pct"/>
            <w:tcBorders>
              <w:top w:val="nil"/>
              <w:left w:val="nil"/>
              <w:bottom w:val="nil"/>
              <w:right w:val="nil"/>
            </w:tcBorders>
            <w:shd w:val="clear" w:color="auto" w:fill="auto"/>
            <w:vAlign w:val="bottom"/>
          </w:tcPr>
          <w:p w14:paraId="01C0B5C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0.001</w:t>
            </w:r>
          </w:p>
        </w:tc>
        <w:tc>
          <w:tcPr>
            <w:tcW w:w="502" w:type="pct"/>
            <w:tcBorders>
              <w:top w:val="nil"/>
              <w:left w:val="nil"/>
              <w:bottom w:val="nil"/>
              <w:right w:val="nil"/>
            </w:tcBorders>
            <w:shd w:val="clear" w:color="auto" w:fill="auto"/>
            <w:vAlign w:val="bottom"/>
          </w:tcPr>
          <w:p w14:paraId="5909429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52.037</w:t>
            </w:r>
          </w:p>
        </w:tc>
      </w:tr>
      <w:tr w:rsidR="00393153" w:rsidRPr="001E47AD" w14:paraId="456A5A81" w14:textId="77777777" w:rsidTr="00F67185">
        <w:tc>
          <w:tcPr>
            <w:tcW w:w="1446" w:type="pct"/>
            <w:tcBorders>
              <w:top w:val="nil"/>
              <w:left w:val="nil"/>
              <w:bottom w:val="nil"/>
              <w:right w:val="nil"/>
            </w:tcBorders>
            <w:shd w:val="clear" w:color="auto" w:fill="auto"/>
            <w:vAlign w:val="center"/>
          </w:tcPr>
          <w:p w14:paraId="6024812B"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HHI_COUNTY</m:t>
                </m:r>
              </m:oMath>
            </m:oMathPara>
          </w:p>
        </w:tc>
        <w:tc>
          <w:tcPr>
            <w:tcW w:w="1469" w:type="pct"/>
            <w:tcBorders>
              <w:top w:val="nil"/>
              <w:left w:val="nil"/>
              <w:bottom w:val="nil"/>
              <w:right w:val="nil"/>
            </w:tcBorders>
            <w:shd w:val="clear" w:color="auto" w:fill="auto"/>
            <w:vAlign w:val="center"/>
          </w:tcPr>
          <w:p w14:paraId="737C3DBD"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Herfindahl-Hirschman Index</w:t>
            </w:r>
          </w:p>
        </w:tc>
        <w:tc>
          <w:tcPr>
            <w:tcW w:w="497" w:type="pct"/>
            <w:tcBorders>
              <w:top w:val="nil"/>
              <w:left w:val="nil"/>
              <w:bottom w:val="nil"/>
              <w:right w:val="nil"/>
            </w:tcBorders>
            <w:shd w:val="clear" w:color="auto" w:fill="auto"/>
            <w:vAlign w:val="bottom"/>
          </w:tcPr>
          <w:p w14:paraId="005963D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0.129</w:t>
            </w:r>
          </w:p>
        </w:tc>
        <w:tc>
          <w:tcPr>
            <w:tcW w:w="551" w:type="pct"/>
            <w:tcBorders>
              <w:top w:val="nil"/>
              <w:left w:val="nil"/>
              <w:bottom w:val="nil"/>
              <w:right w:val="nil"/>
            </w:tcBorders>
            <w:shd w:val="clear" w:color="auto" w:fill="auto"/>
            <w:vAlign w:val="bottom"/>
          </w:tcPr>
          <w:p w14:paraId="0056E8A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0.162</w:t>
            </w:r>
          </w:p>
        </w:tc>
        <w:tc>
          <w:tcPr>
            <w:tcW w:w="535" w:type="pct"/>
            <w:tcBorders>
              <w:top w:val="nil"/>
              <w:left w:val="nil"/>
              <w:bottom w:val="nil"/>
              <w:right w:val="nil"/>
            </w:tcBorders>
            <w:shd w:val="clear" w:color="auto" w:fill="auto"/>
            <w:vAlign w:val="bottom"/>
          </w:tcPr>
          <w:p w14:paraId="2126EF3C"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0.005</w:t>
            </w:r>
          </w:p>
        </w:tc>
        <w:tc>
          <w:tcPr>
            <w:tcW w:w="502" w:type="pct"/>
            <w:tcBorders>
              <w:top w:val="nil"/>
              <w:left w:val="nil"/>
              <w:bottom w:val="nil"/>
              <w:right w:val="nil"/>
            </w:tcBorders>
            <w:shd w:val="clear" w:color="auto" w:fill="auto"/>
            <w:vAlign w:val="bottom"/>
          </w:tcPr>
          <w:p w14:paraId="6DB49FF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1.000</w:t>
            </w:r>
          </w:p>
        </w:tc>
      </w:tr>
      <w:tr w:rsidR="00393153" w:rsidRPr="001E47AD" w14:paraId="60393C4B" w14:textId="77777777" w:rsidTr="008D71EE">
        <w:tc>
          <w:tcPr>
            <w:tcW w:w="1446" w:type="pct"/>
            <w:tcBorders>
              <w:top w:val="nil"/>
              <w:left w:val="nil"/>
              <w:bottom w:val="nil"/>
              <w:right w:val="nil"/>
            </w:tcBorders>
            <w:shd w:val="clear" w:color="auto" w:fill="auto"/>
            <w:vAlign w:val="center"/>
          </w:tcPr>
          <w:p w14:paraId="1C1EE1E7"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HHI_STATE</m:t>
                </m:r>
              </m:oMath>
            </m:oMathPara>
          </w:p>
        </w:tc>
        <w:tc>
          <w:tcPr>
            <w:tcW w:w="1469" w:type="pct"/>
            <w:tcBorders>
              <w:top w:val="nil"/>
              <w:left w:val="nil"/>
              <w:bottom w:val="nil"/>
              <w:right w:val="nil"/>
            </w:tcBorders>
            <w:shd w:val="clear" w:color="auto" w:fill="auto"/>
            <w:vAlign w:val="center"/>
          </w:tcPr>
          <w:p w14:paraId="67CD28FE"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Herfindahl-Hirschman Index</w:t>
            </w:r>
          </w:p>
        </w:tc>
        <w:tc>
          <w:tcPr>
            <w:tcW w:w="497" w:type="pct"/>
            <w:tcBorders>
              <w:top w:val="nil"/>
              <w:left w:val="nil"/>
              <w:bottom w:val="nil"/>
              <w:right w:val="nil"/>
            </w:tcBorders>
            <w:shd w:val="clear" w:color="auto" w:fill="auto"/>
            <w:vAlign w:val="bottom"/>
          </w:tcPr>
          <w:p w14:paraId="44AA7C74"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0.006</w:t>
            </w:r>
          </w:p>
        </w:tc>
        <w:tc>
          <w:tcPr>
            <w:tcW w:w="551" w:type="pct"/>
            <w:tcBorders>
              <w:top w:val="nil"/>
              <w:left w:val="nil"/>
              <w:bottom w:val="nil"/>
              <w:right w:val="nil"/>
            </w:tcBorders>
            <w:shd w:val="clear" w:color="auto" w:fill="auto"/>
            <w:vAlign w:val="bottom"/>
          </w:tcPr>
          <w:p w14:paraId="5B75425C"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0.010</w:t>
            </w:r>
          </w:p>
        </w:tc>
        <w:tc>
          <w:tcPr>
            <w:tcW w:w="535" w:type="pct"/>
            <w:tcBorders>
              <w:top w:val="nil"/>
              <w:left w:val="nil"/>
              <w:bottom w:val="nil"/>
              <w:right w:val="nil"/>
            </w:tcBorders>
            <w:shd w:val="clear" w:color="auto" w:fill="auto"/>
            <w:vAlign w:val="bottom"/>
          </w:tcPr>
          <w:p w14:paraId="3C7FA38E"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0.001</w:t>
            </w:r>
          </w:p>
        </w:tc>
        <w:tc>
          <w:tcPr>
            <w:tcW w:w="502" w:type="pct"/>
            <w:tcBorders>
              <w:top w:val="nil"/>
              <w:left w:val="nil"/>
              <w:bottom w:val="nil"/>
              <w:right w:val="nil"/>
            </w:tcBorders>
            <w:shd w:val="clear" w:color="auto" w:fill="auto"/>
            <w:vAlign w:val="bottom"/>
          </w:tcPr>
          <w:p w14:paraId="07B25A2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0.085</w:t>
            </w:r>
          </w:p>
        </w:tc>
      </w:tr>
      <w:tr w:rsidR="00393153" w:rsidRPr="001E47AD" w14:paraId="610DFE53" w14:textId="77777777" w:rsidTr="00F67185">
        <w:tc>
          <w:tcPr>
            <w:tcW w:w="1446" w:type="pct"/>
            <w:tcBorders>
              <w:top w:val="nil"/>
              <w:left w:val="nil"/>
              <w:bottom w:val="nil"/>
              <w:right w:val="nil"/>
            </w:tcBorders>
            <w:shd w:val="clear" w:color="auto" w:fill="auto"/>
            <w:vAlign w:val="center"/>
          </w:tcPr>
          <w:p w14:paraId="0ECAF6F2" w14:textId="77777777" w:rsidR="00B55E03" w:rsidRPr="001E47AD" w:rsidRDefault="00B55E03"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Geodemographic Feature</w:t>
            </w:r>
          </w:p>
        </w:tc>
        <w:tc>
          <w:tcPr>
            <w:tcW w:w="1469" w:type="pct"/>
            <w:tcBorders>
              <w:top w:val="nil"/>
              <w:left w:val="nil"/>
              <w:bottom w:val="nil"/>
              <w:right w:val="nil"/>
            </w:tcBorders>
            <w:shd w:val="clear" w:color="auto" w:fill="auto"/>
            <w:vAlign w:val="center"/>
          </w:tcPr>
          <w:p w14:paraId="1B705265" w14:textId="77777777" w:rsidR="00B55E03" w:rsidRPr="001E47AD" w:rsidRDefault="00B55E03"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bottom"/>
          </w:tcPr>
          <w:p w14:paraId="3F15B42C" w14:textId="77777777" w:rsidR="00B55E03" w:rsidRPr="001E47AD" w:rsidRDefault="00B55E03"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3EADE0C3" w14:textId="77777777" w:rsidR="00B55E03" w:rsidRPr="001E47AD" w:rsidRDefault="00B55E03"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2F947E72" w14:textId="77777777" w:rsidR="00B55E03" w:rsidRPr="001E47AD" w:rsidRDefault="00B55E03"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6EC39A93" w14:textId="77777777" w:rsidR="00B55E03" w:rsidRPr="001E47AD" w:rsidRDefault="00B55E03" w:rsidP="0082394A">
            <w:pPr>
              <w:contextualSpacing/>
              <w:jc w:val="right"/>
              <w:rPr>
                <w:rFonts w:ascii="Times New Roman" w:hAnsi="Times New Roman" w:cs="Times New Roman"/>
                <w:sz w:val="16"/>
                <w:szCs w:val="16"/>
              </w:rPr>
            </w:pPr>
          </w:p>
        </w:tc>
      </w:tr>
      <w:tr w:rsidR="00393153" w:rsidRPr="001E47AD" w14:paraId="3CE33953" w14:textId="77777777" w:rsidTr="00F67185">
        <w:tc>
          <w:tcPr>
            <w:tcW w:w="1446" w:type="pct"/>
            <w:tcBorders>
              <w:top w:val="nil"/>
              <w:left w:val="nil"/>
              <w:bottom w:val="nil"/>
              <w:right w:val="nil"/>
            </w:tcBorders>
            <w:shd w:val="clear" w:color="auto" w:fill="auto"/>
            <w:vAlign w:val="center"/>
          </w:tcPr>
          <w:p w14:paraId="70E298FB"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POP_DEN_COUNTY</m:t>
                </m:r>
              </m:oMath>
            </m:oMathPara>
          </w:p>
        </w:tc>
        <w:tc>
          <w:tcPr>
            <w:tcW w:w="1469" w:type="pct"/>
            <w:tcBorders>
              <w:top w:val="nil"/>
              <w:left w:val="nil"/>
              <w:bottom w:val="nil"/>
              <w:right w:val="nil"/>
            </w:tcBorders>
            <w:shd w:val="clear" w:color="auto" w:fill="auto"/>
            <w:vAlign w:val="center"/>
          </w:tcPr>
          <w:p w14:paraId="4013C56D"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People Per Square Miles</w:t>
            </w:r>
          </w:p>
        </w:tc>
        <w:tc>
          <w:tcPr>
            <w:tcW w:w="497" w:type="pct"/>
            <w:tcBorders>
              <w:top w:val="nil"/>
              <w:left w:val="nil"/>
              <w:bottom w:val="nil"/>
              <w:right w:val="nil"/>
            </w:tcBorders>
            <w:shd w:val="clear" w:color="auto" w:fill="auto"/>
            <w:vAlign w:val="bottom"/>
          </w:tcPr>
          <w:p w14:paraId="5189C455"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33.311</w:t>
            </w:r>
          </w:p>
        </w:tc>
        <w:tc>
          <w:tcPr>
            <w:tcW w:w="551" w:type="pct"/>
            <w:tcBorders>
              <w:top w:val="nil"/>
              <w:left w:val="nil"/>
              <w:bottom w:val="nil"/>
              <w:right w:val="nil"/>
            </w:tcBorders>
            <w:shd w:val="clear" w:color="auto" w:fill="auto"/>
            <w:vAlign w:val="bottom"/>
          </w:tcPr>
          <w:p w14:paraId="2D3DD3A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103.409</w:t>
            </w:r>
          </w:p>
        </w:tc>
        <w:tc>
          <w:tcPr>
            <w:tcW w:w="535" w:type="pct"/>
            <w:tcBorders>
              <w:top w:val="nil"/>
              <w:left w:val="nil"/>
              <w:bottom w:val="nil"/>
              <w:right w:val="nil"/>
            </w:tcBorders>
            <w:shd w:val="clear" w:color="auto" w:fill="auto"/>
            <w:vAlign w:val="bottom"/>
          </w:tcPr>
          <w:p w14:paraId="37ECD720"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0.043</w:t>
            </w:r>
          </w:p>
        </w:tc>
        <w:tc>
          <w:tcPr>
            <w:tcW w:w="502" w:type="pct"/>
            <w:tcBorders>
              <w:top w:val="nil"/>
              <w:left w:val="nil"/>
              <w:bottom w:val="nil"/>
              <w:right w:val="nil"/>
            </w:tcBorders>
            <w:shd w:val="clear" w:color="auto" w:fill="auto"/>
            <w:vAlign w:val="bottom"/>
          </w:tcPr>
          <w:p w14:paraId="1405C856"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722.531</w:t>
            </w:r>
          </w:p>
        </w:tc>
      </w:tr>
      <w:tr w:rsidR="00393153" w:rsidRPr="001E47AD" w14:paraId="37274F68" w14:textId="77777777" w:rsidTr="00F67185">
        <w:tc>
          <w:tcPr>
            <w:tcW w:w="1446" w:type="pct"/>
            <w:tcBorders>
              <w:top w:val="nil"/>
              <w:left w:val="nil"/>
              <w:bottom w:val="nil"/>
              <w:right w:val="nil"/>
            </w:tcBorders>
            <w:shd w:val="clear" w:color="auto" w:fill="auto"/>
            <w:vAlign w:val="center"/>
          </w:tcPr>
          <w:p w14:paraId="741AF3D3"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LAND_AREA_COUNTY</m:t>
                </m:r>
              </m:oMath>
            </m:oMathPara>
          </w:p>
        </w:tc>
        <w:tc>
          <w:tcPr>
            <w:tcW w:w="1469" w:type="pct"/>
            <w:tcBorders>
              <w:top w:val="nil"/>
              <w:left w:val="nil"/>
              <w:bottom w:val="nil"/>
              <w:right w:val="nil"/>
            </w:tcBorders>
            <w:shd w:val="clear" w:color="auto" w:fill="auto"/>
            <w:vAlign w:val="center"/>
          </w:tcPr>
          <w:p w14:paraId="4908DB37"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Square Miles</w:t>
            </w:r>
          </w:p>
        </w:tc>
        <w:tc>
          <w:tcPr>
            <w:tcW w:w="497" w:type="pct"/>
            <w:tcBorders>
              <w:top w:val="nil"/>
              <w:left w:val="nil"/>
              <w:bottom w:val="nil"/>
              <w:right w:val="nil"/>
            </w:tcBorders>
            <w:shd w:val="clear" w:color="auto" w:fill="auto"/>
            <w:vAlign w:val="bottom"/>
          </w:tcPr>
          <w:p w14:paraId="73CEA6A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6.363</w:t>
            </w:r>
          </w:p>
        </w:tc>
        <w:tc>
          <w:tcPr>
            <w:tcW w:w="551" w:type="pct"/>
            <w:tcBorders>
              <w:top w:val="nil"/>
              <w:left w:val="nil"/>
              <w:bottom w:val="nil"/>
              <w:right w:val="nil"/>
            </w:tcBorders>
            <w:shd w:val="clear" w:color="auto" w:fill="auto"/>
            <w:vAlign w:val="bottom"/>
          </w:tcPr>
          <w:p w14:paraId="59DCD838"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4.645</w:t>
            </w:r>
          </w:p>
        </w:tc>
        <w:tc>
          <w:tcPr>
            <w:tcW w:w="535" w:type="pct"/>
            <w:tcBorders>
              <w:top w:val="nil"/>
              <w:left w:val="nil"/>
              <w:bottom w:val="nil"/>
              <w:right w:val="nil"/>
            </w:tcBorders>
            <w:shd w:val="clear" w:color="auto" w:fill="auto"/>
            <w:vAlign w:val="bottom"/>
          </w:tcPr>
          <w:p w14:paraId="085FBDF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0.227</w:t>
            </w:r>
          </w:p>
        </w:tc>
        <w:tc>
          <w:tcPr>
            <w:tcW w:w="502" w:type="pct"/>
            <w:tcBorders>
              <w:top w:val="nil"/>
              <w:left w:val="nil"/>
              <w:bottom w:val="nil"/>
              <w:right w:val="nil"/>
            </w:tcBorders>
            <w:shd w:val="clear" w:color="auto" w:fill="auto"/>
            <w:vAlign w:val="bottom"/>
          </w:tcPr>
          <w:p w14:paraId="5C07ED4B"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66.711</w:t>
            </w:r>
          </w:p>
        </w:tc>
      </w:tr>
      <w:tr w:rsidR="00393153" w:rsidRPr="001E47AD" w14:paraId="22836AA4" w14:textId="77777777" w:rsidTr="00F67185">
        <w:tc>
          <w:tcPr>
            <w:tcW w:w="1446" w:type="pct"/>
            <w:tcBorders>
              <w:top w:val="nil"/>
              <w:left w:val="nil"/>
              <w:bottom w:val="nil"/>
              <w:right w:val="nil"/>
            </w:tcBorders>
            <w:shd w:val="clear" w:color="auto" w:fill="auto"/>
            <w:vAlign w:val="center"/>
          </w:tcPr>
          <w:p w14:paraId="7A1E179A"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WATER_AREA_COUNTY</m:t>
                </m:r>
              </m:oMath>
            </m:oMathPara>
          </w:p>
        </w:tc>
        <w:tc>
          <w:tcPr>
            <w:tcW w:w="1469" w:type="pct"/>
            <w:tcBorders>
              <w:top w:val="nil"/>
              <w:left w:val="nil"/>
              <w:bottom w:val="nil"/>
              <w:right w:val="nil"/>
            </w:tcBorders>
            <w:shd w:val="clear" w:color="auto" w:fill="auto"/>
            <w:vAlign w:val="center"/>
          </w:tcPr>
          <w:p w14:paraId="6F7C7271"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Square Miles</w:t>
            </w:r>
          </w:p>
        </w:tc>
        <w:tc>
          <w:tcPr>
            <w:tcW w:w="497" w:type="pct"/>
            <w:tcBorders>
              <w:top w:val="nil"/>
              <w:left w:val="nil"/>
              <w:bottom w:val="nil"/>
              <w:right w:val="nil"/>
            </w:tcBorders>
            <w:shd w:val="clear" w:color="auto" w:fill="auto"/>
            <w:vAlign w:val="bottom"/>
          </w:tcPr>
          <w:p w14:paraId="143F50D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1.288</w:t>
            </w:r>
          </w:p>
        </w:tc>
        <w:tc>
          <w:tcPr>
            <w:tcW w:w="551" w:type="pct"/>
            <w:tcBorders>
              <w:top w:val="nil"/>
              <w:left w:val="nil"/>
              <w:bottom w:val="nil"/>
              <w:right w:val="nil"/>
            </w:tcBorders>
            <w:shd w:val="clear" w:color="auto" w:fill="auto"/>
            <w:vAlign w:val="bottom"/>
          </w:tcPr>
          <w:p w14:paraId="5C0DF2D8"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2.437</w:t>
            </w:r>
          </w:p>
        </w:tc>
        <w:tc>
          <w:tcPr>
            <w:tcW w:w="535" w:type="pct"/>
            <w:tcBorders>
              <w:top w:val="nil"/>
              <w:left w:val="nil"/>
              <w:bottom w:val="nil"/>
              <w:right w:val="nil"/>
            </w:tcBorders>
            <w:shd w:val="clear" w:color="auto" w:fill="auto"/>
            <w:vAlign w:val="bottom"/>
          </w:tcPr>
          <w:p w14:paraId="1E2A2A0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529B150D"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27.542</w:t>
            </w:r>
          </w:p>
        </w:tc>
      </w:tr>
      <w:tr w:rsidR="00393153" w:rsidRPr="001E47AD" w14:paraId="26244238" w14:textId="77777777" w:rsidTr="00F67185">
        <w:tc>
          <w:tcPr>
            <w:tcW w:w="1446" w:type="pct"/>
            <w:tcBorders>
              <w:top w:val="nil"/>
              <w:left w:val="nil"/>
              <w:bottom w:val="nil"/>
              <w:right w:val="nil"/>
            </w:tcBorders>
            <w:shd w:val="clear" w:color="auto" w:fill="auto"/>
            <w:vAlign w:val="center"/>
          </w:tcPr>
          <w:p w14:paraId="269EE408"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POP_DEN_STATE</m:t>
                </m:r>
              </m:oMath>
            </m:oMathPara>
          </w:p>
        </w:tc>
        <w:tc>
          <w:tcPr>
            <w:tcW w:w="1469" w:type="pct"/>
            <w:tcBorders>
              <w:top w:val="nil"/>
              <w:left w:val="nil"/>
              <w:bottom w:val="nil"/>
              <w:right w:val="nil"/>
            </w:tcBorders>
            <w:shd w:val="clear" w:color="auto" w:fill="auto"/>
            <w:vAlign w:val="center"/>
          </w:tcPr>
          <w:p w14:paraId="389EC134"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People Per Square Miles</w:t>
            </w:r>
          </w:p>
        </w:tc>
        <w:tc>
          <w:tcPr>
            <w:tcW w:w="497" w:type="pct"/>
            <w:tcBorders>
              <w:top w:val="nil"/>
              <w:left w:val="nil"/>
              <w:bottom w:val="nil"/>
              <w:right w:val="nil"/>
            </w:tcBorders>
            <w:shd w:val="clear" w:color="auto" w:fill="auto"/>
            <w:vAlign w:val="bottom"/>
          </w:tcPr>
          <w:p w14:paraId="3D66A781"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6.276</w:t>
            </w:r>
          </w:p>
        </w:tc>
        <w:tc>
          <w:tcPr>
            <w:tcW w:w="551" w:type="pct"/>
            <w:tcBorders>
              <w:top w:val="nil"/>
              <w:left w:val="nil"/>
              <w:bottom w:val="nil"/>
              <w:right w:val="nil"/>
            </w:tcBorders>
            <w:shd w:val="clear" w:color="auto" w:fill="auto"/>
            <w:vAlign w:val="bottom"/>
          </w:tcPr>
          <w:p w14:paraId="2634E1DF"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9.336</w:t>
            </w:r>
          </w:p>
        </w:tc>
        <w:tc>
          <w:tcPr>
            <w:tcW w:w="535" w:type="pct"/>
            <w:tcBorders>
              <w:top w:val="nil"/>
              <w:left w:val="nil"/>
              <w:bottom w:val="nil"/>
              <w:right w:val="nil"/>
            </w:tcBorders>
            <w:shd w:val="clear" w:color="auto" w:fill="auto"/>
            <w:vAlign w:val="bottom"/>
          </w:tcPr>
          <w:p w14:paraId="55C9F1F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0.244</w:t>
            </w:r>
          </w:p>
        </w:tc>
        <w:tc>
          <w:tcPr>
            <w:tcW w:w="502" w:type="pct"/>
            <w:tcBorders>
              <w:top w:val="nil"/>
              <w:left w:val="nil"/>
              <w:bottom w:val="nil"/>
              <w:right w:val="nil"/>
            </w:tcBorders>
            <w:shd w:val="clear" w:color="auto" w:fill="auto"/>
            <w:vAlign w:val="bottom"/>
          </w:tcPr>
          <w:p w14:paraId="3F547549"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375.386</w:t>
            </w:r>
          </w:p>
        </w:tc>
      </w:tr>
      <w:tr w:rsidR="00393153" w:rsidRPr="001E47AD" w14:paraId="52B35755" w14:textId="77777777" w:rsidTr="00F67185">
        <w:tc>
          <w:tcPr>
            <w:tcW w:w="1446" w:type="pct"/>
            <w:tcBorders>
              <w:top w:val="nil"/>
              <w:left w:val="nil"/>
              <w:bottom w:val="nil"/>
              <w:right w:val="nil"/>
            </w:tcBorders>
            <w:shd w:val="clear" w:color="auto" w:fill="auto"/>
            <w:vAlign w:val="center"/>
          </w:tcPr>
          <w:p w14:paraId="580D29DF"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LAND_AREA_STATE</m:t>
                </m:r>
              </m:oMath>
            </m:oMathPara>
          </w:p>
        </w:tc>
        <w:tc>
          <w:tcPr>
            <w:tcW w:w="1469" w:type="pct"/>
            <w:tcBorders>
              <w:top w:val="nil"/>
              <w:left w:val="nil"/>
              <w:bottom w:val="nil"/>
              <w:right w:val="nil"/>
            </w:tcBorders>
            <w:shd w:val="clear" w:color="auto" w:fill="auto"/>
            <w:vAlign w:val="center"/>
          </w:tcPr>
          <w:p w14:paraId="0C0C2D73"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Square Miles</w:t>
            </w:r>
          </w:p>
        </w:tc>
        <w:tc>
          <w:tcPr>
            <w:tcW w:w="497" w:type="pct"/>
            <w:tcBorders>
              <w:top w:val="nil"/>
              <w:left w:val="nil"/>
              <w:bottom w:val="nil"/>
              <w:right w:val="nil"/>
            </w:tcBorders>
            <w:shd w:val="clear" w:color="auto" w:fill="auto"/>
            <w:vAlign w:val="bottom"/>
          </w:tcPr>
          <w:p w14:paraId="4A385BA9"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235.694</w:t>
            </w:r>
          </w:p>
        </w:tc>
        <w:tc>
          <w:tcPr>
            <w:tcW w:w="551" w:type="pct"/>
            <w:tcBorders>
              <w:top w:val="nil"/>
              <w:left w:val="nil"/>
              <w:bottom w:val="nil"/>
              <w:right w:val="nil"/>
            </w:tcBorders>
            <w:shd w:val="clear" w:color="auto" w:fill="auto"/>
            <w:vAlign w:val="bottom"/>
          </w:tcPr>
          <w:p w14:paraId="6F2135CA"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160.212</w:t>
            </w:r>
          </w:p>
        </w:tc>
        <w:tc>
          <w:tcPr>
            <w:tcW w:w="535" w:type="pct"/>
            <w:tcBorders>
              <w:top w:val="nil"/>
              <w:left w:val="nil"/>
              <w:bottom w:val="nil"/>
              <w:right w:val="nil"/>
            </w:tcBorders>
            <w:shd w:val="clear" w:color="auto" w:fill="auto"/>
            <w:vAlign w:val="bottom"/>
          </w:tcPr>
          <w:p w14:paraId="68196697"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0.610</w:t>
            </w:r>
          </w:p>
        </w:tc>
        <w:tc>
          <w:tcPr>
            <w:tcW w:w="502" w:type="pct"/>
            <w:tcBorders>
              <w:top w:val="nil"/>
              <w:left w:val="nil"/>
              <w:bottom w:val="nil"/>
              <w:right w:val="nil"/>
            </w:tcBorders>
            <w:shd w:val="clear" w:color="auto" w:fill="auto"/>
            <w:vAlign w:val="bottom"/>
          </w:tcPr>
          <w:p w14:paraId="31819163"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550.904</w:t>
            </w:r>
          </w:p>
        </w:tc>
      </w:tr>
      <w:tr w:rsidR="00393153" w:rsidRPr="001E47AD" w14:paraId="3843095A" w14:textId="77777777" w:rsidTr="008D71EE">
        <w:tc>
          <w:tcPr>
            <w:tcW w:w="1446" w:type="pct"/>
            <w:tcBorders>
              <w:top w:val="nil"/>
              <w:left w:val="nil"/>
              <w:bottom w:val="nil"/>
              <w:right w:val="nil"/>
            </w:tcBorders>
            <w:shd w:val="clear" w:color="auto" w:fill="auto"/>
            <w:vAlign w:val="center"/>
          </w:tcPr>
          <w:p w14:paraId="452A45F3" w14:textId="77777777" w:rsidR="00B55E03" w:rsidRPr="001E47AD" w:rsidRDefault="00B55E03" w:rsidP="008239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WATER_AREA_STATE</m:t>
                </m:r>
              </m:oMath>
            </m:oMathPara>
          </w:p>
        </w:tc>
        <w:tc>
          <w:tcPr>
            <w:tcW w:w="1469" w:type="pct"/>
            <w:tcBorders>
              <w:top w:val="nil"/>
              <w:left w:val="nil"/>
              <w:bottom w:val="nil"/>
              <w:right w:val="nil"/>
            </w:tcBorders>
            <w:shd w:val="clear" w:color="auto" w:fill="auto"/>
            <w:vAlign w:val="center"/>
          </w:tcPr>
          <w:p w14:paraId="01CA4E9A" w14:textId="77777777" w:rsidR="00B55E03" w:rsidRPr="001E47AD" w:rsidRDefault="00B55E03" w:rsidP="0082394A">
            <w:pPr>
              <w:contextualSpacing/>
              <w:rPr>
                <w:rFonts w:ascii="Times New Roman" w:hAnsi="Times New Roman" w:cs="Times New Roman"/>
                <w:sz w:val="16"/>
                <w:szCs w:val="16"/>
              </w:rPr>
            </w:pPr>
            <w:r w:rsidRPr="001E47AD">
              <w:rPr>
                <w:rFonts w:ascii="Times New Roman" w:hAnsi="Times New Roman" w:cs="Times New Roman"/>
                <w:sz w:val="16"/>
                <w:szCs w:val="16"/>
              </w:rPr>
              <w:t>100 Square Miles</w:t>
            </w:r>
          </w:p>
        </w:tc>
        <w:tc>
          <w:tcPr>
            <w:tcW w:w="497" w:type="pct"/>
            <w:tcBorders>
              <w:top w:val="nil"/>
              <w:left w:val="nil"/>
              <w:bottom w:val="nil"/>
              <w:right w:val="nil"/>
            </w:tcBorders>
            <w:shd w:val="clear" w:color="auto" w:fill="auto"/>
            <w:vAlign w:val="bottom"/>
          </w:tcPr>
          <w:p w14:paraId="49361CD2"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33.765</w:t>
            </w:r>
          </w:p>
        </w:tc>
        <w:tc>
          <w:tcPr>
            <w:tcW w:w="551" w:type="pct"/>
            <w:tcBorders>
              <w:top w:val="nil"/>
              <w:left w:val="nil"/>
              <w:bottom w:val="nil"/>
              <w:right w:val="nil"/>
            </w:tcBorders>
            <w:shd w:val="clear" w:color="auto" w:fill="auto"/>
            <w:vAlign w:val="bottom"/>
          </w:tcPr>
          <w:p w14:paraId="3BFC8AF2"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34.517</w:t>
            </w:r>
          </w:p>
        </w:tc>
        <w:tc>
          <w:tcPr>
            <w:tcW w:w="535" w:type="pct"/>
            <w:tcBorders>
              <w:top w:val="nil"/>
              <w:left w:val="nil"/>
              <w:bottom w:val="nil"/>
              <w:right w:val="nil"/>
            </w:tcBorders>
            <w:shd w:val="clear" w:color="auto" w:fill="auto"/>
            <w:vAlign w:val="bottom"/>
          </w:tcPr>
          <w:p w14:paraId="626B2A8C"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0.002</w:t>
            </w:r>
          </w:p>
        </w:tc>
        <w:tc>
          <w:tcPr>
            <w:tcW w:w="502" w:type="pct"/>
            <w:tcBorders>
              <w:top w:val="nil"/>
              <w:left w:val="nil"/>
              <w:bottom w:val="nil"/>
              <w:right w:val="nil"/>
            </w:tcBorders>
            <w:shd w:val="clear" w:color="auto" w:fill="auto"/>
            <w:vAlign w:val="bottom"/>
          </w:tcPr>
          <w:p w14:paraId="444C2562" w14:textId="77777777" w:rsidR="00B55E03" w:rsidRPr="001E47AD" w:rsidRDefault="00B55E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325.393</w:t>
            </w:r>
          </w:p>
        </w:tc>
      </w:tr>
      <w:tr w:rsidR="00393153" w:rsidRPr="001E47AD" w14:paraId="306B6C05" w14:textId="77777777" w:rsidTr="008D71EE">
        <w:tc>
          <w:tcPr>
            <w:tcW w:w="1446" w:type="pct"/>
            <w:tcBorders>
              <w:top w:val="nil"/>
              <w:left w:val="nil"/>
              <w:bottom w:val="nil"/>
              <w:right w:val="nil"/>
            </w:tcBorders>
            <w:shd w:val="clear" w:color="auto" w:fill="auto"/>
            <w:vAlign w:val="center"/>
          </w:tcPr>
          <w:p w14:paraId="73D36162" w14:textId="4C1FABBC" w:rsidR="008938D0" w:rsidRPr="001E47AD" w:rsidRDefault="003943BB" w:rsidP="0082394A">
            <w:pPr>
              <w:contextualSpacing/>
              <w:rPr>
                <w:rFonts w:eastAsia="宋体"/>
                <w:sz w:val="16"/>
                <w:szCs w:val="16"/>
              </w:rPr>
            </w:pPr>
            <w:r w:rsidRPr="001E47AD">
              <w:rPr>
                <w:rFonts w:ascii="Times New Roman" w:eastAsia="宋体" w:hAnsi="Times New Roman" w:cs="Times New Roman"/>
                <w:sz w:val="16"/>
                <w:szCs w:val="16"/>
                <w:u w:val="single"/>
              </w:rPr>
              <w:t>Changes in</w:t>
            </w:r>
            <w:r w:rsidR="008938D0" w:rsidRPr="001E47AD">
              <w:rPr>
                <w:rFonts w:ascii="Times New Roman" w:eastAsia="宋体" w:hAnsi="Times New Roman" w:cs="Times New Roman"/>
                <w:sz w:val="16"/>
                <w:szCs w:val="16"/>
                <w:u w:val="single"/>
              </w:rPr>
              <w:t xml:space="preserve"> Sales Volume</w:t>
            </w:r>
          </w:p>
        </w:tc>
        <w:tc>
          <w:tcPr>
            <w:tcW w:w="1469" w:type="pct"/>
            <w:tcBorders>
              <w:top w:val="nil"/>
              <w:left w:val="nil"/>
              <w:bottom w:val="nil"/>
              <w:right w:val="nil"/>
            </w:tcBorders>
            <w:shd w:val="clear" w:color="auto" w:fill="auto"/>
            <w:vAlign w:val="center"/>
          </w:tcPr>
          <w:p w14:paraId="0F4BE9A9" w14:textId="77777777" w:rsidR="008938D0" w:rsidRPr="001E47AD" w:rsidRDefault="008938D0" w:rsidP="0082394A">
            <w:pPr>
              <w:contextualSpacing/>
              <w:rPr>
                <w:sz w:val="16"/>
                <w:szCs w:val="16"/>
              </w:rPr>
            </w:pPr>
          </w:p>
        </w:tc>
        <w:tc>
          <w:tcPr>
            <w:tcW w:w="497" w:type="pct"/>
            <w:tcBorders>
              <w:top w:val="nil"/>
              <w:left w:val="nil"/>
              <w:bottom w:val="nil"/>
              <w:right w:val="nil"/>
            </w:tcBorders>
            <w:shd w:val="clear" w:color="auto" w:fill="auto"/>
            <w:vAlign w:val="bottom"/>
          </w:tcPr>
          <w:p w14:paraId="6E4FB203" w14:textId="77777777" w:rsidR="008938D0" w:rsidRPr="001E47AD" w:rsidRDefault="008938D0" w:rsidP="0082394A">
            <w:pPr>
              <w:contextualSpacing/>
              <w:jc w:val="right"/>
              <w:rPr>
                <w:sz w:val="16"/>
                <w:szCs w:val="16"/>
              </w:rPr>
            </w:pPr>
          </w:p>
        </w:tc>
        <w:tc>
          <w:tcPr>
            <w:tcW w:w="551" w:type="pct"/>
            <w:tcBorders>
              <w:top w:val="nil"/>
              <w:left w:val="nil"/>
              <w:bottom w:val="nil"/>
              <w:right w:val="nil"/>
            </w:tcBorders>
            <w:shd w:val="clear" w:color="auto" w:fill="auto"/>
            <w:vAlign w:val="bottom"/>
          </w:tcPr>
          <w:p w14:paraId="026D1115" w14:textId="77777777" w:rsidR="008938D0" w:rsidRPr="001E47AD" w:rsidRDefault="008938D0" w:rsidP="0082394A">
            <w:pPr>
              <w:contextualSpacing/>
              <w:jc w:val="right"/>
              <w:rPr>
                <w:sz w:val="16"/>
                <w:szCs w:val="16"/>
              </w:rPr>
            </w:pPr>
          </w:p>
        </w:tc>
        <w:tc>
          <w:tcPr>
            <w:tcW w:w="535" w:type="pct"/>
            <w:tcBorders>
              <w:top w:val="nil"/>
              <w:left w:val="nil"/>
              <w:bottom w:val="nil"/>
              <w:right w:val="nil"/>
            </w:tcBorders>
            <w:shd w:val="clear" w:color="auto" w:fill="auto"/>
            <w:vAlign w:val="bottom"/>
          </w:tcPr>
          <w:p w14:paraId="2D350D00" w14:textId="77777777" w:rsidR="008938D0" w:rsidRPr="001E47AD" w:rsidRDefault="008938D0" w:rsidP="0082394A">
            <w:pPr>
              <w:contextualSpacing/>
              <w:jc w:val="right"/>
              <w:rPr>
                <w:sz w:val="16"/>
                <w:szCs w:val="16"/>
              </w:rPr>
            </w:pPr>
          </w:p>
        </w:tc>
        <w:tc>
          <w:tcPr>
            <w:tcW w:w="502" w:type="pct"/>
            <w:tcBorders>
              <w:top w:val="nil"/>
              <w:left w:val="nil"/>
              <w:bottom w:val="nil"/>
              <w:right w:val="nil"/>
            </w:tcBorders>
            <w:shd w:val="clear" w:color="auto" w:fill="auto"/>
            <w:vAlign w:val="bottom"/>
          </w:tcPr>
          <w:p w14:paraId="67407F95" w14:textId="77777777" w:rsidR="008938D0" w:rsidRPr="001E47AD" w:rsidRDefault="008938D0" w:rsidP="0082394A">
            <w:pPr>
              <w:contextualSpacing/>
              <w:jc w:val="right"/>
              <w:rPr>
                <w:sz w:val="16"/>
                <w:szCs w:val="16"/>
              </w:rPr>
            </w:pPr>
          </w:p>
        </w:tc>
      </w:tr>
      <w:tr w:rsidR="00393153" w:rsidRPr="001E47AD" w14:paraId="426307DE" w14:textId="77777777" w:rsidTr="008D71EE">
        <w:tc>
          <w:tcPr>
            <w:tcW w:w="1446" w:type="pct"/>
            <w:tcBorders>
              <w:top w:val="nil"/>
              <w:left w:val="nil"/>
              <w:bottom w:val="nil"/>
              <w:right w:val="nil"/>
            </w:tcBorders>
            <w:shd w:val="clear" w:color="auto" w:fill="auto"/>
            <w:vAlign w:val="center"/>
          </w:tcPr>
          <w:p w14:paraId="4844F35D" w14:textId="7878842C" w:rsidR="009949A4" w:rsidRPr="001E47AD" w:rsidRDefault="0012485E" w:rsidP="0082394A">
            <w:pPr>
              <w:contextualSpacing/>
              <w:jc w:val="both"/>
              <w:rPr>
                <w:rFonts w:eastAsia="宋体"/>
                <w:sz w:val="16"/>
                <w:szCs w:val="16"/>
              </w:rPr>
            </w:pPr>
            <m:oMathPara>
              <m:oMathParaPr>
                <m:jc m:val="left"/>
              </m:oMathParaPr>
              <m:oMath>
                <m:r>
                  <m:rPr>
                    <m:sty m:val="p"/>
                  </m:rPr>
                  <w:rPr>
                    <w:rFonts w:ascii="Cambria Math" w:hAnsi="Cambria Math" w:cs="Times New Roman"/>
                    <w:sz w:val="16"/>
                    <w:szCs w:val="16"/>
                  </w:rPr>
                  <m:t>CHANGE_VOL_LATE</m:t>
                </m:r>
              </m:oMath>
            </m:oMathPara>
          </w:p>
        </w:tc>
        <w:tc>
          <w:tcPr>
            <w:tcW w:w="1469" w:type="pct"/>
            <w:tcBorders>
              <w:top w:val="nil"/>
              <w:left w:val="nil"/>
              <w:bottom w:val="nil"/>
              <w:right w:val="nil"/>
            </w:tcBorders>
            <w:shd w:val="clear" w:color="auto" w:fill="auto"/>
            <w:vAlign w:val="center"/>
          </w:tcPr>
          <w:p w14:paraId="18390B3B" w14:textId="0A61C3EA" w:rsidR="009949A4" w:rsidRPr="001E47AD" w:rsidRDefault="00F37EC5" w:rsidP="0082394A">
            <w:pPr>
              <w:contextualSpacing/>
              <w:rPr>
                <w:rFonts w:ascii="Times New Roman" w:hAnsi="Times New Roman" w:cs="Times New Roman"/>
                <w:sz w:val="16"/>
                <w:szCs w:val="16"/>
              </w:rPr>
            </w:pPr>
            <w:r w:rsidRPr="001E47AD">
              <w:rPr>
                <w:rFonts w:ascii="Times New Roman" w:hAnsi="Times New Roman" w:cs="Times New Roman"/>
                <w:sz w:val="16"/>
                <w:szCs w:val="16"/>
              </w:rPr>
              <w:t>1</w:t>
            </w:r>
            <w:r w:rsidR="00AD3A6A" w:rsidRPr="001E47AD">
              <w:rPr>
                <w:rFonts w:ascii="Times New Roman" w:hAnsi="Times New Roman" w:cs="Times New Roman"/>
                <w:sz w:val="16"/>
                <w:szCs w:val="16"/>
              </w:rPr>
              <w:t>0</w:t>
            </w:r>
            <w:r w:rsidRPr="001E47AD">
              <w:rPr>
                <w:rFonts w:ascii="Times New Roman" w:hAnsi="Times New Roman" w:cs="Times New Roman"/>
                <w:sz w:val="16"/>
                <w:szCs w:val="16"/>
              </w:rPr>
              <w:t>,</w:t>
            </w:r>
            <w:r w:rsidR="009949A4" w:rsidRPr="001E47AD">
              <w:rPr>
                <w:rFonts w:ascii="Times New Roman" w:hAnsi="Times New Roman" w:cs="Times New Roman"/>
                <w:sz w:val="16"/>
                <w:szCs w:val="16"/>
              </w:rPr>
              <w:t>000 OZ</w:t>
            </w:r>
          </w:p>
        </w:tc>
        <w:tc>
          <w:tcPr>
            <w:tcW w:w="497" w:type="pct"/>
            <w:tcBorders>
              <w:top w:val="nil"/>
              <w:left w:val="nil"/>
              <w:bottom w:val="nil"/>
              <w:right w:val="nil"/>
            </w:tcBorders>
            <w:shd w:val="clear" w:color="auto" w:fill="auto"/>
            <w:vAlign w:val="bottom"/>
          </w:tcPr>
          <w:p w14:paraId="5F70A51B" w14:textId="226F784E" w:rsidR="009949A4" w:rsidRPr="001E47AD" w:rsidRDefault="001F32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1.316</w:t>
            </w:r>
          </w:p>
        </w:tc>
        <w:tc>
          <w:tcPr>
            <w:tcW w:w="551" w:type="pct"/>
            <w:tcBorders>
              <w:top w:val="nil"/>
              <w:left w:val="nil"/>
              <w:bottom w:val="nil"/>
              <w:right w:val="nil"/>
            </w:tcBorders>
            <w:shd w:val="clear" w:color="auto" w:fill="auto"/>
            <w:vAlign w:val="bottom"/>
          </w:tcPr>
          <w:p w14:paraId="7F7AF25E" w14:textId="35C852EC" w:rsidR="009949A4" w:rsidRPr="001E47AD" w:rsidRDefault="001F32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14.194</w:t>
            </w:r>
          </w:p>
        </w:tc>
        <w:tc>
          <w:tcPr>
            <w:tcW w:w="535" w:type="pct"/>
            <w:tcBorders>
              <w:top w:val="nil"/>
              <w:left w:val="nil"/>
              <w:bottom w:val="nil"/>
              <w:right w:val="nil"/>
            </w:tcBorders>
            <w:shd w:val="clear" w:color="auto" w:fill="auto"/>
            <w:vAlign w:val="bottom"/>
          </w:tcPr>
          <w:p w14:paraId="2AB10021" w14:textId="329FC17C" w:rsidR="009949A4" w:rsidRPr="001E47AD" w:rsidRDefault="00F67185"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-352.753</w:t>
            </w:r>
          </w:p>
        </w:tc>
        <w:tc>
          <w:tcPr>
            <w:tcW w:w="502" w:type="pct"/>
            <w:tcBorders>
              <w:top w:val="nil"/>
              <w:left w:val="nil"/>
              <w:bottom w:val="nil"/>
              <w:right w:val="nil"/>
            </w:tcBorders>
            <w:shd w:val="clear" w:color="auto" w:fill="auto"/>
            <w:vAlign w:val="bottom"/>
          </w:tcPr>
          <w:p w14:paraId="635EAEC1" w14:textId="00F4D73C" w:rsidR="009949A4" w:rsidRPr="001E47AD" w:rsidRDefault="00F67185"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163.935</w:t>
            </w:r>
          </w:p>
        </w:tc>
      </w:tr>
      <w:tr w:rsidR="00393153" w:rsidRPr="001E47AD" w14:paraId="1FA08A1C" w14:textId="77777777" w:rsidTr="008D71EE">
        <w:tc>
          <w:tcPr>
            <w:tcW w:w="1446" w:type="pct"/>
            <w:tcBorders>
              <w:top w:val="nil"/>
              <w:left w:val="nil"/>
              <w:bottom w:val="nil"/>
              <w:right w:val="nil"/>
            </w:tcBorders>
            <w:shd w:val="clear" w:color="auto" w:fill="auto"/>
            <w:vAlign w:val="center"/>
          </w:tcPr>
          <w:p w14:paraId="163F32AA" w14:textId="4E0A7639" w:rsidR="009949A4" w:rsidRPr="001E47AD" w:rsidRDefault="0012485E" w:rsidP="0082394A">
            <w:pPr>
              <w:contextualSpacing/>
              <w:rPr>
                <w:rFonts w:eastAsia="宋体"/>
                <w:sz w:val="16"/>
                <w:szCs w:val="16"/>
              </w:rPr>
            </w:pPr>
            <m:oMathPara>
              <m:oMathParaPr>
                <m:jc m:val="left"/>
              </m:oMathParaPr>
              <m:oMath>
                <m:r>
                  <m:rPr>
                    <m:sty m:val="p"/>
                  </m:rPr>
                  <w:rPr>
                    <w:rFonts w:ascii="Cambria Math" w:hAnsi="Cambria Math" w:cs="Times New Roman"/>
                    <w:sz w:val="16"/>
                    <w:szCs w:val="16"/>
                  </w:rPr>
                  <m:t>CHANGE_VOL_POST_W1</m:t>
                </m:r>
              </m:oMath>
            </m:oMathPara>
          </w:p>
        </w:tc>
        <w:tc>
          <w:tcPr>
            <w:tcW w:w="1469" w:type="pct"/>
            <w:tcBorders>
              <w:top w:val="nil"/>
              <w:left w:val="nil"/>
              <w:bottom w:val="nil"/>
              <w:right w:val="nil"/>
            </w:tcBorders>
            <w:shd w:val="clear" w:color="auto" w:fill="auto"/>
            <w:vAlign w:val="center"/>
          </w:tcPr>
          <w:p w14:paraId="11876134" w14:textId="00CF5FAB" w:rsidR="009949A4" w:rsidRPr="001E47AD" w:rsidRDefault="00F37EC5" w:rsidP="0082394A">
            <w:pPr>
              <w:contextualSpacing/>
              <w:rPr>
                <w:rFonts w:ascii="Times New Roman" w:hAnsi="Times New Roman" w:cs="Times New Roman"/>
                <w:sz w:val="16"/>
                <w:szCs w:val="16"/>
              </w:rPr>
            </w:pPr>
            <w:r w:rsidRPr="001E47AD">
              <w:rPr>
                <w:rFonts w:ascii="Times New Roman" w:hAnsi="Times New Roman" w:cs="Times New Roman"/>
                <w:sz w:val="16"/>
                <w:szCs w:val="16"/>
              </w:rPr>
              <w:t>1</w:t>
            </w:r>
            <w:r w:rsidR="00BD1766" w:rsidRPr="001E47AD">
              <w:rPr>
                <w:rFonts w:ascii="Times New Roman" w:hAnsi="Times New Roman" w:cs="Times New Roman"/>
                <w:sz w:val="16"/>
                <w:szCs w:val="16"/>
              </w:rPr>
              <w:t>0</w:t>
            </w:r>
            <w:r w:rsidRPr="001E47AD">
              <w:rPr>
                <w:rFonts w:ascii="Times New Roman" w:hAnsi="Times New Roman" w:cs="Times New Roman"/>
                <w:sz w:val="16"/>
                <w:szCs w:val="16"/>
              </w:rPr>
              <w:t>,</w:t>
            </w:r>
            <w:r w:rsidR="009949A4" w:rsidRPr="001E47AD">
              <w:rPr>
                <w:rFonts w:ascii="Times New Roman" w:hAnsi="Times New Roman" w:cs="Times New Roman"/>
                <w:sz w:val="16"/>
                <w:szCs w:val="16"/>
              </w:rPr>
              <w:t>000 OZ</w:t>
            </w:r>
          </w:p>
        </w:tc>
        <w:tc>
          <w:tcPr>
            <w:tcW w:w="497" w:type="pct"/>
            <w:tcBorders>
              <w:top w:val="nil"/>
              <w:left w:val="nil"/>
              <w:bottom w:val="nil"/>
              <w:right w:val="nil"/>
            </w:tcBorders>
            <w:shd w:val="clear" w:color="auto" w:fill="auto"/>
            <w:vAlign w:val="bottom"/>
          </w:tcPr>
          <w:p w14:paraId="11A8B946" w14:textId="0DDF4695" w:rsidR="009949A4" w:rsidRPr="001E47AD" w:rsidRDefault="001F32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-1.176</w:t>
            </w:r>
          </w:p>
        </w:tc>
        <w:tc>
          <w:tcPr>
            <w:tcW w:w="551" w:type="pct"/>
            <w:tcBorders>
              <w:top w:val="nil"/>
              <w:left w:val="nil"/>
              <w:bottom w:val="nil"/>
              <w:right w:val="nil"/>
            </w:tcBorders>
            <w:shd w:val="clear" w:color="auto" w:fill="auto"/>
            <w:vAlign w:val="bottom"/>
          </w:tcPr>
          <w:p w14:paraId="10D85A72" w14:textId="1B839E82" w:rsidR="009949A4" w:rsidRPr="001E47AD" w:rsidRDefault="009D00A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6.901</w:t>
            </w:r>
          </w:p>
        </w:tc>
        <w:tc>
          <w:tcPr>
            <w:tcW w:w="535" w:type="pct"/>
            <w:tcBorders>
              <w:top w:val="nil"/>
              <w:left w:val="nil"/>
              <w:bottom w:val="nil"/>
              <w:right w:val="nil"/>
            </w:tcBorders>
            <w:shd w:val="clear" w:color="auto" w:fill="auto"/>
            <w:vAlign w:val="bottom"/>
          </w:tcPr>
          <w:p w14:paraId="57127ABD" w14:textId="644D6125" w:rsidR="009949A4" w:rsidRPr="001E47AD" w:rsidRDefault="000B7E96"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-154.377</w:t>
            </w:r>
          </w:p>
        </w:tc>
        <w:tc>
          <w:tcPr>
            <w:tcW w:w="502" w:type="pct"/>
            <w:tcBorders>
              <w:top w:val="nil"/>
              <w:left w:val="nil"/>
              <w:bottom w:val="nil"/>
              <w:right w:val="nil"/>
            </w:tcBorders>
            <w:shd w:val="clear" w:color="auto" w:fill="auto"/>
            <w:vAlign w:val="bottom"/>
          </w:tcPr>
          <w:p w14:paraId="7AFB8EC1" w14:textId="721AD785" w:rsidR="009949A4" w:rsidRPr="001E47AD" w:rsidRDefault="007E0E19"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207.076</w:t>
            </w:r>
          </w:p>
        </w:tc>
      </w:tr>
      <w:tr w:rsidR="00393153" w:rsidRPr="001E47AD" w14:paraId="0C519E2B" w14:textId="77777777" w:rsidTr="008D71EE">
        <w:tc>
          <w:tcPr>
            <w:tcW w:w="1446" w:type="pct"/>
            <w:tcBorders>
              <w:top w:val="nil"/>
              <w:left w:val="nil"/>
              <w:bottom w:val="nil"/>
              <w:right w:val="nil"/>
            </w:tcBorders>
            <w:shd w:val="clear" w:color="auto" w:fill="auto"/>
            <w:vAlign w:val="center"/>
          </w:tcPr>
          <w:p w14:paraId="4294EAA9" w14:textId="7EE63333" w:rsidR="009949A4" w:rsidRPr="001E47AD" w:rsidRDefault="0012485E" w:rsidP="0082394A">
            <w:pPr>
              <w:contextualSpacing/>
              <w:rPr>
                <w:rFonts w:eastAsia="宋体"/>
                <w:sz w:val="16"/>
                <w:szCs w:val="16"/>
              </w:rPr>
            </w:pPr>
            <m:oMathPara>
              <m:oMathParaPr>
                <m:jc m:val="left"/>
              </m:oMathParaPr>
              <m:oMath>
                <m:r>
                  <m:rPr>
                    <m:sty m:val="p"/>
                  </m:rPr>
                  <w:rPr>
                    <w:rFonts w:ascii="Cambria Math" w:hAnsi="Cambria Math" w:cs="Times New Roman"/>
                    <w:sz w:val="16"/>
                    <w:szCs w:val="16"/>
                  </w:rPr>
                  <m:t>CHANGE_VOL_POST_W2</m:t>
                </m:r>
              </m:oMath>
            </m:oMathPara>
          </w:p>
        </w:tc>
        <w:tc>
          <w:tcPr>
            <w:tcW w:w="1469" w:type="pct"/>
            <w:tcBorders>
              <w:top w:val="nil"/>
              <w:left w:val="nil"/>
              <w:bottom w:val="nil"/>
              <w:right w:val="nil"/>
            </w:tcBorders>
            <w:shd w:val="clear" w:color="auto" w:fill="auto"/>
            <w:vAlign w:val="center"/>
          </w:tcPr>
          <w:p w14:paraId="65FB250B" w14:textId="52653A01" w:rsidR="009949A4" w:rsidRPr="001E47AD" w:rsidRDefault="00F37EC5" w:rsidP="0082394A">
            <w:pPr>
              <w:contextualSpacing/>
              <w:rPr>
                <w:rFonts w:ascii="Times New Roman" w:hAnsi="Times New Roman" w:cs="Times New Roman"/>
                <w:sz w:val="16"/>
                <w:szCs w:val="16"/>
              </w:rPr>
            </w:pPr>
            <w:r w:rsidRPr="001E47AD">
              <w:rPr>
                <w:rFonts w:ascii="Times New Roman" w:hAnsi="Times New Roman" w:cs="Times New Roman"/>
                <w:sz w:val="16"/>
                <w:szCs w:val="16"/>
              </w:rPr>
              <w:t>1</w:t>
            </w:r>
            <w:r w:rsidR="00BD1766" w:rsidRPr="001E47AD">
              <w:rPr>
                <w:rFonts w:ascii="Times New Roman" w:hAnsi="Times New Roman" w:cs="Times New Roman"/>
                <w:sz w:val="16"/>
                <w:szCs w:val="16"/>
              </w:rPr>
              <w:t>0</w:t>
            </w:r>
            <w:r w:rsidRPr="001E47AD">
              <w:rPr>
                <w:rFonts w:ascii="Times New Roman" w:hAnsi="Times New Roman" w:cs="Times New Roman"/>
                <w:sz w:val="16"/>
                <w:szCs w:val="16"/>
              </w:rPr>
              <w:t>,</w:t>
            </w:r>
            <w:r w:rsidR="009949A4" w:rsidRPr="001E47AD">
              <w:rPr>
                <w:rFonts w:ascii="Times New Roman" w:hAnsi="Times New Roman" w:cs="Times New Roman"/>
                <w:sz w:val="16"/>
                <w:szCs w:val="16"/>
              </w:rPr>
              <w:t>000 OZ</w:t>
            </w:r>
          </w:p>
        </w:tc>
        <w:tc>
          <w:tcPr>
            <w:tcW w:w="497" w:type="pct"/>
            <w:tcBorders>
              <w:top w:val="nil"/>
              <w:left w:val="nil"/>
              <w:bottom w:val="nil"/>
              <w:right w:val="nil"/>
            </w:tcBorders>
            <w:shd w:val="clear" w:color="auto" w:fill="auto"/>
            <w:vAlign w:val="bottom"/>
          </w:tcPr>
          <w:p w14:paraId="6EC8F40E" w14:textId="638DAA5A" w:rsidR="009949A4" w:rsidRPr="001E47AD" w:rsidRDefault="001F32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-1.620</w:t>
            </w:r>
          </w:p>
        </w:tc>
        <w:tc>
          <w:tcPr>
            <w:tcW w:w="551" w:type="pct"/>
            <w:tcBorders>
              <w:top w:val="nil"/>
              <w:left w:val="nil"/>
              <w:bottom w:val="nil"/>
              <w:right w:val="nil"/>
            </w:tcBorders>
            <w:shd w:val="clear" w:color="auto" w:fill="auto"/>
            <w:vAlign w:val="bottom"/>
          </w:tcPr>
          <w:p w14:paraId="2E47ADDB" w14:textId="66A712D8" w:rsidR="009949A4" w:rsidRPr="001E47AD" w:rsidRDefault="009D00A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8.299</w:t>
            </w:r>
          </w:p>
        </w:tc>
        <w:tc>
          <w:tcPr>
            <w:tcW w:w="535" w:type="pct"/>
            <w:tcBorders>
              <w:top w:val="nil"/>
              <w:left w:val="nil"/>
              <w:bottom w:val="nil"/>
              <w:right w:val="nil"/>
            </w:tcBorders>
            <w:shd w:val="clear" w:color="auto" w:fill="auto"/>
            <w:vAlign w:val="bottom"/>
          </w:tcPr>
          <w:p w14:paraId="0EE56C46" w14:textId="0D6C522C" w:rsidR="009949A4" w:rsidRPr="001E47AD" w:rsidRDefault="000B7E96"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-432.665</w:t>
            </w:r>
          </w:p>
        </w:tc>
        <w:tc>
          <w:tcPr>
            <w:tcW w:w="502" w:type="pct"/>
            <w:tcBorders>
              <w:top w:val="nil"/>
              <w:left w:val="nil"/>
              <w:bottom w:val="nil"/>
              <w:right w:val="nil"/>
            </w:tcBorders>
            <w:shd w:val="clear" w:color="auto" w:fill="auto"/>
            <w:vAlign w:val="bottom"/>
          </w:tcPr>
          <w:p w14:paraId="1277785F" w14:textId="4F71B780" w:rsidR="009949A4" w:rsidRPr="001E47AD" w:rsidRDefault="007E0E19"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93.727</w:t>
            </w:r>
          </w:p>
        </w:tc>
      </w:tr>
      <w:tr w:rsidR="00393153" w:rsidRPr="001E47AD" w14:paraId="77461B07" w14:textId="77777777" w:rsidTr="00C931B8">
        <w:tc>
          <w:tcPr>
            <w:tcW w:w="1446" w:type="pct"/>
            <w:tcBorders>
              <w:top w:val="nil"/>
              <w:left w:val="nil"/>
              <w:bottom w:val="nil"/>
              <w:right w:val="nil"/>
            </w:tcBorders>
            <w:shd w:val="clear" w:color="auto" w:fill="auto"/>
            <w:vAlign w:val="center"/>
          </w:tcPr>
          <w:p w14:paraId="5580108F" w14:textId="5DB63556" w:rsidR="009949A4" w:rsidRPr="001E47AD" w:rsidRDefault="0012485E" w:rsidP="0082394A">
            <w:pPr>
              <w:contextualSpacing/>
              <w:rPr>
                <w:rFonts w:eastAsia="宋体"/>
                <w:sz w:val="16"/>
                <w:szCs w:val="16"/>
              </w:rPr>
            </w:pPr>
            <m:oMathPara>
              <m:oMathParaPr>
                <m:jc m:val="left"/>
              </m:oMathParaPr>
              <m:oMath>
                <m:r>
                  <m:rPr>
                    <m:sty m:val="p"/>
                  </m:rPr>
                  <w:rPr>
                    <w:rFonts w:ascii="Cambria Math" w:hAnsi="Cambria Math" w:cs="Times New Roman"/>
                    <w:sz w:val="16"/>
                    <w:szCs w:val="16"/>
                  </w:rPr>
                  <m:t>CHANGE_VOL_POST_W3</m:t>
                </m:r>
              </m:oMath>
            </m:oMathPara>
          </w:p>
        </w:tc>
        <w:tc>
          <w:tcPr>
            <w:tcW w:w="1469" w:type="pct"/>
            <w:tcBorders>
              <w:top w:val="nil"/>
              <w:left w:val="nil"/>
              <w:bottom w:val="nil"/>
              <w:right w:val="nil"/>
            </w:tcBorders>
            <w:shd w:val="clear" w:color="auto" w:fill="auto"/>
            <w:vAlign w:val="center"/>
          </w:tcPr>
          <w:p w14:paraId="2D082BCC" w14:textId="5BD0557E" w:rsidR="009949A4" w:rsidRPr="001E47AD" w:rsidRDefault="00F37EC5" w:rsidP="0082394A">
            <w:pPr>
              <w:contextualSpacing/>
              <w:rPr>
                <w:rFonts w:ascii="Times New Roman" w:hAnsi="Times New Roman" w:cs="Times New Roman"/>
                <w:sz w:val="16"/>
                <w:szCs w:val="16"/>
              </w:rPr>
            </w:pPr>
            <w:r w:rsidRPr="001E47AD">
              <w:rPr>
                <w:rFonts w:ascii="Times New Roman" w:hAnsi="Times New Roman" w:cs="Times New Roman"/>
                <w:sz w:val="16"/>
                <w:szCs w:val="16"/>
              </w:rPr>
              <w:t>1</w:t>
            </w:r>
            <w:r w:rsidR="00BD1766" w:rsidRPr="001E47AD">
              <w:rPr>
                <w:rFonts w:ascii="Times New Roman" w:hAnsi="Times New Roman" w:cs="Times New Roman"/>
                <w:sz w:val="16"/>
                <w:szCs w:val="16"/>
              </w:rPr>
              <w:t>0</w:t>
            </w:r>
            <w:r w:rsidRPr="001E47AD">
              <w:rPr>
                <w:rFonts w:ascii="Times New Roman" w:hAnsi="Times New Roman" w:cs="Times New Roman"/>
                <w:sz w:val="16"/>
                <w:szCs w:val="16"/>
              </w:rPr>
              <w:t>,</w:t>
            </w:r>
            <w:r w:rsidR="009949A4" w:rsidRPr="001E47AD">
              <w:rPr>
                <w:rFonts w:ascii="Times New Roman" w:hAnsi="Times New Roman" w:cs="Times New Roman"/>
                <w:sz w:val="16"/>
                <w:szCs w:val="16"/>
              </w:rPr>
              <w:t>000 OZ</w:t>
            </w:r>
          </w:p>
        </w:tc>
        <w:tc>
          <w:tcPr>
            <w:tcW w:w="497" w:type="pct"/>
            <w:tcBorders>
              <w:top w:val="nil"/>
              <w:left w:val="nil"/>
              <w:bottom w:val="nil"/>
              <w:right w:val="nil"/>
            </w:tcBorders>
            <w:shd w:val="clear" w:color="auto" w:fill="auto"/>
            <w:vAlign w:val="bottom"/>
          </w:tcPr>
          <w:p w14:paraId="2D84EF87" w14:textId="66BB4ACA" w:rsidR="009949A4" w:rsidRPr="001E47AD" w:rsidRDefault="001F32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-2.288</w:t>
            </w:r>
          </w:p>
        </w:tc>
        <w:tc>
          <w:tcPr>
            <w:tcW w:w="551" w:type="pct"/>
            <w:tcBorders>
              <w:top w:val="nil"/>
              <w:left w:val="nil"/>
              <w:bottom w:val="nil"/>
              <w:right w:val="nil"/>
            </w:tcBorders>
            <w:shd w:val="clear" w:color="auto" w:fill="auto"/>
            <w:vAlign w:val="bottom"/>
          </w:tcPr>
          <w:p w14:paraId="5FE5CD48" w14:textId="77DD4440" w:rsidR="009949A4" w:rsidRPr="001E47AD" w:rsidRDefault="009D00A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11.464</w:t>
            </w:r>
          </w:p>
        </w:tc>
        <w:tc>
          <w:tcPr>
            <w:tcW w:w="535" w:type="pct"/>
            <w:tcBorders>
              <w:top w:val="nil"/>
              <w:left w:val="nil"/>
              <w:bottom w:val="nil"/>
              <w:right w:val="nil"/>
            </w:tcBorders>
            <w:shd w:val="clear" w:color="auto" w:fill="auto"/>
            <w:vAlign w:val="bottom"/>
          </w:tcPr>
          <w:p w14:paraId="0E0128B0" w14:textId="28CE758B" w:rsidR="009949A4" w:rsidRPr="001E47AD" w:rsidRDefault="000B7E96"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-517.063</w:t>
            </w:r>
          </w:p>
        </w:tc>
        <w:tc>
          <w:tcPr>
            <w:tcW w:w="502" w:type="pct"/>
            <w:tcBorders>
              <w:top w:val="nil"/>
              <w:left w:val="nil"/>
              <w:bottom w:val="nil"/>
              <w:right w:val="nil"/>
            </w:tcBorders>
            <w:shd w:val="clear" w:color="auto" w:fill="auto"/>
            <w:vAlign w:val="bottom"/>
          </w:tcPr>
          <w:p w14:paraId="5D82A022" w14:textId="7AA7C92E" w:rsidR="009949A4" w:rsidRPr="001E47AD" w:rsidRDefault="007E0E19"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234.140</w:t>
            </w:r>
          </w:p>
        </w:tc>
      </w:tr>
      <w:tr w:rsidR="00393153" w:rsidRPr="001E47AD" w14:paraId="3BAA55EC" w14:textId="77777777" w:rsidTr="000A28E3">
        <w:tc>
          <w:tcPr>
            <w:tcW w:w="1446" w:type="pct"/>
            <w:tcBorders>
              <w:top w:val="nil"/>
              <w:left w:val="nil"/>
              <w:bottom w:val="single" w:sz="4" w:space="0" w:color="auto"/>
              <w:right w:val="nil"/>
            </w:tcBorders>
            <w:shd w:val="clear" w:color="auto" w:fill="auto"/>
            <w:vAlign w:val="center"/>
          </w:tcPr>
          <w:p w14:paraId="55CCFE7A" w14:textId="2A93C5E7" w:rsidR="009949A4" w:rsidRPr="001E47AD" w:rsidRDefault="00B80E59" w:rsidP="0082394A">
            <w:pPr>
              <w:contextualSpacing/>
              <w:rPr>
                <w:rFonts w:eastAsia="宋体"/>
                <w:sz w:val="16"/>
                <w:szCs w:val="16"/>
              </w:rPr>
            </w:pPr>
            <m:oMathPara>
              <m:oMathParaPr>
                <m:jc m:val="left"/>
              </m:oMathParaPr>
              <m:oMath>
                <m:r>
                  <m:rPr>
                    <m:sty m:val="p"/>
                  </m:rPr>
                  <w:rPr>
                    <w:rFonts w:ascii="Cambria Math" w:hAnsi="Cambria Math" w:cs="Times New Roman"/>
                    <w:sz w:val="16"/>
                    <w:szCs w:val="16"/>
                  </w:rPr>
                  <m:t>CHANGE_VOL_POST_W4</m:t>
                </m:r>
              </m:oMath>
            </m:oMathPara>
          </w:p>
        </w:tc>
        <w:tc>
          <w:tcPr>
            <w:tcW w:w="1469" w:type="pct"/>
            <w:tcBorders>
              <w:top w:val="nil"/>
              <w:left w:val="nil"/>
              <w:bottom w:val="single" w:sz="4" w:space="0" w:color="auto"/>
              <w:right w:val="nil"/>
            </w:tcBorders>
            <w:shd w:val="clear" w:color="auto" w:fill="auto"/>
            <w:vAlign w:val="center"/>
          </w:tcPr>
          <w:p w14:paraId="344B7100" w14:textId="6D001E8C" w:rsidR="009949A4" w:rsidRPr="001E47AD" w:rsidRDefault="00F37EC5" w:rsidP="0082394A">
            <w:pPr>
              <w:contextualSpacing/>
              <w:rPr>
                <w:rFonts w:ascii="Times New Roman" w:hAnsi="Times New Roman" w:cs="Times New Roman"/>
                <w:sz w:val="16"/>
                <w:szCs w:val="16"/>
              </w:rPr>
            </w:pPr>
            <w:r w:rsidRPr="001E47AD">
              <w:rPr>
                <w:rFonts w:ascii="Times New Roman" w:hAnsi="Times New Roman" w:cs="Times New Roman"/>
                <w:sz w:val="16"/>
                <w:szCs w:val="16"/>
              </w:rPr>
              <w:t>1</w:t>
            </w:r>
            <w:r w:rsidR="00BD1766" w:rsidRPr="001E47AD">
              <w:rPr>
                <w:rFonts w:ascii="Times New Roman" w:hAnsi="Times New Roman" w:cs="Times New Roman"/>
                <w:sz w:val="16"/>
                <w:szCs w:val="16"/>
              </w:rPr>
              <w:t>0</w:t>
            </w:r>
            <w:r w:rsidRPr="001E47AD">
              <w:rPr>
                <w:rFonts w:ascii="Times New Roman" w:hAnsi="Times New Roman" w:cs="Times New Roman"/>
                <w:sz w:val="16"/>
                <w:szCs w:val="16"/>
              </w:rPr>
              <w:t>,</w:t>
            </w:r>
            <w:r w:rsidR="009949A4" w:rsidRPr="001E47AD">
              <w:rPr>
                <w:rFonts w:ascii="Times New Roman" w:hAnsi="Times New Roman" w:cs="Times New Roman"/>
                <w:sz w:val="16"/>
                <w:szCs w:val="16"/>
              </w:rPr>
              <w:t>000 OZ</w:t>
            </w:r>
          </w:p>
        </w:tc>
        <w:tc>
          <w:tcPr>
            <w:tcW w:w="497" w:type="pct"/>
            <w:tcBorders>
              <w:top w:val="nil"/>
              <w:left w:val="nil"/>
              <w:bottom w:val="single" w:sz="4" w:space="0" w:color="auto"/>
              <w:right w:val="nil"/>
            </w:tcBorders>
            <w:shd w:val="clear" w:color="auto" w:fill="auto"/>
            <w:vAlign w:val="bottom"/>
          </w:tcPr>
          <w:p w14:paraId="4D3AEF4E" w14:textId="1C926871" w:rsidR="009949A4" w:rsidRPr="001E47AD" w:rsidRDefault="001F3203"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-1.973</w:t>
            </w:r>
          </w:p>
        </w:tc>
        <w:tc>
          <w:tcPr>
            <w:tcW w:w="551" w:type="pct"/>
            <w:tcBorders>
              <w:top w:val="nil"/>
              <w:left w:val="nil"/>
              <w:bottom w:val="single" w:sz="4" w:space="0" w:color="auto"/>
              <w:right w:val="nil"/>
            </w:tcBorders>
            <w:shd w:val="clear" w:color="auto" w:fill="auto"/>
            <w:vAlign w:val="bottom"/>
          </w:tcPr>
          <w:p w14:paraId="68FB6929" w14:textId="53F7859E" w:rsidR="009949A4" w:rsidRPr="001E47AD" w:rsidRDefault="009D00A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11.600</w:t>
            </w:r>
          </w:p>
        </w:tc>
        <w:tc>
          <w:tcPr>
            <w:tcW w:w="535" w:type="pct"/>
            <w:tcBorders>
              <w:top w:val="nil"/>
              <w:left w:val="nil"/>
              <w:bottom w:val="single" w:sz="4" w:space="0" w:color="auto"/>
              <w:right w:val="nil"/>
            </w:tcBorders>
            <w:shd w:val="clear" w:color="auto" w:fill="auto"/>
            <w:vAlign w:val="bottom"/>
          </w:tcPr>
          <w:p w14:paraId="0FFE4455" w14:textId="02B2DAE1" w:rsidR="009949A4" w:rsidRPr="001E47AD" w:rsidRDefault="000B7E96"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-525.439</w:t>
            </w:r>
          </w:p>
        </w:tc>
        <w:tc>
          <w:tcPr>
            <w:tcW w:w="502" w:type="pct"/>
            <w:tcBorders>
              <w:top w:val="nil"/>
              <w:left w:val="nil"/>
              <w:bottom w:val="single" w:sz="4" w:space="0" w:color="auto"/>
              <w:right w:val="nil"/>
            </w:tcBorders>
            <w:shd w:val="clear" w:color="auto" w:fill="auto"/>
            <w:vAlign w:val="bottom"/>
          </w:tcPr>
          <w:p w14:paraId="28901CB7" w14:textId="035D38EB" w:rsidR="009949A4" w:rsidRPr="001E47AD" w:rsidRDefault="007E0E19"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553.752</w:t>
            </w:r>
          </w:p>
        </w:tc>
      </w:tr>
      <w:tr w:rsidR="00FF576E" w:rsidRPr="001E47AD" w14:paraId="34247BDD" w14:textId="77777777" w:rsidTr="000A28E3">
        <w:trPr>
          <w:trHeight w:val="135"/>
        </w:trPr>
        <w:tc>
          <w:tcPr>
            <w:tcW w:w="1446" w:type="pct"/>
            <w:tcBorders>
              <w:top w:val="single" w:sz="4" w:space="0" w:color="auto"/>
              <w:left w:val="nil"/>
              <w:bottom w:val="nil"/>
              <w:right w:val="nil"/>
            </w:tcBorders>
            <w:shd w:val="clear" w:color="auto" w:fill="auto"/>
            <w:vAlign w:val="center"/>
          </w:tcPr>
          <w:p w14:paraId="45EAFD30" w14:textId="0D09F619" w:rsidR="00FF576E" w:rsidRPr="001E47AD" w:rsidRDefault="00FF576E" w:rsidP="0082394A">
            <w:pPr>
              <w:contextualSpacing/>
              <w:rPr>
                <w:rFonts w:ascii="Times New Roman" w:eastAsia="宋体" w:hAnsi="Times New Roman" w:cs="Times New Roman"/>
                <w:sz w:val="16"/>
                <w:szCs w:val="16"/>
              </w:rPr>
            </w:pPr>
            <w:r w:rsidRPr="001E47AD">
              <w:rPr>
                <w:rFonts w:ascii="Times New Roman" w:hAnsi="Times New Roman" w:cs="Times New Roman"/>
                <w:sz w:val="16"/>
                <w:szCs w:val="16"/>
              </w:rPr>
              <w:t>Instrumental Variable</w:t>
            </w:r>
            <w:r w:rsidR="008E1B13" w:rsidRPr="001E47AD">
              <w:rPr>
                <w:rFonts w:ascii="Times New Roman" w:hAnsi="Times New Roman" w:cs="Times New Roman"/>
                <w:sz w:val="16"/>
                <w:szCs w:val="16"/>
              </w:rPr>
              <w:t>s</w:t>
            </w:r>
          </w:p>
        </w:tc>
        <w:tc>
          <w:tcPr>
            <w:tcW w:w="1469" w:type="pct"/>
            <w:tcBorders>
              <w:top w:val="single" w:sz="4" w:space="0" w:color="auto"/>
              <w:left w:val="nil"/>
              <w:bottom w:val="nil"/>
              <w:right w:val="nil"/>
            </w:tcBorders>
            <w:shd w:val="clear" w:color="auto" w:fill="auto"/>
            <w:vAlign w:val="center"/>
          </w:tcPr>
          <w:p w14:paraId="62FFF77F" w14:textId="77777777" w:rsidR="00FF576E" w:rsidRPr="001E47AD" w:rsidRDefault="00FF576E" w:rsidP="0082394A">
            <w:pPr>
              <w:contextualSpacing/>
              <w:rPr>
                <w:sz w:val="16"/>
                <w:szCs w:val="16"/>
              </w:rPr>
            </w:pPr>
          </w:p>
        </w:tc>
        <w:tc>
          <w:tcPr>
            <w:tcW w:w="497" w:type="pct"/>
            <w:tcBorders>
              <w:top w:val="single" w:sz="4" w:space="0" w:color="auto"/>
              <w:left w:val="nil"/>
              <w:bottom w:val="nil"/>
              <w:right w:val="nil"/>
            </w:tcBorders>
            <w:shd w:val="clear" w:color="auto" w:fill="auto"/>
            <w:vAlign w:val="bottom"/>
          </w:tcPr>
          <w:p w14:paraId="10C6B3E8" w14:textId="77777777" w:rsidR="00FF576E" w:rsidRPr="001E47AD" w:rsidRDefault="00FF576E" w:rsidP="0082394A">
            <w:pPr>
              <w:contextualSpacing/>
              <w:jc w:val="right"/>
              <w:rPr>
                <w:sz w:val="16"/>
                <w:szCs w:val="16"/>
              </w:rPr>
            </w:pPr>
          </w:p>
        </w:tc>
        <w:tc>
          <w:tcPr>
            <w:tcW w:w="551" w:type="pct"/>
            <w:tcBorders>
              <w:top w:val="single" w:sz="4" w:space="0" w:color="auto"/>
              <w:left w:val="nil"/>
              <w:bottom w:val="nil"/>
              <w:right w:val="nil"/>
            </w:tcBorders>
            <w:shd w:val="clear" w:color="auto" w:fill="auto"/>
            <w:vAlign w:val="bottom"/>
          </w:tcPr>
          <w:p w14:paraId="31F08CEB" w14:textId="77777777" w:rsidR="00FF576E" w:rsidRPr="001E47AD" w:rsidRDefault="00FF576E" w:rsidP="0082394A">
            <w:pPr>
              <w:contextualSpacing/>
              <w:jc w:val="right"/>
              <w:rPr>
                <w:sz w:val="16"/>
                <w:szCs w:val="16"/>
              </w:rPr>
            </w:pPr>
          </w:p>
        </w:tc>
        <w:tc>
          <w:tcPr>
            <w:tcW w:w="535" w:type="pct"/>
            <w:tcBorders>
              <w:top w:val="single" w:sz="4" w:space="0" w:color="auto"/>
              <w:left w:val="nil"/>
              <w:bottom w:val="nil"/>
              <w:right w:val="nil"/>
            </w:tcBorders>
            <w:shd w:val="clear" w:color="auto" w:fill="auto"/>
            <w:vAlign w:val="bottom"/>
          </w:tcPr>
          <w:p w14:paraId="745AF1B4" w14:textId="77777777" w:rsidR="00FF576E" w:rsidRPr="001E47AD" w:rsidRDefault="00FF576E" w:rsidP="0082394A">
            <w:pPr>
              <w:contextualSpacing/>
              <w:jc w:val="right"/>
              <w:rPr>
                <w:sz w:val="16"/>
                <w:szCs w:val="16"/>
              </w:rPr>
            </w:pPr>
          </w:p>
        </w:tc>
        <w:tc>
          <w:tcPr>
            <w:tcW w:w="502" w:type="pct"/>
            <w:tcBorders>
              <w:top w:val="single" w:sz="4" w:space="0" w:color="auto"/>
              <w:left w:val="nil"/>
              <w:bottom w:val="nil"/>
              <w:right w:val="nil"/>
            </w:tcBorders>
            <w:shd w:val="clear" w:color="auto" w:fill="auto"/>
            <w:vAlign w:val="bottom"/>
          </w:tcPr>
          <w:p w14:paraId="5FF77A87" w14:textId="77777777" w:rsidR="00FF576E" w:rsidRPr="001E47AD" w:rsidRDefault="00FF576E" w:rsidP="0082394A">
            <w:pPr>
              <w:contextualSpacing/>
              <w:jc w:val="right"/>
              <w:rPr>
                <w:sz w:val="16"/>
                <w:szCs w:val="16"/>
              </w:rPr>
            </w:pPr>
          </w:p>
        </w:tc>
      </w:tr>
      <w:tr w:rsidR="00C931B8" w:rsidRPr="001E47AD" w14:paraId="48665E07" w14:textId="77777777" w:rsidTr="00C931B8">
        <w:trPr>
          <w:trHeight w:val="242"/>
        </w:trPr>
        <w:tc>
          <w:tcPr>
            <w:tcW w:w="1446" w:type="pct"/>
            <w:tcBorders>
              <w:top w:val="nil"/>
              <w:left w:val="nil"/>
              <w:bottom w:val="nil"/>
              <w:right w:val="nil"/>
            </w:tcBorders>
            <w:shd w:val="clear" w:color="auto" w:fill="auto"/>
            <w:vAlign w:val="center"/>
          </w:tcPr>
          <w:p w14:paraId="6CA18704" w14:textId="444C1273" w:rsidR="00C931B8" w:rsidRPr="001E47AD" w:rsidRDefault="00C931B8" w:rsidP="008239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Industrial Water Use</w:t>
            </w:r>
          </w:p>
        </w:tc>
        <w:tc>
          <w:tcPr>
            <w:tcW w:w="1469" w:type="pct"/>
            <w:tcBorders>
              <w:top w:val="nil"/>
              <w:left w:val="nil"/>
              <w:bottom w:val="nil"/>
              <w:right w:val="nil"/>
            </w:tcBorders>
            <w:shd w:val="clear" w:color="auto" w:fill="auto"/>
            <w:vAlign w:val="center"/>
          </w:tcPr>
          <w:p w14:paraId="0BC5A457" w14:textId="77777777" w:rsidR="00C931B8" w:rsidRPr="001E47AD" w:rsidRDefault="00C931B8" w:rsidP="0082394A">
            <w:pPr>
              <w:contextualSpacing/>
              <w:rPr>
                <w:rFonts w:ascii="Times New Roman" w:hAnsi="Times New Roman" w:cs="Times New Roman"/>
                <w:sz w:val="16"/>
                <w:szCs w:val="16"/>
              </w:rPr>
            </w:pPr>
          </w:p>
        </w:tc>
        <w:tc>
          <w:tcPr>
            <w:tcW w:w="497" w:type="pct"/>
            <w:tcBorders>
              <w:top w:val="nil"/>
              <w:left w:val="nil"/>
              <w:bottom w:val="nil"/>
              <w:right w:val="nil"/>
            </w:tcBorders>
            <w:shd w:val="clear" w:color="auto" w:fill="auto"/>
            <w:vAlign w:val="bottom"/>
          </w:tcPr>
          <w:p w14:paraId="383E5B46" w14:textId="77777777" w:rsidR="00C931B8" w:rsidRPr="001E47AD" w:rsidRDefault="00C931B8" w:rsidP="0082394A">
            <w:pPr>
              <w:contextualSpacing/>
              <w:jc w:val="right"/>
              <w:rPr>
                <w:rFonts w:ascii="Times New Roman" w:hAnsi="Times New Roman" w:cs="Times New Roman"/>
                <w:sz w:val="16"/>
                <w:szCs w:val="16"/>
              </w:rPr>
            </w:pPr>
          </w:p>
        </w:tc>
        <w:tc>
          <w:tcPr>
            <w:tcW w:w="551" w:type="pct"/>
            <w:tcBorders>
              <w:top w:val="nil"/>
              <w:left w:val="nil"/>
              <w:bottom w:val="nil"/>
              <w:right w:val="nil"/>
            </w:tcBorders>
            <w:shd w:val="clear" w:color="auto" w:fill="auto"/>
            <w:vAlign w:val="bottom"/>
          </w:tcPr>
          <w:p w14:paraId="4B4052B6" w14:textId="77777777" w:rsidR="00C931B8" w:rsidRPr="001E47AD" w:rsidRDefault="00C931B8" w:rsidP="0082394A">
            <w:pPr>
              <w:contextualSpacing/>
              <w:jc w:val="right"/>
              <w:rPr>
                <w:rFonts w:ascii="Times New Roman" w:hAnsi="Times New Roman" w:cs="Times New Roman"/>
                <w:sz w:val="16"/>
                <w:szCs w:val="16"/>
              </w:rPr>
            </w:pPr>
          </w:p>
        </w:tc>
        <w:tc>
          <w:tcPr>
            <w:tcW w:w="535" w:type="pct"/>
            <w:tcBorders>
              <w:top w:val="nil"/>
              <w:left w:val="nil"/>
              <w:bottom w:val="nil"/>
              <w:right w:val="nil"/>
            </w:tcBorders>
            <w:shd w:val="clear" w:color="auto" w:fill="auto"/>
            <w:vAlign w:val="bottom"/>
          </w:tcPr>
          <w:p w14:paraId="7DB1F87D" w14:textId="77777777" w:rsidR="00C931B8" w:rsidRPr="001E47AD" w:rsidRDefault="00C931B8" w:rsidP="0082394A">
            <w:pPr>
              <w:contextualSpacing/>
              <w:jc w:val="right"/>
              <w:rPr>
                <w:rFonts w:ascii="Times New Roman" w:hAnsi="Times New Roman" w:cs="Times New Roman"/>
                <w:sz w:val="16"/>
                <w:szCs w:val="16"/>
              </w:rPr>
            </w:pPr>
          </w:p>
        </w:tc>
        <w:tc>
          <w:tcPr>
            <w:tcW w:w="502" w:type="pct"/>
            <w:tcBorders>
              <w:top w:val="nil"/>
              <w:left w:val="nil"/>
              <w:bottom w:val="nil"/>
              <w:right w:val="nil"/>
            </w:tcBorders>
            <w:shd w:val="clear" w:color="auto" w:fill="auto"/>
            <w:vAlign w:val="bottom"/>
          </w:tcPr>
          <w:p w14:paraId="2F96D496" w14:textId="77777777" w:rsidR="00C931B8" w:rsidRPr="001E47AD" w:rsidRDefault="00C931B8" w:rsidP="0082394A">
            <w:pPr>
              <w:contextualSpacing/>
              <w:jc w:val="right"/>
              <w:rPr>
                <w:rFonts w:ascii="Times New Roman" w:hAnsi="Times New Roman" w:cs="Times New Roman"/>
                <w:sz w:val="16"/>
                <w:szCs w:val="16"/>
              </w:rPr>
            </w:pPr>
          </w:p>
        </w:tc>
      </w:tr>
      <w:tr w:rsidR="00C931B8" w:rsidRPr="001E47AD" w14:paraId="419EA729" w14:textId="77777777" w:rsidTr="00203306">
        <w:tc>
          <w:tcPr>
            <w:tcW w:w="1446" w:type="pct"/>
            <w:tcBorders>
              <w:top w:val="nil"/>
              <w:left w:val="nil"/>
              <w:bottom w:val="nil"/>
              <w:right w:val="nil"/>
            </w:tcBorders>
            <w:shd w:val="clear" w:color="auto" w:fill="auto"/>
            <w:vAlign w:val="center"/>
          </w:tcPr>
          <w:p w14:paraId="02D0D90F" w14:textId="356CAD41" w:rsidR="00C931B8" w:rsidRPr="001E47AD" w:rsidRDefault="00C931B8" w:rsidP="0082394A">
            <w:pPr>
              <w:contextualSpacing/>
              <w:jc w:val="both"/>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GROUND_FRESH_IN</m:t>
                </m:r>
              </m:oMath>
            </m:oMathPara>
          </w:p>
        </w:tc>
        <w:tc>
          <w:tcPr>
            <w:tcW w:w="1469" w:type="pct"/>
            <w:tcBorders>
              <w:top w:val="nil"/>
              <w:left w:val="nil"/>
              <w:bottom w:val="nil"/>
              <w:right w:val="nil"/>
            </w:tcBorders>
            <w:shd w:val="clear" w:color="auto" w:fill="auto"/>
            <w:vAlign w:val="center"/>
          </w:tcPr>
          <w:p w14:paraId="2123C2C2" w14:textId="253F6A89" w:rsidR="00C931B8" w:rsidRPr="001E47AD" w:rsidRDefault="00C931B8" w:rsidP="0082394A">
            <w:pPr>
              <w:contextualSpacing/>
              <w:rPr>
                <w:rFonts w:ascii="Times New Roman" w:hAnsi="Times New Roman" w:cs="Times New Roman"/>
                <w:sz w:val="16"/>
                <w:szCs w:val="16"/>
              </w:rPr>
            </w:pPr>
            <w:r w:rsidRPr="001E47AD">
              <w:rPr>
                <w:rFonts w:ascii="Times New Roman" w:hAnsi="Times New Roman" w:cs="Times New Roman"/>
                <w:sz w:val="16"/>
                <w:szCs w:val="16"/>
              </w:rPr>
              <w:t>Mgal/d</w:t>
            </w:r>
          </w:p>
        </w:tc>
        <w:tc>
          <w:tcPr>
            <w:tcW w:w="497" w:type="pct"/>
            <w:tcBorders>
              <w:top w:val="nil"/>
              <w:left w:val="nil"/>
              <w:bottom w:val="nil"/>
              <w:right w:val="nil"/>
            </w:tcBorders>
            <w:shd w:val="clear" w:color="auto" w:fill="auto"/>
            <w:vAlign w:val="bottom"/>
          </w:tcPr>
          <w:p w14:paraId="73F349B1" w14:textId="0CE6CE08"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2.049</w:t>
            </w:r>
          </w:p>
        </w:tc>
        <w:tc>
          <w:tcPr>
            <w:tcW w:w="551" w:type="pct"/>
            <w:tcBorders>
              <w:top w:val="nil"/>
              <w:left w:val="nil"/>
              <w:bottom w:val="nil"/>
              <w:right w:val="nil"/>
            </w:tcBorders>
            <w:shd w:val="clear" w:color="auto" w:fill="auto"/>
            <w:vAlign w:val="bottom"/>
          </w:tcPr>
          <w:p w14:paraId="575F0B81" w14:textId="0D7ACE98"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6.616</w:t>
            </w:r>
          </w:p>
        </w:tc>
        <w:tc>
          <w:tcPr>
            <w:tcW w:w="535" w:type="pct"/>
            <w:tcBorders>
              <w:top w:val="nil"/>
              <w:left w:val="nil"/>
              <w:bottom w:val="nil"/>
              <w:right w:val="nil"/>
            </w:tcBorders>
            <w:shd w:val="clear" w:color="auto" w:fill="auto"/>
            <w:vAlign w:val="bottom"/>
          </w:tcPr>
          <w:p w14:paraId="7449259B" w14:textId="3B544DD9"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3534B208" w14:textId="2C3B5340"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87.550</w:t>
            </w:r>
          </w:p>
        </w:tc>
      </w:tr>
      <w:tr w:rsidR="00C931B8" w:rsidRPr="001E47AD" w14:paraId="507F37D6" w14:textId="77777777" w:rsidTr="00203306">
        <w:tc>
          <w:tcPr>
            <w:tcW w:w="1446" w:type="pct"/>
            <w:tcBorders>
              <w:top w:val="nil"/>
              <w:left w:val="nil"/>
              <w:bottom w:val="nil"/>
              <w:right w:val="nil"/>
            </w:tcBorders>
            <w:shd w:val="clear" w:color="auto" w:fill="auto"/>
            <w:vAlign w:val="center"/>
          </w:tcPr>
          <w:p w14:paraId="3D160681" w14:textId="7AF59AC8" w:rsidR="00C931B8" w:rsidRPr="001E47AD" w:rsidRDefault="00C931B8" w:rsidP="0082394A">
            <w:pPr>
              <w:contextualSpacing/>
              <w:jc w:val="both"/>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GROUND_SALINE_IN</m:t>
                </m:r>
              </m:oMath>
            </m:oMathPara>
          </w:p>
        </w:tc>
        <w:tc>
          <w:tcPr>
            <w:tcW w:w="1469" w:type="pct"/>
            <w:tcBorders>
              <w:top w:val="nil"/>
              <w:left w:val="nil"/>
              <w:bottom w:val="nil"/>
              <w:right w:val="nil"/>
            </w:tcBorders>
            <w:shd w:val="clear" w:color="auto" w:fill="auto"/>
            <w:vAlign w:val="center"/>
          </w:tcPr>
          <w:p w14:paraId="110453A4" w14:textId="3B3FF75F" w:rsidR="00C931B8" w:rsidRPr="001E47AD" w:rsidRDefault="00C931B8" w:rsidP="0082394A">
            <w:pPr>
              <w:contextualSpacing/>
              <w:rPr>
                <w:rFonts w:ascii="Times New Roman" w:hAnsi="Times New Roman" w:cs="Times New Roman"/>
                <w:sz w:val="16"/>
                <w:szCs w:val="16"/>
              </w:rPr>
            </w:pPr>
            <w:r w:rsidRPr="001E47AD">
              <w:rPr>
                <w:rFonts w:ascii="Times New Roman" w:hAnsi="Times New Roman" w:cs="Times New Roman"/>
                <w:sz w:val="16"/>
                <w:szCs w:val="16"/>
              </w:rPr>
              <w:t>Mgal/d</w:t>
            </w:r>
          </w:p>
        </w:tc>
        <w:tc>
          <w:tcPr>
            <w:tcW w:w="497" w:type="pct"/>
            <w:tcBorders>
              <w:top w:val="nil"/>
              <w:left w:val="nil"/>
              <w:bottom w:val="nil"/>
              <w:right w:val="nil"/>
            </w:tcBorders>
            <w:shd w:val="clear" w:color="auto" w:fill="auto"/>
            <w:vAlign w:val="bottom"/>
          </w:tcPr>
          <w:p w14:paraId="6E0966B5" w14:textId="2001D626"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0.001</w:t>
            </w:r>
          </w:p>
        </w:tc>
        <w:tc>
          <w:tcPr>
            <w:tcW w:w="551" w:type="pct"/>
            <w:tcBorders>
              <w:top w:val="nil"/>
              <w:left w:val="nil"/>
              <w:bottom w:val="nil"/>
              <w:right w:val="nil"/>
            </w:tcBorders>
            <w:shd w:val="clear" w:color="auto" w:fill="auto"/>
            <w:vAlign w:val="bottom"/>
          </w:tcPr>
          <w:p w14:paraId="79B62D6E" w14:textId="01813318"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0.061</w:t>
            </w:r>
          </w:p>
        </w:tc>
        <w:tc>
          <w:tcPr>
            <w:tcW w:w="535" w:type="pct"/>
            <w:tcBorders>
              <w:top w:val="nil"/>
              <w:left w:val="nil"/>
              <w:bottom w:val="nil"/>
              <w:right w:val="nil"/>
            </w:tcBorders>
            <w:shd w:val="clear" w:color="auto" w:fill="auto"/>
            <w:vAlign w:val="bottom"/>
          </w:tcPr>
          <w:p w14:paraId="5CF9C294" w14:textId="5491D78A"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74AA9E13" w14:textId="7A06AF55"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3.800</w:t>
            </w:r>
          </w:p>
        </w:tc>
      </w:tr>
      <w:tr w:rsidR="00C931B8" w:rsidRPr="001E47AD" w14:paraId="1E92AA64" w14:textId="77777777" w:rsidTr="00203306">
        <w:tc>
          <w:tcPr>
            <w:tcW w:w="1446" w:type="pct"/>
            <w:tcBorders>
              <w:top w:val="nil"/>
              <w:left w:val="nil"/>
              <w:bottom w:val="nil"/>
              <w:right w:val="nil"/>
            </w:tcBorders>
            <w:shd w:val="clear" w:color="auto" w:fill="auto"/>
            <w:vAlign w:val="center"/>
          </w:tcPr>
          <w:p w14:paraId="3B8DED2D" w14:textId="6D815240" w:rsidR="00C931B8" w:rsidRPr="001E47AD" w:rsidRDefault="00C931B8" w:rsidP="0082394A">
            <w:pPr>
              <w:contextualSpacing/>
              <w:jc w:val="both"/>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SURFACE_FRESH_IN</m:t>
                </m:r>
              </m:oMath>
            </m:oMathPara>
          </w:p>
        </w:tc>
        <w:tc>
          <w:tcPr>
            <w:tcW w:w="1469" w:type="pct"/>
            <w:tcBorders>
              <w:top w:val="nil"/>
              <w:left w:val="nil"/>
              <w:bottom w:val="nil"/>
              <w:right w:val="nil"/>
            </w:tcBorders>
            <w:shd w:val="clear" w:color="auto" w:fill="auto"/>
            <w:vAlign w:val="center"/>
          </w:tcPr>
          <w:p w14:paraId="4ED0A86B" w14:textId="153D638E" w:rsidR="00C931B8" w:rsidRPr="001E47AD" w:rsidRDefault="00C931B8" w:rsidP="0082394A">
            <w:pPr>
              <w:contextualSpacing/>
              <w:rPr>
                <w:rFonts w:ascii="Times New Roman" w:hAnsi="Times New Roman" w:cs="Times New Roman"/>
                <w:sz w:val="16"/>
                <w:szCs w:val="16"/>
              </w:rPr>
            </w:pPr>
            <w:r w:rsidRPr="001E47AD">
              <w:rPr>
                <w:rFonts w:ascii="Times New Roman" w:hAnsi="Times New Roman" w:cs="Times New Roman"/>
                <w:sz w:val="16"/>
                <w:szCs w:val="16"/>
              </w:rPr>
              <w:t>Mgal/d</w:t>
            </w:r>
          </w:p>
        </w:tc>
        <w:tc>
          <w:tcPr>
            <w:tcW w:w="497" w:type="pct"/>
            <w:tcBorders>
              <w:top w:val="nil"/>
              <w:left w:val="nil"/>
              <w:bottom w:val="nil"/>
              <w:right w:val="nil"/>
            </w:tcBorders>
            <w:shd w:val="clear" w:color="auto" w:fill="auto"/>
            <w:vAlign w:val="bottom"/>
          </w:tcPr>
          <w:p w14:paraId="35D9FF3E" w14:textId="6F20ED44"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14.026</w:t>
            </w:r>
          </w:p>
        </w:tc>
        <w:tc>
          <w:tcPr>
            <w:tcW w:w="551" w:type="pct"/>
            <w:tcBorders>
              <w:top w:val="nil"/>
              <w:left w:val="nil"/>
              <w:bottom w:val="nil"/>
              <w:right w:val="nil"/>
            </w:tcBorders>
            <w:shd w:val="clear" w:color="auto" w:fill="auto"/>
            <w:vAlign w:val="bottom"/>
          </w:tcPr>
          <w:p w14:paraId="0721B65C" w14:textId="5D3B29C2"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65.135</w:t>
            </w:r>
          </w:p>
        </w:tc>
        <w:tc>
          <w:tcPr>
            <w:tcW w:w="535" w:type="pct"/>
            <w:tcBorders>
              <w:top w:val="nil"/>
              <w:left w:val="nil"/>
              <w:bottom w:val="nil"/>
              <w:right w:val="nil"/>
            </w:tcBorders>
            <w:shd w:val="clear" w:color="auto" w:fill="auto"/>
            <w:vAlign w:val="bottom"/>
          </w:tcPr>
          <w:p w14:paraId="335D89D1" w14:textId="41BDF295"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267CD8B7" w14:textId="254D085D"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1,119.600</w:t>
            </w:r>
          </w:p>
        </w:tc>
      </w:tr>
      <w:tr w:rsidR="00C931B8" w:rsidRPr="001E47AD" w14:paraId="4BD59150" w14:textId="77777777" w:rsidTr="00203306">
        <w:tc>
          <w:tcPr>
            <w:tcW w:w="1446" w:type="pct"/>
            <w:tcBorders>
              <w:top w:val="nil"/>
              <w:left w:val="nil"/>
              <w:bottom w:val="nil"/>
              <w:right w:val="nil"/>
            </w:tcBorders>
            <w:shd w:val="clear" w:color="auto" w:fill="auto"/>
            <w:vAlign w:val="center"/>
          </w:tcPr>
          <w:p w14:paraId="2EE833D2" w14:textId="19F559EE" w:rsidR="00C931B8" w:rsidRPr="001E47AD" w:rsidRDefault="00C931B8" w:rsidP="0082394A">
            <w:pPr>
              <w:contextualSpacing/>
              <w:jc w:val="both"/>
              <w:rPr>
                <w:rFonts w:ascii="Times New Roman" w:eastAsia="宋体" w:hAnsi="Times New Roman" w:cs="Times New Roman"/>
                <w:sz w:val="16"/>
                <w:szCs w:val="16"/>
              </w:rPr>
            </w:pPr>
            <m:oMathPara>
              <m:oMathParaPr>
                <m:jc m:val="left"/>
              </m:oMathParaPr>
              <m:oMath>
                <m:r>
                  <m:rPr>
                    <m:sty m:val="p"/>
                  </m:rPr>
                  <w:rPr>
                    <w:rFonts w:ascii="Cambria Math" w:eastAsia="等线" w:hAnsi="Cambria Math" w:cs="Times New Roman"/>
                    <w:sz w:val="16"/>
                    <w:szCs w:val="16"/>
                  </w:rPr>
                  <m:t>SURFACE_SALINE_IN</m:t>
                </m:r>
              </m:oMath>
            </m:oMathPara>
          </w:p>
        </w:tc>
        <w:tc>
          <w:tcPr>
            <w:tcW w:w="1469" w:type="pct"/>
            <w:tcBorders>
              <w:top w:val="nil"/>
              <w:left w:val="nil"/>
              <w:bottom w:val="nil"/>
              <w:right w:val="nil"/>
            </w:tcBorders>
            <w:shd w:val="clear" w:color="auto" w:fill="auto"/>
            <w:vAlign w:val="center"/>
          </w:tcPr>
          <w:p w14:paraId="1D18DAEE" w14:textId="7487B435" w:rsidR="00C931B8" w:rsidRPr="001E47AD" w:rsidRDefault="00C931B8" w:rsidP="0082394A">
            <w:pPr>
              <w:contextualSpacing/>
              <w:rPr>
                <w:rFonts w:ascii="Times New Roman" w:hAnsi="Times New Roman" w:cs="Times New Roman"/>
                <w:sz w:val="16"/>
                <w:szCs w:val="16"/>
              </w:rPr>
            </w:pPr>
            <w:r w:rsidRPr="001E47AD">
              <w:rPr>
                <w:rFonts w:ascii="Times New Roman" w:hAnsi="Times New Roman" w:cs="Times New Roman"/>
                <w:sz w:val="16"/>
                <w:szCs w:val="16"/>
              </w:rPr>
              <w:t>Mgal/d</w:t>
            </w:r>
          </w:p>
        </w:tc>
        <w:tc>
          <w:tcPr>
            <w:tcW w:w="497" w:type="pct"/>
            <w:tcBorders>
              <w:top w:val="nil"/>
              <w:left w:val="nil"/>
              <w:bottom w:val="nil"/>
              <w:right w:val="nil"/>
            </w:tcBorders>
            <w:shd w:val="clear" w:color="auto" w:fill="auto"/>
            <w:vAlign w:val="bottom"/>
          </w:tcPr>
          <w:p w14:paraId="5D93958E" w14:textId="151950AA"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0.499</w:t>
            </w:r>
          </w:p>
        </w:tc>
        <w:tc>
          <w:tcPr>
            <w:tcW w:w="551" w:type="pct"/>
            <w:tcBorders>
              <w:top w:val="nil"/>
              <w:left w:val="nil"/>
              <w:bottom w:val="nil"/>
              <w:right w:val="nil"/>
            </w:tcBorders>
            <w:shd w:val="clear" w:color="auto" w:fill="auto"/>
            <w:vAlign w:val="bottom"/>
          </w:tcPr>
          <w:p w14:paraId="01DD522A" w14:textId="07384388"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7.393</w:t>
            </w:r>
          </w:p>
        </w:tc>
        <w:tc>
          <w:tcPr>
            <w:tcW w:w="535" w:type="pct"/>
            <w:tcBorders>
              <w:top w:val="nil"/>
              <w:left w:val="nil"/>
              <w:bottom w:val="nil"/>
              <w:right w:val="nil"/>
            </w:tcBorders>
            <w:shd w:val="clear" w:color="auto" w:fill="auto"/>
            <w:vAlign w:val="bottom"/>
          </w:tcPr>
          <w:p w14:paraId="22A5C61D" w14:textId="14836D9C"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0.000</w:t>
            </w:r>
          </w:p>
        </w:tc>
        <w:tc>
          <w:tcPr>
            <w:tcW w:w="502" w:type="pct"/>
            <w:tcBorders>
              <w:top w:val="nil"/>
              <w:left w:val="nil"/>
              <w:bottom w:val="nil"/>
              <w:right w:val="nil"/>
            </w:tcBorders>
            <w:shd w:val="clear" w:color="auto" w:fill="auto"/>
            <w:vAlign w:val="bottom"/>
          </w:tcPr>
          <w:p w14:paraId="4CAE0A7F" w14:textId="1110ABCD" w:rsidR="00C931B8" w:rsidRPr="001E47AD" w:rsidRDefault="00C931B8" w:rsidP="0082394A">
            <w:pPr>
              <w:contextualSpacing/>
              <w:jc w:val="right"/>
              <w:rPr>
                <w:rFonts w:ascii="Times New Roman" w:hAnsi="Times New Roman" w:cs="Times New Roman"/>
                <w:sz w:val="16"/>
                <w:szCs w:val="16"/>
              </w:rPr>
            </w:pPr>
            <w:r w:rsidRPr="001E47AD">
              <w:rPr>
                <w:rFonts w:ascii="Times New Roman" w:hAnsi="Times New Roman" w:cs="Times New Roman"/>
                <w:sz w:val="16"/>
                <w:szCs w:val="16"/>
              </w:rPr>
              <w:t>145.730</w:t>
            </w:r>
          </w:p>
        </w:tc>
      </w:tr>
      <w:tr w:rsidR="00C931B8" w:rsidRPr="001E47AD" w14:paraId="0A99C029" w14:textId="77777777" w:rsidTr="00F67185">
        <w:tc>
          <w:tcPr>
            <w:tcW w:w="1446" w:type="pct"/>
            <w:tcBorders>
              <w:top w:val="single" w:sz="4" w:space="0" w:color="auto"/>
              <w:left w:val="nil"/>
              <w:bottom w:val="single" w:sz="4" w:space="0" w:color="auto"/>
              <w:right w:val="nil"/>
            </w:tcBorders>
            <w:shd w:val="clear" w:color="auto" w:fill="auto"/>
            <w:vAlign w:val="center"/>
          </w:tcPr>
          <w:p w14:paraId="7ECA98FC" w14:textId="77777777" w:rsidR="00C931B8" w:rsidRPr="001E47AD" w:rsidRDefault="00C931B8" w:rsidP="0082394A">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Observations</w:t>
            </w:r>
          </w:p>
        </w:tc>
        <w:tc>
          <w:tcPr>
            <w:tcW w:w="3554" w:type="pct"/>
            <w:gridSpan w:val="5"/>
            <w:tcBorders>
              <w:top w:val="single" w:sz="4" w:space="0" w:color="auto"/>
              <w:left w:val="nil"/>
              <w:bottom w:val="single" w:sz="4" w:space="0" w:color="auto"/>
              <w:right w:val="nil"/>
            </w:tcBorders>
            <w:shd w:val="clear" w:color="auto" w:fill="auto"/>
            <w:vAlign w:val="center"/>
          </w:tcPr>
          <w:p w14:paraId="3D5BECD7" w14:textId="77777777" w:rsidR="00C931B8" w:rsidRPr="001E47AD" w:rsidRDefault="00C931B8" w:rsidP="0082394A">
            <w:pPr>
              <w:contextualSpacing/>
              <w:jc w:val="center"/>
              <w:rPr>
                <w:rFonts w:ascii="Times New Roman" w:hAnsi="Times New Roman" w:cs="Times New Roman"/>
                <w:sz w:val="16"/>
                <w:szCs w:val="16"/>
              </w:rPr>
            </w:pPr>
            <w:r w:rsidRPr="001E47AD">
              <w:rPr>
                <w:rFonts w:ascii="Times New Roman" w:hAnsi="Times New Roman" w:cs="Times New Roman"/>
                <w:sz w:val="16"/>
                <w:szCs w:val="16"/>
              </w:rPr>
              <w:t>38,418</w:t>
            </w:r>
          </w:p>
        </w:tc>
      </w:tr>
    </w:tbl>
    <w:p w14:paraId="476DA662" w14:textId="77777777" w:rsidR="0064202C" w:rsidRPr="001E47AD" w:rsidRDefault="00654570" w:rsidP="00E319F8">
      <w:pPr>
        <w:pStyle w:val="Heading1"/>
      </w:pPr>
      <w:bookmarkStart w:id="36" w:name="_Toc520380476"/>
      <w:bookmarkStart w:id="37" w:name="_Ref535329072"/>
      <w:r w:rsidRPr="001E47AD">
        <w:lastRenderedPageBreak/>
        <w:t>E</w:t>
      </w:r>
      <w:r w:rsidR="00D54B2B" w:rsidRPr="001E47AD">
        <w:t>mpirical Results</w:t>
      </w:r>
      <w:bookmarkEnd w:id="36"/>
      <w:bookmarkEnd w:id="37"/>
    </w:p>
    <w:p w14:paraId="5494CE00" w14:textId="77777777" w:rsidR="004C1820" w:rsidRPr="001E47AD" w:rsidRDefault="00307085" w:rsidP="00307085">
      <w:pPr>
        <w:spacing w:before="120" w:after="120" w:line="480" w:lineRule="auto"/>
        <w:contextualSpacing/>
        <w:jc w:val="both"/>
        <w:rPr>
          <w:lang w:eastAsia="zh-CN"/>
        </w:rPr>
      </w:pPr>
      <w:r w:rsidRPr="001E47AD">
        <w:rPr>
          <w:sz w:val="22"/>
          <w:szCs w:val="22"/>
        </w:rPr>
        <w:t xml:space="preserve">We </w:t>
      </w:r>
      <w:r w:rsidR="00295687" w:rsidRPr="001E47AD">
        <w:rPr>
          <w:sz w:val="22"/>
          <w:szCs w:val="22"/>
        </w:rPr>
        <w:t xml:space="preserve">first describe the </w:t>
      </w:r>
      <w:r w:rsidRPr="001E47AD">
        <w:rPr>
          <w:sz w:val="22"/>
          <w:szCs w:val="22"/>
        </w:rPr>
        <w:t xml:space="preserve">three categories of factors that influence </w:t>
      </w:r>
      <w:r w:rsidRPr="001E47AD">
        <w:rPr>
          <w:noProof/>
          <w:sz w:val="22"/>
          <w:szCs w:val="22"/>
        </w:rPr>
        <w:t>stockpiling</w:t>
      </w:r>
      <w:r w:rsidRPr="001E47AD">
        <w:rPr>
          <w:sz w:val="22"/>
          <w:szCs w:val="22"/>
        </w:rPr>
        <w:t xml:space="preserve"> of bottled water – demand-side factors (related to the consumers), supply-side factors (</w:t>
      </w:r>
      <w:r w:rsidRPr="001E47AD">
        <w:rPr>
          <w:noProof/>
          <w:sz w:val="22"/>
          <w:szCs w:val="22"/>
        </w:rPr>
        <w:t>related to</w:t>
      </w:r>
      <w:r w:rsidRPr="001E47AD">
        <w:rPr>
          <w:sz w:val="22"/>
          <w:szCs w:val="22"/>
        </w:rPr>
        <w:t xml:space="preserve"> the retail outlets) and hurricane characteristics. We then examine how stockpiling behavior, along with the demand, supply and hurricane characteristics, impact in-store availability of bottled water following the hurricane event.</w:t>
      </w:r>
    </w:p>
    <w:p w14:paraId="6BAFAC04" w14:textId="77777777" w:rsidR="00654570" w:rsidRPr="001E47AD" w:rsidRDefault="00654570" w:rsidP="00596F39">
      <w:pPr>
        <w:pStyle w:val="Heading2"/>
      </w:pPr>
      <w:bookmarkStart w:id="38" w:name="_Toc520380477"/>
      <w:r w:rsidRPr="001E47AD">
        <w:t>Consumer Stockpiling Propensity</w:t>
      </w:r>
      <w:bookmarkEnd w:id="38"/>
    </w:p>
    <w:p w14:paraId="4D67035F" w14:textId="49EDAA1F" w:rsidR="001742A8" w:rsidRPr="001E47AD" w:rsidRDefault="00F706AB" w:rsidP="00F14FC6">
      <w:pPr>
        <w:spacing w:before="120" w:after="120" w:line="480" w:lineRule="auto"/>
        <w:contextualSpacing/>
        <w:jc w:val="both"/>
        <w:rPr>
          <w:sz w:val="22"/>
          <w:szCs w:val="22"/>
        </w:rPr>
      </w:pPr>
      <w:r w:rsidRPr="001E47AD">
        <w:rPr>
          <w:sz w:val="22"/>
          <w:szCs w:val="22"/>
        </w:rPr>
        <w:t>T</w:t>
      </w:r>
      <w:r w:rsidR="00654570" w:rsidRPr="001E47AD">
        <w:rPr>
          <w:sz w:val="22"/>
          <w:szCs w:val="22"/>
        </w:rPr>
        <w:t>he first research question addressed is: How do supply-side, demand-side, and disaster characteristics affect consumer stockpiling propensity during the EARLY event period? In</w:t>
      </w:r>
      <w:r w:rsidR="000F5402" w:rsidRPr="001E47AD">
        <w:rPr>
          <w:rFonts w:hint="eastAsia"/>
          <w:sz w:val="22"/>
          <w:szCs w:val="22"/>
          <w:lang w:eastAsia="zh-CN"/>
        </w:rPr>
        <w:t xml:space="preserve"> </w:t>
      </w:r>
      <w:r w:rsidR="000F5402" w:rsidRPr="001E47AD">
        <w:rPr>
          <w:sz w:val="22"/>
          <w:szCs w:val="22"/>
          <w:lang w:eastAsia="zh-CN"/>
        </w:rPr>
        <w:fldChar w:fldCharType="begin"/>
      </w:r>
      <w:r w:rsidR="000F5402" w:rsidRPr="001E47AD">
        <w:rPr>
          <w:sz w:val="22"/>
          <w:szCs w:val="22"/>
          <w:lang w:eastAsia="zh-CN"/>
        </w:rPr>
        <w:instrText xml:space="preserve"> </w:instrText>
      </w:r>
      <w:r w:rsidR="000F5402" w:rsidRPr="001E47AD">
        <w:rPr>
          <w:rFonts w:hint="eastAsia"/>
          <w:sz w:val="22"/>
          <w:szCs w:val="22"/>
          <w:lang w:eastAsia="zh-CN"/>
        </w:rPr>
        <w:instrText>REF _Ref20836806 \h</w:instrText>
      </w:r>
      <w:r w:rsidR="000F5402" w:rsidRPr="001E47AD">
        <w:rPr>
          <w:sz w:val="22"/>
          <w:szCs w:val="22"/>
          <w:lang w:eastAsia="zh-CN"/>
        </w:rPr>
        <w:instrText xml:space="preserve"> </w:instrText>
      </w:r>
      <w:r w:rsidR="00F234CE" w:rsidRPr="001E47AD">
        <w:rPr>
          <w:sz w:val="22"/>
          <w:szCs w:val="22"/>
          <w:lang w:eastAsia="zh-CN"/>
        </w:rPr>
        <w:instrText xml:space="preserve"> \* MERGEFORMAT </w:instrText>
      </w:r>
      <w:r w:rsidR="000F5402" w:rsidRPr="001E47AD">
        <w:rPr>
          <w:sz w:val="22"/>
          <w:szCs w:val="22"/>
          <w:lang w:eastAsia="zh-CN"/>
        </w:rPr>
      </w:r>
      <w:r w:rsidR="000F5402" w:rsidRPr="001E47AD">
        <w:rPr>
          <w:sz w:val="22"/>
          <w:szCs w:val="22"/>
          <w:lang w:eastAsia="zh-CN"/>
        </w:rPr>
        <w:fldChar w:fldCharType="separate"/>
      </w:r>
      <w:r w:rsidR="009E3444" w:rsidRPr="001E47AD">
        <w:rPr>
          <w:sz w:val="22"/>
          <w:szCs w:val="22"/>
        </w:rPr>
        <w:t xml:space="preserve">Table </w:t>
      </w:r>
      <w:r w:rsidR="009E3444" w:rsidRPr="001E47AD">
        <w:rPr>
          <w:noProof/>
          <w:sz w:val="22"/>
          <w:szCs w:val="22"/>
        </w:rPr>
        <w:t>3</w:t>
      </w:r>
      <w:r w:rsidR="000F5402" w:rsidRPr="001E47AD">
        <w:rPr>
          <w:sz w:val="22"/>
          <w:szCs w:val="22"/>
          <w:lang w:eastAsia="zh-CN"/>
        </w:rPr>
        <w:fldChar w:fldCharType="end"/>
      </w:r>
      <w:r w:rsidR="00654570" w:rsidRPr="001E47AD">
        <w:rPr>
          <w:sz w:val="22"/>
          <w:szCs w:val="22"/>
        </w:rPr>
        <w:t xml:space="preserve">, we set consumer </w:t>
      </w:r>
      <w:r w:rsidR="00654570" w:rsidRPr="001E47AD">
        <w:rPr>
          <w:noProof/>
          <w:sz w:val="22"/>
          <w:szCs w:val="22"/>
        </w:rPr>
        <w:t>stockpiling</w:t>
      </w:r>
      <w:r w:rsidR="00654570" w:rsidRPr="001E47AD">
        <w:rPr>
          <w:sz w:val="22"/>
          <w:szCs w:val="22"/>
        </w:rPr>
        <w:t xml:space="preserve"> propensity during the EARLY event week as the dependent variable. Model 1.</w:t>
      </w:r>
      <w:r w:rsidR="00FE7F1A" w:rsidRPr="001E47AD">
        <w:rPr>
          <w:rFonts w:hint="eastAsia"/>
          <w:sz w:val="22"/>
          <w:szCs w:val="22"/>
          <w:lang w:eastAsia="zh-CN"/>
        </w:rPr>
        <w:t>1</w:t>
      </w:r>
      <w:r w:rsidR="00654570" w:rsidRPr="001E47AD">
        <w:rPr>
          <w:sz w:val="22"/>
          <w:szCs w:val="22"/>
        </w:rPr>
        <w:t>, Model 1.</w:t>
      </w:r>
      <w:r w:rsidR="00FE7F1A" w:rsidRPr="001E47AD">
        <w:rPr>
          <w:rFonts w:hint="eastAsia"/>
          <w:sz w:val="22"/>
          <w:szCs w:val="22"/>
          <w:lang w:eastAsia="zh-CN"/>
        </w:rPr>
        <w:t>2</w:t>
      </w:r>
      <w:r w:rsidR="00FE7F1A" w:rsidRPr="001E47AD">
        <w:rPr>
          <w:sz w:val="22"/>
          <w:szCs w:val="22"/>
        </w:rPr>
        <w:t>, and Model 1.</w:t>
      </w:r>
      <w:r w:rsidR="00FE7F1A" w:rsidRPr="001E47AD">
        <w:rPr>
          <w:rFonts w:hint="eastAsia"/>
          <w:sz w:val="22"/>
          <w:szCs w:val="22"/>
          <w:lang w:eastAsia="zh-CN"/>
        </w:rPr>
        <w:t>3</w:t>
      </w:r>
      <w:r w:rsidR="001E2324" w:rsidRPr="001E47AD">
        <w:rPr>
          <w:sz w:val="22"/>
          <w:szCs w:val="22"/>
        </w:rPr>
        <w:t>, in turn,</w:t>
      </w:r>
      <w:r w:rsidR="00654570" w:rsidRPr="001E47AD">
        <w:rPr>
          <w:sz w:val="22"/>
          <w:szCs w:val="22"/>
        </w:rPr>
        <w:t xml:space="preserve"> add the supply-side, demand-side, and disaster characteristics</w:t>
      </w:r>
      <w:r w:rsidR="005D7104" w:rsidRPr="001E47AD">
        <w:rPr>
          <w:rFonts w:hint="eastAsia"/>
          <w:sz w:val="22"/>
          <w:szCs w:val="22"/>
          <w:lang w:eastAsia="zh-CN"/>
        </w:rPr>
        <w:t xml:space="preserve"> as the focal independent variables</w:t>
      </w:r>
      <w:r w:rsidR="00654570" w:rsidRPr="001E47AD">
        <w:rPr>
          <w:sz w:val="22"/>
          <w:szCs w:val="22"/>
        </w:rPr>
        <w:t xml:space="preserve">. </w:t>
      </w:r>
      <w:r w:rsidR="00E26CB8" w:rsidRPr="001E47AD">
        <w:rPr>
          <w:sz w:val="22"/>
          <w:szCs w:val="22"/>
        </w:rPr>
        <w:t>We</w:t>
      </w:r>
      <w:r w:rsidR="00336D66" w:rsidRPr="001E47AD">
        <w:rPr>
          <w:sz w:val="22"/>
          <w:szCs w:val="22"/>
        </w:rPr>
        <w:t xml:space="preserve"> utilize Model </w:t>
      </w:r>
      <w:r w:rsidR="00E26CB8" w:rsidRPr="001E47AD">
        <w:rPr>
          <w:sz w:val="22"/>
          <w:szCs w:val="22"/>
        </w:rPr>
        <w:t xml:space="preserve">1.4, </w:t>
      </w:r>
      <w:r w:rsidR="00E26CB8" w:rsidRPr="001E47AD">
        <w:rPr>
          <w:noProof/>
          <w:sz w:val="22"/>
          <w:szCs w:val="22"/>
        </w:rPr>
        <w:t>the complete</w:t>
      </w:r>
      <w:r w:rsidR="00E26CB8" w:rsidRPr="001E47AD">
        <w:rPr>
          <w:sz w:val="22"/>
          <w:szCs w:val="22"/>
        </w:rPr>
        <w:t xml:space="preserve"> model, to describe our results.</w:t>
      </w:r>
      <w:r w:rsidR="00894247" w:rsidRPr="001E47AD">
        <w:rPr>
          <w:sz w:val="22"/>
          <w:szCs w:val="22"/>
          <w:lang w:eastAsia="zh-CN"/>
        </w:rPr>
        <w:t xml:space="preserve"> </w:t>
      </w:r>
      <w:r w:rsidR="004B6C49" w:rsidRPr="001E47AD">
        <w:rPr>
          <w:sz w:val="22"/>
          <w:szCs w:val="22"/>
          <w:lang w:eastAsia="zh-CN"/>
        </w:rPr>
        <w:t>Figures 3, 4, and 5 reflect</w:t>
      </w:r>
      <w:r w:rsidR="004B6C49" w:rsidRPr="001E47AD">
        <w:rPr>
          <w:sz w:val="22"/>
          <w:szCs w:val="22"/>
        </w:rPr>
        <w:t xml:space="preserve"> the effects of changes in the independent variables on </w:t>
      </w:r>
      <w:r w:rsidR="00347142" w:rsidRPr="001E47AD">
        <w:rPr>
          <w:sz w:val="22"/>
          <w:szCs w:val="22"/>
        </w:rPr>
        <w:t xml:space="preserve">the </w:t>
      </w:r>
      <w:r w:rsidR="004B6C49" w:rsidRPr="001E47AD">
        <w:rPr>
          <w:noProof/>
          <w:sz w:val="22"/>
          <w:szCs w:val="22"/>
        </w:rPr>
        <w:t>dependent</w:t>
      </w:r>
      <w:r w:rsidR="004B6C49" w:rsidRPr="001E47AD">
        <w:rPr>
          <w:sz w:val="22"/>
          <w:szCs w:val="22"/>
        </w:rPr>
        <w:t xml:space="preserve"> variable (unlogged).</w:t>
      </w:r>
      <w:r w:rsidR="00910B92" w:rsidRPr="001E47AD">
        <w:rPr>
          <w:rStyle w:val="FootnoteReference"/>
        </w:rPr>
        <w:footnoteReference w:id="19"/>
      </w:r>
      <w:r w:rsidR="004B6C49" w:rsidRPr="001E47AD">
        <w:rPr>
          <w:sz w:val="20"/>
          <w:szCs w:val="20"/>
        </w:rPr>
        <w:t xml:space="preserve"> </w:t>
      </w:r>
      <w:r w:rsidR="00894247" w:rsidRPr="001E47AD">
        <w:rPr>
          <w:sz w:val="22"/>
          <w:szCs w:val="22"/>
          <w:lang w:eastAsia="zh-CN"/>
        </w:rPr>
        <w:t>In the three subsections, we study the impacts of supply-side, demand-side, and disaster-related characteristics on consumer stockpiling propensity.</w:t>
      </w:r>
      <w:bookmarkStart w:id="39" w:name="_Ref506986974"/>
      <w:bookmarkStart w:id="40" w:name="_Ref518083104"/>
      <w:bookmarkStart w:id="41" w:name="_Toc520380515"/>
      <w:r w:rsidR="006E1543" w:rsidRPr="001E47AD">
        <w:rPr>
          <w:sz w:val="22"/>
          <w:szCs w:val="22"/>
          <w:lang w:eastAsia="zh-CN"/>
        </w:rPr>
        <w:t xml:space="preserve">  </w:t>
      </w:r>
    </w:p>
    <w:p w14:paraId="03F93F56" w14:textId="6F00699D" w:rsidR="00406550" w:rsidRPr="001E47AD" w:rsidRDefault="00406550">
      <w:pPr>
        <w:rPr>
          <w:sz w:val="22"/>
          <w:szCs w:val="22"/>
          <w:lang w:eastAsia="zh-CN"/>
        </w:rPr>
      </w:pPr>
      <w:r w:rsidRPr="001E47AD">
        <w:rPr>
          <w:sz w:val="22"/>
          <w:szCs w:val="22"/>
        </w:rPr>
        <w:br w:type="page"/>
      </w:r>
    </w:p>
    <w:p w14:paraId="0BFF8855" w14:textId="290A7B79" w:rsidR="00654570" w:rsidRPr="001E47AD" w:rsidRDefault="00654570" w:rsidP="001565CF">
      <w:pPr>
        <w:spacing w:before="120" w:after="120"/>
        <w:rPr>
          <w:sz w:val="22"/>
          <w:szCs w:val="22"/>
        </w:rPr>
      </w:pPr>
      <w:bookmarkStart w:id="42" w:name="_Ref20836806"/>
      <w:r w:rsidRPr="001E47AD">
        <w:rPr>
          <w:sz w:val="22"/>
          <w:szCs w:val="22"/>
        </w:rPr>
        <w:lastRenderedPageBreak/>
        <w:t xml:space="preserve">Table </w:t>
      </w:r>
      <w:r w:rsidR="002C70E8" w:rsidRPr="001E47AD">
        <w:rPr>
          <w:noProof/>
          <w:sz w:val="22"/>
          <w:szCs w:val="22"/>
        </w:rPr>
        <w:fldChar w:fldCharType="begin"/>
      </w:r>
      <w:r w:rsidR="002C70E8" w:rsidRPr="001E47AD">
        <w:rPr>
          <w:noProof/>
          <w:sz w:val="22"/>
          <w:szCs w:val="22"/>
        </w:rPr>
        <w:instrText xml:space="preserve"> SEQ Table \* ARABIC </w:instrText>
      </w:r>
      <w:r w:rsidR="002C70E8" w:rsidRPr="001E47AD">
        <w:rPr>
          <w:noProof/>
          <w:sz w:val="22"/>
          <w:szCs w:val="22"/>
        </w:rPr>
        <w:fldChar w:fldCharType="separate"/>
      </w:r>
      <w:r w:rsidR="009E3444" w:rsidRPr="001E47AD">
        <w:rPr>
          <w:noProof/>
          <w:sz w:val="22"/>
          <w:szCs w:val="22"/>
        </w:rPr>
        <w:t>3</w:t>
      </w:r>
      <w:r w:rsidR="002C70E8" w:rsidRPr="001E47AD">
        <w:rPr>
          <w:noProof/>
          <w:sz w:val="22"/>
          <w:szCs w:val="22"/>
        </w:rPr>
        <w:fldChar w:fldCharType="end"/>
      </w:r>
      <w:bookmarkEnd w:id="39"/>
      <w:bookmarkEnd w:id="40"/>
      <w:bookmarkEnd w:id="42"/>
      <w:r w:rsidRPr="001E47AD">
        <w:rPr>
          <w:sz w:val="22"/>
          <w:szCs w:val="22"/>
        </w:rPr>
        <w:t>: Estimation Results (Consumer Stockpiling Propensity)</w:t>
      </w:r>
      <w:bookmarkEnd w:id="4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50"/>
        <w:gridCol w:w="1389"/>
        <w:gridCol w:w="1763"/>
        <w:gridCol w:w="1763"/>
        <w:gridCol w:w="1763"/>
      </w:tblGrid>
      <w:tr w:rsidR="0026062A" w:rsidRPr="001E47AD" w14:paraId="688A43CF" w14:textId="77777777" w:rsidTr="00851E79">
        <w:tc>
          <w:tcPr>
            <w:tcW w:w="2898" w:type="dxa"/>
            <w:gridSpan w:val="2"/>
            <w:tcBorders>
              <w:top w:val="single" w:sz="4" w:space="0" w:color="auto"/>
              <w:left w:val="nil"/>
              <w:bottom w:val="single" w:sz="4" w:space="0" w:color="auto"/>
              <w:right w:val="nil"/>
            </w:tcBorders>
            <w:vAlign w:val="center"/>
          </w:tcPr>
          <w:p w14:paraId="0A92ED88" w14:textId="77777777" w:rsidR="0026062A" w:rsidRPr="001E47AD" w:rsidRDefault="0026062A" w:rsidP="00F5379D">
            <w:pPr>
              <w:contextualSpacing/>
              <w:rPr>
                <w:rFonts w:ascii="Times New Roman" w:hAnsi="Times New Roman" w:cs="Times New Roman"/>
                <w:sz w:val="16"/>
                <w:szCs w:val="16"/>
              </w:rPr>
            </w:pPr>
            <w:r w:rsidRPr="001E47AD">
              <w:rPr>
                <w:rFonts w:ascii="Times New Roman" w:hAnsi="Times New Roman" w:cs="Times New Roman"/>
                <w:sz w:val="16"/>
                <w:szCs w:val="16"/>
              </w:rPr>
              <w:t>Dependent Variable</w:t>
            </w:r>
          </w:p>
          <w:p w14:paraId="396EE54A" w14:textId="41AF281D" w:rsidR="0026062A" w:rsidRPr="001E47AD" w:rsidRDefault="0026062A" w:rsidP="0026062A">
            <w:pPr>
              <w:contextualSpacing/>
              <w:jc w:val="center"/>
              <w:rPr>
                <w:sz w:val="16"/>
                <w:szCs w:val="16"/>
              </w:rPr>
            </w:pPr>
            <m:oMathPara>
              <m:oMathParaPr>
                <m:jc m:val="left"/>
              </m:oMathParaPr>
              <m:oMath>
                <m:r>
                  <m:rPr>
                    <m:sty m:val="p"/>
                  </m:rPr>
                  <w:rPr>
                    <w:rFonts w:ascii="Cambria Math" w:hAnsi="Cambria Math"/>
                    <w:spacing w:val="-20"/>
                    <w:sz w:val="16"/>
                    <w:szCs w:val="16"/>
                  </w:rPr>
                  <m:t>LN(STOCK</m:t>
                </m:r>
                <m:r>
                  <m:rPr>
                    <m:sty m:val="p"/>
                  </m:rPr>
                  <w:rPr>
                    <w:rFonts w:ascii="Cambria Math" w:hAnsi="Cambria Math" w:cs="Times New Roman"/>
                    <w:spacing w:val="-20"/>
                    <w:sz w:val="16"/>
                    <w:szCs w:val="16"/>
                  </w:rPr>
                  <m:t>_PROP_EARLY)×1000</m:t>
                </m:r>
              </m:oMath>
            </m:oMathPara>
          </w:p>
        </w:tc>
        <w:tc>
          <w:tcPr>
            <w:tcW w:w="1389" w:type="dxa"/>
            <w:tcBorders>
              <w:top w:val="single" w:sz="4" w:space="0" w:color="auto"/>
              <w:left w:val="nil"/>
              <w:bottom w:val="single" w:sz="4" w:space="0" w:color="auto"/>
              <w:right w:val="nil"/>
            </w:tcBorders>
            <w:shd w:val="clear" w:color="auto" w:fill="auto"/>
            <w:vAlign w:val="center"/>
          </w:tcPr>
          <w:p w14:paraId="1563C2E0" w14:textId="156AC6F7" w:rsidR="0026062A" w:rsidRPr="001E47AD" w:rsidRDefault="0026062A" w:rsidP="0026062A">
            <w:pPr>
              <w:contextualSpacing/>
              <w:rPr>
                <w:rFonts w:ascii="Times New Roman" w:hAnsi="Times New Roman" w:cs="Times New Roman"/>
                <w:sz w:val="16"/>
                <w:szCs w:val="16"/>
              </w:rPr>
            </w:pPr>
            <w:r w:rsidRPr="001E47AD">
              <w:rPr>
                <w:rFonts w:ascii="Times New Roman" w:hAnsi="Times New Roman" w:cs="Times New Roman"/>
                <w:sz w:val="16"/>
                <w:szCs w:val="16"/>
              </w:rPr>
              <w:t>Model 1.1</w:t>
            </w:r>
          </w:p>
        </w:tc>
        <w:tc>
          <w:tcPr>
            <w:tcW w:w="0" w:type="auto"/>
            <w:tcBorders>
              <w:top w:val="single" w:sz="4" w:space="0" w:color="auto"/>
              <w:left w:val="nil"/>
              <w:bottom w:val="single" w:sz="4" w:space="0" w:color="auto"/>
              <w:right w:val="nil"/>
            </w:tcBorders>
            <w:shd w:val="clear" w:color="auto" w:fill="auto"/>
            <w:vAlign w:val="center"/>
          </w:tcPr>
          <w:p w14:paraId="0811C956" w14:textId="4737E0D4" w:rsidR="0026062A" w:rsidRPr="001E47AD" w:rsidRDefault="0026062A" w:rsidP="0026062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1.2</w:t>
            </w:r>
          </w:p>
        </w:tc>
        <w:tc>
          <w:tcPr>
            <w:tcW w:w="0" w:type="auto"/>
            <w:tcBorders>
              <w:top w:val="single" w:sz="4" w:space="0" w:color="auto"/>
              <w:left w:val="nil"/>
              <w:bottom w:val="single" w:sz="4" w:space="0" w:color="auto"/>
              <w:right w:val="nil"/>
            </w:tcBorders>
            <w:shd w:val="clear" w:color="auto" w:fill="auto"/>
            <w:vAlign w:val="center"/>
          </w:tcPr>
          <w:p w14:paraId="30249BB9" w14:textId="19E3D560" w:rsidR="0026062A" w:rsidRPr="001E47AD" w:rsidRDefault="0026062A" w:rsidP="0026062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1.3</w:t>
            </w:r>
          </w:p>
        </w:tc>
        <w:tc>
          <w:tcPr>
            <w:tcW w:w="0" w:type="auto"/>
            <w:tcBorders>
              <w:top w:val="single" w:sz="4" w:space="0" w:color="auto"/>
              <w:left w:val="nil"/>
              <w:bottom w:val="single" w:sz="4" w:space="0" w:color="auto"/>
              <w:right w:val="nil"/>
            </w:tcBorders>
            <w:shd w:val="clear" w:color="auto" w:fill="auto"/>
            <w:vAlign w:val="center"/>
          </w:tcPr>
          <w:p w14:paraId="7252AB80" w14:textId="539FFC31" w:rsidR="0026062A" w:rsidRPr="001E47AD" w:rsidRDefault="0026062A" w:rsidP="0026062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1.4</w:t>
            </w:r>
          </w:p>
        </w:tc>
      </w:tr>
      <w:tr w:rsidR="00851E79" w:rsidRPr="001E47AD" w14:paraId="17B26502" w14:textId="77777777" w:rsidTr="00851E79">
        <w:tc>
          <w:tcPr>
            <w:tcW w:w="0" w:type="auto"/>
            <w:gridSpan w:val="3"/>
            <w:tcBorders>
              <w:top w:val="single" w:sz="4" w:space="0" w:color="auto"/>
              <w:left w:val="nil"/>
              <w:bottom w:val="nil"/>
              <w:right w:val="nil"/>
            </w:tcBorders>
            <w:shd w:val="clear" w:color="auto" w:fill="auto"/>
            <w:vAlign w:val="center"/>
          </w:tcPr>
          <w:p w14:paraId="5A6C8A12" w14:textId="493ACF61" w:rsidR="00851E79" w:rsidRPr="001E47AD" w:rsidRDefault="00851E79" w:rsidP="00F5379D">
            <w:pPr>
              <w:contextualSpacing/>
              <w:jc w:val="both"/>
              <w:rPr>
                <w:rFonts w:ascii="Times New Roman" w:eastAsia="宋体" w:hAnsi="Times New Roman" w:cs="Times New Roman"/>
                <w:sz w:val="16"/>
                <w:szCs w:val="16"/>
              </w:rPr>
            </w:pPr>
            <w:r w:rsidRPr="001E47AD">
              <w:rPr>
                <w:rFonts w:ascii="Times New Roman" w:eastAsia="宋体" w:hAnsi="Times New Roman" w:cs="Times New Roman"/>
                <w:sz w:val="16"/>
                <w:szCs w:val="16"/>
              </w:rPr>
              <w:t>Independent Variables</w:t>
            </w:r>
          </w:p>
        </w:tc>
        <w:tc>
          <w:tcPr>
            <w:tcW w:w="0" w:type="auto"/>
            <w:tcBorders>
              <w:top w:val="single" w:sz="4" w:space="0" w:color="auto"/>
              <w:left w:val="nil"/>
              <w:bottom w:val="nil"/>
              <w:right w:val="nil"/>
            </w:tcBorders>
            <w:shd w:val="clear" w:color="auto" w:fill="auto"/>
          </w:tcPr>
          <w:p w14:paraId="10F9ABFC" w14:textId="77777777" w:rsidR="00851E79" w:rsidRPr="001E47AD" w:rsidRDefault="00851E79" w:rsidP="00F5379D">
            <w:pPr>
              <w:contextualSpacing/>
              <w:jc w:val="right"/>
              <w:rPr>
                <w:rFonts w:ascii="Times New Roman" w:hAnsi="Times New Roman" w:cs="Times New Roman"/>
                <w:sz w:val="16"/>
                <w:szCs w:val="16"/>
              </w:rPr>
            </w:pPr>
          </w:p>
        </w:tc>
        <w:tc>
          <w:tcPr>
            <w:tcW w:w="0" w:type="auto"/>
            <w:tcBorders>
              <w:top w:val="single" w:sz="4" w:space="0" w:color="auto"/>
              <w:left w:val="nil"/>
              <w:bottom w:val="nil"/>
              <w:right w:val="nil"/>
            </w:tcBorders>
            <w:shd w:val="clear" w:color="auto" w:fill="auto"/>
            <w:vAlign w:val="center"/>
          </w:tcPr>
          <w:p w14:paraId="5547950C" w14:textId="77777777" w:rsidR="00851E79" w:rsidRPr="001E47AD" w:rsidRDefault="00851E79" w:rsidP="00F5379D">
            <w:pPr>
              <w:contextualSpacing/>
              <w:jc w:val="right"/>
              <w:rPr>
                <w:rFonts w:ascii="Times New Roman" w:hAnsi="Times New Roman" w:cs="Times New Roman"/>
                <w:sz w:val="16"/>
                <w:szCs w:val="16"/>
              </w:rPr>
            </w:pPr>
          </w:p>
        </w:tc>
        <w:tc>
          <w:tcPr>
            <w:tcW w:w="0" w:type="auto"/>
            <w:tcBorders>
              <w:top w:val="single" w:sz="4" w:space="0" w:color="auto"/>
              <w:left w:val="nil"/>
              <w:bottom w:val="nil"/>
              <w:right w:val="nil"/>
            </w:tcBorders>
            <w:shd w:val="clear" w:color="auto" w:fill="auto"/>
          </w:tcPr>
          <w:p w14:paraId="362DD789" w14:textId="77777777" w:rsidR="00851E79" w:rsidRPr="001E47AD" w:rsidRDefault="00851E79" w:rsidP="008C0D7D">
            <w:pPr>
              <w:contextualSpacing/>
              <w:jc w:val="center"/>
              <w:rPr>
                <w:rFonts w:ascii="Times New Roman" w:hAnsi="Times New Roman" w:cs="Times New Roman"/>
                <w:sz w:val="16"/>
                <w:szCs w:val="16"/>
              </w:rPr>
            </w:pPr>
          </w:p>
        </w:tc>
      </w:tr>
      <w:tr w:rsidR="00393153" w:rsidRPr="001E47AD" w14:paraId="6CB46C5D" w14:textId="77777777" w:rsidTr="00851E79">
        <w:tc>
          <w:tcPr>
            <w:tcW w:w="0" w:type="auto"/>
            <w:gridSpan w:val="3"/>
            <w:tcBorders>
              <w:top w:val="nil"/>
              <w:left w:val="nil"/>
              <w:bottom w:val="nil"/>
              <w:right w:val="nil"/>
            </w:tcBorders>
            <w:shd w:val="clear" w:color="auto" w:fill="auto"/>
            <w:vAlign w:val="center"/>
          </w:tcPr>
          <w:p w14:paraId="1B585536" w14:textId="77777777" w:rsidR="00ED1BD9" w:rsidRPr="001E47AD" w:rsidRDefault="00ED1BD9" w:rsidP="00F5379D">
            <w:pPr>
              <w:contextualSpacing/>
              <w:jc w:val="both"/>
              <w:rPr>
                <w:rFonts w:ascii="Times New Roman" w:hAnsi="Times New Roman" w:cs="Times New Roman"/>
                <w:sz w:val="16"/>
                <w:szCs w:val="16"/>
              </w:rPr>
            </w:pPr>
            <w:r w:rsidRPr="001E47AD">
              <w:rPr>
                <w:rFonts w:ascii="Times New Roman" w:eastAsia="宋体" w:hAnsi="Times New Roman" w:cs="Times New Roman"/>
                <w:sz w:val="16"/>
                <w:szCs w:val="16"/>
                <w:u w:val="single"/>
              </w:rPr>
              <w:t>Supply-Side Characteristics</w:t>
            </w:r>
          </w:p>
        </w:tc>
        <w:tc>
          <w:tcPr>
            <w:tcW w:w="0" w:type="auto"/>
            <w:tcBorders>
              <w:top w:val="nil"/>
              <w:left w:val="nil"/>
              <w:bottom w:val="nil"/>
              <w:right w:val="nil"/>
            </w:tcBorders>
            <w:shd w:val="clear" w:color="auto" w:fill="auto"/>
          </w:tcPr>
          <w:p w14:paraId="26C9B982"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center"/>
          </w:tcPr>
          <w:p w14:paraId="23DE6F3E"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tcPr>
          <w:p w14:paraId="275E6E26" w14:textId="77777777" w:rsidR="00ED1BD9" w:rsidRPr="001E47AD" w:rsidRDefault="00ED1BD9" w:rsidP="008C0D7D">
            <w:pPr>
              <w:contextualSpacing/>
              <w:jc w:val="center"/>
              <w:rPr>
                <w:rFonts w:ascii="Times New Roman" w:hAnsi="Times New Roman" w:cs="Times New Roman"/>
                <w:sz w:val="16"/>
                <w:szCs w:val="16"/>
              </w:rPr>
            </w:pPr>
          </w:p>
        </w:tc>
      </w:tr>
      <w:tr w:rsidR="00393153" w:rsidRPr="001E47AD" w14:paraId="4BBF443B" w14:textId="77777777" w:rsidTr="00631A8C">
        <w:tc>
          <w:tcPr>
            <w:tcW w:w="2448" w:type="dxa"/>
            <w:tcBorders>
              <w:top w:val="nil"/>
              <w:left w:val="nil"/>
              <w:bottom w:val="nil"/>
              <w:right w:val="nil"/>
            </w:tcBorders>
            <w:shd w:val="clear" w:color="auto" w:fill="auto"/>
            <w:vAlign w:val="center"/>
          </w:tcPr>
          <w:p w14:paraId="60AE0D57"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INTRA_NTW_COUNTY</m:t>
                </m:r>
              </m:oMath>
            </m:oMathPara>
          </w:p>
        </w:tc>
        <w:tc>
          <w:tcPr>
            <w:tcW w:w="1839" w:type="dxa"/>
            <w:gridSpan w:val="2"/>
            <w:tcBorders>
              <w:top w:val="nil"/>
              <w:left w:val="nil"/>
              <w:bottom w:val="nil"/>
              <w:right w:val="nil"/>
            </w:tcBorders>
            <w:shd w:val="clear" w:color="auto" w:fill="auto"/>
            <w:vAlign w:val="bottom"/>
          </w:tcPr>
          <w:p w14:paraId="1042AFA1"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-360.907*** (24.538)</w:t>
            </w:r>
          </w:p>
        </w:tc>
        <w:tc>
          <w:tcPr>
            <w:tcW w:w="0" w:type="auto"/>
            <w:tcBorders>
              <w:top w:val="nil"/>
              <w:left w:val="nil"/>
              <w:bottom w:val="nil"/>
              <w:right w:val="nil"/>
            </w:tcBorders>
            <w:shd w:val="clear" w:color="auto" w:fill="auto"/>
            <w:vAlign w:val="bottom"/>
          </w:tcPr>
          <w:p w14:paraId="695871FA"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01197065"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47F98DB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-240.142*** (22.048)</w:t>
            </w:r>
          </w:p>
        </w:tc>
      </w:tr>
      <w:tr w:rsidR="00393153" w:rsidRPr="001E47AD" w14:paraId="1C9CA9DB" w14:textId="77777777" w:rsidTr="00631A8C">
        <w:tc>
          <w:tcPr>
            <w:tcW w:w="2448" w:type="dxa"/>
            <w:tcBorders>
              <w:top w:val="nil"/>
              <w:left w:val="nil"/>
              <w:bottom w:val="nil"/>
              <w:right w:val="nil"/>
            </w:tcBorders>
            <w:shd w:val="clear" w:color="auto" w:fill="auto"/>
            <w:vAlign w:val="center"/>
          </w:tcPr>
          <w:p w14:paraId="03A97610" w14:textId="77777777"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(INTRA_NTW_COUNTY)</m:t>
                    </m:r>
                  </m:e>
                  <m:sup>
                    <m:r>
                      <m:rPr>
                        <m:sty m:val="p"/>
                      </m:rPr>
                      <w:rPr>
                        <w:rFonts w:ascii="Cambria Math" w:hAnsi="Cambria Math" w:cs="Times New Roman"/>
                        <w:sz w:val="16"/>
                        <w:szCs w:val="16"/>
                      </w:rPr>
                      <m:t>2</m:t>
                    </m:r>
                  </m:sup>
                </m:sSup>
              </m:oMath>
            </m:oMathPara>
          </w:p>
        </w:tc>
        <w:tc>
          <w:tcPr>
            <w:tcW w:w="1839" w:type="dxa"/>
            <w:gridSpan w:val="2"/>
            <w:tcBorders>
              <w:top w:val="nil"/>
              <w:left w:val="nil"/>
              <w:bottom w:val="nil"/>
              <w:right w:val="nil"/>
            </w:tcBorders>
            <w:shd w:val="clear" w:color="auto" w:fill="auto"/>
            <w:vAlign w:val="bottom"/>
          </w:tcPr>
          <w:p w14:paraId="1722E32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60.665*** (9.493)</w:t>
            </w:r>
          </w:p>
        </w:tc>
        <w:tc>
          <w:tcPr>
            <w:tcW w:w="0" w:type="auto"/>
            <w:tcBorders>
              <w:top w:val="nil"/>
              <w:left w:val="nil"/>
              <w:bottom w:val="nil"/>
              <w:right w:val="nil"/>
            </w:tcBorders>
            <w:shd w:val="clear" w:color="auto" w:fill="auto"/>
            <w:vAlign w:val="bottom"/>
          </w:tcPr>
          <w:p w14:paraId="3070665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6313136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6DDB9980"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54.690*** (8.454)</w:t>
            </w:r>
          </w:p>
        </w:tc>
      </w:tr>
      <w:tr w:rsidR="00393153" w:rsidRPr="001E47AD" w14:paraId="12C45F3E" w14:textId="77777777" w:rsidTr="00631A8C">
        <w:tc>
          <w:tcPr>
            <w:tcW w:w="2448" w:type="dxa"/>
            <w:tcBorders>
              <w:top w:val="nil"/>
              <w:left w:val="nil"/>
              <w:bottom w:val="nil"/>
              <w:right w:val="nil"/>
            </w:tcBorders>
            <w:shd w:val="clear" w:color="auto" w:fill="auto"/>
            <w:vAlign w:val="center"/>
          </w:tcPr>
          <w:p w14:paraId="412CEED4"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INTER_NTW_COUNTRY</m:t>
                </m:r>
              </m:oMath>
            </m:oMathPara>
          </w:p>
        </w:tc>
        <w:tc>
          <w:tcPr>
            <w:tcW w:w="1839" w:type="dxa"/>
            <w:gridSpan w:val="2"/>
            <w:tcBorders>
              <w:top w:val="nil"/>
              <w:left w:val="nil"/>
              <w:bottom w:val="nil"/>
              <w:right w:val="nil"/>
            </w:tcBorders>
            <w:shd w:val="clear" w:color="auto" w:fill="auto"/>
            <w:vAlign w:val="bottom"/>
          </w:tcPr>
          <w:p w14:paraId="73D324A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5.208** (1.889)</w:t>
            </w:r>
          </w:p>
        </w:tc>
        <w:tc>
          <w:tcPr>
            <w:tcW w:w="0" w:type="auto"/>
            <w:tcBorders>
              <w:top w:val="nil"/>
              <w:left w:val="nil"/>
              <w:bottom w:val="nil"/>
              <w:right w:val="nil"/>
            </w:tcBorders>
            <w:shd w:val="clear" w:color="auto" w:fill="auto"/>
            <w:vAlign w:val="bottom"/>
          </w:tcPr>
          <w:p w14:paraId="06326BF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5763E2D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2E01B68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30.489*** (1.680)</w:t>
            </w:r>
          </w:p>
        </w:tc>
      </w:tr>
      <w:tr w:rsidR="00393153" w:rsidRPr="001E47AD" w14:paraId="11B9FBC2" w14:textId="77777777" w:rsidTr="00631A8C">
        <w:tc>
          <w:tcPr>
            <w:tcW w:w="2448" w:type="dxa"/>
            <w:tcBorders>
              <w:top w:val="nil"/>
              <w:left w:val="nil"/>
              <w:bottom w:val="nil"/>
              <w:right w:val="nil"/>
            </w:tcBorders>
            <w:shd w:val="clear" w:color="auto" w:fill="auto"/>
            <w:vAlign w:val="center"/>
          </w:tcPr>
          <w:p w14:paraId="12868D37" w14:textId="77777777"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(INTER_NTW_COUNTRY)</m:t>
                    </m:r>
                  </m:e>
                  <m:sup>
                    <m:r>
                      <m:rPr>
                        <m:sty m:val="p"/>
                      </m:rPr>
                      <w:rPr>
                        <w:rFonts w:ascii="Cambria Math" w:hAnsi="Cambria Math" w:cs="Times New Roman"/>
                        <w:sz w:val="16"/>
                        <w:szCs w:val="16"/>
                      </w:rPr>
                      <m:t>2</m:t>
                    </m:r>
                  </m:sup>
                </m:sSup>
              </m:oMath>
            </m:oMathPara>
          </w:p>
        </w:tc>
        <w:tc>
          <w:tcPr>
            <w:tcW w:w="1839" w:type="dxa"/>
            <w:gridSpan w:val="2"/>
            <w:tcBorders>
              <w:top w:val="nil"/>
              <w:left w:val="nil"/>
              <w:bottom w:val="nil"/>
              <w:right w:val="nil"/>
            </w:tcBorders>
            <w:shd w:val="clear" w:color="auto" w:fill="auto"/>
            <w:vAlign w:val="bottom"/>
          </w:tcPr>
          <w:p w14:paraId="4EE4399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-0.012 (0.015)</w:t>
            </w:r>
          </w:p>
        </w:tc>
        <w:tc>
          <w:tcPr>
            <w:tcW w:w="0" w:type="auto"/>
            <w:tcBorders>
              <w:top w:val="nil"/>
              <w:left w:val="nil"/>
              <w:bottom w:val="nil"/>
              <w:right w:val="nil"/>
            </w:tcBorders>
            <w:shd w:val="clear" w:color="auto" w:fill="auto"/>
            <w:vAlign w:val="bottom"/>
          </w:tcPr>
          <w:p w14:paraId="2482420E"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342CD1A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3673C0D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-0.264*** (0.014)</w:t>
            </w:r>
          </w:p>
        </w:tc>
      </w:tr>
      <w:tr w:rsidR="00393153" w:rsidRPr="001E47AD" w14:paraId="1384DEF0" w14:textId="77777777" w:rsidTr="00631A8C">
        <w:tc>
          <w:tcPr>
            <w:tcW w:w="2448" w:type="dxa"/>
            <w:tcBorders>
              <w:top w:val="nil"/>
              <w:left w:val="nil"/>
              <w:bottom w:val="nil"/>
              <w:right w:val="nil"/>
            </w:tcBorders>
            <w:shd w:val="clear" w:color="auto" w:fill="auto"/>
            <w:vAlign w:val="center"/>
          </w:tcPr>
          <w:p w14:paraId="26FBFA6D" w14:textId="0AA43FC2" w:rsidR="00ED1BD9" w:rsidRPr="001E47AD" w:rsidRDefault="0086462F"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PROD_VAR_UPC</m:t>
                </m:r>
              </m:oMath>
            </m:oMathPara>
          </w:p>
        </w:tc>
        <w:tc>
          <w:tcPr>
            <w:tcW w:w="1839" w:type="dxa"/>
            <w:gridSpan w:val="2"/>
            <w:tcBorders>
              <w:top w:val="nil"/>
              <w:left w:val="nil"/>
              <w:bottom w:val="nil"/>
              <w:right w:val="nil"/>
            </w:tcBorders>
            <w:shd w:val="clear" w:color="auto" w:fill="auto"/>
            <w:vAlign w:val="bottom"/>
          </w:tcPr>
          <w:p w14:paraId="2BC2DCE0"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1.848*** (0.308)</w:t>
            </w:r>
          </w:p>
        </w:tc>
        <w:tc>
          <w:tcPr>
            <w:tcW w:w="0" w:type="auto"/>
            <w:tcBorders>
              <w:top w:val="nil"/>
              <w:left w:val="nil"/>
              <w:bottom w:val="nil"/>
              <w:right w:val="nil"/>
            </w:tcBorders>
            <w:shd w:val="clear" w:color="auto" w:fill="auto"/>
            <w:vAlign w:val="bottom"/>
          </w:tcPr>
          <w:p w14:paraId="6DA0367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3656832B"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2FF2DFEA"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1.009*** (0.271)</w:t>
            </w:r>
          </w:p>
        </w:tc>
      </w:tr>
      <w:tr w:rsidR="00393153" w:rsidRPr="001E47AD" w14:paraId="6C42D41A" w14:textId="77777777" w:rsidTr="00631A8C">
        <w:tc>
          <w:tcPr>
            <w:tcW w:w="2448" w:type="dxa"/>
            <w:tcBorders>
              <w:top w:val="nil"/>
              <w:left w:val="nil"/>
              <w:bottom w:val="nil"/>
              <w:right w:val="nil"/>
            </w:tcBorders>
            <w:shd w:val="clear" w:color="auto" w:fill="auto"/>
            <w:vAlign w:val="center"/>
          </w:tcPr>
          <w:p w14:paraId="6B69693D" w14:textId="5C4CF260"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(PROD_VAR_UPC)</m:t>
                    </m:r>
                  </m:e>
                  <m:sup>
                    <m:r>
                      <m:rPr>
                        <m:sty m:val="p"/>
                      </m:rPr>
                      <w:rPr>
                        <w:rFonts w:ascii="Cambria Math" w:hAnsi="Cambria Math" w:cs="Times New Roman"/>
                        <w:sz w:val="16"/>
                        <w:szCs w:val="16"/>
                      </w:rPr>
                      <m:t>2</m:t>
                    </m:r>
                  </m:sup>
                </m:sSup>
              </m:oMath>
            </m:oMathPara>
          </w:p>
        </w:tc>
        <w:tc>
          <w:tcPr>
            <w:tcW w:w="1839" w:type="dxa"/>
            <w:gridSpan w:val="2"/>
            <w:tcBorders>
              <w:top w:val="nil"/>
              <w:left w:val="nil"/>
              <w:bottom w:val="nil"/>
              <w:right w:val="nil"/>
            </w:tcBorders>
            <w:shd w:val="clear" w:color="auto" w:fill="auto"/>
            <w:vAlign w:val="bottom"/>
          </w:tcPr>
          <w:p w14:paraId="45F7310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-0.007*** (0.001)</w:t>
            </w:r>
          </w:p>
        </w:tc>
        <w:tc>
          <w:tcPr>
            <w:tcW w:w="0" w:type="auto"/>
            <w:tcBorders>
              <w:top w:val="nil"/>
              <w:left w:val="nil"/>
              <w:bottom w:val="nil"/>
              <w:right w:val="nil"/>
            </w:tcBorders>
            <w:shd w:val="clear" w:color="auto" w:fill="auto"/>
            <w:vAlign w:val="bottom"/>
          </w:tcPr>
          <w:p w14:paraId="372010A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642B212B"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65A4544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-0.004*** (0.001)</w:t>
            </w:r>
          </w:p>
        </w:tc>
      </w:tr>
      <w:tr w:rsidR="00393153" w:rsidRPr="001E47AD" w14:paraId="3B2CA41E" w14:textId="77777777" w:rsidTr="005D04C2">
        <w:tc>
          <w:tcPr>
            <w:tcW w:w="0" w:type="auto"/>
            <w:gridSpan w:val="3"/>
            <w:tcBorders>
              <w:top w:val="nil"/>
              <w:left w:val="nil"/>
              <w:bottom w:val="nil"/>
              <w:right w:val="nil"/>
            </w:tcBorders>
            <w:shd w:val="clear" w:color="auto" w:fill="auto"/>
            <w:vAlign w:val="center"/>
          </w:tcPr>
          <w:p w14:paraId="5ACFEA3F" w14:textId="77777777" w:rsidR="00ED1BD9" w:rsidRPr="001E47AD" w:rsidRDefault="00ED1BD9" w:rsidP="00F5379D">
            <w:pPr>
              <w:contextualSpacing/>
              <w:jc w:val="both"/>
              <w:rPr>
                <w:rFonts w:ascii="Times New Roman" w:hAnsi="Times New Roman" w:cs="Times New Roman"/>
                <w:sz w:val="16"/>
                <w:szCs w:val="16"/>
              </w:rPr>
            </w:pPr>
            <w:r w:rsidRPr="001E47AD">
              <w:rPr>
                <w:rFonts w:ascii="Times New Roman" w:eastAsia="宋体" w:hAnsi="Times New Roman" w:cs="Times New Roman"/>
                <w:sz w:val="16"/>
                <w:szCs w:val="16"/>
                <w:u w:val="single"/>
              </w:rPr>
              <w:t>Demand-Side Characteristics</w:t>
            </w:r>
          </w:p>
        </w:tc>
        <w:tc>
          <w:tcPr>
            <w:tcW w:w="0" w:type="auto"/>
            <w:tcBorders>
              <w:top w:val="nil"/>
              <w:left w:val="nil"/>
              <w:bottom w:val="nil"/>
              <w:right w:val="nil"/>
            </w:tcBorders>
            <w:shd w:val="clear" w:color="auto" w:fill="auto"/>
          </w:tcPr>
          <w:p w14:paraId="755A5604"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25A2BD35"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6F416781" w14:textId="77777777" w:rsidR="00ED1BD9" w:rsidRPr="001E47AD" w:rsidRDefault="00ED1BD9" w:rsidP="00F5379D">
            <w:pPr>
              <w:contextualSpacing/>
              <w:jc w:val="right"/>
              <w:rPr>
                <w:rFonts w:ascii="Times New Roman" w:hAnsi="Times New Roman" w:cs="Times New Roman"/>
                <w:sz w:val="16"/>
                <w:szCs w:val="16"/>
              </w:rPr>
            </w:pPr>
          </w:p>
        </w:tc>
      </w:tr>
      <w:tr w:rsidR="00393153" w:rsidRPr="001E47AD" w14:paraId="5FA5262E" w14:textId="77777777" w:rsidTr="00631A8C">
        <w:tc>
          <w:tcPr>
            <w:tcW w:w="2448" w:type="dxa"/>
            <w:tcBorders>
              <w:top w:val="nil"/>
              <w:left w:val="nil"/>
              <w:bottom w:val="nil"/>
              <w:right w:val="nil"/>
            </w:tcBorders>
            <w:shd w:val="clear" w:color="auto" w:fill="auto"/>
            <w:vAlign w:val="center"/>
          </w:tcPr>
          <w:p w14:paraId="3AA0EE3D"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HUR_EXP_STATE</m:t>
                </m:r>
              </m:oMath>
            </m:oMathPara>
          </w:p>
        </w:tc>
        <w:tc>
          <w:tcPr>
            <w:tcW w:w="1839" w:type="dxa"/>
            <w:gridSpan w:val="2"/>
            <w:tcBorders>
              <w:top w:val="nil"/>
              <w:left w:val="nil"/>
              <w:bottom w:val="nil"/>
              <w:right w:val="nil"/>
            </w:tcBorders>
            <w:shd w:val="clear" w:color="auto" w:fill="auto"/>
            <w:vAlign w:val="bottom"/>
          </w:tcPr>
          <w:p w14:paraId="4AE05DBF"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1C793C1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85.294*** (3.412)</w:t>
            </w:r>
          </w:p>
        </w:tc>
        <w:tc>
          <w:tcPr>
            <w:tcW w:w="0" w:type="auto"/>
            <w:tcBorders>
              <w:top w:val="nil"/>
              <w:left w:val="nil"/>
              <w:bottom w:val="nil"/>
              <w:right w:val="nil"/>
            </w:tcBorders>
            <w:shd w:val="clear" w:color="auto" w:fill="auto"/>
            <w:vAlign w:val="bottom"/>
          </w:tcPr>
          <w:p w14:paraId="7202C75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6FA67360"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-0.503 (3.390)</w:t>
            </w:r>
          </w:p>
        </w:tc>
      </w:tr>
      <w:tr w:rsidR="00393153" w:rsidRPr="001E47AD" w14:paraId="49B79F13" w14:textId="77777777" w:rsidTr="00631A8C">
        <w:tc>
          <w:tcPr>
            <w:tcW w:w="2448" w:type="dxa"/>
            <w:tcBorders>
              <w:top w:val="nil"/>
              <w:left w:val="nil"/>
              <w:bottom w:val="nil"/>
              <w:right w:val="nil"/>
            </w:tcBorders>
            <w:shd w:val="clear" w:color="auto" w:fill="auto"/>
            <w:vAlign w:val="center"/>
          </w:tcPr>
          <w:p w14:paraId="5DB699BC" w14:textId="77777777"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(HUR_EXP_STATE)</m:t>
                    </m:r>
                  </m:e>
                  <m:sup>
                    <m:r>
                      <m:rPr>
                        <m:sty m:val="p"/>
                      </m:rPr>
                      <w:rPr>
                        <w:rFonts w:ascii="Cambria Math" w:hAnsi="Cambria Math" w:cs="Times New Roman"/>
                        <w:sz w:val="16"/>
                        <w:szCs w:val="16"/>
                      </w:rPr>
                      <m:t>2</m:t>
                    </m:r>
                  </m:sup>
                </m:sSup>
              </m:oMath>
            </m:oMathPara>
          </w:p>
        </w:tc>
        <w:tc>
          <w:tcPr>
            <w:tcW w:w="1839" w:type="dxa"/>
            <w:gridSpan w:val="2"/>
            <w:tcBorders>
              <w:top w:val="nil"/>
              <w:left w:val="nil"/>
              <w:bottom w:val="nil"/>
              <w:right w:val="nil"/>
            </w:tcBorders>
            <w:shd w:val="clear" w:color="auto" w:fill="auto"/>
            <w:vAlign w:val="bottom"/>
          </w:tcPr>
          <w:p w14:paraId="4134B82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1E88CD5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-6.652*** (0.273)</w:t>
            </w:r>
          </w:p>
        </w:tc>
        <w:tc>
          <w:tcPr>
            <w:tcW w:w="0" w:type="auto"/>
            <w:tcBorders>
              <w:top w:val="nil"/>
              <w:left w:val="nil"/>
              <w:bottom w:val="nil"/>
              <w:right w:val="nil"/>
            </w:tcBorders>
            <w:shd w:val="clear" w:color="auto" w:fill="auto"/>
            <w:vAlign w:val="bottom"/>
          </w:tcPr>
          <w:p w14:paraId="013A460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339DD9C1"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0.654* (0.271)</w:t>
            </w:r>
          </w:p>
        </w:tc>
      </w:tr>
      <w:tr w:rsidR="00393153" w:rsidRPr="001E47AD" w14:paraId="5B823C64" w14:textId="77777777" w:rsidTr="00631A8C">
        <w:tc>
          <w:tcPr>
            <w:tcW w:w="2448" w:type="dxa"/>
            <w:tcBorders>
              <w:top w:val="nil"/>
              <w:left w:val="nil"/>
              <w:bottom w:val="nil"/>
              <w:right w:val="nil"/>
            </w:tcBorders>
            <w:shd w:val="clear" w:color="auto" w:fill="auto"/>
            <w:vAlign w:val="center"/>
          </w:tcPr>
          <w:p w14:paraId="245E78B4"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PER_CAPITA_INC</m:t>
                </m:r>
              </m:oMath>
            </m:oMathPara>
          </w:p>
        </w:tc>
        <w:tc>
          <w:tcPr>
            <w:tcW w:w="1839" w:type="dxa"/>
            <w:gridSpan w:val="2"/>
            <w:tcBorders>
              <w:top w:val="nil"/>
              <w:left w:val="nil"/>
              <w:bottom w:val="nil"/>
              <w:right w:val="nil"/>
            </w:tcBorders>
            <w:shd w:val="clear" w:color="auto" w:fill="auto"/>
            <w:vAlign w:val="bottom"/>
          </w:tcPr>
          <w:p w14:paraId="574956A0"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338D0BA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215.120*** (7.654)</w:t>
            </w:r>
          </w:p>
        </w:tc>
        <w:tc>
          <w:tcPr>
            <w:tcW w:w="0" w:type="auto"/>
            <w:tcBorders>
              <w:top w:val="nil"/>
              <w:left w:val="nil"/>
              <w:bottom w:val="nil"/>
              <w:right w:val="nil"/>
            </w:tcBorders>
            <w:shd w:val="clear" w:color="auto" w:fill="auto"/>
            <w:vAlign w:val="bottom"/>
          </w:tcPr>
          <w:p w14:paraId="45058D4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010943FF"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93.358*** (7.006)</w:t>
            </w:r>
          </w:p>
        </w:tc>
      </w:tr>
      <w:tr w:rsidR="00393153" w:rsidRPr="001E47AD" w14:paraId="0C8961CE" w14:textId="77777777" w:rsidTr="00631A8C">
        <w:tc>
          <w:tcPr>
            <w:tcW w:w="2448" w:type="dxa"/>
            <w:tcBorders>
              <w:top w:val="nil"/>
              <w:left w:val="nil"/>
              <w:bottom w:val="nil"/>
              <w:right w:val="nil"/>
            </w:tcBorders>
            <w:shd w:val="clear" w:color="auto" w:fill="auto"/>
            <w:vAlign w:val="center"/>
          </w:tcPr>
          <w:p w14:paraId="2E53AF5B" w14:textId="77777777"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(PER_CAPITA_INC)</m:t>
                    </m:r>
                  </m:e>
                  <m:sup>
                    <m:r>
                      <m:rPr>
                        <m:sty m:val="p"/>
                      </m:rPr>
                      <w:rPr>
                        <w:rFonts w:ascii="Cambria Math" w:hAnsi="Cambria Math" w:cs="Times New Roman"/>
                        <w:sz w:val="16"/>
                        <w:szCs w:val="16"/>
                      </w:rPr>
                      <m:t>2</m:t>
                    </m:r>
                  </m:sup>
                </m:sSup>
              </m:oMath>
            </m:oMathPara>
          </w:p>
        </w:tc>
        <w:tc>
          <w:tcPr>
            <w:tcW w:w="1839" w:type="dxa"/>
            <w:gridSpan w:val="2"/>
            <w:tcBorders>
              <w:top w:val="nil"/>
              <w:left w:val="nil"/>
              <w:bottom w:val="nil"/>
              <w:right w:val="nil"/>
            </w:tcBorders>
            <w:shd w:val="clear" w:color="auto" w:fill="auto"/>
            <w:vAlign w:val="bottom"/>
          </w:tcPr>
          <w:p w14:paraId="5B7B11FF"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1B6E389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-13.290*** (0.557)</w:t>
            </w:r>
          </w:p>
        </w:tc>
        <w:tc>
          <w:tcPr>
            <w:tcW w:w="0" w:type="auto"/>
            <w:tcBorders>
              <w:top w:val="nil"/>
              <w:left w:val="nil"/>
              <w:bottom w:val="nil"/>
              <w:right w:val="nil"/>
            </w:tcBorders>
            <w:shd w:val="clear" w:color="auto" w:fill="auto"/>
            <w:vAlign w:val="bottom"/>
          </w:tcPr>
          <w:p w14:paraId="6E7E6B65"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02EB00C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-5.343*** (0.506)</w:t>
            </w:r>
          </w:p>
        </w:tc>
      </w:tr>
      <w:tr w:rsidR="00393153" w:rsidRPr="001E47AD" w14:paraId="59F576CA" w14:textId="77777777" w:rsidTr="005D04C2">
        <w:tc>
          <w:tcPr>
            <w:tcW w:w="0" w:type="auto"/>
            <w:gridSpan w:val="3"/>
            <w:tcBorders>
              <w:top w:val="nil"/>
              <w:left w:val="nil"/>
              <w:bottom w:val="nil"/>
              <w:right w:val="nil"/>
            </w:tcBorders>
            <w:shd w:val="clear" w:color="auto" w:fill="auto"/>
            <w:vAlign w:val="center"/>
          </w:tcPr>
          <w:p w14:paraId="0D79E652" w14:textId="77777777" w:rsidR="00ED1BD9" w:rsidRPr="001E47AD" w:rsidRDefault="00ED1BD9" w:rsidP="00F5379D">
            <w:pPr>
              <w:contextualSpacing/>
              <w:rPr>
                <w:rFonts w:ascii="Times New Roman" w:hAnsi="Times New Roman" w:cs="Times New Roman"/>
                <w:sz w:val="16"/>
                <w:szCs w:val="16"/>
              </w:rPr>
            </w:pPr>
            <w:r w:rsidRPr="001E47AD">
              <w:rPr>
                <w:rFonts w:ascii="Times New Roman" w:eastAsia="宋体" w:hAnsi="Times New Roman" w:cs="Times New Roman"/>
                <w:sz w:val="16"/>
                <w:szCs w:val="16"/>
                <w:u w:val="single"/>
              </w:rPr>
              <w:t>Disaster Characteristics</w:t>
            </w:r>
          </w:p>
        </w:tc>
        <w:tc>
          <w:tcPr>
            <w:tcW w:w="0" w:type="auto"/>
            <w:tcBorders>
              <w:top w:val="nil"/>
              <w:left w:val="nil"/>
              <w:bottom w:val="nil"/>
              <w:right w:val="nil"/>
            </w:tcBorders>
            <w:shd w:val="clear" w:color="auto" w:fill="auto"/>
            <w:vAlign w:val="bottom"/>
          </w:tcPr>
          <w:p w14:paraId="18859107"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57197B71"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07A18199" w14:textId="77777777" w:rsidR="00ED1BD9" w:rsidRPr="001E47AD" w:rsidRDefault="00ED1BD9" w:rsidP="00F5379D">
            <w:pPr>
              <w:contextualSpacing/>
              <w:jc w:val="right"/>
              <w:rPr>
                <w:rFonts w:ascii="Times New Roman" w:hAnsi="Times New Roman" w:cs="Times New Roman"/>
                <w:sz w:val="16"/>
                <w:szCs w:val="16"/>
              </w:rPr>
            </w:pPr>
          </w:p>
        </w:tc>
      </w:tr>
      <w:tr w:rsidR="00393153" w:rsidRPr="001E47AD" w14:paraId="3A26B8BB" w14:textId="77777777" w:rsidTr="00631A8C">
        <w:tc>
          <w:tcPr>
            <w:tcW w:w="2448" w:type="dxa"/>
            <w:tcBorders>
              <w:top w:val="nil"/>
              <w:left w:val="nil"/>
              <w:bottom w:val="nil"/>
              <w:right w:val="nil"/>
            </w:tcBorders>
            <w:shd w:val="clear" w:color="auto" w:fill="auto"/>
            <w:vAlign w:val="center"/>
          </w:tcPr>
          <w:p w14:paraId="38DB03AB"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oMath>
            </m:oMathPara>
          </w:p>
        </w:tc>
        <w:tc>
          <w:tcPr>
            <w:tcW w:w="1839" w:type="dxa"/>
            <w:gridSpan w:val="2"/>
            <w:tcBorders>
              <w:top w:val="nil"/>
              <w:left w:val="nil"/>
              <w:bottom w:val="nil"/>
              <w:right w:val="nil"/>
            </w:tcBorders>
            <w:shd w:val="clear" w:color="auto" w:fill="auto"/>
            <w:vAlign w:val="bottom"/>
          </w:tcPr>
          <w:p w14:paraId="45287A4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3CE7063A"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05E6A72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-151.661*** (4.741)</w:t>
            </w:r>
          </w:p>
        </w:tc>
        <w:tc>
          <w:tcPr>
            <w:tcW w:w="0" w:type="auto"/>
            <w:tcBorders>
              <w:top w:val="nil"/>
              <w:left w:val="nil"/>
              <w:bottom w:val="nil"/>
              <w:right w:val="nil"/>
            </w:tcBorders>
            <w:shd w:val="clear" w:color="auto" w:fill="auto"/>
            <w:vAlign w:val="bottom"/>
          </w:tcPr>
          <w:p w14:paraId="7CA752F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-152.738*** (4.788)</w:t>
            </w:r>
          </w:p>
        </w:tc>
      </w:tr>
      <w:tr w:rsidR="00393153" w:rsidRPr="001E47AD" w14:paraId="48C28948" w14:textId="77777777" w:rsidTr="00631A8C">
        <w:tc>
          <w:tcPr>
            <w:tcW w:w="2448" w:type="dxa"/>
            <w:tcBorders>
              <w:top w:val="nil"/>
              <w:left w:val="nil"/>
              <w:bottom w:val="nil"/>
              <w:right w:val="nil"/>
            </w:tcBorders>
            <w:shd w:val="clear" w:color="auto" w:fill="auto"/>
            <w:vAlign w:val="center"/>
          </w:tcPr>
          <w:p w14:paraId="7A89A018" w14:textId="77777777"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e>
                  <m:sup>
                    <m:r>
                      <m:rPr>
                        <m:sty m:val="p"/>
                      </m:rPr>
                      <w:rPr>
                        <w:rFonts w:ascii="Cambria Math" w:hAnsi="Cambria Math" w:cs="Times New Roman"/>
                        <w:sz w:val="16"/>
                        <w:szCs w:val="16"/>
                      </w:rPr>
                      <m:t>2</m:t>
                    </m:r>
                  </m:sup>
                </m:sSup>
              </m:oMath>
            </m:oMathPara>
          </w:p>
        </w:tc>
        <w:tc>
          <w:tcPr>
            <w:tcW w:w="1839" w:type="dxa"/>
            <w:gridSpan w:val="2"/>
            <w:tcBorders>
              <w:top w:val="nil"/>
              <w:left w:val="nil"/>
              <w:bottom w:val="nil"/>
              <w:right w:val="nil"/>
            </w:tcBorders>
            <w:shd w:val="clear" w:color="auto" w:fill="auto"/>
            <w:vAlign w:val="bottom"/>
          </w:tcPr>
          <w:p w14:paraId="0CCFA17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1472500A"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0075422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7.933*** (0.425)</w:t>
            </w:r>
          </w:p>
        </w:tc>
        <w:tc>
          <w:tcPr>
            <w:tcW w:w="0" w:type="auto"/>
            <w:tcBorders>
              <w:top w:val="nil"/>
              <w:left w:val="nil"/>
              <w:bottom w:val="nil"/>
              <w:right w:val="nil"/>
            </w:tcBorders>
            <w:shd w:val="clear" w:color="auto" w:fill="auto"/>
            <w:vAlign w:val="bottom"/>
          </w:tcPr>
          <w:p w14:paraId="2D76FC8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7.816*** (0.431)</w:t>
            </w:r>
          </w:p>
        </w:tc>
      </w:tr>
      <w:tr w:rsidR="00393153" w:rsidRPr="001E47AD" w14:paraId="7F55E15F" w14:textId="77777777" w:rsidTr="00631A8C">
        <w:tc>
          <w:tcPr>
            <w:tcW w:w="2448" w:type="dxa"/>
            <w:tcBorders>
              <w:top w:val="nil"/>
              <w:left w:val="nil"/>
              <w:bottom w:val="nil"/>
              <w:right w:val="nil"/>
            </w:tcBorders>
            <w:shd w:val="clear" w:color="auto" w:fill="auto"/>
            <w:vAlign w:val="center"/>
          </w:tcPr>
          <w:p w14:paraId="6A196403"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HUR_TRACK_DIST</m:t>
                </m:r>
              </m:oMath>
            </m:oMathPara>
          </w:p>
        </w:tc>
        <w:tc>
          <w:tcPr>
            <w:tcW w:w="1839" w:type="dxa"/>
            <w:gridSpan w:val="2"/>
            <w:tcBorders>
              <w:top w:val="nil"/>
              <w:left w:val="nil"/>
              <w:bottom w:val="nil"/>
              <w:right w:val="nil"/>
            </w:tcBorders>
            <w:shd w:val="clear" w:color="auto" w:fill="auto"/>
            <w:vAlign w:val="bottom"/>
          </w:tcPr>
          <w:p w14:paraId="6B1EA8F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12442E4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5CB0E01E"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-174.498*** (9.070)</w:t>
            </w:r>
          </w:p>
        </w:tc>
        <w:tc>
          <w:tcPr>
            <w:tcW w:w="0" w:type="auto"/>
            <w:tcBorders>
              <w:top w:val="nil"/>
              <w:left w:val="nil"/>
              <w:bottom w:val="nil"/>
              <w:right w:val="nil"/>
            </w:tcBorders>
            <w:shd w:val="clear" w:color="auto" w:fill="auto"/>
            <w:vAlign w:val="bottom"/>
          </w:tcPr>
          <w:p w14:paraId="0892B5D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-166.996*** (9.045)</w:t>
            </w:r>
          </w:p>
        </w:tc>
      </w:tr>
      <w:tr w:rsidR="00393153" w:rsidRPr="001E47AD" w14:paraId="1659FEA6" w14:textId="77777777" w:rsidTr="00631A8C">
        <w:tc>
          <w:tcPr>
            <w:tcW w:w="2448" w:type="dxa"/>
            <w:tcBorders>
              <w:top w:val="nil"/>
              <w:left w:val="nil"/>
              <w:bottom w:val="nil"/>
              <w:right w:val="nil"/>
            </w:tcBorders>
            <w:shd w:val="clear" w:color="auto" w:fill="auto"/>
            <w:vAlign w:val="center"/>
          </w:tcPr>
          <w:p w14:paraId="1CB40089" w14:textId="77777777"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(HUR_TRACK_DIST)</m:t>
                    </m:r>
                  </m:e>
                  <m:sup>
                    <m:r>
                      <m:rPr>
                        <m:sty m:val="p"/>
                      </m:rPr>
                      <w:rPr>
                        <w:rFonts w:ascii="Cambria Math" w:hAnsi="Cambria Math" w:cs="Times New Roman"/>
                        <w:sz w:val="16"/>
                        <w:szCs w:val="16"/>
                      </w:rPr>
                      <m:t>2</m:t>
                    </m:r>
                  </m:sup>
                </m:sSup>
              </m:oMath>
            </m:oMathPara>
          </w:p>
        </w:tc>
        <w:tc>
          <w:tcPr>
            <w:tcW w:w="1839" w:type="dxa"/>
            <w:gridSpan w:val="2"/>
            <w:tcBorders>
              <w:top w:val="nil"/>
              <w:left w:val="nil"/>
              <w:bottom w:val="nil"/>
              <w:right w:val="nil"/>
            </w:tcBorders>
            <w:shd w:val="clear" w:color="auto" w:fill="auto"/>
            <w:vAlign w:val="bottom"/>
          </w:tcPr>
          <w:p w14:paraId="4085478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54161C5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6F4A6A6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23.926*** (1.900)</w:t>
            </w:r>
          </w:p>
        </w:tc>
        <w:tc>
          <w:tcPr>
            <w:tcW w:w="0" w:type="auto"/>
            <w:tcBorders>
              <w:top w:val="nil"/>
              <w:left w:val="nil"/>
              <w:bottom w:val="nil"/>
              <w:right w:val="nil"/>
            </w:tcBorders>
            <w:shd w:val="clear" w:color="auto" w:fill="auto"/>
            <w:vAlign w:val="bottom"/>
          </w:tcPr>
          <w:p w14:paraId="14E0FD1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21.949*** (1.898)</w:t>
            </w:r>
          </w:p>
        </w:tc>
      </w:tr>
      <w:tr w:rsidR="00393153" w:rsidRPr="001E47AD" w14:paraId="1DD269B0" w14:textId="77777777" w:rsidTr="00631A8C">
        <w:tc>
          <w:tcPr>
            <w:tcW w:w="2448" w:type="dxa"/>
            <w:tcBorders>
              <w:top w:val="nil"/>
              <w:left w:val="nil"/>
              <w:bottom w:val="nil"/>
              <w:right w:val="nil"/>
            </w:tcBorders>
            <w:shd w:val="clear" w:color="auto" w:fill="auto"/>
            <w:vAlign w:val="center"/>
          </w:tcPr>
          <w:p w14:paraId="158AEEFD"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HUR_TRACK_WIND</m:t>
                </m:r>
              </m:oMath>
            </m:oMathPara>
          </w:p>
        </w:tc>
        <w:tc>
          <w:tcPr>
            <w:tcW w:w="1839" w:type="dxa"/>
            <w:gridSpan w:val="2"/>
            <w:tcBorders>
              <w:top w:val="nil"/>
              <w:left w:val="nil"/>
              <w:bottom w:val="nil"/>
              <w:right w:val="nil"/>
            </w:tcBorders>
            <w:shd w:val="clear" w:color="auto" w:fill="auto"/>
            <w:vAlign w:val="bottom"/>
          </w:tcPr>
          <w:p w14:paraId="0DFF1ABB"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0EB141F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nil"/>
              <w:right w:val="nil"/>
            </w:tcBorders>
            <w:shd w:val="clear" w:color="auto" w:fill="auto"/>
            <w:vAlign w:val="bottom"/>
          </w:tcPr>
          <w:p w14:paraId="413C65E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22.597*** (1.259)</w:t>
            </w:r>
          </w:p>
        </w:tc>
        <w:tc>
          <w:tcPr>
            <w:tcW w:w="0" w:type="auto"/>
            <w:tcBorders>
              <w:top w:val="nil"/>
              <w:left w:val="nil"/>
              <w:bottom w:val="nil"/>
              <w:right w:val="nil"/>
            </w:tcBorders>
            <w:shd w:val="clear" w:color="auto" w:fill="auto"/>
            <w:vAlign w:val="bottom"/>
          </w:tcPr>
          <w:p w14:paraId="451DA86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23.464*** (1.304)</w:t>
            </w:r>
          </w:p>
        </w:tc>
      </w:tr>
      <w:tr w:rsidR="00393153" w:rsidRPr="001E47AD" w14:paraId="031C29EC" w14:textId="77777777" w:rsidTr="00851E79">
        <w:tc>
          <w:tcPr>
            <w:tcW w:w="2448" w:type="dxa"/>
            <w:tcBorders>
              <w:top w:val="nil"/>
              <w:left w:val="nil"/>
              <w:bottom w:val="single" w:sz="4" w:space="0" w:color="auto"/>
              <w:right w:val="nil"/>
            </w:tcBorders>
            <w:shd w:val="clear" w:color="auto" w:fill="auto"/>
            <w:vAlign w:val="center"/>
          </w:tcPr>
          <w:p w14:paraId="2C2D387D" w14:textId="77777777" w:rsidR="00ED1BD9" w:rsidRPr="001E47AD" w:rsidRDefault="00EC5F60" w:rsidP="00F5379D">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(HUR_TRACK_WIND)</m:t>
                    </m:r>
                  </m:e>
                  <m:sup>
                    <m:r>
                      <m:rPr>
                        <m:sty m:val="p"/>
                      </m:rPr>
                      <w:rPr>
                        <w:rFonts w:ascii="Cambria Math" w:hAnsi="Cambria Math" w:cs="Times New Roman"/>
                        <w:sz w:val="16"/>
                        <w:szCs w:val="16"/>
                      </w:rPr>
                      <m:t>2</m:t>
                    </m:r>
                  </m:sup>
                </m:sSup>
              </m:oMath>
            </m:oMathPara>
          </w:p>
        </w:tc>
        <w:tc>
          <w:tcPr>
            <w:tcW w:w="1839" w:type="dxa"/>
            <w:gridSpan w:val="2"/>
            <w:tcBorders>
              <w:top w:val="nil"/>
              <w:left w:val="nil"/>
              <w:bottom w:val="single" w:sz="4" w:space="0" w:color="auto"/>
              <w:right w:val="nil"/>
            </w:tcBorders>
            <w:shd w:val="clear" w:color="auto" w:fill="auto"/>
            <w:vAlign w:val="bottom"/>
          </w:tcPr>
          <w:p w14:paraId="5DDCEC0D"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single" w:sz="4" w:space="0" w:color="auto"/>
              <w:right w:val="nil"/>
            </w:tcBorders>
            <w:shd w:val="clear" w:color="auto" w:fill="auto"/>
            <w:vAlign w:val="bottom"/>
          </w:tcPr>
          <w:p w14:paraId="7F5883FD"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0" w:type="auto"/>
            <w:tcBorders>
              <w:top w:val="nil"/>
              <w:left w:val="nil"/>
              <w:bottom w:val="single" w:sz="4" w:space="0" w:color="auto"/>
              <w:right w:val="nil"/>
            </w:tcBorders>
            <w:shd w:val="clear" w:color="auto" w:fill="auto"/>
            <w:vAlign w:val="bottom"/>
          </w:tcPr>
          <w:p w14:paraId="01CC75E1"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-0.191*** (0.010)</w:t>
            </w:r>
          </w:p>
        </w:tc>
        <w:tc>
          <w:tcPr>
            <w:tcW w:w="0" w:type="auto"/>
            <w:tcBorders>
              <w:top w:val="nil"/>
              <w:left w:val="nil"/>
              <w:bottom w:val="single" w:sz="4" w:space="0" w:color="auto"/>
              <w:right w:val="nil"/>
            </w:tcBorders>
            <w:shd w:val="clear" w:color="auto" w:fill="auto"/>
            <w:vAlign w:val="bottom"/>
          </w:tcPr>
          <w:p w14:paraId="1BD2DAAF"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-0.205*** (0.011)</w:t>
            </w:r>
          </w:p>
        </w:tc>
      </w:tr>
      <w:tr w:rsidR="00851E79" w:rsidRPr="001E47AD" w14:paraId="3F4494D0" w14:textId="77777777" w:rsidTr="00851E79">
        <w:tc>
          <w:tcPr>
            <w:tcW w:w="2448" w:type="dxa"/>
            <w:tcBorders>
              <w:top w:val="single" w:sz="4" w:space="0" w:color="auto"/>
              <w:left w:val="nil"/>
              <w:bottom w:val="nil"/>
              <w:right w:val="nil"/>
            </w:tcBorders>
            <w:shd w:val="clear" w:color="auto" w:fill="auto"/>
            <w:vAlign w:val="center"/>
          </w:tcPr>
          <w:p w14:paraId="356223AA" w14:textId="20C9BD0C" w:rsidR="00851E79" w:rsidRPr="001E47AD" w:rsidRDefault="00851E79" w:rsidP="00F5379D">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Control Variables</w:t>
            </w:r>
          </w:p>
        </w:tc>
        <w:tc>
          <w:tcPr>
            <w:tcW w:w="1839" w:type="dxa"/>
            <w:gridSpan w:val="2"/>
            <w:tcBorders>
              <w:top w:val="single" w:sz="4" w:space="0" w:color="auto"/>
              <w:left w:val="nil"/>
              <w:bottom w:val="nil"/>
              <w:right w:val="nil"/>
            </w:tcBorders>
            <w:shd w:val="clear" w:color="auto" w:fill="auto"/>
            <w:vAlign w:val="bottom"/>
          </w:tcPr>
          <w:p w14:paraId="10FF09A0" w14:textId="77777777" w:rsidR="00851E79" w:rsidRPr="001E47AD" w:rsidRDefault="00851E79" w:rsidP="00F5379D">
            <w:pPr>
              <w:contextualSpacing/>
              <w:jc w:val="right"/>
              <w:rPr>
                <w:rFonts w:ascii="Times New Roman" w:hAnsi="Times New Roman" w:cs="Times New Roman"/>
                <w:sz w:val="16"/>
                <w:szCs w:val="16"/>
              </w:rPr>
            </w:pPr>
          </w:p>
        </w:tc>
        <w:tc>
          <w:tcPr>
            <w:tcW w:w="0" w:type="auto"/>
            <w:tcBorders>
              <w:top w:val="single" w:sz="4" w:space="0" w:color="auto"/>
              <w:left w:val="nil"/>
              <w:bottom w:val="nil"/>
              <w:right w:val="nil"/>
            </w:tcBorders>
            <w:shd w:val="clear" w:color="auto" w:fill="auto"/>
            <w:vAlign w:val="bottom"/>
          </w:tcPr>
          <w:p w14:paraId="232102F0" w14:textId="77777777" w:rsidR="00851E79" w:rsidRPr="001E47AD" w:rsidRDefault="00851E79" w:rsidP="00F5379D">
            <w:pPr>
              <w:contextualSpacing/>
              <w:jc w:val="right"/>
              <w:rPr>
                <w:rFonts w:ascii="Times New Roman" w:hAnsi="Times New Roman" w:cs="Times New Roman"/>
                <w:sz w:val="16"/>
                <w:szCs w:val="16"/>
              </w:rPr>
            </w:pPr>
          </w:p>
        </w:tc>
        <w:tc>
          <w:tcPr>
            <w:tcW w:w="0" w:type="auto"/>
            <w:tcBorders>
              <w:top w:val="single" w:sz="4" w:space="0" w:color="auto"/>
              <w:left w:val="nil"/>
              <w:bottom w:val="nil"/>
              <w:right w:val="nil"/>
            </w:tcBorders>
            <w:shd w:val="clear" w:color="auto" w:fill="auto"/>
            <w:vAlign w:val="bottom"/>
          </w:tcPr>
          <w:p w14:paraId="447A736D" w14:textId="77777777" w:rsidR="00851E79" w:rsidRPr="001E47AD" w:rsidRDefault="00851E79" w:rsidP="00F5379D">
            <w:pPr>
              <w:contextualSpacing/>
              <w:jc w:val="right"/>
              <w:rPr>
                <w:rFonts w:ascii="Times New Roman" w:hAnsi="Times New Roman" w:cs="Times New Roman"/>
                <w:sz w:val="16"/>
                <w:szCs w:val="16"/>
              </w:rPr>
            </w:pPr>
          </w:p>
        </w:tc>
        <w:tc>
          <w:tcPr>
            <w:tcW w:w="0" w:type="auto"/>
            <w:tcBorders>
              <w:top w:val="single" w:sz="4" w:space="0" w:color="auto"/>
              <w:left w:val="nil"/>
              <w:bottom w:val="nil"/>
              <w:right w:val="nil"/>
            </w:tcBorders>
            <w:shd w:val="clear" w:color="auto" w:fill="auto"/>
            <w:vAlign w:val="bottom"/>
          </w:tcPr>
          <w:p w14:paraId="28AAE5F4" w14:textId="77777777" w:rsidR="00851E79" w:rsidRPr="001E47AD" w:rsidRDefault="00851E79" w:rsidP="00F5379D">
            <w:pPr>
              <w:contextualSpacing/>
              <w:jc w:val="right"/>
              <w:rPr>
                <w:rFonts w:ascii="Times New Roman" w:hAnsi="Times New Roman" w:cs="Times New Roman"/>
                <w:sz w:val="16"/>
                <w:szCs w:val="16"/>
              </w:rPr>
            </w:pPr>
          </w:p>
        </w:tc>
      </w:tr>
      <w:tr w:rsidR="00393153" w:rsidRPr="001E47AD" w14:paraId="3CBB4B54" w14:textId="77777777" w:rsidTr="00631A8C">
        <w:tc>
          <w:tcPr>
            <w:tcW w:w="2448" w:type="dxa"/>
            <w:tcBorders>
              <w:top w:val="nil"/>
              <w:left w:val="nil"/>
              <w:bottom w:val="nil"/>
              <w:right w:val="nil"/>
            </w:tcBorders>
            <w:shd w:val="clear" w:color="auto" w:fill="auto"/>
            <w:vAlign w:val="center"/>
          </w:tcPr>
          <w:p w14:paraId="6A80EBA5" w14:textId="77777777" w:rsidR="00ED1BD9" w:rsidRPr="001E47AD" w:rsidRDefault="00ED1BD9" w:rsidP="00F5379D">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Format</w:t>
            </w:r>
          </w:p>
        </w:tc>
        <w:tc>
          <w:tcPr>
            <w:tcW w:w="1839" w:type="dxa"/>
            <w:gridSpan w:val="2"/>
            <w:tcBorders>
              <w:top w:val="nil"/>
              <w:left w:val="nil"/>
              <w:bottom w:val="nil"/>
              <w:right w:val="nil"/>
            </w:tcBorders>
            <w:shd w:val="clear" w:color="auto" w:fill="auto"/>
            <w:vAlign w:val="bottom"/>
          </w:tcPr>
          <w:p w14:paraId="6EDCF986"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2E5D7FB1"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53F88670"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004A4810" w14:textId="77777777" w:rsidR="00ED1BD9" w:rsidRPr="001E47AD" w:rsidRDefault="00ED1BD9" w:rsidP="00F5379D">
            <w:pPr>
              <w:contextualSpacing/>
              <w:jc w:val="right"/>
              <w:rPr>
                <w:rFonts w:ascii="Times New Roman" w:hAnsi="Times New Roman" w:cs="Times New Roman"/>
                <w:sz w:val="16"/>
                <w:szCs w:val="16"/>
              </w:rPr>
            </w:pPr>
          </w:p>
        </w:tc>
      </w:tr>
      <w:tr w:rsidR="00393153" w:rsidRPr="001E47AD" w14:paraId="0B64F44C" w14:textId="77777777" w:rsidTr="00631A8C">
        <w:tc>
          <w:tcPr>
            <w:tcW w:w="2448" w:type="dxa"/>
            <w:tcBorders>
              <w:top w:val="nil"/>
              <w:left w:val="nil"/>
              <w:bottom w:val="nil"/>
              <w:right w:val="nil"/>
            </w:tcBorders>
            <w:shd w:val="clear" w:color="auto" w:fill="auto"/>
            <w:vAlign w:val="center"/>
          </w:tcPr>
          <w:p w14:paraId="7845B439"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CHAIN_GROC</m:t>
                </m:r>
              </m:oMath>
            </m:oMathPara>
          </w:p>
        </w:tc>
        <w:tc>
          <w:tcPr>
            <w:tcW w:w="1839" w:type="dxa"/>
            <w:gridSpan w:val="2"/>
            <w:tcBorders>
              <w:top w:val="nil"/>
              <w:left w:val="nil"/>
              <w:bottom w:val="nil"/>
              <w:right w:val="nil"/>
            </w:tcBorders>
            <w:shd w:val="clear" w:color="auto" w:fill="auto"/>
            <w:vAlign w:val="bottom"/>
          </w:tcPr>
          <w:p w14:paraId="251FEDB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-548.548*** (109.380)</w:t>
            </w:r>
          </w:p>
        </w:tc>
        <w:tc>
          <w:tcPr>
            <w:tcW w:w="0" w:type="auto"/>
            <w:tcBorders>
              <w:top w:val="nil"/>
              <w:left w:val="nil"/>
              <w:bottom w:val="nil"/>
              <w:right w:val="nil"/>
            </w:tcBorders>
            <w:shd w:val="clear" w:color="auto" w:fill="auto"/>
            <w:vAlign w:val="bottom"/>
          </w:tcPr>
          <w:p w14:paraId="54EF347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-432.760*** (106.804)</w:t>
            </w:r>
          </w:p>
        </w:tc>
        <w:tc>
          <w:tcPr>
            <w:tcW w:w="0" w:type="auto"/>
            <w:tcBorders>
              <w:top w:val="nil"/>
              <w:left w:val="nil"/>
              <w:bottom w:val="nil"/>
              <w:right w:val="nil"/>
            </w:tcBorders>
            <w:shd w:val="clear" w:color="auto" w:fill="auto"/>
            <w:vAlign w:val="bottom"/>
          </w:tcPr>
          <w:p w14:paraId="77BC686F"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-346.533*** (95.401)</w:t>
            </w:r>
          </w:p>
        </w:tc>
        <w:tc>
          <w:tcPr>
            <w:tcW w:w="0" w:type="auto"/>
            <w:tcBorders>
              <w:top w:val="nil"/>
              <w:left w:val="nil"/>
              <w:bottom w:val="nil"/>
              <w:right w:val="nil"/>
            </w:tcBorders>
            <w:shd w:val="clear" w:color="auto" w:fill="auto"/>
            <w:vAlign w:val="bottom"/>
          </w:tcPr>
          <w:p w14:paraId="11FF54CD"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-198.446* (95.916)</w:t>
            </w:r>
          </w:p>
        </w:tc>
      </w:tr>
      <w:tr w:rsidR="00393153" w:rsidRPr="001E47AD" w14:paraId="7B966FEE" w14:textId="77777777" w:rsidTr="00631A8C">
        <w:tc>
          <w:tcPr>
            <w:tcW w:w="2448" w:type="dxa"/>
            <w:tcBorders>
              <w:top w:val="nil"/>
              <w:left w:val="nil"/>
              <w:bottom w:val="nil"/>
              <w:right w:val="nil"/>
            </w:tcBorders>
            <w:shd w:val="clear" w:color="auto" w:fill="auto"/>
            <w:vAlign w:val="center"/>
          </w:tcPr>
          <w:p w14:paraId="3AFCC773"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CHAIN_WHS</m:t>
                </m:r>
              </m:oMath>
            </m:oMathPara>
          </w:p>
        </w:tc>
        <w:tc>
          <w:tcPr>
            <w:tcW w:w="1839" w:type="dxa"/>
            <w:gridSpan w:val="2"/>
            <w:tcBorders>
              <w:top w:val="nil"/>
              <w:left w:val="nil"/>
              <w:bottom w:val="nil"/>
              <w:right w:val="nil"/>
            </w:tcBorders>
            <w:shd w:val="clear" w:color="auto" w:fill="auto"/>
            <w:vAlign w:val="bottom"/>
          </w:tcPr>
          <w:p w14:paraId="0E7C575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223.843*** (31.807)</w:t>
            </w:r>
          </w:p>
        </w:tc>
        <w:tc>
          <w:tcPr>
            <w:tcW w:w="0" w:type="auto"/>
            <w:tcBorders>
              <w:top w:val="nil"/>
              <w:left w:val="nil"/>
              <w:bottom w:val="nil"/>
              <w:right w:val="nil"/>
            </w:tcBorders>
            <w:shd w:val="clear" w:color="auto" w:fill="auto"/>
            <w:vAlign w:val="bottom"/>
          </w:tcPr>
          <w:p w14:paraId="532EEF1B"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253.918*** (30.770)</w:t>
            </w:r>
          </w:p>
        </w:tc>
        <w:tc>
          <w:tcPr>
            <w:tcW w:w="0" w:type="auto"/>
            <w:tcBorders>
              <w:top w:val="nil"/>
              <w:left w:val="nil"/>
              <w:bottom w:val="nil"/>
              <w:right w:val="nil"/>
            </w:tcBorders>
            <w:shd w:val="clear" w:color="auto" w:fill="auto"/>
            <w:vAlign w:val="bottom"/>
          </w:tcPr>
          <w:p w14:paraId="4A97C47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156.904*** (27.503)</w:t>
            </w:r>
          </w:p>
        </w:tc>
        <w:tc>
          <w:tcPr>
            <w:tcW w:w="0" w:type="auto"/>
            <w:tcBorders>
              <w:top w:val="nil"/>
              <w:left w:val="nil"/>
              <w:bottom w:val="nil"/>
              <w:right w:val="nil"/>
            </w:tcBorders>
            <w:shd w:val="clear" w:color="auto" w:fill="auto"/>
            <w:vAlign w:val="bottom"/>
          </w:tcPr>
          <w:p w14:paraId="3B59B58B"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170.458*** (27.911)</w:t>
            </w:r>
          </w:p>
        </w:tc>
      </w:tr>
      <w:tr w:rsidR="00393153" w:rsidRPr="001E47AD" w14:paraId="3D8F779E" w14:textId="77777777" w:rsidTr="00631A8C">
        <w:tc>
          <w:tcPr>
            <w:tcW w:w="2448" w:type="dxa"/>
            <w:tcBorders>
              <w:top w:val="nil"/>
              <w:left w:val="nil"/>
              <w:bottom w:val="nil"/>
              <w:right w:val="nil"/>
            </w:tcBorders>
            <w:shd w:val="clear" w:color="auto" w:fill="auto"/>
            <w:vAlign w:val="center"/>
          </w:tcPr>
          <w:p w14:paraId="555106E1"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CHAIN_DISC</m:t>
                </m:r>
              </m:oMath>
            </m:oMathPara>
          </w:p>
        </w:tc>
        <w:tc>
          <w:tcPr>
            <w:tcW w:w="1839" w:type="dxa"/>
            <w:gridSpan w:val="2"/>
            <w:tcBorders>
              <w:top w:val="nil"/>
              <w:left w:val="nil"/>
              <w:bottom w:val="nil"/>
              <w:right w:val="nil"/>
            </w:tcBorders>
            <w:shd w:val="clear" w:color="auto" w:fill="auto"/>
            <w:vAlign w:val="bottom"/>
          </w:tcPr>
          <w:p w14:paraId="2081C4AD" w14:textId="77777777" w:rsidR="00ED1BD9" w:rsidRPr="001E47AD" w:rsidRDefault="00ED1BD9" w:rsidP="00E34807">
            <w:pPr>
              <w:jc w:val="right"/>
              <w:rPr>
                <w:rFonts w:ascii="Times New Roman" w:hAnsi="Times New Roman" w:cs="Times New Roman"/>
                <w:sz w:val="16"/>
                <w:szCs w:val="16"/>
              </w:rPr>
            </w:pPr>
            <w:r w:rsidRPr="001E47AD">
              <w:rPr>
                <w:rFonts w:ascii="Times New Roman" w:hAnsi="Times New Roman" w:cs="Times New Roman"/>
                <w:sz w:val="16"/>
                <w:szCs w:val="16"/>
              </w:rPr>
              <w:t>-79.243 (72.900)</w:t>
            </w:r>
          </w:p>
        </w:tc>
        <w:tc>
          <w:tcPr>
            <w:tcW w:w="0" w:type="auto"/>
            <w:tcBorders>
              <w:top w:val="nil"/>
              <w:left w:val="nil"/>
              <w:bottom w:val="nil"/>
              <w:right w:val="nil"/>
            </w:tcBorders>
            <w:shd w:val="clear" w:color="auto" w:fill="auto"/>
            <w:vAlign w:val="bottom"/>
          </w:tcPr>
          <w:p w14:paraId="2D62D9A5"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-122.834* (71.924)</w:t>
            </w:r>
          </w:p>
        </w:tc>
        <w:tc>
          <w:tcPr>
            <w:tcW w:w="0" w:type="auto"/>
            <w:tcBorders>
              <w:top w:val="nil"/>
              <w:left w:val="nil"/>
              <w:bottom w:val="nil"/>
              <w:right w:val="nil"/>
            </w:tcBorders>
            <w:shd w:val="clear" w:color="auto" w:fill="auto"/>
            <w:vAlign w:val="bottom"/>
          </w:tcPr>
          <w:p w14:paraId="44445CA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23.173 (64.257)</w:t>
            </w:r>
          </w:p>
        </w:tc>
        <w:tc>
          <w:tcPr>
            <w:tcW w:w="0" w:type="auto"/>
            <w:tcBorders>
              <w:top w:val="nil"/>
              <w:left w:val="nil"/>
              <w:bottom w:val="nil"/>
              <w:right w:val="nil"/>
            </w:tcBorders>
            <w:shd w:val="clear" w:color="auto" w:fill="auto"/>
            <w:vAlign w:val="bottom"/>
          </w:tcPr>
          <w:p w14:paraId="0DA2E74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133.965* (63.928)</w:t>
            </w:r>
          </w:p>
        </w:tc>
      </w:tr>
      <w:tr w:rsidR="00393153" w:rsidRPr="001E47AD" w14:paraId="503ADED4" w14:textId="77777777" w:rsidTr="00631A8C">
        <w:tc>
          <w:tcPr>
            <w:tcW w:w="2448" w:type="dxa"/>
            <w:tcBorders>
              <w:top w:val="nil"/>
              <w:left w:val="nil"/>
              <w:bottom w:val="nil"/>
              <w:right w:val="nil"/>
            </w:tcBorders>
            <w:shd w:val="clear" w:color="auto" w:fill="auto"/>
            <w:vAlign w:val="center"/>
          </w:tcPr>
          <w:p w14:paraId="43ECC6A9"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CHAIN_DOLLAR</m:t>
                </m:r>
              </m:oMath>
            </m:oMathPara>
          </w:p>
        </w:tc>
        <w:tc>
          <w:tcPr>
            <w:tcW w:w="1839" w:type="dxa"/>
            <w:gridSpan w:val="2"/>
            <w:tcBorders>
              <w:top w:val="nil"/>
              <w:left w:val="nil"/>
              <w:bottom w:val="nil"/>
              <w:right w:val="nil"/>
            </w:tcBorders>
            <w:shd w:val="clear" w:color="auto" w:fill="auto"/>
            <w:vAlign w:val="bottom"/>
          </w:tcPr>
          <w:p w14:paraId="6D8E083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282.193*** (63.479)</w:t>
            </w:r>
          </w:p>
        </w:tc>
        <w:tc>
          <w:tcPr>
            <w:tcW w:w="0" w:type="auto"/>
            <w:tcBorders>
              <w:top w:val="nil"/>
              <w:left w:val="nil"/>
              <w:bottom w:val="nil"/>
              <w:right w:val="nil"/>
            </w:tcBorders>
            <w:shd w:val="clear" w:color="auto" w:fill="auto"/>
            <w:vAlign w:val="bottom"/>
          </w:tcPr>
          <w:p w14:paraId="7CDD7F50"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454.057*** (25.131)</w:t>
            </w:r>
          </w:p>
        </w:tc>
        <w:tc>
          <w:tcPr>
            <w:tcW w:w="0" w:type="auto"/>
            <w:tcBorders>
              <w:top w:val="nil"/>
              <w:left w:val="nil"/>
              <w:bottom w:val="nil"/>
              <w:right w:val="nil"/>
            </w:tcBorders>
            <w:shd w:val="clear" w:color="auto" w:fill="auto"/>
            <w:vAlign w:val="bottom"/>
          </w:tcPr>
          <w:p w14:paraId="586A2AC1"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401.030*** (22.324)</w:t>
            </w:r>
          </w:p>
        </w:tc>
        <w:tc>
          <w:tcPr>
            <w:tcW w:w="0" w:type="auto"/>
            <w:tcBorders>
              <w:top w:val="nil"/>
              <w:left w:val="nil"/>
              <w:bottom w:val="nil"/>
              <w:right w:val="nil"/>
            </w:tcBorders>
            <w:shd w:val="clear" w:color="auto" w:fill="auto"/>
            <w:vAlign w:val="bottom"/>
          </w:tcPr>
          <w:p w14:paraId="7BF7105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-228.637*** (56.393)</w:t>
            </w:r>
          </w:p>
        </w:tc>
      </w:tr>
      <w:tr w:rsidR="00393153" w:rsidRPr="001E47AD" w14:paraId="3CE8EE07" w14:textId="77777777" w:rsidTr="00631A8C">
        <w:tc>
          <w:tcPr>
            <w:tcW w:w="2448" w:type="dxa"/>
            <w:tcBorders>
              <w:top w:val="nil"/>
              <w:left w:val="nil"/>
              <w:bottom w:val="nil"/>
              <w:right w:val="nil"/>
            </w:tcBorders>
            <w:shd w:val="clear" w:color="auto" w:fill="auto"/>
            <w:vAlign w:val="center"/>
          </w:tcPr>
          <w:p w14:paraId="7D83435A"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CHAIN_DRUG</m:t>
                </m:r>
              </m:oMath>
            </m:oMathPara>
          </w:p>
        </w:tc>
        <w:tc>
          <w:tcPr>
            <w:tcW w:w="1839" w:type="dxa"/>
            <w:gridSpan w:val="2"/>
            <w:tcBorders>
              <w:top w:val="nil"/>
              <w:left w:val="nil"/>
              <w:bottom w:val="nil"/>
              <w:right w:val="nil"/>
            </w:tcBorders>
            <w:shd w:val="clear" w:color="auto" w:fill="auto"/>
            <w:vAlign w:val="bottom"/>
          </w:tcPr>
          <w:p w14:paraId="2FBBD9D1"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478.347*** (39.332)</w:t>
            </w:r>
          </w:p>
        </w:tc>
        <w:tc>
          <w:tcPr>
            <w:tcW w:w="0" w:type="auto"/>
            <w:tcBorders>
              <w:top w:val="nil"/>
              <w:left w:val="nil"/>
              <w:bottom w:val="nil"/>
              <w:right w:val="nil"/>
            </w:tcBorders>
            <w:shd w:val="clear" w:color="auto" w:fill="auto"/>
            <w:vAlign w:val="bottom"/>
          </w:tcPr>
          <w:p w14:paraId="54A0062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405.356*** (38.477)</w:t>
            </w:r>
          </w:p>
        </w:tc>
        <w:tc>
          <w:tcPr>
            <w:tcW w:w="0" w:type="auto"/>
            <w:tcBorders>
              <w:top w:val="nil"/>
              <w:left w:val="nil"/>
              <w:bottom w:val="nil"/>
              <w:right w:val="nil"/>
            </w:tcBorders>
            <w:shd w:val="clear" w:color="auto" w:fill="auto"/>
            <w:vAlign w:val="bottom"/>
          </w:tcPr>
          <w:p w14:paraId="1A192791"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345.657*** (34.383)</w:t>
            </w:r>
          </w:p>
        </w:tc>
        <w:tc>
          <w:tcPr>
            <w:tcW w:w="0" w:type="auto"/>
            <w:tcBorders>
              <w:top w:val="nil"/>
              <w:left w:val="nil"/>
              <w:bottom w:val="nil"/>
              <w:right w:val="nil"/>
            </w:tcBorders>
            <w:shd w:val="clear" w:color="auto" w:fill="auto"/>
            <w:vAlign w:val="bottom"/>
          </w:tcPr>
          <w:p w14:paraId="520FA2E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450.413*** (34.525)</w:t>
            </w:r>
          </w:p>
        </w:tc>
      </w:tr>
      <w:tr w:rsidR="00393153" w:rsidRPr="001E47AD" w14:paraId="55F0969C" w14:textId="77777777" w:rsidTr="00631A8C">
        <w:tc>
          <w:tcPr>
            <w:tcW w:w="2448" w:type="dxa"/>
            <w:tcBorders>
              <w:top w:val="nil"/>
              <w:left w:val="nil"/>
              <w:bottom w:val="nil"/>
              <w:right w:val="nil"/>
            </w:tcBorders>
            <w:shd w:val="clear" w:color="auto" w:fill="auto"/>
            <w:vAlign w:val="center"/>
          </w:tcPr>
          <w:p w14:paraId="4F005D48"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CHAIN_LIQ</m:t>
                </m:r>
              </m:oMath>
            </m:oMathPara>
          </w:p>
        </w:tc>
        <w:tc>
          <w:tcPr>
            <w:tcW w:w="1839" w:type="dxa"/>
            <w:gridSpan w:val="2"/>
            <w:tcBorders>
              <w:top w:val="nil"/>
              <w:left w:val="nil"/>
              <w:bottom w:val="nil"/>
              <w:right w:val="nil"/>
            </w:tcBorders>
            <w:shd w:val="clear" w:color="auto" w:fill="auto"/>
            <w:vAlign w:val="bottom"/>
          </w:tcPr>
          <w:p w14:paraId="5C076BB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236.486*** (59.304)</w:t>
            </w:r>
          </w:p>
        </w:tc>
        <w:tc>
          <w:tcPr>
            <w:tcW w:w="0" w:type="auto"/>
            <w:tcBorders>
              <w:top w:val="nil"/>
              <w:left w:val="nil"/>
              <w:bottom w:val="nil"/>
              <w:right w:val="nil"/>
            </w:tcBorders>
            <w:shd w:val="clear" w:color="auto" w:fill="auto"/>
            <w:vAlign w:val="bottom"/>
          </w:tcPr>
          <w:p w14:paraId="23BC668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68.901 (57.506)</w:t>
            </w:r>
          </w:p>
        </w:tc>
        <w:tc>
          <w:tcPr>
            <w:tcW w:w="0" w:type="auto"/>
            <w:tcBorders>
              <w:top w:val="nil"/>
              <w:left w:val="nil"/>
              <w:bottom w:val="nil"/>
              <w:right w:val="nil"/>
            </w:tcBorders>
            <w:shd w:val="clear" w:color="auto" w:fill="auto"/>
            <w:vAlign w:val="bottom"/>
          </w:tcPr>
          <w:p w14:paraId="0DB55BF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111.381* (51.245)</w:t>
            </w:r>
          </w:p>
        </w:tc>
        <w:tc>
          <w:tcPr>
            <w:tcW w:w="0" w:type="auto"/>
            <w:tcBorders>
              <w:top w:val="nil"/>
              <w:left w:val="nil"/>
              <w:bottom w:val="nil"/>
              <w:right w:val="nil"/>
            </w:tcBorders>
            <w:shd w:val="clear" w:color="auto" w:fill="auto"/>
            <w:vAlign w:val="bottom"/>
          </w:tcPr>
          <w:p w14:paraId="0195412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208.720*** (52.014)</w:t>
            </w:r>
          </w:p>
        </w:tc>
      </w:tr>
      <w:tr w:rsidR="00393153" w:rsidRPr="001E47AD" w14:paraId="0444DAC8" w14:textId="77777777" w:rsidTr="00631A8C">
        <w:tc>
          <w:tcPr>
            <w:tcW w:w="2448" w:type="dxa"/>
            <w:tcBorders>
              <w:top w:val="nil"/>
              <w:left w:val="nil"/>
              <w:bottom w:val="nil"/>
              <w:right w:val="nil"/>
            </w:tcBorders>
            <w:shd w:val="clear" w:color="auto" w:fill="auto"/>
            <w:vAlign w:val="center"/>
          </w:tcPr>
          <w:p w14:paraId="09CEAFAD" w14:textId="77777777" w:rsidR="00ED1BD9" w:rsidRPr="001E47AD" w:rsidRDefault="00ED1BD9" w:rsidP="00F5379D">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Chain</w:t>
            </w:r>
          </w:p>
        </w:tc>
        <w:tc>
          <w:tcPr>
            <w:tcW w:w="1839" w:type="dxa"/>
            <w:gridSpan w:val="2"/>
            <w:tcBorders>
              <w:top w:val="nil"/>
              <w:left w:val="nil"/>
              <w:bottom w:val="nil"/>
              <w:right w:val="nil"/>
            </w:tcBorders>
            <w:shd w:val="clear" w:color="auto" w:fill="auto"/>
            <w:vAlign w:val="bottom"/>
          </w:tcPr>
          <w:p w14:paraId="593625FC"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0D5C1FD9"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223E7F82"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52AE5021" w14:textId="77777777" w:rsidR="00ED1BD9" w:rsidRPr="001E47AD" w:rsidRDefault="00ED1BD9" w:rsidP="00F5379D">
            <w:pPr>
              <w:contextualSpacing/>
              <w:jc w:val="right"/>
              <w:rPr>
                <w:rFonts w:ascii="Times New Roman" w:hAnsi="Times New Roman" w:cs="Times New Roman"/>
                <w:sz w:val="16"/>
                <w:szCs w:val="16"/>
              </w:rPr>
            </w:pPr>
          </w:p>
        </w:tc>
      </w:tr>
      <w:tr w:rsidR="00393153" w:rsidRPr="001E47AD" w14:paraId="732A3DC9" w14:textId="77777777" w:rsidTr="00631A8C">
        <w:tc>
          <w:tcPr>
            <w:tcW w:w="2448" w:type="dxa"/>
            <w:tcBorders>
              <w:top w:val="nil"/>
              <w:left w:val="nil"/>
              <w:bottom w:val="nil"/>
              <w:right w:val="nil"/>
            </w:tcBorders>
            <w:shd w:val="clear" w:color="auto" w:fill="auto"/>
            <w:vAlign w:val="center"/>
          </w:tcPr>
          <w:p w14:paraId="6089E77F"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RETAIL_CHAIN</m:t>
                </m:r>
              </m:oMath>
            </m:oMathPara>
          </w:p>
        </w:tc>
        <w:tc>
          <w:tcPr>
            <w:tcW w:w="1839" w:type="dxa"/>
            <w:gridSpan w:val="2"/>
            <w:tcBorders>
              <w:top w:val="nil"/>
              <w:left w:val="nil"/>
              <w:bottom w:val="nil"/>
              <w:right w:val="nil"/>
            </w:tcBorders>
            <w:shd w:val="clear" w:color="auto" w:fill="auto"/>
            <w:vAlign w:val="bottom"/>
          </w:tcPr>
          <w:p w14:paraId="2582DFDC" w14:textId="77777777" w:rsidR="00ED1BD9" w:rsidRPr="001E47AD" w:rsidRDefault="00ED1BD9"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Included</w:t>
            </w:r>
          </w:p>
        </w:tc>
        <w:tc>
          <w:tcPr>
            <w:tcW w:w="0" w:type="auto"/>
            <w:tcBorders>
              <w:top w:val="nil"/>
              <w:left w:val="nil"/>
              <w:bottom w:val="nil"/>
              <w:right w:val="nil"/>
            </w:tcBorders>
            <w:shd w:val="clear" w:color="auto" w:fill="auto"/>
            <w:vAlign w:val="bottom"/>
          </w:tcPr>
          <w:p w14:paraId="28D2C3E7" w14:textId="77777777" w:rsidR="00ED1BD9" w:rsidRPr="001E47AD" w:rsidRDefault="00ED1BD9"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Included</w:t>
            </w:r>
          </w:p>
        </w:tc>
        <w:tc>
          <w:tcPr>
            <w:tcW w:w="0" w:type="auto"/>
            <w:tcBorders>
              <w:top w:val="nil"/>
              <w:left w:val="nil"/>
              <w:bottom w:val="nil"/>
              <w:right w:val="nil"/>
            </w:tcBorders>
            <w:shd w:val="clear" w:color="auto" w:fill="auto"/>
            <w:vAlign w:val="bottom"/>
          </w:tcPr>
          <w:p w14:paraId="38B24B9C" w14:textId="77777777" w:rsidR="00ED1BD9" w:rsidRPr="001E47AD" w:rsidRDefault="00ED1BD9"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Included</w:t>
            </w:r>
          </w:p>
        </w:tc>
        <w:tc>
          <w:tcPr>
            <w:tcW w:w="0" w:type="auto"/>
            <w:tcBorders>
              <w:top w:val="nil"/>
              <w:left w:val="nil"/>
              <w:bottom w:val="nil"/>
              <w:right w:val="nil"/>
            </w:tcBorders>
            <w:shd w:val="clear" w:color="auto" w:fill="auto"/>
            <w:vAlign w:val="bottom"/>
          </w:tcPr>
          <w:p w14:paraId="2B0B7F95" w14:textId="77777777" w:rsidR="00ED1BD9" w:rsidRPr="001E47AD" w:rsidRDefault="00ED1BD9"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Included</w:t>
            </w:r>
          </w:p>
        </w:tc>
      </w:tr>
      <w:tr w:rsidR="00393153" w:rsidRPr="001E47AD" w14:paraId="52A4CB71" w14:textId="77777777" w:rsidTr="00631A8C">
        <w:tc>
          <w:tcPr>
            <w:tcW w:w="2448" w:type="dxa"/>
            <w:tcBorders>
              <w:top w:val="nil"/>
              <w:left w:val="nil"/>
              <w:bottom w:val="nil"/>
              <w:right w:val="nil"/>
            </w:tcBorders>
            <w:shd w:val="clear" w:color="auto" w:fill="auto"/>
            <w:vAlign w:val="center"/>
          </w:tcPr>
          <w:p w14:paraId="36912CE0" w14:textId="77777777" w:rsidR="00ED1BD9" w:rsidRPr="001E47AD" w:rsidRDefault="00ED1BD9" w:rsidP="00F5379D">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Hurricane Influence</w:t>
            </w:r>
          </w:p>
        </w:tc>
        <w:tc>
          <w:tcPr>
            <w:tcW w:w="1839" w:type="dxa"/>
            <w:gridSpan w:val="2"/>
            <w:tcBorders>
              <w:top w:val="nil"/>
              <w:left w:val="nil"/>
              <w:bottom w:val="nil"/>
              <w:right w:val="nil"/>
            </w:tcBorders>
            <w:shd w:val="clear" w:color="auto" w:fill="auto"/>
          </w:tcPr>
          <w:p w14:paraId="7A7353BB"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tcPr>
          <w:p w14:paraId="35601C47"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center"/>
          </w:tcPr>
          <w:p w14:paraId="4329A6A3"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tcPr>
          <w:p w14:paraId="2FEA82B3" w14:textId="77777777" w:rsidR="00ED1BD9" w:rsidRPr="001E47AD" w:rsidRDefault="00ED1BD9" w:rsidP="00F5379D">
            <w:pPr>
              <w:contextualSpacing/>
              <w:jc w:val="right"/>
              <w:rPr>
                <w:rFonts w:ascii="Times New Roman" w:hAnsi="Times New Roman" w:cs="Times New Roman"/>
                <w:sz w:val="16"/>
                <w:szCs w:val="16"/>
              </w:rPr>
            </w:pPr>
          </w:p>
        </w:tc>
      </w:tr>
      <w:tr w:rsidR="00393153" w:rsidRPr="001E47AD" w14:paraId="1B2D3B66" w14:textId="77777777" w:rsidTr="00631A8C">
        <w:tc>
          <w:tcPr>
            <w:tcW w:w="2448" w:type="dxa"/>
            <w:tcBorders>
              <w:top w:val="nil"/>
              <w:left w:val="nil"/>
              <w:bottom w:val="nil"/>
              <w:right w:val="nil"/>
            </w:tcBorders>
            <w:shd w:val="clear" w:color="auto" w:fill="auto"/>
            <w:vAlign w:val="center"/>
          </w:tcPr>
          <w:p w14:paraId="171D93A8"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sz w:val="16"/>
                    <w:szCs w:val="16"/>
                  </w:rPr>
                  <m:t>DAYS_BEF_INFL</m:t>
                </m:r>
                <m:r>
                  <m:rPr>
                    <m:sty m:val="p"/>
                  </m:rPr>
                  <w:rPr>
                    <w:rFonts w:ascii="Cambria Math" w:eastAsia="宋体" w:hAnsi="Cambria Math" w:cs="Times New Roman"/>
                    <w:sz w:val="16"/>
                    <w:szCs w:val="16"/>
                  </w:rPr>
                  <m:t>_EARLY</m:t>
                </m:r>
              </m:oMath>
            </m:oMathPara>
          </w:p>
        </w:tc>
        <w:tc>
          <w:tcPr>
            <w:tcW w:w="1839" w:type="dxa"/>
            <w:gridSpan w:val="2"/>
            <w:tcBorders>
              <w:top w:val="nil"/>
              <w:left w:val="nil"/>
              <w:bottom w:val="nil"/>
              <w:right w:val="nil"/>
            </w:tcBorders>
            <w:shd w:val="clear" w:color="auto" w:fill="auto"/>
            <w:vAlign w:val="bottom"/>
          </w:tcPr>
          <w:p w14:paraId="64B6533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67.337*** (2.865)</w:t>
            </w:r>
          </w:p>
        </w:tc>
        <w:tc>
          <w:tcPr>
            <w:tcW w:w="0" w:type="auto"/>
            <w:tcBorders>
              <w:top w:val="nil"/>
              <w:left w:val="nil"/>
              <w:bottom w:val="nil"/>
              <w:right w:val="nil"/>
            </w:tcBorders>
            <w:shd w:val="clear" w:color="auto" w:fill="auto"/>
            <w:vAlign w:val="bottom"/>
          </w:tcPr>
          <w:p w14:paraId="41A283B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67.131*** (2.815)</w:t>
            </w:r>
          </w:p>
        </w:tc>
        <w:tc>
          <w:tcPr>
            <w:tcW w:w="0" w:type="auto"/>
            <w:tcBorders>
              <w:top w:val="nil"/>
              <w:left w:val="nil"/>
              <w:bottom w:val="nil"/>
              <w:right w:val="nil"/>
            </w:tcBorders>
            <w:shd w:val="clear" w:color="auto" w:fill="auto"/>
            <w:vAlign w:val="bottom"/>
          </w:tcPr>
          <w:p w14:paraId="12A432E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20.341*** (3.765)</w:t>
            </w:r>
          </w:p>
        </w:tc>
        <w:tc>
          <w:tcPr>
            <w:tcW w:w="0" w:type="auto"/>
            <w:tcBorders>
              <w:top w:val="nil"/>
              <w:left w:val="nil"/>
              <w:bottom w:val="nil"/>
              <w:right w:val="nil"/>
            </w:tcBorders>
            <w:shd w:val="clear" w:color="auto" w:fill="auto"/>
            <w:vAlign w:val="bottom"/>
          </w:tcPr>
          <w:p w14:paraId="404110C5"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9.789* (3.916)</w:t>
            </w:r>
          </w:p>
        </w:tc>
      </w:tr>
      <w:tr w:rsidR="00393153" w:rsidRPr="001E47AD" w14:paraId="77C1421D" w14:textId="77777777" w:rsidTr="00631A8C">
        <w:tc>
          <w:tcPr>
            <w:tcW w:w="2448" w:type="dxa"/>
            <w:tcBorders>
              <w:top w:val="nil"/>
              <w:left w:val="nil"/>
              <w:bottom w:val="nil"/>
              <w:right w:val="nil"/>
            </w:tcBorders>
            <w:shd w:val="clear" w:color="auto" w:fill="auto"/>
            <w:vAlign w:val="center"/>
          </w:tcPr>
          <w:p w14:paraId="314C65C3"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sz w:val="16"/>
                    <w:szCs w:val="16"/>
                  </w:rPr>
                  <m:t>DAYS_INFL</m:t>
                </m:r>
                <m:r>
                  <m:rPr>
                    <m:sty m:val="p"/>
                  </m:rPr>
                  <w:rPr>
                    <w:rFonts w:ascii="Cambria Math" w:hAnsi="Cambria Math" w:cs="Times New Roman"/>
                    <w:sz w:val="16"/>
                    <w:szCs w:val="16"/>
                  </w:rPr>
                  <m:t>_AFT_LANDFALL</m:t>
                </m:r>
              </m:oMath>
            </m:oMathPara>
          </w:p>
        </w:tc>
        <w:tc>
          <w:tcPr>
            <w:tcW w:w="1839" w:type="dxa"/>
            <w:gridSpan w:val="2"/>
            <w:tcBorders>
              <w:top w:val="nil"/>
              <w:left w:val="nil"/>
              <w:bottom w:val="nil"/>
              <w:right w:val="nil"/>
            </w:tcBorders>
            <w:shd w:val="clear" w:color="auto" w:fill="auto"/>
            <w:vAlign w:val="bottom"/>
          </w:tcPr>
          <w:p w14:paraId="5AE8BC09"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25.426*** (2.774)</w:t>
            </w:r>
          </w:p>
        </w:tc>
        <w:tc>
          <w:tcPr>
            <w:tcW w:w="0" w:type="auto"/>
            <w:tcBorders>
              <w:top w:val="nil"/>
              <w:left w:val="nil"/>
              <w:bottom w:val="nil"/>
              <w:right w:val="nil"/>
            </w:tcBorders>
            <w:shd w:val="clear" w:color="auto" w:fill="auto"/>
            <w:vAlign w:val="bottom"/>
          </w:tcPr>
          <w:p w14:paraId="2D82891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10.848*** (2.945)</w:t>
            </w:r>
          </w:p>
        </w:tc>
        <w:tc>
          <w:tcPr>
            <w:tcW w:w="0" w:type="auto"/>
            <w:tcBorders>
              <w:top w:val="nil"/>
              <w:left w:val="nil"/>
              <w:bottom w:val="nil"/>
              <w:right w:val="nil"/>
            </w:tcBorders>
            <w:shd w:val="clear" w:color="auto" w:fill="auto"/>
            <w:vAlign w:val="bottom"/>
          </w:tcPr>
          <w:p w14:paraId="03D175A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-29.978*** (2.566)</w:t>
            </w:r>
          </w:p>
        </w:tc>
        <w:tc>
          <w:tcPr>
            <w:tcW w:w="0" w:type="auto"/>
            <w:tcBorders>
              <w:top w:val="nil"/>
              <w:left w:val="nil"/>
              <w:bottom w:val="nil"/>
              <w:right w:val="nil"/>
            </w:tcBorders>
            <w:shd w:val="clear" w:color="auto" w:fill="auto"/>
            <w:vAlign w:val="bottom"/>
          </w:tcPr>
          <w:p w14:paraId="159B0952"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-28.854*** (2.856)</w:t>
            </w:r>
          </w:p>
        </w:tc>
      </w:tr>
      <w:tr w:rsidR="00393153" w:rsidRPr="001E47AD" w14:paraId="6743F43A" w14:textId="77777777" w:rsidTr="00631A8C">
        <w:tc>
          <w:tcPr>
            <w:tcW w:w="2448" w:type="dxa"/>
            <w:tcBorders>
              <w:top w:val="nil"/>
              <w:left w:val="nil"/>
              <w:bottom w:val="nil"/>
              <w:right w:val="nil"/>
            </w:tcBorders>
            <w:shd w:val="clear" w:color="auto" w:fill="auto"/>
            <w:vAlign w:val="center"/>
          </w:tcPr>
          <w:p w14:paraId="4C123CA2" w14:textId="77777777" w:rsidR="00ED1BD9" w:rsidRPr="001E47AD" w:rsidRDefault="00ED1BD9" w:rsidP="00F5379D">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Category Competition</w:t>
            </w:r>
          </w:p>
        </w:tc>
        <w:tc>
          <w:tcPr>
            <w:tcW w:w="1839" w:type="dxa"/>
            <w:gridSpan w:val="2"/>
            <w:tcBorders>
              <w:top w:val="nil"/>
              <w:left w:val="nil"/>
              <w:bottom w:val="nil"/>
              <w:right w:val="nil"/>
            </w:tcBorders>
            <w:shd w:val="clear" w:color="auto" w:fill="auto"/>
            <w:vAlign w:val="bottom"/>
          </w:tcPr>
          <w:p w14:paraId="72ACF47B"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702C0685"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640315A0"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656177F6" w14:textId="77777777" w:rsidR="00ED1BD9" w:rsidRPr="001E47AD" w:rsidRDefault="00ED1BD9" w:rsidP="00F5379D">
            <w:pPr>
              <w:contextualSpacing/>
              <w:jc w:val="right"/>
              <w:rPr>
                <w:rFonts w:ascii="Times New Roman" w:hAnsi="Times New Roman" w:cs="Times New Roman"/>
                <w:sz w:val="16"/>
                <w:szCs w:val="16"/>
              </w:rPr>
            </w:pPr>
          </w:p>
        </w:tc>
      </w:tr>
      <w:tr w:rsidR="00393153" w:rsidRPr="001E47AD" w14:paraId="71406D7B" w14:textId="77777777" w:rsidTr="00631A8C">
        <w:tc>
          <w:tcPr>
            <w:tcW w:w="2448" w:type="dxa"/>
            <w:tcBorders>
              <w:top w:val="nil"/>
              <w:left w:val="nil"/>
              <w:bottom w:val="nil"/>
              <w:right w:val="nil"/>
            </w:tcBorders>
            <w:shd w:val="clear" w:color="auto" w:fill="auto"/>
            <w:vAlign w:val="center"/>
          </w:tcPr>
          <w:p w14:paraId="34FD496F"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VOL_COUNTY</m:t>
                </m:r>
              </m:oMath>
            </m:oMathPara>
          </w:p>
        </w:tc>
        <w:tc>
          <w:tcPr>
            <w:tcW w:w="1839" w:type="dxa"/>
            <w:gridSpan w:val="2"/>
            <w:tcBorders>
              <w:top w:val="nil"/>
              <w:left w:val="nil"/>
              <w:bottom w:val="nil"/>
              <w:right w:val="nil"/>
            </w:tcBorders>
            <w:shd w:val="clear" w:color="auto" w:fill="auto"/>
            <w:vAlign w:val="bottom"/>
          </w:tcPr>
          <w:p w14:paraId="73F70488"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2.451 (2.383)</w:t>
            </w:r>
          </w:p>
        </w:tc>
        <w:tc>
          <w:tcPr>
            <w:tcW w:w="0" w:type="auto"/>
            <w:tcBorders>
              <w:top w:val="nil"/>
              <w:left w:val="nil"/>
              <w:bottom w:val="nil"/>
              <w:right w:val="nil"/>
            </w:tcBorders>
            <w:shd w:val="clear" w:color="auto" w:fill="auto"/>
            <w:vAlign w:val="bottom"/>
          </w:tcPr>
          <w:p w14:paraId="6675D41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-26.438*** (1.997)</w:t>
            </w:r>
          </w:p>
        </w:tc>
        <w:tc>
          <w:tcPr>
            <w:tcW w:w="0" w:type="auto"/>
            <w:tcBorders>
              <w:top w:val="nil"/>
              <w:left w:val="nil"/>
              <w:bottom w:val="nil"/>
              <w:right w:val="nil"/>
            </w:tcBorders>
            <w:shd w:val="clear" w:color="auto" w:fill="auto"/>
            <w:vAlign w:val="bottom"/>
          </w:tcPr>
          <w:p w14:paraId="51571601"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-8.129*** (1.796)</w:t>
            </w:r>
          </w:p>
        </w:tc>
        <w:tc>
          <w:tcPr>
            <w:tcW w:w="0" w:type="auto"/>
            <w:tcBorders>
              <w:top w:val="nil"/>
              <w:left w:val="nil"/>
              <w:bottom w:val="nil"/>
              <w:right w:val="nil"/>
            </w:tcBorders>
            <w:shd w:val="clear" w:color="auto" w:fill="auto"/>
            <w:vAlign w:val="bottom"/>
          </w:tcPr>
          <w:p w14:paraId="14F40A6B"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4.807* (2.093)</w:t>
            </w:r>
          </w:p>
        </w:tc>
      </w:tr>
      <w:tr w:rsidR="00393153" w:rsidRPr="001E47AD" w14:paraId="72EE01EA" w14:textId="77777777" w:rsidTr="00631A8C">
        <w:tc>
          <w:tcPr>
            <w:tcW w:w="2448" w:type="dxa"/>
            <w:tcBorders>
              <w:top w:val="nil"/>
              <w:left w:val="nil"/>
              <w:bottom w:val="nil"/>
              <w:right w:val="nil"/>
            </w:tcBorders>
            <w:shd w:val="clear" w:color="auto" w:fill="auto"/>
            <w:vAlign w:val="center"/>
          </w:tcPr>
          <w:p w14:paraId="4FB4F3E1"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VOL_STATE</m:t>
                </m:r>
              </m:oMath>
            </m:oMathPara>
          </w:p>
        </w:tc>
        <w:tc>
          <w:tcPr>
            <w:tcW w:w="1839" w:type="dxa"/>
            <w:gridSpan w:val="2"/>
            <w:tcBorders>
              <w:top w:val="nil"/>
              <w:left w:val="nil"/>
              <w:bottom w:val="nil"/>
              <w:right w:val="nil"/>
            </w:tcBorders>
            <w:shd w:val="clear" w:color="auto" w:fill="auto"/>
            <w:vAlign w:val="bottom"/>
          </w:tcPr>
          <w:p w14:paraId="6BFCE3AA"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5.860*** (0.370)</w:t>
            </w:r>
          </w:p>
        </w:tc>
        <w:tc>
          <w:tcPr>
            <w:tcW w:w="0" w:type="auto"/>
            <w:tcBorders>
              <w:top w:val="nil"/>
              <w:left w:val="nil"/>
              <w:bottom w:val="nil"/>
              <w:right w:val="nil"/>
            </w:tcBorders>
            <w:shd w:val="clear" w:color="auto" w:fill="auto"/>
            <w:vAlign w:val="bottom"/>
          </w:tcPr>
          <w:p w14:paraId="5FB6E44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4.988*** (0.367)</w:t>
            </w:r>
          </w:p>
        </w:tc>
        <w:tc>
          <w:tcPr>
            <w:tcW w:w="0" w:type="auto"/>
            <w:tcBorders>
              <w:top w:val="nil"/>
              <w:left w:val="nil"/>
              <w:bottom w:val="nil"/>
              <w:right w:val="nil"/>
            </w:tcBorders>
            <w:shd w:val="clear" w:color="auto" w:fill="auto"/>
            <w:vAlign w:val="bottom"/>
          </w:tcPr>
          <w:p w14:paraId="0661150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4.674*** (0.326)</w:t>
            </w:r>
          </w:p>
        </w:tc>
        <w:tc>
          <w:tcPr>
            <w:tcW w:w="0" w:type="auto"/>
            <w:tcBorders>
              <w:top w:val="nil"/>
              <w:left w:val="nil"/>
              <w:bottom w:val="nil"/>
              <w:right w:val="nil"/>
            </w:tcBorders>
            <w:shd w:val="clear" w:color="auto" w:fill="auto"/>
            <w:vAlign w:val="bottom"/>
          </w:tcPr>
          <w:p w14:paraId="5571343E"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4.117*** (0.327)</w:t>
            </w:r>
          </w:p>
        </w:tc>
      </w:tr>
      <w:tr w:rsidR="00393153" w:rsidRPr="001E47AD" w14:paraId="6735DC0B" w14:textId="77777777" w:rsidTr="00631A8C">
        <w:tc>
          <w:tcPr>
            <w:tcW w:w="2448" w:type="dxa"/>
            <w:tcBorders>
              <w:top w:val="nil"/>
              <w:left w:val="nil"/>
              <w:bottom w:val="nil"/>
              <w:right w:val="nil"/>
            </w:tcBorders>
            <w:shd w:val="clear" w:color="auto" w:fill="auto"/>
            <w:vAlign w:val="center"/>
          </w:tcPr>
          <w:p w14:paraId="2FCC7495"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HHI_COUNTY</m:t>
                </m:r>
              </m:oMath>
            </m:oMathPara>
          </w:p>
        </w:tc>
        <w:tc>
          <w:tcPr>
            <w:tcW w:w="1839" w:type="dxa"/>
            <w:gridSpan w:val="2"/>
            <w:tcBorders>
              <w:top w:val="nil"/>
              <w:left w:val="nil"/>
              <w:bottom w:val="nil"/>
              <w:right w:val="nil"/>
            </w:tcBorders>
            <w:shd w:val="clear" w:color="auto" w:fill="auto"/>
            <w:vAlign w:val="bottom"/>
          </w:tcPr>
          <w:p w14:paraId="51A1344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-180.135*** (15.927)</w:t>
            </w:r>
          </w:p>
        </w:tc>
        <w:tc>
          <w:tcPr>
            <w:tcW w:w="0" w:type="auto"/>
            <w:tcBorders>
              <w:top w:val="nil"/>
              <w:left w:val="nil"/>
              <w:bottom w:val="nil"/>
              <w:right w:val="nil"/>
            </w:tcBorders>
            <w:shd w:val="clear" w:color="auto" w:fill="auto"/>
            <w:vAlign w:val="bottom"/>
          </w:tcPr>
          <w:p w14:paraId="30601BFB"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109.918*** (16.817)</w:t>
            </w:r>
          </w:p>
        </w:tc>
        <w:tc>
          <w:tcPr>
            <w:tcW w:w="0" w:type="auto"/>
            <w:tcBorders>
              <w:top w:val="nil"/>
              <w:left w:val="nil"/>
              <w:bottom w:val="nil"/>
              <w:right w:val="nil"/>
            </w:tcBorders>
            <w:shd w:val="clear" w:color="auto" w:fill="auto"/>
            <w:vAlign w:val="bottom"/>
          </w:tcPr>
          <w:p w14:paraId="721E33E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-42.010** (13.495)</w:t>
            </w:r>
          </w:p>
        </w:tc>
        <w:tc>
          <w:tcPr>
            <w:tcW w:w="0" w:type="auto"/>
            <w:tcBorders>
              <w:top w:val="nil"/>
              <w:left w:val="nil"/>
              <w:bottom w:val="nil"/>
              <w:right w:val="nil"/>
            </w:tcBorders>
            <w:shd w:val="clear" w:color="auto" w:fill="auto"/>
            <w:vAlign w:val="bottom"/>
          </w:tcPr>
          <w:p w14:paraId="0BB98527"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22.695 (15.357)</w:t>
            </w:r>
          </w:p>
        </w:tc>
      </w:tr>
      <w:tr w:rsidR="00393153" w:rsidRPr="001E47AD" w14:paraId="487182FE" w14:textId="77777777" w:rsidTr="00631A8C">
        <w:tc>
          <w:tcPr>
            <w:tcW w:w="2448" w:type="dxa"/>
            <w:tcBorders>
              <w:top w:val="nil"/>
              <w:left w:val="nil"/>
              <w:bottom w:val="nil"/>
              <w:right w:val="nil"/>
            </w:tcBorders>
            <w:shd w:val="clear" w:color="auto" w:fill="auto"/>
            <w:vAlign w:val="center"/>
          </w:tcPr>
          <w:p w14:paraId="184778A7"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HHI_STATE</m:t>
                </m:r>
              </m:oMath>
            </m:oMathPara>
          </w:p>
        </w:tc>
        <w:tc>
          <w:tcPr>
            <w:tcW w:w="1839" w:type="dxa"/>
            <w:gridSpan w:val="2"/>
            <w:tcBorders>
              <w:top w:val="nil"/>
              <w:left w:val="nil"/>
              <w:bottom w:val="nil"/>
              <w:right w:val="nil"/>
            </w:tcBorders>
            <w:shd w:val="clear" w:color="auto" w:fill="auto"/>
            <w:vAlign w:val="bottom"/>
          </w:tcPr>
          <w:p w14:paraId="08EC4C4E"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1</w:t>
            </w:r>
            <w:r w:rsidR="00FE7F1A" w:rsidRPr="001E47AD">
              <w:rPr>
                <w:rFonts w:ascii="Times New Roman" w:hAnsi="Times New Roman" w:cs="Times New Roman" w:hint="eastAsia"/>
                <w:sz w:val="16"/>
                <w:szCs w:val="16"/>
              </w:rPr>
              <w:t>,</w:t>
            </w:r>
            <w:r w:rsidRPr="001E47AD">
              <w:rPr>
                <w:rFonts w:ascii="Times New Roman" w:hAnsi="Times New Roman" w:cs="Times New Roman"/>
                <w:sz w:val="16"/>
                <w:szCs w:val="16"/>
              </w:rPr>
              <w:t>773.741*** (289.161)</w:t>
            </w:r>
          </w:p>
        </w:tc>
        <w:tc>
          <w:tcPr>
            <w:tcW w:w="0" w:type="auto"/>
            <w:tcBorders>
              <w:top w:val="nil"/>
              <w:left w:val="nil"/>
              <w:bottom w:val="nil"/>
              <w:right w:val="nil"/>
            </w:tcBorders>
            <w:shd w:val="clear" w:color="auto" w:fill="auto"/>
            <w:vAlign w:val="bottom"/>
          </w:tcPr>
          <w:p w14:paraId="6C37F133"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w:t>
            </w:r>
            <w:r w:rsidR="00FE7F1A" w:rsidRPr="001E47AD">
              <w:rPr>
                <w:rFonts w:ascii="Times New Roman" w:hAnsi="Times New Roman" w:cs="Times New Roman" w:hint="eastAsia"/>
                <w:sz w:val="16"/>
                <w:szCs w:val="16"/>
              </w:rPr>
              <w:t>,</w:t>
            </w:r>
            <w:r w:rsidRPr="001E47AD">
              <w:rPr>
                <w:rFonts w:ascii="Times New Roman" w:hAnsi="Times New Roman" w:cs="Times New Roman"/>
                <w:sz w:val="16"/>
                <w:szCs w:val="16"/>
              </w:rPr>
              <w:t>236.301*** (286.575)</w:t>
            </w:r>
          </w:p>
        </w:tc>
        <w:tc>
          <w:tcPr>
            <w:tcW w:w="0" w:type="auto"/>
            <w:tcBorders>
              <w:top w:val="nil"/>
              <w:left w:val="nil"/>
              <w:bottom w:val="nil"/>
              <w:right w:val="nil"/>
            </w:tcBorders>
            <w:shd w:val="clear" w:color="auto" w:fill="auto"/>
            <w:vAlign w:val="bottom"/>
          </w:tcPr>
          <w:p w14:paraId="392D197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w:t>
            </w:r>
            <w:r w:rsidR="00FE7F1A" w:rsidRPr="001E47AD">
              <w:rPr>
                <w:rFonts w:ascii="Times New Roman" w:hAnsi="Times New Roman" w:cs="Times New Roman" w:hint="eastAsia"/>
                <w:sz w:val="16"/>
                <w:szCs w:val="16"/>
              </w:rPr>
              <w:t>,</w:t>
            </w:r>
            <w:r w:rsidRPr="001E47AD">
              <w:rPr>
                <w:rFonts w:ascii="Times New Roman" w:hAnsi="Times New Roman" w:cs="Times New Roman"/>
                <w:sz w:val="16"/>
                <w:szCs w:val="16"/>
              </w:rPr>
              <w:t>185.494*** (255.476)</w:t>
            </w:r>
          </w:p>
        </w:tc>
        <w:tc>
          <w:tcPr>
            <w:tcW w:w="0" w:type="auto"/>
            <w:tcBorders>
              <w:top w:val="nil"/>
              <w:left w:val="nil"/>
              <w:bottom w:val="nil"/>
              <w:right w:val="nil"/>
            </w:tcBorders>
            <w:shd w:val="clear" w:color="auto" w:fill="auto"/>
            <w:vAlign w:val="bottom"/>
          </w:tcPr>
          <w:p w14:paraId="12364E9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2</w:t>
            </w:r>
            <w:r w:rsidR="00FE7F1A" w:rsidRPr="001E47AD">
              <w:rPr>
                <w:rFonts w:ascii="Times New Roman" w:hAnsi="Times New Roman" w:cs="Times New Roman" w:hint="eastAsia"/>
                <w:sz w:val="16"/>
                <w:szCs w:val="16"/>
              </w:rPr>
              <w:t>,</w:t>
            </w:r>
            <w:r w:rsidRPr="001E47AD">
              <w:rPr>
                <w:rFonts w:ascii="Times New Roman" w:hAnsi="Times New Roman" w:cs="Times New Roman"/>
                <w:sz w:val="16"/>
                <w:szCs w:val="16"/>
              </w:rPr>
              <w:t>206.930*** (254.474)</w:t>
            </w:r>
          </w:p>
        </w:tc>
      </w:tr>
      <w:tr w:rsidR="00393153" w:rsidRPr="001E47AD" w14:paraId="69ECA974" w14:textId="77777777" w:rsidTr="00631A8C">
        <w:tc>
          <w:tcPr>
            <w:tcW w:w="2448" w:type="dxa"/>
            <w:tcBorders>
              <w:top w:val="nil"/>
              <w:left w:val="nil"/>
              <w:bottom w:val="nil"/>
              <w:right w:val="nil"/>
            </w:tcBorders>
            <w:shd w:val="clear" w:color="auto" w:fill="auto"/>
            <w:vAlign w:val="center"/>
          </w:tcPr>
          <w:p w14:paraId="45BB3472" w14:textId="77777777" w:rsidR="00ED1BD9" w:rsidRPr="001E47AD" w:rsidRDefault="00ED1BD9" w:rsidP="00F5379D">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Geodemographic Feature</w:t>
            </w:r>
          </w:p>
        </w:tc>
        <w:tc>
          <w:tcPr>
            <w:tcW w:w="1839" w:type="dxa"/>
            <w:gridSpan w:val="2"/>
            <w:tcBorders>
              <w:top w:val="nil"/>
              <w:left w:val="nil"/>
              <w:bottom w:val="nil"/>
              <w:right w:val="nil"/>
            </w:tcBorders>
            <w:shd w:val="clear" w:color="auto" w:fill="auto"/>
            <w:vAlign w:val="bottom"/>
          </w:tcPr>
          <w:p w14:paraId="39D7E204"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2A067CCF"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55EEE45E" w14:textId="77777777" w:rsidR="00ED1BD9" w:rsidRPr="001E47AD" w:rsidRDefault="00ED1BD9" w:rsidP="00F5379D">
            <w:pPr>
              <w:contextualSpacing/>
              <w:jc w:val="right"/>
              <w:rPr>
                <w:rFonts w:ascii="Times New Roman" w:hAnsi="Times New Roman" w:cs="Times New Roman"/>
                <w:sz w:val="16"/>
                <w:szCs w:val="16"/>
              </w:rPr>
            </w:pPr>
          </w:p>
        </w:tc>
        <w:tc>
          <w:tcPr>
            <w:tcW w:w="0" w:type="auto"/>
            <w:tcBorders>
              <w:top w:val="nil"/>
              <w:left w:val="nil"/>
              <w:bottom w:val="nil"/>
              <w:right w:val="nil"/>
            </w:tcBorders>
            <w:shd w:val="clear" w:color="auto" w:fill="auto"/>
            <w:vAlign w:val="bottom"/>
          </w:tcPr>
          <w:p w14:paraId="48BBDBD0" w14:textId="77777777" w:rsidR="00ED1BD9" w:rsidRPr="001E47AD" w:rsidRDefault="00ED1BD9" w:rsidP="00F5379D">
            <w:pPr>
              <w:contextualSpacing/>
              <w:jc w:val="right"/>
              <w:rPr>
                <w:rFonts w:ascii="Times New Roman" w:hAnsi="Times New Roman" w:cs="Times New Roman"/>
                <w:sz w:val="16"/>
                <w:szCs w:val="16"/>
              </w:rPr>
            </w:pPr>
          </w:p>
        </w:tc>
      </w:tr>
      <w:tr w:rsidR="00393153" w:rsidRPr="001E47AD" w14:paraId="72146B8A" w14:textId="77777777" w:rsidTr="00631A8C">
        <w:tc>
          <w:tcPr>
            <w:tcW w:w="2448" w:type="dxa"/>
            <w:tcBorders>
              <w:top w:val="nil"/>
              <w:left w:val="nil"/>
              <w:bottom w:val="nil"/>
              <w:right w:val="nil"/>
            </w:tcBorders>
            <w:shd w:val="clear" w:color="auto" w:fill="auto"/>
            <w:vAlign w:val="center"/>
          </w:tcPr>
          <w:p w14:paraId="372DC0C0" w14:textId="77777777" w:rsidR="00ED1BD9" w:rsidRPr="001E47AD" w:rsidRDefault="00ED1BD9"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POP_DEN_COUNTY</m:t>
                </m:r>
              </m:oMath>
            </m:oMathPara>
          </w:p>
        </w:tc>
        <w:tc>
          <w:tcPr>
            <w:tcW w:w="1839" w:type="dxa"/>
            <w:gridSpan w:val="2"/>
            <w:tcBorders>
              <w:top w:val="nil"/>
              <w:left w:val="nil"/>
              <w:bottom w:val="nil"/>
              <w:right w:val="nil"/>
            </w:tcBorders>
            <w:shd w:val="clear" w:color="auto" w:fill="auto"/>
            <w:vAlign w:val="bottom"/>
          </w:tcPr>
          <w:p w14:paraId="71485805"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0.357*** (0.040)</w:t>
            </w:r>
          </w:p>
        </w:tc>
        <w:tc>
          <w:tcPr>
            <w:tcW w:w="0" w:type="auto"/>
            <w:tcBorders>
              <w:top w:val="nil"/>
              <w:left w:val="nil"/>
              <w:bottom w:val="nil"/>
              <w:right w:val="nil"/>
            </w:tcBorders>
            <w:shd w:val="clear" w:color="auto" w:fill="auto"/>
            <w:vAlign w:val="bottom"/>
          </w:tcPr>
          <w:p w14:paraId="7F65A296"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0.506*** (0.053)</w:t>
            </w:r>
          </w:p>
        </w:tc>
        <w:tc>
          <w:tcPr>
            <w:tcW w:w="0" w:type="auto"/>
            <w:tcBorders>
              <w:top w:val="nil"/>
              <w:left w:val="nil"/>
              <w:bottom w:val="nil"/>
              <w:right w:val="nil"/>
            </w:tcBorders>
            <w:shd w:val="clear" w:color="auto" w:fill="auto"/>
            <w:vAlign w:val="bottom"/>
          </w:tcPr>
          <w:p w14:paraId="791B4E8C"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-0.426*** (0.034)</w:t>
            </w:r>
          </w:p>
        </w:tc>
        <w:tc>
          <w:tcPr>
            <w:tcW w:w="0" w:type="auto"/>
            <w:tcBorders>
              <w:top w:val="nil"/>
              <w:left w:val="nil"/>
              <w:bottom w:val="nil"/>
              <w:right w:val="nil"/>
            </w:tcBorders>
            <w:shd w:val="clear" w:color="auto" w:fill="auto"/>
            <w:vAlign w:val="bottom"/>
          </w:tcPr>
          <w:p w14:paraId="27A14D04" w14:textId="77777777" w:rsidR="00ED1BD9" w:rsidRPr="001E47AD" w:rsidRDefault="00ED1BD9" w:rsidP="00F5379D">
            <w:pPr>
              <w:jc w:val="right"/>
              <w:rPr>
                <w:rFonts w:ascii="Times New Roman" w:hAnsi="Times New Roman" w:cs="Times New Roman"/>
                <w:sz w:val="16"/>
                <w:szCs w:val="16"/>
              </w:rPr>
            </w:pPr>
            <w:r w:rsidRPr="001E47AD">
              <w:rPr>
                <w:rFonts w:ascii="Times New Roman" w:hAnsi="Times New Roman" w:cs="Times New Roman"/>
                <w:sz w:val="16"/>
                <w:szCs w:val="16"/>
              </w:rPr>
              <w:t>-0.052 (0.049)</w:t>
            </w:r>
          </w:p>
        </w:tc>
      </w:tr>
      <w:tr w:rsidR="003F26EA" w:rsidRPr="001E47AD" w14:paraId="742EB508" w14:textId="77777777" w:rsidTr="00631A8C">
        <w:tc>
          <w:tcPr>
            <w:tcW w:w="2448" w:type="dxa"/>
            <w:tcBorders>
              <w:top w:val="nil"/>
              <w:left w:val="nil"/>
              <w:bottom w:val="nil"/>
              <w:right w:val="nil"/>
            </w:tcBorders>
            <w:shd w:val="clear" w:color="auto" w:fill="auto"/>
            <w:vAlign w:val="center"/>
          </w:tcPr>
          <w:p w14:paraId="0EDDB02B" w14:textId="13E04AD0" w:rsidR="003F26EA" w:rsidRPr="001E47AD" w:rsidRDefault="003F26EA" w:rsidP="00F5379D">
            <w:pPr>
              <w:contextualSpacing/>
              <w:rPr>
                <w:rFonts w:eastAsia="宋体"/>
                <w:sz w:val="16"/>
                <w:szCs w:val="16"/>
              </w:rPr>
            </w:pPr>
            <m:oMathPara>
              <m:oMathParaPr>
                <m:jc m:val="left"/>
              </m:oMathParaPr>
              <m:oMath>
                <m:r>
                  <m:rPr>
                    <m:sty m:val="p"/>
                  </m:rPr>
                  <w:rPr>
                    <w:rFonts w:ascii="Cambria Math" w:hAnsi="Cambria Math" w:cs="Times New Roman"/>
                    <w:sz w:val="16"/>
                    <w:szCs w:val="16"/>
                  </w:rPr>
                  <m:t>POP_DEN_STATE</m:t>
                </m:r>
              </m:oMath>
            </m:oMathPara>
          </w:p>
        </w:tc>
        <w:tc>
          <w:tcPr>
            <w:tcW w:w="1839" w:type="dxa"/>
            <w:gridSpan w:val="2"/>
            <w:tcBorders>
              <w:top w:val="nil"/>
              <w:left w:val="nil"/>
              <w:bottom w:val="nil"/>
              <w:right w:val="nil"/>
            </w:tcBorders>
            <w:shd w:val="clear" w:color="auto" w:fill="auto"/>
            <w:vAlign w:val="bottom"/>
          </w:tcPr>
          <w:p w14:paraId="69BC2A39" w14:textId="1EA2BC2C" w:rsidR="003F26EA" w:rsidRPr="001E47AD" w:rsidRDefault="003F26EA" w:rsidP="00F5379D">
            <w:pPr>
              <w:jc w:val="right"/>
              <w:rPr>
                <w:sz w:val="16"/>
                <w:szCs w:val="16"/>
              </w:rPr>
            </w:pPr>
            <w:r w:rsidRPr="001E47AD">
              <w:rPr>
                <w:rFonts w:ascii="Times New Roman" w:hAnsi="Times New Roman" w:cs="Times New Roman"/>
                <w:sz w:val="16"/>
                <w:szCs w:val="16"/>
              </w:rPr>
              <w:t>-0.969** (0.353)</w:t>
            </w:r>
          </w:p>
        </w:tc>
        <w:tc>
          <w:tcPr>
            <w:tcW w:w="0" w:type="auto"/>
            <w:tcBorders>
              <w:top w:val="nil"/>
              <w:left w:val="nil"/>
              <w:bottom w:val="nil"/>
              <w:right w:val="nil"/>
            </w:tcBorders>
            <w:shd w:val="clear" w:color="auto" w:fill="auto"/>
            <w:vAlign w:val="bottom"/>
          </w:tcPr>
          <w:p w14:paraId="72ACCD48" w14:textId="641996B5" w:rsidR="003F26EA" w:rsidRPr="001E47AD" w:rsidRDefault="003F26EA" w:rsidP="00F5379D">
            <w:pPr>
              <w:jc w:val="right"/>
              <w:rPr>
                <w:sz w:val="16"/>
                <w:szCs w:val="16"/>
              </w:rPr>
            </w:pPr>
            <w:r w:rsidRPr="001E47AD">
              <w:rPr>
                <w:rFonts w:ascii="Times New Roman" w:hAnsi="Times New Roman" w:cs="Times New Roman"/>
                <w:sz w:val="16"/>
                <w:szCs w:val="16"/>
              </w:rPr>
              <w:t>-1.918*** (0.355)</w:t>
            </w:r>
          </w:p>
        </w:tc>
        <w:tc>
          <w:tcPr>
            <w:tcW w:w="0" w:type="auto"/>
            <w:tcBorders>
              <w:top w:val="nil"/>
              <w:left w:val="nil"/>
              <w:bottom w:val="nil"/>
              <w:right w:val="nil"/>
            </w:tcBorders>
            <w:shd w:val="clear" w:color="auto" w:fill="auto"/>
            <w:vAlign w:val="bottom"/>
          </w:tcPr>
          <w:p w14:paraId="6A4C37AB" w14:textId="44B79CD5" w:rsidR="003F26EA" w:rsidRPr="001E47AD" w:rsidRDefault="003F26EA" w:rsidP="00F5379D">
            <w:pPr>
              <w:jc w:val="right"/>
              <w:rPr>
                <w:sz w:val="16"/>
                <w:szCs w:val="16"/>
              </w:rPr>
            </w:pPr>
            <w:r w:rsidRPr="001E47AD">
              <w:rPr>
                <w:rFonts w:ascii="Times New Roman" w:hAnsi="Times New Roman" w:cs="Times New Roman"/>
                <w:sz w:val="16"/>
                <w:szCs w:val="16"/>
              </w:rPr>
              <w:t>-2.590*** (0.313)</w:t>
            </w:r>
          </w:p>
        </w:tc>
        <w:tc>
          <w:tcPr>
            <w:tcW w:w="0" w:type="auto"/>
            <w:tcBorders>
              <w:top w:val="nil"/>
              <w:left w:val="nil"/>
              <w:bottom w:val="nil"/>
              <w:right w:val="nil"/>
            </w:tcBorders>
            <w:shd w:val="clear" w:color="auto" w:fill="auto"/>
            <w:vAlign w:val="bottom"/>
          </w:tcPr>
          <w:p w14:paraId="09008659" w14:textId="5308739D" w:rsidR="003F26EA" w:rsidRPr="001E47AD" w:rsidRDefault="003F26EA" w:rsidP="00F5379D">
            <w:pPr>
              <w:jc w:val="right"/>
              <w:rPr>
                <w:sz w:val="16"/>
                <w:szCs w:val="16"/>
              </w:rPr>
            </w:pPr>
            <w:r w:rsidRPr="001E47AD">
              <w:rPr>
                <w:rFonts w:ascii="Times New Roman" w:hAnsi="Times New Roman" w:cs="Times New Roman"/>
                <w:sz w:val="16"/>
                <w:szCs w:val="16"/>
              </w:rPr>
              <w:t>-3.433*** (0.315)</w:t>
            </w:r>
          </w:p>
        </w:tc>
      </w:tr>
      <w:tr w:rsidR="003F26EA" w:rsidRPr="001E47AD" w14:paraId="7C82DDF4" w14:textId="77777777" w:rsidTr="00631A8C">
        <w:tc>
          <w:tcPr>
            <w:tcW w:w="2448" w:type="dxa"/>
            <w:tcBorders>
              <w:top w:val="nil"/>
              <w:left w:val="nil"/>
              <w:bottom w:val="nil"/>
              <w:right w:val="nil"/>
            </w:tcBorders>
            <w:shd w:val="clear" w:color="auto" w:fill="auto"/>
            <w:vAlign w:val="center"/>
          </w:tcPr>
          <w:p w14:paraId="146E8C37" w14:textId="77777777" w:rsidR="003F26EA" w:rsidRPr="001E47AD" w:rsidRDefault="003F26EA"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LAND_AREA_COUNTY</m:t>
                </m:r>
              </m:oMath>
            </m:oMathPara>
          </w:p>
        </w:tc>
        <w:tc>
          <w:tcPr>
            <w:tcW w:w="1839" w:type="dxa"/>
            <w:gridSpan w:val="2"/>
            <w:tcBorders>
              <w:top w:val="nil"/>
              <w:left w:val="nil"/>
              <w:bottom w:val="nil"/>
              <w:right w:val="nil"/>
            </w:tcBorders>
            <w:shd w:val="clear" w:color="auto" w:fill="auto"/>
            <w:vAlign w:val="bottom"/>
          </w:tcPr>
          <w:p w14:paraId="7005CFDA"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-4.638*** (0.617)</w:t>
            </w:r>
          </w:p>
        </w:tc>
        <w:tc>
          <w:tcPr>
            <w:tcW w:w="0" w:type="auto"/>
            <w:tcBorders>
              <w:top w:val="nil"/>
              <w:left w:val="nil"/>
              <w:bottom w:val="nil"/>
              <w:right w:val="nil"/>
            </w:tcBorders>
            <w:shd w:val="clear" w:color="auto" w:fill="auto"/>
            <w:vAlign w:val="bottom"/>
          </w:tcPr>
          <w:p w14:paraId="2A03CF0A"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-0.188 (0.632)</w:t>
            </w:r>
          </w:p>
        </w:tc>
        <w:tc>
          <w:tcPr>
            <w:tcW w:w="0" w:type="auto"/>
            <w:tcBorders>
              <w:top w:val="nil"/>
              <w:left w:val="nil"/>
              <w:bottom w:val="nil"/>
              <w:right w:val="nil"/>
            </w:tcBorders>
            <w:shd w:val="clear" w:color="auto" w:fill="auto"/>
            <w:vAlign w:val="bottom"/>
          </w:tcPr>
          <w:p w14:paraId="6F2A7B63"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1.786** (0.552)</w:t>
            </w:r>
          </w:p>
        </w:tc>
        <w:tc>
          <w:tcPr>
            <w:tcW w:w="0" w:type="auto"/>
            <w:tcBorders>
              <w:top w:val="nil"/>
              <w:left w:val="nil"/>
              <w:bottom w:val="nil"/>
              <w:right w:val="nil"/>
            </w:tcBorders>
            <w:shd w:val="clear" w:color="auto" w:fill="auto"/>
            <w:vAlign w:val="bottom"/>
          </w:tcPr>
          <w:p w14:paraId="4BCC6D1D"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4.581*** (0.567)</w:t>
            </w:r>
          </w:p>
        </w:tc>
      </w:tr>
      <w:tr w:rsidR="003F26EA" w:rsidRPr="001E47AD" w14:paraId="56269D01" w14:textId="77777777" w:rsidTr="00631A8C">
        <w:tc>
          <w:tcPr>
            <w:tcW w:w="2448" w:type="dxa"/>
            <w:tcBorders>
              <w:top w:val="nil"/>
              <w:left w:val="nil"/>
              <w:bottom w:val="nil"/>
              <w:right w:val="nil"/>
            </w:tcBorders>
            <w:shd w:val="clear" w:color="auto" w:fill="auto"/>
            <w:vAlign w:val="center"/>
          </w:tcPr>
          <w:p w14:paraId="28E73D1E" w14:textId="55FEE200" w:rsidR="003F26EA" w:rsidRPr="001E47AD" w:rsidRDefault="003F26EA" w:rsidP="00F5379D">
            <w:pPr>
              <w:contextualSpacing/>
              <w:rPr>
                <w:rFonts w:eastAsia="宋体"/>
                <w:sz w:val="16"/>
                <w:szCs w:val="16"/>
              </w:rPr>
            </w:pPr>
            <m:oMathPara>
              <m:oMathParaPr>
                <m:jc m:val="left"/>
              </m:oMathParaPr>
              <m:oMath>
                <m:r>
                  <m:rPr>
                    <m:sty m:val="p"/>
                  </m:rPr>
                  <w:rPr>
                    <w:rFonts w:ascii="Cambria Math" w:hAnsi="Cambria Math" w:cs="Times New Roman"/>
                    <w:sz w:val="16"/>
                    <w:szCs w:val="16"/>
                  </w:rPr>
                  <m:t>LAND_AREA_STATE</m:t>
                </m:r>
              </m:oMath>
            </m:oMathPara>
          </w:p>
        </w:tc>
        <w:tc>
          <w:tcPr>
            <w:tcW w:w="1839" w:type="dxa"/>
            <w:gridSpan w:val="2"/>
            <w:tcBorders>
              <w:top w:val="nil"/>
              <w:left w:val="nil"/>
              <w:bottom w:val="nil"/>
              <w:right w:val="nil"/>
            </w:tcBorders>
            <w:shd w:val="clear" w:color="auto" w:fill="auto"/>
            <w:vAlign w:val="bottom"/>
          </w:tcPr>
          <w:p w14:paraId="4A206723" w14:textId="2E310BBE" w:rsidR="003F26EA" w:rsidRPr="001E47AD" w:rsidRDefault="003F26EA" w:rsidP="00F5379D">
            <w:pPr>
              <w:jc w:val="right"/>
              <w:rPr>
                <w:sz w:val="16"/>
                <w:szCs w:val="16"/>
              </w:rPr>
            </w:pPr>
            <w:r w:rsidRPr="001E47AD">
              <w:rPr>
                <w:rFonts w:ascii="Times New Roman" w:hAnsi="Times New Roman" w:cs="Times New Roman"/>
                <w:sz w:val="16"/>
                <w:szCs w:val="16"/>
              </w:rPr>
              <w:t>-0.854*** (0.033)</w:t>
            </w:r>
          </w:p>
        </w:tc>
        <w:tc>
          <w:tcPr>
            <w:tcW w:w="0" w:type="auto"/>
            <w:tcBorders>
              <w:top w:val="nil"/>
              <w:left w:val="nil"/>
              <w:bottom w:val="nil"/>
              <w:right w:val="nil"/>
            </w:tcBorders>
            <w:shd w:val="clear" w:color="auto" w:fill="auto"/>
            <w:vAlign w:val="bottom"/>
          </w:tcPr>
          <w:p w14:paraId="58218F3E" w14:textId="2A9C4786" w:rsidR="003F26EA" w:rsidRPr="001E47AD" w:rsidRDefault="003F26EA" w:rsidP="00F5379D">
            <w:pPr>
              <w:jc w:val="right"/>
              <w:rPr>
                <w:sz w:val="16"/>
                <w:szCs w:val="16"/>
              </w:rPr>
            </w:pPr>
            <w:r w:rsidRPr="001E47AD">
              <w:rPr>
                <w:rFonts w:ascii="Times New Roman" w:hAnsi="Times New Roman" w:cs="Times New Roman"/>
                <w:sz w:val="16"/>
                <w:szCs w:val="16"/>
              </w:rPr>
              <w:t>-0.896*** (0.033)</w:t>
            </w:r>
          </w:p>
        </w:tc>
        <w:tc>
          <w:tcPr>
            <w:tcW w:w="0" w:type="auto"/>
            <w:tcBorders>
              <w:top w:val="nil"/>
              <w:left w:val="nil"/>
              <w:bottom w:val="nil"/>
              <w:right w:val="nil"/>
            </w:tcBorders>
            <w:shd w:val="clear" w:color="auto" w:fill="auto"/>
            <w:vAlign w:val="bottom"/>
          </w:tcPr>
          <w:p w14:paraId="1A811C16" w14:textId="4870AECE" w:rsidR="003F26EA" w:rsidRPr="001E47AD" w:rsidRDefault="003F26EA" w:rsidP="00F5379D">
            <w:pPr>
              <w:jc w:val="right"/>
              <w:rPr>
                <w:sz w:val="16"/>
                <w:szCs w:val="16"/>
              </w:rPr>
            </w:pPr>
            <w:r w:rsidRPr="001E47AD">
              <w:rPr>
                <w:rFonts w:ascii="Times New Roman" w:hAnsi="Times New Roman" w:cs="Times New Roman"/>
                <w:sz w:val="16"/>
                <w:szCs w:val="16"/>
              </w:rPr>
              <w:t>-0.684*** (0.029)</w:t>
            </w:r>
          </w:p>
        </w:tc>
        <w:tc>
          <w:tcPr>
            <w:tcW w:w="0" w:type="auto"/>
            <w:tcBorders>
              <w:top w:val="nil"/>
              <w:left w:val="nil"/>
              <w:bottom w:val="nil"/>
              <w:right w:val="nil"/>
            </w:tcBorders>
            <w:shd w:val="clear" w:color="auto" w:fill="auto"/>
            <w:vAlign w:val="bottom"/>
          </w:tcPr>
          <w:p w14:paraId="661F344F" w14:textId="25EEE77C" w:rsidR="003F26EA" w:rsidRPr="001E47AD" w:rsidRDefault="003F26EA" w:rsidP="00F5379D">
            <w:pPr>
              <w:jc w:val="right"/>
              <w:rPr>
                <w:sz w:val="16"/>
                <w:szCs w:val="16"/>
              </w:rPr>
            </w:pPr>
            <w:r w:rsidRPr="001E47AD">
              <w:rPr>
                <w:rFonts w:ascii="Times New Roman" w:hAnsi="Times New Roman" w:cs="Times New Roman"/>
                <w:sz w:val="16"/>
                <w:szCs w:val="16"/>
              </w:rPr>
              <w:t>-0.620*** (0.030)</w:t>
            </w:r>
          </w:p>
        </w:tc>
      </w:tr>
      <w:tr w:rsidR="003F26EA" w:rsidRPr="001E47AD" w14:paraId="0C12B9AB" w14:textId="77777777" w:rsidTr="00631A8C">
        <w:tc>
          <w:tcPr>
            <w:tcW w:w="2448" w:type="dxa"/>
            <w:tcBorders>
              <w:top w:val="nil"/>
              <w:left w:val="nil"/>
              <w:bottom w:val="nil"/>
              <w:right w:val="nil"/>
            </w:tcBorders>
            <w:shd w:val="clear" w:color="auto" w:fill="auto"/>
            <w:vAlign w:val="center"/>
          </w:tcPr>
          <w:p w14:paraId="4389D379" w14:textId="77777777" w:rsidR="003F26EA" w:rsidRPr="001E47AD" w:rsidRDefault="003F26EA"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WATER_AREA_COUNTY</m:t>
                </m:r>
              </m:oMath>
            </m:oMathPara>
          </w:p>
        </w:tc>
        <w:tc>
          <w:tcPr>
            <w:tcW w:w="1839" w:type="dxa"/>
            <w:gridSpan w:val="2"/>
            <w:tcBorders>
              <w:top w:val="nil"/>
              <w:left w:val="nil"/>
              <w:bottom w:val="nil"/>
              <w:right w:val="nil"/>
            </w:tcBorders>
            <w:shd w:val="clear" w:color="auto" w:fill="auto"/>
            <w:vAlign w:val="bottom"/>
          </w:tcPr>
          <w:p w14:paraId="1982B049"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1.541 (1.293)</w:t>
            </w:r>
          </w:p>
        </w:tc>
        <w:tc>
          <w:tcPr>
            <w:tcW w:w="0" w:type="auto"/>
            <w:tcBorders>
              <w:top w:val="nil"/>
              <w:left w:val="nil"/>
              <w:bottom w:val="nil"/>
              <w:right w:val="nil"/>
            </w:tcBorders>
            <w:shd w:val="clear" w:color="auto" w:fill="auto"/>
            <w:vAlign w:val="bottom"/>
          </w:tcPr>
          <w:p w14:paraId="45B1A681"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-10.499*** (1.289)</w:t>
            </w:r>
          </w:p>
        </w:tc>
        <w:tc>
          <w:tcPr>
            <w:tcW w:w="0" w:type="auto"/>
            <w:tcBorders>
              <w:top w:val="nil"/>
              <w:left w:val="nil"/>
              <w:bottom w:val="nil"/>
              <w:right w:val="nil"/>
            </w:tcBorders>
            <w:shd w:val="clear" w:color="auto" w:fill="auto"/>
            <w:vAlign w:val="bottom"/>
          </w:tcPr>
          <w:p w14:paraId="4B4D6F5D"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-0.046 (1.134)</w:t>
            </w:r>
          </w:p>
        </w:tc>
        <w:tc>
          <w:tcPr>
            <w:tcW w:w="0" w:type="auto"/>
            <w:tcBorders>
              <w:top w:val="nil"/>
              <w:left w:val="nil"/>
              <w:bottom w:val="nil"/>
              <w:right w:val="nil"/>
            </w:tcBorders>
            <w:shd w:val="clear" w:color="auto" w:fill="auto"/>
            <w:vAlign w:val="bottom"/>
          </w:tcPr>
          <w:p w14:paraId="74B62E14"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-0.534 (1.175)</w:t>
            </w:r>
          </w:p>
        </w:tc>
      </w:tr>
      <w:tr w:rsidR="003F26EA" w:rsidRPr="001E47AD" w14:paraId="795DAE27" w14:textId="77777777" w:rsidTr="00631A8C">
        <w:tc>
          <w:tcPr>
            <w:tcW w:w="2448" w:type="dxa"/>
            <w:tcBorders>
              <w:top w:val="nil"/>
              <w:left w:val="nil"/>
              <w:bottom w:val="nil"/>
              <w:right w:val="nil"/>
            </w:tcBorders>
            <w:shd w:val="clear" w:color="auto" w:fill="auto"/>
            <w:vAlign w:val="center"/>
          </w:tcPr>
          <w:p w14:paraId="00E52FAD" w14:textId="77777777" w:rsidR="003F26EA" w:rsidRPr="001E47AD" w:rsidRDefault="003F26EA"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WATER_AREA_STATE</m:t>
                </m:r>
              </m:oMath>
            </m:oMathPara>
          </w:p>
        </w:tc>
        <w:tc>
          <w:tcPr>
            <w:tcW w:w="1839" w:type="dxa"/>
            <w:gridSpan w:val="2"/>
            <w:tcBorders>
              <w:top w:val="nil"/>
              <w:left w:val="nil"/>
              <w:bottom w:val="nil"/>
              <w:right w:val="nil"/>
            </w:tcBorders>
            <w:shd w:val="clear" w:color="auto" w:fill="auto"/>
            <w:vAlign w:val="bottom"/>
          </w:tcPr>
          <w:p w14:paraId="7362C2AE"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0.564*** (0.136)</w:t>
            </w:r>
          </w:p>
        </w:tc>
        <w:tc>
          <w:tcPr>
            <w:tcW w:w="0" w:type="auto"/>
            <w:tcBorders>
              <w:top w:val="nil"/>
              <w:left w:val="nil"/>
              <w:bottom w:val="nil"/>
              <w:right w:val="nil"/>
            </w:tcBorders>
            <w:shd w:val="clear" w:color="auto" w:fill="auto"/>
            <w:vAlign w:val="bottom"/>
          </w:tcPr>
          <w:p w14:paraId="2ED38E51"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1.679*** (0.150)</w:t>
            </w:r>
          </w:p>
        </w:tc>
        <w:tc>
          <w:tcPr>
            <w:tcW w:w="0" w:type="auto"/>
            <w:tcBorders>
              <w:top w:val="nil"/>
              <w:left w:val="nil"/>
              <w:bottom w:val="nil"/>
              <w:right w:val="nil"/>
            </w:tcBorders>
            <w:shd w:val="clear" w:color="auto" w:fill="auto"/>
            <w:vAlign w:val="bottom"/>
          </w:tcPr>
          <w:p w14:paraId="0507773F"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1.117*** (0.118)</w:t>
            </w:r>
          </w:p>
        </w:tc>
        <w:tc>
          <w:tcPr>
            <w:tcW w:w="0" w:type="auto"/>
            <w:tcBorders>
              <w:top w:val="nil"/>
              <w:left w:val="nil"/>
              <w:bottom w:val="nil"/>
              <w:right w:val="nil"/>
            </w:tcBorders>
            <w:shd w:val="clear" w:color="auto" w:fill="auto"/>
            <w:vAlign w:val="bottom"/>
          </w:tcPr>
          <w:p w14:paraId="0A7659BF"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0.652*** (0.138)</w:t>
            </w:r>
          </w:p>
        </w:tc>
      </w:tr>
      <w:tr w:rsidR="003F26EA" w:rsidRPr="001E47AD" w14:paraId="63B030D6" w14:textId="77777777" w:rsidTr="00631A8C">
        <w:tc>
          <w:tcPr>
            <w:tcW w:w="2448" w:type="dxa"/>
            <w:tcBorders>
              <w:top w:val="nil"/>
              <w:left w:val="nil"/>
              <w:bottom w:val="single" w:sz="4" w:space="0" w:color="auto"/>
              <w:right w:val="nil"/>
            </w:tcBorders>
            <w:shd w:val="clear" w:color="auto" w:fill="auto"/>
            <w:vAlign w:val="center"/>
          </w:tcPr>
          <w:p w14:paraId="19EF1019" w14:textId="77777777" w:rsidR="003F26EA" w:rsidRPr="001E47AD" w:rsidRDefault="003F26EA"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CONSTANT</m:t>
                </m:r>
              </m:oMath>
            </m:oMathPara>
          </w:p>
        </w:tc>
        <w:tc>
          <w:tcPr>
            <w:tcW w:w="1839" w:type="dxa"/>
            <w:gridSpan w:val="2"/>
            <w:tcBorders>
              <w:top w:val="nil"/>
              <w:left w:val="nil"/>
              <w:bottom w:val="single" w:sz="4" w:space="0" w:color="auto"/>
              <w:right w:val="nil"/>
            </w:tcBorders>
            <w:shd w:val="clear" w:color="auto" w:fill="auto"/>
            <w:vAlign w:val="bottom"/>
          </w:tcPr>
          <w:p w14:paraId="0349415D"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-439.324*** (33.618)</w:t>
            </w:r>
          </w:p>
        </w:tc>
        <w:tc>
          <w:tcPr>
            <w:tcW w:w="0" w:type="auto"/>
            <w:tcBorders>
              <w:top w:val="nil"/>
              <w:left w:val="nil"/>
              <w:bottom w:val="single" w:sz="4" w:space="0" w:color="auto"/>
              <w:right w:val="nil"/>
            </w:tcBorders>
            <w:shd w:val="clear" w:color="auto" w:fill="auto"/>
            <w:vAlign w:val="bottom"/>
          </w:tcPr>
          <w:p w14:paraId="2C5D3BB1"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-1082.873*** (38.890)</w:t>
            </w:r>
          </w:p>
        </w:tc>
        <w:tc>
          <w:tcPr>
            <w:tcW w:w="0" w:type="auto"/>
            <w:tcBorders>
              <w:top w:val="nil"/>
              <w:left w:val="nil"/>
              <w:bottom w:val="single" w:sz="4" w:space="0" w:color="auto"/>
              <w:right w:val="nil"/>
            </w:tcBorders>
            <w:shd w:val="clear" w:color="auto" w:fill="auto"/>
            <w:vAlign w:val="bottom"/>
          </w:tcPr>
          <w:p w14:paraId="0FC7C3E8"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-70.532 (53.625)</w:t>
            </w:r>
          </w:p>
        </w:tc>
        <w:tc>
          <w:tcPr>
            <w:tcW w:w="0" w:type="auto"/>
            <w:tcBorders>
              <w:top w:val="nil"/>
              <w:left w:val="nil"/>
              <w:bottom w:val="single" w:sz="4" w:space="0" w:color="auto"/>
              <w:right w:val="nil"/>
            </w:tcBorders>
            <w:shd w:val="clear" w:color="auto" w:fill="auto"/>
            <w:vAlign w:val="bottom"/>
          </w:tcPr>
          <w:p w14:paraId="7DB35426" w14:textId="77777777" w:rsidR="003F26EA" w:rsidRPr="001E47AD" w:rsidRDefault="003F26EA" w:rsidP="00F5379D">
            <w:pPr>
              <w:jc w:val="right"/>
              <w:rPr>
                <w:rFonts w:ascii="Times New Roman" w:hAnsi="Times New Roman" w:cs="Times New Roman"/>
                <w:sz w:val="16"/>
                <w:szCs w:val="16"/>
              </w:rPr>
            </w:pPr>
            <w:r w:rsidRPr="001E47AD">
              <w:rPr>
                <w:rFonts w:ascii="Times New Roman" w:hAnsi="Times New Roman" w:cs="Times New Roman"/>
                <w:sz w:val="16"/>
                <w:szCs w:val="16"/>
              </w:rPr>
              <w:t>-496.974*** (60.041)</w:t>
            </w:r>
          </w:p>
        </w:tc>
      </w:tr>
      <w:tr w:rsidR="003F26EA" w:rsidRPr="001E47AD" w14:paraId="25C14A01" w14:textId="77777777" w:rsidTr="00631A8C">
        <w:tc>
          <w:tcPr>
            <w:tcW w:w="2448" w:type="dxa"/>
            <w:tcBorders>
              <w:top w:val="single" w:sz="4" w:space="0" w:color="auto"/>
              <w:bottom w:val="single" w:sz="4" w:space="0" w:color="auto"/>
              <w:right w:val="nil"/>
            </w:tcBorders>
            <w:vAlign w:val="center"/>
          </w:tcPr>
          <w:p w14:paraId="794E6578" w14:textId="77777777" w:rsidR="003F26EA" w:rsidRPr="001E47AD" w:rsidRDefault="003F26EA"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Observations</m:t>
                </m:r>
              </m:oMath>
            </m:oMathPara>
          </w:p>
        </w:tc>
        <w:tc>
          <w:tcPr>
            <w:tcW w:w="1839" w:type="dxa"/>
            <w:gridSpan w:val="2"/>
            <w:tcBorders>
              <w:top w:val="single" w:sz="4" w:space="0" w:color="auto"/>
              <w:left w:val="nil"/>
              <w:bottom w:val="single" w:sz="4" w:space="0" w:color="auto"/>
              <w:right w:val="nil"/>
            </w:tcBorders>
            <w:shd w:val="clear" w:color="auto" w:fill="auto"/>
            <w:vAlign w:val="bottom"/>
          </w:tcPr>
          <w:p w14:paraId="4F97A3BB"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38,418</w:t>
            </w:r>
          </w:p>
        </w:tc>
        <w:tc>
          <w:tcPr>
            <w:tcW w:w="0" w:type="auto"/>
            <w:tcBorders>
              <w:top w:val="single" w:sz="4" w:space="0" w:color="auto"/>
              <w:left w:val="nil"/>
              <w:bottom w:val="single" w:sz="4" w:space="0" w:color="auto"/>
              <w:right w:val="nil"/>
            </w:tcBorders>
            <w:shd w:val="clear" w:color="auto" w:fill="auto"/>
            <w:vAlign w:val="bottom"/>
          </w:tcPr>
          <w:p w14:paraId="07710F95"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38,418</w:t>
            </w:r>
          </w:p>
        </w:tc>
        <w:tc>
          <w:tcPr>
            <w:tcW w:w="0" w:type="auto"/>
            <w:tcBorders>
              <w:top w:val="single" w:sz="4" w:space="0" w:color="auto"/>
              <w:left w:val="nil"/>
              <w:bottom w:val="single" w:sz="4" w:space="0" w:color="auto"/>
              <w:right w:val="nil"/>
            </w:tcBorders>
            <w:shd w:val="clear" w:color="auto" w:fill="auto"/>
            <w:vAlign w:val="bottom"/>
          </w:tcPr>
          <w:p w14:paraId="176F8805"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38,418</w:t>
            </w:r>
          </w:p>
        </w:tc>
        <w:tc>
          <w:tcPr>
            <w:tcW w:w="0" w:type="auto"/>
            <w:tcBorders>
              <w:top w:val="single" w:sz="4" w:space="0" w:color="auto"/>
              <w:left w:val="nil"/>
              <w:bottom w:val="single" w:sz="4" w:space="0" w:color="auto"/>
            </w:tcBorders>
            <w:shd w:val="clear" w:color="auto" w:fill="auto"/>
            <w:vAlign w:val="bottom"/>
          </w:tcPr>
          <w:p w14:paraId="2CC1E6D5"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38,418</w:t>
            </w:r>
          </w:p>
        </w:tc>
      </w:tr>
      <w:tr w:rsidR="003F26EA" w:rsidRPr="001E47AD" w14:paraId="66E25226" w14:textId="77777777" w:rsidTr="00631A8C">
        <w:tc>
          <w:tcPr>
            <w:tcW w:w="2448" w:type="dxa"/>
            <w:tcBorders>
              <w:top w:val="single" w:sz="4" w:space="0" w:color="auto"/>
              <w:bottom w:val="single" w:sz="4" w:space="0" w:color="auto"/>
              <w:right w:val="nil"/>
            </w:tcBorders>
            <w:vAlign w:val="center"/>
          </w:tcPr>
          <w:p w14:paraId="0340CCED" w14:textId="77777777" w:rsidR="003F26EA" w:rsidRPr="001E47AD" w:rsidRDefault="003F26EA" w:rsidP="00F5379D">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F</m:t>
                </m:r>
              </m:oMath>
            </m:oMathPara>
          </w:p>
        </w:tc>
        <w:tc>
          <w:tcPr>
            <w:tcW w:w="1839" w:type="dxa"/>
            <w:gridSpan w:val="2"/>
            <w:tcBorders>
              <w:top w:val="single" w:sz="4" w:space="0" w:color="auto"/>
              <w:left w:val="nil"/>
              <w:bottom w:val="single" w:sz="4" w:space="0" w:color="auto"/>
              <w:right w:val="nil"/>
            </w:tcBorders>
            <w:shd w:val="clear" w:color="auto" w:fill="auto"/>
            <w:vAlign w:val="bottom"/>
          </w:tcPr>
          <w:p w14:paraId="68025B4A"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185.35***</w:t>
            </w:r>
          </w:p>
        </w:tc>
        <w:tc>
          <w:tcPr>
            <w:tcW w:w="0" w:type="auto"/>
            <w:tcBorders>
              <w:top w:val="single" w:sz="4" w:space="0" w:color="auto"/>
              <w:left w:val="nil"/>
              <w:bottom w:val="single" w:sz="4" w:space="0" w:color="auto"/>
              <w:right w:val="nil"/>
            </w:tcBorders>
            <w:shd w:val="clear" w:color="auto" w:fill="auto"/>
            <w:vAlign w:val="bottom"/>
          </w:tcPr>
          <w:p w14:paraId="3D7512C2"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204.16***</w:t>
            </w:r>
          </w:p>
        </w:tc>
        <w:tc>
          <w:tcPr>
            <w:tcW w:w="0" w:type="auto"/>
            <w:tcBorders>
              <w:top w:val="single" w:sz="4" w:space="0" w:color="auto"/>
              <w:left w:val="nil"/>
              <w:bottom w:val="single" w:sz="4" w:space="0" w:color="auto"/>
              <w:right w:val="nil"/>
            </w:tcBorders>
            <w:shd w:val="clear" w:color="auto" w:fill="auto"/>
            <w:vAlign w:val="bottom"/>
          </w:tcPr>
          <w:p w14:paraId="4F5D6408"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377.25***</w:t>
            </w:r>
          </w:p>
        </w:tc>
        <w:tc>
          <w:tcPr>
            <w:tcW w:w="0" w:type="auto"/>
            <w:tcBorders>
              <w:top w:val="single" w:sz="4" w:space="0" w:color="auto"/>
              <w:left w:val="nil"/>
              <w:bottom w:val="single" w:sz="4" w:space="0" w:color="auto"/>
            </w:tcBorders>
            <w:shd w:val="clear" w:color="auto" w:fill="auto"/>
            <w:vAlign w:val="bottom"/>
          </w:tcPr>
          <w:p w14:paraId="4CD372A7" w14:textId="77777777" w:rsidR="003F26EA" w:rsidRPr="001E47AD" w:rsidRDefault="003F26EA" w:rsidP="00F5379D">
            <w:pPr>
              <w:contextualSpacing/>
              <w:jc w:val="right"/>
              <w:rPr>
                <w:rFonts w:ascii="Times New Roman" w:hAnsi="Times New Roman" w:cs="Times New Roman"/>
                <w:sz w:val="16"/>
                <w:szCs w:val="16"/>
              </w:rPr>
            </w:pPr>
            <w:r w:rsidRPr="001E47AD">
              <w:rPr>
                <w:rFonts w:ascii="Times New Roman" w:hAnsi="Times New Roman" w:cs="Times New Roman"/>
                <w:sz w:val="16"/>
                <w:szCs w:val="16"/>
              </w:rPr>
              <w:t>349.87***</w:t>
            </w:r>
          </w:p>
        </w:tc>
      </w:tr>
    </w:tbl>
    <w:p w14:paraId="137661B6" w14:textId="57A91743" w:rsidR="009312A2" w:rsidRPr="001E47AD" w:rsidRDefault="009312A2" w:rsidP="00ED1BD9">
      <w:pPr>
        <w:tabs>
          <w:tab w:val="left" w:pos="1878"/>
        </w:tabs>
        <w:jc w:val="both"/>
        <w:rPr>
          <w:sz w:val="20"/>
          <w:szCs w:val="20"/>
          <w:lang w:eastAsia="zh-CN"/>
        </w:rPr>
      </w:pPr>
      <w:r w:rsidRPr="001E47AD">
        <w:rPr>
          <w:sz w:val="20"/>
          <w:szCs w:val="20"/>
        </w:rPr>
        <w:t xml:space="preserve">Note: </w:t>
      </w:r>
      <w:r w:rsidR="00BF6089" w:rsidRPr="001E47AD">
        <w:rPr>
          <w:sz w:val="20"/>
          <w:szCs w:val="20"/>
        </w:rPr>
        <w:t xml:space="preserve">The table shows estimated coefficients. </w:t>
      </w:r>
      <w:r w:rsidRPr="001E47AD">
        <w:rPr>
          <w:sz w:val="20"/>
          <w:szCs w:val="20"/>
        </w:rPr>
        <w:t>Standard errors in parentheses. * p&lt;0.1, ** p&lt;0.01, *** p&lt;0.001.</w:t>
      </w:r>
    </w:p>
    <w:p w14:paraId="3F8F37CB" w14:textId="77777777" w:rsidR="00CB2A5D" w:rsidRPr="001E47AD" w:rsidRDefault="00CB2A5D" w:rsidP="00A1678F">
      <w:pPr>
        <w:pStyle w:val="Heading3"/>
        <w:numPr>
          <w:ilvl w:val="2"/>
          <w:numId w:val="23"/>
        </w:numPr>
        <w:spacing w:before="120" w:after="120"/>
        <w:contextualSpacing/>
        <w:rPr>
          <w:sz w:val="22"/>
          <w:szCs w:val="22"/>
        </w:rPr>
      </w:pPr>
      <w:bookmarkStart w:id="43" w:name="_Toc520380478"/>
      <w:r w:rsidRPr="001E47AD">
        <w:rPr>
          <w:sz w:val="22"/>
          <w:szCs w:val="22"/>
        </w:rPr>
        <w:t>Supply-Side Characteristics</w:t>
      </w:r>
      <w:bookmarkEnd w:id="43"/>
    </w:p>
    <w:p w14:paraId="745C34D2" w14:textId="14834332" w:rsidR="007F023D" w:rsidRPr="001E47AD" w:rsidRDefault="00B4149A" w:rsidP="00980BAB">
      <w:pPr>
        <w:spacing w:before="120" w:after="120" w:line="480" w:lineRule="auto"/>
        <w:contextualSpacing/>
        <w:jc w:val="both"/>
        <w:rPr>
          <w:sz w:val="22"/>
          <w:szCs w:val="22"/>
        </w:rPr>
      </w:pPr>
      <w:r w:rsidRPr="001E47AD">
        <w:rPr>
          <w:sz w:val="22"/>
          <w:szCs w:val="22"/>
        </w:rPr>
        <w:t>We first examine the linkage between intra-regional store network and consumer stockpiling propensity. For an individual store, a broader intra-regional store net</w:t>
      </w:r>
      <w:r w:rsidR="00705861" w:rsidRPr="001E47AD">
        <w:rPr>
          <w:sz w:val="22"/>
          <w:szCs w:val="22"/>
        </w:rPr>
        <w:t>work</w:t>
      </w:r>
      <w:r w:rsidRPr="001E47AD">
        <w:rPr>
          <w:sz w:val="22"/>
          <w:szCs w:val="22"/>
        </w:rPr>
        <w:t xml:space="preserve"> may relate to more stockpiling due to store desirability</w:t>
      </w:r>
      <w:r w:rsidR="00705861" w:rsidRPr="001E47AD">
        <w:rPr>
          <w:sz w:val="22"/>
          <w:szCs w:val="22"/>
        </w:rPr>
        <w:t xml:space="preserve"> (e.g., brand name recognition)</w:t>
      </w:r>
      <w:r w:rsidRPr="001E47AD">
        <w:rPr>
          <w:sz w:val="22"/>
          <w:szCs w:val="22"/>
        </w:rPr>
        <w:t xml:space="preserve"> or</w:t>
      </w:r>
      <w:r w:rsidR="00C34C66" w:rsidRPr="001E47AD">
        <w:rPr>
          <w:sz w:val="22"/>
          <w:szCs w:val="22"/>
        </w:rPr>
        <w:t xml:space="preserve"> to</w:t>
      </w:r>
      <w:r w:rsidRPr="001E47AD">
        <w:rPr>
          <w:sz w:val="22"/>
          <w:szCs w:val="22"/>
        </w:rPr>
        <w:t xml:space="preserve"> less stockpiling due to </w:t>
      </w:r>
      <w:r w:rsidR="005C1A94" w:rsidRPr="001E47AD">
        <w:rPr>
          <w:sz w:val="22"/>
          <w:szCs w:val="22"/>
        </w:rPr>
        <w:t>alternate store locations</w:t>
      </w:r>
      <w:r w:rsidR="001742C3" w:rsidRPr="001E47AD">
        <w:rPr>
          <w:sz w:val="22"/>
          <w:szCs w:val="22"/>
        </w:rPr>
        <w:t xml:space="preserve"> (see </w:t>
      </w:r>
      <w:r w:rsidR="001742C3" w:rsidRPr="001E47AD">
        <w:rPr>
          <w:sz w:val="22"/>
          <w:szCs w:val="22"/>
        </w:rPr>
        <w:fldChar w:fldCharType="begin"/>
      </w:r>
      <w:r w:rsidR="001742C3" w:rsidRPr="001E47AD">
        <w:rPr>
          <w:sz w:val="22"/>
          <w:szCs w:val="22"/>
        </w:rPr>
        <w:instrText xml:space="preserve"> REF _Ref17407907 \r \h </w:instrText>
      </w:r>
      <w:r w:rsidR="00F234CE" w:rsidRPr="001E47AD">
        <w:rPr>
          <w:sz w:val="22"/>
          <w:szCs w:val="22"/>
        </w:rPr>
        <w:instrText xml:space="preserve"> \* MERGEFORMAT </w:instrText>
      </w:r>
      <w:r w:rsidR="001742C3" w:rsidRPr="001E47AD">
        <w:rPr>
          <w:sz w:val="22"/>
          <w:szCs w:val="22"/>
        </w:rPr>
      </w:r>
      <w:r w:rsidR="001742C3" w:rsidRPr="001E47AD">
        <w:rPr>
          <w:sz w:val="22"/>
          <w:szCs w:val="22"/>
        </w:rPr>
        <w:fldChar w:fldCharType="separate"/>
      </w:r>
      <w:r w:rsidR="009E3444" w:rsidRPr="001E47AD">
        <w:rPr>
          <w:sz w:val="22"/>
          <w:szCs w:val="22"/>
        </w:rPr>
        <w:t>2.2.1</w:t>
      </w:r>
      <w:r w:rsidR="001742C3" w:rsidRPr="001E47AD">
        <w:rPr>
          <w:sz w:val="22"/>
          <w:szCs w:val="22"/>
        </w:rPr>
        <w:fldChar w:fldCharType="end"/>
      </w:r>
      <w:r w:rsidR="001742C3" w:rsidRPr="001E47AD">
        <w:rPr>
          <w:sz w:val="22"/>
          <w:szCs w:val="22"/>
        </w:rPr>
        <w:t>)</w:t>
      </w:r>
      <w:r w:rsidRPr="001E47AD">
        <w:rPr>
          <w:sz w:val="22"/>
          <w:szCs w:val="22"/>
        </w:rPr>
        <w:t xml:space="preserve">. In Model 1.4, the coefficient of </w:t>
      </w:r>
      <m:oMath>
        <m:r>
          <m:rPr>
            <m:sty m:val="p"/>
          </m:rPr>
          <w:rPr>
            <w:rFonts w:ascii="Cambria Math" w:hAnsi="Cambria Math"/>
            <w:sz w:val="22"/>
            <w:szCs w:val="22"/>
          </w:rPr>
          <m:t>INTRA_NTW_COUNTY</m:t>
        </m:r>
      </m:oMath>
      <w:r w:rsidRPr="001E47AD">
        <w:rPr>
          <w:sz w:val="22"/>
          <w:szCs w:val="22"/>
        </w:rPr>
        <w:t xml:space="preserve"> is </w:t>
      </w:r>
      <w:r w:rsidR="00E33C3A" w:rsidRPr="001E47AD">
        <w:rPr>
          <w:sz w:val="22"/>
          <w:szCs w:val="22"/>
        </w:rPr>
        <w:t>significantly negative (-240.142</w:t>
      </w:r>
      <w:r w:rsidRPr="001E47AD">
        <w:rPr>
          <w:sz w:val="22"/>
          <w:szCs w:val="22"/>
        </w:rPr>
        <w:t xml:space="preserve">, </w:t>
      </w:r>
      <w:r w:rsidRPr="001E47AD">
        <w:rPr>
          <w:sz w:val="22"/>
          <w:szCs w:val="22"/>
        </w:rPr>
        <w:lastRenderedPageBreak/>
        <w:t xml:space="preserve">p&lt;0.001) and the </w:t>
      </w:r>
      <w:r w:rsidRPr="001E47AD">
        <w:rPr>
          <w:noProof/>
          <w:sz w:val="22"/>
          <w:szCs w:val="22"/>
        </w:rPr>
        <w:t>coefficient</w:t>
      </w:r>
      <w:r w:rsidRPr="001E47AD">
        <w:rPr>
          <w:sz w:val="22"/>
          <w:szCs w:val="22"/>
        </w:rPr>
        <w:t xml:space="preserve"> of </w:t>
      </w:r>
      <m:oMath>
        <m:sSup>
          <m:sSupPr>
            <m:ctrlPr>
              <w:rPr>
                <w:rFonts w:ascii="Cambria Math" w:hAnsi="Cambria Math"/>
                <w:sz w:val="22"/>
                <w:szCs w:val="22"/>
              </w:rPr>
            </m:ctrlPr>
          </m:sSupPr>
          <m:e>
            <m:r>
              <m:rPr>
                <m:sty m:val="p"/>
              </m:rPr>
              <w:rPr>
                <w:rFonts w:ascii="Cambria Math" w:hAnsi="Cambria Math"/>
                <w:sz w:val="22"/>
                <w:szCs w:val="22"/>
              </w:rPr>
              <m:t>(INTRA_NTW_COUNTY</m:t>
            </m:r>
            <m:r>
              <m:rPr>
                <m:sty m:val="p"/>
              </m:rPr>
              <w:rPr>
                <w:rFonts w:ascii="Cambria Math" w:eastAsia="宋体" w:hAnsi="Cambria Math"/>
                <w:sz w:val="22"/>
                <w:szCs w:val="22"/>
              </w:rPr>
              <m:t>)</m:t>
            </m:r>
          </m:e>
          <m:sup>
            <m:r>
              <m:rPr>
                <m:sty m:val="p"/>
              </m:rPr>
              <w:rPr>
                <w:rFonts w:ascii="Cambria Math" w:hAnsi="Cambria Math"/>
                <w:sz w:val="22"/>
                <w:szCs w:val="22"/>
              </w:rPr>
              <m:t>2</m:t>
            </m:r>
          </m:sup>
        </m:sSup>
      </m:oMath>
      <w:r w:rsidRPr="001E47AD">
        <w:rPr>
          <w:sz w:val="22"/>
          <w:szCs w:val="22"/>
        </w:rPr>
        <w:t xml:space="preserve"> </w:t>
      </w:r>
      <w:r w:rsidRPr="001E47AD">
        <w:rPr>
          <w:noProof/>
          <w:sz w:val="22"/>
          <w:szCs w:val="22"/>
        </w:rPr>
        <w:t>is</w:t>
      </w:r>
      <w:r w:rsidR="00E33C3A" w:rsidRPr="001E47AD">
        <w:rPr>
          <w:sz w:val="22"/>
          <w:szCs w:val="22"/>
        </w:rPr>
        <w:t xml:space="preserve"> significantly positive (54.690</w:t>
      </w:r>
      <w:r w:rsidR="00AC039A" w:rsidRPr="001E47AD">
        <w:rPr>
          <w:sz w:val="22"/>
          <w:szCs w:val="22"/>
        </w:rPr>
        <w:t xml:space="preserve">, p&lt;0.001). </w:t>
      </w:r>
      <w:r w:rsidR="007726CD" w:rsidRPr="001E47AD">
        <w:rPr>
          <w:sz w:val="22"/>
          <w:szCs w:val="22"/>
        </w:rPr>
        <w:t xml:space="preserve">In </w:t>
      </w:r>
      <w:r w:rsidR="00D435C0" w:rsidRPr="001E47AD">
        <w:rPr>
          <w:sz w:val="22"/>
          <w:szCs w:val="22"/>
        </w:rPr>
        <w:t>Figure 3</w:t>
      </w:r>
      <w:r w:rsidR="002F50D8" w:rsidRPr="001E47AD">
        <w:rPr>
          <w:sz w:val="22"/>
          <w:szCs w:val="22"/>
        </w:rPr>
        <w:t>(a)</w:t>
      </w:r>
      <w:r w:rsidR="007726CD" w:rsidRPr="001E47AD">
        <w:rPr>
          <w:sz w:val="22"/>
          <w:szCs w:val="22"/>
        </w:rPr>
        <w:t>,</w:t>
      </w:r>
      <w:r w:rsidR="00AC039A" w:rsidRPr="001E47AD">
        <w:rPr>
          <w:sz w:val="22"/>
          <w:szCs w:val="22"/>
        </w:rPr>
        <w:t xml:space="preserve"> intra-regional chain store network generally relates to decreasing (convex) </w:t>
      </w:r>
      <w:r w:rsidR="00AC039A" w:rsidRPr="001E47AD">
        <w:rPr>
          <w:noProof/>
          <w:sz w:val="22"/>
          <w:szCs w:val="22"/>
        </w:rPr>
        <w:t>consumer</w:t>
      </w:r>
      <w:r w:rsidR="00AC039A" w:rsidRPr="001E47AD">
        <w:rPr>
          <w:sz w:val="22"/>
          <w:szCs w:val="22"/>
        </w:rPr>
        <w:t xml:space="preserve"> stockpiling. </w:t>
      </w:r>
      <w:r w:rsidR="005F523C" w:rsidRPr="001E47AD">
        <w:rPr>
          <w:sz w:val="22"/>
          <w:szCs w:val="22"/>
          <w:lang w:eastAsia="zh-CN"/>
        </w:rPr>
        <w:t xml:space="preserve">The histogram indicates 75% of </w:t>
      </w:r>
      <w:r w:rsidR="00D953D3" w:rsidRPr="001E47AD">
        <w:rPr>
          <w:sz w:val="22"/>
          <w:szCs w:val="22"/>
          <w:lang w:eastAsia="zh-CN"/>
        </w:rPr>
        <w:t xml:space="preserve">the sample store outlets </w:t>
      </w:r>
      <w:r w:rsidR="005F523C" w:rsidRPr="001E47AD">
        <w:rPr>
          <w:sz w:val="22"/>
          <w:szCs w:val="22"/>
          <w:lang w:eastAsia="zh-CN"/>
        </w:rPr>
        <w:t xml:space="preserve">are associated with an intra-regional chain network of </w:t>
      </w:r>
      <w:r w:rsidR="00C34C66" w:rsidRPr="001E47AD">
        <w:rPr>
          <w:sz w:val="22"/>
          <w:szCs w:val="22"/>
          <w:lang w:eastAsia="zh-CN"/>
        </w:rPr>
        <w:t>fewer</w:t>
      </w:r>
      <w:r w:rsidR="005F523C" w:rsidRPr="001E47AD">
        <w:rPr>
          <w:sz w:val="22"/>
          <w:szCs w:val="22"/>
          <w:lang w:eastAsia="zh-CN"/>
        </w:rPr>
        <w:t xml:space="preserve"> than 22 stores. Th</w:t>
      </w:r>
      <w:r w:rsidR="00C34C66" w:rsidRPr="001E47AD">
        <w:rPr>
          <w:sz w:val="22"/>
          <w:szCs w:val="22"/>
        </w:rPr>
        <w:t>e</w:t>
      </w:r>
      <w:r w:rsidRPr="001E47AD">
        <w:rPr>
          <w:sz w:val="22"/>
          <w:szCs w:val="22"/>
        </w:rPr>
        <w:t xml:space="preserve"> convex </w:t>
      </w:r>
      <w:r w:rsidRPr="001E47AD">
        <w:rPr>
          <w:noProof/>
          <w:sz w:val="22"/>
          <w:szCs w:val="22"/>
        </w:rPr>
        <w:t>relationship</w:t>
      </w:r>
      <w:r w:rsidR="00E33C3A" w:rsidRPr="001E47AD">
        <w:rPr>
          <w:noProof/>
          <w:sz w:val="22"/>
          <w:szCs w:val="22"/>
        </w:rPr>
        <w:t xml:space="preserve"> indicate</w:t>
      </w:r>
      <w:r w:rsidR="00626E2D" w:rsidRPr="001E47AD">
        <w:rPr>
          <w:sz w:val="22"/>
          <w:szCs w:val="22"/>
        </w:rPr>
        <w:t>s</w:t>
      </w:r>
      <w:r w:rsidR="00565EC1" w:rsidRPr="001E47AD">
        <w:rPr>
          <w:sz w:val="22"/>
          <w:szCs w:val="22"/>
        </w:rPr>
        <w:t xml:space="preserve"> a </w:t>
      </w:r>
      <w:r w:rsidR="009C1972" w:rsidRPr="001E47AD">
        <w:rPr>
          <w:sz w:val="22"/>
          <w:szCs w:val="22"/>
          <w:lang w:eastAsia="zh-CN"/>
        </w:rPr>
        <w:t>4</w:t>
      </w:r>
      <w:r w:rsidR="00565EC1" w:rsidRPr="001E47AD">
        <w:rPr>
          <w:sz w:val="22"/>
          <w:szCs w:val="22"/>
        </w:rPr>
        <w:t xml:space="preserve">% decrease in </w:t>
      </w:r>
      <w:r w:rsidR="006F1E02" w:rsidRPr="001E47AD">
        <w:rPr>
          <w:sz w:val="22"/>
          <w:szCs w:val="22"/>
        </w:rPr>
        <w:t>per-store consumer stockpiling propensity a</w:t>
      </w:r>
      <w:r w:rsidR="00806778" w:rsidRPr="001E47AD">
        <w:rPr>
          <w:sz w:val="22"/>
          <w:szCs w:val="22"/>
        </w:rPr>
        <w:t>s</w:t>
      </w:r>
      <w:r w:rsidR="006F1E02" w:rsidRPr="001E47AD">
        <w:rPr>
          <w:sz w:val="22"/>
          <w:szCs w:val="22"/>
        </w:rPr>
        <w:t xml:space="preserve"> the county-level store</w:t>
      </w:r>
      <w:r w:rsidR="00E33C3A" w:rsidRPr="001E47AD">
        <w:rPr>
          <w:sz w:val="22"/>
          <w:szCs w:val="22"/>
        </w:rPr>
        <w:t xml:space="preserve"> network increases from </w:t>
      </w:r>
      <w:r w:rsidR="00B3698E" w:rsidRPr="001E47AD">
        <w:rPr>
          <w:sz w:val="22"/>
          <w:szCs w:val="22"/>
          <w:lang w:eastAsia="zh-CN"/>
        </w:rPr>
        <w:t>4</w:t>
      </w:r>
      <w:r w:rsidR="00E33C3A" w:rsidRPr="001E47AD">
        <w:rPr>
          <w:sz w:val="22"/>
          <w:szCs w:val="22"/>
        </w:rPr>
        <w:t xml:space="preserve"> </w:t>
      </w:r>
      <w:r w:rsidR="005F523C" w:rsidRPr="001E47AD">
        <w:rPr>
          <w:sz w:val="22"/>
          <w:szCs w:val="22"/>
        </w:rPr>
        <w:t>store</w:t>
      </w:r>
      <w:r w:rsidR="00C34C66" w:rsidRPr="001E47AD">
        <w:rPr>
          <w:sz w:val="22"/>
          <w:szCs w:val="22"/>
        </w:rPr>
        <w:t>s</w:t>
      </w:r>
      <w:r w:rsidR="005F523C" w:rsidRPr="001E47AD">
        <w:rPr>
          <w:sz w:val="22"/>
          <w:szCs w:val="22"/>
        </w:rPr>
        <w:t xml:space="preserve"> </w:t>
      </w:r>
      <w:r w:rsidR="005F523C" w:rsidRPr="001E47AD">
        <w:rPr>
          <w:sz w:val="22"/>
          <w:szCs w:val="22"/>
          <w:lang w:eastAsia="zh-CN"/>
        </w:rPr>
        <w:t>(</w:t>
      </w:r>
      <w:r w:rsidR="00B3698E" w:rsidRPr="001E47AD">
        <w:rPr>
          <w:sz w:val="22"/>
          <w:szCs w:val="22"/>
          <w:lang w:eastAsia="zh-CN"/>
        </w:rPr>
        <w:t>25</w:t>
      </w:r>
      <w:r w:rsidR="00C34C66" w:rsidRPr="001E47AD">
        <w:rPr>
          <w:sz w:val="22"/>
          <w:szCs w:val="22"/>
          <w:lang w:eastAsia="zh-CN"/>
        </w:rPr>
        <w:t>th</w:t>
      </w:r>
      <w:r w:rsidR="00B3698E" w:rsidRPr="001E47AD">
        <w:rPr>
          <w:sz w:val="22"/>
          <w:szCs w:val="22"/>
          <w:lang w:eastAsia="zh-CN"/>
        </w:rPr>
        <w:t xml:space="preserve"> percentile</w:t>
      </w:r>
      <w:r w:rsidR="005F523C" w:rsidRPr="001E47AD">
        <w:rPr>
          <w:sz w:val="22"/>
          <w:szCs w:val="22"/>
          <w:lang w:eastAsia="zh-CN"/>
        </w:rPr>
        <w:t xml:space="preserve">) </w:t>
      </w:r>
      <w:r w:rsidR="00E33C3A" w:rsidRPr="001E47AD">
        <w:rPr>
          <w:sz w:val="22"/>
          <w:szCs w:val="22"/>
        </w:rPr>
        <w:t xml:space="preserve">to </w:t>
      </w:r>
      <w:r w:rsidR="00AC039A" w:rsidRPr="001E47AD">
        <w:rPr>
          <w:sz w:val="22"/>
          <w:szCs w:val="22"/>
        </w:rPr>
        <w:t>22</w:t>
      </w:r>
      <w:r w:rsidR="006F1E02" w:rsidRPr="001E47AD">
        <w:rPr>
          <w:sz w:val="22"/>
          <w:szCs w:val="22"/>
        </w:rPr>
        <w:t xml:space="preserve"> stores</w:t>
      </w:r>
      <w:r w:rsidR="004A230D" w:rsidRPr="001E47AD">
        <w:rPr>
          <w:sz w:val="22"/>
          <w:szCs w:val="22"/>
        </w:rPr>
        <w:t xml:space="preserve"> (75</w:t>
      </w:r>
      <w:r w:rsidR="004C3FF4" w:rsidRPr="001E47AD">
        <w:rPr>
          <w:sz w:val="22"/>
          <w:szCs w:val="22"/>
        </w:rPr>
        <w:t>th</w:t>
      </w:r>
      <w:r w:rsidR="004A230D" w:rsidRPr="001E47AD">
        <w:rPr>
          <w:sz w:val="22"/>
          <w:szCs w:val="22"/>
        </w:rPr>
        <w:t xml:space="preserve"> percentile)</w:t>
      </w:r>
      <w:r w:rsidRPr="001E47AD">
        <w:rPr>
          <w:sz w:val="22"/>
          <w:szCs w:val="22"/>
        </w:rPr>
        <w:t xml:space="preserve">. </w:t>
      </w:r>
    </w:p>
    <w:p w14:paraId="10634079" w14:textId="275A5E49" w:rsidR="00005026" w:rsidRPr="001E47AD" w:rsidRDefault="00005026" w:rsidP="0039569C">
      <w:pPr>
        <w:spacing w:before="120" w:after="120" w:line="480" w:lineRule="auto"/>
        <w:ind w:firstLine="720"/>
        <w:contextualSpacing/>
        <w:jc w:val="both"/>
        <w:rPr>
          <w:noProof/>
          <w:sz w:val="22"/>
          <w:szCs w:val="22"/>
        </w:rPr>
      </w:pPr>
      <w:r w:rsidRPr="001E47AD">
        <w:rPr>
          <w:sz w:val="22"/>
          <w:szCs w:val="22"/>
        </w:rPr>
        <w:t>Next, we e</w:t>
      </w:r>
      <w:r w:rsidRPr="001E47AD">
        <w:rPr>
          <w:sz w:val="22"/>
          <w:szCs w:val="22"/>
          <w:lang w:eastAsia="zh-CN"/>
        </w:rPr>
        <w:t>xplore</w:t>
      </w:r>
      <w:r w:rsidRPr="001E47AD">
        <w:rPr>
          <w:sz w:val="22"/>
          <w:szCs w:val="22"/>
        </w:rPr>
        <w:t xml:space="preserve"> the linkage between </w:t>
      </w:r>
      <w:r w:rsidRPr="001E47AD">
        <w:rPr>
          <w:noProof/>
          <w:sz w:val="22"/>
          <w:szCs w:val="22"/>
        </w:rPr>
        <w:t>inter-regional</w:t>
      </w:r>
      <w:r w:rsidRPr="001E47AD">
        <w:rPr>
          <w:sz w:val="22"/>
          <w:szCs w:val="22"/>
        </w:rPr>
        <w:t xml:space="preserve"> store network and consumer stockpiling propensity. For an individual store, a broader inter-regional store network may accommodate more stockpiling due to inventory availability at the </w:t>
      </w:r>
      <w:r w:rsidRPr="001E47AD">
        <w:rPr>
          <w:noProof/>
          <w:sz w:val="22"/>
          <w:szCs w:val="22"/>
        </w:rPr>
        <w:t>network</w:t>
      </w:r>
      <w:r w:rsidRPr="001E47AD">
        <w:rPr>
          <w:sz w:val="22"/>
          <w:szCs w:val="22"/>
        </w:rPr>
        <w:t xml:space="preserve"> </w:t>
      </w:r>
      <w:r w:rsidR="00C34C66" w:rsidRPr="001E47AD">
        <w:rPr>
          <w:sz w:val="22"/>
          <w:szCs w:val="22"/>
        </w:rPr>
        <w:t>given</w:t>
      </w:r>
      <w:r w:rsidRPr="001E47AD">
        <w:rPr>
          <w:sz w:val="22"/>
          <w:szCs w:val="22"/>
        </w:rPr>
        <w:t xml:space="preserve"> transshipment possibilities from outside the hazard-affected area. In Model 1.4, at the country level, the coefficient of </w:t>
      </w:r>
      <m:oMath>
        <m:r>
          <m:rPr>
            <m:sty m:val="p"/>
          </m:rPr>
          <w:rPr>
            <w:rFonts w:ascii="Cambria Math" w:hAnsi="Cambria Math"/>
            <w:sz w:val="22"/>
            <w:szCs w:val="22"/>
          </w:rPr>
          <m:t>INTER_NTW_COUNTRY</m:t>
        </m:r>
      </m:oMath>
      <w:r w:rsidRPr="001E47AD">
        <w:rPr>
          <w:sz w:val="22"/>
          <w:szCs w:val="22"/>
        </w:rPr>
        <w:t xml:space="preserve"> is significantly positive (30.489, p&lt;0.001) and the </w:t>
      </w:r>
      <w:r w:rsidRPr="001E47AD">
        <w:rPr>
          <w:noProof/>
          <w:sz w:val="22"/>
          <w:szCs w:val="22"/>
        </w:rPr>
        <w:t>coefficient</w:t>
      </w:r>
      <w:r w:rsidRPr="001E47AD">
        <w:rPr>
          <w:sz w:val="22"/>
          <w:szCs w:val="22"/>
        </w:rPr>
        <w:t xml:space="preserve"> of </w:t>
      </w:r>
      <m:oMath>
        <m:sSup>
          <m:sSupPr>
            <m:ctrlPr>
              <w:rPr>
                <w:rFonts w:ascii="Cambria Math" w:hAnsi="Cambria Math"/>
                <w:sz w:val="22"/>
                <w:szCs w:val="22"/>
              </w:rPr>
            </m:ctrlPr>
          </m:sSupPr>
          <m:e>
            <m:r>
              <m:rPr>
                <m:sty m:val="p"/>
              </m:rPr>
              <w:rPr>
                <w:rFonts w:ascii="Cambria Math" w:hAnsi="Cambria Math"/>
                <w:sz w:val="22"/>
                <w:szCs w:val="22"/>
              </w:rPr>
              <m:t>(INTER_NTW_COUNTRY</m:t>
            </m:r>
            <m:r>
              <m:rPr>
                <m:sty m:val="p"/>
              </m:rPr>
              <w:rPr>
                <w:rFonts w:ascii="Cambria Math" w:eastAsia="宋体" w:hAnsi="Cambria Math"/>
                <w:sz w:val="22"/>
                <w:szCs w:val="22"/>
              </w:rPr>
              <m:t>)</m:t>
            </m:r>
          </m:e>
          <m:sup>
            <m:r>
              <m:rPr>
                <m:sty m:val="p"/>
              </m:rPr>
              <w:rPr>
                <w:rFonts w:ascii="Cambria Math" w:hAnsi="Cambria Math"/>
                <w:sz w:val="22"/>
                <w:szCs w:val="22"/>
              </w:rPr>
              <m:t>2</m:t>
            </m:r>
          </m:sup>
        </m:sSup>
      </m:oMath>
      <w:r w:rsidRPr="001E47AD">
        <w:rPr>
          <w:sz w:val="22"/>
          <w:szCs w:val="22"/>
        </w:rPr>
        <w:t xml:space="preserve"> </w:t>
      </w:r>
      <w:r w:rsidRPr="001E47AD">
        <w:rPr>
          <w:noProof/>
          <w:sz w:val="22"/>
          <w:szCs w:val="22"/>
        </w:rPr>
        <w:t>is</w:t>
      </w:r>
      <w:r w:rsidRPr="001E47AD">
        <w:rPr>
          <w:sz w:val="22"/>
          <w:szCs w:val="22"/>
        </w:rPr>
        <w:t xml:space="preserve"> significantly negative (-0.264, p&lt;0.001). </w:t>
      </w:r>
      <w:r w:rsidR="0061196D" w:rsidRPr="001E47AD">
        <w:rPr>
          <w:sz w:val="22"/>
          <w:szCs w:val="22"/>
          <w:lang w:eastAsia="zh-CN"/>
        </w:rPr>
        <w:t>I</w:t>
      </w:r>
      <w:r w:rsidR="00F118BC" w:rsidRPr="001E47AD">
        <w:rPr>
          <w:sz w:val="22"/>
          <w:szCs w:val="22"/>
          <w:lang w:eastAsia="zh-CN"/>
        </w:rPr>
        <w:t xml:space="preserve">n </w:t>
      </w:r>
      <w:r w:rsidRPr="001E47AD">
        <w:rPr>
          <w:sz w:val="22"/>
          <w:szCs w:val="22"/>
        </w:rPr>
        <w:fldChar w:fldCharType="begin"/>
      </w:r>
      <w:r w:rsidRPr="001E47AD">
        <w:rPr>
          <w:sz w:val="22"/>
          <w:szCs w:val="22"/>
        </w:rPr>
        <w:instrText xml:space="preserve"> REF _Ref515185789 \h  \* MERGEFORMAT </w:instrText>
      </w:r>
      <w:r w:rsidRPr="001E47AD">
        <w:rPr>
          <w:sz w:val="22"/>
          <w:szCs w:val="22"/>
        </w:rPr>
      </w:r>
      <w:r w:rsidRPr="001E47AD">
        <w:rPr>
          <w:sz w:val="22"/>
          <w:szCs w:val="22"/>
        </w:rPr>
        <w:fldChar w:fldCharType="separate"/>
      </w:r>
      <w:r w:rsidR="009E3444" w:rsidRPr="001E47AD">
        <w:rPr>
          <w:sz w:val="22"/>
          <w:szCs w:val="22"/>
        </w:rPr>
        <w:t>Figure 3</w:t>
      </w:r>
      <w:r w:rsidRPr="001E47AD">
        <w:rPr>
          <w:sz w:val="22"/>
          <w:szCs w:val="22"/>
        </w:rPr>
        <w:fldChar w:fldCharType="end"/>
      </w:r>
      <w:r w:rsidR="002F50D8" w:rsidRPr="001E47AD">
        <w:rPr>
          <w:sz w:val="22"/>
          <w:szCs w:val="22"/>
        </w:rPr>
        <w:t>(b)</w:t>
      </w:r>
      <w:r w:rsidR="00F118BC" w:rsidRPr="001E47AD">
        <w:rPr>
          <w:sz w:val="22"/>
          <w:szCs w:val="22"/>
          <w:lang w:eastAsia="zh-CN"/>
        </w:rPr>
        <w:t xml:space="preserve">, </w:t>
      </w:r>
      <w:r w:rsidRPr="001E47AD">
        <w:rPr>
          <w:sz w:val="22"/>
          <w:szCs w:val="22"/>
        </w:rPr>
        <w:t xml:space="preserve">inter-regional chain store network generally relates to </w:t>
      </w:r>
      <w:r w:rsidRPr="001E47AD">
        <w:rPr>
          <w:noProof/>
          <w:sz w:val="22"/>
          <w:szCs w:val="22"/>
        </w:rPr>
        <w:t>increasing</w:t>
      </w:r>
      <w:r w:rsidRPr="001E47AD">
        <w:rPr>
          <w:sz w:val="22"/>
          <w:szCs w:val="22"/>
        </w:rPr>
        <w:t xml:space="preserve"> (concave) </w:t>
      </w:r>
      <w:r w:rsidRPr="001E47AD">
        <w:rPr>
          <w:noProof/>
          <w:sz w:val="22"/>
          <w:szCs w:val="22"/>
        </w:rPr>
        <w:t>consumer</w:t>
      </w:r>
      <w:r w:rsidRPr="001E47AD">
        <w:rPr>
          <w:sz w:val="22"/>
          <w:szCs w:val="22"/>
        </w:rPr>
        <w:t xml:space="preserve"> stockpiling. </w:t>
      </w:r>
      <w:r w:rsidR="00F118BC" w:rsidRPr="001E47AD">
        <w:rPr>
          <w:sz w:val="22"/>
          <w:szCs w:val="22"/>
          <w:lang w:eastAsia="zh-CN"/>
        </w:rPr>
        <w:t>The histogram demonstrates</w:t>
      </w:r>
      <w:r w:rsidR="0039569C" w:rsidRPr="001E47AD">
        <w:rPr>
          <w:sz w:val="22"/>
          <w:szCs w:val="22"/>
          <w:lang w:eastAsia="zh-CN"/>
        </w:rPr>
        <w:t xml:space="preserve"> three groups of retail chains based on the size of the inter-regional store network</w:t>
      </w:r>
      <w:r w:rsidRPr="001E47AD">
        <w:rPr>
          <w:sz w:val="22"/>
          <w:szCs w:val="22"/>
        </w:rPr>
        <w:t xml:space="preserve">, </w:t>
      </w:r>
      <w:r w:rsidR="0039569C" w:rsidRPr="001E47AD">
        <w:rPr>
          <w:sz w:val="22"/>
          <w:szCs w:val="22"/>
          <w:lang w:eastAsia="zh-CN"/>
        </w:rPr>
        <w:t>1-2000 stores, 3000-</w:t>
      </w:r>
      <w:r w:rsidR="00F70AC5" w:rsidRPr="001E47AD">
        <w:rPr>
          <w:sz w:val="22"/>
          <w:szCs w:val="22"/>
          <w:lang w:eastAsia="zh-CN"/>
        </w:rPr>
        <w:t>4500</w:t>
      </w:r>
      <w:r w:rsidR="0039569C" w:rsidRPr="001E47AD">
        <w:rPr>
          <w:sz w:val="22"/>
          <w:szCs w:val="22"/>
          <w:lang w:eastAsia="zh-CN"/>
        </w:rPr>
        <w:t xml:space="preserve"> </w:t>
      </w:r>
      <w:r w:rsidR="008808AE" w:rsidRPr="001E47AD">
        <w:rPr>
          <w:sz w:val="22"/>
          <w:szCs w:val="22"/>
          <w:lang w:eastAsia="zh-CN"/>
        </w:rPr>
        <w:t>stores, and 6</w:t>
      </w:r>
      <w:r w:rsidR="0039569C" w:rsidRPr="001E47AD">
        <w:rPr>
          <w:sz w:val="22"/>
          <w:szCs w:val="22"/>
          <w:lang w:eastAsia="zh-CN"/>
        </w:rPr>
        <w:t>000-8000 stores. Among th</w:t>
      </w:r>
      <w:r w:rsidR="00DB44C4" w:rsidRPr="001E47AD">
        <w:rPr>
          <w:sz w:val="22"/>
          <w:szCs w:val="22"/>
          <w:lang w:eastAsia="zh-CN"/>
        </w:rPr>
        <w:t>e 60 retail chains in our sample</w:t>
      </w:r>
      <w:r w:rsidR="0039569C" w:rsidRPr="001E47AD">
        <w:rPr>
          <w:sz w:val="22"/>
          <w:szCs w:val="22"/>
          <w:lang w:eastAsia="zh-CN"/>
        </w:rPr>
        <w:t>, those with an i</w:t>
      </w:r>
      <w:r w:rsidR="00CA7D6A" w:rsidRPr="001E47AD">
        <w:rPr>
          <w:sz w:val="22"/>
          <w:szCs w:val="22"/>
          <w:lang w:eastAsia="zh-CN"/>
        </w:rPr>
        <w:t>nter-regional store network of 6</w:t>
      </w:r>
      <w:r w:rsidR="0039569C" w:rsidRPr="001E47AD">
        <w:rPr>
          <w:sz w:val="22"/>
          <w:szCs w:val="22"/>
          <w:lang w:eastAsia="zh-CN"/>
        </w:rPr>
        <w:t>000-8000 stores are associ</w:t>
      </w:r>
      <w:r w:rsidR="00B3698E" w:rsidRPr="001E47AD">
        <w:rPr>
          <w:sz w:val="22"/>
          <w:szCs w:val="22"/>
          <w:lang w:eastAsia="zh-CN"/>
        </w:rPr>
        <w:t>ated with high</w:t>
      </w:r>
      <w:r w:rsidR="0039569C" w:rsidRPr="001E47AD">
        <w:rPr>
          <w:sz w:val="22"/>
          <w:szCs w:val="22"/>
          <w:lang w:eastAsia="zh-CN"/>
        </w:rPr>
        <w:t xml:space="preserve"> consumer stockpiling propensity. For example, </w:t>
      </w:r>
      <w:r w:rsidRPr="001E47AD">
        <w:rPr>
          <w:noProof/>
          <w:sz w:val="22"/>
          <w:szCs w:val="22"/>
        </w:rPr>
        <w:t>as the country-level</w:t>
      </w:r>
      <w:r w:rsidRPr="001E47AD">
        <w:rPr>
          <w:sz w:val="22"/>
          <w:szCs w:val="22"/>
        </w:rPr>
        <w:t xml:space="preserve"> store network increases from 592</w:t>
      </w:r>
      <w:r w:rsidR="00AF7345" w:rsidRPr="001E47AD">
        <w:rPr>
          <w:sz w:val="22"/>
          <w:szCs w:val="22"/>
        </w:rPr>
        <w:t xml:space="preserve"> stores (</w:t>
      </w:r>
      <w:r w:rsidR="00AF7345" w:rsidRPr="001E47AD">
        <w:rPr>
          <w:sz w:val="22"/>
          <w:szCs w:val="22"/>
          <w:lang w:eastAsia="zh-CN"/>
        </w:rPr>
        <w:t>25</w:t>
      </w:r>
      <w:r w:rsidR="004C3FF4" w:rsidRPr="001E47AD">
        <w:rPr>
          <w:sz w:val="22"/>
          <w:szCs w:val="22"/>
          <w:lang w:eastAsia="zh-CN"/>
        </w:rPr>
        <w:t>th</w:t>
      </w:r>
      <w:r w:rsidR="00AF7345" w:rsidRPr="001E47AD">
        <w:rPr>
          <w:sz w:val="22"/>
          <w:szCs w:val="22"/>
          <w:lang w:eastAsia="zh-CN"/>
        </w:rPr>
        <w:t xml:space="preserve"> percentile</w:t>
      </w:r>
      <w:r w:rsidR="00F118BC" w:rsidRPr="001E47AD">
        <w:rPr>
          <w:sz w:val="22"/>
          <w:szCs w:val="22"/>
        </w:rPr>
        <w:t xml:space="preserve">) to </w:t>
      </w:r>
      <w:r w:rsidR="00F118BC" w:rsidRPr="001E47AD">
        <w:rPr>
          <w:sz w:val="22"/>
          <w:szCs w:val="22"/>
          <w:lang w:eastAsia="zh-CN"/>
        </w:rPr>
        <w:t>7,308</w:t>
      </w:r>
      <w:r w:rsidRPr="001E47AD">
        <w:rPr>
          <w:sz w:val="22"/>
          <w:szCs w:val="22"/>
        </w:rPr>
        <w:t xml:space="preserve"> stores (75</w:t>
      </w:r>
      <w:r w:rsidR="004C3FF4" w:rsidRPr="001E47AD">
        <w:rPr>
          <w:sz w:val="22"/>
          <w:szCs w:val="22"/>
        </w:rPr>
        <w:t>th</w:t>
      </w:r>
      <w:r w:rsidRPr="001E47AD">
        <w:rPr>
          <w:sz w:val="22"/>
          <w:szCs w:val="22"/>
        </w:rPr>
        <w:t xml:space="preserve"> percentile), consumer stockpi</w:t>
      </w:r>
      <w:r w:rsidR="00AF7345" w:rsidRPr="001E47AD">
        <w:rPr>
          <w:sz w:val="22"/>
          <w:szCs w:val="22"/>
        </w:rPr>
        <w:t xml:space="preserve">ling propensity increases by </w:t>
      </w:r>
      <w:r w:rsidR="006437A1" w:rsidRPr="001E47AD">
        <w:rPr>
          <w:sz w:val="22"/>
          <w:szCs w:val="22"/>
          <w:lang w:eastAsia="zh-CN"/>
        </w:rPr>
        <w:t>108</w:t>
      </w:r>
      <w:r w:rsidRPr="001E47AD">
        <w:rPr>
          <w:sz w:val="22"/>
          <w:szCs w:val="22"/>
        </w:rPr>
        <w:t>%</w:t>
      </w:r>
      <w:r w:rsidRPr="001E47AD">
        <w:rPr>
          <w:noProof/>
          <w:sz w:val="22"/>
          <w:szCs w:val="22"/>
        </w:rPr>
        <w:t xml:space="preserve">. </w:t>
      </w:r>
    </w:p>
    <w:p w14:paraId="6C475E90" w14:textId="063204B8" w:rsidR="00012BA7" w:rsidRPr="001E47AD" w:rsidRDefault="002A4BB3" w:rsidP="00E92D36">
      <w:pPr>
        <w:spacing w:before="120" w:after="120" w:line="480" w:lineRule="auto"/>
        <w:ind w:firstLine="720"/>
        <w:contextualSpacing/>
        <w:jc w:val="both"/>
        <w:rPr>
          <w:noProof/>
          <w:sz w:val="22"/>
          <w:szCs w:val="22"/>
        </w:rPr>
      </w:pPr>
      <w:r w:rsidRPr="001E47AD">
        <w:rPr>
          <w:sz w:val="22"/>
          <w:szCs w:val="22"/>
        </w:rPr>
        <w:t>Next, we investigate</w:t>
      </w:r>
      <w:r w:rsidR="0086462F" w:rsidRPr="001E47AD">
        <w:rPr>
          <w:sz w:val="22"/>
          <w:szCs w:val="22"/>
        </w:rPr>
        <w:t xml:space="preserve"> the linkage between product </w:t>
      </w:r>
      <w:r w:rsidRPr="001E47AD">
        <w:rPr>
          <w:sz w:val="22"/>
          <w:szCs w:val="22"/>
        </w:rPr>
        <w:t xml:space="preserve">variety and consumer stockpiling propensity. For an individual store outlet, product variety is positively associated with inventory availability but with a diminishing effect due, perhaps, to the </w:t>
      </w:r>
      <w:r w:rsidRPr="001E47AD">
        <w:rPr>
          <w:noProof/>
          <w:sz w:val="22"/>
          <w:szCs w:val="22"/>
        </w:rPr>
        <w:t>substitutability</w:t>
      </w:r>
      <w:r w:rsidRPr="001E47AD">
        <w:rPr>
          <w:sz w:val="22"/>
          <w:szCs w:val="22"/>
        </w:rPr>
        <w:t xml:space="preserve"> of demand. In Model 1.4, the coefficient of </w:t>
      </w:r>
      <m:oMath>
        <m:r>
          <m:rPr>
            <m:sty m:val="p"/>
          </m:rPr>
          <w:rPr>
            <w:rFonts w:ascii="Cambria Math" w:hAnsi="Cambria Math"/>
            <w:sz w:val="22"/>
            <w:szCs w:val="22"/>
          </w:rPr>
          <m:t>PROD_VAR_UPC</m:t>
        </m:r>
      </m:oMath>
      <w:r w:rsidRPr="001E47AD">
        <w:rPr>
          <w:sz w:val="22"/>
          <w:szCs w:val="22"/>
        </w:rPr>
        <w:t xml:space="preserve"> is significantly positive (1.009, p&lt;0.001) and the </w:t>
      </w:r>
      <w:r w:rsidRPr="001E47AD">
        <w:rPr>
          <w:noProof/>
          <w:sz w:val="22"/>
          <w:szCs w:val="22"/>
        </w:rPr>
        <w:t>coefficient</w:t>
      </w:r>
      <w:r w:rsidRPr="001E47AD">
        <w:rPr>
          <w:sz w:val="22"/>
          <w:szCs w:val="22"/>
        </w:rPr>
        <w:t xml:space="preserve">  </w:t>
      </w:r>
      <m:oMath>
        <m:sSup>
          <m:sSupPr>
            <m:ctrlPr>
              <w:rPr>
                <w:rFonts w:ascii="Cambria Math" w:hAnsi="Cambria Math"/>
                <w:sz w:val="22"/>
                <w:szCs w:val="22"/>
              </w:rPr>
            </m:ctrlPr>
          </m:sSupPr>
          <m:e>
            <m:r>
              <m:rPr>
                <m:sty m:val="p"/>
              </m:rPr>
              <w:rPr>
                <w:rFonts w:ascii="Cambria Math" w:hAnsi="Cambria Math"/>
                <w:sz w:val="22"/>
                <w:szCs w:val="22"/>
              </w:rPr>
              <m:t>(PROD_VAR_UPC</m:t>
            </m:r>
            <m:r>
              <m:rPr>
                <m:sty m:val="p"/>
              </m:rPr>
              <w:rPr>
                <w:rFonts w:ascii="Cambria Math" w:eastAsia="宋体" w:hAnsi="Cambria Math"/>
                <w:sz w:val="22"/>
                <w:szCs w:val="22"/>
              </w:rPr>
              <m:t>)</m:t>
            </m:r>
          </m:e>
          <m:sup>
            <m:r>
              <m:rPr>
                <m:sty m:val="p"/>
              </m:rPr>
              <w:rPr>
                <w:rFonts w:ascii="Cambria Math" w:hAnsi="Cambria Math"/>
                <w:sz w:val="22"/>
                <w:szCs w:val="22"/>
              </w:rPr>
              <m:t>2</m:t>
            </m:r>
          </m:sup>
        </m:sSup>
      </m:oMath>
      <w:r w:rsidRPr="001E47AD">
        <w:rPr>
          <w:sz w:val="22"/>
          <w:szCs w:val="22"/>
        </w:rPr>
        <w:t xml:space="preserve"> </w:t>
      </w:r>
      <w:r w:rsidRPr="001E47AD">
        <w:rPr>
          <w:noProof/>
          <w:sz w:val="22"/>
          <w:szCs w:val="22"/>
        </w:rPr>
        <w:t>is</w:t>
      </w:r>
      <w:r w:rsidRPr="001E47AD">
        <w:rPr>
          <w:sz w:val="22"/>
          <w:szCs w:val="22"/>
        </w:rPr>
        <w:t xml:space="preserve"> significantly negative (-0.004, p&lt;0.001). </w:t>
      </w:r>
      <w:r w:rsidRPr="001E47AD">
        <w:rPr>
          <w:sz w:val="22"/>
          <w:szCs w:val="22"/>
        </w:rPr>
        <w:fldChar w:fldCharType="begin"/>
      </w:r>
      <w:r w:rsidRPr="001E47AD">
        <w:rPr>
          <w:sz w:val="22"/>
          <w:szCs w:val="22"/>
        </w:rPr>
        <w:instrText xml:space="preserve"> REF _Ref515185789 \h  \* MERGEFORMAT </w:instrText>
      </w:r>
      <w:r w:rsidRPr="001E47AD">
        <w:rPr>
          <w:sz w:val="22"/>
          <w:szCs w:val="22"/>
        </w:rPr>
      </w:r>
      <w:r w:rsidRPr="001E47AD">
        <w:rPr>
          <w:sz w:val="22"/>
          <w:szCs w:val="22"/>
        </w:rPr>
        <w:fldChar w:fldCharType="separate"/>
      </w:r>
      <w:r w:rsidR="009E3444" w:rsidRPr="001E47AD">
        <w:rPr>
          <w:sz w:val="22"/>
          <w:szCs w:val="22"/>
        </w:rPr>
        <w:t>Figure 3</w:t>
      </w:r>
      <w:r w:rsidRPr="001E47AD">
        <w:rPr>
          <w:sz w:val="22"/>
          <w:szCs w:val="22"/>
        </w:rPr>
        <w:fldChar w:fldCharType="end"/>
      </w:r>
      <w:r w:rsidR="002F50D8" w:rsidRPr="001E47AD">
        <w:rPr>
          <w:sz w:val="22"/>
          <w:szCs w:val="22"/>
        </w:rPr>
        <w:t>(c)</w:t>
      </w:r>
      <w:r w:rsidRPr="001E47AD">
        <w:rPr>
          <w:sz w:val="22"/>
          <w:szCs w:val="22"/>
        </w:rPr>
        <w:t xml:space="preserve"> implies a concave </w:t>
      </w:r>
      <w:r w:rsidRPr="001E47AD">
        <w:rPr>
          <w:noProof/>
          <w:sz w:val="22"/>
          <w:szCs w:val="22"/>
        </w:rPr>
        <w:t>relationship, with stockpiling propensity</w:t>
      </w:r>
      <w:r w:rsidRPr="001E47AD">
        <w:rPr>
          <w:sz w:val="22"/>
          <w:szCs w:val="22"/>
        </w:rPr>
        <w:t xml:space="preserve"> reaching a maximum at 1</w:t>
      </w:r>
      <w:r w:rsidRPr="001E47AD">
        <w:rPr>
          <w:sz w:val="22"/>
          <w:szCs w:val="22"/>
          <w:lang w:eastAsia="zh-CN"/>
        </w:rPr>
        <w:t>26</w:t>
      </w:r>
      <w:r w:rsidR="00AC2C51" w:rsidRPr="001E47AD">
        <w:rPr>
          <w:sz w:val="22"/>
          <w:szCs w:val="22"/>
        </w:rPr>
        <w:t xml:space="preserve"> UPC</w:t>
      </w:r>
      <w:r w:rsidRPr="001E47AD">
        <w:rPr>
          <w:sz w:val="22"/>
          <w:szCs w:val="22"/>
        </w:rPr>
        <w:t>s</w:t>
      </w:r>
      <w:r w:rsidRPr="001E47AD">
        <w:rPr>
          <w:sz w:val="22"/>
          <w:szCs w:val="22"/>
          <w:lang w:eastAsia="zh-CN"/>
        </w:rPr>
        <w:t xml:space="preserve">. For example, </w:t>
      </w:r>
      <w:r w:rsidRPr="001E47AD">
        <w:rPr>
          <w:sz w:val="22"/>
          <w:szCs w:val="22"/>
        </w:rPr>
        <w:t>as the number of pr</w:t>
      </w:r>
      <w:r w:rsidR="00AC2C51" w:rsidRPr="001E47AD">
        <w:rPr>
          <w:sz w:val="22"/>
          <w:szCs w:val="22"/>
        </w:rPr>
        <w:t>oduct UPC</w:t>
      </w:r>
      <w:r w:rsidRPr="001E47AD">
        <w:rPr>
          <w:sz w:val="22"/>
          <w:szCs w:val="22"/>
        </w:rPr>
        <w:t>s carried by a st</w:t>
      </w:r>
      <w:r w:rsidR="00AC2C51" w:rsidRPr="001E47AD">
        <w:rPr>
          <w:sz w:val="22"/>
          <w:szCs w:val="22"/>
        </w:rPr>
        <w:t>ore outlet increases from 44 UPCs (25th percentile) to 140 UPC</w:t>
      </w:r>
      <w:r w:rsidRPr="001E47AD">
        <w:rPr>
          <w:sz w:val="22"/>
          <w:szCs w:val="22"/>
        </w:rPr>
        <w:t>s (75th percentile), consumer stockpiling propensity increases</w:t>
      </w:r>
      <w:r w:rsidR="00516F7A" w:rsidRPr="001E47AD">
        <w:rPr>
          <w:noProof/>
          <w:sz w:val="22"/>
          <w:szCs w:val="22"/>
        </w:rPr>
        <w:t xml:space="preserve"> by 3</w:t>
      </w:r>
      <w:r w:rsidRPr="001E47AD">
        <w:rPr>
          <w:noProof/>
          <w:sz w:val="22"/>
          <w:szCs w:val="22"/>
        </w:rPr>
        <w:t>%.</w:t>
      </w:r>
    </w:p>
    <w:p w14:paraId="0903B81F" w14:textId="77777777" w:rsidR="00012BA7" w:rsidRPr="001E47AD" w:rsidRDefault="00012BA7" w:rsidP="00012BA7">
      <w:pPr>
        <w:spacing w:before="120" w:after="120" w:line="480" w:lineRule="auto"/>
        <w:contextualSpacing/>
        <w:jc w:val="both"/>
        <w:rPr>
          <w:noProof/>
          <w:sz w:val="22"/>
          <w:szCs w:val="22"/>
        </w:rPr>
        <w:sectPr w:rsidR="00012BA7" w:rsidRPr="001E47AD" w:rsidSect="009C01AC">
          <w:footerReference w:type="default" r:id="rId10"/>
          <w:endnotePr>
            <w:numFmt w:val="decimal"/>
            <w:numRestart w:val="eachSect"/>
          </w:endnotePr>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440"/>
        <w:gridCol w:w="4338"/>
      </w:tblGrid>
      <w:tr w:rsidR="00393153" w:rsidRPr="001E47AD" w14:paraId="4A2E0796" w14:textId="77777777" w:rsidTr="004C56E7">
        <w:tc>
          <w:tcPr>
            <w:tcW w:w="0" w:type="auto"/>
          </w:tcPr>
          <w:p w14:paraId="6EBB2FD6" w14:textId="77777777" w:rsidR="00AB3724" w:rsidRPr="001E47AD" w:rsidRDefault="00AB3724" w:rsidP="00E52B60">
            <w:pPr>
              <w:pStyle w:val="ListParagraph"/>
              <w:numPr>
                <w:ilvl w:val="0"/>
                <w:numId w:val="25"/>
              </w:numPr>
              <w:spacing w:after="0" w:line="240" w:lineRule="auto"/>
              <w:jc w:val="center"/>
              <w:rPr>
                <w:rFonts w:ascii="Times New Roman" w:hAnsi="Times New Roman" w:cs="Times New Roman"/>
                <w:noProof/>
                <w:sz w:val="20"/>
                <w:szCs w:val="20"/>
              </w:rPr>
            </w:pPr>
            <w:r w:rsidRPr="001E47AD">
              <w:rPr>
                <w:rFonts w:ascii="Times New Roman" w:hAnsi="Times New Roman" w:cs="Times New Roman"/>
                <w:noProof/>
                <w:sz w:val="20"/>
                <w:szCs w:val="20"/>
              </w:rPr>
              <w:lastRenderedPageBreak/>
              <w:t>Intra-Regional Network</w:t>
            </w:r>
          </w:p>
          <w:p w14:paraId="1E2715E3" w14:textId="77777777" w:rsidR="00AB3724" w:rsidRPr="001E47AD" w:rsidRDefault="00D73E19" w:rsidP="00E52B60">
            <w:pPr>
              <w:contextualSpacing/>
              <w:jc w:val="both"/>
              <w:rPr>
                <w:sz w:val="22"/>
                <w:szCs w:val="22"/>
              </w:rPr>
            </w:pPr>
            <w:r w:rsidRPr="001E47AD">
              <w:rPr>
                <w:noProof/>
                <w:sz w:val="22"/>
                <w:szCs w:val="22"/>
              </w:rPr>
              <w:drawing>
                <wp:inline distT="0" distB="0" distL="0" distR="0" wp14:anchorId="4F8C6118" wp14:editId="5775C3F0">
                  <wp:extent cx="2677363" cy="162655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1700" cy="1629193"/>
                          </a:xfrm>
                          <a:prstGeom prst="rect">
                            <a:avLst/>
                          </a:prstGeom>
                          <a:noFill/>
                          <a:ln>
                            <a:noFill/>
                          </a:ln>
                        </pic:spPr>
                      </pic:pic>
                    </a:graphicData>
                  </a:graphic>
                </wp:inline>
              </w:drawing>
            </w:r>
          </w:p>
        </w:tc>
        <w:tc>
          <w:tcPr>
            <w:tcW w:w="0" w:type="auto"/>
          </w:tcPr>
          <w:p w14:paraId="5C7F63BB" w14:textId="77777777" w:rsidR="00AB3724" w:rsidRPr="001E47AD" w:rsidRDefault="00AB3724" w:rsidP="00E52B60">
            <w:pPr>
              <w:pStyle w:val="ListParagraph"/>
              <w:numPr>
                <w:ilvl w:val="0"/>
                <w:numId w:val="25"/>
              </w:numPr>
              <w:spacing w:after="0" w:line="240" w:lineRule="auto"/>
              <w:jc w:val="center"/>
              <w:rPr>
                <w:rFonts w:ascii="Times New Roman" w:hAnsi="Times New Roman" w:cs="Times New Roman"/>
                <w:noProof/>
                <w:sz w:val="20"/>
                <w:szCs w:val="20"/>
              </w:rPr>
            </w:pPr>
            <w:r w:rsidRPr="001E47AD">
              <w:rPr>
                <w:rFonts w:ascii="Times New Roman" w:hAnsi="Times New Roman" w:cs="Times New Roman"/>
                <w:noProof/>
                <w:sz w:val="20"/>
                <w:szCs w:val="20"/>
              </w:rPr>
              <w:t>Inter-Regional Network</w:t>
            </w:r>
          </w:p>
          <w:p w14:paraId="1E21D49A" w14:textId="77777777" w:rsidR="00AB3724" w:rsidRPr="001E47AD" w:rsidRDefault="00AB3724" w:rsidP="00E52B60">
            <w:pPr>
              <w:contextualSpacing/>
              <w:jc w:val="both"/>
              <w:rPr>
                <w:sz w:val="22"/>
                <w:szCs w:val="22"/>
              </w:rPr>
            </w:pPr>
            <w:r w:rsidRPr="001E47AD">
              <w:rPr>
                <w:noProof/>
                <w:sz w:val="20"/>
                <w:szCs w:val="20"/>
              </w:rPr>
              <w:drawing>
                <wp:inline distT="0" distB="0" distL="0" distR="0" wp14:anchorId="5BEAAF71" wp14:editId="55597969">
                  <wp:extent cx="2691994" cy="1635043"/>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4506" cy="1636569"/>
                          </a:xfrm>
                          <a:prstGeom prst="rect">
                            <a:avLst/>
                          </a:prstGeom>
                          <a:noFill/>
                          <a:ln>
                            <a:noFill/>
                          </a:ln>
                        </pic:spPr>
                      </pic:pic>
                    </a:graphicData>
                  </a:graphic>
                </wp:inline>
              </w:drawing>
            </w:r>
          </w:p>
        </w:tc>
        <w:tc>
          <w:tcPr>
            <w:tcW w:w="0" w:type="auto"/>
          </w:tcPr>
          <w:p w14:paraId="12E5DF5B" w14:textId="77777777" w:rsidR="00AB3724" w:rsidRPr="001E47AD" w:rsidRDefault="00AB3724" w:rsidP="00E52B60">
            <w:pPr>
              <w:pStyle w:val="ListParagraph"/>
              <w:numPr>
                <w:ilvl w:val="0"/>
                <w:numId w:val="25"/>
              </w:numPr>
              <w:spacing w:after="0" w:line="240" w:lineRule="auto"/>
              <w:jc w:val="center"/>
              <w:rPr>
                <w:rFonts w:ascii="Times New Roman" w:hAnsi="Times New Roman" w:cs="Times New Roman"/>
                <w:noProof/>
                <w:sz w:val="20"/>
                <w:szCs w:val="20"/>
              </w:rPr>
            </w:pPr>
            <w:r w:rsidRPr="001E47AD">
              <w:rPr>
                <w:rFonts w:ascii="Times New Roman" w:hAnsi="Times New Roman" w:cs="Times New Roman"/>
                <w:noProof/>
                <w:sz w:val="20"/>
                <w:szCs w:val="20"/>
              </w:rPr>
              <w:t>Product Variety</w:t>
            </w:r>
          </w:p>
          <w:p w14:paraId="17B65D82" w14:textId="24A5FDCC" w:rsidR="00AB3724" w:rsidRPr="001E47AD" w:rsidRDefault="0086223B" w:rsidP="00E52B60">
            <w:pPr>
              <w:contextualSpacing/>
              <w:jc w:val="center"/>
              <w:rPr>
                <w:sz w:val="22"/>
                <w:szCs w:val="22"/>
              </w:rPr>
            </w:pPr>
            <w:r w:rsidRPr="001E47AD">
              <w:rPr>
                <w:noProof/>
                <w:sz w:val="22"/>
                <w:szCs w:val="22"/>
              </w:rPr>
              <w:drawing>
                <wp:inline distT="0" distB="0" distL="0" distR="0" wp14:anchorId="0886089F" wp14:editId="68E3C915">
                  <wp:extent cx="2647346" cy="160832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5513" cy="1613283"/>
                          </a:xfrm>
                          <a:prstGeom prst="rect">
                            <a:avLst/>
                          </a:prstGeom>
                          <a:noFill/>
                          <a:ln>
                            <a:noFill/>
                          </a:ln>
                        </pic:spPr>
                      </pic:pic>
                    </a:graphicData>
                  </a:graphic>
                </wp:inline>
              </w:drawing>
            </w:r>
          </w:p>
        </w:tc>
      </w:tr>
      <w:tr w:rsidR="00393153" w:rsidRPr="001E47AD" w14:paraId="5C374EE0" w14:textId="77777777" w:rsidTr="004C56E7">
        <w:tc>
          <w:tcPr>
            <w:tcW w:w="0" w:type="auto"/>
          </w:tcPr>
          <w:p w14:paraId="62E5EAA5" w14:textId="77777777" w:rsidR="00AB3724" w:rsidRPr="001E47AD" w:rsidRDefault="00B962D3" w:rsidP="00E52B60">
            <w:pPr>
              <w:contextualSpacing/>
              <w:jc w:val="both"/>
              <w:rPr>
                <w:sz w:val="22"/>
                <w:szCs w:val="22"/>
              </w:rPr>
            </w:pPr>
            <w:r w:rsidRPr="001E47AD">
              <w:rPr>
                <w:noProof/>
                <w:sz w:val="22"/>
                <w:szCs w:val="22"/>
              </w:rPr>
              <w:drawing>
                <wp:inline distT="0" distB="0" distL="0" distR="0" wp14:anchorId="511596F1" wp14:editId="07CCC1FC">
                  <wp:extent cx="2677363" cy="1626557"/>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7363" cy="1626557"/>
                          </a:xfrm>
                          <a:prstGeom prst="rect">
                            <a:avLst/>
                          </a:prstGeom>
                          <a:noFill/>
                          <a:ln>
                            <a:noFill/>
                          </a:ln>
                        </pic:spPr>
                      </pic:pic>
                    </a:graphicData>
                  </a:graphic>
                </wp:inline>
              </w:drawing>
            </w:r>
          </w:p>
        </w:tc>
        <w:tc>
          <w:tcPr>
            <w:tcW w:w="0" w:type="auto"/>
          </w:tcPr>
          <w:p w14:paraId="29679E06" w14:textId="77777777" w:rsidR="00AB3724" w:rsidRPr="001E47AD" w:rsidRDefault="00AB3724" w:rsidP="00E52B60">
            <w:pPr>
              <w:contextualSpacing/>
              <w:jc w:val="both"/>
              <w:rPr>
                <w:sz w:val="22"/>
                <w:szCs w:val="22"/>
              </w:rPr>
            </w:pPr>
            <w:r w:rsidRPr="001E47AD">
              <w:rPr>
                <w:noProof/>
                <w:sz w:val="20"/>
                <w:szCs w:val="20"/>
              </w:rPr>
              <w:drawing>
                <wp:inline distT="0" distB="0" distL="0" distR="0" wp14:anchorId="46EC7038" wp14:editId="237F9DEA">
                  <wp:extent cx="2713939" cy="164837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3939" cy="1648372"/>
                          </a:xfrm>
                          <a:prstGeom prst="rect">
                            <a:avLst/>
                          </a:prstGeom>
                          <a:noFill/>
                          <a:ln>
                            <a:noFill/>
                          </a:ln>
                        </pic:spPr>
                      </pic:pic>
                    </a:graphicData>
                  </a:graphic>
                </wp:inline>
              </w:drawing>
            </w:r>
          </w:p>
        </w:tc>
        <w:tc>
          <w:tcPr>
            <w:tcW w:w="0" w:type="auto"/>
          </w:tcPr>
          <w:p w14:paraId="07261D1B" w14:textId="2F77E3F0" w:rsidR="00AB3724" w:rsidRPr="001E47AD" w:rsidRDefault="004156BD" w:rsidP="00E52B60">
            <w:pPr>
              <w:contextualSpacing/>
              <w:jc w:val="center"/>
              <w:rPr>
                <w:sz w:val="22"/>
                <w:szCs w:val="22"/>
              </w:rPr>
            </w:pPr>
            <w:r w:rsidRPr="001E47AD">
              <w:rPr>
                <w:noProof/>
              </w:rPr>
              <w:drawing>
                <wp:inline distT="0" distB="0" distL="0" distR="0" wp14:anchorId="25704BC6" wp14:editId="6017BFBF">
                  <wp:extent cx="2647784" cy="1635649"/>
                  <wp:effectExtent l="0" t="0" r="63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7406" cy="1635416"/>
                          </a:xfrm>
                          <a:prstGeom prst="rect">
                            <a:avLst/>
                          </a:prstGeom>
                          <a:noFill/>
                          <a:ln>
                            <a:noFill/>
                          </a:ln>
                        </pic:spPr>
                      </pic:pic>
                    </a:graphicData>
                  </a:graphic>
                </wp:inline>
              </w:drawing>
            </w:r>
          </w:p>
        </w:tc>
      </w:tr>
    </w:tbl>
    <w:p w14:paraId="50D9DECF" w14:textId="6A6E5301" w:rsidR="0003607C" w:rsidRPr="001E47AD" w:rsidRDefault="00AB3724" w:rsidP="009451C2">
      <w:pPr>
        <w:pStyle w:val="Caption"/>
      </w:pPr>
      <w:bookmarkStart w:id="44" w:name="_Ref515185789"/>
      <w:bookmarkStart w:id="45" w:name="_Toc520380527"/>
      <w:r w:rsidRPr="001E47AD">
        <w:t xml:space="preserve">Figure </w:t>
      </w:r>
      <w:r w:rsidRPr="001E47AD">
        <w:rPr>
          <w:b/>
        </w:rPr>
        <w:fldChar w:fldCharType="begin"/>
      </w:r>
      <w:r w:rsidRPr="001E47AD">
        <w:instrText xml:space="preserve"> SEQ Figure \* ARABIC </w:instrText>
      </w:r>
      <w:r w:rsidRPr="001E47AD">
        <w:rPr>
          <w:b/>
        </w:rPr>
        <w:fldChar w:fldCharType="separate"/>
      </w:r>
      <w:r w:rsidR="009E3444" w:rsidRPr="001E47AD">
        <w:t>3</w:t>
      </w:r>
      <w:r w:rsidRPr="001E47AD">
        <w:rPr>
          <w:b/>
        </w:rPr>
        <w:fldChar w:fldCharType="end"/>
      </w:r>
      <w:bookmarkEnd w:id="44"/>
      <w:r w:rsidRPr="001E47AD">
        <w:t>: Supply-Side Characteristics and Consumer Stoc</w:t>
      </w:r>
      <w:r w:rsidR="00CC6BD1" w:rsidRPr="001E47AD">
        <w:t>kpiling Propensity</w:t>
      </w:r>
      <w:r w:rsidR="002C707D" w:rsidRPr="001E47AD">
        <w:rPr>
          <w:rStyle w:val="FootnoteReference"/>
        </w:rPr>
        <w:footnoteReference w:id="20"/>
      </w:r>
    </w:p>
    <w:p w14:paraId="4EE49C19" w14:textId="77777777" w:rsidR="0003607C" w:rsidRPr="001E47AD" w:rsidRDefault="0003607C" w:rsidP="0003607C"/>
    <w:p w14:paraId="02C5C61D" w14:textId="77777777" w:rsidR="0003607C" w:rsidRPr="001E47AD" w:rsidRDefault="0003607C" w:rsidP="0003607C"/>
    <w:p w14:paraId="61550415" w14:textId="77777777" w:rsidR="0003607C" w:rsidRPr="001E47AD" w:rsidRDefault="0003607C" w:rsidP="0003607C"/>
    <w:p w14:paraId="7F3CA911" w14:textId="77777777" w:rsidR="0003607C" w:rsidRPr="001E47AD" w:rsidRDefault="0003607C" w:rsidP="0003607C"/>
    <w:p w14:paraId="0076AC0F" w14:textId="552EF593" w:rsidR="0003607C" w:rsidRPr="001E47AD" w:rsidRDefault="0003607C" w:rsidP="0003607C"/>
    <w:p w14:paraId="058FE0BF" w14:textId="6D6D9A75" w:rsidR="0003607C" w:rsidRPr="001E47AD" w:rsidRDefault="0003607C" w:rsidP="0003607C">
      <w:pPr>
        <w:jc w:val="center"/>
      </w:pPr>
    </w:p>
    <w:p w14:paraId="20CB65CE" w14:textId="7A3B06B1" w:rsidR="0003607C" w:rsidRPr="001E47AD" w:rsidRDefault="0003607C" w:rsidP="0003607C"/>
    <w:p w14:paraId="457CC057" w14:textId="77777777" w:rsidR="00782044" w:rsidRPr="001E47AD" w:rsidRDefault="00782044" w:rsidP="001554EB">
      <w:pPr>
        <w:sectPr w:rsidR="00782044" w:rsidRPr="001E47AD" w:rsidSect="00CC6BD1">
          <w:endnotePr>
            <w:numFmt w:val="decimal"/>
            <w:numRestart w:val="eachSect"/>
          </w:endnotePr>
          <w:pgSz w:w="15840" w:h="12240" w:orient="landscape"/>
          <w:pgMar w:top="1440" w:right="1440" w:bottom="1440" w:left="1440" w:header="720" w:footer="720" w:gutter="0"/>
          <w:cols w:space="720"/>
          <w:docGrid w:linePitch="360"/>
        </w:sectPr>
      </w:pPr>
    </w:p>
    <w:p w14:paraId="51459991" w14:textId="3D335A88" w:rsidR="00B4149A" w:rsidRPr="001E47AD" w:rsidRDefault="00B4149A" w:rsidP="008E3F63">
      <w:pPr>
        <w:pStyle w:val="Heading3"/>
        <w:numPr>
          <w:ilvl w:val="2"/>
          <w:numId w:val="23"/>
        </w:numPr>
        <w:spacing w:before="120" w:after="120"/>
        <w:contextualSpacing/>
        <w:rPr>
          <w:sz w:val="22"/>
          <w:szCs w:val="22"/>
        </w:rPr>
      </w:pPr>
      <w:bookmarkStart w:id="46" w:name="_Toc520380479"/>
      <w:bookmarkEnd w:id="45"/>
      <w:r w:rsidRPr="001E47AD">
        <w:rPr>
          <w:sz w:val="22"/>
          <w:szCs w:val="22"/>
        </w:rPr>
        <w:lastRenderedPageBreak/>
        <w:t>Demand-</w:t>
      </w:r>
      <w:bookmarkEnd w:id="46"/>
      <w:r w:rsidRPr="001E47AD">
        <w:rPr>
          <w:sz w:val="22"/>
          <w:szCs w:val="22"/>
        </w:rPr>
        <w:t>Side Characteristics</w:t>
      </w:r>
    </w:p>
    <w:p w14:paraId="76213EDE" w14:textId="7B90AFD1" w:rsidR="00B4149A" w:rsidRPr="001E47AD" w:rsidRDefault="00B4149A" w:rsidP="00700A02">
      <w:pPr>
        <w:spacing w:before="120" w:after="120" w:line="480" w:lineRule="auto"/>
        <w:contextualSpacing/>
        <w:jc w:val="both"/>
        <w:rPr>
          <w:sz w:val="22"/>
          <w:szCs w:val="22"/>
        </w:rPr>
      </w:pPr>
      <w:r w:rsidRPr="001E47AD">
        <w:rPr>
          <w:sz w:val="22"/>
          <w:szCs w:val="22"/>
        </w:rPr>
        <w:t xml:space="preserve">We first explore the relationship between recent hurricane experience and consumer stockpiling propensity. Individuals with more hurricane experience may </w:t>
      </w:r>
      <w:r w:rsidRPr="001E47AD">
        <w:rPr>
          <w:noProof/>
          <w:sz w:val="22"/>
          <w:szCs w:val="22"/>
        </w:rPr>
        <w:t>stockpile</w:t>
      </w:r>
      <w:r w:rsidRPr="001E47AD">
        <w:rPr>
          <w:sz w:val="22"/>
          <w:szCs w:val="22"/>
        </w:rPr>
        <w:t xml:space="preserve"> </w:t>
      </w:r>
      <w:r w:rsidR="00626E2D" w:rsidRPr="001E47AD">
        <w:rPr>
          <w:sz w:val="22"/>
          <w:szCs w:val="22"/>
        </w:rPr>
        <w:t>greater amounts</w:t>
      </w:r>
      <w:r w:rsidRPr="001E47AD">
        <w:rPr>
          <w:sz w:val="22"/>
          <w:szCs w:val="22"/>
        </w:rPr>
        <w:t xml:space="preserve"> due to </w:t>
      </w:r>
      <w:r w:rsidRPr="001E47AD">
        <w:rPr>
          <w:noProof/>
          <w:sz w:val="22"/>
          <w:szCs w:val="22"/>
        </w:rPr>
        <w:t>high</w:t>
      </w:r>
      <w:r w:rsidR="005C71C2" w:rsidRPr="001E47AD">
        <w:rPr>
          <w:noProof/>
          <w:sz w:val="22"/>
          <w:szCs w:val="22"/>
        </w:rPr>
        <w:t>er</w:t>
      </w:r>
      <w:r w:rsidRPr="001E47AD">
        <w:rPr>
          <w:sz w:val="22"/>
          <w:szCs w:val="22"/>
        </w:rPr>
        <w:t xml:space="preserve"> perceived risk</w:t>
      </w:r>
      <w:r w:rsidR="00626E2D" w:rsidRPr="001E47AD">
        <w:rPr>
          <w:sz w:val="22"/>
          <w:szCs w:val="22"/>
        </w:rPr>
        <w:t>,</w:t>
      </w:r>
      <w:r w:rsidRPr="001E47AD">
        <w:rPr>
          <w:sz w:val="22"/>
          <w:szCs w:val="22"/>
        </w:rPr>
        <w:t xml:space="preserve"> or stockpile less due to seasonal preparedness or psychological inoculation. In Model 1.4, the coefficient of </w:t>
      </w:r>
      <m:oMath>
        <m:r>
          <m:rPr>
            <m:sty m:val="p"/>
          </m:rPr>
          <w:rPr>
            <w:rFonts w:ascii="Cambria Math" w:hAnsi="Cambria Math"/>
            <w:sz w:val="22"/>
            <w:szCs w:val="22"/>
          </w:rPr>
          <m:t>HUR_EXP_STATE</m:t>
        </m:r>
      </m:oMath>
      <w:r w:rsidRPr="001E47AD">
        <w:rPr>
          <w:sz w:val="22"/>
          <w:szCs w:val="22"/>
        </w:rPr>
        <w:t xml:space="preserve"> is </w:t>
      </w:r>
      <w:r w:rsidR="007739BB" w:rsidRPr="001E47AD">
        <w:rPr>
          <w:sz w:val="22"/>
          <w:szCs w:val="22"/>
        </w:rPr>
        <w:t>negative and insignificant (-0.503, p&gt;0.</w:t>
      </w:r>
      <w:r w:rsidRPr="001E47AD">
        <w:rPr>
          <w:sz w:val="22"/>
          <w:szCs w:val="22"/>
        </w:rPr>
        <w:t xml:space="preserve">1) and the </w:t>
      </w:r>
      <w:r w:rsidRPr="001E47AD">
        <w:rPr>
          <w:noProof/>
          <w:sz w:val="22"/>
          <w:szCs w:val="22"/>
        </w:rPr>
        <w:t>coefficient</w:t>
      </w:r>
      <w:r w:rsidRPr="001E47AD">
        <w:rPr>
          <w:sz w:val="22"/>
          <w:szCs w:val="22"/>
        </w:rPr>
        <w:t xml:space="preserve"> of </w:t>
      </w:r>
      <m:oMath>
        <m:sSup>
          <m:sSupPr>
            <m:ctrlPr>
              <w:rPr>
                <w:rFonts w:ascii="Cambria Math" w:hAnsi="Cambria Math"/>
                <w:sz w:val="22"/>
                <w:szCs w:val="22"/>
              </w:rPr>
            </m:ctrlPr>
          </m:sSupPr>
          <m:e>
            <m:r>
              <m:rPr>
                <m:sty m:val="p"/>
              </m:rPr>
              <w:rPr>
                <w:rFonts w:ascii="Cambria Math" w:hAnsi="Cambria Math"/>
                <w:sz w:val="22"/>
                <w:szCs w:val="22"/>
              </w:rPr>
              <m:t>(HUR_EXP_STATE</m:t>
            </m:r>
            <m:r>
              <m:rPr>
                <m:sty m:val="p"/>
              </m:rPr>
              <w:rPr>
                <w:rFonts w:ascii="Cambria Math" w:eastAsia="宋体" w:hAnsi="Cambria Math"/>
                <w:sz w:val="22"/>
                <w:szCs w:val="22"/>
              </w:rPr>
              <m:t>)</m:t>
            </m:r>
          </m:e>
          <m:sup>
            <m:r>
              <m:rPr>
                <m:sty m:val="p"/>
              </m:rPr>
              <w:rPr>
                <w:rFonts w:ascii="Cambria Math" w:hAnsi="Cambria Math"/>
                <w:sz w:val="22"/>
                <w:szCs w:val="22"/>
              </w:rPr>
              <m:t>2</m:t>
            </m:r>
          </m:sup>
        </m:sSup>
      </m:oMath>
      <w:r w:rsidRPr="001E47AD">
        <w:rPr>
          <w:sz w:val="22"/>
          <w:szCs w:val="22"/>
        </w:rPr>
        <w:t xml:space="preserve"> </w:t>
      </w:r>
      <w:r w:rsidR="007739BB" w:rsidRPr="001E47AD">
        <w:rPr>
          <w:noProof/>
          <w:sz w:val="22"/>
          <w:szCs w:val="22"/>
        </w:rPr>
        <w:t>is postive</w:t>
      </w:r>
      <w:r w:rsidRPr="001E47AD">
        <w:rPr>
          <w:noProof/>
          <w:sz w:val="22"/>
          <w:szCs w:val="22"/>
        </w:rPr>
        <w:t xml:space="preserve"> and significant </w:t>
      </w:r>
      <w:r w:rsidR="007739BB" w:rsidRPr="001E47AD">
        <w:rPr>
          <w:noProof/>
          <w:sz w:val="22"/>
          <w:szCs w:val="22"/>
        </w:rPr>
        <w:t>(0.654</w:t>
      </w:r>
      <w:r w:rsidRPr="001E47AD">
        <w:rPr>
          <w:noProof/>
          <w:sz w:val="22"/>
          <w:szCs w:val="22"/>
        </w:rPr>
        <w:t>, p&lt;0.1).</w:t>
      </w:r>
      <w:r w:rsidRPr="001E47AD">
        <w:rPr>
          <w:sz w:val="22"/>
          <w:szCs w:val="22"/>
        </w:rPr>
        <w:t xml:space="preserve"> </w:t>
      </w:r>
      <w:r w:rsidR="00680550" w:rsidRPr="001E47AD">
        <w:rPr>
          <w:sz w:val="22"/>
          <w:szCs w:val="22"/>
        </w:rPr>
        <w:t xml:space="preserve">In </w:t>
      </w:r>
      <w:r w:rsidR="00680550" w:rsidRPr="001E47AD">
        <w:rPr>
          <w:sz w:val="22"/>
          <w:szCs w:val="22"/>
        </w:rPr>
        <w:fldChar w:fldCharType="begin"/>
      </w:r>
      <w:r w:rsidR="00680550" w:rsidRPr="001E47AD">
        <w:rPr>
          <w:sz w:val="22"/>
          <w:szCs w:val="22"/>
        </w:rPr>
        <w:instrText xml:space="preserve"> REF _Ref515185883 \h </w:instrText>
      </w:r>
      <w:r w:rsidR="00790DBD" w:rsidRPr="001E47AD">
        <w:rPr>
          <w:sz w:val="22"/>
          <w:szCs w:val="22"/>
        </w:rPr>
        <w:instrText xml:space="preserve"> \* MERGEFORMAT </w:instrText>
      </w:r>
      <w:r w:rsidR="00680550" w:rsidRPr="001E47AD">
        <w:rPr>
          <w:sz w:val="22"/>
          <w:szCs w:val="22"/>
        </w:rPr>
      </w:r>
      <w:r w:rsidR="00680550" w:rsidRPr="001E47AD">
        <w:rPr>
          <w:sz w:val="22"/>
          <w:szCs w:val="22"/>
        </w:rPr>
        <w:fldChar w:fldCharType="separate"/>
      </w:r>
      <w:r w:rsidR="009E3444" w:rsidRPr="001E47AD">
        <w:rPr>
          <w:sz w:val="22"/>
          <w:szCs w:val="22"/>
        </w:rPr>
        <w:t>Figure 4</w:t>
      </w:r>
      <w:r w:rsidR="00680550" w:rsidRPr="001E47AD">
        <w:rPr>
          <w:sz w:val="22"/>
          <w:szCs w:val="22"/>
        </w:rPr>
        <w:fldChar w:fldCharType="end"/>
      </w:r>
      <w:r w:rsidR="00911E90" w:rsidRPr="001E47AD">
        <w:rPr>
          <w:sz w:val="22"/>
          <w:szCs w:val="22"/>
        </w:rPr>
        <w:t>(a)</w:t>
      </w:r>
      <w:r w:rsidR="00680550" w:rsidRPr="001E47AD">
        <w:rPr>
          <w:sz w:val="22"/>
          <w:szCs w:val="22"/>
        </w:rPr>
        <w:t>, the</w:t>
      </w:r>
      <w:r w:rsidRPr="001E47AD">
        <w:rPr>
          <w:sz w:val="22"/>
          <w:szCs w:val="22"/>
        </w:rPr>
        <w:t xml:space="preserve"> results demonstrate </w:t>
      </w:r>
      <w:r w:rsidR="00625542" w:rsidRPr="001E47AD">
        <w:rPr>
          <w:sz w:val="22"/>
          <w:szCs w:val="22"/>
          <w:lang w:eastAsia="zh-CN"/>
        </w:rPr>
        <w:t>an increasing</w:t>
      </w:r>
      <w:r w:rsidRPr="001E47AD">
        <w:rPr>
          <w:noProof/>
          <w:sz w:val="22"/>
          <w:szCs w:val="22"/>
        </w:rPr>
        <w:t xml:space="preserve"> con</w:t>
      </w:r>
      <w:r w:rsidR="00625542" w:rsidRPr="001E47AD">
        <w:rPr>
          <w:noProof/>
          <w:sz w:val="22"/>
          <w:szCs w:val="22"/>
          <w:lang w:eastAsia="zh-CN"/>
        </w:rPr>
        <w:t>vex</w:t>
      </w:r>
      <w:r w:rsidRPr="001E47AD">
        <w:rPr>
          <w:sz w:val="22"/>
          <w:szCs w:val="22"/>
        </w:rPr>
        <w:t xml:space="preserve"> </w:t>
      </w:r>
      <w:r w:rsidRPr="001E47AD">
        <w:rPr>
          <w:noProof/>
          <w:sz w:val="22"/>
          <w:szCs w:val="22"/>
        </w:rPr>
        <w:t>relationship</w:t>
      </w:r>
      <w:r w:rsidR="002768C0" w:rsidRPr="001E47AD">
        <w:rPr>
          <w:noProof/>
          <w:sz w:val="22"/>
          <w:szCs w:val="22"/>
        </w:rPr>
        <w:t>, with stockpiling</w:t>
      </w:r>
      <w:r w:rsidRPr="001E47AD">
        <w:rPr>
          <w:sz w:val="22"/>
          <w:szCs w:val="22"/>
        </w:rPr>
        <w:t xml:space="preserve"> </w:t>
      </w:r>
      <w:r w:rsidR="00302A38" w:rsidRPr="001E47AD">
        <w:rPr>
          <w:sz w:val="22"/>
          <w:szCs w:val="22"/>
        </w:rPr>
        <w:t>reaching</w:t>
      </w:r>
      <w:r w:rsidR="002768C0" w:rsidRPr="001E47AD">
        <w:rPr>
          <w:sz w:val="22"/>
          <w:szCs w:val="22"/>
        </w:rPr>
        <w:t xml:space="preserve"> a</w:t>
      </w:r>
      <w:r w:rsidR="00302A38" w:rsidRPr="001E47AD">
        <w:rPr>
          <w:sz w:val="22"/>
          <w:szCs w:val="22"/>
        </w:rPr>
        <w:t xml:space="preserve"> </w:t>
      </w:r>
      <w:r w:rsidR="00302A38" w:rsidRPr="001E47AD">
        <w:rPr>
          <w:noProof/>
          <w:sz w:val="22"/>
          <w:szCs w:val="22"/>
        </w:rPr>
        <w:t>maximum</w:t>
      </w:r>
      <w:r w:rsidR="00302A38" w:rsidRPr="001E47AD">
        <w:rPr>
          <w:sz w:val="22"/>
          <w:szCs w:val="22"/>
        </w:rPr>
        <w:t xml:space="preserve"> at 1</w:t>
      </w:r>
      <w:r w:rsidR="0048643A" w:rsidRPr="001E47AD">
        <w:rPr>
          <w:sz w:val="22"/>
          <w:szCs w:val="22"/>
        </w:rPr>
        <w:t>4</w:t>
      </w:r>
      <w:r w:rsidR="00302A38" w:rsidRPr="001E47AD">
        <w:rPr>
          <w:sz w:val="22"/>
          <w:szCs w:val="22"/>
        </w:rPr>
        <w:t xml:space="preserve"> landfalls</w:t>
      </w:r>
      <w:r w:rsidR="00625542" w:rsidRPr="001E47AD">
        <w:rPr>
          <w:sz w:val="22"/>
          <w:szCs w:val="22"/>
          <w:lang w:eastAsia="zh-CN"/>
        </w:rPr>
        <w:t xml:space="preserve">. </w:t>
      </w:r>
      <w:r w:rsidR="00625542" w:rsidRPr="001E47AD">
        <w:rPr>
          <w:sz w:val="22"/>
          <w:szCs w:val="22"/>
        </w:rPr>
        <w:t xml:space="preserve">We note that among the 25 sample states, Florida </w:t>
      </w:r>
      <w:r w:rsidR="00C60746" w:rsidRPr="001E47AD">
        <w:rPr>
          <w:sz w:val="22"/>
          <w:szCs w:val="22"/>
          <w:lang w:eastAsia="zh-CN"/>
        </w:rPr>
        <w:t xml:space="preserve">and North Carolina </w:t>
      </w:r>
      <w:r w:rsidR="00F462FB" w:rsidRPr="001E47AD">
        <w:rPr>
          <w:sz w:val="22"/>
          <w:szCs w:val="22"/>
          <w:lang w:eastAsia="zh-CN"/>
        </w:rPr>
        <w:t>are</w:t>
      </w:r>
      <w:r w:rsidR="00C60746" w:rsidRPr="001E47AD">
        <w:rPr>
          <w:sz w:val="22"/>
          <w:szCs w:val="22"/>
        </w:rPr>
        <w:t xml:space="preserve"> the</w:t>
      </w:r>
      <w:r w:rsidR="002768C0" w:rsidRPr="001E47AD">
        <w:rPr>
          <w:sz w:val="22"/>
          <w:szCs w:val="22"/>
        </w:rPr>
        <w:t xml:space="preserve"> only</w:t>
      </w:r>
      <w:r w:rsidR="00C60746" w:rsidRPr="001E47AD">
        <w:rPr>
          <w:sz w:val="22"/>
          <w:szCs w:val="22"/>
        </w:rPr>
        <w:t xml:space="preserve"> </w:t>
      </w:r>
      <w:r w:rsidR="00C60746" w:rsidRPr="001E47AD">
        <w:rPr>
          <w:sz w:val="22"/>
          <w:szCs w:val="22"/>
          <w:lang w:eastAsia="zh-CN"/>
        </w:rPr>
        <w:t xml:space="preserve">two </w:t>
      </w:r>
      <w:r w:rsidR="00C60746" w:rsidRPr="001E47AD">
        <w:rPr>
          <w:sz w:val="22"/>
          <w:szCs w:val="22"/>
        </w:rPr>
        <w:t>states</w:t>
      </w:r>
      <w:r w:rsidR="00625542" w:rsidRPr="001E47AD">
        <w:rPr>
          <w:sz w:val="22"/>
          <w:szCs w:val="22"/>
        </w:rPr>
        <w:t xml:space="preserve"> that experienced </w:t>
      </w:r>
      <w:r w:rsidR="00C60746" w:rsidRPr="001E47AD">
        <w:rPr>
          <w:sz w:val="22"/>
          <w:szCs w:val="22"/>
          <w:lang w:eastAsia="zh-CN"/>
        </w:rPr>
        <w:t>over 10</w:t>
      </w:r>
      <w:r w:rsidR="00625542" w:rsidRPr="001E47AD">
        <w:rPr>
          <w:sz w:val="22"/>
          <w:szCs w:val="22"/>
          <w:lang w:eastAsia="zh-CN"/>
        </w:rPr>
        <w:t xml:space="preserve"> </w:t>
      </w:r>
      <w:r w:rsidR="00625542" w:rsidRPr="001E47AD">
        <w:rPr>
          <w:sz w:val="22"/>
          <w:szCs w:val="22"/>
        </w:rPr>
        <w:t>landfalls during the past 20 years</w:t>
      </w:r>
      <w:r w:rsidR="00C60746" w:rsidRPr="001E47AD">
        <w:rPr>
          <w:sz w:val="22"/>
          <w:szCs w:val="22"/>
          <w:lang w:eastAsia="zh-CN"/>
        </w:rPr>
        <w:t xml:space="preserve">, while the </w:t>
      </w:r>
      <w:r w:rsidR="00F50D8B" w:rsidRPr="001E47AD">
        <w:rPr>
          <w:sz w:val="22"/>
          <w:szCs w:val="22"/>
          <w:lang w:eastAsia="zh-CN"/>
        </w:rPr>
        <w:t xml:space="preserve">remaining </w:t>
      </w:r>
      <w:r w:rsidR="002768C0" w:rsidRPr="001E47AD">
        <w:rPr>
          <w:sz w:val="22"/>
          <w:szCs w:val="22"/>
          <w:lang w:eastAsia="zh-CN"/>
        </w:rPr>
        <w:t>states</w:t>
      </w:r>
      <w:r w:rsidR="00C60746" w:rsidRPr="001E47AD">
        <w:rPr>
          <w:sz w:val="22"/>
          <w:szCs w:val="22"/>
          <w:lang w:eastAsia="zh-CN"/>
        </w:rPr>
        <w:t xml:space="preserve"> experienced </w:t>
      </w:r>
      <w:r w:rsidR="002768C0" w:rsidRPr="001E47AD">
        <w:rPr>
          <w:sz w:val="22"/>
          <w:szCs w:val="22"/>
          <w:lang w:eastAsia="zh-CN"/>
        </w:rPr>
        <w:t xml:space="preserve">only </w:t>
      </w:r>
      <w:r w:rsidR="00F50D8B" w:rsidRPr="001E47AD">
        <w:rPr>
          <w:sz w:val="22"/>
          <w:szCs w:val="22"/>
          <w:lang w:eastAsia="zh-CN"/>
        </w:rPr>
        <w:t xml:space="preserve">up </w:t>
      </w:r>
      <w:r w:rsidR="00C60746" w:rsidRPr="001E47AD">
        <w:rPr>
          <w:sz w:val="22"/>
          <w:szCs w:val="22"/>
          <w:lang w:eastAsia="zh-CN"/>
        </w:rPr>
        <w:t>to 2 landfalls</w:t>
      </w:r>
      <w:r w:rsidR="00625542" w:rsidRPr="001E47AD">
        <w:rPr>
          <w:sz w:val="22"/>
          <w:szCs w:val="22"/>
        </w:rPr>
        <w:t>.</w:t>
      </w:r>
      <w:r w:rsidR="00302A38" w:rsidRPr="001E47AD">
        <w:rPr>
          <w:sz w:val="22"/>
          <w:szCs w:val="22"/>
        </w:rPr>
        <w:t xml:space="preserve"> </w:t>
      </w:r>
      <w:r w:rsidR="00AB5663" w:rsidRPr="001E47AD">
        <w:rPr>
          <w:sz w:val="22"/>
          <w:szCs w:val="22"/>
        </w:rPr>
        <w:t xml:space="preserve">Consumer stockpiling propensity </w:t>
      </w:r>
      <w:r w:rsidR="002768C0" w:rsidRPr="001E47AD">
        <w:rPr>
          <w:sz w:val="22"/>
          <w:szCs w:val="22"/>
          <w:lang w:eastAsia="zh-CN"/>
        </w:rPr>
        <w:t xml:space="preserve">at an experience level of </w:t>
      </w:r>
      <w:r w:rsidR="00C60746" w:rsidRPr="001E47AD">
        <w:rPr>
          <w:sz w:val="22"/>
          <w:szCs w:val="22"/>
          <w:lang w:eastAsia="zh-CN"/>
        </w:rPr>
        <w:t>1</w:t>
      </w:r>
      <w:r w:rsidR="00266408" w:rsidRPr="001E47AD">
        <w:rPr>
          <w:sz w:val="22"/>
          <w:szCs w:val="22"/>
          <w:lang w:eastAsia="zh-CN"/>
        </w:rPr>
        <w:t>0</w:t>
      </w:r>
      <w:r w:rsidR="00C60746" w:rsidRPr="001E47AD">
        <w:rPr>
          <w:sz w:val="22"/>
          <w:szCs w:val="22"/>
          <w:lang w:eastAsia="zh-CN"/>
        </w:rPr>
        <w:t xml:space="preserve"> </w:t>
      </w:r>
      <w:r w:rsidR="00010395" w:rsidRPr="001E47AD">
        <w:rPr>
          <w:sz w:val="22"/>
          <w:szCs w:val="22"/>
          <w:lang w:eastAsia="zh-CN"/>
        </w:rPr>
        <w:t>landfalls</w:t>
      </w:r>
      <w:r w:rsidR="00C60746" w:rsidRPr="001E47AD">
        <w:rPr>
          <w:sz w:val="22"/>
          <w:szCs w:val="22"/>
          <w:lang w:eastAsia="zh-CN"/>
        </w:rPr>
        <w:t xml:space="preserve"> </w:t>
      </w:r>
      <w:r w:rsidR="00371BAF" w:rsidRPr="001E47AD">
        <w:rPr>
          <w:sz w:val="22"/>
          <w:szCs w:val="22"/>
          <w:lang w:eastAsia="zh-CN"/>
        </w:rPr>
        <w:t xml:space="preserve">(75th percentile) </w:t>
      </w:r>
      <w:r w:rsidR="00A2258E" w:rsidRPr="001E47AD">
        <w:rPr>
          <w:sz w:val="22"/>
          <w:szCs w:val="22"/>
          <w:lang w:eastAsia="zh-CN"/>
        </w:rPr>
        <w:t xml:space="preserve">is </w:t>
      </w:r>
      <w:r w:rsidR="00266408" w:rsidRPr="001E47AD">
        <w:rPr>
          <w:sz w:val="22"/>
          <w:szCs w:val="22"/>
          <w:lang w:eastAsia="zh-CN"/>
        </w:rPr>
        <w:t>6</w:t>
      </w:r>
      <w:r w:rsidR="00302A38" w:rsidRPr="001E47AD">
        <w:rPr>
          <w:sz w:val="22"/>
          <w:szCs w:val="22"/>
        </w:rPr>
        <w:t>%</w:t>
      </w:r>
      <w:r w:rsidR="00A2258E" w:rsidRPr="001E47AD">
        <w:rPr>
          <w:sz w:val="22"/>
          <w:szCs w:val="22"/>
          <w:lang w:eastAsia="zh-CN"/>
        </w:rPr>
        <w:t xml:space="preserve"> higher</w:t>
      </w:r>
      <w:r w:rsidR="00AB5663" w:rsidRPr="001E47AD">
        <w:rPr>
          <w:sz w:val="22"/>
          <w:szCs w:val="22"/>
          <w:lang w:eastAsia="zh-CN"/>
        </w:rPr>
        <w:t xml:space="preserve"> than </w:t>
      </w:r>
      <w:r w:rsidR="002768C0" w:rsidRPr="001E47AD">
        <w:rPr>
          <w:sz w:val="22"/>
          <w:szCs w:val="22"/>
          <w:lang w:eastAsia="zh-CN"/>
        </w:rPr>
        <w:t xml:space="preserve">stockpiling propensity at </w:t>
      </w:r>
      <w:r w:rsidR="00AB5663" w:rsidRPr="001E47AD">
        <w:rPr>
          <w:sz w:val="22"/>
          <w:szCs w:val="22"/>
          <w:lang w:eastAsia="zh-CN"/>
        </w:rPr>
        <w:t>0</w:t>
      </w:r>
      <w:r w:rsidR="00AB5663" w:rsidRPr="001E47AD">
        <w:rPr>
          <w:sz w:val="22"/>
          <w:szCs w:val="22"/>
        </w:rPr>
        <w:t xml:space="preserve"> landfalls</w:t>
      </w:r>
      <w:r w:rsidR="00371BAF" w:rsidRPr="001E47AD">
        <w:rPr>
          <w:sz w:val="22"/>
          <w:szCs w:val="22"/>
        </w:rPr>
        <w:t xml:space="preserve"> (25th percentile)</w:t>
      </w:r>
      <w:r w:rsidR="00302A38" w:rsidRPr="001E47AD">
        <w:rPr>
          <w:sz w:val="22"/>
          <w:szCs w:val="22"/>
        </w:rPr>
        <w:t xml:space="preserve">. </w:t>
      </w:r>
      <w:r w:rsidRPr="001E47AD">
        <w:rPr>
          <w:sz w:val="22"/>
          <w:szCs w:val="22"/>
        </w:rPr>
        <w:t xml:space="preserve">Overall, </w:t>
      </w:r>
      <w:r w:rsidRPr="001E47AD">
        <w:rPr>
          <w:noProof/>
          <w:sz w:val="22"/>
          <w:szCs w:val="22"/>
        </w:rPr>
        <w:t>high</w:t>
      </w:r>
      <w:r w:rsidR="00222264" w:rsidRPr="001E47AD">
        <w:rPr>
          <w:noProof/>
          <w:sz w:val="22"/>
          <w:szCs w:val="22"/>
        </w:rPr>
        <w:t>-</w:t>
      </w:r>
      <w:r w:rsidRPr="001E47AD">
        <w:rPr>
          <w:noProof/>
          <w:sz w:val="22"/>
          <w:szCs w:val="22"/>
        </w:rPr>
        <w:t>risk</w:t>
      </w:r>
      <w:r w:rsidRPr="001E47AD">
        <w:rPr>
          <w:sz w:val="22"/>
          <w:szCs w:val="22"/>
        </w:rPr>
        <w:t xml:space="preserve"> perception due to recent hurricane experience </w:t>
      </w:r>
      <w:r w:rsidR="002768C0" w:rsidRPr="001E47AD">
        <w:rPr>
          <w:sz w:val="22"/>
          <w:szCs w:val="22"/>
        </w:rPr>
        <w:t>appears to guide consumers in increasing their stockpiling behaviors.</w:t>
      </w:r>
    </w:p>
    <w:p w14:paraId="7475B9C4" w14:textId="5D5FD129" w:rsidR="0029736C" w:rsidRPr="001E47AD" w:rsidRDefault="0029736C" w:rsidP="0029736C">
      <w:pPr>
        <w:spacing w:before="120" w:after="120" w:line="480" w:lineRule="auto"/>
        <w:ind w:firstLine="720"/>
        <w:contextualSpacing/>
        <w:jc w:val="both"/>
        <w:rPr>
          <w:sz w:val="22"/>
          <w:szCs w:val="22"/>
        </w:rPr>
      </w:pPr>
      <w:r w:rsidRPr="001E47AD">
        <w:rPr>
          <w:sz w:val="22"/>
          <w:szCs w:val="22"/>
        </w:rPr>
        <w:t>Next, we investigate the relationship between household income level</w:t>
      </w:r>
      <w:r w:rsidR="002768C0" w:rsidRPr="001E47AD">
        <w:rPr>
          <w:sz w:val="22"/>
          <w:szCs w:val="22"/>
        </w:rPr>
        <w:t>s</w:t>
      </w:r>
      <w:r w:rsidRPr="001E47AD">
        <w:rPr>
          <w:sz w:val="22"/>
          <w:szCs w:val="22"/>
        </w:rPr>
        <w:t xml:space="preserve"> and consumer stockpiling propensity. Consumers with a </w:t>
      </w:r>
      <w:r w:rsidRPr="001E47AD">
        <w:rPr>
          <w:noProof/>
          <w:sz w:val="22"/>
          <w:szCs w:val="22"/>
        </w:rPr>
        <w:t>high-income</w:t>
      </w:r>
      <w:r w:rsidRPr="001E47AD">
        <w:rPr>
          <w:sz w:val="22"/>
          <w:szCs w:val="22"/>
        </w:rPr>
        <w:t xml:space="preserve"> level may </w:t>
      </w:r>
      <w:r w:rsidRPr="001E47AD">
        <w:rPr>
          <w:noProof/>
          <w:sz w:val="22"/>
          <w:szCs w:val="22"/>
        </w:rPr>
        <w:t>stockpile</w:t>
      </w:r>
      <w:r w:rsidRPr="001E47AD">
        <w:rPr>
          <w:sz w:val="22"/>
          <w:szCs w:val="22"/>
        </w:rPr>
        <w:t xml:space="preserve"> more due to high purchasing power or stockpile less due to </w:t>
      </w:r>
      <w:r w:rsidR="002768C0" w:rsidRPr="001E47AD">
        <w:rPr>
          <w:sz w:val="22"/>
          <w:szCs w:val="22"/>
        </w:rPr>
        <w:t>greater ability to vacate the hurricane zone</w:t>
      </w:r>
      <w:r w:rsidRPr="001E47AD">
        <w:rPr>
          <w:sz w:val="22"/>
          <w:szCs w:val="22"/>
        </w:rPr>
        <w:t xml:space="preserve">. In Model 1.4, the coefficient of </w:t>
      </w:r>
      <m:oMath>
        <m:r>
          <m:rPr>
            <m:sty m:val="p"/>
          </m:rPr>
          <w:rPr>
            <w:rFonts w:ascii="Cambria Math" w:hAnsi="Cambria Math"/>
            <w:sz w:val="22"/>
            <w:szCs w:val="22"/>
          </w:rPr>
          <m:t>PER_CAPITA_INC</m:t>
        </m:r>
      </m:oMath>
      <w:r w:rsidRPr="001E47AD">
        <w:rPr>
          <w:sz w:val="22"/>
          <w:szCs w:val="22"/>
        </w:rPr>
        <w:t xml:space="preserve"> is positive and significant (93.358, p&lt;0.001) and the </w:t>
      </w:r>
      <w:r w:rsidRPr="001E47AD">
        <w:rPr>
          <w:noProof/>
          <w:sz w:val="22"/>
          <w:szCs w:val="22"/>
        </w:rPr>
        <w:t>coefficient</w:t>
      </w:r>
      <w:r w:rsidRPr="001E47AD">
        <w:rPr>
          <w:sz w:val="22"/>
          <w:szCs w:val="22"/>
        </w:rPr>
        <w:t xml:space="preserve"> of </w:t>
      </w:r>
      <m:oMath>
        <m:sSup>
          <m:sSupPr>
            <m:ctrlPr>
              <w:rPr>
                <w:rFonts w:ascii="Cambria Math" w:hAnsi="Cambria Math"/>
                <w:sz w:val="22"/>
                <w:szCs w:val="22"/>
              </w:rPr>
            </m:ctrlPr>
          </m:sSupPr>
          <m:e>
            <m:r>
              <m:rPr>
                <m:sty m:val="p"/>
              </m:rPr>
              <w:rPr>
                <w:rFonts w:ascii="Cambria Math" w:hAnsi="Cambria Math"/>
                <w:sz w:val="22"/>
                <w:szCs w:val="22"/>
              </w:rPr>
              <m:t>(PER_CAPITA_INC</m:t>
            </m:r>
            <m:r>
              <m:rPr>
                <m:sty m:val="p"/>
              </m:rPr>
              <w:rPr>
                <w:rFonts w:ascii="Cambria Math" w:eastAsia="宋体" w:hAnsi="Cambria Math"/>
                <w:sz w:val="22"/>
                <w:szCs w:val="22"/>
              </w:rPr>
              <m:t>)</m:t>
            </m:r>
          </m:e>
          <m:sup>
            <m:r>
              <m:rPr>
                <m:sty m:val="p"/>
              </m:rPr>
              <w:rPr>
                <w:rFonts w:ascii="Cambria Math" w:hAnsi="Cambria Math"/>
                <w:sz w:val="22"/>
                <w:szCs w:val="22"/>
              </w:rPr>
              <m:t>2</m:t>
            </m:r>
          </m:sup>
        </m:sSup>
      </m:oMath>
      <w:r w:rsidRPr="001E47AD">
        <w:rPr>
          <w:sz w:val="22"/>
          <w:szCs w:val="22"/>
        </w:rPr>
        <w:t xml:space="preserve"> </w:t>
      </w:r>
      <w:r w:rsidRPr="001E47AD">
        <w:rPr>
          <w:noProof/>
          <w:sz w:val="22"/>
          <w:szCs w:val="22"/>
        </w:rPr>
        <w:t>is negative and significant (-5.343, p&lt;0.001).</w:t>
      </w:r>
      <w:r w:rsidRPr="001E47AD">
        <w:rPr>
          <w:sz w:val="22"/>
          <w:szCs w:val="22"/>
        </w:rPr>
        <w:t xml:space="preserve"> </w:t>
      </w:r>
      <w:r w:rsidR="002768C0" w:rsidRPr="001E47AD">
        <w:rPr>
          <w:sz w:val="22"/>
          <w:szCs w:val="22"/>
        </w:rPr>
        <w:t>As shown i</w:t>
      </w:r>
      <w:r w:rsidRPr="001E47AD">
        <w:rPr>
          <w:sz w:val="22"/>
          <w:szCs w:val="22"/>
        </w:rPr>
        <w:t xml:space="preserve">n </w:t>
      </w:r>
      <w:r w:rsidRPr="001E47AD">
        <w:rPr>
          <w:sz w:val="22"/>
          <w:szCs w:val="22"/>
        </w:rPr>
        <w:fldChar w:fldCharType="begin"/>
      </w:r>
      <w:r w:rsidRPr="001E47AD">
        <w:rPr>
          <w:sz w:val="22"/>
          <w:szCs w:val="22"/>
        </w:rPr>
        <w:instrText xml:space="preserve"> REF _Ref515185883 \h  \* MERGEFORMAT </w:instrText>
      </w:r>
      <w:r w:rsidRPr="001E47AD">
        <w:rPr>
          <w:sz w:val="22"/>
          <w:szCs w:val="22"/>
        </w:rPr>
      </w:r>
      <w:r w:rsidRPr="001E47AD">
        <w:rPr>
          <w:sz w:val="22"/>
          <w:szCs w:val="22"/>
        </w:rPr>
        <w:fldChar w:fldCharType="separate"/>
      </w:r>
      <w:r w:rsidR="009E3444" w:rsidRPr="001E47AD">
        <w:rPr>
          <w:sz w:val="22"/>
          <w:szCs w:val="22"/>
        </w:rPr>
        <w:t>Figure 4</w:t>
      </w:r>
      <w:r w:rsidRPr="001E47AD">
        <w:rPr>
          <w:sz w:val="22"/>
          <w:szCs w:val="22"/>
        </w:rPr>
        <w:fldChar w:fldCharType="end"/>
      </w:r>
      <w:r w:rsidR="00911E90" w:rsidRPr="001E47AD">
        <w:rPr>
          <w:sz w:val="22"/>
          <w:szCs w:val="22"/>
        </w:rPr>
        <w:t>(b)</w:t>
      </w:r>
      <w:r w:rsidRPr="001E47AD">
        <w:rPr>
          <w:sz w:val="22"/>
          <w:szCs w:val="22"/>
        </w:rPr>
        <w:t xml:space="preserve">, the results imply a concave </w:t>
      </w:r>
      <w:r w:rsidRPr="001E47AD">
        <w:rPr>
          <w:noProof/>
          <w:sz w:val="22"/>
          <w:szCs w:val="22"/>
        </w:rPr>
        <w:t>relationship</w:t>
      </w:r>
      <w:r w:rsidRPr="001E47AD">
        <w:rPr>
          <w:sz w:val="22"/>
          <w:szCs w:val="22"/>
        </w:rPr>
        <w:t xml:space="preserve"> reaching a maximum</w:t>
      </w:r>
      <w:r w:rsidR="002768C0" w:rsidRPr="001E47AD">
        <w:rPr>
          <w:sz w:val="22"/>
          <w:szCs w:val="22"/>
        </w:rPr>
        <w:t xml:space="preserve"> stockpiling propensity</w:t>
      </w:r>
      <w:r w:rsidRPr="001E47AD">
        <w:rPr>
          <w:sz w:val="22"/>
          <w:szCs w:val="22"/>
        </w:rPr>
        <w:t xml:space="preserve"> at</w:t>
      </w:r>
      <w:r w:rsidR="002768C0" w:rsidRPr="001E47AD">
        <w:rPr>
          <w:sz w:val="22"/>
          <w:szCs w:val="22"/>
        </w:rPr>
        <w:t xml:space="preserve"> a</w:t>
      </w:r>
      <w:r w:rsidRPr="001E47AD">
        <w:rPr>
          <w:sz w:val="22"/>
          <w:szCs w:val="22"/>
        </w:rPr>
        <w:t xml:space="preserve"> </w:t>
      </w:r>
      <m:oMath>
        <m:r>
          <m:rPr>
            <m:sty m:val="p"/>
          </m:rPr>
          <w:rPr>
            <w:rFonts w:ascii="Cambria Math" w:hAnsi="Cambria Math"/>
            <w:sz w:val="22"/>
            <w:szCs w:val="22"/>
          </w:rPr>
          <m:t>PER_CAPITA_INC</m:t>
        </m:r>
      </m:oMath>
      <w:r w:rsidR="004E5B79" w:rsidRPr="001E47AD">
        <w:rPr>
          <w:sz w:val="22"/>
          <w:szCs w:val="22"/>
        </w:rPr>
        <w:t xml:space="preserve"> value of </w:t>
      </w:r>
      <w:r w:rsidR="00400FD2" w:rsidRPr="001E47AD">
        <w:rPr>
          <w:sz w:val="22"/>
          <w:szCs w:val="22"/>
        </w:rPr>
        <w:t>$</w:t>
      </w:r>
      <w:r w:rsidR="004E5B79" w:rsidRPr="001E47AD">
        <w:rPr>
          <w:sz w:val="22"/>
          <w:szCs w:val="22"/>
        </w:rPr>
        <w:t>87,</w:t>
      </w:r>
      <w:r w:rsidR="004E5B79" w:rsidRPr="001E47AD">
        <w:rPr>
          <w:sz w:val="22"/>
          <w:szCs w:val="22"/>
          <w:lang w:eastAsia="zh-CN"/>
        </w:rPr>
        <w:t>365</w:t>
      </w:r>
      <w:r w:rsidRPr="001E47AD">
        <w:rPr>
          <w:sz w:val="22"/>
          <w:szCs w:val="22"/>
        </w:rPr>
        <w:t xml:space="preserve">, with only four jurisdictions </w:t>
      </w:r>
      <w:r w:rsidRPr="001E47AD">
        <w:rPr>
          <w:noProof/>
          <w:sz w:val="22"/>
          <w:szCs w:val="22"/>
        </w:rPr>
        <w:t xml:space="preserve">of </w:t>
      </w:r>
      <w:r w:rsidRPr="001E47AD">
        <w:rPr>
          <w:sz w:val="22"/>
          <w:szCs w:val="22"/>
        </w:rPr>
        <w:t>the 963 counties (or separately incorporated cities) lying to the right of this point (i.e.</w:t>
      </w:r>
      <w:r w:rsidRPr="001E47AD">
        <w:rPr>
          <w:noProof/>
          <w:sz w:val="22"/>
          <w:szCs w:val="22"/>
        </w:rPr>
        <w:t>, having</w:t>
      </w:r>
      <w:r w:rsidRPr="001E47AD">
        <w:rPr>
          <w:sz w:val="22"/>
          <w:szCs w:val="22"/>
        </w:rPr>
        <w:t xml:space="preserve"> </w:t>
      </w:r>
      <w:r w:rsidR="004E5B79" w:rsidRPr="001E47AD">
        <w:rPr>
          <w:sz w:val="22"/>
          <w:szCs w:val="22"/>
        </w:rPr>
        <w:t>a per capita income over $87,</w:t>
      </w:r>
      <w:r w:rsidR="004E5B79" w:rsidRPr="001E47AD">
        <w:rPr>
          <w:sz w:val="22"/>
          <w:szCs w:val="22"/>
          <w:lang w:eastAsia="zh-CN"/>
        </w:rPr>
        <w:t>365</w:t>
      </w:r>
      <w:r w:rsidRPr="001E47AD">
        <w:rPr>
          <w:sz w:val="22"/>
          <w:szCs w:val="22"/>
        </w:rPr>
        <w:t>). Thus, our analysis reveals a predominantly incr</w:t>
      </w:r>
      <w:r w:rsidRPr="001E47AD">
        <w:rPr>
          <w:noProof/>
          <w:sz w:val="22"/>
          <w:szCs w:val="22"/>
        </w:rPr>
        <w:t>easing con</w:t>
      </w:r>
      <w:r w:rsidRPr="001E47AD">
        <w:rPr>
          <w:sz w:val="22"/>
          <w:szCs w:val="22"/>
        </w:rPr>
        <w:t xml:space="preserve">cave relationship between household income and stockpiling propensity, with consumer stockpiling propensity </w:t>
      </w:r>
      <w:r w:rsidRPr="001E47AD">
        <w:rPr>
          <w:noProof/>
          <w:sz w:val="22"/>
          <w:szCs w:val="22"/>
        </w:rPr>
        <w:t>increasing</w:t>
      </w:r>
      <w:r w:rsidRPr="001E47AD">
        <w:rPr>
          <w:sz w:val="22"/>
          <w:szCs w:val="22"/>
        </w:rPr>
        <w:t xml:space="preserve"> by </w:t>
      </w:r>
      <w:r w:rsidR="001650E1" w:rsidRPr="001E47AD">
        <w:rPr>
          <w:sz w:val="22"/>
          <w:szCs w:val="22"/>
          <w:lang w:eastAsia="zh-CN"/>
        </w:rPr>
        <w:t>9</w:t>
      </w:r>
      <w:r w:rsidRPr="001E47AD">
        <w:rPr>
          <w:sz w:val="22"/>
          <w:szCs w:val="22"/>
        </w:rPr>
        <w:t xml:space="preserve">% as household income increases from </w:t>
      </w:r>
      <w:r w:rsidR="008B7C6D" w:rsidRPr="001E47AD">
        <w:rPr>
          <w:sz w:val="22"/>
          <w:szCs w:val="22"/>
        </w:rPr>
        <w:t>$</w:t>
      </w:r>
      <w:r w:rsidR="00F94089" w:rsidRPr="001E47AD">
        <w:rPr>
          <w:sz w:val="22"/>
          <w:szCs w:val="22"/>
          <w:lang w:eastAsia="zh-CN"/>
        </w:rPr>
        <w:t>36,400</w:t>
      </w:r>
      <w:r w:rsidR="00AE4CA6" w:rsidRPr="001E47AD">
        <w:rPr>
          <w:sz w:val="22"/>
          <w:szCs w:val="22"/>
          <w:lang w:eastAsia="zh-CN"/>
        </w:rPr>
        <w:t xml:space="preserve"> (</w:t>
      </w:r>
      <w:r w:rsidR="00594BE2" w:rsidRPr="001E47AD">
        <w:rPr>
          <w:sz w:val="22"/>
          <w:szCs w:val="22"/>
          <w:lang w:eastAsia="zh-CN"/>
        </w:rPr>
        <w:t>25th percentile</w:t>
      </w:r>
      <w:r w:rsidR="00AE4CA6" w:rsidRPr="001E47AD">
        <w:rPr>
          <w:sz w:val="22"/>
          <w:szCs w:val="22"/>
          <w:lang w:eastAsia="zh-CN"/>
        </w:rPr>
        <w:t xml:space="preserve">) </w:t>
      </w:r>
      <w:r w:rsidRPr="001E47AD">
        <w:rPr>
          <w:sz w:val="22"/>
          <w:szCs w:val="22"/>
        </w:rPr>
        <w:t xml:space="preserve">to </w:t>
      </w:r>
      <w:r w:rsidR="008B7C6D" w:rsidRPr="001E47AD">
        <w:rPr>
          <w:sz w:val="22"/>
          <w:szCs w:val="22"/>
        </w:rPr>
        <w:t>$</w:t>
      </w:r>
      <w:r w:rsidRPr="001E47AD">
        <w:rPr>
          <w:sz w:val="22"/>
          <w:szCs w:val="22"/>
        </w:rPr>
        <w:t>5</w:t>
      </w:r>
      <w:r w:rsidR="00F94089" w:rsidRPr="001E47AD">
        <w:rPr>
          <w:sz w:val="22"/>
          <w:szCs w:val="22"/>
        </w:rPr>
        <w:t>0</w:t>
      </w:r>
      <w:r w:rsidRPr="001E47AD">
        <w:rPr>
          <w:sz w:val="22"/>
          <w:szCs w:val="22"/>
        </w:rPr>
        <w:t>,500</w:t>
      </w:r>
      <w:r w:rsidR="00AE4CA6" w:rsidRPr="001E47AD">
        <w:rPr>
          <w:sz w:val="22"/>
          <w:szCs w:val="22"/>
          <w:lang w:eastAsia="zh-CN"/>
        </w:rPr>
        <w:t xml:space="preserve"> (</w:t>
      </w:r>
      <w:r w:rsidR="00FA4FF5" w:rsidRPr="001E47AD">
        <w:rPr>
          <w:sz w:val="22"/>
          <w:szCs w:val="22"/>
          <w:lang w:eastAsia="zh-CN"/>
        </w:rPr>
        <w:t xml:space="preserve">75th </w:t>
      </w:r>
      <w:r w:rsidR="00AE4CA6" w:rsidRPr="001E47AD">
        <w:rPr>
          <w:sz w:val="22"/>
          <w:szCs w:val="22"/>
          <w:lang w:eastAsia="zh-CN"/>
        </w:rPr>
        <w:t>percentile)</w:t>
      </w:r>
      <w:r w:rsidRPr="001E47AD">
        <w:rPr>
          <w:sz w:val="22"/>
          <w:szCs w:val="22"/>
        </w:rPr>
        <w:t xml:space="preserve">. Generally, purchasing power </w:t>
      </w:r>
      <w:r w:rsidRPr="001E47AD">
        <w:rPr>
          <w:sz w:val="22"/>
          <w:szCs w:val="22"/>
          <w:lang w:eastAsia="zh-CN"/>
        </w:rPr>
        <w:t xml:space="preserve">plays a </w:t>
      </w:r>
      <w:r w:rsidRPr="001E47AD">
        <w:rPr>
          <w:noProof/>
          <w:sz w:val="22"/>
          <w:szCs w:val="22"/>
          <w:lang w:eastAsia="zh-CN"/>
        </w:rPr>
        <w:t>positive</w:t>
      </w:r>
      <w:r w:rsidRPr="001E47AD">
        <w:rPr>
          <w:sz w:val="22"/>
          <w:szCs w:val="22"/>
          <w:lang w:eastAsia="zh-CN"/>
        </w:rPr>
        <w:t xml:space="preserve"> role in affecting </w:t>
      </w:r>
      <w:r w:rsidRPr="001E47AD">
        <w:rPr>
          <w:sz w:val="22"/>
          <w:szCs w:val="22"/>
        </w:rPr>
        <w:t xml:space="preserve">consumer stockpiling propensity, but with a diminishing </w:t>
      </w:r>
      <w:r w:rsidR="002768C0" w:rsidRPr="001E47AD">
        <w:rPr>
          <w:sz w:val="22"/>
          <w:szCs w:val="22"/>
        </w:rPr>
        <w:t>impact</w:t>
      </w:r>
      <w:r w:rsidRPr="001E47AD">
        <w:rPr>
          <w:sz w:val="22"/>
          <w:szCs w:val="22"/>
        </w:rPr>
        <w:t>.</w:t>
      </w:r>
    </w:p>
    <w:p w14:paraId="63647C6D" w14:textId="77777777" w:rsidR="00B5659B" w:rsidRPr="001E47AD" w:rsidRDefault="00B5659B" w:rsidP="00B5659B">
      <w:pPr>
        <w:spacing w:before="120" w:after="120" w:line="480" w:lineRule="auto"/>
        <w:contextualSpacing/>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912"/>
      </w:tblGrid>
      <w:tr w:rsidR="00393153" w:rsidRPr="001E47AD" w14:paraId="0BF2EE99" w14:textId="77777777" w:rsidTr="007F70B0">
        <w:trPr>
          <w:trHeight w:val="2780"/>
        </w:trPr>
        <w:tc>
          <w:tcPr>
            <w:tcW w:w="2435" w:type="pct"/>
          </w:tcPr>
          <w:p w14:paraId="210654EA" w14:textId="77777777" w:rsidR="001914C1" w:rsidRPr="001E47AD" w:rsidRDefault="001914C1" w:rsidP="00B5659B">
            <w:pPr>
              <w:pStyle w:val="ListParagraph"/>
              <w:numPr>
                <w:ilvl w:val="0"/>
                <w:numId w:val="26"/>
              </w:numPr>
              <w:spacing w:after="0" w:line="240" w:lineRule="auto"/>
              <w:jc w:val="center"/>
              <w:rPr>
                <w:rFonts w:ascii="Times New Roman" w:hAnsi="Times New Roman" w:cs="Times New Roman"/>
                <w:noProof/>
                <w:sz w:val="20"/>
                <w:szCs w:val="20"/>
              </w:rPr>
            </w:pPr>
            <w:r w:rsidRPr="001E47AD">
              <w:rPr>
                <w:rFonts w:ascii="Times New Roman" w:hAnsi="Times New Roman" w:cs="Times New Roman"/>
                <w:noProof/>
                <w:sz w:val="20"/>
                <w:szCs w:val="20"/>
              </w:rPr>
              <w:lastRenderedPageBreak/>
              <w:t>Recent Hurricane Experience</w:t>
            </w:r>
          </w:p>
          <w:p w14:paraId="0AF45D64" w14:textId="77777777" w:rsidR="001914C1" w:rsidRPr="001E47AD" w:rsidRDefault="00B54F9A" w:rsidP="0029038F">
            <w:pPr>
              <w:tabs>
                <w:tab w:val="left" w:pos="1763"/>
              </w:tabs>
              <w:contextualSpacing/>
              <w:jc w:val="right"/>
              <w:rPr>
                <w:rFonts w:ascii="Times New Roman" w:hAnsi="Times New Roman" w:cs="Times New Roman"/>
                <w:sz w:val="20"/>
                <w:szCs w:val="20"/>
              </w:rPr>
            </w:pPr>
            <w:r w:rsidRPr="001E47AD">
              <w:rPr>
                <w:noProof/>
                <w:sz w:val="20"/>
                <w:szCs w:val="20"/>
              </w:rPr>
              <w:drawing>
                <wp:inline distT="0" distB="0" distL="0" distR="0" wp14:anchorId="3B6A060F" wp14:editId="6D77378D">
                  <wp:extent cx="2663178" cy="1616659"/>
                  <wp:effectExtent l="0" t="0" r="444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0511" cy="1621110"/>
                          </a:xfrm>
                          <a:prstGeom prst="rect">
                            <a:avLst/>
                          </a:prstGeom>
                          <a:noFill/>
                          <a:ln>
                            <a:noFill/>
                          </a:ln>
                        </pic:spPr>
                      </pic:pic>
                    </a:graphicData>
                  </a:graphic>
                </wp:inline>
              </w:drawing>
            </w:r>
          </w:p>
        </w:tc>
        <w:tc>
          <w:tcPr>
            <w:tcW w:w="2565" w:type="pct"/>
          </w:tcPr>
          <w:p w14:paraId="5BAF8AA3" w14:textId="77777777" w:rsidR="001914C1" w:rsidRPr="001E47AD" w:rsidRDefault="001914C1" w:rsidP="007F70B0">
            <w:pPr>
              <w:pStyle w:val="ListParagraph"/>
              <w:numPr>
                <w:ilvl w:val="0"/>
                <w:numId w:val="26"/>
              </w:numPr>
              <w:spacing w:after="0"/>
              <w:ind w:left="360"/>
              <w:jc w:val="center"/>
              <w:rPr>
                <w:rFonts w:ascii="Times New Roman" w:hAnsi="Times New Roman" w:cs="Times New Roman"/>
                <w:noProof/>
                <w:sz w:val="20"/>
                <w:szCs w:val="20"/>
              </w:rPr>
            </w:pPr>
            <w:r w:rsidRPr="001E47AD">
              <w:rPr>
                <w:rFonts w:ascii="Times New Roman" w:hAnsi="Times New Roman" w:cs="Times New Roman"/>
                <w:noProof/>
                <w:sz w:val="20"/>
                <w:szCs w:val="20"/>
              </w:rPr>
              <w:t>Household Income Level</w:t>
            </w:r>
          </w:p>
          <w:p w14:paraId="786669BA" w14:textId="77777777" w:rsidR="001914C1" w:rsidRPr="001E47AD" w:rsidRDefault="00695071" w:rsidP="007F70B0">
            <w:pPr>
              <w:tabs>
                <w:tab w:val="left" w:pos="979"/>
              </w:tabs>
              <w:rPr>
                <w:rFonts w:ascii="Times New Roman" w:hAnsi="Times New Roman"/>
                <w:sz w:val="20"/>
                <w:szCs w:val="20"/>
              </w:rPr>
            </w:pPr>
            <w:r w:rsidRPr="001E47AD">
              <w:rPr>
                <w:noProof/>
                <w:sz w:val="20"/>
                <w:szCs w:val="20"/>
              </w:rPr>
              <w:drawing>
                <wp:inline distT="0" distB="0" distL="0" distR="0" wp14:anchorId="119B0EB7" wp14:editId="04904AF1">
                  <wp:extent cx="2655417" cy="160839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6464" cy="1609026"/>
                          </a:xfrm>
                          <a:prstGeom prst="rect">
                            <a:avLst/>
                          </a:prstGeom>
                          <a:noFill/>
                          <a:ln>
                            <a:noFill/>
                          </a:ln>
                        </pic:spPr>
                      </pic:pic>
                    </a:graphicData>
                  </a:graphic>
                </wp:inline>
              </w:drawing>
            </w:r>
          </w:p>
        </w:tc>
      </w:tr>
      <w:tr w:rsidR="00393153" w:rsidRPr="001E47AD" w14:paraId="42E2B157" w14:textId="77777777" w:rsidTr="007F70B0">
        <w:tc>
          <w:tcPr>
            <w:tcW w:w="2435" w:type="pct"/>
          </w:tcPr>
          <w:p w14:paraId="01B817F6" w14:textId="77777777" w:rsidR="007F023D" w:rsidRPr="001E47AD" w:rsidRDefault="00FF0905" w:rsidP="006D7B77">
            <w:pPr>
              <w:tabs>
                <w:tab w:val="left" w:pos="2972"/>
                <w:tab w:val="right" w:pos="4483"/>
              </w:tabs>
              <w:contextualSpacing/>
              <w:jc w:val="right"/>
              <w:rPr>
                <w:rFonts w:ascii="Times New Roman" w:hAnsi="Times New Roman" w:cs="Times New Roman"/>
                <w:sz w:val="20"/>
                <w:szCs w:val="20"/>
              </w:rPr>
            </w:pPr>
            <w:r w:rsidRPr="001E47AD">
              <w:rPr>
                <w:noProof/>
                <w:sz w:val="20"/>
                <w:szCs w:val="20"/>
              </w:rPr>
              <w:drawing>
                <wp:inline distT="0" distB="0" distL="0" distR="0" wp14:anchorId="2E97A577" wp14:editId="0AB39CA0">
                  <wp:extent cx="2688417" cy="163129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8717" cy="1637540"/>
                          </a:xfrm>
                          <a:prstGeom prst="rect">
                            <a:avLst/>
                          </a:prstGeom>
                          <a:noFill/>
                          <a:ln>
                            <a:noFill/>
                          </a:ln>
                        </pic:spPr>
                      </pic:pic>
                    </a:graphicData>
                  </a:graphic>
                </wp:inline>
              </w:drawing>
            </w:r>
          </w:p>
        </w:tc>
        <w:tc>
          <w:tcPr>
            <w:tcW w:w="2565" w:type="pct"/>
          </w:tcPr>
          <w:p w14:paraId="0E7BEA93" w14:textId="77777777" w:rsidR="007F023D" w:rsidRPr="001E47AD" w:rsidRDefault="00695071" w:rsidP="00695071">
            <w:pPr>
              <w:contextualSpacing/>
              <w:rPr>
                <w:rFonts w:ascii="Times New Roman" w:hAnsi="Times New Roman" w:cs="Times New Roman"/>
                <w:noProof/>
                <w:sz w:val="20"/>
                <w:szCs w:val="20"/>
              </w:rPr>
            </w:pPr>
            <w:r w:rsidRPr="001E47AD">
              <w:rPr>
                <w:noProof/>
                <w:sz w:val="20"/>
                <w:szCs w:val="20"/>
              </w:rPr>
              <w:drawing>
                <wp:inline distT="0" distB="0" distL="0" distR="0" wp14:anchorId="278C6A29" wp14:editId="50D17E09">
                  <wp:extent cx="2691993" cy="16305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95997" cy="1632970"/>
                          </a:xfrm>
                          <a:prstGeom prst="rect">
                            <a:avLst/>
                          </a:prstGeom>
                          <a:noFill/>
                          <a:ln>
                            <a:noFill/>
                          </a:ln>
                        </pic:spPr>
                      </pic:pic>
                    </a:graphicData>
                  </a:graphic>
                </wp:inline>
              </w:drawing>
            </w:r>
          </w:p>
        </w:tc>
      </w:tr>
    </w:tbl>
    <w:p w14:paraId="0DBA4055" w14:textId="1B50D1E6" w:rsidR="0048643A" w:rsidRPr="001E47AD" w:rsidRDefault="0048643A" w:rsidP="009451C2">
      <w:pPr>
        <w:pStyle w:val="Caption"/>
      </w:pPr>
      <w:bookmarkStart w:id="47" w:name="_Ref515185883"/>
      <w:bookmarkStart w:id="48" w:name="_Toc520380528"/>
      <w:r w:rsidRPr="001E47AD">
        <w:t xml:space="preserve">Figure </w:t>
      </w:r>
      <w:r w:rsidRPr="001E47AD">
        <w:fldChar w:fldCharType="begin"/>
      </w:r>
      <w:r w:rsidRPr="001E47AD">
        <w:instrText xml:space="preserve"> SEQ Figure \* ARABIC </w:instrText>
      </w:r>
      <w:r w:rsidRPr="001E47AD">
        <w:fldChar w:fldCharType="separate"/>
      </w:r>
      <w:r w:rsidR="009E3444" w:rsidRPr="001E47AD">
        <w:t>4</w:t>
      </w:r>
      <w:r w:rsidRPr="001E47AD">
        <w:fldChar w:fldCharType="end"/>
      </w:r>
      <w:bookmarkEnd w:id="47"/>
      <w:r w:rsidRPr="001E47AD">
        <w:t>: Demand-Side Characteristics and Consumer Stockpiling Propensity</w:t>
      </w:r>
      <w:bookmarkEnd w:id="48"/>
      <w:r w:rsidR="00297B72" w:rsidRPr="001E47AD">
        <w:rPr>
          <w:rStyle w:val="FootnoteReference"/>
        </w:rPr>
        <w:footnoteReference w:id="21"/>
      </w:r>
      <w:r w:rsidR="006D526F" w:rsidRPr="001E47AD">
        <w:rPr>
          <w:vertAlign w:val="superscript"/>
        </w:rPr>
        <w:t>,</w:t>
      </w:r>
      <w:r w:rsidR="00766AED" w:rsidRPr="001E47AD">
        <w:rPr>
          <w:rStyle w:val="FootnoteReference"/>
        </w:rPr>
        <w:footnoteReference w:id="22"/>
      </w:r>
    </w:p>
    <w:p w14:paraId="3D42BBAB" w14:textId="48AFE716" w:rsidR="00B4149A" w:rsidRPr="001E47AD" w:rsidRDefault="00B4149A" w:rsidP="00C821AC">
      <w:pPr>
        <w:pStyle w:val="Heading3"/>
        <w:numPr>
          <w:ilvl w:val="2"/>
          <w:numId w:val="23"/>
        </w:numPr>
        <w:spacing w:before="120" w:after="120"/>
        <w:contextualSpacing/>
        <w:rPr>
          <w:sz w:val="22"/>
          <w:szCs w:val="22"/>
        </w:rPr>
      </w:pPr>
      <w:bookmarkStart w:id="49" w:name="_Toc520380480"/>
      <w:bookmarkStart w:id="50" w:name="_Ref20944936"/>
      <w:r w:rsidRPr="001E47AD">
        <w:rPr>
          <w:sz w:val="22"/>
          <w:szCs w:val="22"/>
        </w:rPr>
        <w:t>Disaster Characteristics</w:t>
      </w:r>
      <w:bookmarkEnd w:id="49"/>
      <w:bookmarkEnd w:id="50"/>
    </w:p>
    <w:p w14:paraId="44267134" w14:textId="0F3E3148" w:rsidR="00700CCC" w:rsidRPr="001E47AD" w:rsidRDefault="00981C1A" w:rsidP="00E5571E">
      <w:pPr>
        <w:spacing w:before="120" w:after="120" w:line="480" w:lineRule="auto"/>
        <w:contextualSpacing/>
        <w:jc w:val="both"/>
        <w:rPr>
          <w:sz w:val="22"/>
          <w:szCs w:val="22"/>
        </w:rPr>
      </w:pPr>
      <w:r w:rsidRPr="001E47AD">
        <w:rPr>
          <w:sz w:val="22"/>
          <w:szCs w:val="22"/>
        </w:rPr>
        <w:t xml:space="preserve">We first examine the relationship between hazard proximity and consumer stockpiling propensity. In Model 1.4, the coefficient of </w:t>
      </w:r>
      <m:oMath>
        <m:r>
          <m:rPr>
            <m:sty m:val="p"/>
          </m:rPr>
          <w:rPr>
            <w:rFonts w:ascii="Cambria Math" w:hAnsi="Cambria Math"/>
            <w:sz w:val="22"/>
            <w:szCs w:val="22"/>
          </w:rPr>
          <m:t>HUR_LANDFALL</m:t>
        </m:r>
        <m:r>
          <m:rPr>
            <m:sty m:val="p"/>
          </m:rPr>
          <w:rPr>
            <w:rFonts w:ascii="Cambria Math" w:eastAsia="宋体" w:hAnsi="Cambria Math"/>
            <w:sz w:val="22"/>
            <w:szCs w:val="22"/>
          </w:rPr>
          <m:t>_DIST</m:t>
        </m:r>
      </m:oMath>
      <w:r w:rsidRPr="001E47AD">
        <w:rPr>
          <w:sz w:val="22"/>
          <w:szCs w:val="22"/>
        </w:rPr>
        <w:t xml:space="preserve"> is ne</w:t>
      </w:r>
      <w:r w:rsidR="00260146" w:rsidRPr="001E47AD">
        <w:rPr>
          <w:sz w:val="22"/>
          <w:szCs w:val="22"/>
        </w:rPr>
        <w:t>gative and significant (-152.738</w:t>
      </w:r>
      <w:r w:rsidRPr="001E47AD">
        <w:rPr>
          <w:sz w:val="22"/>
          <w:szCs w:val="22"/>
        </w:rPr>
        <w:t xml:space="preserve">, p&lt;0.001) and the </w:t>
      </w:r>
      <w:r w:rsidRPr="001E47AD">
        <w:rPr>
          <w:noProof/>
          <w:sz w:val="22"/>
          <w:szCs w:val="22"/>
        </w:rPr>
        <w:t>coefficient</w:t>
      </w:r>
      <w:r w:rsidRPr="001E47AD">
        <w:rPr>
          <w:sz w:val="22"/>
          <w:szCs w:val="22"/>
        </w:rPr>
        <w:t xml:space="preserve"> of </w:t>
      </w:r>
      <m:oMath>
        <m:sSup>
          <m:sSupPr>
            <m:ctrlPr>
              <w:rPr>
                <w:rFonts w:ascii="Cambria Math" w:hAnsi="Cambria Math"/>
                <w:sz w:val="22"/>
                <w:szCs w:val="22"/>
              </w:rPr>
            </m:ctrlPr>
          </m:sSupPr>
          <m:e>
            <m:r>
              <m:rPr>
                <m:sty m:val="p"/>
              </m:rPr>
              <w:rPr>
                <w:rFonts w:ascii="Cambria Math" w:hAnsi="Cambria Math"/>
                <w:sz w:val="22"/>
                <w:szCs w:val="22"/>
              </w:rPr>
              <m:t>(HUR_LANDFALL</m:t>
            </m:r>
            <m:r>
              <m:rPr>
                <m:sty m:val="p"/>
              </m:rPr>
              <w:rPr>
                <w:rFonts w:ascii="Cambria Math" w:eastAsia="宋体" w:hAnsi="Cambria Math"/>
                <w:sz w:val="22"/>
                <w:szCs w:val="22"/>
              </w:rPr>
              <m:t>_DIST)</m:t>
            </m:r>
          </m:e>
          <m:sup>
            <m:r>
              <m:rPr>
                <m:sty m:val="p"/>
              </m:rPr>
              <w:rPr>
                <w:rFonts w:ascii="Cambria Math" w:hAnsi="Cambria Math"/>
                <w:sz w:val="22"/>
                <w:szCs w:val="22"/>
              </w:rPr>
              <m:t>2</m:t>
            </m:r>
          </m:sup>
        </m:sSup>
      </m:oMath>
      <w:r w:rsidRPr="001E47AD">
        <w:rPr>
          <w:sz w:val="22"/>
          <w:szCs w:val="22"/>
        </w:rPr>
        <w:t xml:space="preserve"> </w:t>
      </w:r>
      <w:r w:rsidRPr="001E47AD">
        <w:rPr>
          <w:noProof/>
          <w:sz w:val="22"/>
          <w:szCs w:val="22"/>
        </w:rPr>
        <w:t>is</w:t>
      </w:r>
      <w:r w:rsidR="00260146" w:rsidRPr="001E47AD">
        <w:rPr>
          <w:noProof/>
          <w:sz w:val="22"/>
          <w:szCs w:val="22"/>
        </w:rPr>
        <w:t xml:space="preserve"> positive and significant (7.816</w:t>
      </w:r>
      <w:r w:rsidRPr="001E47AD">
        <w:rPr>
          <w:noProof/>
          <w:sz w:val="22"/>
          <w:szCs w:val="22"/>
        </w:rPr>
        <w:t>, p&lt;0.001).</w:t>
      </w:r>
      <w:r w:rsidRPr="001E47AD">
        <w:rPr>
          <w:sz w:val="22"/>
          <w:szCs w:val="22"/>
        </w:rPr>
        <w:t xml:space="preserve"> </w:t>
      </w:r>
      <w:r w:rsidR="00FA0C4B" w:rsidRPr="001E47AD">
        <w:rPr>
          <w:sz w:val="22"/>
          <w:szCs w:val="22"/>
        </w:rPr>
        <w:t xml:space="preserve">In </w:t>
      </w:r>
      <w:r w:rsidR="00FA0C4B" w:rsidRPr="001E47AD">
        <w:rPr>
          <w:sz w:val="22"/>
          <w:szCs w:val="22"/>
        </w:rPr>
        <w:fldChar w:fldCharType="begin"/>
      </w:r>
      <w:r w:rsidR="00FA0C4B" w:rsidRPr="001E47AD">
        <w:rPr>
          <w:sz w:val="22"/>
          <w:szCs w:val="22"/>
        </w:rPr>
        <w:instrText xml:space="preserve"> REF _Ref515186948 \h  \* MERGEFORMAT </w:instrText>
      </w:r>
      <w:r w:rsidR="00FA0C4B" w:rsidRPr="001E47AD">
        <w:rPr>
          <w:sz w:val="22"/>
          <w:szCs w:val="22"/>
        </w:rPr>
      </w:r>
      <w:r w:rsidR="00FA0C4B" w:rsidRPr="001E47AD">
        <w:rPr>
          <w:sz w:val="22"/>
          <w:szCs w:val="22"/>
        </w:rPr>
        <w:fldChar w:fldCharType="separate"/>
      </w:r>
      <w:r w:rsidR="009E3444" w:rsidRPr="001E47AD">
        <w:rPr>
          <w:sz w:val="22"/>
          <w:szCs w:val="22"/>
        </w:rPr>
        <w:t>Figure 5</w:t>
      </w:r>
      <w:r w:rsidR="00FA0C4B" w:rsidRPr="001E47AD">
        <w:rPr>
          <w:sz w:val="22"/>
          <w:szCs w:val="22"/>
        </w:rPr>
        <w:fldChar w:fldCharType="end"/>
      </w:r>
      <w:r w:rsidR="00FA0C4B" w:rsidRPr="001E47AD">
        <w:rPr>
          <w:sz w:val="22"/>
          <w:szCs w:val="22"/>
        </w:rPr>
        <w:t>(</w:t>
      </w:r>
      <w:r w:rsidR="00FA0C4B" w:rsidRPr="001E47AD">
        <w:rPr>
          <w:rFonts w:hint="eastAsia"/>
          <w:sz w:val="22"/>
          <w:szCs w:val="22"/>
          <w:lang w:eastAsia="zh-CN"/>
        </w:rPr>
        <w:t>a</w:t>
      </w:r>
      <w:r w:rsidR="00FA0C4B" w:rsidRPr="001E47AD">
        <w:rPr>
          <w:sz w:val="22"/>
          <w:szCs w:val="22"/>
        </w:rPr>
        <w:t>)</w:t>
      </w:r>
      <w:r w:rsidR="00FA0C4B" w:rsidRPr="001E47AD">
        <w:rPr>
          <w:rFonts w:hint="eastAsia"/>
          <w:sz w:val="22"/>
          <w:szCs w:val="22"/>
          <w:lang w:eastAsia="zh-CN"/>
        </w:rPr>
        <w:t>, t</w:t>
      </w:r>
      <w:r w:rsidR="00700CCC" w:rsidRPr="001E47AD">
        <w:rPr>
          <w:sz w:val="22"/>
          <w:szCs w:val="22"/>
        </w:rPr>
        <w:t xml:space="preserve">he results indicate a convex </w:t>
      </w:r>
      <w:r w:rsidR="00700CCC" w:rsidRPr="001E47AD">
        <w:rPr>
          <w:noProof/>
          <w:sz w:val="22"/>
          <w:szCs w:val="22"/>
        </w:rPr>
        <w:t>relationship</w:t>
      </w:r>
      <w:r w:rsidR="00983125" w:rsidRPr="001E47AD">
        <w:rPr>
          <w:noProof/>
          <w:sz w:val="22"/>
          <w:szCs w:val="22"/>
        </w:rPr>
        <w:t>, with stockpiling propensity</w:t>
      </w:r>
      <w:r w:rsidR="00DC0549" w:rsidRPr="001E47AD">
        <w:rPr>
          <w:sz w:val="22"/>
          <w:szCs w:val="22"/>
        </w:rPr>
        <w:t xml:space="preserve"> reaching the lowest value </w:t>
      </w:r>
      <w:r w:rsidR="00CE70B4" w:rsidRPr="001E47AD">
        <w:rPr>
          <w:sz w:val="22"/>
          <w:szCs w:val="22"/>
        </w:rPr>
        <w:t>at about 1000</w:t>
      </w:r>
      <w:r w:rsidR="00364574" w:rsidRPr="001E47AD">
        <w:rPr>
          <w:sz w:val="22"/>
          <w:szCs w:val="22"/>
        </w:rPr>
        <w:t xml:space="preserve"> miles</w:t>
      </w:r>
      <w:r w:rsidR="00983125" w:rsidRPr="001E47AD">
        <w:rPr>
          <w:sz w:val="22"/>
          <w:szCs w:val="22"/>
        </w:rPr>
        <w:t>.</w:t>
      </w:r>
      <w:r w:rsidR="0077755C" w:rsidRPr="001E47AD">
        <w:rPr>
          <w:rStyle w:val="FootnoteReference"/>
          <w:sz w:val="22"/>
          <w:szCs w:val="22"/>
        </w:rPr>
        <w:footnoteReference w:id="23"/>
      </w:r>
      <w:r w:rsidR="00983125" w:rsidRPr="001E47AD">
        <w:rPr>
          <w:sz w:val="22"/>
          <w:szCs w:val="22"/>
        </w:rPr>
        <w:t xml:space="preserve"> Thus,</w:t>
      </w:r>
      <w:r w:rsidR="00700CCC" w:rsidRPr="001E47AD">
        <w:rPr>
          <w:sz w:val="22"/>
          <w:szCs w:val="22"/>
        </w:rPr>
        <w:t xml:space="preserve"> when the </w:t>
      </w:r>
      <w:r w:rsidR="00700CCC" w:rsidRPr="001E47AD">
        <w:rPr>
          <w:noProof/>
          <w:sz w:val="22"/>
          <w:szCs w:val="22"/>
        </w:rPr>
        <w:t>distance</w:t>
      </w:r>
      <w:r w:rsidR="00700CCC" w:rsidRPr="001E47AD">
        <w:rPr>
          <w:sz w:val="22"/>
          <w:szCs w:val="22"/>
        </w:rPr>
        <w:t xml:space="preserve"> to landfall points increases from </w:t>
      </w:r>
      <w:r w:rsidR="00CA5A65" w:rsidRPr="001E47AD">
        <w:rPr>
          <w:sz w:val="22"/>
          <w:szCs w:val="22"/>
          <w:lang w:eastAsia="zh-CN"/>
        </w:rPr>
        <w:t>151</w:t>
      </w:r>
      <w:r w:rsidR="00D9476F" w:rsidRPr="001E47AD">
        <w:rPr>
          <w:sz w:val="22"/>
          <w:szCs w:val="22"/>
        </w:rPr>
        <w:t xml:space="preserve"> </w:t>
      </w:r>
      <w:r w:rsidR="00F7350E" w:rsidRPr="001E47AD">
        <w:rPr>
          <w:sz w:val="22"/>
          <w:szCs w:val="22"/>
          <w:lang w:eastAsia="zh-CN"/>
        </w:rPr>
        <w:t>miles (</w:t>
      </w:r>
      <w:r w:rsidR="00FD449E" w:rsidRPr="001E47AD">
        <w:rPr>
          <w:sz w:val="22"/>
          <w:szCs w:val="22"/>
          <w:lang w:eastAsia="zh-CN"/>
        </w:rPr>
        <w:t>25th</w:t>
      </w:r>
      <w:r w:rsidR="00CA5A65" w:rsidRPr="001E47AD">
        <w:rPr>
          <w:sz w:val="22"/>
          <w:szCs w:val="22"/>
          <w:lang w:eastAsia="zh-CN"/>
        </w:rPr>
        <w:t xml:space="preserve"> percentile</w:t>
      </w:r>
      <w:r w:rsidR="00F7350E" w:rsidRPr="001E47AD">
        <w:rPr>
          <w:sz w:val="22"/>
          <w:szCs w:val="22"/>
          <w:lang w:eastAsia="zh-CN"/>
        </w:rPr>
        <w:t xml:space="preserve">) </w:t>
      </w:r>
      <w:r w:rsidR="00CA5A65" w:rsidRPr="001E47AD">
        <w:rPr>
          <w:sz w:val="22"/>
          <w:szCs w:val="22"/>
        </w:rPr>
        <w:t>to 508</w:t>
      </w:r>
      <w:r w:rsidR="00700CCC" w:rsidRPr="001E47AD">
        <w:rPr>
          <w:noProof/>
          <w:sz w:val="22"/>
          <w:szCs w:val="22"/>
        </w:rPr>
        <w:t xml:space="preserve"> miles</w:t>
      </w:r>
      <w:r w:rsidR="00F7350E" w:rsidRPr="001E47AD">
        <w:rPr>
          <w:noProof/>
          <w:sz w:val="22"/>
          <w:szCs w:val="22"/>
          <w:lang w:eastAsia="zh-CN"/>
        </w:rPr>
        <w:t xml:space="preserve"> (75</w:t>
      </w:r>
      <w:r w:rsidR="00FD449E" w:rsidRPr="001E47AD">
        <w:rPr>
          <w:noProof/>
          <w:sz w:val="22"/>
          <w:szCs w:val="22"/>
          <w:lang w:eastAsia="zh-CN"/>
        </w:rPr>
        <w:t>th</w:t>
      </w:r>
      <w:r w:rsidR="00F7350E" w:rsidRPr="001E47AD">
        <w:rPr>
          <w:noProof/>
          <w:sz w:val="22"/>
          <w:szCs w:val="22"/>
          <w:lang w:eastAsia="zh-CN"/>
        </w:rPr>
        <w:t xml:space="preserve"> percentile)</w:t>
      </w:r>
      <w:r w:rsidR="00700CCC" w:rsidRPr="001E47AD">
        <w:rPr>
          <w:sz w:val="22"/>
          <w:szCs w:val="22"/>
        </w:rPr>
        <w:t xml:space="preserve">, consumer stockpiling </w:t>
      </w:r>
      <w:r w:rsidR="00CA5A65" w:rsidRPr="001E47AD">
        <w:rPr>
          <w:sz w:val="22"/>
          <w:szCs w:val="22"/>
        </w:rPr>
        <w:t>propensity decreases by 25</w:t>
      </w:r>
      <w:r w:rsidR="00700CCC" w:rsidRPr="001E47AD">
        <w:rPr>
          <w:sz w:val="22"/>
          <w:szCs w:val="22"/>
        </w:rPr>
        <w:t xml:space="preserve">%. </w:t>
      </w:r>
      <w:r w:rsidRPr="001E47AD">
        <w:rPr>
          <w:sz w:val="22"/>
          <w:szCs w:val="22"/>
        </w:rPr>
        <w:t xml:space="preserve">Moreover, the coefficient of </w:t>
      </w:r>
      <m:oMath>
        <m:r>
          <m:rPr>
            <m:sty m:val="p"/>
          </m:rPr>
          <w:rPr>
            <w:rFonts w:ascii="Cambria Math" w:hAnsi="Cambria Math"/>
            <w:sz w:val="22"/>
            <w:szCs w:val="22"/>
          </w:rPr>
          <m:t>HUR_TRACK</m:t>
        </m:r>
        <m:r>
          <m:rPr>
            <m:sty m:val="p"/>
          </m:rPr>
          <w:rPr>
            <w:rFonts w:ascii="Cambria Math" w:eastAsia="宋体" w:hAnsi="Cambria Math"/>
            <w:sz w:val="22"/>
            <w:szCs w:val="22"/>
          </w:rPr>
          <m:t>_DIST</m:t>
        </m:r>
      </m:oMath>
      <w:r w:rsidRPr="001E47AD">
        <w:rPr>
          <w:sz w:val="22"/>
          <w:szCs w:val="22"/>
        </w:rPr>
        <w:t xml:space="preserve"> is ne</w:t>
      </w:r>
      <w:r w:rsidR="00527094" w:rsidRPr="001E47AD">
        <w:rPr>
          <w:sz w:val="22"/>
          <w:szCs w:val="22"/>
        </w:rPr>
        <w:t>gative and significant (-166.996</w:t>
      </w:r>
      <w:r w:rsidRPr="001E47AD">
        <w:rPr>
          <w:sz w:val="22"/>
          <w:szCs w:val="22"/>
        </w:rPr>
        <w:t xml:space="preserve">, p&lt;0.001) and the </w:t>
      </w:r>
      <w:r w:rsidRPr="001E47AD">
        <w:rPr>
          <w:noProof/>
          <w:sz w:val="22"/>
          <w:szCs w:val="22"/>
        </w:rPr>
        <w:t>coefficient</w:t>
      </w:r>
      <w:r w:rsidRPr="001E47AD">
        <w:rPr>
          <w:sz w:val="22"/>
          <w:szCs w:val="22"/>
        </w:rPr>
        <w:t xml:space="preserve"> of </w:t>
      </w:r>
      <m:oMath>
        <m:sSup>
          <m:sSupPr>
            <m:ctrlPr>
              <w:rPr>
                <w:rFonts w:ascii="Cambria Math" w:hAnsi="Cambria Math"/>
                <w:sz w:val="22"/>
                <w:szCs w:val="22"/>
              </w:rPr>
            </m:ctrlPr>
          </m:sSupPr>
          <m:e>
            <m:r>
              <m:rPr>
                <m:sty m:val="p"/>
              </m:rPr>
              <w:rPr>
                <w:rFonts w:ascii="Cambria Math" w:hAnsi="Cambria Math"/>
                <w:sz w:val="22"/>
                <w:szCs w:val="22"/>
              </w:rPr>
              <m:t>(HUR_TRACK</m:t>
            </m:r>
            <m:r>
              <m:rPr>
                <m:sty m:val="p"/>
              </m:rPr>
              <w:rPr>
                <w:rFonts w:ascii="Cambria Math" w:eastAsia="宋体" w:hAnsi="Cambria Math"/>
                <w:sz w:val="22"/>
                <w:szCs w:val="22"/>
              </w:rPr>
              <m:t>_DIST</m:t>
            </m:r>
            <m:r>
              <m:rPr>
                <m:sty m:val="p"/>
              </m:rPr>
              <w:rPr>
                <w:rFonts w:ascii="Cambria Math" w:hAnsi="Cambria Math"/>
                <w:sz w:val="22"/>
                <w:szCs w:val="22"/>
              </w:rPr>
              <m:t>)</m:t>
            </m:r>
          </m:e>
          <m:sup>
            <m:r>
              <m:rPr>
                <m:sty m:val="p"/>
              </m:rPr>
              <w:rPr>
                <w:rFonts w:ascii="Cambria Math" w:hAnsi="Cambria Math"/>
                <w:sz w:val="22"/>
                <w:szCs w:val="22"/>
              </w:rPr>
              <m:t>2</m:t>
            </m:r>
          </m:sup>
        </m:sSup>
      </m:oMath>
      <w:r w:rsidRPr="001E47AD">
        <w:rPr>
          <w:sz w:val="22"/>
          <w:szCs w:val="22"/>
        </w:rPr>
        <w:t xml:space="preserve"> </w:t>
      </w:r>
      <w:r w:rsidRPr="001E47AD">
        <w:rPr>
          <w:noProof/>
          <w:sz w:val="22"/>
          <w:szCs w:val="22"/>
        </w:rPr>
        <w:t xml:space="preserve">is positive and </w:t>
      </w:r>
      <w:r w:rsidR="00527094" w:rsidRPr="001E47AD">
        <w:rPr>
          <w:noProof/>
          <w:sz w:val="22"/>
          <w:szCs w:val="22"/>
        </w:rPr>
        <w:t>significant (21.949</w:t>
      </w:r>
      <w:r w:rsidRPr="001E47AD">
        <w:rPr>
          <w:noProof/>
          <w:sz w:val="22"/>
          <w:szCs w:val="22"/>
        </w:rPr>
        <w:t>, p&lt;0.001).</w:t>
      </w:r>
      <w:r w:rsidRPr="001E47AD">
        <w:rPr>
          <w:sz w:val="22"/>
          <w:szCs w:val="22"/>
        </w:rPr>
        <w:t xml:space="preserve"> </w:t>
      </w:r>
      <w:r w:rsidR="00572597" w:rsidRPr="001E47AD">
        <w:rPr>
          <w:sz w:val="22"/>
          <w:szCs w:val="22"/>
        </w:rPr>
        <w:t xml:space="preserve">In </w:t>
      </w:r>
      <w:r w:rsidR="00572597" w:rsidRPr="001E47AD">
        <w:rPr>
          <w:sz w:val="22"/>
          <w:szCs w:val="22"/>
        </w:rPr>
        <w:fldChar w:fldCharType="begin"/>
      </w:r>
      <w:r w:rsidR="00572597" w:rsidRPr="001E47AD">
        <w:rPr>
          <w:sz w:val="22"/>
          <w:szCs w:val="22"/>
        </w:rPr>
        <w:instrText xml:space="preserve"> REF _Ref515186948 \h  \* MERGEFORMAT </w:instrText>
      </w:r>
      <w:r w:rsidR="00572597" w:rsidRPr="001E47AD">
        <w:rPr>
          <w:sz w:val="22"/>
          <w:szCs w:val="22"/>
        </w:rPr>
      </w:r>
      <w:r w:rsidR="00572597" w:rsidRPr="001E47AD">
        <w:rPr>
          <w:sz w:val="22"/>
          <w:szCs w:val="22"/>
        </w:rPr>
        <w:fldChar w:fldCharType="separate"/>
      </w:r>
      <w:r w:rsidR="009E3444" w:rsidRPr="001E47AD">
        <w:rPr>
          <w:sz w:val="22"/>
          <w:szCs w:val="22"/>
        </w:rPr>
        <w:t>Figure 5</w:t>
      </w:r>
      <w:r w:rsidR="00572597" w:rsidRPr="001E47AD">
        <w:rPr>
          <w:sz w:val="22"/>
          <w:szCs w:val="22"/>
        </w:rPr>
        <w:fldChar w:fldCharType="end"/>
      </w:r>
      <w:r w:rsidR="00841093" w:rsidRPr="001E47AD">
        <w:rPr>
          <w:sz w:val="22"/>
          <w:szCs w:val="22"/>
        </w:rPr>
        <w:t>(b)</w:t>
      </w:r>
      <w:r w:rsidR="00572597" w:rsidRPr="001E47AD">
        <w:rPr>
          <w:sz w:val="22"/>
          <w:szCs w:val="22"/>
        </w:rPr>
        <w:t>, t</w:t>
      </w:r>
      <w:r w:rsidR="00700CCC" w:rsidRPr="001E47AD">
        <w:rPr>
          <w:sz w:val="22"/>
          <w:szCs w:val="22"/>
        </w:rPr>
        <w:t xml:space="preserve">he results </w:t>
      </w:r>
      <w:r w:rsidR="00700CCC" w:rsidRPr="001E47AD">
        <w:rPr>
          <w:sz w:val="22"/>
          <w:szCs w:val="22"/>
        </w:rPr>
        <w:lastRenderedPageBreak/>
        <w:t xml:space="preserve">demonstrate a convex </w:t>
      </w:r>
      <w:r w:rsidR="00700CCC" w:rsidRPr="001E47AD">
        <w:rPr>
          <w:noProof/>
          <w:sz w:val="22"/>
          <w:szCs w:val="22"/>
        </w:rPr>
        <w:t>relationship</w:t>
      </w:r>
      <w:r w:rsidR="00983125" w:rsidRPr="001E47AD">
        <w:rPr>
          <w:noProof/>
          <w:sz w:val="22"/>
          <w:szCs w:val="22"/>
        </w:rPr>
        <w:t>, with stockpiling</w:t>
      </w:r>
      <w:r w:rsidR="00700CCC" w:rsidRPr="001E47AD">
        <w:rPr>
          <w:sz w:val="22"/>
          <w:szCs w:val="22"/>
        </w:rPr>
        <w:t xml:space="preserve"> reaching a minimum at 482 miles</w:t>
      </w:r>
      <w:r w:rsidR="00983125" w:rsidRPr="001E47AD">
        <w:rPr>
          <w:sz w:val="22"/>
          <w:szCs w:val="22"/>
        </w:rPr>
        <w:t>. Our results show that</w:t>
      </w:r>
      <w:r w:rsidR="00700CCC" w:rsidRPr="001E47AD">
        <w:rPr>
          <w:sz w:val="22"/>
          <w:szCs w:val="22"/>
        </w:rPr>
        <w:t xml:space="preserve"> as the </w:t>
      </w:r>
      <w:r w:rsidR="00700CCC" w:rsidRPr="001E47AD">
        <w:rPr>
          <w:noProof/>
          <w:sz w:val="22"/>
          <w:szCs w:val="22"/>
        </w:rPr>
        <w:t>distance</w:t>
      </w:r>
      <w:r w:rsidR="00700CCC" w:rsidRPr="001E47AD">
        <w:rPr>
          <w:sz w:val="22"/>
          <w:szCs w:val="22"/>
        </w:rPr>
        <w:t xml:space="preserve"> to hurricane track increases from </w:t>
      </w:r>
      <w:r w:rsidR="00CA5A65" w:rsidRPr="001E47AD">
        <w:rPr>
          <w:sz w:val="22"/>
          <w:szCs w:val="22"/>
          <w:lang w:eastAsia="zh-CN"/>
        </w:rPr>
        <w:t>92</w:t>
      </w:r>
      <w:r w:rsidR="000934DF" w:rsidRPr="001E47AD">
        <w:rPr>
          <w:sz w:val="22"/>
          <w:szCs w:val="22"/>
          <w:lang w:eastAsia="zh-CN"/>
        </w:rPr>
        <w:t xml:space="preserve"> miles</w:t>
      </w:r>
      <w:r w:rsidR="00CA5A65" w:rsidRPr="001E47AD">
        <w:rPr>
          <w:sz w:val="22"/>
          <w:szCs w:val="22"/>
        </w:rPr>
        <w:t xml:space="preserve"> </w:t>
      </w:r>
      <w:r w:rsidR="00FA4FF5" w:rsidRPr="001E47AD">
        <w:rPr>
          <w:sz w:val="22"/>
          <w:szCs w:val="22"/>
        </w:rPr>
        <w:t xml:space="preserve">(25th) </w:t>
      </w:r>
      <w:r w:rsidR="00CA5A65" w:rsidRPr="001E47AD">
        <w:rPr>
          <w:sz w:val="22"/>
          <w:szCs w:val="22"/>
        </w:rPr>
        <w:t>to 233</w:t>
      </w:r>
      <w:r w:rsidR="00700CCC" w:rsidRPr="001E47AD">
        <w:rPr>
          <w:noProof/>
          <w:sz w:val="22"/>
          <w:szCs w:val="22"/>
        </w:rPr>
        <w:t xml:space="preserve"> miles</w:t>
      </w:r>
      <w:r w:rsidR="00FA4FF5" w:rsidRPr="001E47AD">
        <w:rPr>
          <w:noProof/>
          <w:sz w:val="22"/>
          <w:szCs w:val="22"/>
        </w:rPr>
        <w:t xml:space="preserve"> (75th)</w:t>
      </w:r>
      <w:r w:rsidR="00700CCC" w:rsidRPr="001E47AD">
        <w:rPr>
          <w:noProof/>
          <w:sz w:val="22"/>
          <w:szCs w:val="22"/>
        </w:rPr>
        <w:t xml:space="preserve">, </w:t>
      </w:r>
      <w:r w:rsidR="00700CCC" w:rsidRPr="001E47AD">
        <w:rPr>
          <w:sz w:val="22"/>
          <w:szCs w:val="22"/>
        </w:rPr>
        <w:t>consumer stock</w:t>
      </w:r>
      <w:r w:rsidR="000934DF" w:rsidRPr="001E47AD">
        <w:rPr>
          <w:sz w:val="22"/>
          <w:szCs w:val="22"/>
        </w:rPr>
        <w:t xml:space="preserve">piling propensity decreases by </w:t>
      </w:r>
      <w:r w:rsidR="00CA5A65" w:rsidRPr="001E47AD">
        <w:rPr>
          <w:sz w:val="22"/>
          <w:szCs w:val="22"/>
          <w:lang w:eastAsia="zh-CN"/>
        </w:rPr>
        <w:t>11</w:t>
      </w:r>
      <w:r w:rsidR="00700CCC" w:rsidRPr="001E47AD">
        <w:rPr>
          <w:sz w:val="22"/>
          <w:szCs w:val="22"/>
        </w:rPr>
        <w:t>%.</w:t>
      </w:r>
    </w:p>
    <w:p w14:paraId="11D1A8D1" w14:textId="689A6149" w:rsidR="001742A8" w:rsidRPr="001E47AD" w:rsidRDefault="00D9476F" w:rsidP="001742A8">
      <w:pPr>
        <w:spacing w:before="120" w:after="120" w:line="480" w:lineRule="auto"/>
        <w:ind w:firstLine="720"/>
        <w:jc w:val="both"/>
        <w:rPr>
          <w:color w:val="0070C0"/>
          <w:sz w:val="22"/>
          <w:szCs w:val="22"/>
        </w:rPr>
      </w:pPr>
      <w:r w:rsidRPr="001E47AD">
        <w:rPr>
          <w:sz w:val="22"/>
          <w:szCs w:val="22"/>
        </w:rPr>
        <w:t xml:space="preserve">Next, we investigate the relationship between hazard intensity and consumer stockpiling propensity. </w:t>
      </w:r>
      <w:r w:rsidR="00082312" w:rsidRPr="001E47AD">
        <w:rPr>
          <w:sz w:val="22"/>
          <w:szCs w:val="22"/>
        </w:rPr>
        <w:t xml:space="preserve">The wind associated with hurricanes is one of the </w:t>
      </w:r>
      <w:r w:rsidR="00082312" w:rsidRPr="001E47AD">
        <w:rPr>
          <w:noProof/>
          <w:sz w:val="22"/>
          <w:szCs w:val="22"/>
        </w:rPr>
        <w:t>main</w:t>
      </w:r>
      <w:r w:rsidR="00082312" w:rsidRPr="001E47AD">
        <w:rPr>
          <w:sz w:val="22"/>
          <w:szCs w:val="22"/>
        </w:rPr>
        <w:t xml:space="preserve"> causes of damage and loss of life. </w:t>
      </w:r>
      <w:r w:rsidRPr="001E47AD">
        <w:rPr>
          <w:sz w:val="22"/>
          <w:szCs w:val="22"/>
        </w:rPr>
        <w:t xml:space="preserve">The coefficient of </w:t>
      </w:r>
      <m:oMath>
        <m:r>
          <m:rPr>
            <m:sty m:val="p"/>
          </m:rPr>
          <w:rPr>
            <w:rFonts w:ascii="Cambria Math" w:hAnsi="Cambria Math"/>
            <w:sz w:val="22"/>
            <w:szCs w:val="22"/>
          </w:rPr>
          <m:t>HUR_TRACK</m:t>
        </m:r>
        <m:r>
          <m:rPr>
            <m:sty m:val="p"/>
          </m:rPr>
          <w:rPr>
            <w:rFonts w:ascii="Cambria Math" w:eastAsia="宋体" w:hAnsi="Cambria Math"/>
            <w:sz w:val="22"/>
            <w:szCs w:val="22"/>
          </w:rPr>
          <m:t>_WIND</m:t>
        </m:r>
      </m:oMath>
      <w:r w:rsidRPr="001E47AD">
        <w:rPr>
          <w:sz w:val="22"/>
          <w:szCs w:val="22"/>
        </w:rPr>
        <w:t xml:space="preserve"> is positive and significant (23.464, p&lt;0.001) and the </w:t>
      </w:r>
      <w:r w:rsidRPr="001E47AD">
        <w:rPr>
          <w:noProof/>
          <w:sz w:val="22"/>
          <w:szCs w:val="22"/>
        </w:rPr>
        <w:t>coefficient</w:t>
      </w:r>
      <w:r w:rsidRPr="001E47AD">
        <w:rPr>
          <w:sz w:val="22"/>
          <w:szCs w:val="22"/>
        </w:rPr>
        <w:t xml:space="preserve"> of </w:t>
      </w:r>
      <m:oMath>
        <m:sSup>
          <m:sSupPr>
            <m:ctrlPr>
              <w:rPr>
                <w:rFonts w:ascii="Cambria Math" w:hAnsi="Cambria Math"/>
                <w:sz w:val="22"/>
                <w:szCs w:val="22"/>
              </w:rPr>
            </m:ctrlPr>
          </m:sSupPr>
          <m:e>
            <m:r>
              <m:rPr>
                <m:sty m:val="p"/>
              </m:rPr>
              <w:rPr>
                <w:rFonts w:ascii="Cambria Math" w:hAnsi="Cambria Math"/>
                <w:sz w:val="22"/>
                <w:szCs w:val="22"/>
              </w:rPr>
              <m:t>(HUR_TRACK</m:t>
            </m:r>
            <m:r>
              <m:rPr>
                <m:sty m:val="p"/>
              </m:rPr>
              <w:rPr>
                <w:rFonts w:ascii="Cambria Math" w:eastAsia="宋体" w:hAnsi="Cambria Math"/>
                <w:sz w:val="22"/>
                <w:szCs w:val="22"/>
              </w:rPr>
              <m:t>_WIND</m:t>
            </m:r>
            <m:r>
              <m:rPr>
                <m:sty m:val="p"/>
              </m:rPr>
              <w:rPr>
                <w:rFonts w:ascii="Cambria Math" w:hAnsi="Cambria Math"/>
                <w:sz w:val="22"/>
                <w:szCs w:val="22"/>
              </w:rPr>
              <m:t>)</m:t>
            </m:r>
          </m:e>
          <m:sup>
            <m:r>
              <m:rPr>
                <m:sty m:val="p"/>
              </m:rPr>
              <w:rPr>
                <w:rFonts w:ascii="Cambria Math" w:hAnsi="Cambria Math"/>
                <w:sz w:val="22"/>
                <w:szCs w:val="22"/>
              </w:rPr>
              <m:t>2</m:t>
            </m:r>
          </m:sup>
        </m:sSup>
      </m:oMath>
      <w:r w:rsidRPr="001E47AD">
        <w:rPr>
          <w:sz w:val="22"/>
          <w:szCs w:val="22"/>
        </w:rPr>
        <w:t xml:space="preserve"> </w:t>
      </w:r>
      <w:r w:rsidRPr="001E47AD">
        <w:rPr>
          <w:noProof/>
          <w:sz w:val="22"/>
          <w:szCs w:val="22"/>
        </w:rPr>
        <w:t>is negative and significant (-0.205, p&lt;0.001).</w:t>
      </w:r>
      <w:r w:rsidRPr="001E47AD">
        <w:rPr>
          <w:sz w:val="22"/>
          <w:szCs w:val="22"/>
        </w:rPr>
        <w:t xml:space="preserve"> In </w:t>
      </w:r>
      <w:r w:rsidRPr="001E47AD">
        <w:rPr>
          <w:sz w:val="22"/>
          <w:szCs w:val="22"/>
        </w:rPr>
        <w:fldChar w:fldCharType="begin"/>
      </w:r>
      <w:r w:rsidRPr="001E47AD">
        <w:rPr>
          <w:sz w:val="22"/>
          <w:szCs w:val="22"/>
        </w:rPr>
        <w:instrText xml:space="preserve"> REF _Ref515186948 \h  \* MERGEFORMAT </w:instrText>
      </w:r>
      <w:r w:rsidRPr="001E47AD">
        <w:rPr>
          <w:sz w:val="22"/>
          <w:szCs w:val="22"/>
        </w:rPr>
      </w:r>
      <w:r w:rsidRPr="001E47AD">
        <w:rPr>
          <w:sz w:val="22"/>
          <w:szCs w:val="22"/>
        </w:rPr>
        <w:fldChar w:fldCharType="separate"/>
      </w:r>
      <w:r w:rsidR="009E3444" w:rsidRPr="001E47AD">
        <w:rPr>
          <w:sz w:val="22"/>
          <w:szCs w:val="22"/>
        </w:rPr>
        <w:t>Figure 5</w:t>
      </w:r>
      <w:r w:rsidRPr="001E47AD">
        <w:rPr>
          <w:sz w:val="22"/>
          <w:szCs w:val="22"/>
        </w:rPr>
        <w:fldChar w:fldCharType="end"/>
      </w:r>
      <w:r w:rsidR="00841093" w:rsidRPr="001E47AD">
        <w:rPr>
          <w:sz w:val="22"/>
          <w:szCs w:val="22"/>
        </w:rPr>
        <w:t>(c)</w:t>
      </w:r>
      <w:r w:rsidRPr="001E47AD">
        <w:rPr>
          <w:sz w:val="22"/>
          <w:szCs w:val="22"/>
        </w:rPr>
        <w:t xml:space="preserve">, the results indicate a concave </w:t>
      </w:r>
      <w:r w:rsidRPr="001E47AD">
        <w:rPr>
          <w:noProof/>
          <w:sz w:val="22"/>
          <w:szCs w:val="22"/>
        </w:rPr>
        <w:t>relationship</w:t>
      </w:r>
      <w:r w:rsidR="00AC7419" w:rsidRPr="001E47AD">
        <w:rPr>
          <w:sz w:val="22"/>
          <w:szCs w:val="22"/>
        </w:rPr>
        <w:t xml:space="preserve">, </w:t>
      </w:r>
      <w:r w:rsidR="00983125" w:rsidRPr="001E47AD">
        <w:rPr>
          <w:sz w:val="22"/>
          <w:szCs w:val="22"/>
        </w:rPr>
        <w:t xml:space="preserve">with stockpiling </w:t>
      </w:r>
      <w:r w:rsidR="00AC7419" w:rsidRPr="001E47AD">
        <w:rPr>
          <w:sz w:val="22"/>
          <w:szCs w:val="22"/>
        </w:rPr>
        <w:t>reaching a maximum at 5</w:t>
      </w:r>
      <w:r w:rsidR="00AC7419" w:rsidRPr="001E47AD">
        <w:rPr>
          <w:sz w:val="22"/>
          <w:szCs w:val="22"/>
          <w:lang w:eastAsia="zh-CN"/>
        </w:rPr>
        <w:t>7</w:t>
      </w:r>
      <w:r w:rsidRPr="001E47AD">
        <w:rPr>
          <w:sz w:val="22"/>
          <w:szCs w:val="22"/>
        </w:rPr>
        <w:t xml:space="preserve"> miles per hour</w:t>
      </w:r>
      <w:r w:rsidR="00983125" w:rsidRPr="001E47AD">
        <w:rPr>
          <w:sz w:val="22"/>
          <w:szCs w:val="22"/>
        </w:rPr>
        <w:t xml:space="preserve"> winds</w:t>
      </w:r>
      <w:r w:rsidRPr="001E47AD">
        <w:rPr>
          <w:sz w:val="22"/>
          <w:szCs w:val="22"/>
        </w:rPr>
        <w:t xml:space="preserve"> and then </w:t>
      </w:r>
      <w:r w:rsidRPr="001E47AD">
        <w:rPr>
          <w:noProof/>
          <w:sz w:val="22"/>
          <w:szCs w:val="22"/>
        </w:rPr>
        <w:t>declining as winds approach</w:t>
      </w:r>
      <w:r w:rsidRPr="001E47AD">
        <w:rPr>
          <w:sz w:val="22"/>
          <w:szCs w:val="22"/>
        </w:rPr>
        <w:t xml:space="preserve"> 90 miles per hour or higher</w:t>
      </w:r>
      <w:r w:rsidRPr="001E47AD">
        <w:rPr>
          <w:sz w:val="22"/>
          <w:szCs w:val="22"/>
          <w:lang w:eastAsia="zh-CN"/>
        </w:rPr>
        <w:t>.</w:t>
      </w:r>
      <w:r w:rsidRPr="001E47AD">
        <w:rPr>
          <w:sz w:val="22"/>
          <w:szCs w:val="22"/>
        </w:rPr>
        <w:t xml:space="preserve"> Therefore, from the perspective of hurricane development, the results imply that </w:t>
      </w:r>
      <w:r w:rsidR="00983125" w:rsidRPr="001E47AD">
        <w:rPr>
          <w:sz w:val="22"/>
          <w:szCs w:val="22"/>
        </w:rPr>
        <w:t>greater</w:t>
      </w:r>
      <w:r w:rsidRPr="001E47AD">
        <w:rPr>
          <w:sz w:val="22"/>
          <w:szCs w:val="22"/>
        </w:rPr>
        <w:t xml:space="preserve"> stockpiling behavior </w:t>
      </w:r>
      <w:r w:rsidRPr="001E47AD">
        <w:rPr>
          <w:noProof/>
          <w:sz w:val="22"/>
          <w:szCs w:val="22"/>
        </w:rPr>
        <w:t>is tied</w:t>
      </w:r>
      <w:r w:rsidRPr="001E47AD">
        <w:rPr>
          <w:sz w:val="22"/>
          <w:szCs w:val="22"/>
        </w:rPr>
        <w:t xml:space="preserve"> to </w:t>
      </w:r>
      <w:r w:rsidR="0064344E" w:rsidRPr="001E47AD">
        <w:rPr>
          <w:sz w:val="22"/>
          <w:szCs w:val="22"/>
        </w:rPr>
        <w:t>moderate</w:t>
      </w:r>
      <w:r w:rsidRPr="001E47AD">
        <w:rPr>
          <w:sz w:val="22"/>
          <w:szCs w:val="22"/>
        </w:rPr>
        <w:t xml:space="preserve"> wind</w:t>
      </w:r>
      <w:r w:rsidR="00604E07" w:rsidRPr="001E47AD">
        <w:rPr>
          <w:sz w:val="22"/>
          <w:szCs w:val="22"/>
        </w:rPr>
        <w:t>-</w:t>
      </w:r>
      <w:r w:rsidRPr="001E47AD">
        <w:rPr>
          <w:noProof/>
          <w:sz w:val="22"/>
          <w:szCs w:val="22"/>
        </w:rPr>
        <w:t>speed</w:t>
      </w:r>
      <w:r w:rsidR="00983125" w:rsidRPr="001E47AD">
        <w:rPr>
          <w:noProof/>
          <w:sz w:val="22"/>
          <w:szCs w:val="22"/>
        </w:rPr>
        <w:t xml:space="preserve"> storms</w:t>
      </w:r>
      <w:r w:rsidR="00D679AC" w:rsidRPr="001E47AD">
        <w:rPr>
          <w:sz w:val="22"/>
          <w:szCs w:val="22"/>
        </w:rPr>
        <w:t xml:space="preserve">. For low-speed winds, households may not feel the need to stockpile. </w:t>
      </w:r>
      <w:r w:rsidR="009A25E0" w:rsidRPr="001E47AD">
        <w:rPr>
          <w:sz w:val="22"/>
          <w:szCs w:val="22"/>
        </w:rPr>
        <w:t>F</w:t>
      </w:r>
      <w:r w:rsidR="00D679AC" w:rsidRPr="001E47AD">
        <w:rPr>
          <w:sz w:val="22"/>
          <w:szCs w:val="22"/>
        </w:rPr>
        <w:t>or very high wind speeds</w:t>
      </w:r>
      <w:r w:rsidR="00536C8F" w:rsidRPr="001E47AD">
        <w:rPr>
          <w:sz w:val="22"/>
          <w:szCs w:val="22"/>
          <w:lang w:eastAsia="zh-CN"/>
        </w:rPr>
        <w:t>, individuals may feel it unwise to venture out</w:t>
      </w:r>
      <w:r w:rsidR="00627720" w:rsidRPr="001E47AD">
        <w:rPr>
          <w:sz w:val="22"/>
          <w:szCs w:val="22"/>
          <w:lang w:eastAsia="zh-CN"/>
        </w:rPr>
        <w:t>side their homes</w:t>
      </w:r>
      <w:r w:rsidR="00536C8F" w:rsidRPr="001E47AD">
        <w:rPr>
          <w:sz w:val="22"/>
          <w:szCs w:val="22"/>
          <w:lang w:eastAsia="zh-CN"/>
        </w:rPr>
        <w:t>, even to purchase necessities.</w:t>
      </w:r>
      <w:r w:rsidR="00276CB5" w:rsidRPr="001E47AD">
        <w:rPr>
          <w:sz w:val="22"/>
          <w:szCs w:val="22"/>
          <w:lang w:eastAsia="zh-CN"/>
        </w:rPr>
        <w:t xml:space="preserve"> </w:t>
      </w:r>
      <w:bookmarkStart w:id="51" w:name="_Hlk33630880"/>
      <w:r w:rsidR="009A25E0" w:rsidRPr="001E47AD">
        <w:rPr>
          <w:sz w:val="22"/>
          <w:szCs w:val="22"/>
          <w:lang w:eastAsia="zh-CN"/>
        </w:rPr>
        <w:t>W</w:t>
      </w:r>
      <w:r w:rsidR="00D679AC" w:rsidRPr="001E47AD">
        <w:rPr>
          <w:sz w:val="22"/>
          <w:szCs w:val="22"/>
          <w:lang w:eastAsia="zh-CN"/>
        </w:rPr>
        <w:t>ith severe wind storms</w:t>
      </w:r>
      <w:r w:rsidR="00B01F83" w:rsidRPr="001E47AD">
        <w:rPr>
          <w:sz w:val="22"/>
          <w:szCs w:val="22"/>
          <w:lang w:eastAsia="zh-CN"/>
        </w:rPr>
        <w:t>,</w:t>
      </w:r>
      <w:r w:rsidR="00D679AC" w:rsidRPr="001E47AD">
        <w:rPr>
          <w:sz w:val="22"/>
          <w:szCs w:val="22"/>
          <w:lang w:eastAsia="zh-CN"/>
        </w:rPr>
        <w:t xml:space="preserve"> there may be </w:t>
      </w:r>
      <w:r w:rsidR="009A25E0" w:rsidRPr="001E47AD">
        <w:rPr>
          <w:sz w:val="22"/>
          <w:szCs w:val="22"/>
          <w:lang w:eastAsia="zh-CN"/>
        </w:rPr>
        <w:t xml:space="preserve">even </w:t>
      </w:r>
      <w:r w:rsidR="00D679AC" w:rsidRPr="001E47AD">
        <w:rPr>
          <w:sz w:val="22"/>
          <w:szCs w:val="22"/>
          <w:lang w:eastAsia="zh-CN"/>
        </w:rPr>
        <w:t>lower stockpiling behavior since individuals have already vacated the impacted area.</w:t>
      </w:r>
    </w:p>
    <w:bookmarkEnd w:id="51"/>
    <w:p w14:paraId="334613FF" w14:textId="77777777" w:rsidR="00F46277" w:rsidRPr="001E47AD" w:rsidRDefault="00F46277" w:rsidP="00511C90">
      <w:pPr>
        <w:spacing w:before="120" w:after="120"/>
        <w:jc w:val="both"/>
        <w:rPr>
          <w:sz w:val="22"/>
          <w:szCs w:val="22"/>
        </w:rPr>
      </w:pPr>
    </w:p>
    <w:p w14:paraId="2279EEB6" w14:textId="77777777" w:rsidR="00511C90" w:rsidRPr="001E47AD" w:rsidRDefault="00511C90" w:rsidP="00ED71C6">
      <w:pPr>
        <w:rPr>
          <w:sz w:val="22"/>
          <w:szCs w:val="22"/>
        </w:rPr>
      </w:pPr>
    </w:p>
    <w:p w14:paraId="3AC78420" w14:textId="77777777" w:rsidR="00511C90" w:rsidRPr="001E47AD" w:rsidRDefault="00511C90" w:rsidP="00ED71C6">
      <w:pPr>
        <w:rPr>
          <w:sz w:val="22"/>
          <w:szCs w:val="22"/>
        </w:rPr>
        <w:sectPr w:rsidR="00511C90" w:rsidRPr="001E47AD" w:rsidSect="00E52B60">
          <w:endnotePr>
            <w:numFmt w:val="decimal"/>
            <w:numRestart w:val="eachSect"/>
          </w:endnotePr>
          <w:pgSz w:w="12240" w:h="15840"/>
          <w:pgMar w:top="1440" w:right="1440" w:bottom="1440" w:left="1440"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4371"/>
        <w:gridCol w:w="4388"/>
      </w:tblGrid>
      <w:tr w:rsidR="00393153" w:rsidRPr="001E47AD" w14:paraId="27653BF9" w14:textId="77777777" w:rsidTr="005F0DAC">
        <w:tc>
          <w:tcPr>
            <w:tcW w:w="1666" w:type="pct"/>
          </w:tcPr>
          <w:p w14:paraId="13248875" w14:textId="77777777" w:rsidR="008310BC" w:rsidRPr="001E47AD" w:rsidRDefault="008310BC" w:rsidP="001C5AEF">
            <w:pPr>
              <w:pStyle w:val="ListParagraph"/>
              <w:numPr>
                <w:ilvl w:val="0"/>
                <w:numId w:val="28"/>
              </w:numPr>
              <w:spacing w:after="0" w:line="240" w:lineRule="auto"/>
              <w:jc w:val="center"/>
              <w:rPr>
                <w:rFonts w:ascii="Times New Roman" w:hAnsi="Times New Roman" w:cs="Times New Roman"/>
                <w:noProof/>
                <w:sz w:val="20"/>
                <w:szCs w:val="20"/>
              </w:rPr>
            </w:pPr>
            <w:r w:rsidRPr="001E47AD">
              <w:rPr>
                <w:rFonts w:ascii="Times New Roman" w:hAnsi="Times New Roman" w:cs="Times New Roman"/>
                <w:noProof/>
                <w:sz w:val="20"/>
                <w:szCs w:val="20"/>
              </w:rPr>
              <w:lastRenderedPageBreak/>
              <w:t>Distance to Hurricane Landfall</w:t>
            </w:r>
          </w:p>
          <w:p w14:paraId="7B93B942" w14:textId="77777777" w:rsidR="008310BC" w:rsidRPr="001E47AD" w:rsidRDefault="008310BC" w:rsidP="001C5AEF">
            <w:pPr>
              <w:pStyle w:val="ListParagraph"/>
              <w:spacing w:after="0" w:line="240" w:lineRule="auto"/>
              <w:ind w:left="0"/>
              <w:rPr>
                <w:rFonts w:ascii="Times New Roman" w:hAnsi="Times New Roman"/>
                <w:noProof/>
                <w:sz w:val="20"/>
                <w:szCs w:val="20"/>
              </w:rPr>
            </w:pPr>
            <w:r w:rsidRPr="001E47AD">
              <w:rPr>
                <w:noProof/>
              </w:rPr>
              <w:drawing>
                <wp:inline distT="0" distB="0" distL="0" distR="0" wp14:anchorId="0FDD02A1" wp14:editId="2CBA886C">
                  <wp:extent cx="2677363" cy="1629599"/>
                  <wp:effectExtent l="0" t="0" r="889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3487" cy="1639413"/>
                          </a:xfrm>
                          <a:prstGeom prst="rect">
                            <a:avLst/>
                          </a:prstGeom>
                          <a:noFill/>
                          <a:ln>
                            <a:noFill/>
                          </a:ln>
                        </pic:spPr>
                      </pic:pic>
                    </a:graphicData>
                  </a:graphic>
                </wp:inline>
              </w:drawing>
            </w:r>
          </w:p>
        </w:tc>
        <w:tc>
          <w:tcPr>
            <w:tcW w:w="1635" w:type="pct"/>
          </w:tcPr>
          <w:p w14:paraId="6D370120" w14:textId="77777777" w:rsidR="008310BC" w:rsidRPr="001E47AD" w:rsidRDefault="008310BC" w:rsidP="001C5AEF">
            <w:pPr>
              <w:pStyle w:val="ListParagraph"/>
              <w:numPr>
                <w:ilvl w:val="0"/>
                <w:numId w:val="28"/>
              </w:numPr>
              <w:spacing w:after="0" w:line="240" w:lineRule="auto"/>
              <w:jc w:val="center"/>
              <w:rPr>
                <w:rFonts w:ascii="Times New Roman" w:hAnsi="Times New Roman" w:cs="Times New Roman"/>
                <w:noProof/>
                <w:sz w:val="20"/>
                <w:szCs w:val="20"/>
              </w:rPr>
            </w:pPr>
            <w:r w:rsidRPr="001E47AD">
              <w:rPr>
                <w:rFonts w:ascii="Times New Roman" w:hAnsi="Times New Roman" w:cs="Times New Roman"/>
                <w:noProof/>
                <w:sz w:val="20"/>
                <w:szCs w:val="20"/>
              </w:rPr>
              <w:t>Distance to Hurricane Track</w:t>
            </w:r>
          </w:p>
          <w:p w14:paraId="7233150B" w14:textId="77777777" w:rsidR="008310BC" w:rsidRPr="001E47AD" w:rsidRDefault="008310BC" w:rsidP="001C5AEF">
            <w:pPr>
              <w:pStyle w:val="ListParagraph"/>
              <w:spacing w:after="0" w:line="240" w:lineRule="auto"/>
              <w:ind w:left="0"/>
              <w:rPr>
                <w:rFonts w:ascii="Times New Roman" w:hAnsi="Times New Roman"/>
                <w:noProof/>
                <w:sz w:val="20"/>
                <w:szCs w:val="20"/>
              </w:rPr>
            </w:pPr>
            <w:r w:rsidRPr="001E47AD">
              <w:rPr>
                <w:noProof/>
              </w:rPr>
              <w:drawing>
                <wp:inline distT="0" distB="0" distL="0" distR="0" wp14:anchorId="0B1057FA" wp14:editId="0D0BC2E7">
                  <wp:extent cx="2656770" cy="1616659"/>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8084" cy="1623543"/>
                          </a:xfrm>
                          <a:prstGeom prst="rect">
                            <a:avLst/>
                          </a:prstGeom>
                          <a:noFill/>
                          <a:ln>
                            <a:noFill/>
                          </a:ln>
                        </pic:spPr>
                      </pic:pic>
                    </a:graphicData>
                  </a:graphic>
                </wp:inline>
              </w:drawing>
            </w:r>
          </w:p>
        </w:tc>
        <w:tc>
          <w:tcPr>
            <w:tcW w:w="1699" w:type="pct"/>
          </w:tcPr>
          <w:p w14:paraId="2CBB40E8" w14:textId="77777777" w:rsidR="008310BC" w:rsidRPr="001E47AD" w:rsidRDefault="008310BC" w:rsidP="001C5AEF">
            <w:pPr>
              <w:pStyle w:val="ListParagraph"/>
              <w:numPr>
                <w:ilvl w:val="0"/>
                <w:numId w:val="28"/>
              </w:numPr>
              <w:spacing w:after="0" w:line="240" w:lineRule="auto"/>
              <w:jc w:val="center"/>
              <w:rPr>
                <w:rFonts w:ascii="Times New Roman" w:hAnsi="Times New Roman" w:cs="Times New Roman"/>
                <w:noProof/>
              </w:rPr>
            </w:pPr>
            <w:r w:rsidRPr="001E47AD">
              <w:rPr>
                <w:rFonts w:ascii="Times New Roman" w:hAnsi="Times New Roman" w:cs="Times New Roman"/>
                <w:noProof/>
                <w:sz w:val="20"/>
                <w:szCs w:val="20"/>
              </w:rPr>
              <w:t>Intensity of Storm Wind</w:t>
            </w:r>
          </w:p>
          <w:p w14:paraId="26B5CC24" w14:textId="77777777" w:rsidR="008310BC" w:rsidRPr="001E47AD" w:rsidRDefault="008310BC" w:rsidP="001C5AEF">
            <w:pPr>
              <w:pStyle w:val="ListParagraph"/>
              <w:spacing w:after="0" w:line="240" w:lineRule="auto"/>
              <w:ind w:left="0"/>
              <w:rPr>
                <w:rFonts w:ascii="Times New Roman" w:hAnsi="Times New Roman"/>
                <w:noProof/>
                <w:sz w:val="20"/>
                <w:szCs w:val="20"/>
              </w:rPr>
            </w:pPr>
            <w:r w:rsidRPr="001E47AD">
              <w:rPr>
                <w:noProof/>
                <w:sz w:val="20"/>
                <w:szCs w:val="20"/>
              </w:rPr>
              <w:drawing>
                <wp:inline distT="0" distB="0" distL="0" distR="0" wp14:anchorId="1740CA6C" wp14:editId="2BA2550C">
                  <wp:extent cx="2662733" cy="1620697"/>
                  <wp:effectExtent l="0" t="0" r="444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71820" cy="1626228"/>
                          </a:xfrm>
                          <a:prstGeom prst="rect">
                            <a:avLst/>
                          </a:prstGeom>
                          <a:noFill/>
                          <a:ln>
                            <a:noFill/>
                          </a:ln>
                        </pic:spPr>
                      </pic:pic>
                    </a:graphicData>
                  </a:graphic>
                </wp:inline>
              </w:drawing>
            </w:r>
          </w:p>
        </w:tc>
      </w:tr>
      <w:tr w:rsidR="00393153" w:rsidRPr="001E47AD" w14:paraId="3B0CA229" w14:textId="77777777" w:rsidTr="005F0DAC">
        <w:tc>
          <w:tcPr>
            <w:tcW w:w="1666" w:type="pct"/>
          </w:tcPr>
          <w:p w14:paraId="71BA9074" w14:textId="77777777" w:rsidR="008310BC" w:rsidRPr="001E47AD" w:rsidRDefault="008310BC" w:rsidP="001C5AEF">
            <w:pPr>
              <w:pStyle w:val="ListParagraph"/>
              <w:spacing w:after="0" w:line="240" w:lineRule="auto"/>
              <w:ind w:left="0"/>
              <w:rPr>
                <w:rFonts w:ascii="Times New Roman" w:hAnsi="Times New Roman"/>
                <w:noProof/>
                <w:sz w:val="20"/>
                <w:szCs w:val="20"/>
              </w:rPr>
            </w:pPr>
            <w:r w:rsidRPr="001E47AD">
              <w:rPr>
                <w:noProof/>
                <w:sz w:val="20"/>
                <w:szCs w:val="20"/>
              </w:rPr>
              <w:drawing>
                <wp:inline distT="0" distB="0" distL="0" distR="0" wp14:anchorId="0DA56F99" wp14:editId="1EB709F0">
                  <wp:extent cx="2662733" cy="1616388"/>
                  <wp:effectExtent l="0" t="0" r="4445"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74782" cy="1623702"/>
                          </a:xfrm>
                          <a:prstGeom prst="rect">
                            <a:avLst/>
                          </a:prstGeom>
                          <a:noFill/>
                          <a:ln>
                            <a:noFill/>
                          </a:ln>
                        </pic:spPr>
                      </pic:pic>
                    </a:graphicData>
                  </a:graphic>
                </wp:inline>
              </w:drawing>
            </w:r>
          </w:p>
        </w:tc>
        <w:tc>
          <w:tcPr>
            <w:tcW w:w="1635" w:type="pct"/>
          </w:tcPr>
          <w:p w14:paraId="1D44998B" w14:textId="77777777" w:rsidR="008310BC" w:rsidRPr="001E47AD" w:rsidRDefault="00D02BB7" w:rsidP="00D02BB7">
            <w:pPr>
              <w:pStyle w:val="ListParagraph"/>
              <w:spacing w:after="0" w:line="240" w:lineRule="auto"/>
              <w:ind w:left="0"/>
              <w:jc w:val="center"/>
              <w:rPr>
                <w:rFonts w:ascii="Times New Roman" w:hAnsi="Times New Roman"/>
                <w:noProof/>
                <w:sz w:val="20"/>
                <w:szCs w:val="20"/>
              </w:rPr>
            </w:pPr>
            <w:r w:rsidRPr="001E47AD">
              <w:rPr>
                <w:rFonts w:ascii="Times New Roman" w:hAnsi="Times New Roman"/>
                <w:noProof/>
                <w:sz w:val="20"/>
                <w:szCs w:val="20"/>
              </w:rPr>
              <w:drawing>
                <wp:inline distT="0" distB="0" distL="0" distR="0" wp14:anchorId="6F050F5B" wp14:editId="302B07BA">
                  <wp:extent cx="2624848" cy="1594654"/>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24762" cy="1594602"/>
                          </a:xfrm>
                          <a:prstGeom prst="rect">
                            <a:avLst/>
                          </a:prstGeom>
                          <a:noFill/>
                          <a:ln>
                            <a:noFill/>
                          </a:ln>
                        </pic:spPr>
                      </pic:pic>
                    </a:graphicData>
                  </a:graphic>
                </wp:inline>
              </w:drawing>
            </w:r>
          </w:p>
        </w:tc>
        <w:tc>
          <w:tcPr>
            <w:tcW w:w="1699" w:type="pct"/>
          </w:tcPr>
          <w:p w14:paraId="6BC33672" w14:textId="77777777" w:rsidR="008310BC" w:rsidRPr="001E47AD" w:rsidRDefault="008310BC" w:rsidP="001C5AEF">
            <w:pPr>
              <w:pStyle w:val="ListParagraph"/>
              <w:spacing w:after="0" w:line="240" w:lineRule="auto"/>
              <w:ind w:left="0"/>
              <w:rPr>
                <w:rFonts w:ascii="Times New Roman" w:hAnsi="Times New Roman"/>
                <w:noProof/>
                <w:sz w:val="20"/>
                <w:szCs w:val="20"/>
              </w:rPr>
            </w:pPr>
            <w:r w:rsidRPr="001E47AD">
              <w:rPr>
                <w:noProof/>
                <w:sz w:val="20"/>
                <w:szCs w:val="20"/>
              </w:rPr>
              <w:drawing>
                <wp:inline distT="0" distB="0" distL="0" distR="0" wp14:anchorId="7DD4332C" wp14:editId="50BC1F90">
                  <wp:extent cx="2662555" cy="1616280"/>
                  <wp:effectExtent l="0" t="0" r="4445"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834" cy="1619484"/>
                          </a:xfrm>
                          <a:prstGeom prst="rect">
                            <a:avLst/>
                          </a:prstGeom>
                          <a:noFill/>
                          <a:ln>
                            <a:noFill/>
                          </a:ln>
                        </pic:spPr>
                      </pic:pic>
                    </a:graphicData>
                  </a:graphic>
                </wp:inline>
              </w:drawing>
            </w:r>
          </w:p>
        </w:tc>
      </w:tr>
    </w:tbl>
    <w:p w14:paraId="6EB5C45A" w14:textId="63B552CE" w:rsidR="008310BC" w:rsidRPr="001E47AD" w:rsidRDefault="008310BC" w:rsidP="009451C2">
      <w:pPr>
        <w:pStyle w:val="Caption"/>
        <w:rPr>
          <w:lang w:eastAsia="zh-CN"/>
        </w:rPr>
      </w:pPr>
      <w:bookmarkStart w:id="52" w:name="_Ref515186948"/>
      <w:bookmarkStart w:id="53" w:name="_Toc520380529"/>
      <w:r w:rsidRPr="001E47AD">
        <w:t xml:space="preserve">Figure </w:t>
      </w:r>
      <w:r w:rsidRPr="001E47AD">
        <w:rPr>
          <w:b/>
        </w:rPr>
        <w:fldChar w:fldCharType="begin"/>
      </w:r>
      <w:r w:rsidRPr="001E47AD">
        <w:instrText xml:space="preserve"> SEQ Figure \* ARABIC </w:instrText>
      </w:r>
      <w:r w:rsidRPr="001E47AD">
        <w:rPr>
          <w:b/>
        </w:rPr>
        <w:fldChar w:fldCharType="separate"/>
      </w:r>
      <w:r w:rsidR="009E3444" w:rsidRPr="001E47AD">
        <w:t>5</w:t>
      </w:r>
      <w:r w:rsidRPr="001E47AD">
        <w:rPr>
          <w:b/>
        </w:rPr>
        <w:fldChar w:fldCharType="end"/>
      </w:r>
      <w:bookmarkEnd w:id="52"/>
      <w:r w:rsidRPr="001E47AD">
        <w:t>: Disaster Characteristics and Consumer Stockpiling Propensity</w:t>
      </w:r>
      <w:bookmarkEnd w:id="53"/>
    </w:p>
    <w:p w14:paraId="4E3A9925" w14:textId="77777777" w:rsidR="00F46277" w:rsidRPr="001E47AD" w:rsidRDefault="00F46277" w:rsidP="00F46277">
      <w:pPr>
        <w:spacing w:before="120" w:after="120" w:line="480" w:lineRule="auto"/>
        <w:jc w:val="both"/>
        <w:rPr>
          <w:sz w:val="22"/>
          <w:szCs w:val="22"/>
        </w:rPr>
      </w:pPr>
    </w:p>
    <w:p w14:paraId="39120260" w14:textId="77777777" w:rsidR="008310BC" w:rsidRPr="001E47AD" w:rsidRDefault="008310BC" w:rsidP="00F46277">
      <w:pPr>
        <w:spacing w:before="120" w:after="120" w:line="480" w:lineRule="auto"/>
        <w:jc w:val="both"/>
        <w:rPr>
          <w:sz w:val="22"/>
          <w:szCs w:val="22"/>
        </w:rPr>
      </w:pPr>
    </w:p>
    <w:p w14:paraId="02F1DFDD" w14:textId="77777777" w:rsidR="00F46277" w:rsidRPr="001E47AD" w:rsidRDefault="00F46277" w:rsidP="00F46277">
      <w:pPr>
        <w:pStyle w:val="ListParagraph"/>
        <w:spacing w:after="0" w:line="240" w:lineRule="auto"/>
        <w:rPr>
          <w:rFonts w:ascii="Times New Roman" w:hAnsi="Times New Roman"/>
          <w:noProof/>
          <w:sz w:val="20"/>
          <w:szCs w:val="20"/>
        </w:rPr>
        <w:sectPr w:rsidR="00F46277" w:rsidRPr="001E47AD" w:rsidSect="00F46277">
          <w:endnotePr>
            <w:numFmt w:val="decimal"/>
            <w:numRestart w:val="eachSect"/>
          </w:endnotePr>
          <w:pgSz w:w="15840" w:h="12240" w:orient="landscape"/>
          <w:pgMar w:top="1440" w:right="1440" w:bottom="1440" w:left="1440" w:header="720" w:footer="720" w:gutter="0"/>
          <w:cols w:space="720"/>
          <w:docGrid w:linePitch="360"/>
        </w:sectPr>
      </w:pPr>
    </w:p>
    <w:p w14:paraId="1425E39A" w14:textId="77777777" w:rsidR="004A55EB" w:rsidRPr="001E47AD" w:rsidRDefault="004A55EB" w:rsidP="00596F39">
      <w:pPr>
        <w:pStyle w:val="Heading2"/>
      </w:pPr>
      <w:bookmarkStart w:id="54" w:name="_Toc520380481"/>
      <w:r w:rsidRPr="001E47AD">
        <w:lastRenderedPageBreak/>
        <w:t>In-Store Product Availability</w:t>
      </w:r>
      <w:bookmarkEnd w:id="54"/>
    </w:p>
    <w:p w14:paraId="0C9934E9" w14:textId="21D2EABB" w:rsidR="00322584" w:rsidRPr="001E47AD" w:rsidRDefault="00322584" w:rsidP="006134A4">
      <w:pPr>
        <w:spacing w:before="120" w:after="120" w:line="480" w:lineRule="auto"/>
        <w:contextualSpacing/>
        <w:jc w:val="both"/>
        <w:rPr>
          <w:sz w:val="22"/>
          <w:szCs w:val="22"/>
        </w:rPr>
      </w:pPr>
      <w:r w:rsidRPr="001E47AD">
        <w:rPr>
          <w:sz w:val="22"/>
          <w:szCs w:val="22"/>
        </w:rPr>
        <w:t xml:space="preserve">From a managerial perspective, </w:t>
      </w:r>
      <w:r w:rsidR="00565C2B" w:rsidRPr="001E47AD">
        <w:rPr>
          <w:sz w:val="22"/>
          <w:szCs w:val="22"/>
        </w:rPr>
        <w:t xml:space="preserve">we have </w:t>
      </w:r>
      <w:r w:rsidR="00C46816" w:rsidRPr="001E47AD">
        <w:rPr>
          <w:sz w:val="22"/>
          <w:szCs w:val="22"/>
        </w:rPr>
        <w:t>the following</w:t>
      </w:r>
      <w:r w:rsidR="001F08E0" w:rsidRPr="001E47AD">
        <w:rPr>
          <w:sz w:val="22"/>
          <w:szCs w:val="22"/>
        </w:rPr>
        <w:t xml:space="preserve"> </w:t>
      </w:r>
      <w:r w:rsidRPr="001E47AD">
        <w:rPr>
          <w:sz w:val="22"/>
          <w:szCs w:val="22"/>
        </w:rPr>
        <w:t xml:space="preserve">research question: </w:t>
      </w:r>
      <w:r w:rsidR="00565C2B" w:rsidRPr="001E47AD">
        <w:rPr>
          <w:sz w:val="22"/>
          <w:szCs w:val="22"/>
        </w:rPr>
        <w:t>H</w:t>
      </w:r>
      <w:r w:rsidRPr="001E47AD">
        <w:rPr>
          <w:sz w:val="22"/>
          <w:szCs w:val="22"/>
        </w:rPr>
        <w:t xml:space="preserve">ow does consumer </w:t>
      </w:r>
      <w:r w:rsidRPr="001E47AD">
        <w:rPr>
          <w:noProof/>
          <w:sz w:val="22"/>
          <w:szCs w:val="22"/>
        </w:rPr>
        <w:t>stockpiling</w:t>
      </w:r>
      <w:r w:rsidRPr="001E47AD">
        <w:rPr>
          <w:sz w:val="22"/>
          <w:szCs w:val="22"/>
        </w:rPr>
        <w:t xml:space="preserve"> propensity during </w:t>
      </w:r>
      <w:r w:rsidR="00471183" w:rsidRPr="001E47AD">
        <w:rPr>
          <w:sz w:val="22"/>
          <w:szCs w:val="22"/>
        </w:rPr>
        <w:t>the EARLY event period influence</w:t>
      </w:r>
      <w:r w:rsidRPr="001E47AD">
        <w:rPr>
          <w:sz w:val="22"/>
          <w:szCs w:val="22"/>
        </w:rPr>
        <w:t xml:space="preserve"> product availability during the LATE and the POST event periods? </w:t>
      </w:r>
      <w:r w:rsidR="00483AD2" w:rsidRPr="001E47AD">
        <w:rPr>
          <w:sz w:val="22"/>
          <w:szCs w:val="22"/>
        </w:rPr>
        <w:t xml:space="preserve">Two-stage least square models </w:t>
      </w:r>
      <w:r w:rsidR="006B73A7" w:rsidRPr="001E47AD">
        <w:rPr>
          <w:sz w:val="22"/>
          <w:szCs w:val="22"/>
        </w:rPr>
        <w:t xml:space="preserve">(2SLS) </w:t>
      </w:r>
      <w:r w:rsidR="00483AD2" w:rsidRPr="001E47AD">
        <w:rPr>
          <w:sz w:val="22"/>
          <w:szCs w:val="22"/>
        </w:rPr>
        <w:t xml:space="preserve">are applied to estimate the mediation effects of consumer stockpiling propensity during the EARLY event period on product availability during the LATE and POST event periods. </w:t>
      </w:r>
      <w:r w:rsidR="00483AD2" w:rsidRPr="001E47AD">
        <w:rPr>
          <w:sz w:val="22"/>
          <w:szCs w:val="22"/>
          <w:lang w:eastAsia="zh-CN"/>
        </w:rPr>
        <w:t xml:space="preserve">Recall both consumer stockpiling propensity and in-store product availability are measured at the store level. </w:t>
      </w:r>
      <w:r w:rsidRPr="001E47AD">
        <w:rPr>
          <w:sz w:val="22"/>
          <w:szCs w:val="22"/>
        </w:rPr>
        <w:t>In</w:t>
      </w:r>
      <w:r w:rsidR="001A6E7F" w:rsidRPr="001E47AD">
        <w:rPr>
          <w:sz w:val="22"/>
          <w:szCs w:val="22"/>
          <w:lang w:eastAsia="zh-CN"/>
        </w:rPr>
        <w:t xml:space="preserve"> </w:t>
      </w:r>
      <w:r w:rsidR="001A6E7F" w:rsidRPr="001E47AD">
        <w:rPr>
          <w:sz w:val="22"/>
          <w:szCs w:val="22"/>
          <w:lang w:eastAsia="zh-CN"/>
        </w:rPr>
        <w:fldChar w:fldCharType="begin"/>
      </w:r>
      <w:r w:rsidR="001A6E7F" w:rsidRPr="001E47AD">
        <w:rPr>
          <w:sz w:val="22"/>
          <w:szCs w:val="22"/>
          <w:lang w:eastAsia="zh-CN"/>
        </w:rPr>
        <w:instrText xml:space="preserve"> REF _Ref534850739 \h </w:instrText>
      </w:r>
      <w:r w:rsidR="007B1D4B" w:rsidRPr="001E47AD">
        <w:rPr>
          <w:sz w:val="22"/>
          <w:szCs w:val="22"/>
          <w:lang w:eastAsia="zh-CN"/>
        </w:rPr>
        <w:instrText xml:space="preserve"> \* MERGEFORMAT </w:instrText>
      </w:r>
      <w:r w:rsidR="001A6E7F" w:rsidRPr="001E47AD">
        <w:rPr>
          <w:sz w:val="22"/>
          <w:szCs w:val="22"/>
          <w:lang w:eastAsia="zh-CN"/>
        </w:rPr>
      </w:r>
      <w:r w:rsidR="001A6E7F" w:rsidRPr="001E47AD">
        <w:rPr>
          <w:sz w:val="22"/>
          <w:szCs w:val="22"/>
          <w:lang w:eastAsia="zh-CN"/>
        </w:rPr>
        <w:fldChar w:fldCharType="separate"/>
      </w:r>
      <w:r w:rsidR="009E3444" w:rsidRPr="001E47AD">
        <w:rPr>
          <w:sz w:val="22"/>
          <w:szCs w:val="22"/>
        </w:rPr>
        <w:t xml:space="preserve">Table </w:t>
      </w:r>
      <w:r w:rsidR="009E3444" w:rsidRPr="001E47AD">
        <w:rPr>
          <w:noProof/>
          <w:sz w:val="22"/>
          <w:szCs w:val="22"/>
        </w:rPr>
        <w:t>4</w:t>
      </w:r>
      <w:r w:rsidR="001A6E7F" w:rsidRPr="001E47AD">
        <w:rPr>
          <w:sz w:val="22"/>
          <w:szCs w:val="22"/>
          <w:lang w:eastAsia="zh-CN"/>
        </w:rPr>
        <w:fldChar w:fldCharType="end"/>
      </w:r>
      <w:r w:rsidRPr="001E47AD">
        <w:rPr>
          <w:sz w:val="22"/>
          <w:szCs w:val="22"/>
        </w:rPr>
        <w:t xml:space="preserve">, </w:t>
      </w:r>
      <w:r w:rsidR="00483AD2" w:rsidRPr="001E47AD">
        <w:rPr>
          <w:sz w:val="22"/>
          <w:szCs w:val="22"/>
        </w:rPr>
        <w:t>we present the second-stage estimation results. W</w:t>
      </w:r>
      <w:r w:rsidRPr="001E47AD">
        <w:rPr>
          <w:sz w:val="22"/>
          <w:szCs w:val="22"/>
        </w:rPr>
        <w:t>e set product</w:t>
      </w:r>
      <w:r w:rsidR="00565C2B" w:rsidRPr="001E47AD">
        <w:rPr>
          <w:sz w:val="22"/>
          <w:szCs w:val="22"/>
        </w:rPr>
        <w:t xml:space="preserve"> availability during the </w:t>
      </w:r>
      <w:r w:rsidRPr="001E47AD">
        <w:rPr>
          <w:sz w:val="22"/>
          <w:szCs w:val="22"/>
        </w:rPr>
        <w:t xml:space="preserve">LATE and POST event periods as dependent variables, while incorporating the </w:t>
      </w:r>
      <w:r w:rsidR="002F2D10" w:rsidRPr="001E47AD">
        <w:rPr>
          <w:sz w:val="22"/>
          <w:szCs w:val="22"/>
        </w:rPr>
        <w:t xml:space="preserve">estimated </w:t>
      </w:r>
      <w:r w:rsidRPr="001E47AD">
        <w:rPr>
          <w:sz w:val="22"/>
          <w:szCs w:val="22"/>
        </w:rPr>
        <w:t>consumer stockpiling propensity during the EARLY event period</w:t>
      </w:r>
      <w:r w:rsidR="0061180B" w:rsidRPr="001E47AD">
        <w:rPr>
          <w:sz w:val="22"/>
          <w:szCs w:val="22"/>
        </w:rPr>
        <w:t xml:space="preserve"> </w:t>
      </w:r>
      <w:r w:rsidRPr="001E47AD">
        <w:rPr>
          <w:sz w:val="22"/>
          <w:szCs w:val="22"/>
        </w:rPr>
        <w:t>estimated from the first</w:t>
      </w:r>
      <w:r w:rsidR="009D6A2D" w:rsidRPr="001E47AD">
        <w:rPr>
          <w:sz w:val="22"/>
          <w:szCs w:val="22"/>
        </w:rPr>
        <w:t>-</w:t>
      </w:r>
      <w:r w:rsidRPr="001E47AD">
        <w:rPr>
          <w:sz w:val="22"/>
          <w:szCs w:val="22"/>
        </w:rPr>
        <w:t xml:space="preserve">stage </w:t>
      </w:r>
      <w:r w:rsidR="00F50D8B" w:rsidRPr="001E47AD">
        <w:rPr>
          <w:sz w:val="22"/>
          <w:szCs w:val="22"/>
        </w:rPr>
        <w:t xml:space="preserve">regression </w:t>
      </w:r>
      <w:r w:rsidRPr="001E47AD">
        <w:rPr>
          <w:sz w:val="22"/>
          <w:szCs w:val="22"/>
        </w:rPr>
        <w:t>analysis.</w:t>
      </w:r>
      <w:r w:rsidR="00483AD2" w:rsidRPr="001E47AD">
        <w:rPr>
          <w:sz w:val="22"/>
          <w:szCs w:val="22"/>
        </w:rPr>
        <w:t xml:space="preserve"> In Table A</w:t>
      </w:r>
      <w:r w:rsidR="00127754" w:rsidRPr="001E47AD">
        <w:rPr>
          <w:sz w:val="22"/>
          <w:szCs w:val="22"/>
        </w:rPr>
        <w:t>2</w:t>
      </w:r>
      <w:r w:rsidR="00483AD2" w:rsidRPr="001E47AD">
        <w:rPr>
          <w:sz w:val="22"/>
          <w:szCs w:val="22"/>
        </w:rPr>
        <w:t xml:space="preserve"> in the Appendix, we illustrate the first-stage estimation results including the instrumental variables.</w:t>
      </w:r>
    </w:p>
    <w:p w14:paraId="5A543BDA" w14:textId="79E6F6B9" w:rsidR="00AD78AE" w:rsidRPr="001E47AD" w:rsidRDefault="00322584" w:rsidP="006F43B0">
      <w:pPr>
        <w:spacing w:before="120" w:after="120" w:line="480" w:lineRule="auto"/>
        <w:ind w:firstLine="720"/>
        <w:contextualSpacing/>
        <w:jc w:val="both"/>
        <w:rPr>
          <w:sz w:val="22"/>
          <w:szCs w:val="22"/>
        </w:rPr>
      </w:pPr>
      <w:r w:rsidRPr="001E47AD">
        <w:rPr>
          <w:sz w:val="22"/>
          <w:szCs w:val="22"/>
        </w:rPr>
        <w:t>In</w:t>
      </w:r>
      <w:r w:rsidR="00FD3DA0" w:rsidRPr="001E47AD">
        <w:rPr>
          <w:sz w:val="22"/>
          <w:szCs w:val="22"/>
        </w:rPr>
        <w:t xml:space="preserve"> </w:t>
      </w:r>
      <w:r w:rsidR="00FD3DA0" w:rsidRPr="001E47AD">
        <w:rPr>
          <w:sz w:val="22"/>
          <w:szCs w:val="22"/>
        </w:rPr>
        <w:fldChar w:fldCharType="begin"/>
      </w:r>
      <w:r w:rsidR="00FD3DA0" w:rsidRPr="001E47AD">
        <w:rPr>
          <w:sz w:val="22"/>
          <w:szCs w:val="22"/>
        </w:rPr>
        <w:instrText xml:space="preserve"> REF _Ref534850739 \h </w:instrText>
      </w:r>
      <w:r w:rsidR="007B1D4B" w:rsidRPr="001E47AD">
        <w:rPr>
          <w:sz w:val="22"/>
          <w:szCs w:val="22"/>
        </w:rPr>
        <w:instrText xml:space="preserve"> \* MERGEFORMAT </w:instrText>
      </w:r>
      <w:r w:rsidR="00FD3DA0" w:rsidRPr="001E47AD">
        <w:rPr>
          <w:sz w:val="22"/>
          <w:szCs w:val="22"/>
        </w:rPr>
      </w:r>
      <w:r w:rsidR="00FD3DA0" w:rsidRPr="001E47AD">
        <w:rPr>
          <w:sz w:val="22"/>
          <w:szCs w:val="22"/>
        </w:rPr>
        <w:fldChar w:fldCharType="separate"/>
      </w:r>
      <w:r w:rsidR="009E3444" w:rsidRPr="001E47AD">
        <w:rPr>
          <w:sz w:val="22"/>
          <w:szCs w:val="22"/>
        </w:rPr>
        <w:t xml:space="preserve">Table </w:t>
      </w:r>
      <w:r w:rsidR="009E3444" w:rsidRPr="001E47AD">
        <w:rPr>
          <w:noProof/>
          <w:sz w:val="22"/>
          <w:szCs w:val="22"/>
        </w:rPr>
        <w:t>4</w:t>
      </w:r>
      <w:r w:rsidR="00FD3DA0" w:rsidRPr="001E47AD">
        <w:rPr>
          <w:sz w:val="22"/>
          <w:szCs w:val="22"/>
        </w:rPr>
        <w:fldChar w:fldCharType="end"/>
      </w:r>
      <w:r w:rsidRPr="001E47AD">
        <w:rPr>
          <w:sz w:val="22"/>
          <w:szCs w:val="22"/>
        </w:rPr>
        <w:t xml:space="preserve">, </w:t>
      </w:r>
      <w:r w:rsidR="00483AD2" w:rsidRPr="001E47AD">
        <w:rPr>
          <w:sz w:val="22"/>
          <w:szCs w:val="22"/>
        </w:rPr>
        <w:t>we</w:t>
      </w:r>
      <w:r w:rsidRPr="001E47AD">
        <w:rPr>
          <w:sz w:val="22"/>
          <w:szCs w:val="22"/>
        </w:rPr>
        <w:t xml:space="preserve"> </w:t>
      </w:r>
      <w:r w:rsidR="00DF1F62" w:rsidRPr="001E47AD">
        <w:rPr>
          <w:sz w:val="22"/>
          <w:szCs w:val="22"/>
        </w:rPr>
        <w:t>show</w:t>
      </w:r>
      <w:r w:rsidR="001630BC" w:rsidRPr="001E47AD">
        <w:rPr>
          <w:sz w:val="22"/>
          <w:szCs w:val="22"/>
        </w:rPr>
        <w:t xml:space="preserve"> that</w:t>
      </w:r>
      <w:r w:rsidRPr="001E47AD">
        <w:rPr>
          <w:sz w:val="22"/>
          <w:szCs w:val="22"/>
        </w:rPr>
        <w:t xml:space="preserve"> consumer stockpiling propensity during the EARLY</w:t>
      </w:r>
      <w:r w:rsidR="00473073" w:rsidRPr="001E47AD">
        <w:rPr>
          <w:sz w:val="22"/>
          <w:szCs w:val="22"/>
        </w:rPr>
        <w:t xml:space="preserve"> event period </w:t>
      </w:r>
      <w:r w:rsidRPr="001E47AD">
        <w:rPr>
          <w:sz w:val="22"/>
          <w:szCs w:val="22"/>
        </w:rPr>
        <w:t>is negatively</w:t>
      </w:r>
      <w:r w:rsidR="00826629" w:rsidRPr="001E47AD">
        <w:rPr>
          <w:sz w:val="22"/>
          <w:szCs w:val="22"/>
        </w:rPr>
        <w:t xml:space="preserve"> and significantly</w:t>
      </w:r>
      <w:r w:rsidRPr="001E47AD">
        <w:rPr>
          <w:sz w:val="22"/>
          <w:szCs w:val="22"/>
        </w:rPr>
        <w:t xml:space="preserve"> </w:t>
      </w:r>
      <w:r w:rsidRPr="001E47AD">
        <w:rPr>
          <w:noProof/>
          <w:sz w:val="22"/>
          <w:szCs w:val="22"/>
        </w:rPr>
        <w:t>related to</w:t>
      </w:r>
      <w:r w:rsidRPr="001E47AD">
        <w:rPr>
          <w:sz w:val="22"/>
          <w:szCs w:val="22"/>
        </w:rPr>
        <w:t xml:space="preserve"> product availability du</w:t>
      </w:r>
      <w:r w:rsidR="00650767" w:rsidRPr="001E47AD">
        <w:rPr>
          <w:sz w:val="22"/>
          <w:szCs w:val="22"/>
        </w:rPr>
        <w:t>ring the LATE event week (-0.116</w:t>
      </w:r>
      <w:r w:rsidRPr="001E47AD">
        <w:rPr>
          <w:sz w:val="22"/>
          <w:szCs w:val="22"/>
        </w:rPr>
        <w:t xml:space="preserve">, p&lt;0.001) and the </w:t>
      </w:r>
      <w:r w:rsidR="00650767" w:rsidRPr="001E47AD">
        <w:rPr>
          <w:sz w:val="22"/>
          <w:szCs w:val="22"/>
        </w:rPr>
        <w:t>first (-0.088, p&lt;0.001) POST event week, but not second (-0.028, p&gt;0.1</w:t>
      </w:r>
      <w:r w:rsidR="00567DB4" w:rsidRPr="001E47AD">
        <w:rPr>
          <w:sz w:val="22"/>
          <w:szCs w:val="22"/>
        </w:rPr>
        <w:t>), third</w:t>
      </w:r>
      <w:r w:rsidR="00826629" w:rsidRPr="001E47AD">
        <w:rPr>
          <w:sz w:val="22"/>
          <w:szCs w:val="22"/>
        </w:rPr>
        <w:t xml:space="preserve"> POST week</w:t>
      </w:r>
      <w:r w:rsidR="00567DB4" w:rsidRPr="001E47AD">
        <w:rPr>
          <w:sz w:val="22"/>
          <w:szCs w:val="22"/>
        </w:rPr>
        <w:t xml:space="preserve"> (-0.0</w:t>
      </w:r>
      <w:r w:rsidR="00650767" w:rsidRPr="001E47AD">
        <w:rPr>
          <w:sz w:val="22"/>
          <w:szCs w:val="22"/>
        </w:rPr>
        <w:t>06, p&gt;0.1</w:t>
      </w:r>
      <w:r w:rsidR="00567DB4" w:rsidRPr="001E47AD">
        <w:rPr>
          <w:sz w:val="22"/>
          <w:szCs w:val="22"/>
        </w:rPr>
        <w:t>)</w:t>
      </w:r>
      <w:r w:rsidR="00826629" w:rsidRPr="001E47AD">
        <w:rPr>
          <w:sz w:val="22"/>
          <w:szCs w:val="22"/>
        </w:rPr>
        <w:t xml:space="preserve">, </w:t>
      </w:r>
      <w:r w:rsidR="00DF1F62" w:rsidRPr="001E47AD">
        <w:rPr>
          <w:sz w:val="22"/>
          <w:szCs w:val="22"/>
        </w:rPr>
        <w:t>or</w:t>
      </w:r>
      <w:r w:rsidR="00650767" w:rsidRPr="001E47AD">
        <w:rPr>
          <w:sz w:val="22"/>
          <w:szCs w:val="22"/>
        </w:rPr>
        <w:t xml:space="preserve"> </w:t>
      </w:r>
      <w:r w:rsidR="00567DB4" w:rsidRPr="001E47AD">
        <w:rPr>
          <w:sz w:val="22"/>
          <w:szCs w:val="22"/>
        </w:rPr>
        <w:t>fourth</w:t>
      </w:r>
      <w:r w:rsidR="00826629" w:rsidRPr="001E47AD">
        <w:rPr>
          <w:sz w:val="22"/>
          <w:szCs w:val="22"/>
        </w:rPr>
        <w:t xml:space="preserve"> POST event week</w:t>
      </w:r>
      <w:r w:rsidR="00ED6DC2" w:rsidRPr="001E47AD">
        <w:rPr>
          <w:sz w:val="22"/>
          <w:szCs w:val="22"/>
        </w:rPr>
        <w:t xml:space="preserve"> (-0.02</w:t>
      </w:r>
      <w:r w:rsidR="00650767" w:rsidRPr="001E47AD">
        <w:rPr>
          <w:sz w:val="22"/>
          <w:szCs w:val="22"/>
        </w:rPr>
        <w:t>9</w:t>
      </w:r>
      <w:r w:rsidR="00567DB4" w:rsidRPr="001E47AD">
        <w:rPr>
          <w:sz w:val="22"/>
          <w:szCs w:val="22"/>
        </w:rPr>
        <w:t>, p&gt;</w:t>
      </w:r>
      <w:r w:rsidRPr="001E47AD">
        <w:rPr>
          <w:sz w:val="22"/>
          <w:szCs w:val="22"/>
        </w:rPr>
        <w:t>0.1).</w:t>
      </w:r>
      <w:r w:rsidR="00FB1312" w:rsidRPr="001E47AD">
        <w:rPr>
          <w:rStyle w:val="FootnoteReference"/>
          <w:sz w:val="22"/>
          <w:szCs w:val="22"/>
        </w:rPr>
        <w:footnoteReference w:id="24"/>
      </w:r>
      <w:r w:rsidR="00C12943" w:rsidRPr="001E47AD">
        <w:rPr>
          <w:rFonts w:hint="eastAsia"/>
          <w:sz w:val="22"/>
          <w:szCs w:val="22"/>
          <w:vertAlign w:val="superscript"/>
          <w:lang w:eastAsia="zh-CN"/>
        </w:rPr>
        <w:t>,</w:t>
      </w:r>
      <w:r w:rsidR="000C09A0" w:rsidRPr="001E47AD">
        <w:rPr>
          <w:rStyle w:val="FootnoteReference"/>
          <w:sz w:val="22"/>
          <w:szCs w:val="22"/>
        </w:rPr>
        <w:footnoteReference w:id="25"/>
      </w:r>
      <w:r w:rsidR="003912B1" w:rsidRPr="001E47AD">
        <w:rPr>
          <w:sz w:val="22"/>
          <w:szCs w:val="22"/>
        </w:rPr>
        <w:t xml:space="preserve"> </w:t>
      </w:r>
      <w:r w:rsidR="00707534" w:rsidRPr="001E47AD">
        <w:rPr>
          <w:sz w:val="22"/>
          <w:szCs w:val="22"/>
        </w:rPr>
        <w:fldChar w:fldCharType="begin"/>
      </w:r>
      <w:r w:rsidR="00707534" w:rsidRPr="001E47AD">
        <w:rPr>
          <w:sz w:val="22"/>
          <w:szCs w:val="22"/>
        </w:rPr>
        <w:instrText xml:space="preserve"> REF _Ref511033950 \h </w:instrText>
      </w:r>
      <w:r w:rsidR="00EF10F6" w:rsidRPr="001E47AD">
        <w:rPr>
          <w:sz w:val="22"/>
          <w:szCs w:val="22"/>
        </w:rPr>
        <w:instrText xml:space="preserve"> \* MERGEFORMAT </w:instrText>
      </w:r>
      <w:r w:rsidR="00707534" w:rsidRPr="001E47AD">
        <w:rPr>
          <w:sz w:val="22"/>
          <w:szCs w:val="22"/>
        </w:rPr>
      </w:r>
      <w:r w:rsidR="00707534" w:rsidRPr="001E47AD">
        <w:rPr>
          <w:sz w:val="22"/>
          <w:szCs w:val="22"/>
        </w:rPr>
        <w:fldChar w:fldCharType="separate"/>
      </w:r>
      <w:r w:rsidR="009E3444" w:rsidRPr="001E47AD">
        <w:rPr>
          <w:sz w:val="22"/>
          <w:szCs w:val="22"/>
        </w:rPr>
        <w:t>Figure 6</w:t>
      </w:r>
      <w:r w:rsidR="00707534" w:rsidRPr="001E47AD">
        <w:rPr>
          <w:sz w:val="22"/>
          <w:szCs w:val="22"/>
        </w:rPr>
        <w:fldChar w:fldCharType="end"/>
      </w:r>
      <w:r w:rsidR="00707534" w:rsidRPr="001E47AD">
        <w:rPr>
          <w:sz w:val="22"/>
          <w:szCs w:val="22"/>
        </w:rPr>
        <w:t xml:space="preserve"> </w:t>
      </w:r>
      <w:r w:rsidRPr="001E47AD">
        <w:rPr>
          <w:sz w:val="22"/>
          <w:szCs w:val="22"/>
        </w:rPr>
        <w:t xml:space="preserve">illustrates the coefficients of </w:t>
      </w:r>
      <m:oMath>
        <m:r>
          <m:rPr>
            <m:sty m:val="p"/>
          </m:rPr>
          <w:rPr>
            <w:rFonts w:ascii="Cambria Math" w:hAnsi="Cambria Math"/>
            <w:sz w:val="22"/>
            <w:szCs w:val="22"/>
          </w:rPr>
          <m:t>PREDICTED_STOCK_PROP_EARLY</m:t>
        </m:r>
      </m:oMath>
      <w:r w:rsidRPr="001E47AD">
        <w:rPr>
          <w:b/>
          <w:sz w:val="22"/>
          <w:szCs w:val="22"/>
        </w:rPr>
        <w:t xml:space="preserve"> </w:t>
      </w:r>
      <w:r w:rsidR="00DF1F62" w:rsidRPr="001E47AD">
        <w:rPr>
          <w:sz w:val="22"/>
          <w:szCs w:val="22"/>
        </w:rPr>
        <w:t>for</w:t>
      </w:r>
      <w:r w:rsidRPr="001E47AD">
        <w:rPr>
          <w:sz w:val="22"/>
          <w:szCs w:val="22"/>
        </w:rPr>
        <w:t xml:space="preserve"> Models 2.1-2.</w:t>
      </w:r>
      <w:r w:rsidR="00473073" w:rsidRPr="001E47AD">
        <w:rPr>
          <w:sz w:val="22"/>
          <w:szCs w:val="22"/>
        </w:rPr>
        <w:t>5</w:t>
      </w:r>
      <w:r w:rsidRPr="001E47AD">
        <w:rPr>
          <w:sz w:val="22"/>
          <w:szCs w:val="22"/>
        </w:rPr>
        <w:t>, represent</w:t>
      </w:r>
      <w:r w:rsidR="00C70237" w:rsidRPr="001E47AD">
        <w:rPr>
          <w:sz w:val="22"/>
          <w:szCs w:val="22"/>
        </w:rPr>
        <w:t>ing</w:t>
      </w:r>
      <w:r w:rsidRPr="001E47AD">
        <w:rPr>
          <w:sz w:val="22"/>
          <w:szCs w:val="22"/>
        </w:rPr>
        <w:t xml:space="preserve"> dynamic changes in the effects of stockpiling propensity on produ</w:t>
      </w:r>
      <w:r w:rsidR="00473073" w:rsidRPr="001E47AD">
        <w:rPr>
          <w:sz w:val="22"/>
          <w:szCs w:val="22"/>
        </w:rPr>
        <w:t xml:space="preserve">ct availability over the </w:t>
      </w:r>
      <w:r w:rsidRPr="001E47AD">
        <w:rPr>
          <w:sz w:val="22"/>
          <w:szCs w:val="22"/>
        </w:rPr>
        <w:t>LATE and POST event periods.</w:t>
      </w:r>
    </w:p>
    <w:p w14:paraId="5FB1BDF6" w14:textId="22F67204" w:rsidR="00963203" w:rsidRPr="001E47AD" w:rsidRDefault="00963203" w:rsidP="00963203">
      <w:pPr>
        <w:spacing w:line="480" w:lineRule="auto"/>
        <w:ind w:firstLine="720"/>
        <w:jc w:val="both"/>
        <w:rPr>
          <w:color w:val="0070C0"/>
          <w:sz w:val="22"/>
          <w:szCs w:val="22"/>
          <w:lang w:eastAsia="zh-CN"/>
        </w:rPr>
      </w:pPr>
      <w:r w:rsidRPr="001E47AD">
        <w:rPr>
          <w:sz w:val="22"/>
          <w:szCs w:val="22"/>
        </w:rPr>
        <w:t xml:space="preserve">The results demonstrate that consumer stockpiling propensity has immediate and </w:t>
      </w:r>
      <w:r w:rsidR="0054210B" w:rsidRPr="001E47AD">
        <w:rPr>
          <w:sz w:val="22"/>
          <w:szCs w:val="22"/>
        </w:rPr>
        <w:t>l</w:t>
      </w:r>
      <w:r w:rsidR="00DF1F62" w:rsidRPr="001E47AD">
        <w:rPr>
          <w:sz w:val="22"/>
          <w:szCs w:val="22"/>
        </w:rPr>
        <w:t>onger-term</w:t>
      </w:r>
      <w:r w:rsidRPr="001E47AD">
        <w:rPr>
          <w:sz w:val="22"/>
          <w:szCs w:val="22"/>
        </w:rPr>
        <w:t xml:space="preserve"> effects on managerial stocking decisions and in-store product availability over hurricane event periods. Compared with unpredictable disasters, such as </w:t>
      </w:r>
      <w:r w:rsidRPr="001E47AD">
        <w:rPr>
          <w:noProof/>
          <w:sz w:val="22"/>
          <w:szCs w:val="22"/>
        </w:rPr>
        <w:t>an earthquake</w:t>
      </w:r>
      <w:r w:rsidRPr="001E47AD">
        <w:rPr>
          <w:sz w:val="22"/>
          <w:szCs w:val="22"/>
        </w:rPr>
        <w:t>, h</w:t>
      </w:r>
      <w:r w:rsidRPr="001E47AD">
        <w:rPr>
          <w:noProof/>
          <w:sz w:val="22"/>
          <w:szCs w:val="22"/>
        </w:rPr>
        <w:t xml:space="preserve">urricane landfalls are largely determined </w:t>
      </w:r>
      <w:r w:rsidRPr="001E47AD">
        <w:rPr>
          <w:noProof/>
          <w:sz w:val="22"/>
          <w:szCs w:val="22"/>
        </w:rPr>
        <w:lastRenderedPageBreak/>
        <w:t>by weather patterns</w:t>
      </w:r>
      <w:r w:rsidRPr="001E47AD">
        <w:rPr>
          <w:sz w:val="22"/>
          <w:szCs w:val="22"/>
        </w:rPr>
        <w:t xml:space="preserve"> in place as </w:t>
      </w:r>
      <w:r w:rsidRPr="001E47AD">
        <w:rPr>
          <w:noProof/>
          <w:sz w:val="22"/>
          <w:szCs w:val="22"/>
        </w:rPr>
        <w:t>a hurricane approaches</w:t>
      </w:r>
      <w:r w:rsidRPr="001E47AD">
        <w:rPr>
          <w:sz w:val="22"/>
          <w:szCs w:val="22"/>
        </w:rPr>
        <w:t xml:space="preserve">. During the time lag between hurricane formation and landfall, retailers can use weather forecasting information to plan inventory needs and accelerate inventory supply </w:t>
      </w:r>
      <w:r w:rsidRPr="001E47AD">
        <w:rPr>
          <w:rFonts w:hint="eastAsia"/>
          <w:sz w:val="22"/>
          <w:szCs w:val="22"/>
          <w:lang w:eastAsia="zh-CN"/>
        </w:rPr>
        <w:t>(</w:t>
      </w:r>
      <w:r w:rsidRPr="001E47AD">
        <w:rPr>
          <w:sz w:val="22"/>
          <w:szCs w:val="22"/>
          <w:lang w:eastAsia="zh-CN"/>
        </w:rPr>
        <w:t>Target</w:t>
      </w:r>
      <w:r w:rsidRPr="001E47AD">
        <w:rPr>
          <w:rFonts w:hint="eastAsia"/>
          <w:sz w:val="22"/>
          <w:szCs w:val="22"/>
          <w:lang w:eastAsia="zh-CN"/>
        </w:rPr>
        <w:t xml:space="preserve"> 2018)</w:t>
      </w:r>
      <w:r w:rsidRPr="001E47AD">
        <w:rPr>
          <w:sz w:val="22"/>
          <w:szCs w:val="22"/>
          <w:lang w:eastAsia="zh-CN"/>
        </w:rPr>
        <w:t xml:space="preserve">. </w:t>
      </w:r>
      <w:r w:rsidRPr="001E47AD">
        <w:rPr>
          <w:sz w:val="22"/>
          <w:szCs w:val="22"/>
        </w:rPr>
        <w:t xml:space="preserve">However, increased consumer stockpiling propensity may lead to lower product availability following hurricanes, specifically, during the weeks defined as the LATE event week and the first POST event period in this study. The effects gradually dissipate over time. Indeed, as can be observed from </w:t>
      </w:r>
      <w:r w:rsidRPr="001E47AD">
        <w:rPr>
          <w:sz w:val="22"/>
          <w:szCs w:val="22"/>
        </w:rPr>
        <w:fldChar w:fldCharType="begin"/>
      </w:r>
      <w:r w:rsidRPr="001E47AD">
        <w:rPr>
          <w:sz w:val="22"/>
          <w:szCs w:val="22"/>
        </w:rPr>
        <w:instrText xml:space="preserve"> REF _Ref534850739 \h  \* MERGEFORMAT </w:instrText>
      </w:r>
      <w:r w:rsidRPr="001E47AD">
        <w:rPr>
          <w:sz w:val="22"/>
          <w:szCs w:val="22"/>
        </w:rPr>
      </w:r>
      <w:r w:rsidRPr="001E47AD">
        <w:rPr>
          <w:sz w:val="22"/>
          <w:szCs w:val="22"/>
        </w:rPr>
        <w:fldChar w:fldCharType="separate"/>
      </w:r>
      <w:r w:rsidR="009E3444" w:rsidRPr="001E47AD">
        <w:rPr>
          <w:sz w:val="22"/>
          <w:szCs w:val="22"/>
        </w:rPr>
        <w:t xml:space="preserve">Table </w:t>
      </w:r>
      <w:r w:rsidR="009E3444" w:rsidRPr="001E47AD">
        <w:rPr>
          <w:noProof/>
          <w:sz w:val="22"/>
          <w:szCs w:val="22"/>
        </w:rPr>
        <w:t>4</w:t>
      </w:r>
      <w:r w:rsidRPr="001E47AD">
        <w:rPr>
          <w:sz w:val="22"/>
          <w:szCs w:val="22"/>
        </w:rPr>
        <w:fldChar w:fldCharType="end"/>
      </w:r>
      <w:r w:rsidRPr="001E47AD">
        <w:rPr>
          <w:sz w:val="22"/>
          <w:szCs w:val="22"/>
        </w:rPr>
        <w:t xml:space="preserve">, the absolute values of the coefficients of the estimated stockpiling propensity decrease as the elapsed time since the hurricane landfall increases. </w:t>
      </w:r>
      <w:r w:rsidRPr="001E47AD">
        <w:rPr>
          <w:sz w:val="22"/>
          <w:szCs w:val="22"/>
          <w:lang w:eastAsia="zh-CN"/>
        </w:rPr>
        <w:t>F</w:t>
      </w:r>
      <w:r w:rsidRPr="001E47AD">
        <w:rPr>
          <w:sz w:val="22"/>
          <w:szCs w:val="22"/>
        </w:rPr>
        <w:t>urther discussion of the results</w:t>
      </w:r>
      <w:r w:rsidRPr="001E47AD">
        <w:rPr>
          <w:sz w:val="22"/>
          <w:szCs w:val="22"/>
          <w:lang w:eastAsia="zh-CN"/>
        </w:rPr>
        <w:t xml:space="preserve"> and relation to store formats is provided in Section 5.</w:t>
      </w:r>
    </w:p>
    <w:p w14:paraId="2E4119A8" w14:textId="7670CF23" w:rsidR="001742A8" w:rsidRPr="001E47AD" w:rsidRDefault="001742A8" w:rsidP="001742A8">
      <w:pPr>
        <w:spacing w:before="120" w:after="120" w:line="480" w:lineRule="auto"/>
        <w:ind w:firstLine="720"/>
        <w:contextualSpacing/>
        <w:jc w:val="both"/>
        <w:rPr>
          <w:sz w:val="22"/>
          <w:szCs w:val="22"/>
          <w:lang w:val="en-CA"/>
        </w:rPr>
      </w:pPr>
      <w:bookmarkStart w:id="55" w:name="_Ref514166421"/>
      <w:bookmarkStart w:id="56" w:name="_Ref533969764"/>
      <w:bookmarkStart w:id="57" w:name="_Toc520380516"/>
      <w:r w:rsidRPr="001E47AD">
        <w:rPr>
          <w:sz w:val="22"/>
          <w:szCs w:val="22"/>
        </w:rPr>
        <w:t xml:space="preserve"> </w:t>
      </w:r>
      <w:r w:rsidR="00BF37F6" w:rsidRPr="001E47AD">
        <w:rPr>
          <w:noProof/>
          <w:sz w:val="22"/>
          <w:szCs w:val="22"/>
          <w:lang w:eastAsia="zh-CN"/>
        </w:rPr>
        <w:drawing>
          <wp:inline distT="0" distB="0" distL="0" distR="0" wp14:anchorId="60C76DB8" wp14:editId="4F14DBE8">
            <wp:extent cx="5065614" cy="218415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92518" cy="2195754"/>
                    </a:xfrm>
                    <a:prstGeom prst="rect">
                      <a:avLst/>
                    </a:prstGeom>
                    <a:noFill/>
                  </pic:spPr>
                </pic:pic>
              </a:graphicData>
            </a:graphic>
          </wp:inline>
        </w:drawing>
      </w:r>
    </w:p>
    <w:p w14:paraId="51778CE4" w14:textId="79060DA3" w:rsidR="00EF07B3" w:rsidRPr="001E47AD" w:rsidRDefault="00EF07B3" w:rsidP="009451C2">
      <w:pPr>
        <w:pStyle w:val="Caption"/>
      </w:pPr>
      <w:bookmarkStart w:id="58" w:name="_Ref511033950"/>
      <w:bookmarkStart w:id="59" w:name="_Toc520380530"/>
      <w:r w:rsidRPr="001E47AD">
        <w:t xml:space="preserve">Figure </w:t>
      </w:r>
      <w:r w:rsidRPr="001E47AD">
        <w:rPr>
          <w:b/>
        </w:rPr>
        <w:fldChar w:fldCharType="begin"/>
      </w:r>
      <w:r w:rsidRPr="001E47AD">
        <w:instrText xml:space="preserve"> SEQ Figure \* ARABIC </w:instrText>
      </w:r>
      <w:r w:rsidRPr="001E47AD">
        <w:rPr>
          <w:b/>
        </w:rPr>
        <w:fldChar w:fldCharType="separate"/>
      </w:r>
      <w:r w:rsidR="009E3444" w:rsidRPr="001E47AD">
        <w:t>6</w:t>
      </w:r>
      <w:r w:rsidRPr="001E47AD">
        <w:rPr>
          <w:b/>
        </w:rPr>
        <w:fldChar w:fldCharType="end"/>
      </w:r>
      <w:bookmarkEnd w:id="58"/>
      <w:r w:rsidRPr="001E47AD">
        <w:t>: Stockpiling Propensity and Product Availability over Event Periods</w:t>
      </w:r>
      <w:bookmarkEnd w:id="59"/>
    </w:p>
    <w:p w14:paraId="6E014CAC" w14:textId="77777777" w:rsidR="00EF07B3" w:rsidRPr="001E47AD" w:rsidRDefault="00EF07B3" w:rsidP="00EF07B3">
      <w:pPr>
        <w:spacing w:before="120" w:after="120" w:line="480" w:lineRule="auto"/>
        <w:contextualSpacing/>
        <w:jc w:val="both"/>
        <w:rPr>
          <w:sz w:val="22"/>
          <w:szCs w:val="22"/>
          <w:lang w:eastAsia="zh-CN"/>
        </w:rPr>
      </w:pPr>
    </w:p>
    <w:p w14:paraId="12821DD2" w14:textId="77777777" w:rsidR="001742A8" w:rsidRPr="001E47AD" w:rsidRDefault="001742A8" w:rsidP="001742A8">
      <w:pPr>
        <w:spacing w:before="120" w:after="120" w:line="360" w:lineRule="auto"/>
        <w:contextualSpacing/>
        <w:jc w:val="center"/>
        <w:rPr>
          <w:sz w:val="22"/>
          <w:szCs w:val="22"/>
          <w:lang w:eastAsia="zh-CN"/>
        </w:rPr>
      </w:pPr>
    </w:p>
    <w:p w14:paraId="24BEC853" w14:textId="77777777" w:rsidR="001742A8" w:rsidRPr="001E47AD" w:rsidRDefault="001742A8" w:rsidP="001742A8">
      <w:pPr>
        <w:spacing w:before="120" w:after="120" w:line="360" w:lineRule="auto"/>
        <w:contextualSpacing/>
        <w:jc w:val="center"/>
        <w:rPr>
          <w:sz w:val="22"/>
          <w:szCs w:val="22"/>
        </w:rPr>
      </w:pPr>
    </w:p>
    <w:p w14:paraId="4617D31F" w14:textId="77777777" w:rsidR="001742A8" w:rsidRPr="001E47AD" w:rsidRDefault="001742A8" w:rsidP="00072CA2">
      <w:pPr>
        <w:spacing w:line="480" w:lineRule="auto"/>
        <w:ind w:firstLine="720"/>
        <w:jc w:val="both"/>
        <w:rPr>
          <w:sz w:val="22"/>
          <w:szCs w:val="22"/>
        </w:rPr>
        <w:sectPr w:rsidR="001742A8" w:rsidRPr="001E47AD" w:rsidSect="009C01AC">
          <w:endnotePr>
            <w:numFmt w:val="decimal"/>
            <w:numRestart w:val="eachSect"/>
          </w:endnotePr>
          <w:pgSz w:w="12240" w:h="15840"/>
          <w:pgMar w:top="1440" w:right="1440" w:bottom="1440" w:left="1440" w:header="720" w:footer="720" w:gutter="0"/>
          <w:cols w:space="720"/>
          <w:docGrid w:linePitch="360"/>
        </w:sectPr>
      </w:pPr>
    </w:p>
    <w:p w14:paraId="4ADF5A32" w14:textId="3F9A4516" w:rsidR="00ED6DC2" w:rsidRPr="001E47AD" w:rsidRDefault="00322584" w:rsidP="00ED6DC2">
      <w:pPr>
        <w:spacing w:before="120" w:after="120" w:line="360" w:lineRule="auto"/>
        <w:contextualSpacing/>
        <w:rPr>
          <w:sz w:val="22"/>
          <w:szCs w:val="22"/>
        </w:rPr>
      </w:pPr>
      <w:bookmarkStart w:id="60" w:name="_Ref534850739"/>
      <w:r w:rsidRPr="001E47AD">
        <w:rPr>
          <w:sz w:val="22"/>
          <w:szCs w:val="22"/>
        </w:rPr>
        <w:lastRenderedPageBreak/>
        <w:t xml:space="preserve">Table </w:t>
      </w:r>
      <w:r w:rsidR="002C70E8" w:rsidRPr="001E47AD">
        <w:rPr>
          <w:noProof/>
          <w:sz w:val="22"/>
          <w:szCs w:val="22"/>
        </w:rPr>
        <w:fldChar w:fldCharType="begin"/>
      </w:r>
      <w:r w:rsidR="002C70E8" w:rsidRPr="001E47AD">
        <w:rPr>
          <w:noProof/>
          <w:sz w:val="22"/>
          <w:szCs w:val="22"/>
        </w:rPr>
        <w:instrText xml:space="preserve"> SEQ Table \* ARABIC </w:instrText>
      </w:r>
      <w:r w:rsidR="002C70E8" w:rsidRPr="001E47AD">
        <w:rPr>
          <w:noProof/>
          <w:sz w:val="22"/>
          <w:szCs w:val="22"/>
        </w:rPr>
        <w:fldChar w:fldCharType="separate"/>
      </w:r>
      <w:r w:rsidR="009E3444" w:rsidRPr="001E47AD">
        <w:rPr>
          <w:noProof/>
          <w:sz w:val="22"/>
          <w:szCs w:val="22"/>
        </w:rPr>
        <w:t>4</w:t>
      </w:r>
      <w:r w:rsidR="002C70E8" w:rsidRPr="001E47AD">
        <w:rPr>
          <w:noProof/>
          <w:sz w:val="22"/>
          <w:szCs w:val="22"/>
        </w:rPr>
        <w:fldChar w:fldCharType="end"/>
      </w:r>
      <w:bookmarkEnd w:id="55"/>
      <w:bookmarkEnd w:id="56"/>
      <w:bookmarkEnd w:id="60"/>
      <w:r w:rsidRPr="001E47AD">
        <w:rPr>
          <w:sz w:val="22"/>
          <w:szCs w:val="22"/>
        </w:rPr>
        <w:t>: Estimation Results (</w:t>
      </w:r>
      <w:r w:rsidR="00D42B5C" w:rsidRPr="001E47AD">
        <w:rPr>
          <w:sz w:val="22"/>
          <w:szCs w:val="22"/>
        </w:rPr>
        <w:t xml:space="preserve">Second-Stage of 2SLS: </w:t>
      </w:r>
      <w:r w:rsidRPr="001E47AD">
        <w:rPr>
          <w:sz w:val="22"/>
          <w:szCs w:val="22"/>
        </w:rPr>
        <w:t>In-Store Product Availability)</w:t>
      </w:r>
      <w:bookmarkEnd w:id="5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016"/>
        <w:gridCol w:w="1984"/>
        <w:gridCol w:w="1984"/>
        <w:gridCol w:w="1984"/>
        <w:gridCol w:w="1982"/>
      </w:tblGrid>
      <w:tr w:rsidR="007B03DB" w:rsidRPr="001E47AD" w14:paraId="44BD0D5B" w14:textId="77777777" w:rsidTr="00135B4A">
        <w:tc>
          <w:tcPr>
            <w:tcW w:w="1224" w:type="pct"/>
            <w:tcBorders>
              <w:top w:val="single" w:sz="4" w:space="0" w:color="auto"/>
              <w:bottom w:val="single" w:sz="4" w:space="0" w:color="auto"/>
            </w:tcBorders>
            <w:vAlign w:val="center"/>
          </w:tcPr>
          <w:p w14:paraId="058D5381" w14:textId="77777777" w:rsidR="007B03DB" w:rsidRPr="001E47AD" w:rsidRDefault="007B03DB" w:rsidP="00135B4A">
            <w:pPr>
              <w:contextualSpacing/>
              <w:rPr>
                <w:rFonts w:ascii="Times New Roman" w:hAnsi="Times New Roman" w:cs="Times New Roman"/>
                <w:sz w:val="16"/>
                <w:szCs w:val="16"/>
              </w:rPr>
            </w:pPr>
            <w:r w:rsidRPr="001E47AD">
              <w:rPr>
                <w:rFonts w:ascii="Times New Roman" w:hAnsi="Times New Roman" w:cs="Times New Roman"/>
                <w:sz w:val="16"/>
                <w:szCs w:val="16"/>
              </w:rPr>
              <w:t>Dependent Variable</w:t>
            </w:r>
          </w:p>
          <w:p w14:paraId="19C92274" w14:textId="46CD0876" w:rsidR="007B03DB" w:rsidRPr="001E47AD" w:rsidRDefault="007B03DB" w:rsidP="00135B4A">
            <w:pPr>
              <w:contextualSpacing/>
              <w:rPr>
                <w:rFonts w:ascii="Times New Roman" w:hAnsi="Times New Roman" w:cs="Times New Roman"/>
                <w:spacing w:val="-4"/>
                <w:sz w:val="16"/>
                <w:szCs w:val="16"/>
              </w:rPr>
            </w:pPr>
            <m:oMathPara>
              <m:oMathParaPr>
                <m:jc m:val="left"/>
              </m:oMathParaPr>
              <m:oMath>
                <m:r>
                  <m:rPr>
                    <m:sty m:val="p"/>
                  </m:rPr>
                  <w:rPr>
                    <w:rFonts w:ascii="Cambria Math" w:hAnsi="Cambria Math" w:cs="Times New Roman"/>
                    <w:sz w:val="16"/>
                    <w:szCs w:val="16"/>
                  </w:rPr>
                  <m:t>LN(PRODUCT_AVAIL_LATE\_POST)×1000</m:t>
                </m:r>
              </m:oMath>
            </m:oMathPara>
          </w:p>
        </w:tc>
        <w:tc>
          <w:tcPr>
            <w:tcW w:w="765" w:type="pct"/>
            <w:tcBorders>
              <w:top w:val="single" w:sz="4" w:space="0" w:color="auto"/>
              <w:bottom w:val="single" w:sz="4" w:space="0" w:color="auto"/>
            </w:tcBorders>
            <w:vAlign w:val="center"/>
          </w:tcPr>
          <w:p w14:paraId="543B8485"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2.1</w:t>
            </w:r>
          </w:p>
          <w:p w14:paraId="0A57CDFE"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LATE Week</w:t>
            </w:r>
          </w:p>
        </w:tc>
        <w:tc>
          <w:tcPr>
            <w:tcW w:w="753" w:type="pct"/>
            <w:tcBorders>
              <w:top w:val="single" w:sz="4" w:space="0" w:color="auto"/>
              <w:bottom w:val="single" w:sz="4" w:space="0" w:color="auto"/>
            </w:tcBorders>
            <w:shd w:val="clear" w:color="auto" w:fill="auto"/>
            <w:vAlign w:val="center"/>
          </w:tcPr>
          <w:p w14:paraId="65863D6C"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2.2</w:t>
            </w:r>
          </w:p>
          <w:p w14:paraId="69EF4241"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1</w:t>
            </w:r>
          </w:p>
        </w:tc>
        <w:tc>
          <w:tcPr>
            <w:tcW w:w="753" w:type="pct"/>
            <w:tcBorders>
              <w:top w:val="single" w:sz="4" w:space="0" w:color="auto"/>
              <w:bottom w:val="single" w:sz="4" w:space="0" w:color="auto"/>
            </w:tcBorders>
            <w:vAlign w:val="center"/>
          </w:tcPr>
          <w:p w14:paraId="1ACDB8A4"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2.3</w:t>
            </w:r>
          </w:p>
          <w:p w14:paraId="61313D2C"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2</w:t>
            </w:r>
          </w:p>
        </w:tc>
        <w:tc>
          <w:tcPr>
            <w:tcW w:w="753" w:type="pct"/>
            <w:tcBorders>
              <w:top w:val="single" w:sz="4" w:space="0" w:color="auto"/>
              <w:bottom w:val="single" w:sz="4" w:space="0" w:color="auto"/>
            </w:tcBorders>
            <w:vAlign w:val="center"/>
          </w:tcPr>
          <w:p w14:paraId="3904B9C5"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2.4</w:t>
            </w:r>
          </w:p>
          <w:p w14:paraId="05578CEB"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3</w:t>
            </w:r>
          </w:p>
        </w:tc>
        <w:tc>
          <w:tcPr>
            <w:tcW w:w="752" w:type="pct"/>
            <w:tcBorders>
              <w:top w:val="single" w:sz="4" w:space="0" w:color="auto"/>
              <w:bottom w:val="single" w:sz="4" w:space="0" w:color="auto"/>
            </w:tcBorders>
          </w:tcPr>
          <w:p w14:paraId="0AC5B864"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2.5</w:t>
            </w:r>
          </w:p>
          <w:p w14:paraId="5E3F7D76" w14:textId="77777777" w:rsidR="007B03DB" w:rsidRPr="001E47AD" w:rsidRDefault="007B03DB" w:rsidP="00135B4A">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4</w:t>
            </w:r>
          </w:p>
        </w:tc>
      </w:tr>
      <w:tr w:rsidR="002B1795" w:rsidRPr="001E47AD" w14:paraId="551F1CE1" w14:textId="77777777" w:rsidTr="001E435E">
        <w:tc>
          <w:tcPr>
            <w:tcW w:w="1224" w:type="pct"/>
            <w:tcBorders>
              <w:top w:val="single" w:sz="4" w:space="0" w:color="auto"/>
              <w:left w:val="nil"/>
              <w:bottom w:val="single" w:sz="4" w:space="0" w:color="auto"/>
              <w:right w:val="nil"/>
            </w:tcBorders>
            <w:shd w:val="clear" w:color="auto" w:fill="auto"/>
            <w:vAlign w:val="center"/>
          </w:tcPr>
          <w:p w14:paraId="23B62EB5" w14:textId="23B6BC42"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PREDICTED_STOCK_PROP_EARLY</m:t>
                </m:r>
              </m:oMath>
            </m:oMathPara>
          </w:p>
        </w:tc>
        <w:tc>
          <w:tcPr>
            <w:tcW w:w="765" w:type="pct"/>
            <w:tcBorders>
              <w:top w:val="single" w:sz="4" w:space="0" w:color="auto"/>
              <w:left w:val="nil"/>
              <w:bottom w:val="single" w:sz="4" w:space="0" w:color="auto"/>
              <w:right w:val="nil"/>
            </w:tcBorders>
            <w:shd w:val="clear" w:color="auto" w:fill="auto"/>
            <w:vAlign w:val="bottom"/>
          </w:tcPr>
          <w:p w14:paraId="1F2A96A5" w14:textId="77777777" w:rsidR="007B03DB" w:rsidRPr="001E47AD" w:rsidRDefault="007B03DB" w:rsidP="00135B4A">
            <w:pPr>
              <w:jc w:val="right"/>
              <w:rPr>
                <w:rFonts w:ascii="Times New Roman" w:hAnsi="Times New Roman" w:cs="Times New Roman"/>
                <w:i/>
                <w:sz w:val="16"/>
                <w:szCs w:val="16"/>
                <w:lang w:val="en-CA"/>
              </w:rPr>
            </w:pPr>
            <w:r w:rsidRPr="001E47AD">
              <w:rPr>
                <w:rFonts w:ascii="Times New Roman" w:hAnsi="Times New Roman" w:cs="Times New Roman"/>
                <w:i/>
                <w:sz w:val="16"/>
                <w:szCs w:val="16"/>
              </w:rPr>
              <w:t>-0.116*** (0.031)</w:t>
            </w:r>
          </w:p>
        </w:tc>
        <w:tc>
          <w:tcPr>
            <w:tcW w:w="753" w:type="pct"/>
            <w:tcBorders>
              <w:top w:val="single" w:sz="4" w:space="0" w:color="auto"/>
              <w:left w:val="nil"/>
              <w:bottom w:val="single" w:sz="4" w:space="0" w:color="auto"/>
              <w:right w:val="nil"/>
            </w:tcBorders>
            <w:shd w:val="clear" w:color="auto" w:fill="auto"/>
            <w:vAlign w:val="bottom"/>
          </w:tcPr>
          <w:p w14:paraId="3FE1F6F5" w14:textId="77777777" w:rsidR="007B03DB" w:rsidRPr="001E47AD" w:rsidRDefault="007B03DB" w:rsidP="00135B4A">
            <w:pPr>
              <w:jc w:val="right"/>
              <w:rPr>
                <w:rFonts w:ascii="Times New Roman" w:hAnsi="Times New Roman" w:cs="Times New Roman"/>
                <w:i/>
                <w:sz w:val="16"/>
                <w:szCs w:val="16"/>
              </w:rPr>
            </w:pPr>
            <w:r w:rsidRPr="001E47AD">
              <w:rPr>
                <w:rFonts w:ascii="Times New Roman" w:hAnsi="Times New Roman" w:cs="Times New Roman"/>
                <w:i/>
                <w:sz w:val="16"/>
                <w:szCs w:val="16"/>
              </w:rPr>
              <w:t>-0.088** (0.029)</w:t>
            </w:r>
          </w:p>
        </w:tc>
        <w:tc>
          <w:tcPr>
            <w:tcW w:w="753" w:type="pct"/>
            <w:tcBorders>
              <w:top w:val="single" w:sz="4" w:space="0" w:color="auto"/>
              <w:left w:val="nil"/>
              <w:bottom w:val="single" w:sz="4" w:space="0" w:color="auto"/>
              <w:right w:val="nil"/>
            </w:tcBorders>
            <w:shd w:val="clear" w:color="auto" w:fill="auto"/>
            <w:vAlign w:val="bottom"/>
          </w:tcPr>
          <w:p w14:paraId="5ACBE5A0" w14:textId="77777777" w:rsidR="007B03DB" w:rsidRPr="001E47AD" w:rsidRDefault="007B03DB" w:rsidP="00135B4A">
            <w:pPr>
              <w:jc w:val="right"/>
              <w:rPr>
                <w:rFonts w:ascii="Times New Roman" w:hAnsi="Times New Roman" w:cs="Times New Roman"/>
                <w:i/>
                <w:sz w:val="16"/>
                <w:szCs w:val="16"/>
              </w:rPr>
            </w:pPr>
            <w:r w:rsidRPr="001E47AD">
              <w:rPr>
                <w:rFonts w:ascii="Times New Roman" w:hAnsi="Times New Roman" w:cs="Times New Roman"/>
                <w:i/>
                <w:sz w:val="16"/>
                <w:szCs w:val="16"/>
              </w:rPr>
              <w:t>-0.028 (0.029)</w:t>
            </w:r>
          </w:p>
        </w:tc>
        <w:tc>
          <w:tcPr>
            <w:tcW w:w="753" w:type="pct"/>
            <w:tcBorders>
              <w:top w:val="single" w:sz="4" w:space="0" w:color="auto"/>
              <w:left w:val="nil"/>
              <w:bottom w:val="single" w:sz="4" w:space="0" w:color="auto"/>
              <w:right w:val="nil"/>
            </w:tcBorders>
            <w:shd w:val="clear" w:color="auto" w:fill="auto"/>
            <w:vAlign w:val="bottom"/>
          </w:tcPr>
          <w:p w14:paraId="5B35160C" w14:textId="77777777" w:rsidR="007B03DB" w:rsidRPr="001E47AD" w:rsidRDefault="007B03DB" w:rsidP="00135B4A">
            <w:pPr>
              <w:jc w:val="right"/>
              <w:rPr>
                <w:rFonts w:ascii="Times New Roman" w:hAnsi="Times New Roman" w:cs="Times New Roman"/>
                <w:i/>
                <w:sz w:val="16"/>
                <w:szCs w:val="16"/>
              </w:rPr>
            </w:pPr>
            <w:r w:rsidRPr="001E47AD">
              <w:rPr>
                <w:rFonts w:ascii="Times New Roman" w:hAnsi="Times New Roman" w:cs="Times New Roman"/>
                <w:i/>
                <w:sz w:val="16"/>
                <w:szCs w:val="16"/>
              </w:rPr>
              <w:t>-0.006 (0.030)</w:t>
            </w:r>
          </w:p>
        </w:tc>
        <w:tc>
          <w:tcPr>
            <w:tcW w:w="752" w:type="pct"/>
            <w:tcBorders>
              <w:top w:val="single" w:sz="4" w:space="0" w:color="auto"/>
              <w:left w:val="nil"/>
              <w:bottom w:val="single" w:sz="4" w:space="0" w:color="auto"/>
              <w:right w:val="nil"/>
            </w:tcBorders>
            <w:shd w:val="clear" w:color="auto" w:fill="auto"/>
            <w:vAlign w:val="bottom"/>
          </w:tcPr>
          <w:p w14:paraId="1E9BABEB" w14:textId="77777777" w:rsidR="007B03DB" w:rsidRPr="001E47AD" w:rsidRDefault="007B03DB" w:rsidP="00135B4A">
            <w:pPr>
              <w:jc w:val="right"/>
              <w:rPr>
                <w:rFonts w:ascii="Times New Roman" w:hAnsi="Times New Roman" w:cs="Times New Roman"/>
                <w:i/>
                <w:sz w:val="16"/>
                <w:szCs w:val="16"/>
              </w:rPr>
            </w:pPr>
            <w:r w:rsidRPr="001E47AD">
              <w:rPr>
                <w:rFonts w:ascii="Times New Roman" w:hAnsi="Times New Roman" w:cs="Times New Roman"/>
                <w:i/>
                <w:sz w:val="16"/>
                <w:szCs w:val="16"/>
              </w:rPr>
              <w:t>-0.029 (0.030)</w:t>
            </w:r>
          </w:p>
        </w:tc>
      </w:tr>
      <w:tr w:rsidR="002B1795" w:rsidRPr="001E47AD" w14:paraId="7AA3E650" w14:textId="77777777" w:rsidTr="001E435E">
        <w:tc>
          <w:tcPr>
            <w:tcW w:w="1224" w:type="pct"/>
            <w:tcBorders>
              <w:top w:val="single" w:sz="4" w:space="0" w:color="auto"/>
              <w:left w:val="nil"/>
              <w:bottom w:val="nil"/>
              <w:right w:val="nil"/>
            </w:tcBorders>
            <w:shd w:val="clear" w:color="auto" w:fill="auto"/>
            <w:vAlign w:val="center"/>
          </w:tcPr>
          <w:p w14:paraId="71F45458" w14:textId="6127F705" w:rsidR="001E435E" w:rsidRPr="001E47AD" w:rsidRDefault="001E435E" w:rsidP="00135B4A">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Independent Variables</w:t>
            </w:r>
          </w:p>
        </w:tc>
        <w:tc>
          <w:tcPr>
            <w:tcW w:w="765" w:type="pct"/>
            <w:tcBorders>
              <w:top w:val="single" w:sz="4" w:space="0" w:color="auto"/>
              <w:left w:val="nil"/>
              <w:bottom w:val="nil"/>
              <w:right w:val="nil"/>
            </w:tcBorders>
            <w:shd w:val="clear" w:color="auto" w:fill="auto"/>
            <w:vAlign w:val="bottom"/>
          </w:tcPr>
          <w:p w14:paraId="4554AE1A" w14:textId="77777777" w:rsidR="001E435E" w:rsidRPr="001E47AD" w:rsidRDefault="001E435E" w:rsidP="00135B4A">
            <w:pPr>
              <w:jc w:val="right"/>
              <w:rPr>
                <w:sz w:val="16"/>
                <w:szCs w:val="16"/>
              </w:rPr>
            </w:pPr>
          </w:p>
        </w:tc>
        <w:tc>
          <w:tcPr>
            <w:tcW w:w="753" w:type="pct"/>
            <w:tcBorders>
              <w:top w:val="single" w:sz="4" w:space="0" w:color="auto"/>
              <w:left w:val="nil"/>
              <w:bottom w:val="nil"/>
              <w:right w:val="nil"/>
            </w:tcBorders>
            <w:shd w:val="clear" w:color="auto" w:fill="auto"/>
            <w:vAlign w:val="bottom"/>
          </w:tcPr>
          <w:p w14:paraId="5CA7F821" w14:textId="77777777" w:rsidR="001E435E" w:rsidRPr="001E47AD" w:rsidRDefault="001E435E" w:rsidP="00135B4A">
            <w:pPr>
              <w:jc w:val="right"/>
              <w:rPr>
                <w:sz w:val="20"/>
                <w:szCs w:val="20"/>
              </w:rPr>
            </w:pPr>
          </w:p>
        </w:tc>
        <w:tc>
          <w:tcPr>
            <w:tcW w:w="753" w:type="pct"/>
            <w:tcBorders>
              <w:top w:val="single" w:sz="4" w:space="0" w:color="auto"/>
              <w:left w:val="nil"/>
              <w:bottom w:val="nil"/>
              <w:right w:val="nil"/>
            </w:tcBorders>
            <w:shd w:val="clear" w:color="auto" w:fill="auto"/>
            <w:vAlign w:val="bottom"/>
          </w:tcPr>
          <w:p w14:paraId="32E6FE47" w14:textId="77777777" w:rsidR="001E435E" w:rsidRPr="001E47AD" w:rsidRDefault="001E435E" w:rsidP="00135B4A">
            <w:pPr>
              <w:jc w:val="right"/>
              <w:rPr>
                <w:sz w:val="20"/>
                <w:szCs w:val="20"/>
              </w:rPr>
            </w:pPr>
          </w:p>
        </w:tc>
        <w:tc>
          <w:tcPr>
            <w:tcW w:w="753" w:type="pct"/>
            <w:tcBorders>
              <w:top w:val="single" w:sz="4" w:space="0" w:color="auto"/>
              <w:left w:val="nil"/>
              <w:bottom w:val="nil"/>
              <w:right w:val="nil"/>
            </w:tcBorders>
            <w:shd w:val="clear" w:color="auto" w:fill="auto"/>
            <w:vAlign w:val="bottom"/>
          </w:tcPr>
          <w:p w14:paraId="62B5C009" w14:textId="77777777" w:rsidR="001E435E" w:rsidRPr="001E47AD" w:rsidRDefault="001E435E" w:rsidP="00135B4A">
            <w:pPr>
              <w:jc w:val="right"/>
              <w:rPr>
                <w:sz w:val="20"/>
                <w:szCs w:val="20"/>
              </w:rPr>
            </w:pPr>
          </w:p>
        </w:tc>
        <w:tc>
          <w:tcPr>
            <w:tcW w:w="752" w:type="pct"/>
            <w:tcBorders>
              <w:top w:val="single" w:sz="4" w:space="0" w:color="auto"/>
              <w:left w:val="nil"/>
              <w:bottom w:val="nil"/>
              <w:right w:val="nil"/>
            </w:tcBorders>
            <w:shd w:val="clear" w:color="auto" w:fill="auto"/>
            <w:vAlign w:val="bottom"/>
          </w:tcPr>
          <w:p w14:paraId="7194F5BA" w14:textId="77777777" w:rsidR="001E435E" w:rsidRPr="001E47AD" w:rsidRDefault="001E435E" w:rsidP="00135B4A">
            <w:pPr>
              <w:jc w:val="right"/>
              <w:rPr>
                <w:sz w:val="20"/>
                <w:szCs w:val="20"/>
              </w:rPr>
            </w:pPr>
          </w:p>
        </w:tc>
      </w:tr>
      <w:tr w:rsidR="002B1795" w:rsidRPr="001E47AD" w14:paraId="109385AE" w14:textId="77777777" w:rsidTr="001E435E">
        <w:tc>
          <w:tcPr>
            <w:tcW w:w="1224" w:type="pct"/>
            <w:tcBorders>
              <w:top w:val="nil"/>
              <w:left w:val="nil"/>
              <w:bottom w:val="nil"/>
              <w:right w:val="nil"/>
            </w:tcBorders>
            <w:shd w:val="clear" w:color="auto" w:fill="auto"/>
            <w:vAlign w:val="center"/>
          </w:tcPr>
          <w:p w14:paraId="25A3BAA8"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Supply-Side Characteristics</w:t>
            </w:r>
          </w:p>
        </w:tc>
        <w:tc>
          <w:tcPr>
            <w:tcW w:w="765" w:type="pct"/>
            <w:tcBorders>
              <w:top w:val="nil"/>
              <w:left w:val="nil"/>
              <w:bottom w:val="nil"/>
              <w:right w:val="nil"/>
            </w:tcBorders>
            <w:shd w:val="clear" w:color="auto" w:fill="auto"/>
            <w:vAlign w:val="bottom"/>
          </w:tcPr>
          <w:p w14:paraId="153C8D7C" w14:textId="77777777" w:rsidR="007B03DB" w:rsidRPr="001E47AD" w:rsidRDefault="007B03DB" w:rsidP="00135B4A">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4F0C8857"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2ED75796"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1647D123" w14:textId="77777777" w:rsidR="007B03DB" w:rsidRPr="001E47AD" w:rsidRDefault="007B03DB" w:rsidP="00135B4A">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5C2EF5AB" w14:textId="77777777" w:rsidR="007B03DB" w:rsidRPr="001E47AD" w:rsidRDefault="007B03DB" w:rsidP="00135B4A">
            <w:pPr>
              <w:jc w:val="right"/>
              <w:rPr>
                <w:rFonts w:ascii="Times New Roman" w:hAnsi="Times New Roman" w:cs="Times New Roman"/>
                <w:sz w:val="20"/>
                <w:szCs w:val="20"/>
              </w:rPr>
            </w:pPr>
          </w:p>
        </w:tc>
      </w:tr>
      <w:tr w:rsidR="007B03DB" w:rsidRPr="001E47AD" w14:paraId="07BCC598" w14:textId="77777777" w:rsidTr="00135B4A">
        <w:tc>
          <w:tcPr>
            <w:tcW w:w="1224" w:type="pct"/>
            <w:tcBorders>
              <w:top w:val="nil"/>
              <w:left w:val="nil"/>
              <w:bottom w:val="nil"/>
              <w:right w:val="nil"/>
            </w:tcBorders>
            <w:shd w:val="clear" w:color="auto" w:fill="auto"/>
            <w:vAlign w:val="center"/>
          </w:tcPr>
          <w:p w14:paraId="067C0E8D"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INTRA_NTW_COUNTY</m:t>
                </m:r>
              </m:oMath>
            </m:oMathPara>
          </w:p>
        </w:tc>
        <w:tc>
          <w:tcPr>
            <w:tcW w:w="765" w:type="pct"/>
            <w:tcBorders>
              <w:top w:val="nil"/>
              <w:left w:val="nil"/>
              <w:bottom w:val="nil"/>
              <w:right w:val="nil"/>
            </w:tcBorders>
            <w:shd w:val="clear" w:color="auto" w:fill="auto"/>
            <w:vAlign w:val="bottom"/>
          </w:tcPr>
          <w:p w14:paraId="6046DC6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-12.566 (11.408)</w:t>
            </w:r>
          </w:p>
        </w:tc>
        <w:tc>
          <w:tcPr>
            <w:tcW w:w="753" w:type="pct"/>
            <w:tcBorders>
              <w:top w:val="nil"/>
              <w:left w:val="nil"/>
              <w:bottom w:val="nil"/>
              <w:right w:val="nil"/>
            </w:tcBorders>
            <w:shd w:val="clear" w:color="auto" w:fill="auto"/>
            <w:vAlign w:val="bottom"/>
          </w:tcPr>
          <w:p w14:paraId="19819F6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15.496 (10.994)</w:t>
            </w:r>
          </w:p>
        </w:tc>
        <w:tc>
          <w:tcPr>
            <w:tcW w:w="753" w:type="pct"/>
            <w:tcBorders>
              <w:top w:val="nil"/>
              <w:left w:val="nil"/>
              <w:bottom w:val="nil"/>
              <w:right w:val="nil"/>
            </w:tcBorders>
            <w:shd w:val="clear" w:color="auto" w:fill="auto"/>
            <w:vAlign w:val="bottom"/>
          </w:tcPr>
          <w:p w14:paraId="1CCCF94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34.510** (10.824)</w:t>
            </w:r>
          </w:p>
        </w:tc>
        <w:tc>
          <w:tcPr>
            <w:tcW w:w="753" w:type="pct"/>
            <w:tcBorders>
              <w:top w:val="nil"/>
              <w:left w:val="nil"/>
              <w:bottom w:val="nil"/>
              <w:right w:val="nil"/>
            </w:tcBorders>
            <w:shd w:val="clear" w:color="auto" w:fill="auto"/>
            <w:vAlign w:val="bottom"/>
          </w:tcPr>
          <w:p w14:paraId="7E84D25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12.427 (11.174)</w:t>
            </w:r>
          </w:p>
        </w:tc>
        <w:tc>
          <w:tcPr>
            <w:tcW w:w="752" w:type="pct"/>
            <w:tcBorders>
              <w:top w:val="nil"/>
              <w:left w:val="nil"/>
              <w:bottom w:val="nil"/>
              <w:right w:val="nil"/>
            </w:tcBorders>
            <w:shd w:val="clear" w:color="auto" w:fill="auto"/>
            <w:vAlign w:val="bottom"/>
          </w:tcPr>
          <w:p w14:paraId="4887405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-7.273 (11.170)</w:t>
            </w:r>
          </w:p>
        </w:tc>
      </w:tr>
      <w:tr w:rsidR="007B03DB" w:rsidRPr="001E47AD" w14:paraId="0D71EFBA" w14:textId="77777777" w:rsidTr="00135B4A">
        <w:tc>
          <w:tcPr>
            <w:tcW w:w="1224" w:type="pct"/>
            <w:tcBorders>
              <w:top w:val="nil"/>
              <w:left w:val="nil"/>
              <w:bottom w:val="nil"/>
              <w:right w:val="nil"/>
            </w:tcBorders>
            <w:shd w:val="clear" w:color="auto" w:fill="auto"/>
            <w:vAlign w:val="center"/>
          </w:tcPr>
          <w:p w14:paraId="6FF50639" w14:textId="77777777"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(INTRA_NTW_COUNTY)</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25FCA6C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3.104 (3.759)</w:t>
            </w:r>
          </w:p>
        </w:tc>
        <w:tc>
          <w:tcPr>
            <w:tcW w:w="753" w:type="pct"/>
            <w:tcBorders>
              <w:top w:val="nil"/>
              <w:left w:val="nil"/>
              <w:bottom w:val="nil"/>
              <w:right w:val="nil"/>
            </w:tcBorders>
            <w:shd w:val="clear" w:color="auto" w:fill="auto"/>
            <w:vAlign w:val="bottom"/>
          </w:tcPr>
          <w:p w14:paraId="6896F3B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-3.986 (3.597)</w:t>
            </w:r>
          </w:p>
        </w:tc>
        <w:tc>
          <w:tcPr>
            <w:tcW w:w="753" w:type="pct"/>
            <w:tcBorders>
              <w:top w:val="nil"/>
              <w:left w:val="nil"/>
              <w:bottom w:val="nil"/>
              <w:right w:val="nil"/>
            </w:tcBorders>
            <w:shd w:val="clear" w:color="auto" w:fill="auto"/>
            <w:vAlign w:val="bottom"/>
          </w:tcPr>
          <w:p w14:paraId="020F872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-9.094* (3.541)</w:t>
            </w:r>
          </w:p>
        </w:tc>
        <w:tc>
          <w:tcPr>
            <w:tcW w:w="753" w:type="pct"/>
            <w:tcBorders>
              <w:top w:val="nil"/>
              <w:left w:val="nil"/>
              <w:bottom w:val="nil"/>
              <w:right w:val="nil"/>
            </w:tcBorders>
            <w:shd w:val="clear" w:color="auto" w:fill="auto"/>
            <w:vAlign w:val="bottom"/>
          </w:tcPr>
          <w:p w14:paraId="28C078F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0.474 (3.639)</w:t>
            </w:r>
          </w:p>
        </w:tc>
        <w:tc>
          <w:tcPr>
            <w:tcW w:w="752" w:type="pct"/>
            <w:tcBorders>
              <w:top w:val="nil"/>
              <w:left w:val="nil"/>
              <w:bottom w:val="nil"/>
              <w:right w:val="nil"/>
            </w:tcBorders>
            <w:shd w:val="clear" w:color="auto" w:fill="auto"/>
            <w:vAlign w:val="bottom"/>
          </w:tcPr>
          <w:p w14:paraId="7AEDBCD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8.506* (3.656)</w:t>
            </w:r>
          </w:p>
        </w:tc>
      </w:tr>
      <w:tr w:rsidR="007B03DB" w:rsidRPr="001E47AD" w14:paraId="2E893E94" w14:textId="77777777" w:rsidTr="00135B4A">
        <w:tc>
          <w:tcPr>
            <w:tcW w:w="1224" w:type="pct"/>
            <w:tcBorders>
              <w:top w:val="nil"/>
              <w:left w:val="nil"/>
              <w:bottom w:val="nil"/>
              <w:right w:val="nil"/>
            </w:tcBorders>
            <w:shd w:val="clear" w:color="auto" w:fill="auto"/>
            <w:vAlign w:val="center"/>
          </w:tcPr>
          <w:p w14:paraId="67067CD2"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INTER_NTW_COUNTRY</m:t>
                </m:r>
              </m:oMath>
            </m:oMathPara>
          </w:p>
        </w:tc>
        <w:tc>
          <w:tcPr>
            <w:tcW w:w="765" w:type="pct"/>
            <w:tcBorders>
              <w:top w:val="nil"/>
              <w:left w:val="nil"/>
              <w:bottom w:val="nil"/>
              <w:right w:val="nil"/>
            </w:tcBorders>
            <w:shd w:val="clear" w:color="auto" w:fill="auto"/>
            <w:vAlign w:val="bottom"/>
          </w:tcPr>
          <w:p w14:paraId="7EEF84B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15.730*** (1.161)</w:t>
            </w:r>
          </w:p>
        </w:tc>
        <w:tc>
          <w:tcPr>
            <w:tcW w:w="753" w:type="pct"/>
            <w:tcBorders>
              <w:top w:val="nil"/>
              <w:left w:val="nil"/>
              <w:bottom w:val="nil"/>
              <w:right w:val="nil"/>
            </w:tcBorders>
            <w:shd w:val="clear" w:color="auto" w:fill="auto"/>
            <w:vAlign w:val="bottom"/>
          </w:tcPr>
          <w:p w14:paraId="45C3470F"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10.375*** (1.103)</w:t>
            </w:r>
          </w:p>
        </w:tc>
        <w:tc>
          <w:tcPr>
            <w:tcW w:w="753" w:type="pct"/>
            <w:tcBorders>
              <w:top w:val="nil"/>
              <w:left w:val="nil"/>
              <w:bottom w:val="nil"/>
              <w:right w:val="nil"/>
            </w:tcBorders>
            <w:shd w:val="clear" w:color="auto" w:fill="auto"/>
            <w:vAlign w:val="bottom"/>
          </w:tcPr>
          <w:p w14:paraId="6F89D78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8.885*** (1.101)</w:t>
            </w:r>
          </w:p>
        </w:tc>
        <w:tc>
          <w:tcPr>
            <w:tcW w:w="753" w:type="pct"/>
            <w:tcBorders>
              <w:top w:val="nil"/>
              <w:left w:val="nil"/>
              <w:bottom w:val="nil"/>
              <w:right w:val="nil"/>
            </w:tcBorders>
            <w:shd w:val="clear" w:color="auto" w:fill="auto"/>
            <w:vAlign w:val="bottom"/>
          </w:tcPr>
          <w:p w14:paraId="161F128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2.211* (1.118)</w:t>
            </w:r>
          </w:p>
        </w:tc>
        <w:tc>
          <w:tcPr>
            <w:tcW w:w="752" w:type="pct"/>
            <w:tcBorders>
              <w:top w:val="nil"/>
              <w:left w:val="nil"/>
              <w:bottom w:val="nil"/>
              <w:right w:val="nil"/>
            </w:tcBorders>
            <w:shd w:val="clear" w:color="auto" w:fill="auto"/>
            <w:vAlign w:val="bottom"/>
          </w:tcPr>
          <w:p w14:paraId="41171B9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6.343*** (1.117)</w:t>
            </w:r>
          </w:p>
        </w:tc>
      </w:tr>
      <w:tr w:rsidR="007B03DB" w:rsidRPr="001E47AD" w14:paraId="4647E3ED" w14:textId="77777777" w:rsidTr="00135B4A">
        <w:tc>
          <w:tcPr>
            <w:tcW w:w="1224" w:type="pct"/>
            <w:tcBorders>
              <w:top w:val="nil"/>
              <w:left w:val="nil"/>
              <w:bottom w:val="nil"/>
              <w:right w:val="nil"/>
            </w:tcBorders>
            <w:shd w:val="clear" w:color="auto" w:fill="auto"/>
            <w:vAlign w:val="center"/>
          </w:tcPr>
          <w:p w14:paraId="62327061" w14:textId="77777777"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(INTER_NTW_COUNTRY)</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440E376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-0.107*** (0.010)</w:t>
            </w:r>
          </w:p>
        </w:tc>
        <w:tc>
          <w:tcPr>
            <w:tcW w:w="753" w:type="pct"/>
            <w:tcBorders>
              <w:top w:val="nil"/>
              <w:left w:val="nil"/>
              <w:bottom w:val="nil"/>
              <w:right w:val="nil"/>
            </w:tcBorders>
            <w:shd w:val="clear" w:color="auto" w:fill="auto"/>
            <w:vAlign w:val="bottom"/>
          </w:tcPr>
          <w:p w14:paraId="7070D93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-0.090*** (0.009)</w:t>
            </w:r>
          </w:p>
        </w:tc>
        <w:tc>
          <w:tcPr>
            <w:tcW w:w="753" w:type="pct"/>
            <w:tcBorders>
              <w:top w:val="nil"/>
              <w:left w:val="nil"/>
              <w:bottom w:val="nil"/>
              <w:right w:val="nil"/>
            </w:tcBorders>
            <w:shd w:val="clear" w:color="auto" w:fill="auto"/>
            <w:vAlign w:val="bottom"/>
          </w:tcPr>
          <w:p w14:paraId="3449E88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-0.078*** (0.009)</w:t>
            </w:r>
          </w:p>
        </w:tc>
        <w:tc>
          <w:tcPr>
            <w:tcW w:w="753" w:type="pct"/>
            <w:tcBorders>
              <w:top w:val="nil"/>
              <w:left w:val="nil"/>
              <w:bottom w:val="nil"/>
              <w:right w:val="nil"/>
            </w:tcBorders>
            <w:shd w:val="clear" w:color="auto" w:fill="auto"/>
            <w:vAlign w:val="bottom"/>
          </w:tcPr>
          <w:p w14:paraId="126B2D7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-0.024* (0.009)</w:t>
            </w:r>
          </w:p>
        </w:tc>
        <w:tc>
          <w:tcPr>
            <w:tcW w:w="752" w:type="pct"/>
            <w:tcBorders>
              <w:top w:val="nil"/>
              <w:left w:val="nil"/>
              <w:bottom w:val="nil"/>
              <w:right w:val="nil"/>
            </w:tcBorders>
            <w:shd w:val="clear" w:color="auto" w:fill="auto"/>
            <w:vAlign w:val="bottom"/>
          </w:tcPr>
          <w:p w14:paraId="34BCB3B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-0.048*** (0.009)</w:t>
            </w:r>
          </w:p>
        </w:tc>
      </w:tr>
      <w:tr w:rsidR="007B03DB" w:rsidRPr="001E47AD" w14:paraId="42B98A92" w14:textId="77777777" w:rsidTr="00135B4A">
        <w:tc>
          <w:tcPr>
            <w:tcW w:w="1224" w:type="pct"/>
            <w:tcBorders>
              <w:top w:val="nil"/>
              <w:left w:val="nil"/>
              <w:bottom w:val="nil"/>
              <w:right w:val="nil"/>
            </w:tcBorders>
            <w:shd w:val="clear" w:color="auto" w:fill="auto"/>
            <w:vAlign w:val="center"/>
          </w:tcPr>
          <w:p w14:paraId="4EFFD084" w14:textId="61480606" w:rsidR="007B03DB" w:rsidRPr="001E47AD" w:rsidRDefault="00B07FC0"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PROD_VAR_UPC</m:t>
                </m:r>
              </m:oMath>
            </m:oMathPara>
          </w:p>
        </w:tc>
        <w:tc>
          <w:tcPr>
            <w:tcW w:w="765" w:type="pct"/>
            <w:tcBorders>
              <w:top w:val="nil"/>
              <w:left w:val="nil"/>
              <w:bottom w:val="nil"/>
              <w:right w:val="nil"/>
            </w:tcBorders>
            <w:shd w:val="clear" w:color="auto" w:fill="auto"/>
            <w:vAlign w:val="bottom"/>
          </w:tcPr>
          <w:p w14:paraId="46EF347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-0.248* (0.112)</w:t>
            </w:r>
          </w:p>
        </w:tc>
        <w:tc>
          <w:tcPr>
            <w:tcW w:w="753" w:type="pct"/>
            <w:tcBorders>
              <w:top w:val="nil"/>
              <w:left w:val="nil"/>
              <w:bottom w:val="nil"/>
              <w:right w:val="nil"/>
            </w:tcBorders>
            <w:shd w:val="clear" w:color="auto" w:fill="auto"/>
            <w:vAlign w:val="bottom"/>
          </w:tcPr>
          <w:p w14:paraId="61BD85C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0.442*** (0.108)</w:t>
            </w:r>
          </w:p>
        </w:tc>
        <w:tc>
          <w:tcPr>
            <w:tcW w:w="753" w:type="pct"/>
            <w:tcBorders>
              <w:top w:val="nil"/>
              <w:left w:val="nil"/>
              <w:bottom w:val="nil"/>
              <w:right w:val="nil"/>
            </w:tcBorders>
            <w:shd w:val="clear" w:color="auto" w:fill="auto"/>
            <w:vAlign w:val="bottom"/>
          </w:tcPr>
          <w:p w14:paraId="3EC1685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0.247* (0.107)</w:t>
            </w:r>
          </w:p>
        </w:tc>
        <w:tc>
          <w:tcPr>
            <w:tcW w:w="753" w:type="pct"/>
            <w:tcBorders>
              <w:top w:val="nil"/>
              <w:left w:val="nil"/>
              <w:bottom w:val="nil"/>
              <w:right w:val="nil"/>
            </w:tcBorders>
            <w:shd w:val="clear" w:color="auto" w:fill="auto"/>
            <w:vAlign w:val="bottom"/>
          </w:tcPr>
          <w:p w14:paraId="1CCC13D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0.482*** (0.110)</w:t>
            </w:r>
          </w:p>
        </w:tc>
        <w:tc>
          <w:tcPr>
            <w:tcW w:w="752" w:type="pct"/>
            <w:tcBorders>
              <w:top w:val="nil"/>
              <w:left w:val="nil"/>
              <w:bottom w:val="nil"/>
              <w:right w:val="nil"/>
            </w:tcBorders>
            <w:shd w:val="clear" w:color="auto" w:fill="auto"/>
            <w:vAlign w:val="bottom"/>
          </w:tcPr>
          <w:p w14:paraId="5C22EBB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0.025 (0.109)</w:t>
            </w:r>
          </w:p>
        </w:tc>
      </w:tr>
      <w:tr w:rsidR="007B03DB" w:rsidRPr="001E47AD" w14:paraId="3E9F35CA" w14:textId="77777777" w:rsidTr="00135B4A">
        <w:tc>
          <w:tcPr>
            <w:tcW w:w="1224" w:type="pct"/>
            <w:tcBorders>
              <w:top w:val="nil"/>
              <w:left w:val="nil"/>
              <w:bottom w:val="nil"/>
              <w:right w:val="nil"/>
            </w:tcBorders>
            <w:shd w:val="clear" w:color="auto" w:fill="auto"/>
            <w:vAlign w:val="center"/>
          </w:tcPr>
          <w:p w14:paraId="6305DAA1" w14:textId="003D00E2"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(PROD_VAR_UPC)</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72A1394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0.000 (0.000)</w:t>
            </w:r>
          </w:p>
        </w:tc>
        <w:tc>
          <w:tcPr>
            <w:tcW w:w="753" w:type="pct"/>
            <w:tcBorders>
              <w:top w:val="nil"/>
              <w:left w:val="nil"/>
              <w:bottom w:val="nil"/>
              <w:right w:val="nil"/>
            </w:tcBorders>
            <w:shd w:val="clear" w:color="auto" w:fill="auto"/>
            <w:vAlign w:val="bottom"/>
          </w:tcPr>
          <w:p w14:paraId="2E1FADD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-0.001*** (0.000)</w:t>
            </w:r>
          </w:p>
        </w:tc>
        <w:tc>
          <w:tcPr>
            <w:tcW w:w="753" w:type="pct"/>
            <w:tcBorders>
              <w:top w:val="nil"/>
              <w:left w:val="nil"/>
              <w:bottom w:val="nil"/>
              <w:right w:val="nil"/>
            </w:tcBorders>
            <w:shd w:val="clear" w:color="auto" w:fill="auto"/>
            <w:vAlign w:val="bottom"/>
          </w:tcPr>
          <w:p w14:paraId="105BEDF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-0.001* (0.000)</w:t>
            </w:r>
          </w:p>
        </w:tc>
        <w:tc>
          <w:tcPr>
            <w:tcW w:w="753" w:type="pct"/>
            <w:tcBorders>
              <w:top w:val="nil"/>
              <w:left w:val="nil"/>
              <w:bottom w:val="nil"/>
              <w:right w:val="nil"/>
            </w:tcBorders>
            <w:shd w:val="clear" w:color="auto" w:fill="auto"/>
            <w:vAlign w:val="bottom"/>
          </w:tcPr>
          <w:p w14:paraId="31C5CC3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-0.001** (0.000)</w:t>
            </w:r>
          </w:p>
        </w:tc>
        <w:tc>
          <w:tcPr>
            <w:tcW w:w="752" w:type="pct"/>
            <w:tcBorders>
              <w:top w:val="nil"/>
              <w:left w:val="nil"/>
              <w:bottom w:val="nil"/>
              <w:right w:val="nil"/>
            </w:tcBorders>
            <w:shd w:val="clear" w:color="auto" w:fill="auto"/>
            <w:vAlign w:val="bottom"/>
          </w:tcPr>
          <w:p w14:paraId="0C374002"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0.000 (0.000)</w:t>
            </w:r>
          </w:p>
        </w:tc>
      </w:tr>
      <w:tr w:rsidR="007B03DB" w:rsidRPr="001E47AD" w14:paraId="5B8F4819" w14:textId="77777777" w:rsidTr="00135B4A">
        <w:tc>
          <w:tcPr>
            <w:tcW w:w="1224" w:type="pct"/>
            <w:tcBorders>
              <w:top w:val="nil"/>
              <w:left w:val="nil"/>
              <w:bottom w:val="nil"/>
              <w:right w:val="nil"/>
            </w:tcBorders>
            <w:shd w:val="clear" w:color="auto" w:fill="auto"/>
            <w:vAlign w:val="center"/>
          </w:tcPr>
          <w:p w14:paraId="7CDF4E89"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Demand-Side Characteristics</w:t>
            </w:r>
          </w:p>
        </w:tc>
        <w:tc>
          <w:tcPr>
            <w:tcW w:w="765" w:type="pct"/>
            <w:tcBorders>
              <w:top w:val="nil"/>
              <w:left w:val="nil"/>
              <w:bottom w:val="nil"/>
              <w:right w:val="nil"/>
            </w:tcBorders>
            <w:shd w:val="clear" w:color="auto" w:fill="auto"/>
            <w:vAlign w:val="bottom"/>
          </w:tcPr>
          <w:p w14:paraId="1DD4DAE7" w14:textId="77777777" w:rsidR="007B03DB" w:rsidRPr="001E47AD" w:rsidRDefault="007B03DB" w:rsidP="00135B4A">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09DE9096"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3A5D749A"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2E4F14EF" w14:textId="77777777" w:rsidR="007B03DB" w:rsidRPr="001E47AD" w:rsidRDefault="007B03DB" w:rsidP="00135B4A">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2AE2D843" w14:textId="77777777" w:rsidR="007B03DB" w:rsidRPr="001E47AD" w:rsidRDefault="007B03DB" w:rsidP="00135B4A">
            <w:pPr>
              <w:jc w:val="right"/>
              <w:rPr>
                <w:rFonts w:ascii="Times New Roman" w:hAnsi="Times New Roman" w:cs="Times New Roman"/>
                <w:sz w:val="20"/>
                <w:szCs w:val="20"/>
              </w:rPr>
            </w:pPr>
          </w:p>
        </w:tc>
      </w:tr>
      <w:tr w:rsidR="007B03DB" w:rsidRPr="001E47AD" w14:paraId="7ABBE7DC" w14:textId="77777777" w:rsidTr="00135B4A">
        <w:tc>
          <w:tcPr>
            <w:tcW w:w="1224" w:type="pct"/>
            <w:tcBorders>
              <w:top w:val="nil"/>
              <w:left w:val="nil"/>
              <w:bottom w:val="nil"/>
              <w:right w:val="nil"/>
            </w:tcBorders>
            <w:shd w:val="clear" w:color="auto" w:fill="auto"/>
            <w:vAlign w:val="center"/>
          </w:tcPr>
          <w:p w14:paraId="22CDC50B"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HUR_EXP_STATE</m:t>
                </m:r>
              </m:oMath>
            </m:oMathPara>
          </w:p>
        </w:tc>
        <w:tc>
          <w:tcPr>
            <w:tcW w:w="765" w:type="pct"/>
            <w:tcBorders>
              <w:top w:val="nil"/>
              <w:left w:val="nil"/>
              <w:bottom w:val="nil"/>
              <w:right w:val="nil"/>
            </w:tcBorders>
            <w:shd w:val="clear" w:color="auto" w:fill="auto"/>
            <w:vAlign w:val="bottom"/>
          </w:tcPr>
          <w:p w14:paraId="4B0D084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-7.576*** (1.355)</w:t>
            </w:r>
          </w:p>
        </w:tc>
        <w:tc>
          <w:tcPr>
            <w:tcW w:w="753" w:type="pct"/>
            <w:tcBorders>
              <w:top w:val="nil"/>
              <w:left w:val="nil"/>
              <w:bottom w:val="nil"/>
              <w:right w:val="nil"/>
            </w:tcBorders>
            <w:shd w:val="clear" w:color="auto" w:fill="auto"/>
            <w:vAlign w:val="bottom"/>
          </w:tcPr>
          <w:p w14:paraId="4E04022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11.934*** (1.289)</w:t>
            </w:r>
          </w:p>
        </w:tc>
        <w:tc>
          <w:tcPr>
            <w:tcW w:w="753" w:type="pct"/>
            <w:tcBorders>
              <w:top w:val="nil"/>
              <w:left w:val="nil"/>
              <w:bottom w:val="nil"/>
              <w:right w:val="nil"/>
            </w:tcBorders>
            <w:shd w:val="clear" w:color="auto" w:fill="auto"/>
            <w:vAlign w:val="bottom"/>
          </w:tcPr>
          <w:p w14:paraId="0AD39B5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4.476*** (1.270)</w:t>
            </w:r>
          </w:p>
        </w:tc>
        <w:tc>
          <w:tcPr>
            <w:tcW w:w="753" w:type="pct"/>
            <w:tcBorders>
              <w:top w:val="nil"/>
              <w:left w:val="nil"/>
              <w:bottom w:val="nil"/>
              <w:right w:val="nil"/>
            </w:tcBorders>
            <w:shd w:val="clear" w:color="auto" w:fill="auto"/>
            <w:vAlign w:val="bottom"/>
          </w:tcPr>
          <w:p w14:paraId="72FC08A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-0.497 (1.302)</w:t>
            </w:r>
          </w:p>
        </w:tc>
        <w:tc>
          <w:tcPr>
            <w:tcW w:w="752" w:type="pct"/>
            <w:tcBorders>
              <w:top w:val="nil"/>
              <w:left w:val="nil"/>
              <w:bottom w:val="nil"/>
              <w:right w:val="nil"/>
            </w:tcBorders>
            <w:shd w:val="clear" w:color="auto" w:fill="auto"/>
            <w:vAlign w:val="bottom"/>
          </w:tcPr>
          <w:p w14:paraId="49E53F5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2.661* (1.310)</w:t>
            </w:r>
          </w:p>
        </w:tc>
      </w:tr>
      <w:tr w:rsidR="007B03DB" w:rsidRPr="001E47AD" w14:paraId="1DE3E677" w14:textId="77777777" w:rsidTr="00135B4A">
        <w:tc>
          <w:tcPr>
            <w:tcW w:w="1224" w:type="pct"/>
            <w:tcBorders>
              <w:top w:val="nil"/>
              <w:left w:val="nil"/>
              <w:bottom w:val="nil"/>
              <w:right w:val="nil"/>
            </w:tcBorders>
            <w:shd w:val="clear" w:color="auto" w:fill="auto"/>
            <w:vAlign w:val="center"/>
          </w:tcPr>
          <w:p w14:paraId="15BADB69" w14:textId="77777777"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(HUR_EXP_STATE)</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3C80019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0.397*** (0.111)</w:t>
            </w:r>
          </w:p>
        </w:tc>
        <w:tc>
          <w:tcPr>
            <w:tcW w:w="753" w:type="pct"/>
            <w:tcBorders>
              <w:top w:val="nil"/>
              <w:left w:val="nil"/>
              <w:bottom w:val="nil"/>
              <w:right w:val="nil"/>
            </w:tcBorders>
            <w:shd w:val="clear" w:color="auto" w:fill="auto"/>
            <w:vAlign w:val="bottom"/>
          </w:tcPr>
          <w:p w14:paraId="15CAE64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-0.931*** (0.105)</w:t>
            </w:r>
          </w:p>
        </w:tc>
        <w:tc>
          <w:tcPr>
            <w:tcW w:w="753" w:type="pct"/>
            <w:tcBorders>
              <w:top w:val="nil"/>
              <w:left w:val="nil"/>
              <w:bottom w:val="nil"/>
              <w:right w:val="nil"/>
            </w:tcBorders>
            <w:shd w:val="clear" w:color="auto" w:fill="auto"/>
            <w:vAlign w:val="bottom"/>
          </w:tcPr>
          <w:p w14:paraId="23F0665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-0.317** (0.104)</w:t>
            </w:r>
          </w:p>
        </w:tc>
        <w:tc>
          <w:tcPr>
            <w:tcW w:w="753" w:type="pct"/>
            <w:tcBorders>
              <w:top w:val="nil"/>
              <w:left w:val="nil"/>
              <w:bottom w:val="nil"/>
              <w:right w:val="nil"/>
            </w:tcBorders>
            <w:shd w:val="clear" w:color="auto" w:fill="auto"/>
            <w:vAlign w:val="bottom"/>
          </w:tcPr>
          <w:p w14:paraId="5892F4D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0.074 (0.106)</w:t>
            </w:r>
          </w:p>
        </w:tc>
        <w:tc>
          <w:tcPr>
            <w:tcW w:w="752" w:type="pct"/>
            <w:tcBorders>
              <w:top w:val="nil"/>
              <w:left w:val="nil"/>
              <w:bottom w:val="nil"/>
              <w:right w:val="nil"/>
            </w:tcBorders>
            <w:shd w:val="clear" w:color="auto" w:fill="auto"/>
            <w:vAlign w:val="bottom"/>
          </w:tcPr>
          <w:p w14:paraId="18C6CE4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-0.094 (0.107)</w:t>
            </w:r>
          </w:p>
        </w:tc>
      </w:tr>
      <w:tr w:rsidR="007B03DB" w:rsidRPr="001E47AD" w14:paraId="5242DABC" w14:textId="77777777" w:rsidTr="00135B4A">
        <w:tc>
          <w:tcPr>
            <w:tcW w:w="1224" w:type="pct"/>
            <w:tcBorders>
              <w:top w:val="nil"/>
              <w:left w:val="nil"/>
              <w:bottom w:val="nil"/>
              <w:right w:val="nil"/>
            </w:tcBorders>
            <w:shd w:val="clear" w:color="auto" w:fill="auto"/>
            <w:vAlign w:val="center"/>
          </w:tcPr>
          <w:p w14:paraId="4B0D1BF3"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PER_CAPITA_INC</m:t>
                </m:r>
              </m:oMath>
            </m:oMathPara>
          </w:p>
        </w:tc>
        <w:tc>
          <w:tcPr>
            <w:tcW w:w="765" w:type="pct"/>
            <w:tcBorders>
              <w:top w:val="nil"/>
              <w:left w:val="nil"/>
              <w:bottom w:val="nil"/>
              <w:right w:val="nil"/>
            </w:tcBorders>
            <w:shd w:val="clear" w:color="auto" w:fill="auto"/>
            <w:vAlign w:val="bottom"/>
          </w:tcPr>
          <w:p w14:paraId="50F6265F"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18.153*** (4.031)</w:t>
            </w:r>
          </w:p>
        </w:tc>
        <w:tc>
          <w:tcPr>
            <w:tcW w:w="753" w:type="pct"/>
            <w:tcBorders>
              <w:top w:val="nil"/>
              <w:left w:val="nil"/>
              <w:bottom w:val="nil"/>
              <w:right w:val="nil"/>
            </w:tcBorders>
            <w:shd w:val="clear" w:color="auto" w:fill="auto"/>
            <w:vAlign w:val="bottom"/>
          </w:tcPr>
          <w:p w14:paraId="0E2AF65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16.939*** (3.796)</w:t>
            </w:r>
          </w:p>
        </w:tc>
        <w:tc>
          <w:tcPr>
            <w:tcW w:w="753" w:type="pct"/>
            <w:tcBorders>
              <w:top w:val="nil"/>
              <w:left w:val="nil"/>
              <w:bottom w:val="nil"/>
              <w:right w:val="nil"/>
            </w:tcBorders>
            <w:shd w:val="clear" w:color="auto" w:fill="auto"/>
            <w:vAlign w:val="bottom"/>
          </w:tcPr>
          <w:p w14:paraId="2139035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13.890*** (3.723)</w:t>
            </w:r>
          </w:p>
        </w:tc>
        <w:tc>
          <w:tcPr>
            <w:tcW w:w="753" w:type="pct"/>
            <w:tcBorders>
              <w:top w:val="nil"/>
              <w:left w:val="nil"/>
              <w:bottom w:val="nil"/>
              <w:right w:val="nil"/>
            </w:tcBorders>
            <w:shd w:val="clear" w:color="auto" w:fill="auto"/>
            <w:vAlign w:val="bottom"/>
          </w:tcPr>
          <w:p w14:paraId="23418F4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17.062*** (3.824)</w:t>
            </w:r>
          </w:p>
        </w:tc>
        <w:tc>
          <w:tcPr>
            <w:tcW w:w="752" w:type="pct"/>
            <w:tcBorders>
              <w:top w:val="nil"/>
              <w:left w:val="nil"/>
              <w:bottom w:val="nil"/>
              <w:right w:val="nil"/>
            </w:tcBorders>
            <w:shd w:val="clear" w:color="auto" w:fill="auto"/>
            <w:vAlign w:val="bottom"/>
          </w:tcPr>
          <w:p w14:paraId="2523320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20.625*** (3.845)</w:t>
            </w:r>
          </w:p>
        </w:tc>
      </w:tr>
      <w:tr w:rsidR="007B03DB" w:rsidRPr="001E47AD" w14:paraId="3EA71E81" w14:textId="77777777" w:rsidTr="00135B4A">
        <w:tc>
          <w:tcPr>
            <w:tcW w:w="1224" w:type="pct"/>
            <w:tcBorders>
              <w:top w:val="nil"/>
              <w:left w:val="nil"/>
              <w:bottom w:val="nil"/>
              <w:right w:val="nil"/>
            </w:tcBorders>
            <w:shd w:val="clear" w:color="auto" w:fill="auto"/>
            <w:vAlign w:val="center"/>
          </w:tcPr>
          <w:p w14:paraId="69CE2DDE" w14:textId="77777777"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(PER_CAPITA_INC)</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25C29A1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-1.256*** (0.261)</w:t>
            </w:r>
          </w:p>
        </w:tc>
        <w:tc>
          <w:tcPr>
            <w:tcW w:w="753" w:type="pct"/>
            <w:tcBorders>
              <w:top w:val="nil"/>
              <w:left w:val="nil"/>
              <w:bottom w:val="nil"/>
              <w:right w:val="nil"/>
            </w:tcBorders>
            <w:shd w:val="clear" w:color="auto" w:fill="auto"/>
            <w:vAlign w:val="bottom"/>
          </w:tcPr>
          <w:p w14:paraId="359ECC5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-1.215*** (0.246)</w:t>
            </w:r>
          </w:p>
        </w:tc>
        <w:tc>
          <w:tcPr>
            <w:tcW w:w="753" w:type="pct"/>
            <w:tcBorders>
              <w:top w:val="nil"/>
              <w:left w:val="nil"/>
              <w:bottom w:val="nil"/>
              <w:right w:val="nil"/>
            </w:tcBorders>
            <w:shd w:val="clear" w:color="auto" w:fill="auto"/>
            <w:vAlign w:val="bottom"/>
          </w:tcPr>
          <w:p w14:paraId="2811C082"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-0.901*** (0.243)</w:t>
            </w:r>
          </w:p>
        </w:tc>
        <w:tc>
          <w:tcPr>
            <w:tcW w:w="753" w:type="pct"/>
            <w:tcBorders>
              <w:top w:val="nil"/>
              <w:left w:val="nil"/>
              <w:bottom w:val="nil"/>
              <w:right w:val="nil"/>
            </w:tcBorders>
            <w:shd w:val="clear" w:color="auto" w:fill="auto"/>
            <w:vAlign w:val="bottom"/>
          </w:tcPr>
          <w:p w14:paraId="4C12F6B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-1.114*** (0.249)</w:t>
            </w:r>
          </w:p>
        </w:tc>
        <w:tc>
          <w:tcPr>
            <w:tcW w:w="752" w:type="pct"/>
            <w:tcBorders>
              <w:top w:val="nil"/>
              <w:left w:val="nil"/>
              <w:bottom w:val="nil"/>
              <w:right w:val="nil"/>
            </w:tcBorders>
            <w:shd w:val="clear" w:color="auto" w:fill="auto"/>
            <w:vAlign w:val="bottom"/>
          </w:tcPr>
          <w:p w14:paraId="0E8FD33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-1.265*** (0.250)</w:t>
            </w:r>
          </w:p>
        </w:tc>
      </w:tr>
      <w:tr w:rsidR="007B03DB" w:rsidRPr="001E47AD" w14:paraId="6AB23995" w14:textId="77777777" w:rsidTr="00135B4A">
        <w:tc>
          <w:tcPr>
            <w:tcW w:w="1224" w:type="pct"/>
            <w:tcBorders>
              <w:top w:val="nil"/>
              <w:left w:val="nil"/>
              <w:bottom w:val="nil"/>
              <w:right w:val="nil"/>
            </w:tcBorders>
            <w:shd w:val="clear" w:color="auto" w:fill="auto"/>
            <w:vAlign w:val="center"/>
          </w:tcPr>
          <w:p w14:paraId="2C4A0AD0"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Disaster Characteristics</w:t>
            </w:r>
          </w:p>
        </w:tc>
        <w:tc>
          <w:tcPr>
            <w:tcW w:w="765" w:type="pct"/>
            <w:tcBorders>
              <w:top w:val="nil"/>
              <w:left w:val="nil"/>
              <w:bottom w:val="nil"/>
              <w:right w:val="nil"/>
            </w:tcBorders>
            <w:shd w:val="clear" w:color="auto" w:fill="auto"/>
            <w:vAlign w:val="bottom"/>
          </w:tcPr>
          <w:p w14:paraId="2F8DA023" w14:textId="77777777" w:rsidR="007B03DB" w:rsidRPr="001E47AD" w:rsidRDefault="007B03DB" w:rsidP="00135B4A">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674518A2"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60CEE859"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7CB494F1" w14:textId="77777777" w:rsidR="007B03DB" w:rsidRPr="001E47AD" w:rsidRDefault="007B03DB" w:rsidP="00135B4A">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36C2CFFF" w14:textId="77777777" w:rsidR="007B03DB" w:rsidRPr="001E47AD" w:rsidRDefault="007B03DB" w:rsidP="00135B4A">
            <w:pPr>
              <w:jc w:val="right"/>
              <w:rPr>
                <w:rFonts w:ascii="Times New Roman" w:hAnsi="Times New Roman" w:cs="Times New Roman"/>
                <w:sz w:val="20"/>
                <w:szCs w:val="20"/>
              </w:rPr>
            </w:pPr>
          </w:p>
        </w:tc>
      </w:tr>
      <w:tr w:rsidR="007B03DB" w:rsidRPr="001E47AD" w14:paraId="304D3291" w14:textId="77777777" w:rsidTr="00135B4A">
        <w:tc>
          <w:tcPr>
            <w:tcW w:w="1224" w:type="pct"/>
            <w:tcBorders>
              <w:top w:val="nil"/>
              <w:left w:val="nil"/>
              <w:bottom w:val="nil"/>
              <w:right w:val="nil"/>
            </w:tcBorders>
            <w:shd w:val="clear" w:color="auto" w:fill="auto"/>
            <w:vAlign w:val="center"/>
          </w:tcPr>
          <w:p w14:paraId="52580210"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oMath>
            </m:oMathPara>
          </w:p>
        </w:tc>
        <w:tc>
          <w:tcPr>
            <w:tcW w:w="765" w:type="pct"/>
            <w:tcBorders>
              <w:top w:val="nil"/>
              <w:left w:val="nil"/>
              <w:bottom w:val="nil"/>
              <w:right w:val="nil"/>
            </w:tcBorders>
            <w:shd w:val="clear" w:color="auto" w:fill="auto"/>
            <w:vAlign w:val="bottom"/>
          </w:tcPr>
          <w:p w14:paraId="1554001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2.939 (5.033)</w:t>
            </w:r>
          </w:p>
        </w:tc>
        <w:tc>
          <w:tcPr>
            <w:tcW w:w="753" w:type="pct"/>
            <w:tcBorders>
              <w:top w:val="nil"/>
              <w:left w:val="nil"/>
              <w:bottom w:val="nil"/>
              <w:right w:val="nil"/>
            </w:tcBorders>
            <w:shd w:val="clear" w:color="auto" w:fill="auto"/>
            <w:vAlign w:val="bottom"/>
          </w:tcPr>
          <w:p w14:paraId="5294823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0.369 (4.864)</w:t>
            </w:r>
          </w:p>
        </w:tc>
        <w:tc>
          <w:tcPr>
            <w:tcW w:w="753" w:type="pct"/>
            <w:tcBorders>
              <w:top w:val="nil"/>
              <w:left w:val="nil"/>
              <w:bottom w:val="nil"/>
              <w:right w:val="nil"/>
            </w:tcBorders>
            <w:shd w:val="clear" w:color="auto" w:fill="auto"/>
            <w:vAlign w:val="bottom"/>
          </w:tcPr>
          <w:p w14:paraId="26546E9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14.336** (4.727)</w:t>
            </w:r>
          </w:p>
        </w:tc>
        <w:tc>
          <w:tcPr>
            <w:tcW w:w="753" w:type="pct"/>
            <w:tcBorders>
              <w:top w:val="nil"/>
              <w:left w:val="nil"/>
              <w:bottom w:val="nil"/>
              <w:right w:val="nil"/>
            </w:tcBorders>
            <w:shd w:val="clear" w:color="auto" w:fill="auto"/>
            <w:vAlign w:val="bottom"/>
          </w:tcPr>
          <w:p w14:paraId="1023854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12.404* (4.963)</w:t>
            </w:r>
          </w:p>
        </w:tc>
        <w:tc>
          <w:tcPr>
            <w:tcW w:w="752" w:type="pct"/>
            <w:tcBorders>
              <w:top w:val="nil"/>
              <w:left w:val="nil"/>
              <w:bottom w:val="nil"/>
              <w:right w:val="nil"/>
            </w:tcBorders>
            <w:shd w:val="clear" w:color="auto" w:fill="auto"/>
            <w:vAlign w:val="bottom"/>
          </w:tcPr>
          <w:p w14:paraId="3DBDAAC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4.495 (4.979)</w:t>
            </w:r>
          </w:p>
        </w:tc>
      </w:tr>
      <w:tr w:rsidR="007B03DB" w:rsidRPr="001E47AD" w14:paraId="1E98B255" w14:textId="77777777" w:rsidTr="00135B4A">
        <w:tc>
          <w:tcPr>
            <w:tcW w:w="1224" w:type="pct"/>
            <w:tcBorders>
              <w:top w:val="nil"/>
              <w:left w:val="nil"/>
              <w:bottom w:val="nil"/>
              <w:right w:val="nil"/>
            </w:tcBorders>
            <w:shd w:val="clear" w:color="auto" w:fill="auto"/>
            <w:vAlign w:val="center"/>
          </w:tcPr>
          <w:p w14:paraId="1C99A6D7" w14:textId="77777777"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4DA2487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-1.028*** (0.292)</w:t>
            </w:r>
          </w:p>
        </w:tc>
        <w:tc>
          <w:tcPr>
            <w:tcW w:w="753" w:type="pct"/>
            <w:tcBorders>
              <w:top w:val="nil"/>
              <w:left w:val="nil"/>
              <w:bottom w:val="nil"/>
              <w:right w:val="nil"/>
            </w:tcBorders>
            <w:shd w:val="clear" w:color="auto" w:fill="auto"/>
            <w:vAlign w:val="bottom"/>
          </w:tcPr>
          <w:p w14:paraId="65C3E11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-0.048 (0.284)</w:t>
            </w:r>
          </w:p>
        </w:tc>
        <w:tc>
          <w:tcPr>
            <w:tcW w:w="753" w:type="pct"/>
            <w:tcBorders>
              <w:top w:val="nil"/>
              <w:left w:val="nil"/>
              <w:bottom w:val="nil"/>
              <w:right w:val="nil"/>
            </w:tcBorders>
            <w:shd w:val="clear" w:color="auto" w:fill="auto"/>
            <w:vAlign w:val="bottom"/>
          </w:tcPr>
          <w:p w14:paraId="269E141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-1.458*** (0.275)</w:t>
            </w:r>
          </w:p>
        </w:tc>
        <w:tc>
          <w:tcPr>
            <w:tcW w:w="753" w:type="pct"/>
            <w:tcBorders>
              <w:top w:val="nil"/>
              <w:left w:val="nil"/>
              <w:bottom w:val="nil"/>
              <w:right w:val="nil"/>
            </w:tcBorders>
            <w:shd w:val="clear" w:color="auto" w:fill="auto"/>
            <w:vAlign w:val="bottom"/>
          </w:tcPr>
          <w:p w14:paraId="19761BD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-1.176*** (0.290)</w:t>
            </w:r>
          </w:p>
        </w:tc>
        <w:tc>
          <w:tcPr>
            <w:tcW w:w="752" w:type="pct"/>
            <w:tcBorders>
              <w:top w:val="nil"/>
              <w:left w:val="nil"/>
              <w:bottom w:val="nil"/>
              <w:right w:val="nil"/>
            </w:tcBorders>
            <w:shd w:val="clear" w:color="auto" w:fill="auto"/>
            <w:vAlign w:val="bottom"/>
          </w:tcPr>
          <w:p w14:paraId="6317AEC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-0.985*** (0.291)</w:t>
            </w:r>
          </w:p>
        </w:tc>
      </w:tr>
      <w:tr w:rsidR="007B03DB" w:rsidRPr="001E47AD" w14:paraId="7C324340" w14:textId="77777777" w:rsidTr="00135B4A">
        <w:tc>
          <w:tcPr>
            <w:tcW w:w="1224" w:type="pct"/>
            <w:tcBorders>
              <w:top w:val="nil"/>
              <w:left w:val="nil"/>
              <w:bottom w:val="nil"/>
              <w:right w:val="nil"/>
            </w:tcBorders>
            <w:shd w:val="clear" w:color="auto" w:fill="auto"/>
            <w:vAlign w:val="center"/>
          </w:tcPr>
          <w:p w14:paraId="62FE1688"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HUR_TRACK_DIST</m:t>
                </m:r>
              </m:oMath>
            </m:oMathPara>
          </w:p>
        </w:tc>
        <w:tc>
          <w:tcPr>
            <w:tcW w:w="765" w:type="pct"/>
            <w:tcBorders>
              <w:top w:val="nil"/>
              <w:left w:val="nil"/>
              <w:bottom w:val="nil"/>
              <w:right w:val="nil"/>
            </w:tcBorders>
            <w:shd w:val="clear" w:color="auto" w:fill="auto"/>
            <w:vAlign w:val="bottom"/>
          </w:tcPr>
          <w:p w14:paraId="48B34D5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12.807* (6.299)</w:t>
            </w:r>
          </w:p>
        </w:tc>
        <w:tc>
          <w:tcPr>
            <w:tcW w:w="753" w:type="pct"/>
            <w:tcBorders>
              <w:top w:val="nil"/>
              <w:left w:val="nil"/>
              <w:bottom w:val="nil"/>
              <w:right w:val="nil"/>
            </w:tcBorders>
            <w:shd w:val="clear" w:color="auto" w:fill="auto"/>
            <w:vAlign w:val="bottom"/>
          </w:tcPr>
          <w:p w14:paraId="21AA54E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-8.902 (6.070)</w:t>
            </w:r>
          </w:p>
        </w:tc>
        <w:tc>
          <w:tcPr>
            <w:tcW w:w="753" w:type="pct"/>
            <w:tcBorders>
              <w:top w:val="nil"/>
              <w:left w:val="nil"/>
              <w:bottom w:val="nil"/>
              <w:right w:val="nil"/>
            </w:tcBorders>
            <w:shd w:val="clear" w:color="auto" w:fill="auto"/>
            <w:vAlign w:val="bottom"/>
          </w:tcPr>
          <w:p w14:paraId="1E87DD0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-0.693 (6.018)</w:t>
            </w:r>
          </w:p>
        </w:tc>
        <w:tc>
          <w:tcPr>
            <w:tcW w:w="753" w:type="pct"/>
            <w:tcBorders>
              <w:top w:val="nil"/>
              <w:left w:val="nil"/>
              <w:bottom w:val="nil"/>
              <w:right w:val="nil"/>
            </w:tcBorders>
            <w:shd w:val="clear" w:color="auto" w:fill="auto"/>
            <w:vAlign w:val="bottom"/>
          </w:tcPr>
          <w:p w14:paraId="5D37882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-14.313* (6.106)</w:t>
            </w:r>
          </w:p>
        </w:tc>
        <w:tc>
          <w:tcPr>
            <w:tcW w:w="752" w:type="pct"/>
            <w:tcBorders>
              <w:top w:val="nil"/>
              <w:left w:val="nil"/>
              <w:bottom w:val="nil"/>
              <w:right w:val="nil"/>
            </w:tcBorders>
            <w:shd w:val="clear" w:color="auto" w:fill="auto"/>
            <w:vAlign w:val="bottom"/>
          </w:tcPr>
          <w:p w14:paraId="366FDB0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-8.737 (6.165)</w:t>
            </w:r>
          </w:p>
        </w:tc>
      </w:tr>
      <w:tr w:rsidR="007B03DB" w:rsidRPr="001E47AD" w14:paraId="1FC2298A" w14:textId="77777777" w:rsidTr="00135B4A">
        <w:tc>
          <w:tcPr>
            <w:tcW w:w="1224" w:type="pct"/>
            <w:tcBorders>
              <w:top w:val="nil"/>
              <w:left w:val="nil"/>
              <w:bottom w:val="nil"/>
              <w:right w:val="nil"/>
            </w:tcBorders>
            <w:shd w:val="clear" w:color="auto" w:fill="auto"/>
            <w:vAlign w:val="center"/>
          </w:tcPr>
          <w:p w14:paraId="2F4AF8CB" w14:textId="77777777"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(HUR_TRACK_DIST)</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6A37580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-4.635*** (1.012)</w:t>
            </w:r>
          </w:p>
        </w:tc>
        <w:tc>
          <w:tcPr>
            <w:tcW w:w="753" w:type="pct"/>
            <w:tcBorders>
              <w:top w:val="nil"/>
              <w:left w:val="nil"/>
              <w:bottom w:val="nil"/>
              <w:right w:val="nil"/>
            </w:tcBorders>
            <w:shd w:val="clear" w:color="auto" w:fill="auto"/>
            <w:vAlign w:val="bottom"/>
          </w:tcPr>
          <w:p w14:paraId="68395EB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0.944 (0.982)</w:t>
            </w:r>
          </w:p>
        </w:tc>
        <w:tc>
          <w:tcPr>
            <w:tcW w:w="753" w:type="pct"/>
            <w:tcBorders>
              <w:top w:val="nil"/>
              <w:left w:val="nil"/>
              <w:bottom w:val="nil"/>
              <w:right w:val="nil"/>
            </w:tcBorders>
            <w:shd w:val="clear" w:color="auto" w:fill="auto"/>
            <w:vAlign w:val="bottom"/>
          </w:tcPr>
          <w:p w14:paraId="7BF429B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-1.906* (0.972)</w:t>
            </w:r>
          </w:p>
        </w:tc>
        <w:tc>
          <w:tcPr>
            <w:tcW w:w="753" w:type="pct"/>
            <w:tcBorders>
              <w:top w:val="nil"/>
              <w:left w:val="nil"/>
              <w:bottom w:val="nil"/>
              <w:right w:val="nil"/>
            </w:tcBorders>
            <w:shd w:val="clear" w:color="auto" w:fill="auto"/>
            <w:vAlign w:val="bottom"/>
          </w:tcPr>
          <w:p w14:paraId="60F2108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2.059* (0.989)</w:t>
            </w:r>
          </w:p>
        </w:tc>
        <w:tc>
          <w:tcPr>
            <w:tcW w:w="752" w:type="pct"/>
            <w:tcBorders>
              <w:top w:val="nil"/>
              <w:left w:val="nil"/>
              <w:bottom w:val="nil"/>
              <w:right w:val="nil"/>
            </w:tcBorders>
            <w:shd w:val="clear" w:color="auto" w:fill="auto"/>
            <w:vAlign w:val="bottom"/>
          </w:tcPr>
          <w:p w14:paraId="4170CF0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1.038 (0.996)</w:t>
            </w:r>
          </w:p>
        </w:tc>
      </w:tr>
      <w:tr w:rsidR="007B03DB" w:rsidRPr="001E47AD" w14:paraId="7DC54996" w14:textId="77777777" w:rsidTr="00135B4A">
        <w:tc>
          <w:tcPr>
            <w:tcW w:w="1224" w:type="pct"/>
            <w:tcBorders>
              <w:top w:val="nil"/>
              <w:left w:val="nil"/>
              <w:bottom w:val="nil"/>
              <w:right w:val="nil"/>
            </w:tcBorders>
            <w:shd w:val="clear" w:color="auto" w:fill="auto"/>
            <w:vAlign w:val="center"/>
          </w:tcPr>
          <w:p w14:paraId="76C0543E"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HUR_TRACK_WIND</m:t>
                </m:r>
              </m:oMath>
            </m:oMathPara>
          </w:p>
        </w:tc>
        <w:tc>
          <w:tcPr>
            <w:tcW w:w="765" w:type="pct"/>
            <w:tcBorders>
              <w:top w:val="nil"/>
              <w:left w:val="nil"/>
              <w:bottom w:val="nil"/>
              <w:right w:val="nil"/>
            </w:tcBorders>
            <w:shd w:val="clear" w:color="auto" w:fill="auto"/>
            <w:vAlign w:val="bottom"/>
          </w:tcPr>
          <w:p w14:paraId="4B6CC8C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0.966 (0.892)</w:t>
            </w:r>
          </w:p>
        </w:tc>
        <w:tc>
          <w:tcPr>
            <w:tcW w:w="753" w:type="pct"/>
            <w:tcBorders>
              <w:top w:val="nil"/>
              <w:left w:val="nil"/>
              <w:bottom w:val="nil"/>
              <w:right w:val="nil"/>
            </w:tcBorders>
            <w:shd w:val="clear" w:color="auto" w:fill="auto"/>
            <w:vAlign w:val="bottom"/>
          </w:tcPr>
          <w:p w14:paraId="2760717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-1.397 (0.855)</w:t>
            </w:r>
          </w:p>
        </w:tc>
        <w:tc>
          <w:tcPr>
            <w:tcW w:w="753" w:type="pct"/>
            <w:tcBorders>
              <w:top w:val="nil"/>
              <w:left w:val="nil"/>
              <w:bottom w:val="nil"/>
              <w:right w:val="nil"/>
            </w:tcBorders>
            <w:shd w:val="clear" w:color="auto" w:fill="auto"/>
            <w:vAlign w:val="bottom"/>
          </w:tcPr>
          <w:p w14:paraId="39ED818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0.711 (0.860)</w:t>
            </w:r>
          </w:p>
        </w:tc>
        <w:tc>
          <w:tcPr>
            <w:tcW w:w="753" w:type="pct"/>
            <w:tcBorders>
              <w:top w:val="nil"/>
              <w:left w:val="nil"/>
              <w:bottom w:val="nil"/>
              <w:right w:val="nil"/>
            </w:tcBorders>
            <w:shd w:val="clear" w:color="auto" w:fill="auto"/>
            <w:vAlign w:val="bottom"/>
          </w:tcPr>
          <w:p w14:paraId="678FD53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-0.979 (0.864)</w:t>
            </w:r>
          </w:p>
        </w:tc>
        <w:tc>
          <w:tcPr>
            <w:tcW w:w="752" w:type="pct"/>
            <w:tcBorders>
              <w:top w:val="nil"/>
              <w:left w:val="nil"/>
              <w:bottom w:val="nil"/>
              <w:right w:val="nil"/>
            </w:tcBorders>
            <w:shd w:val="clear" w:color="auto" w:fill="auto"/>
            <w:vAlign w:val="bottom"/>
          </w:tcPr>
          <w:p w14:paraId="13F3746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0.465 (0.870)</w:t>
            </w:r>
          </w:p>
        </w:tc>
      </w:tr>
      <w:tr w:rsidR="002B1795" w:rsidRPr="001E47AD" w14:paraId="4A80803C" w14:textId="77777777" w:rsidTr="001E435E">
        <w:tc>
          <w:tcPr>
            <w:tcW w:w="1224" w:type="pct"/>
            <w:tcBorders>
              <w:top w:val="nil"/>
              <w:left w:val="nil"/>
              <w:bottom w:val="single" w:sz="4" w:space="0" w:color="auto"/>
              <w:right w:val="nil"/>
            </w:tcBorders>
            <w:shd w:val="clear" w:color="auto" w:fill="auto"/>
            <w:vAlign w:val="center"/>
          </w:tcPr>
          <w:p w14:paraId="14A50C36" w14:textId="77777777" w:rsidR="007B03DB" w:rsidRPr="001E47AD" w:rsidRDefault="00EC5F60" w:rsidP="00135B4A">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(HUR_TRACK_WIND)</m:t>
                    </m:r>
                  </m:e>
                  <m:sup>
                    <m:r>
                      <m:rPr>
                        <m:sty m:val="p"/>
                      </m:rPr>
                      <w:rPr>
                        <w:rFonts w:ascii="Cambria Math" w:hAnsi="Cambria Math" w:cs="Times New Roman"/>
                        <w:sz w:val="16"/>
                        <w:szCs w:val="16"/>
                      </w:rPr>
                      <m:t>2</m:t>
                    </m:r>
                  </m:sup>
                </m:sSup>
              </m:oMath>
            </m:oMathPara>
          </w:p>
        </w:tc>
        <w:tc>
          <w:tcPr>
            <w:tcW w:w="765" w:type="pct"/>
            <w:tcBorders>
              <w:top w:val="nil"/>
              <w:left w:val="nil"/>
              <w:bottom w:val="single" w:sz="4" w:space="0" w:color="auto"/>
              <w:right w:val="nil"/>
            </w:tcBorders>
            <w:shd w:val="clear" w:color="auto" w:fill="auto"/>
            <w:vAlign w:val="bottom"/>
          </w:tcPr>
          <w:p w14:paraId="1AD22BE4"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-0.013* (0.008)</w:t>
            </w:r>
          </w:p>
        </w:tc>
        <w:tc>
          <w:tcPr>
            <w:tcW w:w="753" w:type="pct"/>
            <w:tcBorders>
              <w:top w:val="nil"/>
              <w:left w:val="nil"/>
              <w:bottom w:val="single" w:sz="4" w:space="0" w:color="auto"/>
              <w:right w:val="nil"/>
            </w:tcBorders>
            <w:shd w:val="clear" w:color="auto" w:fill="auto"/>
            <w:vAlign w:val="bottom"/>
          </w:tcPr>
          <w:p w14:paraId="0BEA8D1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0.006 (0.007)</w:t>
            </w:r>
          </w:p>
        </w:tc>
        <w:tc>
          <w:tcPr>
            <w:tcW w:w="753" w:type="pct"/>
            <w:tcBorders>
              <w:top w:val="nil"/>
              <w:left w:val="nil"/>
              <w:bottom w:val="single" w:sz="4" w:space="0" w:color="auto"/>
              <w:right w:val="nil"/>
            </w:tcBorders>
            <w:shd w:val="clear" w:color="auto" w:fill="auto"/>
            <w:vAlign w:val="bottom"/>
          </w:tcPr>
          <w:p w14:paraId="40346FB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-0.011 (0.007)</w:t>
            </w:r>
          </w:p>
        </w:tc>
        <w:tc>
          <w:tcPr>
            <w:tcW w:w="753" w:type="pct"/>
            <w:tcBorders>
              <w:top w:val="nil"/>
              <w:left w:val="nil"/>
              <w:bottom w:val="single" w:sz="4" w:space="0" w:color="auto"/>
              <w:right w:val="nil"/>
            </w:tcBorders>
            <w:shd w:val="clear" w:color="auto" w:fill="auto"/>
            <w:vAlign w:val="bottom"/>
          </w:tcPr>
          <w:p w14:paraId="36AECC0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0.005 (0.007)</w:t>
            </w:r>
          </w:p>
        </w:tc>
        <w:tc>
          <w:tcPr>
            <w:tcW w:w="752" w:type="pct"/>
            <w:tcBorders>
              <w:top w:val="nil"/>
              <w:left w:val="nil"/>
              <w:bottom w:val="single" w:sz="4" w:space="0" w:color="auto"/>
              <w:right w:val="nil"/>
            </w:tcBorders>
            <w:shd w:val="clear" w:color="auto" w:fill="auto"/>
            <w:vAlign w:val="bottom"/>
          </w:tcPr>
          <w:p w14:paraId="6AD6B8E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-0.010 (0.007)</w:t>
            </w:r>
          </w:p>
        </w:tc>
      </w:tr>
      <w:tr w:rsidR="002B1795" w:rsidRPr="001E47AD" w14:paraId="05A352B8" w14:textId="77777777" w:rsidTr="001E435E">
        <w:tc>
          <w:tcPr>
            <w:tcW w:w="1224" w:type="pct"/>
            <w:tcBorders>
              <w:top w:val="single" w:sz="4" w:space="0" w:color="auto"/>
              <w:left w:val="nil"/>
              <w:bottom w:val="nil"/>
              <w:right w:val="nil"/>
            </w:tcBorders>
            <w:shd w:val="clear" w:color="auto" w:fill="auto"/>
            <w:vAlign w:val="center"/>
          </w:tcPr>
          <w:p w14:paraId="0EA6186F" w14:textId="51466A61" w:rsidR="001E435E" w:rsidRPr="001E47AD" w:rsidRDefault="001E435E" w:rsidP="00135B4A">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Control Variables</w:t>
            </w:r>
          </w:p>
        </w:tc>
        <w:tc>
          <w:tcPr>
            <w:tcW w:w="765" w:type="pct"/>
            <w:tcBorders>
              <w:top w:val="single" w:sz="4" w:space="0" w:color="auto"/>
              <w:left w:val="nil"/>
              <w:bottom w:val="nil"/>
              <w:right w:val="nil"/>
            </w:tcBorders>
            <w:shd w:val="clear" w:color="auto" w:fill="auto"/>
            <w:vAlign w:val="bottom"/>
          </w:tcPr>
          <w:p w14:paraId="150421E2" w14:textId="77777777" w:rsidR="001E435E" w:rsidRPr="001E47AD" w:rsidRDefault="001E435E" w:rsidP="00135B4A">
            <w:pPr>
              <w:jc w:val="right"/>
              <w:rPr>
                <w:sz w:val="16"/>
                <w:szCs w:val="16"/>
              </w:rPr>
            </w:pPr>
          </w:p>
        </w:tc>
        <w:tc>
          <w:tcPr>
            <w:tcW w:w="753" w:type="pct"/>
            <w:tcBorders>
              <w:top w:val="single" w:sz="4" w:space="0" w:color="auto"/>
              <w:left w:val="nil"/>
              <w:bottom w:val="nil"/>
              <w:right w:val="nil"/>
            </w:tcBorders>
            <w:shd w:val="clear" w:color="auto" w:fill="auto"/>
            <w:vAlign w:val="bottom"/>
          </w:tcPr>
          <w:p w14:paraId="5A94A07C" w14:textId="77777777" w:rsidR="001E435E" w:rsidRPr="001E47AD" w:rsidRDefault="001E435E" w:rsidP="00135B4A">
            <w:pPr>
              <w:jc w:val="right"/>
              <w:rPr>
                <w:sz w:val="20"/>
                <w:szCs w:val="20"/>
              </w:rPr>
            </w:pPr>
          </w:p>
        </w:tc>
        <w:tc>
          <w:tcPr>
            <w:tcW w:w="753" w:type="pct"/>
            <w:tcBorders>
              <w:top w:val="single" w:sz="4" w:space="0" w:color="auto"/>
              <w:left w:val="nil"/>
              <w:bottom w:val="nil"/>
              <w:right w:val="nil"/>
            </w:tcBorders>
            <w:shd w:val="clear" w:color="auto" w:fill="auto"/>
            <w:vAlign w:val="bottom"/>
          </w:tcPr>
          <w:p w14:paraId="12DD9688" w14:textId="77777777" w:rsidR="001E435E" w:rsidRPr="001E47AD" w:rsidRDefault="001E435E" w:rsidP="00135B4A">
            <w:pPr>
              <w:jc w:val="right"/>
              <w:rPr>
                <w:sz w:val="20"/>
                <w:szCs w:val="20"/>
              </w:rPr>
            </w:pPr>
          </w:p>
        </w:tc>
        <w:tc>
          <w:tcPr>
            <w:tcW w:w="753" w:type="pct"/>
            <w:tcBorders>
              <w:top w:val="single" w:sz="4" w:space="0" w:color="auto"/>
              <w:left w:val="nil"/>
              <w:bottom w:val="nil"/>
              <w:right w:val="nil"/>
            </w:tcBorders>
            <w:shd w:val="clear" w:color="auto" w:fill="auto"/>
            <w:vAlign w:val="bottom"/>
          </w:tcPr>
          <w:p w14:paraId="59E49EF2" w14:textId="77777777" w:rsidR="001E435E" w:rsidRPr="001E47AD" w:rsidRDefault="001E435E" w:rsidP="00135B4A">
            <w:pPr>
              <w:jc w:val="right"/>
              <w:rPr>
                <w:sz w:val="20"/>
                <w:szCs w:val="20"/>
              </w:rPr>
            </w:pPr>
          </w:p>
        </w:tc>
        <w:tc>
          <w:tcPr>
            <w:tcW w:w="752" w:type="pct"/>
            <w:tcBorders>
              <w:top w:val="single" w:sz="4" w:space="0" w:color="auto"/>
              <w:left w:val="nil"/>
              <w:bottom w:val="nil"/>
              <w:right w:val="nil"/>
            </w:tcBorders>
            <w:shd w:val="clear" w:color="auto" w:fill="auto"/>
            <w:vAlign w:val="bottom"/>
          </w:tcPr>
          <w:p w14:paraId="32B284F4" w14:textId="77777777" w:rsidR="001E435E" w:rsidRPr="001E47AD" w:rsidRDefault="001E435E" w:rsidP="00135B4A">
            <w:pPr>
              <w:jc w:val="right"/>
              <w:rPr>
                <w:sz w:val="20"/>
                <w:szCs w:val="20"/>
              </w:rPr>
            </w:pPr>
          </w:p>
        </w:tc>
      </w:tr>
      <w:tr w:rsidR="007B03DB" w:rsidRPr="001E47AD" w14:paraId="2CDB1FE1" w14:textId="77777777" w:rsidTr="00135B4A">
        <w:tc>
          <w:tcPr>
            <w:tcW w:w="1224" w:type="pct"/>
            <w:tcBorders>
              <w:top w:val="nil"/>
              <w:left w:val="nil"/>
              <w:bottom w:val="nil"/>
              <w:right w:val="nil"/>
            </w:tcBorders>
            <w:shd w:val="clear" w:color="auto" w:fill="auto"/>
            <w:vAlign w:val="center"/>
          </w:tcPr>
          <w:p w14:paraId="3EC463A0"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Format</w:t>
            </w:r>
          </w:p>
        </w:tc>
        <w:tc>
          <w:tcPr>
            <w:tcW w:w="765" w:type="pct"/>
            <w:tcBorders>
              <w:top w:val="nil"/>
              <w:left w:val="nil"/>
              <w:bottom w:val="nil"/>
              <w:right w:val="nil"/>
            </w:tcBorders>
            <w:shd w:val="clear" w:color="auto" w:fill="auto"/>
            <w:vAlign w:val="bottom"/>
          </w:tcPr>
          <w:p w14:paraId="0F2EC533" w14:textId="77777777" w:rsidR="007B03DB" w:rsidRPr="001E47AD" w:rsidRDefault="007B03DB" w:rsidP="00135B4A">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104FE15D"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63856A39"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10490AD1" w14:textId="77777777" w:rsidR="007B03DB" w:rsidRPr="001E47AD" w:rsidRDefault="007B03DB" w:rsidP="00135B4A">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5D309BF0" w14:textId="77777777" w:rsidR="007B03DB" w:rsidRPr="001E47AD" w:rsidRDefault="007B03DB" w:rsidP="00135B4A">
            <w:pPr>
              <w:jc w:val="right"/>
              <w:rPr>
                <w:rFonts w:ascii="Times New Roman" w:hAnsi="Times New Roman" w:cs="Times New Roman"/>
                <w:sz w:val="20"/>
                <w:szCs w:val="20"/>
              </w:rPr>
            </w:pPr>
          </w:p>
        </w:tc>
      </w:tr>
      <w:tr w:rsidR="007B03DB" w:rsidRPr="001E47AD" w14:paraId="530B450E" w14:textId="77777777" w:rsidTr="00135B4A">
        <w:tc>
          <w:tcPr>
            <w:tcW w:w="1224" w:type="pct"/>
            <w:tcBorders>
              <w:top w:val="nil"/>
              <w:left w:val="nil"/>
              <w:bottom w:val="nil"/>
              <w:right w:val="nil"/>
            </w:tcBorders>
            <w:shd w:val="clear" w:color="auto" w:fill="auto"/>
            <w:vAlign w:val="center"/>
          </w:tcPr>
          <w:p w14:paraId="6D62BE79"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CHAIN_GROC</m:t>
                </m:r>
              </m:oMath>
            </m:oMathPara>
          </w:p>
        </w:tc>
        <w:tc>
          <w:tcPr>
            <w:tcW w:w="765" w:type="pct"/>
            <w:tcBorders>
              <w:top w:val="nil"/>
              <w:left w:val="nil"/>
              <w:bottom w:val="nil"/>
              <w:right w:val="nil"/>
            </w:tcBorders>
            <w:shd w:val="clear" w:color="auto" w:fill="auto"/>
            <w:vAlign w:val="bottom"/>
          </w:tcPr>
          <w:p w14:paraId="0032099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133.674*** (39.021)</w:t>
            </w:r>
          </w:p>
        </w:tc>
        <w:tc>
          <w:tcPr>
            <w:tcW w:w="753" w:type="pct"/>
            <w:tcBorders>
              <w:top w:val="nil"/>
              <w:left w:val="nil"/>
              <w:bottom w:val="nil"/>
              <w:right w:val="nil"/>
            </w:tcBorders>
            <w:shd w:val="clear" w:color="auto" w:fill="auto"/>
            <w:vAlign w:val="bottom"/>
          </w:tcPr>
          <w:p w14:paraId="1AA6B36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36.029 (36.721)</w:t>
            </w:r>
          </w:p>
        </w:tc>
        <w:tc>
          <w:tcPr>
            <w:tcW w:w="753" w:type="pct"/>
            <w:tcBorders>
              <w:top w:val="nil"/>
              <w:left w:val="nil"/>
              <w:bottom w:val="nil"/>
              <w:right w:val="nil"/>
            </w:tcBorders>
            <w:shd w:val="clear" w:color="auto" w:fill="auto"/>
            <w:vAlign w:val="bottom"/>
          </w:tcPr>
          <w:p w14:paraId="083D768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77.892* (36.176)</w:t>
            </w:r>
          </w:p>
        </w:tc>
        <w:tc>
          <w:tcPr>
            <w:tcW w:w="753" w:type="pct"/>
            <w:tcBorders>
              <w:top w:val="nil"/>
              <w:left w:val="nil"/>
              <w:bottom w:val="nil"/>
              <w:right w:val="nil"/>
            </w:tcBorders>
            <w:shd w:val="clear" w:color="auto" w:fill="auto"/>
            <w:vAlign w:val="bottom"/>
          </w:tcPr>
          <w:p w14:paraId="38F9B1E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41.447 (37.104)</w:t>
            </w:r>
          </w:p>
        </w:tc>
        <w:tc>
          <w:tcPr>
            <w:tcW w:w="752" w:type="pct"/>
            <w:tcBorders>
              <w:top w:val="nil"/>
              <w:left w:val="nil"/>
              <w:bottom w:val="nil"/>
              <w:right w:val="nil"/>
            </w:tcBorders>
            <w:shd w:val="clear" w:color="auto" w:fill="auto"/>
            <w:vAlign w:val="bottom"/>
          </w:tcPr>
          <w:p w14:paraId="5E2BD80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61.868* (37.366)</w:t>
            </w:r>
          </w:p>
        </w:tc>
      </w:tr>
      <w:tr w:rsidR="007B03DB" w:rsidRPr="001E47AD" w14:paraId="7AF090BF" w14:textId="77777777" w:rsidTr="00135B4A">
        <w:tc>
          <w:tcPr>
            <w:tcW w:w="1224" w:type="pct"/>
            <w:tcBorders>
              <w:top w:val="nil"/>
              <w:left w:val="nil"/>
              <w:bottom w:val="nil"/>
              <w:right w:val="nil"/>
            </w:tcBorders>
            <w:shd w:val="clear" w:color="auto" w:fill="auto"/>
            <w:vAlign w:val="center"/>
          </w:tcPr>
          <w:p w14:paraId="726512FC"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CHAIN_WHS</m:t>
                </m:r>
              </m:oMath>
            </m:oMathPara>
          </w:p>
        </w:tc>
        <w:tc>
          <w:tcPr>
            <w:tcW w:w="765" w:type="pct"/>
            <w:tcBorders>
              <w:top w:val="nil"/>
              <w:left w:val="nil"/>
              <w:bottom w:val="nil"/>
              <w:right w:val="nil"/>
            </w:tcBorders>
            <w:shd w:val="clear" w:color="auto" w:fill="auto"/>
            <w:vAlign w:val="bottom"/>
          </w:tcPr>
          <w:p w14:paraId="2A9632C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103.928*** (11.998)</w:t>
            </w:r>
          </w:p>
        </w:tc>
        <w:tc>
          <w:tcPr>
            <w:tcW w:w="753" w:type="pct"/>
            <w:tcBorders>
              <w:top w:val="nil"/>
              <w:left w:val="nil"/>
              <w:bottom w:val="nil"/>
              <w:right w:val="nil"/>
            </w:tcBorders>
            <w:shd w:val="clear" w:color="auto" w:fill="auto"/>
            <w:vAlign w:val="bottom"/>
          </w:tcPr>
          <w:p w14:paraId="5F26BF0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93.242*** (13.222)</w:t>
            </w:r>
          </w:p>
        </w:tc>
        <w:tc>
          <w:tcPr>
            <w:tcW w:w="753" w:type="pct"/>
            <w:tcBorders>
              <w:top w:val="nil"/>
              <w:left w:val="nil"/>
              <w:bottom w:val="nil"/>
              <w:right w:val="nil"/>
            </w:tcBorders>
            <w:shd w:val="clear" w:color="auto" w:fill="auto"/>
            <w:vAlign w:val="bottom"/>
          </w:tcPr>
          <w:p w14:paraId="6C7C4FD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56.447*** (12.725)</w:t>
            </w:r>
          </w:p>
        </w:tc>
        <w:tc>
          <w:tcPr>
            <w:tcW w:w="753" w:type="pct"/>
            <w:tcBorders>
              <w:top w:val="nil"/>
              <w:left w:val="nil"/>
              <w:bottom w:val="nil"/>
              <w:right w:val="nil"/>
            </w:tcBorders>
            <w:shd w:val="clear" w:color="auto" w:fill="auto"/>
            <w:vAlign w:val="bottom"/>
          </w:tcPr>
          <w:p w14:paraId="7810613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66.607*** (13.267)</w:t>
            </w:r>
          </w:p>
        </w:tc>
        <w:tc>
          <w:tcPr>
            <w:tcW w:w="752" w:type="pct"/>
            <w:tcBorders>
              <w:top w:val="nil"/>
              <w:left w:val="nil"/>
              <w:bottom w:val="nil"/>
              <w:right w:val="nil"/>
            </w:tcBorders>
            <w:shd w:val="clear" w:color="auto" w:fill="auto"/>
            <w:vAlign w:val="bottom"/>
          </w:tcPr>
          <w:p w14:paraId="276F7BE4"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45.302*** (12.415)</w:t>
            </w:r>
          </w:p>
        </w:tc>
      </w:tr>
      <w:tr w:rsidR="007B03DB" w:rsidRPr="001E47AD" w14:paraId="53B8C0A3" w14:textId="77777777" w:rsidTr="00135B4A">
        <w:tc>
          <w:tcPr>
            <w:tcW w:w="1224" w:type="pct"/>
            <w:tcBorders>
              <w:top w:val="nil"/>
              <w:left w:val="nil"/>
              <w:bottom w:val="nil"/>
              <w:right w:val="nil"/>
            </w:tcBorders>
            <w:shd w:val="clear" w:color="auto" w:fill="auto"/>
            <w:vAlign w:val="center"/>
          </w:tcPr>
          <w:p w14:paraId="79EDF50E"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CHAIN_DISC</m:t>
                </m:r>
              </m:oMath>
            </m:oMathPara>
          </w:p>
        </w:tc>
        <w:tc>
          <w:tcPr>
            <w:tcW w:w="765" w:type="pct"/>
            <w:tcBorders>
              <w:top w:val="nil"/>
              <w:left w:val="nil"/>
              <w:bottom w:val="nil"/>
              <w:right w:val="nil"/>
            </w:tcBorders>
            <w:shd w:val="clear" w:color="auto" w:fill="auto"/>
            <w:vAlign w:val="bottom"/>
          </w:tcPr>
          <w:p w14:paraId="38DF1C1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-37.637 (25.819)</w:t>
            </w:r>
          </w:p>
        </w:tc>
        <w:tc>
          <w:tcPr>
            <w:tcW w:w="753" w:type="pct"/>
            <w:tcBorders>
              <w:top w:val="nil"/>
              <w:left w:val="nil"/>
              <w:bottom w:val="nil"/>
              <w:right w:val="nil"/>
            </w:tcBorders>
            <w:shd w:val="clear" w:color="auto" w:fill="auto"/>
            <w:vAlign w:val="bottom"/>
          </w:tcPr>
          <w:p w14:paraId="6245578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-45.366* (24.598)</w:t>
            </w:r>
          </w:p>
        </w:tc>
        <w:tc>
          <w:tcPr>
            <w:tcW w:w="753" w:type="pct"/>
            <w:tcBorders>
              <w:top w:val="nil"/>
              <w:left w:val="nil"/>
              <w:bottom w:val="nil"/>
              <w:right w:val="nil"/>
            </w:tcBorders>
            <w:shd w:val="clear" w:color="auto" w:fill="auto"/>
            <w:vAlign w:val="bottom"/>
          </w:tcPr>
          <w:p w14:paraId="193BA03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-152.341*** (24.263)</w:t>
            </w:r>
          </w:p>
        </w:tc>
        <w:tc>
          <w:tcPr>
            <w:tcW w:w="753" w:type="pct"/>
            <w:tcBorders>
              <w:top w:val="nil"/>
              <w:left w:val="nil"/>
              <w:bottom w:val="nil"/>
              <w:right w:val="nil"/>
            </w:tcBorders>
            <w:shd w:val="clear" w:color="auto" w:fill="auto"/>
            <w:vAlign w:val="bottom"/>
          </w:tcPr>
          <w:p w14:paraId="1F7E7DC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-113.224*** (24.888)</w:t>
            </w:r>
          </w:p>
        </w:tc>
        <w:tc>
          <w:tcPr>
            <w:tcW w:w="752" w:type="pct"/>
            <w:tcBorders>
              <w:top w:val="nil"/>
              <w:left w:val="nil"/>
              <w:bottom w:val="nil"/>
              <w:right w:val="nil"/>
            </w:tcBorders>
            <w:shd w:val="clear" w:color="auto" w:fill="auto"/>
            <w:vAlign w:val="bottom"/>
          </w:tcPr>
          <w:p w14:paraId="52AD0C2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-168.339*** (25.022)</w:t>
            </w:r>
          </w:p>
        </w:tc>
      </w:tr>
      <w:tr w:rsidR="007B03DB" w:rsidRPr="001E47AD" w14:paraId="5FF7219E" w14:textId="77777777" w:rsidTr="00135B4A">
        <w:tc>
          <w:tcPr>
            <w:tcW w:w="1224" w:type="pct"/>
            <w:tcBorders>
              <w:top w:val="nil"/>
              <w:left w:val="nil"/>
              <w:bottom w:val="nil"/>
              <w:right w:val="nil"/>
            </w:tcBorders>
            <w:shd w:val="clear" w:color="auto" w:fill="auto"/>
            <w:vAlign w:val="center"/>
          </w:tcPr>
          <w:p w14:paraId="71C30015"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CHAIN_DOLLAR</m:t>
                </m:r>
              </m:oMath>
            </m:oMathPara>
          </w:p>
        </w:tc>
        <w:tc>
          <w:tcPr>
            <w:tcW w:w="765" w:type="pct"/>
            <w:tcBorders>
              <w:top w:val="nil"/>
              <w:left w:val="nil"/>
              <w:bottom w:val="nil"/>
              <w:right w:val="nil"/>
            </w:tcBorders>
            <w:shd w:val="clear" w:color="auto" w:fill="auto"/>
            <w:vAlign w:val="bottom"/>
          </w:tcPr>
          <w:p w14:paraId="60E721C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-524.727*** (23.745)</w:t>
            </w:r>
          </w:p>
        </w:tc>
        <w:tc>
          <w:tcPr>
            <w:tcW w:w="753" w:type="pct"/>
            <w:tcBorders>
              <w:top w:val="nil"/>
              <w:left w:val="nil"/>
              <w:bottom w:val="nil"/>
              <w:right w:val="nil"/>
            </w:tcBorders>
            <w:shd w:val="clear" w:color="auto" w:fill="auto"/>
            <w:vAlign w:val="bottom"/>
          </w:tcPr>
          <w:p w14:paraId="1E07F51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-232.649*** (22.508)</w:t>
            </w:r>
          </w:p>
        </w:tc>
        <w:tc>
          <w:tcPr>
            <w:tcW w:w="753" w:type="pct"/>
            <w:tcBorders>
              <w:top w:val="nil"/>
              <w:left w:val="nil"/>
              <w:bottom w:val="nil"/>
              <w:right w:val="nil"/>
            </w:tcBorders>
            <w:shd w:val="clear" w:color="auto" w:fill="auto"/>
            <w:vAlign w:val="bottom"/>
          </w:tcPr>
          <w:p w14:paraId="32530BE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-216.296*** (22.373)</w:t>
            </w:r>
          </w:p>
        </w:tc>
        <w:tc>
          <w:tcPr>
            <w:tcW w:w="753" w:type="pct"/>
            <w:tcBorders>
              <w:top w:val="nil"/>
              <w:left w:val="nil"/>
              <w:bottom w:val="nil"/>
              <w:right w:val="nil"/>
            </w:tcBorders>
            <w:shd w:val="clear" w:color="auto" w:fill="auto"/>
            <w:vAlign w:val="bottom"/>
          </w:tcPr>
          <w:p w14:paraId="36FBDFB4"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-58.077* (22.777)</w:t>
            </w:r>
          </w:p>
        </w:tc>
        <w:tc>
          <w:tcPr>
            <w:tcW w:w="752" w:type="pct"/>
            <w:tcBorders>
              <w:top w:val="nil"/>
              <w:left w:val="nil"/>
              <w:bottom w:val="nil"/>
              <w:right w:val="nil"/>
            </w:tcBorders>
            <w:shd w:val="clear" w:color="auto" w:fill="auto"/>
            <w:vAlign w:val="bottom"/>
          </w:tcPr>
          <w:p w14:paraId="77C1C6D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-211.452*** (22.861)</w:t>
            </w:r>
          </w:p>
        </w:tc>
      </w:tr>
      <w:tr w:rsidR="007B03DB" w:rsidRPr="001E47AD" w14:paraId="4074D6E9" w14:textId="77777777" w:rsidTr="00135B4A">
        <w:tc>
          <w:tcPr>
            <w:tcW w:w="1224" w:type="pct"/>
            <w:tcBorders>
              <w:top w:val="nil"/>
              <w:left w:val="nil"/>
              <w:bottom w:val="nil"/>
              <w:right w:val="nil"/>
            </w:tcBorders>
            <w:shd w:val="clear" w:color="auto" w:fill="auto"/>
            <w:vAlign w:val="center"/>
          </w:tcPr>
          <w:p w14:paraId="26D184B0"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CHAIN_DRUG</m:t>
                </m:r>
              </m:oMath>
            </m:oMathPara>
          </w:p>
        </w:tc>
        <w:tc>
          <w:tcPr>
            <w:tcW w:w="765" w:type="pct"/>
            <w:tcBorders>
              <w:top w:val="nil"/>
              <w:left w:val="nil"/>
              <w:bottom w:val="nil"/>
              <w:right w:val="nil"/>
            </w:tcBorders>
            <w:shd w:val="clear" w:color="auto" w:fill="auto"/>
            <w:vAlign w:val="bottom"/>
          </w:tcPr>
          <w:p w14:paraId="4EDC290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61.770** (19.549)</w:t>
            </w:r>
          </w:p>
        </w:tc>
        <w:tc>
          <w:tcPr>
            <w:tcW w:w="753" w:type="pct"/>
            <w:tcBorders>
              <w:top w:val="nil"/>
              <w:left w:val="nil"/>
              <w:bottom w:val="nil"/>
              <w:right w:val="nil"/>
            </w:tcBorders>
            <w:shd w:val="clear" w:color="auto" w:fill="auto"/>
            <w:vAlign w:val="bottom"/>
          </w:tcPr>
          <w:p w14:paraId="6F1FE51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51.100** (18.585)</w:t>
            </w:r>
          </w:p>
        </w:tc>
        <w:tc>
          <w:tcPr>
            <w:tcW w:w="753" w:type="pct"/>
            <w:tcBorders>
              <w:top w:val="nil"/>
              <w:left w:val="nil"/>
              <w:bottom w:val="nil"/>
              <w:right w:val="nil"/>
            </w:tcBorders>
            <w:shd w:val="clear" w:color="auto" w:fill="auto"/>
            <w:vAlign w:val="bottom"/>
          </w:tcPr>
          <w:p w14:paraId="35A55A02"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-2.268 (18.339)</w:t>
            </w:r>
          </w:p>
        </w:tc>
        <w:tc>
          <w:tcPr>
            <w:tcW w:w="753" w:type="pct"/>
            <w:tcBorders>
              <w:top w:val="nil"/>
              <w:left w:val="nil"/>
              <w:bottom w:val="nil"/>
              <w:right w:val="nil"/>
            </w:tcBorders>
            <w:shd w:val="clear" w:color="auto" w:fill="auto"/>
            <w:vAlign w:val="bottom"/>
          </w:tcPr>
          <w:p w14:paraId="237ADBD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-40.687* (18.809)</w:t>
            </w:r>
          </w:p>
        </w:tc>
        <w:tc>
          <w:tcPr>
            <w:tcW w:w="752" w:type="pct"/>
            <w:tcBorders>
              <w:top w:val="nil"/>
              <w:left w:val="nil"/>
              <w:bottom w:val="nil"/>
              <w:right w:val="nil"/>
            </w:tcBorders>
            <w:shd w:val="clear" w:color="auto" w:fill="auto"/>
            <w:vAlign w:val="bottom"/>
          </w:tcPr>
          <w:p w14:paraId="3B517EA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-66.060*** (18.950)</w:t>
            </w:r>
          </w:p>
        </w:tc>
      </w:tr>
      <w:tr w:rsidR="007B03DB" w:rsidRPr="001E47AD" w14:paraId="1F725066" w14:textId="77777777" w:rsidTr="00135B4A">
        <w:tc>
          <w:tcPr>
            <w:tcW w:w="1224" w:type="pct"/>
            <w:tcBorders>
              <w:top w:val="nil"/>
              <w:left w:val="nil"/>
              <w:bottom w:val="nil"/>
              <w:right w:val="nil"/>
            </w:tcBorders>
            <w:shd w:val="clear" w:color="auto" w:fill="auto"/>
            <w:vAlign w:val="center"/>
          </w:tcPr>
          <w:p w14:paraId="5D65875A"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CHAIN_LIQ</m:t>
                </m:r>
              </m:oMath>
            </m:oMathPara>
          </w:p>
        </w:tc>
        <w:tc>
          <w:tcPr>
            <w:tcW w:w="765" w:type="pct"/>
            <w:tcBorders>
              <w:top w:val="nil"/>
              <w:left w:val="nil"/>
              <w:bottom w:val="nil"/>
              <w:right w:val="nil"/>
            </w:tcBorders>
            <w:shd w:val="clear" w:color="auto" w:fill="auto"/>
            <w:vAlign w:val="bottom"/>
          </w:tcPr>
          <w:p w14:paraId="1B06785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48.365* (21.694)</w:t>
            </w:r>
          </w:p>
        </w:tc>
        <w:tc>
          <w:tcPr>
            <w:tcW w:w="753" w:type="pct"/>
            <w:tcBorders>
              <w:top w:val="nil"/>
              <w:left w:val="nil"/>
              <w:bottom w:val="nil"/>
              <w:right w:val="nil"/>
            </w:tcBorders>
            <w:shd w:val="clear" w:color="auto" w:fill="auto"/>
            <w:vAlign w:val="bottom"/>
          </w:tcPr>
          <w:p w14:paraId="62426F2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51.901* (20.679)</w:t>
            </w:r>
          </w:p>
        </w:tc>
        <w:tc>
          <w:tcPr>
            <w:tcW w:w="753" w:type="pct"/>
            <w:tcBorders>
              <w:top w:val="nil"/>
              <w:left w:val="nil"/>
              <w:bottom w:val="nil"/>
              <w:right w:val="nil"/>
            </w:tcBorders>
            <w:shd w:val="clear" w:color="auto" w:fill="auto"/>
            <w:vAlign w:val="bottom"/>
          </w:tcPr>
          <w:p w14:paraId="29AE0534"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-40.446* (20.441)</w:t>
            </w:r>
          </w:p>
        </w:tc>
        <w:tc>
          <w:tcPr>
            <w:tcW w:w="753" w:type="pct"/>
            <w:tcBorders>
              <w:top w:val="nil"/>
              <w:left w:val="nil"/>
              <w:bottom w:val="nil"/>
              <w:right w:val="nil"/>
            </w:tcBorders>
            <w:shd w:val="clear" w:color="auto" w:fill="auto"/>
            <w:vAlign w:val="bottom"/>
          </w:tcPr>
          <w:p w14:paraId="140A68E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-32.602 (20.965)</w:t>
            </w:r>
          </w:p>
        </w:tc>
        <w:tc>
          <w:tcPr>
            <w:tcW w:w="752" w:type="pct"/>
            <w:tcBorders>
              <w:top w:val="nil"/>
              <w:left w:val="nil"/>
              <w:bottom w:val="nil"/>
              <w:right w:val="nil"/>
            </w:tcBorders>
            <w:shd w:val="clear" w:color="auto" w:fill="auto"/>
            <w:vAlign w:val="bottom"/>
          </w:tcPr>
          <w:p w14:paraId="6E67CEB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-81.605*** (21.054)</w:t>
            </w:r>
          </w:p>
        </w:tc>
      </w:tr>
      <w:tr w:rsidR="007B03DB" w:rsidRPr="001E47AD" w14:paraId="3B0372BD" w14:textId="77777777" w:rsidTr="00135B4A">
        <w:tc>
          <w:tcPr>
            <w:tcW w:w="1224" w:type="pct"/>
            <w:tcBorders>
              <w:top w:val="nil"/>
              <w:left w:val="nil"/>
              <w:bottom w:val="nil"/>
              <w:right w:val="nil"/>
            </w:tcBorders>
            <w:shd w:val="clear" w:color="auto" w:fill="auto"/>
            <w:vAlign w:val="center"/>
          </w:tcPr>
          <w:p w14:paraId="7F830DBA"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Chain</w:t>
            </w:r>
          </w:p>
        </w:tc>
        <w:tc>
          <w:tcPr>
            <w:tcW w:w="765" w:type="pct"/>
            <w:tcBorders>
              <w:top w:val="nil"/>
              <w:left w:val="nil"/>
              <w:bottom w:val="nil"/>
              <w:right w:val="nil"/>
            </w:tcBorders>
          </w:tcPr>
          <w:p w14:paraId="61B28D02"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vAlign w:val="bottom"/>
          </w:tcPr>
          <w:p w14:paraId="19D86A0F"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1E697D3F"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4FF68B6A" w14:textId="77777777" w:rsidR="007B03DB" w:rsidRPr="001E47AD" w:rsidRDefault="007B03DB" w:rsidP="00135B4A">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vAlign w:val="bottom"/>
          </w:tcPr>
          <w:p w14:paraId="404F3DD2" w14:textId="77777777" w:rsidR="007B03DB" w:rsidRPr="001E47AD" w:rsidRDefault="007B03DB" w:rsidP="00135B4A">
            <w:pPr>
              <w:contextualSpacing/>
              <w:jc w:val="right"/>
              <w:rPr>
                <w:rFonts w:ascii="Times New Roman" w:hAnsi="Times New Roman" w:cs="Times New Roman"/>
                <w:spacing w:val="-5"/>
                <w:sz w:val="16"/>
                <w:szCs w:val="16"/>
              </w:rPr>
            </w:pPr>
          </w:p>
        </w:tc>
      </w:tr>
      <w:tr w:rsidR="007B03DB" w:rsidRPr="001E47AD" w14:paraId="2EF21826" w14:textId="77777777" w:rsidTr="00135B4A">
        <w:tc>
          <w:tcPr>
            <w:tcW w:w="1224" w:type="pct"/>
            <w:tcBorders>
              <w:top w:val="nil"/>
              <w:left w:val="nil"/>
              <w:bottom w:val="nil"/>
              <w:right w:val="nil"/>
            </w:tcBorders>
            <w:shd w:val="clear" w:color="auto" w:fill="auto"/>
            <w:vAlign w:val="center"/>
          </w:tcPr>
          <w:p w14:paraId="0E558126"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RETAIL_CHAIN</m:t>
                </m:r>
              </m:oMath>
            </m:oMathPara>
          </w:p>
        </w:tc>
        <w:tc>
          <w:tcPr>
            <w:tcW w:w="765" w:type="pct"/>
            <w:tcBorders>
              <w:top w:val="nil"/>
              <w:left w:val="nil"/>
              <w:bottom w:val="nil"/>
              <w:right w:val="nil"/>
            </w:tcBorders>
            <w:vAlign w:val="bottom"/>
          </w:tcPr>
          <w:p w14:paraId="01484309"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shd w:val="clear" w:color="auto" w:fill="auto"/>
            <w:vAlign w:val="bottom"/>
          </w:tcPr>
          <w:p w14:paraId="4C405489"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vAlign w:val="bottom"/>
          </w:tcPr>
          <w:p w14:paraId="5AF7E250"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vAlign w:val="bottom"/>
          </w:tcPr>
          <w:p w14:paraId="72B1F47F"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2" w:type="pct"/>
            <w:tcBorders>
              <w:top w:val="nil"/>
              <w:left w:val="nil"/>
              <w:bottom w:val="nil"/>
              <w:right w:val="nil"/>
            </w:tcBorders>
            <w:vAlign w:val="bottom"/>
          </w:tcPr>
          <w:p w14:paraId="2FFD9962"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r>
      <w:tr w:rsidR="007B03DB" w:rsidRPr="001E47AD" w14:paraId="1B8CCE23" w14:textId="77777777" w:rsidTr="00135B4A">
        <w:tc>
          <w:tcPr>
            <w:tcW w:w="1224" w:type="pct"/>
            <w:tcBorders>
              <w:top w:val="nil"/>
              <w:left w:val="nil"/>
              <w:bottom w:val="nil"/>
              <w:right w:val="nil"/>
            </w:tcBorders>
            <w:shd w:val="clear" w:color="auto" w:fill="auto"/>
            <w:vAlign w:val="center"/>
          </w:tcPr>
          <w:p w14:paraId="18953197"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Hurricane Influence</w:t>
            </w:r>
          </w:p>
        </w:tc>
        <w:tc>
          <w:tcPr>
            <w:tcW w:w="765" w:type="pct"/>
            <w:tcBorders>
              <w:top w:val="nil"/>
              <w:left w:val="nil"/>
              <w:bottom w:val="nil"/>
              <w:right w:val="nil"/>
            </w:tcBorders>
          </w:tcPr>
          <w:p w14:paraId="2E9C21C8"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tcPr>
          <w:p w14:paraId="36C8CAC7"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tcPr>
          <w:p w14:paraId="5017F4F5"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center"/>
          </w:tcPr>
          <w:p w14:paraId="421D2B7A" w14:textId="77777777" w:rsidR="007B03DB" w:rsidRPr="001E47AD" w:rsidRDefault="007B03DB" w:rsidP="00135B4A">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tcPr>
          <w:p w14:paraId="7419C44E" w14:textId="77777777" w:rsidR="007B03DB" w:rsidRPr="001E47AD" w:rsidRDefault="007B03DB" w:rsidP="00135B4A">
            <w:pPr>
              <w:contextualSpacing/>
              <w:jc w:val="right"/>
              <w:rPr>
                <w:rFonts w:ascii="Times New Roman" w:hAnsi="Times New Roman" w:cs="Times New Roman"/>
                <w:spacing w:val="-5"/>
                <w:sz w:val="16"/>
                <w:szCs w:val="16"/>
              </w:rPr>
            </w:pPr>
          </w:p>
        </w:tc>
      </w:tr>
      <w:tr w:rsidR="007B03DB" w:rsidRPr="001E47AD" w14:paraId="4AB68AB8" w14:textId="77777777" w:rsidTr="00135B4A">
        <w:tc>
          <w:tcPr>
            <w:tcW w:w="1224" w:type="pct"/>
            <w:tcBorders>
              <w:top w:val="nil"/>
              <w:left w:val="nil"/>
              <w:bottom w:val="nil"/>
              <w:right w:val="nil"/>
            </w:tcBorders>
            <w:shd w:val="clear" w:color="auto" w:fill="auto"/>
            <w:vAlign w:val="center"/>
          </w:tcPr>
          <w:p w14:paraId="03CCDA7A"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DAYS_BEF_INFL_EARLY</m:t>
                </m:r>
              </m:oMath>
            </m:oMathPara>
          </w:p>
        </w:tc>
        <w:tc>
          <w:tcPr>
            <w:tcW w:w="765" w:type="pct"/>
            <w:tcBorders>
              <w:top w:val="nil"/>
              <w:left w:val="nil"/>
              <w:bottom w:val="nil"/>
              <w:right w:val="nil"/>
            </w:tcBorders>
            <w:shd w:val="clear" w:color="auto" w:fill="auto"/>
            <w:vAlign w:val="bottom"/>
          </w:tcPr>
          <w:p w14:paraId="64E631EA" w14:textId="77777777" w:rsidR="007B03DB" w:rsidRPr="001E47AD" w:rsidRDefault="007B03DB" w:rsidP="00135B4A">
            <w:pPr>
              <w:jc w:val="right"/>
              <w:rPr>
                <w:rFonts w:ascii="Times New Roman" w:hAnsi="Times New Roman" w:cs="Times New Roman"/>
                <w:sz w:val="16"/>
                <w:szCs w:val="16"/>
                <w:lang w:val="en-CA"/>
              </w:rPr>
            </w:pPr>
            <w:r w:rsidRPr="001E47AD">
              <w:rPr>
                <w:rFonts w:ascii="Times New Roman" w:hAnsi="Times New Roman" w:cs="Times New Roman"/>
                <w:sz w:val="16"/>
                <w:szCs w:val="16"/>
              </w:rPr>
              <w:t>-7.633*** (1.617)</w:t>
            </w:r>
          </w:p>
        </w:tc>
        <w:tc>
          <w:tcPr>
            <w:tcW w:w="753" w:type="pct"/>
            <w:tcBorders>
              <w:top w:val="nil"/>
              <w:left w:val="nil"/>
              <w:bottom w:val="nil"/>
              <w:right w:val="nil"/>
            </w:tcBorders>
            <w:shd w:val="clear" w:color="auto" w:fill="auto"/>
            <w:vAlign w:val="bottom"/>
          </w:tcPr>
          <w:p w14:paraId="6E15D5A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-14.341*** (1.528)</w:t>
            </w:r>
          </w:p>
        </w:tc>
        <w:tc>
          <w:tcPr>
            <w:tcW w:w="753" w:type="pct"/>
            <w:tcBorders>
              <w:top w:val="nil"/>
              <w:left w:val="nil"/>
              <w:bottom w:val="nil"/>
              <w:right w:val="nil"/>
            </w:tcBorders>
            <w:shd w:val="clear" w:color="auto" w:fill="auto"/>
            <w:vAlign w:val="bottom"/>
          </w:tcPr>
          <w:p w14:paraId="56B2DE0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-20.549*** (1.488)</w:t>
            </w:r>
          </w:p>
        </w:tc>
        <w:tc>
          <w:tcPr>
            <w:tcW w:w="753" w:type="pct"/>
            <w:tcBorders>
              <w:top w:val="nil"/>
              <w:left w:val="nil"/>
              <w:bottom w:val="nil"/>
              <w:right w:val="nil"/>
            </w:tcBorders>
            <w:shd w:val="clear" w:color="auto" w:fill="auto"/>
            <w:vAlign w:val="bottom"/>
          </w:tcPr>
          <w:p w14:paraId="26FCBBB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-11.369*** (1.537)</w:t>
            </w:r>
          </w:p>
        </w:tc>
        <w:tc>
          <w:tcPr>
            <w:tcW w:w="752" w:type="pct"/>
            <w:tcBorders>
              <w:top w:val="nil"/>
              <w:left w:val="nil"/>
              <w:bottom w:val="nil"/>
              <w:right w:val="nil"/>
            </w:tcBorders>
            <w:shd w:val="clear" w:color="auto" w:fill="auto"/>
            <w:vAlign w:val="bottom"/>
          </w:tcPr>
          <w:p w14:paraId="48BB0B8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-17.135*** (1.544)</w:t>
            </w:r>
          </w:p>
        </w:tc>
      </w:tr>
      <w:tr w:rsidR="007B03DB" w:rsidRPr="001E47AD" w14:paraId="436646E1" w14:textId="77777777" w:rsidTr="00135B4A">
        <w:tc>
          <w:tcPr>
            <w:tcW w:w="1224" w:type="pct"/>
            <w:tcBorders>
              <w:top w:val="nil"/>
              <w:left w:val="nil"/>
              <w:bottom w:val="nil"/>
              <w:right w:val="nil"/>
            </w:tcBorders>
            <w:shd w:val="clear" w:color="auto" w:fill="auto"/>
            <w:vAlign w:val="center"/>
          </w:tcPr>
          <w:p w14:paraId="57F489A9"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DAYS_INFL_AFT_LANDFALL</m:t>
                </m:r>
              </m:oMath>
            </m:oMathPara>
          </w:p>
        </w:tc>
        <w:tc>
          <w:tcPr>
            <w:tcW w:w="765" w:type="pct"/>
            <w:tcBorders>
              <w:top w:val="nil"/>
              <w:left w:val="nil"/>
              <w:bottom w:val="nil"/>
              <w:right w:val="nil"/>
            </w:tcBorders>
            <w:shd w:val="clear" w:color="auto" w:fill="auto"/>
            <w:vAlign w:val="bottom"/>
          </w:tcPr>
          <w:p w14:paraId="5B5209E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-2.254 (1.463)</w:t>
            </w:r>
          </w:p>
        </w:tc>
        <w:tc>
          <w:tcPr>
            <w:tcW w:w="753" w:type="pct"/>
            <w:tcBorders>
              <w:top w:val="nil"/>
              <w:left w:val="nil"/>
              <w:bottom w:val="nil"/>
              <w:right w:val="nil"/>
            </w:tcBorders>
            <w:shd w:val="clear" w:color="auto" w:fill="auto"/>
            <w:vAlign w:val="bottom"/>
          </w:tcPr>
          <w:p w14:paraId="7553109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-9.597*** (1.369)</w:t>
            </w:r>
          </w:p>
        </w:tc>
        <w:tc>
          <w:tcPr>
            <w:tcW w:w="753" w:type="pct"/>
            <w:tcBorders>
              <w:top w:val="nil"/>
              <w:left w:val="nil"/>
              <w:bottom w:val="nil"/>
              <w:right w:val="nil"/>
            </w:tcBorders>
            <w:shd w:val="clear" w:color="auto" w:fill="auto"/>
            <w:vAlign w:val="bottom"/>
          </w:tcPr>
          <w:p w14:paraId="0EB0BF7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-4.462*** (1.323)</w:t>
            </w:r>
          </w:p>
        </w:tc>
        <w:tc>
          <w:tcPr>
            <w:tcW w:w="753" w:type="pct"/>
            <w:tcBorders>
              <w:top w:val="nil"/>
              <w:left w:val="nil"/>
              <w:bottom w:val="nil"/>
              <w:right w:val="nil"/>
            </w:tcBorders>
            <w:shd w:val="clear" w:color="auto" w:fill="auto"/>
            <w:vAlign w:val="bottom"/>
          </w:tcPr>
          <w:p w14:paraId="2DACD6E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-3.978** (1.385)</w:t>
            </w:r>
          </w:p>
        </w:tc>
        <w:tc>
          <w:tcPr>
            <w:tcW w:w="752" w:type="pct"/>
            <w:tcBorders>
              <w:top w:val="nil"/>
              <w:left w:val="nil"/>
              <w:bottom w:val="nil"/>
              <w:right w:val="nil"/>
            </w:tcBorders>
            <w:shd w:val="clear" w:color="auto" w:fill="auto"/>
            <w:vAlign w:val="bottom"/>
          </w:tcPr>
          <w:p w14:paraId="5ABDEE2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-6.811*** (1.398)</w:t>
            </w:r>
          </w:p>
        </w:tc>
      </w:tr>
      <w:tr w:rsidR="007B03DB" w:rsidRPr="001E47AD" w14:paraId="07E45FE5" w14:textId="77777777" w:rsidTr="00135B4A">
        <w:tc>
          <w:tcPr>
            <w:tcW w:w="1224" w:type="pct"/>
            <w:tcBorders>
              <w:top w:val="nil"/>
              <w:left w:val="nil"/>
              <w:bottom w:val="nil"/>
              <w:right w:val="nil"/>
            </w:tcBorders>
            <w:shd w:val="clear" w:color="auto" w:fill="auto"/>
            <w:vAlign w:val="center"/>
          </w:tcPr>
          <w:p w14:paraId="45B9F11E"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Category Competition</w:t>
            </w:r>
          </w:p>
        </w:tc>
        <w:tc>
          <w:tcPr>
            <w:tcW w:w="765" w:type="pct"/>
            <w:tcBorders>
              <w:top w:val="nil"/>
              <w:left w:val="nil"/>
              <w:bottom w:val="nil"/>
              <w:right w:val="nil"/>
            </w:tcBorders>
            <w:shd w:val="clear" w:color="auto" w:fill="auto"/>
            <w:vAlign w:val="bottom"/>
          </w:tcPr>
          <w:p w14:paraId="0963DB67" w14:textId="77777777" w:rsidR="007B03DB" w:rsidRPr="001E47AD" w:rsidRDefault="007B03DB" w:rsidP="00135B4A">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56E4A72E"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1CEE625C"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0402450" w14:textId="77777777" w:rsidR="007B03DB" w:rsidRPr="001E47AD" w:rsidRDefault="007B03DB" w:rsidP="00135B4A">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37BDD014" w14:textId="77777777" w:rsidR="007B03DB" w:rsidRPr="001E47AD" w:rsidRDefault="007B03DB" w:rsidP="00135B4A">
            <w:pPr>
              <w:jc w:val="right"/>
              <w:rPr>
                <w:rFonts w:ascii="Times New Roman" w:hAnsi="Times New Roman" w:cs="Times New Roman"/>
                <w:sz w:val="20"/>
                <w:szCs w:val="20"/>
              </w:rPr>
            </w:pPr>
          </w:p>
        </w:tc>
      </w:tr>
      <w:tr w:rsidR="007B03DB" w:rsidRPr="001E47AD" w14:paraId="1BA7099C" w14:textId="77777777" w:rsidTr="00135B4A">
        <w:tc>
          <w:tcPr>
            <w:tcW w:w="1224" w:type="pct"/>
            <w:tcBorders>
              <w:top w:val="nil"/>
              <w:left w:val="nil"/>
              <w:bottom w:val="nil"/>
              <w:right w:val="nil"/>
            </w:tcBorders>
            <w:shd w:val="clear" w:color="auto" w:fill="auto"/>
            <w:vAlign w:val="center"/>
          </w:tcPr>
          <w:p w14:paraId="5F3F80C6"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VOL_COUNTY</m:t>
                </m:r>
              </m:oMath>
            </m:oMathPara>
          </w:p>
        </w:tc>
        <w:tc>
          <w:tcPr>
            <w:tcW w:w="765" w:type="pct"/>
            <w:tcBorders>
              <w:top w:val="nil"/>
              <w:left w:val="nil"/>
              <w:bottom w:val="nil"/>
              <w:right w:val="nil"/>
            </w:tcBorders>
            <w:shd w:val="clear" w:color="auto" w:fill="auto"/>
            <w:vAlign w:val="bottom"/>
          </w:tcPr>
          <w:p w14:paraId="223C08B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1.584* (0.845)</w:t>
            </w:r>
          </w:p>
        </w:tc>
        <w:tc>
          <w:tcPr>
            <w:tcW w:w="753" w:type="pct"/>
            <w:tcBorders>
              <w:top w:val="nil"/>
              <w:left w:val="nil"/>
              <w:bottom w:val="nil"/>
              <w:right w:val="nil"/>
            </w:tcBorders>
            <w:shd w:val="clear" w:color="auto" w:fill="auto"/>
            <w:vAlign w:val="bottom"/>
          </w:tcPr>
          <w:p w14:paraId="7426433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-0.780 (0.815)</w:t>
            </w:r>
          </w:p>
        </w:tc>
        <w:tc>
          <w:tcPr>
            <w:tcW w:w="753" w:type="pct"/>
            <w:tcBorders>
              <w:top w:val="nil"/>
              <w:left w:val="nil"/>
              <w:bottom w:val="nil"/>
              <w:right w:val="nil"/>
            </w:tcBorders>
            <w:shd w:val="clear" w:color="auto" w:fill="auto"/>
            <w:vAlign w:val="bottom"/>
          </w:tcPr>
          <w:p w14:paraId="7AECA74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-0.906 (0.800)</w:t>
            </w:r>
          </w:p>
        </w:tc>
        <w:tc>
          <w:tcPr>
            <w:tcW w:w="753" w:type="pct"/>
            <w:tcBorders>
              <w:top w:val="nil"/>
              <w:left w:val="nil"/>
              <w:bottom w:val="nil"/>
              <w:right w:val="nil"/>
            </w:tcBorders>
            <w:shd w:val="clear" w:color="auto" w:fill="auto"/>
            <w:vAlign w:val="bottom"/>
          </w:tcPr>
          <w:p w14:paraId="63DA785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-0.785 (0.822)</w:t>
            </w:r>
          </w:p>
        </w:tc>
        <w:tc>
          <w:tcPr>
            <w:tcW w:w="752" w:type="pct"/>
            <w:tcBorders>
              <w:top w:val="nil"/>
              <w:left w:val="nil"/>
              <w:bottom w:val="nil"/>
              <w:right w:val="nil"/>
            </w:tcBorders>
            <w:shd w:val="clear" w:color="auto" w:fill="auto"/>
            <w:vAlign w:val="bottom"/>
          </w:tcPr>
          <w:p w14:paraId="4F4816FF"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0.961 (0.821)</w:t>
            </w:r>
          </w:p>
        </w:tc>
      </w:tr>
      <w:tr w:rsidR="007B03DB" w:rsidRPr="001E47AD" w14:paraId="64211B69" w14:textId="77777777" w:rsidTr="00135B4A">
        <w:tc>
          <w:tcPr>
            <w:tcW w:w="1224" w:type="pct"/>
            <w:tcBorders>
              <w:top w:val="nil"/>
              <w:left w:val="nil"/>
              <w:bottom w:val="nil"/>
              <w:right w:val="nil"/>
            </w:tcBorders>
            <w:shd w:val="clear" w:color="auto" w:fill="auto"/>
            <w:vAlign w:val="center"/>
          </w:tcPr>
          <w:p w14:paraId="72285865"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VOL_STATE</m:t>
                </m:r>
              </m:oMath>
            </m:oMathPara>
          </w:p>
        </w:tc>
        <w:tc>
          <w:tcPr>
            <w:tcW w:w="765" w:type="pct"/>
            <w:tcBorders>
              <w:top w:val="nil"/>
              <w:left w:val="nil"/>
              <w:bottom w:val="nil"/>
              <w:right w:val="nil"/>
            </w:tcBorders>
            <w:shd w:val="clear" w:color="auto" w:fill="auto"/>
            <w:vAlign w:val="bottom"/>
          </w:tcPr>
          <w:p w14:paraId="10D419C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-0.325* (0.180)</w:t>
            </w:r>
          </w:p>
        </w:tc>
        <w:tc>
          <w:tcPr>
            <w:tcW w:w="753" w:type="pct"/>
            <w:tcBorders>
              <w:top w:val="nil"/>
              <w:left w:val="nil"/>
              <w:bottom w:val="nil"/>
              <w:right w:val="nil"/>
            </w:tcBorders>
            <w:shd w:val="clear" w:color="auto" w:fill="auto"/>
            <w:vAlign w:val="bottom"/>
          </w:tcPr>
          <w:p w14:paraId="33ED76C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0.097 (0.172)</w:t>
            </w:r>
          </w:p>
        </w:tc>
        <w:tc>
          <w:tcPr>
            <w:tcW w:w="753" w:type="pct"/>
            <w:tcBorders>
              <w:top w:val="nil"/>
              <w:left w:val="nil"/>
              <w:bottom w:val="nil"/>
              <w:right w:val="nil"/>
            </w:tcBorders>
            <w:shd w:val="clear" w:color="auto" w:fill="auto"/>
            <w:vAlign w:val="bottom"/>
          </w:tcPr>
          <w:p w14:paraId="37F3875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-0.009 (0.169)</w:t>
            </w:r>
          </w:p>
        </w:tc>
        <w:tc>
          <w:tcPr>
            <w:tcW w:w="753" w:type="pct"/>
            <w:tcBorders>
              <w:top w:val="nil"/>
              <w:left w:val="nil"/>
              <w:bottom w:val="nil"/>
              <w:right w:val="nil"/>
            </w:tcBorders>
            <w:shd w:val="clear" w:color="auto" w:fill="auto"/>
            <w:vAlign w:val="bottom"/>
          </w:tcPr>
          <w:p w14:paraId="149AF70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0.195 (0.176)</w:t>
            </w:r>
          </w:p>
        </w:tc>
        <w:tc>
          <w:tcPr>
            <w:tcW w:w="752" w:type="pct"/>
            <w:tcBorders>
              <w:top w:val="nil"/>
              <w:left w:val="nil"/>
              <w:bottom w:val="nil"/>
              <w:right w:val="nil"/>
            </w:tcBorders>
            <w:shd w:val="clear" w:color="auto" w:fill="auto"/>
            <w:vAlign w:val="bottom"/>
          </w:tcPr>
          <w:p w14:paraId="1803C81F"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0.160 (0.177)</w:t>
            </w:r>
          </w:p>
        </w:tc>
      </w:tr>
      <w:tr w:rsidR="007B03DB" w:rsidRPr="001E47AD" w14:paraId="452C089C" w14:textId="77777777" w:rsidTr="00135B4A">
        <w:tc>
          <w:tcPr>
            <w:tcW w:w="1224" w:type="pct"/>
            <w:tcBorders>
              <w:top w:val="nil"/>
              <w:left w:val="nil"/>
              <w:bottom w:val="nil"/>
              <w:right w:val="nil"/>
            </w:tcBorders>
            <w:shd w:val="clear" w:color="auto" w:fill="auto"/>
            <w:vAlign w:val="center"/>
          </w:tcPr>
          <w:p w14:paraId="6525764A"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HHI_COUNTY</m:t>
                </m:r>
              </m:oMath>
            </m:oMathPara>
          </w:p>
        </w:tc>
        <w:tc>
          <w:tcPr>
            <w:tcW w:w="765" w:type="pct"/>
            <w:tcBorders>
              <w:top w:val="nil"/>
              <w:left w:val="nil"/>
              <w:bottom w:val="nil"/>
              <w:right w:val="nil"/>
            </w:tcBorders>
            <w:shd w:val="clear" w:color="auto" w:fill="auto"/>
            <w:vAlign w:val="bottom"/>
          </w:tcPr>
          <w:p w14:paraId="6937EB5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11.476* (6.173)</w:t>
            </w:r>
          </w:p>
        </w:tc>
        <w:tc>
          <w:tcPr>
            <w:tcW w:w="753" w:type="pct"/>
            <w:tcBorders>
              <w:top w:val="nil"/>
              <w:left w:val="nil"/>
              <w:bottom w:val="nil"/>
              <w:right w:val="nil"/>
            </w:tcBorders>
            <w:shd w:val="clear" w:color="auto" w:fill="auto"/>
            <w:vAlign w:val="bottom"/>
          </w:tcPr>
          <w:p w14:paraId="214C6F7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-9.440 (5.872)</w:t>
            </w:r>
          </w:p>
        </w:tc>
        <w:tc>
          <w:tcPr>
            <w:tcW w:w="753" w:type="pct"/>
            <w:tcBorders>
              <w:top w:val="nil"/>
              <w:left w:val="nil"/>
              <w:bottom w:val="nil"/>
              <w:right w:val="nil"/>
            </w:tcBorders>
            <w:shd w:val="clear" w:color="auto" w:fill="auto"/>
            <w:vAlign w:val="bottom"/>
          </w:tcPr>
          <w:p w14:paraId="0C5D735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-10.353* (5.789)</w:t>
            </w:r>
          </w:p>
        </w:tc>
        <w:tc>
          <w:tcPr>
            <w:tcW w:w="753" w:type="pct"/>
            <w:tcBorders>
              <w:top w:val="nil"/>
              <w:left w:val="nil"/>
              <w:bottom w:val="nil"/>
              <w:right w:val="nil"/>
            </w:tcBorders>
            <w:shd w:val="clear" w:color="auto" w:fill="auto"/>
            <w:vAlign w:val="bottom"/>
          </w:tcPr>
          <w:p w14:paraId="781F7AA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-3.987 (5.934)</w:t>
            </w:r>
          </w:p>
        </w:tc>
        <w:tc>
          <w:tcPr>
            <w:tcW w:w="752" w:type="pct"/>
            <w:tcBorders>
              <w:top w:val="nil"/>
              <w:left w:val="nil"/>
              <w:bottom w:val="nil"/>
              <w:right w:val="nil"/>
            </w:tcBorders>
            <w:shd w:val="clear" w:color="auto" w:fill="auto"/>
            <w:vAlign w:val="bottom"/>
          </w:tcPr>
          <w:p w14:paraId="6AB1E1B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-18.938** (5.971)</w:t>
            </w:r>
          </w:p>
        </w:tc>
      </w:tr>
      <w:tr w:rsidR="007B03DB" w:rsidRPr="001E47AD" w14:paraId="22C5986E" w14:textId="77777777" w:rsidTr="00135B4A">
        <w:tc>
          <w:tcPr>
            <w:tcW w:w="1224" w:type="pct"/>
            <w:tcBorders>
              <w:top w:val="nil"/>
              <w:left w:val="nil"/>
              <w:bottom w:val="nil"/>
              <w:right w:val="nil"/>
            </w:tcBorders>
            <w:shd w:val="clear" w:color="auto" w:fill="auto"/>
            <w:vAlign w:val="center"/>
          </w:tcPr>
          <w:p w14:paraId="4553232F"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HHI_STATE</m:t>
                </m:r>
              </m:oMath>
            </m:oMathPara>
          </w:p>
        </w:tc>
        <w:tc>
          <w:tcPr>
            <w:tcW w:w="765" w:type="pct"/>
            <w:tcBorders>
              <w:top w:val="nil"/>
              <w:left w:val="nil"/>
              <w:bottom w:val="nil"/>
              <w:right w:val="nil"/>
            </w:tcBorders>
            <w:shd w:val="clear" w:color="auto" w:fill="auto"/>
            <w:vAlign w:val="bottom"/>
          </w:tcPr>
          <w:p w14:paraId="2179AC1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513.681*** (122.087)</w:t>
            </w:r>
          </w:p>
        </w:tc>
        <w:tc>
          <w:tcPr>
            <w:tcW w:w="753" w:type="pct"/>
            <w:tcBorders>
              <w:top w:val="nil"/>
              <w:left w:val="nil"/>
              <w:bottom w:val="nil"/>
              <w:right w:val="nil"/>
            </w:tcBorders>
            <w:shd w:val="clear" w:color="auto" w:fill="auto"/>
            <w:vAlign w:val="bottom"/>
          </w:tcPr>
          <w:p w14:paraId="53CC15BF"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249.763* (116.603)</w:t>
            </w:r>
          </w:p>
        </w:tc>
        <w:tc>
          <w:tcPr>
            <w:tcW w:w="753" w:type="pct"/>
            <w:tcBorders>
              <w:top w:val="nil"/>
              <w:left w:val="nil"/>
              <w:bottom w:val="nil"/>
              <w:right w:val="nil"/>
            </w:tcBorders>
            <w:shd w:val="clear" w:color="auto" w:fill="auto"/>
            <w:vAlign w:val="bottom"/>
          </w:tcPr>
          <w:p w14:paraId="576B11F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100.891 (114.892)</w:t>
            </w:r>
          </w:p>
        </w:tc>
        <w:tc>
          <w:tcPr>
            <w:tcW w:w="753" w:type="pct"/>
            <w:tcBorders>
              <w:top w:val="nil"/>
              <w:left w:val="nil"/>
              <w:bottom w:val="nil"/>
              <w:right w:val="nil"/>
            </w:tcBorders>
            <w:shd w:val="clear" w:color="auto" w:fill="auto"/>
            <w:vAlign w:val="bottom"/>
          </w:tcPr>
          <w:p w14:paraId="419DC2F8"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86.463 (117.902)</w:t>
            </w:r>
          </w:p>
        </w:tc>
        <w:tc>
          <w:tcPr>
            <w:tcW w:w="752" w:type="pct"/>
            <w:tcBorders>
              <w:top w:val="nil"/>
              <w:left w:val="nil"/>
              <w:bottom w:val="nil"/>
              <w:right w:val="nil"/>
            </w:tcBorders>
            <w:shd w:val="clear" w:color="auto" w:fill="auto"/>
            <w:vAlign w:val="bottom"/>
          </w:tcPr>
          <w:p w14:paraId="5C4D767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217.075* (118.501)</w:t>
            </w:r>
          </w:p>
        </w:tc>
      </w:tr>
      <w:tr w:rsidR="007B03DB" w:rsidRPr="001E47AD" w14:paraId="11D5DBF4" w14:textId="77777777" w:rsidTr="00135B4A">
        <w:tc>
          <w:tcPr>
            <w:tcW w:w="1224" w:type="pct"/>
            <w:tcBorders>
              <w:top w:val="nil"/>
              <w:left w:val="nil"/>
              <w:bottom w:val="nil"/>
              <w:right w:val="nil"/>
            </w:tcBorders>
            <w:vAlign w:val="center"/>
          </w:tcPr>
          <w:p w14:paraId="11758377" w14:textId="77777777" w:rsidR="007B03DB" w:rsidRPr="001E47AD" w:rsidRDefault="007B03DB" w:rsidP="00135B4A">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Geodemographic Feature</w:t>
            </w:r>
          </w:p>
        </w:tc>
        <w:tc>
          <w:tcPr>
            <w:tcW w:w="765" w:type="pct"/>
            <w:tcBorders>
              <w:top w:val="nil"/>
              <w:left w:val="nil"/>
              <w:bottom w:val="nil"/>
              <w:right w:val="nil"/>
            </w:tcBorders>
            <w:vAlign w:val="bottom"/>
          </w:tcPr>
          <w:p w14:paraId="644114FD"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vAlign w:val="bottom"/>
          </w:tcPr>
          <w:p w14:paraId="2FCF26EC"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3914EC9F" w14:textId="77777777" w:rsidR="007B03DB" w:rsidRPr="001E47AD" w:rsidRDefault="007B03DB" w:rsidP="00135B4A">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72C67523" w14:textId="77777777" w:rsidR="007B03DB" w:rsidRPr="001E47AD" w:rsidRDefault="007B03DB" w:rsidP="00135B4A">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vAlign w:val="bottom"/>
          </w:tcPr>
          <w:p w14:paraId="4288B6B3" w14:textId="77777777" w:rsidR="007B03DB" w:rsidRPr="001E47AD" w:rsidRDefault="007B03DB" w:rsidP="00135B4A">
            <w:pPr>
              <w:contextualSpacing/>
              <w:jc w:val="right"/>
              <w:rPr>
                <w:rFonts w:ascii="Times New Roman" w:hAnsi="Times New Roman" w:cs="Times New Roman"/>
                <w:spacing w:val="-5"/>
                <w:sz w:val="16"/>
                <w:szCs w:val="16"/>
              </w:rPr>
            </w:pPr>
          </w:p>
        </w:tc>
      </w:tr>
      <w:tr w:rsidR="007B03DB" w:rsidRPr="001E47AD" w14:paraId="210A5616" w14:textId="77777777" w:rsidTr="00135B4A">
        <w:tc>
          <w:tcPr>
            <w:tcW w:w="1224" w:type="pct"/>
            <w:tcBorders>
              <w:top w:val="nil"/>
              <w:left w:val="nil"/>
              <w:bottom w:val="nil"/>
              <w:right w:val="nil"/>
            </w:tcBorders>
            <w:vAlign w:val="center"/>
          </w:tcPr>
          <w:p w14:paraId="5463DAD5"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POP_DEN_COUNTY</m:t>
                </m:r>
              </m:oMath>
            </m:oMathPara>
          </w:p>
        </w:tc>
        <w:tc>
          <w:tcPr>
            <w:tcW w:w="765" w:type="pct"/>
            <w:tcBorders>
              <w:top w:val="nil"/>
              <w:left w:val="nil"/>
              <w:bottom w:val="nil"/>
              <w:right w:val="nil"/>
            </w:tcBorders>
            <w:shd w:val="clear" w:color="auto" w:fill="auto"/>
            <w:vAlign w:val="bottom"/>
          </w:tcPr>
          <w:p w14:paraId="15CF0A41" w14:textId="77777777" w:rsidR="007B03DB" w:rsidRPr="001E47AD" w:rsidRDefault="007B03DB" w:rsidP="00135B4A">
            <w:pPr>
              <w:jc w:val="right"/>
              <w:rPr>
                <w:rFonts w:ascii="Times New Roman" w:hAnsi="Times New Roman" w:cs="Times New Roman"/>
                <w:sz w:val="16"/>
                <w:szCs w:val="16"/>
                <w:lang w:val="en-CA"/>
              </w:rPr>
            </w:pPr>
            <w:r w:rsidRPr="001E47AD">
              <w:rPr>
                <w:rFonts w:ascii="Times New Roman" w:hAnsi="Times New Roman" w:cs="Times New Roman"/>
                <w:sz w:val="16"/>
                <w:szCs w:val="16"/>
              </w:rPr>
              <w:t>0.064** (0.020)</w:t>
            </w:r>
          </w:p>
        </w:tc>
        <w:tc>
          <w:tcPr>
            <w:tcW w:w="753" w:type="pct"/>
            <w:tcBorders>
              <w:top w:val="nil"/>
              <w:left w:val="nil"/>
              <w:bottom w:val="nil"/>
              <w:right w:val="nil"/>
            </w:tcBorders>
            <w:shd w:val="clear" w:color="auto" w:fill="auto"/>
            <w:vAlign w:val="bottom"/>
          </w:tcPr>
          <w:p w14:paraId="42C9102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0.106*** (0.019)</w:t>
            </w:r>
          </w:p>
        </w:tc>
        <w:tc>
          <w:tcPr>
            <w:tcW w:w="753" w:type="pct"/>
            <w:tcBorders>
              <w:top w:val="nil"/>
              <w:left w:val="nil"/>
              <w:bottom w:val="nil"/>
              <w:right w:val="nil"/>
            </w:tcBorders>
            <w:shd w:val="clear" w:color="auto" w:fill="auto"/>
            <w:vAlign w:val="bottom"/>
          </w:tcPr>
          <w:p w14:paraId="367E1012"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0.102*** (0.019)</w:t>
            </w:r>
          </w:p>
        </w:tc>
        <w:tc>
          <w:tcPr>
            <w:tcW w:w="753" w:type="pct"/>
            <w:tcBorders>
              <w:top w:val="nil"/>
              <w:left w:val="nil"/>
              <w:bottom w:val="nil"/>
              <w:right w:val="nil"/>
            </w:tcBorders>
            <w:shd w:val="clear" w:color="auto" w:fill="auto"/>
            <w:vAlign w:val="bottom"/>
          </w:tcPr>
          <w:p w14:paraId="1D3B633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0.122*** (0.019)</w:t>
            </w:r>
          </w:p>
        </w:tc>
        <w:tc>
          <w:tcPr>
            <w:tcW w:w="752" w:type="pct"/>
            <w:tcBorders>
              <w:top w:val="nil"/>
              <w:left w:val="nil"/>
              <w:bottom w:val="nil"/>
              <w:right w:val="nil"/>
            </w:tcBorders>
            <w:shd w:val="clear" w:color="auto" w:fill="auto"/>
            <w:vAlign w:val="bottom"/>
          </w:tcPr>
          <w:p w14:paraId="0A595B2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0.113*** (0.019)</w:t>
            </w:r>
          </w:p>
        </w:tc>
      </w:tr>
      <w:tr w:rsidR="007B03DB" w:rsidRPr="001E47AD" w14:paraId="4C00B773" w14:textId="77777777" w:rsidTr="00135B4A">
        <w:tc>
          <w:tcPr>
            <w:tcW w:w="1224" w:type="pct"/>
            <w:tcBorders>
              <w:top w:val="nil"/>
              <w:left w:val="nil"/>
              <w:bottom w:val="nil"/>
              <w:right w:val="nil"/>
            </w:tcBorders>
            <w:vAlign w:val="center"/>
          </w:tcPr>
          <w:p w14:paraId="249553F3"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POP_DEN_STATE</m:t>
                </m:r>
              </m:oMath>
            </m:oMathPara>
          </w:p>
        </w:tc>
        <w:tc>
          <w:tcPr>
            <w:tcW w:w="765" w:type="pct"/>
            <w:tcBorders>
              <w:top w:val="nil"/>
              <w:left w:val="nil"/>
              <w:bottom w:val="nil"/>
              <w:right w:val="nil"/>
            </w:tcBorders>
            <w:shd w:val="clear" w:color="auto" w:fill="auto"/>
            <w:vAlign w:val="bottom"/>
          </w:tcPr>
          <w:p w14:paraId="0FC24F7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-0.238 (0.164)</w:t>
            </w:r>
          </w:p>
        </w:tc>
        <w:tc>
          <w:tcPr>
            <w:tcW w:w="753" w:type="pct"/>
            <w:tcBorders>
              <w:top w:val="nil"/>
              <w:left w:val="nil"/>
              <w:bottom w:val="nil"/>
              <w:right w:val="nil"/>
            </w:tcBorders>
            <w:shd w:val="clear" w:color="auto" w:fill="auto"/>
            <w:vAlign w:val="bottom"/>
          </w:tcPr>
          <w:p w14:paraId="2C6F7F4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-0.107 (0.157)</w:t>
            </w:r>
          </w:p>
        </w:tc>
        <w:tc>
          <w:tcPr>
            <w:tcW w:w="753" w:type="pct"/>
            <w:tcBorders>
              <w:top w:val="nil"/>
              <w:left w:val="nil"/>
              <w:bottom w:val="nil"/>
              <w:right w:val="nil"/>
            </w:tcBorders>
            <w:shd w:val="clear" w:color="auto" w:fill="auto"/>
            <w:vAlign w:val="bottom"/>
          </w:tcPr>
          <w:p w14:paraId="4C732BC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0.056 (0.153)</w:t>
            </w:r>
          </w:p>
        </w:tc>
        <w:tc>
          <w:tcPr>
            <w:tcW w:w="753" w:type="pct"/>
            <w:tcBorders>
              <w:top w:val="nil"/>
              <w:left w:val="nil"/>
              <w:bottom w:val="nil"/>
              <w:right w:val="nil"/>
            </w:tcBorders>
            <w:shd w:val="clear" w:color="auto" w:fill="auto"/>
            <w:vAlign w:val="bottom"/>
          </w:tcPr>
          <w:p w14:paraId="7963285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0.106 (0.157)</w:t>
            </w:r>
          </w:p>
        </w:tc>
        <w:tc>
          <w:tcPr>
            <w:tcW w:w="752" w:type="pct"/>
            <w:tcBorders>
              <w:top w:val="nil"/>
              <w:left w:val="nil"/>
              <w:bottom w:val="nil"/>
              <w:right w:val="nil"/>
            </w:tcBorders>
            <w:shd w:val="clear" w:color="auto" w:fill="auto"/>
            <w:vAlign w:val="bottom"/>
          </w:tcPr>
          <w:p w14:paraId="6C10650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-0.060 (0.158)</w:t>
            </w:r>
          </w:p>
        </w:tc>
      </w:tr>
      <w:tr w:rsidR="007B03DB" w:rsidRPr="001E47AD" w14:paraId="20FDB1B1" w14:textId="77777777" w:rsidTr="00135B4A">
        <w:tc>
          <w:tcPr>
            <w:tcW w:w="1224" w:type="pct"/>
            <w:tcBorders>
              <w:top w:val="nil"/>
              <w:left w:val="nil"/>
              <w:bottom w:val="nil"/>
              <w:right w:val="nil"/>
            </w:tcBorders>
            <w:vAlign w:val="center"/>
          </w:tcPr>
          <w:p w14:paraId="528AA4FF"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LAND_AREA_COUNTY</m:t>
                </m:r>
              </m:oMath>
            </m:oMathPara>
          </w:p>
        </w:tc>
        <w:tc>
          <w:tcPr>
            <w:tcW w:w="765" w:type="pct"/>
            <w:tcBorders>
              <w:top w:val="nil"/>
              <w:left w:val="nil"/>
              <w:bottom w:val="nil"/>
              <w:right w:val="nil"/>
            </w:tcBorders>
            <w:shd w:val="clear" w:color="auto" w:fill="auto"/>
            <w:vAlign w:val="bottom"/>
          </w:tcPr>
          <w:p w14:paraId="2BE8ABE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1.319*** (0.267)</w:t>
            </w:r>
          </w:p>
        </w:tc>
        <w:tc>
          <w:tcPr>
            <w:tcW w:w="753" w:type="pct"/>
            <w:tcBorders>
              <w:top w:val="nil"/>
              <w:left w:val="nil"/>
              <w:bottom w:val="nil"/>
              <w:right w:val="nil"/>
            </w:tcBorders>
            <w:shd w:val="clear" w:color="auto" w:fill="auto"/>
            <w:vAlign w:val="bottom"/>
          </w:tcPr>
          <w:p w14:paraId="1817413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0.251 (0.251)</w:t>
            </w:r>
          </w:p>
        </w:tc>
        <w:tc>
          <w:tcPr>
            <w:tcW w:w="753" w:type="pct"/>
            <w:tcBorders>
              <w:top w:val="nil"/>
              <w:left w:val="nil"/>
              <w:bottom w:val="nil"/>
              <w:right w:val="nil"/>
            </w:tcBorders>
            <w:shd w:val="clear" w:color="auto" w:fill="auto"/>
            <w:vAlign w:val="bottom"/>
          </w:tcPr>
          <w:p w14:paraId="4F2CB5D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0.256 (0.247)</w:t>
            </w:r>
          </w:p>
        </w:tc>
        <w:tc>
          <w:tcPr>
            <w:tcW w:w="753" w:type="pct"/>
            <w:tcBorders>
              <w:top w:val="nil"/>
              <w:left w:val="nil"/>
              <w:bottom w:val="nil"/>
              <w:right w:val="nil"/>
            </w:tcBorders>
            <w:shd w:val="clear" w:color="auto" w:fill="auto"/>
            <w:vAlign w:val="bottom"/>
          </w:tcPr>
          <w:p w14:paraId="0148C61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0.107 (0.255)</w:t>
            </w:r>
          </w:p>
        </w:tc>
        <w:tc>
          <w:tcPr>
            <w:tcW w:w="752" w:type="pct"/>
            <w:tcBorders>
              <w:top w:val="nil"/>
              <w:left w:val="nil"/>
              <w:bottom w:val="nil"/>
              <w:right w:val="nil"/>
            </w:tcBorders>
            <w:shd w:val="clear" w:color="auto" w:fill="auto"/>
            <w:vAlign w:val="bottom"/>
          </w:tcPr>
          <w:p w14:paraId="5FE2F5D4"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0.374 (0.258)</w:t>
            </w:r>
          </w:p>
        </w:tc>
      </w:tr>
      <w:tr w:rsidR="007B03DB" w:rsidRPr="001E47AD" w14:paraId="2B8C7AB4" w14:textId="77777777" w:rsidTr="00135B4A">
        <w:tc>
          <w:tcPr>
            <w:tcW w:w="1224" w:type="pct"/>
            <w:tcBorders>
              <w:top w:val="nil"/>
              <w:left w:val="nil"/>
              <w:bottom w:val="nil"/>
              <w:right w:val="nil"/>
            </w:tcBorders>
            <w:vAlign w:val="center"/>
          </w:tcPr>
          <w:p w14:paraId="3F9692EA"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LAND_AREA_STATE</m:t>
                </m:r>
              </m:oMath>
            </m:oMathPara>
          </w:p>
        </w:tc>
        <w:tc>
          <w:tcPr>
            <w:tcW w:w="765" w:type="pct"/>
            <w:tcBorders>
              <w:top w:val="nil"/>
              <w:left w:val="nil"/>
              <w:bottom w:val="nil"/>
              <w:right w:val="nil"/>
            </w:tcBorders>
            <w:shd w:val="clear" w:color="auto" w:fill="auto"/>
            <w:vAlign w:val="bottom"/>
          </w:tcPr>
          <w:p w14:paraId="0E8EFD04"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0.122*** (0.023)</w:t>
            </w:r>
          </w:p>
        </w:tc>
        <w:tc>
          <w:tcPr>
            <w:tcW w:w="753" w:type="pct"/>
            <w:tcBorders>
              <w:top w:val="nil"/>
              <w:left w:val="nil"/>
              <w:bottom w:val="nil"/>
              <w:right w:val="nil"/>
            </w:tcBorders>
            <w:shd w:val="clear" w:color="auto" w:fill="auto"/>
            <w:vAlign w:val="bottom"/>
          </w:tcPr>
          <w:p w14:paraId="1E8D4C6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-0.022 (0.022)</w:t>
            </w:r>
          </w:p>
        </w:tc>
        <w:tc>
          <w:tcPr>
            <w:tcW w:w="753" w:type="pct"/>
            <w:tcBorders>
              <w:top w:val="nil"/>
              <w:left w:val="nil"/>
              <w:bottom w:val="nil"/>
              <w:right w:val="nil"/>
            </w:tcBorders>
            <w:shd w:val="clear" w:color="auto" w:fill="auto"/>
            <w:vAlign w:val="bottom"/>
          </w:tcPr>
          <w:p w14:paraId="2DB9165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-0.026 (0.021)</w:t>
            </w:r>
          </w:p>
        </w:tc>
        <w:tc>
          <w:tcPr>
            <w:tcW w:w="753" w:type="pct"/>
            <w:tcBorders>
              <w:top w:val="nil"/>
              <w:left w:val="nil"/>
              <w:bottom w:val="nil"/>
              <w:right w:val="nil"/>
            </w:tcBorders>
            <w:shd w:val="clear" w:color="auto" w:fill="auto"/>
            <w:vAlign w:val="bottom"/>
          </w:tcPr>
          <w:p w14:paraId="309AB1F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0.018 (0.022)</w:t>
            </w:r>
          </w:p>
        </w:tc>
        <w:tc>
          <w:tcPr>
            <w:tcW w:w="752" w:type="pct"/>
            <w:tcBorders>
              <w:top w:val="nil"/>
              <w:left w:val="nil"/>
              <w:bottom w:val="nil"/>
              <w:right w:val="nil"/>
            </w:tcBorders>
            <w:shd w:val="clear" w:color="auto" w:fill="auto"/>
            <w:vAlign w:val="bottom"/>
          </w:tcPr>
          <w:p w14:paraId="39A93614"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-0.030 (0.022)</w:t>
            </w:r>
          </w:p>
        </w:tc>
      </w:tr>
      <w:tr w:rsidR="007B03DB" w:rsidRPr="001E47AD" w14:paraId="26EE1DD2" w14:textId="77777777" w:rsidTr="00135B4A">
        <w:tc>
          <w:tcPr>
            <w:tcW w:w="1224" w:type="pct"/>
            <w:tcBorders>
              <w:top w:val="nil"/>
              <w:left w:val="nil"/>
              <w:bottom w:val="nil"/>
              <w:right w:val="nil"/>
            </w:tcBorders>
            <w:vAlign w:val="center"/>
          </w:tcPr>
          <w:p w14:paraId="474C1246"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w:lastRenderedPageBreak/>
                  <m:t>WATER_AREA_COUNTY</m:t>
                </m:r>
              </m:oMath>
            </m:oMathPara>
          </w:p>
        </w:tc>
        <w:tc>
          <w:tcPr>
            <w:tcW w:w="765" w:type="pct"/>
            <w:tcBorders>
              <w:top w:val="nil"/>
              <w:left w:val="nil"/>
              <w:bottom w:val="nil"/>
              <w:right w:val="nil"/>
            </w:tcBorders>
            <w:shd w:val="clear" w:color="auto" w:fill="auto"/>
            <w:vAlign w:val="bottom"/>
          </w:tcPr>
          <w:p w14:paraId="4C65DAD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-2.705*** (0.469)</w:t>
            </w:r>
          </w:p>
        </w:tc>
        <w:tc>
          <w:tcPr>
            <w:tcW w:w="753" w:type="pct"/>
            <w:tcBorders>
              <w:top w:val="nil"/>
              <w:left w:val="nil"/>
              <w:bottom w:val="nil"/>
              <w:right w:val="nil"/>
            </w:tcBorders>
            <w:shd w:val="clear" w:color="auto" w:fill="auto"/>
            <w:vAlign w:val="bottom"/>
          </w:tcPr>
          <w:p w14:paraId="7A88B0D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-0.132 (0.447)</w:t>
            </w:r>
          </w:p>
        </w:tc>
        <w:tc>
          <w:tcPr>
            <w:tcW w:w="753" w:type="pct"/>
            <w:tcBorders>
              <w:top w:val="nil"/>
              <w:left w:val="nil"/>
              <w:bottom w:val="nil"/>
              <w:right w:val="nil"/>
            </w:tcBorders>
            <w:shd w:val="clear" w:color="auto" w:fill="auto"/>
            <w:vAlign w:val="bottom"/>
          </w:tcPr>
          <w:p w14:paraId="68F5CA7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-1.072* (0.440)</w:t>
            </w:r>
          </w:p>
        </w:tc>
        <w:tc>
          <w:tcPr>
            <w:tcW w:w="753" w:type="pct"/>
            <w:tcBorders>
              <w:top w:val="nil"/>
              <w:left w:val="nil"/>
              <w:bottom w:val="nil"/>
              <w:right w:val="nil"/>
            </w:tcBorders>
            <w:shd w:val="clear" w:color="auto" w:fill="auto"/>
            <w:vAlign w:val="bottom"/>
          </w:tcPr>
          <w:p w14:paraId="3864989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-0.051 (0.451)</w:t>
            </w:r>
          </w:p>
        </w:tc>
        <w:tc>
          <w:tcPr>
            <w:tcW w:w="752" w:type="pct"/>
            <w:tcBorders>
              <w:top w:val="nil"/>
              <w:left w:val="nil"/>
              <w:bottom w:val="nil"/>
              <w:right w:val="nil"/>
            </w:tcBorders>
            <w:shd w:val="clear" w:color="auto" w:fill="auto"/>
            <w:vAlign w:val="bottom"/>
          </w:tcPr>
          <w:p w14:paraId="063E812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-0.664 (0.454)</w:t>
            </w:r>
          </w:p>
        </w:tc>
      </w:tr>
      <w:tr w:rsidR="007B03DB" w:rsidRPr="001E47AD" w14:paraId="0843FE02" w14:textId="77777777" w:rsidTr="00135B4A">
        <w:tc>
          <w:tcPr>
            <w:tcW w:w="1224" w:type="pct"/>
            <w:tcBorders>
              <w:top w:val="nil"/>
              <w:left w:val="nil"/>
              <w:bottom w:val="nil"/>
              <w:right w:val="nil"/>
            </w:tcBorders>
            <w:vAlign w:val="center"/>
          </w:tcPr>
          <w:p w14:paraId="17FADAE8"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WATER_AREA_STATE</m:t>
                </m:r>
              </m:oMath>
            </m:oMathPara>
          </w:p>
        </w:tc>
        <w:tc>
          <w:tcPr>
            <w:tcW w:w="765" w:type="pct"/>
            <w:tcBorders>
              <w:top w:val="nil"/>
              <w:left w:val="nil"/>
              <w:bottom w:val="nil"/>
              <w:right w:val="nil"/>
            </w:tcBorders>
            <w:shd w:val="clear" w:color="auto" w:fill="auto"/>
            <w:vAlign w:val="bottom"/>
          </w:tcPr>
          <w:p w14:paraId="0DACB30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-0.009 (0.059)</w:t>
            </w:r>
          </w:p>
        </w:tc>
        <w:tc>
          <w:tcPr>
            <w:tcW w:w="753" w:type="pct"/>
            <w:tcBorders>
              <w:top w:val="nil"/>
              <w:left w:val="nil"/>
              <w:bottom w:val="nil"/>
              <w:right w:val="nil"/>
            </w:tcBorders>
            <w:shd w:val="clear" w:color="auto" w:fill="auto"/>
            <w:vAlign w:val="bottom"/>
          </w:tcPr>
          <w:p w14:paraId="355DB91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0.177** (0.056)</w:t>
            </w:r>
          </w:p>
        </w:tc>
        <w:tc>
          <w:tcPr>
            <w:tcW w:w="753" w:type="pct"/>
            <w:tcBorders>
              <w:top w:val="nil"/>
              <w:left w:val="nil"/>
              <w:bottom w:val="nil"/>
              <w:right w:val="nil"/>
            </w:tcBorders>
            <w:shd w:val="clear" w:color="auto" w:fill="auto"/>
            <w:vAlign w:val="bottom"/>
          </w:tcPr>
          <w:p w14:paraId="67935AA2"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0.177** (0.055)</w:t>
            </w:r>
          </w:p>
        </w:tc>
        <w:tc>
          <w:tcPr>
            <w:tcW w:w="753" w:type="pct"/>
            <w:tcBorders>
              <w:top w:val="nil"/>
              <w:left w:val="nil"/>
              <w:bottom w:val="nil"/>
              <w:right w:val="nil"/>
            </w:tcBorders>
            <w:shd w:val="clear" w:color="auto" w:fill="auto"/>
            <w:vAlign w:val="bottom"/>
          </w:tcPr>
          <w:p w14:paraId="1B08F58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0.060 (0.056)</w:t>
            </w:r>
          </w:p>
        </w:tc>
        <w:tc>
          <w:tcPr>
            <w:tcW w:w="752" w:type="pct"/>
            <w:tcBorders>
              <w:top w:val="nil"/>
              <w:left w:val="nil"/>
              <w:bottom w:val="nil"/>
              <w:right w:val="nil"/>
            </w:tcBorders>
            <w:shd w:val="clear" w:color="auto" w:fill="auto"/>
            <w:vAlign w:val="bottom"/>
          </w:tcPr>
          <w:p w14:paraId="41C045D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0.108* (0.057)</w:t>
            </w:r>
          </w:p>
        </w:tc>
      </w:tr>
      <w:tr w:rsidR="007B03DB" w:rsidRPr="001E47AD" w14:paraId="3C1FB62B" w14:textId="77777777" w:rsidTr="00135B4A">
        <w:tc>
          <w:tcPr>
            <w:tcW w:w="1224" w:type="pct"/>
            <w:tcBorders>
              <w:top w:val="nil"/>
              <w:left w:val="nil"/>
              <w:bottom w:val="nil"/>
              <w:right w:val="nil"/>
            </w:tcBorders>
            <w:shd w:val="clear" w:color="auto" w:fill="auto"/>
            <w:vAlign w:val="center"/>
          </w:tcPr>
          <w:p w14:paraId="33744F58" w14:textId="77777777" w:rsidR="007B03DB" w:rsidRPr="001E47AD" w:rsidRDefault="007B03DB" w:rsidP="00135B4A">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u w:val="single"/>
              </w:rPr>
              <w:t>Changes in Sales Volume</w:t>
            </w:r>
          </w:p>
        </w:tc>
        <w:tc>
          <w:tcPr>
            <w:tcW w:w="765" w:type="pct"/>
            <w:tcBorders>
              <w:top w:val="nil"/>
              <w:left w:val="nil"/>
              <w:bottom w:val="nil"/>
              <w:right w:val="nil"/>
            </w:tcBorders>
            <w:shd w:val="clear" w:color="auto" w:fill="auto"/>
            <w:vAlign w:val="bottom"/>
          </w:tcPr>
          <w:p w14:paraId="1014BACA" w14:textId="77777777" w:rsidR="007B03DB" w:rsidRPr="001E47AD" w:rsidRDefault="007B03DB" w:rsidP="00135B4A">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064E865E"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D85735B" w14:textId="77777777" w:rsidR="007B03DB" w:rsidRPr="001E47AD" w:rsidRDefault="007B03DB" w:rsidP="00135B4A">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53A72E2B" w14:textId="77777777" w:rsidR="007B03DB" w:rsidRPr="001E47AD" w:rsidRDefault="007B03DB" w:rsidP="00135B4A">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4FA305BB" w14:textId="77777777" w:rsidR="007B03DB" w:rsidRPr="001E47AD" w:rsidRDefault="007B03DB" w:rsidP="00135B4A">
            <w:pPr>
              <w:jc w:val="right"/>
              <w:rPr>
                <w:rFonts w:ascii="Times New Roman" w:hAnsi="Times New Roman" w:cs="Times New Roman"/>
                <w:sz w:val="20"/>
                <w:szCs w:val="20"/>
              </w:rPr>
            </w:pPr>
          </w:p>
        </w:tc>
      </w:tr>
      <w:tr w:rsidR="007B03DB" w:rsidRPr="001E47AD" w14:paraId="457F6A1D" w14:textId="77777777" w:rsidTr="00135B4A">
        <w:tc>
          <w:tcPr>
            <w:tcW w:w="1224" w:type="pct"/>
            <w:tcBorders>
              <w:top w:val="nil"/>
              <w:left w:val="nil"/>
              <w:bottom w:val="nil"/>
              <w:right w:val="nil"/>
            </w:tcBorders>
            <w:shd w:val="clear" w:color="auto" w:fill="auto"/>
            <w:vAlign w:val="center"/>
          </w:tcPr>
          <w:p w14:paraId="279C644B" w14:textId="77777777" w:rsidR="007B03DB" w:rsidRPr="001E47AD" w:rsidRDefault="007B03DB" w:rsidP="00135B4A">
            <w:pPr>
              <w:contextualSpacing/>
              <w:jc w:val="both"/>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CHANGE_VOL_LATE</m:t>
                </m:r>
              </m:oMath>
            </m:oMathPara>
          </w:p>
        </w:tc>
        <w:tc>
          <w:tcPr>
            <w:tcW w:w="765" w:type="pct"/>
            <w:tcBorders>
              <w:top w:val="nil"/>
              <w:left w:val="nil"/>
              <w:bottom w:val="nil"/>
              <w:right w:val="nil"/>
            </w:tcBorders>
            <w:shd w:val="clear" w:color="auto" w:fill="auto"/>
            <w:vAlign w:val="bottom"/>
          </w:tcPr>
          <w:p w14:paraId="35C04E77"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1.160*** (0.071)</w:t>
            </w:r>
          </w:p>
        </w:tc>
        <w:tc>
          <w:tcPr>
            <w:tcW w:w="753" w:type="pct"/>
            <w:tcBorders>
              <w:top w:val="nil"/>
              <w:left w:val="nil"/>
              <w:bottom w:val="nil"/>
              <w:right w:val="nil"/>
            </w:tcBorders>
            <w:shd w:val="clear" w:color="auto" w:fill="auto"/>
            <w:vAlign w:val="bottom"/>
          </w:tcPr>
          <w:p w14:paraId="2D8EEE11"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5F4FDCEA"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15DAD59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074036B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7B03DB" w:rsidRPr="001E47AD" w14:paraId="1707606D" w14:textId="77777777" w:rsidTr="00135B4A">
        <w:tc>
          <w:tcPr>
            <w:tcW w:w="1224" w:type="pct"/>
            <w:tcBorders>
              <w:top w:val="nil"/>
              <w:left w:val="nil"/>
              <w:bottom w:val="nil"/>
              <w:right w:val="nil"/>
            </w:tcBorders>
            <w:shd w:val="clear" w:color="auto" w:fill="auto"/>
            <w:vAlign w:val="center"/>
          </w:tcPr>
          <w:p w14:paraId="4416A264"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CHANGE_VOL_POST_W1</m:t>
                </m:r>
              </m:oMath>
            </m:oMathPara>
          </w:p>
        </w:tc>
        <w:tc>
          <w:tcPr>
            <w:tcW w:w="765" w:type="pct"/>
            <w:tcBorders>
              <w:top w:val="nil"/>
              <w:left w:val="nil"/>
              <w:bottom w:val="nil"/>
              <w:right w:val="nil"/>
            </w:tcBorders>
            <w:shd w:val="clear" w:color="auto" w:fill="auto"/>
            <w:vAlign w:val="bottom"/>
          </w:tcPr>
          <w:p w14:paraId="3360B79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206FC67E"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1.481*** (0.152)</w:t>
            </w:r>
          </w:p>
        </w:tc>
        <w:tc>
          <w:tcPr>
            <w:tcW w:w="753" w:type="pct"/>
            <w:tcBorders>
              <w:top w:val="nil"/>
              <w:left w:val="nil"/>
              <w:bottom w:val="nil"/>
              <w:right w:val="nil"/>
            </w:tcBorders>
            <w:shd w:val="clear" w:color="auto" w:fill="auto"/>
            <w:vAlign w:val="bottom"/>
          </w:tcPr>
          <w:p w14:paraId="7B1E90CF"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5EA64883"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2C38B86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7B03DB" w:rsidRPr="001E47AD" w14:paraId="5067B3FF" w14:textId="77777777" w:rsidTr="00135B4A">
        <w:tc>
          <w:tcPr>
            <w:tcW w:w="1224" w:type="pct"/>
            <w:tcBorders>
              <w:top w:val="nil"/>
              <w:left w:val="nil"/>
              <w:bottom w:val="nil"/>
              <w:right w:val="nil"/>
            </w:tcBorders>
            <w:shd w:val="clear" w:color="auto" w:fill="auto"/>
            <w:vAlign w:val="center"/>
          </w:tcPr>
          <w:p w14:paraId="110AE5A1"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CHANGE_VOL_POST_W2</m:t>
                </m:r>
              </m:oMath>
            </m:oMathPara>
          </w:p>
        </w:tc>
        <w:tc>
          <w:tcPr>
            <w:tcW w:w="765" w:type="pct"/>
            <w:tcBorders>
              <w:top w:val="nil"/>
              <w:left w:val="nil"/>
              <w:bottom w:val="nil"/>
              <w:right w:val="nil"/>
            </w:tcBorders>
            <w:shd w:val="clear" w:color="auto" w:fill="auto"/>
            <w:vAlign w:val="bottom"/>
          </w:tcPr>
          <w:p w14:paraId="6A18158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38FE8CD2"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186D37A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1.156*** (0.133)</w:t>
            </w:r>
          </w:p>
        </w:tc>
        <w:tc>
          <w:tcPr>
            <w:tcW w:w="753" w:type="pct"/>
            <w:tcBorders>
              <w:top w:val="nil"/>
              <w:left w:val="nil"/>
              <w:bottom w:val="nil"/>
              <w:right w:val="nil"/>
            </w:tcBorders>
            <w:shd w:val="clear" w:color="auto" w:fill="auto"/>
            <w:vAlign w:val="bottom"/>
          </w:tcPr>
          <w:p w14:paraId="30FC893D"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6329A9E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7B03DB" w:rsidRPr="001E47AD" w14:paraId="7145B126" w14:textId="77777777" w:rsidTr="00135B4A">
        <w:tc>
          <w:tcPr>
            <w:tcW w:w="1224" w:type="pct"/>
            <w:tcBorders>
              <w:top w:val="nil"/>
              <w:left w:val="nil"/>
              <w:bottom w:val="nil"/>
              <w:right w:val="nil"/>
            </w:tcBorders>
            <w:shd w:val="clear" w:color="auto" w:fill="auto"/>
            <w:vAlign w:val="center"/>
          </w:tcPr>
          <w:p w14:paraId="35711681"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CHANGE_VOL_POST_W3</m:t>
                </m:r>
              </m:oMath>
            </m:oMathPara>
          </w:p>
        </w:tc>
        <w:tc>
          <w:tcPr>
            <w:tcW w:w="765" w:type="pct"/>
            <w:tcBorders>
              <w:top w:val="nil"/>
              <w:left w:val="nil"/>
              <w:bottom w:val="nil"/>
              <w:right w:val="nil"/>
            </w:tcBorders>
            <w:shd w:val="clear" w:color="auto" w:fill="auto"/>
            <w:vAlign w:val="bottom"/>
          </w:tcPr>
          <w:p w14:paraId="4E7916AC"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1667AD16"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2267EE59"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082F9F82"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1.494*** (0.106)</w:t>
            </w:r>
          </w:p>
        </w:tc>
        <w:tc>
          <w:tcPr>
            <w:tcW w:w="752" w:type="pct"/>
            <w:tcBorders>
              <w:top w:val="nil"/>
              <w:left w:val="nil"/>
              <w:bottom w:val="nil"/>
              <w:right w:val="nil"/>
            </w:tcBorders>
            <w:shd w:val="clear" w:color="auto" w:fill="auto"/>
            <w:vAlign w:val="bottom"/>
          </w:tcPr>
          <w:p w14:paraId="2606E32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7B03DB" w:rsidRPr="001E47AD" w14:paraId="59ECC4C1" w14:textId="77777777" w:rsidTr="00135B4A">
        <w:tc>
          <w:tcPr>
            <w:tcW w:w="1224" w:type="pct"/>
            <w:tcBorders>
              <w:top w:val="nil"/>
              <w:left w:val="nil"/>
              <w:bottom w:val="nil"/>
              <w:right w:val="nil"/>
            </w:tcBorders>
            <w:shd w:val="clear" w:color="auto" w:fill="auto"/>
            <w:vAlign w:val="center"/>
          </w:tcPr>
          <w:p w14:paraId="19A9F86A"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CHANGE_VOL_POST_W4</m:t>
                </m:r>
              </m:oMath>
            </m:oMathPara>
          </w:p>
        </w:tc>
        <w:tc>
          <w:tcPr>
            <w:tcW w:w="765" w:type="pct"/>
            <w:tcBorders>
              <w:top w:val="nil"/>
              <w:left w:val="nil"/>
              <w:bottom w:val="nil"/>
              <w:right w:val="nil"/>
            </w:tcBorders>
            <w:shd w:val="clear" w:color="auto" w:fill="auto"/>
            <w:vAlign w:val="bottom"/>
          </w:tcPr>
          <w:p w14:paraId="28ABCCDB"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61DEB8EF"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38699EB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46F99510"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6FD85975" w14:textId="77777777" w:rsidR="007B03DB" w:rsidRPr="001E47AD" w:rsidRDefault="007B03DB" w:rsidP="00135B4A">
            <w:pPr>
              <w:jc w:val="right"/>
              <w:rPr>
                <w:rFonts w:ascii="Times New Roman" w:hAnsi="Times New Roman" w:cs="Times New Roman"/>
                <w:sz w:val="16"/>
                <w:szCs w:val="16"/>
              </w:rPr>
            </w:pPr>
            <w:r w:rsidRPr="001E47AD">
              <w:rPr>
                <w:rFonts w:ascii="Times New Roman" w:hAnsi="Times New Roman" w:cs="Times New Roman"/>
                <w:sz w:val="16"/>
                <w:szCs w:val="16"/>
              </w:rPr>
              <w:t>1.473*** (0.089)</w:t>
            </w:r>
          </w:p>
        </w:tc>
      </w:tr>
      <w:tr w:rsidR="007B03DB" w:rsidRPr="001E47AD" w14:paraId="66DD4BD6" w14:textId="77777777" w:rsidTr="00135B4A">
        <w:tc>
          <w:tcPr>
            <w:tcW w:w="1224" w:type="pct"/>
            <w:tcBorders>
              <w:top w:val="single" w:sz="4" w:space="0" w:color="auto"/>
              <w:left w:val="nil"/>
              <w:bottom w:val="single" w:sz="4" w:space="0" w:color="auto"/>
              <w:right w:val="nil"/>
            </w:tcBorders>
            <w:vAlign w:val="center"/>
          </w:tcPr>
          <w:p w14:paraId="6B4505A4"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Observations</m:t>
                </m:r>
              </m:oMath>
            </m:oMathPara>
          </w:p>
        </w:tc>
        <w:tc>
          <w:tcPr>
            <w:tcW w:w="765" w:type="pct"/>
            <w:tcBorders>
              <w:top w:val="single" w:sz="4" w:space="0" w:color="auto"/>
              <w:left w:val="nil"/>
              <w:bottom w:val="single" w:sz="4" w:space="0" w:color="auto"/>
              <w:right w:val="nil"/>
            </w:tcBorders>
            <w:vAlign w:val="bottom"/>
          </w:tcPr>
          <w:p w14:paraId="51F64323" w14:textId="61E0C6E8"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38,41</w:t>
            </w:r>
            <w:r w:rsidR="0084159F" w:rsidRPr="001E47AD">
              <w:rPr>
                <w:rFonts w:ascii="Times New Roman" w:hAnsi="Times New Roman" w:cs="Times New Roman"/>
                <w:sz w:val="16"/>
                <w:szCs w:val="16"/>
              </w:rPr>
              <w:t>3</w:t>
            </w:r>
          </w:p>
        </w:tc>
        <w:tc>
          <w:tcPr>
            <w:tcW w:w="753" w:type="pct"/>
            <w:tcBorders>
              <w:top w:val="single" w:sz="4" w:space="0" w:color="auto"/>
              <w:left w:val="nil"/>
              <w:bottom w:val="single" w:sz="4" w:space="0" w:color="auto"/>
              <w:right w:val="nil"/>
            </w:tcBorders>
            <w:shd w:val="clear" w:color="auto" w:fill="auto"/>
            <w:vAlign w:val="bottom"/>
          </w:tcPr>
          <w:p w14:paraId="6F7A788B" w14:textId="61E3525E"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38,41</w:t>
            </w:r>
            <w:r w:rsidR="0084159F" w:rsidRPr="001E47AD">
              <w:rPr>
                <w:rFonts w:ascii="Times New Roman" w:hAnsi="Times New Roman" w:cs="Times New Roman"/>
                <w:sz w:val="16"/>
                <w:szCs w:val="16"/>
              </w:rPr>
              <w:t>3</w:t>
            </w:r>
          </w:p>
        </w:tc>
        <w:tc>
          <w:tcPr>
            <w:tcW w:w="753" w:type="pct"/>
            <w:tcBorders>
              <w:top w:val="single" w:sz="4" w:space="0" w:color="auto"/>
              <w:left w:val="nil"/>
              <w:bottom w:val="single" w:sz="4" w:space="0" w:color="auto"/>
              <w:right w:val="nil"/>
            </w:tcBorders>
            <w:vAlign w:val="bottom"/>
          </w:tcPr>
          <w:p w14:paraId="486F5CBD" w14:textId="7FDC4970" w:rsidR="007B03DB" w:rsidRPr="001E47AD" w:rsidRDefault="007B03DB" w:rsidP="00135B4A">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w:t>
            </w:r>
            <w:r w:rsidR="0084159F" w:rsidRPr="001E47AD">
              <w:rPr>
                <w:rFonts w:ascii="Times New Roman" w:hAnsi="Times New Roman" w:cs="Times New Roman"/>
                <w:sz w:val="16"/>
                <w:szCs w:val="16"/>
              </w:rPr>
              <w:t>3</w:t>
            </w:r>
          </w:p>
        </w:tc>
        <w:tc>
          <w:tcPr>
            <w:tcW w:w="753" w:type="pct"/>
            <w:tcBorders>
              <w:top w:val="single" w:sz="4" w:space="0" w:color="auto"/>
              <w:left w:val="nil"/>
              <w:bottom w:val="single" w:sz="4" w:space="0" w:color="auto"/>
              <w:right w:val="nil"/>
            </w:tcBorders>
            <w:vAlign w:val="bottom"/>
          </w:tcPr>
          <w:p w14:paraId="73459C65" w14:textId="2BFBCCCA" w:rsidR="007B03DB" w:rsidRPr="001E47AD" w:rsidRDefault="007B03DB" w:rsidP="00135B4A">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w:t>
            </w:r>
            <w:r w:rsidR="0084159F" w:rsidRPr="001E47AD">
              <w:rPr>
                <w:rFonts w:ascii="Times New Roman" w:hAnsi="Times New Roman" w:cs="Times New Roman"/>
                <w:sz w:val="16"/>
                <w:szCs w:val="16"/>
              </w:rPr>
              <w:t>3</w:t>
            </w:r>
          </w:p>
        </w:tc>
        <w:tc>
          <w:tcPr>
            <w:tcW w:w="752" w:type="pct"/>
            <w:tcBorders>
              <w:top w:val="single" w:sz="4" w:space="0" w:color="auto"/>
              <w:left w:val="nil"/>
              <w:bottom w:val="single" w:sz="4" w:space="0" w:color="auto"/>
              <w:right w:val="nil"/>
            </w:tcBorders>
            <w:vAlign w:val="bottom"/>
          </w:tcPr>
          <w:p w14:paraId="508DB172" w14:textId="347F3B0E" w:rsidR="007B03DB" w:rsidRPr="001E47AD" w:rsidRDefault="007B03DB" w:rsidP="00135B4A">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w:t>
            </w:r>
            <w:r w:rsidR="00C551C5" w:rsidRPr="001E47AD">
              <w:rPr>
                <w:rFonts w:ascii="Times New Roman" w:hAnsi="Times New Roman" w:cs="Times New Roman"/>
                <w:sz w:val="16"/>
                <w:szCs w:val="16"/>
              </w:rPr>
              <w:t>3</w:t>
            </w:r>
          </w:p>
        </w:tc>
      </w:tr>
      <w:tr w:rsidR="007B03DB" w:rsidRPr="001E47AD" w14:paraId="15EAADBF" w14:textId="77777777" w:rsidTr="00135B4A">
        <w:tc>
          <w:tcPr>
            <w:tcW w:w="1224" w:type="pct"/>
            <w:tcBorders>
              <w:top w:val="single" w:sz="4" w:space="0" w:color="auto"/>
              <w:left w:val="nil"/>
              <w:bottom w:val="single" w:sz="4" w:space="0" w:color="auto"/>
              <w:right w:val="nil"/>
            </w:tcBorders>
            <w:vAlign w:val="center"/>
          </w:tcPr>
          <w:p w14:paraId="52B34062" w14:textId="77777777" w:rsidR="007B03DB" w:rsidRPr="001E47AD" w:rsidRDefault="007B03DB" w:rsidP="00135B4A">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F</m:t>
                </m:r>
              </m:oMath>
            </m:oMathPara>
          </w:p>
        </w:tc>
        <w:tc>
          <w:tcPr>
            <w:tcW w:w="765" w:type="pct"/>
            <w:tcBorders>
              <w:top w:val="single" w:sz="4" w:space="0" w:color="auto"/>
              <w:left w:val="nil"/>
              <w:bottom w:val="single" w:sz="4" w:space="0" w:color="auto"/>
              <w:right w:val="nil"/>
            </w:tcBorders>
          </w:tcPr>
          <w:p w14:paraId="41B9E22B"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45.81***</w:t>
            </w:r>
          </w:p>
        </w:tc>
        <w:tc>
          <w:tcPr>
            <w:tcW w:w="753" w:type="pct"/>
            <w:tcBorders>
              <w:top w:val="single" w:sz="4" w:space="0" w:color="auto"/>
              <w:left w:val="nil"/>
              <w:bottom w:val="single" w:sz="4" w:space="0" w:color="auto"/>
              <w:right w:val="nil"/>
            </w:tcBorders>
            <w:shd w:val="clear" w:color="auto" w:fill="auto"/>
            <w:vAlign w:val="bottom"/>
          </w:tcPr>
          <w:p w14:paraId="13265B0C"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47.11***</w:t>
            </w:r>
          </w:p>
        </w:tc>
        <w:tc>
          <w:tcPr>
            <w:tcW w:w="753" w:type="pct"/>
            <w:tcBorders>
              <w:top w:val="single" w:sz="4" w:space="0" w:color="auto"/>
              <w:left w:val="nil"/>
              <w:bottom w:val="single" w:sz="4" w:space="0" w:color="auto"/>
              <w:right w:val="nil"/>
            </w:tcBorders>
            <w:vAlign w:val="bottom"/>
          </w:tcPr>
          <w:p w14:paraId="417FA384"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36.05***</w:t>
            </w:r>
          </w:p>
        </w:tc>
        <w:tc>
          <w:tcPr>
            <w:tcW w:w="753" w:type="pct"/>
            <w:tcBorders>
              <w:top w:val="single" w:sz="4" w:space="0" w:color="auto"/>
              <w:left w:val="nil"/>
              <w:bottom w:val="single" w:sz="4" w:space="0" w:color="auto"/>
              <w:right w:val="nil"/>
            </w:tcBorders>
            <w:vAlign w:val="bottom"/>
          </w:tcPr>
          <w:p w14:paraId="58B0D5B8"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31.32***</w:t>
            </w:r>
          </w:p>
        </w:tc>
        <w:tc>
          <w:tcPr>
            <w:tcW w:w="752" w:type="pct"/>
            <w:tcBorders>
              <w:top w:val="single" w:sz="4" w:space="0" w:color="auto"/>
              <w:left w:val="nil"/>
              <w:bottom w:val="single" w:sz="4" w:space="0" w:color="auto"/>
              <w:right w:val="nil"/>
            </w:tcBorders>
            <w:vAlign w:val="bottom"/>
          </w:tcPr>
          <w:p w14:paraId="1303DAB9" w14:textId="77777777" w:rsidR="007B03DB" w:rsidRPr="001E47AD" w:rsidRDefault="007B03DB" w:rsidP="00135B4A">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32.01***</w:t>
            </w:r>
          </w:p>
        </w:tc>
      </w:tr>
    </w:tbl>
    <w:p w14:paraId="5EDC425D" w14:textId="054455EE" w:rsidR="00790866" w:rsidRPr="001E47AD" w:rsidRDefault="006C2374" w:rsidP="00B6746F">
      <w:pPr>
        <w:tabs>
          <w:tab w:val="left" w:pos="1878"/>
        </w:tabs>
        <w:jc w:val="both"/>
        <w:rPr>
          <w:sz w:val="20"/>
          <w:szCs w:val="20"/>
          <w:lang w:eastAsia="zh-CN"/>
        </w:rPr>
      </w:pPr>
      <w:r w:rsidRPr="001E47AD">
        <w:rPr>
          <w:sz w:val="20"/>
          <w:szCs w:val="20"/>
        </w:rPr>
        <w:t>Note: The table shows estimated coefficients. Standard errors in parentheses. * p&lt;0.1, ** p&lt;0.01, *** p&lt;0.001.</w:t>
      </w:r>
    </w:p>
    <w:p w14:paraId="48FB4CBA" w14:textId="77777777" w:rsidR="00B6746F" w:rsidRPr="001E47AD" w:rsidRDefault="00B6746F" w:rsidP="00B6746F">
      <w:pPr>
        <w:tabs>
          <w:tab w:val="left" w:pos="1878"/>
        </w:tabs>
        <w:jc w:val="both"/>
        <w:rPr>
          <w:color w:val="0070C0"/>
          <w:sz w:val="20"/>
          <w:szCs w:val="20"/>
          <w:lang w:eastAsia="zh-CN"/>
        </w:rPr>
      </w:pPr>
    </w:p>
    <w:p w14:paraId="159DF154" w14:textId="77777777" w:rsidR="00135B4A" w:rsidRPr="001E47AD" w:rsidRDefault="00135B4A" w:rsidP="00FB25F0">
      <w:pPr>
        <w:spacing w:before="120" w:after="120" w:line="480" w:lineRule="auto"/>
        <w:contextualSpacing/>
        <w:rPr>
          <w:sz w:val="20"/>
          <w:szCs w:val="20"/>
          <w:lang w:eastAsia="zh-CN"/>
        </w:rPr>
        <w:sectPr w:rsidR="00135B4A" w:rsidRPr="001E47AD" w:rsidSect="0015368D">
          <w:endnotePr>
            <w:numFmt w:val="decimal"/>
            <w:numRestart w:val="eachSect"/>
          </w:endnotePr>
          <w:pgSz w:w="15840" w:h="12240" w:orient="landscape"/>
          <w:pgMar w:top="1440" w:right="1440" w:bottom="1440" w:left="1440" w:header="720" w:footer="720" w:gutter="0"/>
          <w:cols w:space="720"/>
          <w:docGrid w:linePitch="360"/>
        </w:sectPr>
      </w:pPr>
    </w:p>
    <w:p w14:paraId="36938A75" w14:textId="77777777" w:rsidR="0078441A" w:rsidRPr="001E47AD" w:rsidRDefault="0078441A" w:rsidP="00596F39">
      <w:pPr>
        <w:pStyle w:val="Heading2"/>
      </w:pPr>
      <w:bookmarkStart w:id="61" w:name="_Toc520380483"/>
      <w:bookmarkStart w:id="62" w:name="_Ref533935857"/>
      <w:r w:rsidRPr="001E47AD">
        <w:lastRenderedPageBreak/>
        <w:t>Robustness Checks</w:t>
      </w:r>
    </w:p>
    <w:p w14:paraId="553375BB" w14:textId="77D6A8F1" w:rsidR="0078441A" w:rsidRPr="001E47AD" w:rsidRDefault="0078441A" w:rsidP="0078441A">
      <w:pPr>
        <w:spacing w:before="120" w:after="120" w:line="480" w:lineRule="auto"/>
        <w:contextualSpacing/>
        <w:jc w:val="both"/>
        <w:rPr>
          <w:noProof/>
          <w:sz w:val="22"/>
          <w:szCs w:val="22"/>
          <w:lang w:eastAsia="zh-CN"/>
        </w:rPr>
      </w:pPr>
      <w:r w:rsidRPr="001E47AD">
        <w:rPr>
          <w:sz w:val="22"/>
          <w:szCs w:val="22"/>
        </w:rPr>
        <w:t xml:space="preserve">As a robustness check, we apply the quantile regression technique. </w:t>
      </w:r>
      <w:r w:rsidR="000D6EDE" w:rsidRPr="001E47AD">
        <w:rPr>
          <w:sz w:val="22"/>
          <w:szCs w:val="22"/>
        </w:rPr>
        <w:t>There is a rapidly expanding empirical quantile regression literature in economics (</w:t>
      </w:r>
      <w:r w:rsidR="000D6EDE" w:rsidRPr="001E47AD">
        <w:rPr>
          <w:sz w:val="22"/>
          <w:szCs w:val="22"/>
          <w:lang w:val="en-CA"/>
        </w:rPr>
        <w:t>Koenker and Hallock 2001</w:t>
      </w:r>
      <w:r w:rsidR="000D6EDE" w:rsidRPr="001E47AD">
        <w:rPr>
          <w:sz w:val="22"/>
          <w:szCs w:val="22"/>
        </w:rPr>
        <w:t>)</w:t>
      </w:r>
      <w:r w:rsidR="006C64FD" w:rsidRPr="001E47AD">
        <w:rPr>
          <w:sz w:val="22"/>
          <w:szCs w:val="22"/>
        </w:rPr>
        <w:t xml:space="preserve">. </w:t>
      </w:r>
      <w:r w:rsidR="00F50D8B" w:rsidRPr="001E47AD">
        <w:rPr>
          <w:noProof/>
          <w:sz w:val="22"/>
          <w:szCs w:val="22"/>
          <w:lang w:val="en-CA"/>
        </w:rPr>
        <w:t>Q</w:t>
      </w:r>
      <w:r w:rsidRPr="001E47AD">
        <w:rPr>
          <w:noProof/>
          <w:sz w:val="22"/>
          <w:szCs w:val="22"/>
          <w:lang w:val="en-CA"/>
        </w:rPr>
        <w:t>uantile regression</w:t>
      </w:r>
      <w:r w:rsidR="00367B6C" w:rsidRPr="001E47AD">
        <w:rPr>
          <w:noProof/>
          <w:sz w:val="22"/>
          <w:szCs w:val="22"/>
          <w:lang w:val="en-CA"/>
        </w:rPr>
        <w:t>s</w:t>
      </w:r>
      <w:r w:rsidRPr="001E47AD">
        <w:rPr>
          <w:noProof/>
          <w:sz w:val="22"/>
          <w:szCs w:val="22"/>
          <w:lang w:val="en-CA"/>
        </w:rPr>
        <w:t xml:space="preserve"> aim at estimating conditional median or other quantiles of t</w:t>
      </w:r>
      <w:r w:rsidR="008B71DB" w:rsidRPr="001E47AD">
        <w:rPr>
          <w:noProof/>
          <w:sz w:val="22"/>
          <w:szCs w:val="22"/>
          <w:lang w:val="en-CA"/>
        </w:rPr>
        <w:t>he response variable</w:t>
      </w:r>
      <w:r w:rsidR="00E729FD" w:rsidRPr="001E47AD">
        <w:rPr>
          <w:sz w:val="22"/>
          <w:szCs w:val="22"/>
          <w:lang w:val="en-CA"/>
        </w:rPr>
        <w:t xml:space="preserve"> </w:t>
      </w:r>
      <w:r w:rsidR="000D6EDE" w:rsidRPr="001E47AD">
        <w:rPr>
          <w:sz w:val="22"/>
          <w:szCs w:val="22"/>
          <w:lang w:val="en-CA"/>
        </w:rPr>
        <w:t xml:space="preserve">as functions of observed covariates </w:t>
      </w:r>
      <w:r w:rsidR="00E729FD" w:rsidRPr="001E47AD">
        <w:rPr>
          <w:sz w:val="22"/>
          <w:szCs w:val="22"/>
          <w:lang w:val="en-CA"/>
        </w:rPr>
        <w:t>(</w:t>
      </w:r>
      <w:r w:rsidR="00C25B91" w:rsidRPr="001E47AD">
        <w:rPr>
          <w:sz w:val="22"/>
          <w:szCs w:val="22"/>
          <w:lang w:val="en-CA"/>
        </w:rPr>
        <w:t xml:space="preserve">Koenker and Bassett 1978, </w:t>
      </w:r>
      <w:r w:rsidR="008E1D2A" w:rsidRPr="001E47AD">
        <w:rPr>
          <w:sz w:val="22"/>
          <w:szCs w:val="22"/>
          <w:lang w:val="en-CA"/>
        </w:rPr>
        <w:t>Koenker and Hallock 2001</w:t>
      </w:r>
      <w:r w:rsidR="00E729FD" w:rsidRPr="001E47AD">
        <w:rPr>
          <w:sz w:val="22"/>
          <w:szCs w:val="22"/>
          <w:lang w:val="en-CA"/>
        </w:rPr>
        <w:t>)</w:t>
      </w:r>
      <w:r w:rsidR="008453A1" w:rsidRPr="001E47AD">
        <w:rPr>
          <w:sz w:val="22"/>
          <w:szCs w:val="22"/>
        </w:rPr>
        <w:t xml:space="preserve">. Since </w:t>
      </w:r>
      <w:r w:rsidR="00005C52" w:rsidRPr="001E47AD">
        <w:rPr>
          <w:sz w:val="22"/>
          <w:szCs w:val="22"/>
        </w:rPr>
        <w:t xml:space="preserve">this study </w:t>
      </w:r>
      <w:r w:rsidR="00EB34FA" w:rsidRPr="001E47AD">
        <w:rPr>
          <w:sz w:val="22"/>
          <w:szCs w:val="22"/>
        </w:rPr>
        <w:t>involves</w:t>
      </w:r>
      <w:r w:rsidR="00005C52" w:rsidRPr="001E47AD">
        <w:rPr>
          <w:sz w:val="22"/>
          <w:szCs w:val="22"/>
        </w:rPr>
        <w:t xml:space="preserve"> a total of 38,418 store-event observations</w:t>
      </w:r>
      <w:r w:rsidR="00C25B91" w:rsidRPr="001E47AD">
        <w:rPr>
          <w:sz w:val="22"/>
          <w:szCs w:val="22"/>
        </w:rPr>
        <w:t>,</w:t>
      </w:r>
      <w:r w:rsidR="00005C52" w:rsidRPr="001E47AD">
        <w:rPr>
          <w:sz w:val="22"/>
          <w:szCs w:val="22"/>
        </w:rPr>
        <w:t xml:space="preserve"> </w:t>
      </w:r>
      <w:r w:rsidRPr="001E47AD">
        <w:rPr>
          <w:sz w:val="22"/>
          <w:szCs w:val="22"/>
          <w:lang w:val="en-CA"/>
        </w:rPr>
        <w:t>we utilize simultaneous-quantile regressions</w:t>
      </w:r>
      <w:r w:rsidR="008B71DB" w:rsidRPr="001E47AD">
        <w:rPr>
          <w:sz w:val="22"/>
          <w:szCs w:val="22"/>
          <w:lang w:val="en-CA"/>
        </w:rPr>
        <w:t xml:space="preserve"> for </w:t>
      </w:r>
      <w:r w:rsidR="008453A1" w:rsidRPr="001E47AD">
        <w:rPr>
          <w:sz w:val="22"/>
          <w:szCs w:val="22"/>
          <w:lang w:val="en-CA"/>
        </w:rPr>
        <w:t xml:space="preserve">multiple </w:t>
      </w:r>
      <w:r w:rsidR="006C64FD" w:rsidRPr="001E47AD">
        <w:rPr>
          <w:sz w:val="22"/>
          <w:szCs w:val="22"/>
          <w:lang w:val="en-CA"/>
        </w:rPr>
        <w:t xml:space="preserve">classic </w:t>
      </w:r>
      <w:r w:rsidRPr="001E47AD">
        <w:rPr>
          <w:sz w:val="22"/>
          <w:szCs w:val="22"/>
          <w:lang w:val="en-CA"/>
        </w:rPr>
        <w:t>quantile</w:t>
      </w:r>
      <w:r w:rsidR="008453A1" w:rsidRPr="001E47AD">
        <w:rPr>
          <w:sz w:val="22"/>
          <w:szCs w:val="22"/>
          <w:lang w:val="en-CA"/>
        </w:rPr>
        <w:t>s</w:t>
      </w:r>
      <w:r w:rsidR="008B71DB" w:rsidRPr="001E47AD">
        <w:rPr>
          <w:sz w:val="22"/>
          <w:szCs w:val="22"/>
          <w:lang w:val="en-CA"/>
        </w:rPr>
        <w:t xml:space="preserve"> </w:t>
      </w:r>
      <w:r w:rsidR="008453A1" w:rsidRPr="001E47AD">
        <w:rPr>
          <w:sz w:val="22"/>
          <w:szCs w:val="22"/>
          <w:lang w:val="en-CA"/>
        </w:rPr>
        <w:t xml:space="preserve">(0.25, </w:t>
      </w:r>
      <w:r w:rsidR="008B71DB" w:rsidRPr="001E47AD">
        <w:rPr>
          <w:sz w:val="22"/>
          <w:szCs w:val="22"/>
          <w:lang w:val="en-CA"/>
        </w:rPr>
        <w:t>0.50</w:t>
      </w:r>
      <w:r w:rsidR="008453A1" w:rsidRPr="001E47AD">
        <w:rPr>
          <w:sz w:val="22"/>
          <w:szCs w:val="22"/>
          <w:lang w:val="en-CA"/>
        </w:rPr>
        <w:t>, and 0.75)</w:t>
      </w:r>
      <w:r w:rsidRPr="001E47AD">
        <w:rPr>
          <w:sz w:val="22"/>
          <w:szCs w:val="22"/>
          <w:lang w:val="en-CA"/>
        </w:rPr>
        <w:t xml:space="preserve">, which produce </w:t>
      </w:r>
      <w:r w:rsidRPr="001E47AD">
        <w:rPr>
          <w:noProof/>
          <w:sz w:val="22"/>
          <w:szCs w:val="22"/>
          <w:lang w:val="en-CA"/>
        </w:rPr>
        <w:t>bootstrap standard</w:t>
      </w:r>
      <w:r w:rsidRPr="001E47AD">
        <w:rPr>
          <w:sz w:val="22"/>
          <w:szCs w:val="22"/>
          <w:lang w:val="en-CA"/>
        </w:rPr>
        <w:t xml:space="preserve"> errors. We illustrate the results in </w:t>
      </w:r>
      <w:r w:rsidRPr="001E47AD">
        <w:rPr>
          <w:sz w:val="22"/>
          <w:szCs w:val="22"/>
        </w:rPr>
        <w:t>Table A</w:t>
      </w:r>
      <w:r w:rsidR="00367007" w:rsidRPr="001E47AD">
        <w:rPr>
          <w:sz w:val="22"/>
          <w:szCs w:val="22"/>
        </w:rPr>
        <w:t>3</w:t>
      </w:r>
      <w:r w:rsidR="008B71DB" w:rsidRPr="001E47AD">
        <w:rPr>
          <w:sz w:val="22"/>
          <w:szCs w:val="22"/>
        </w:rPr>
        <w:t xml:space="preserve"> in </w:t>
      </w:r>
      <w:r w:rsidR="00966AC6" w:rsidRPr="001E47AD">
        <w:rPr>
          <w:sz w:val="22"/>
          <w:szCs w:val="22"/>
        </w:rPr>
        <w:t xml:space="preserve">the </w:t>
      </w:r>
      <w:r w:rsidR="008B71DB" w:rsidRPr="001E47AD">
        <w:rPr>
          <w:sz w:val="22"/>
          <w:szCs w:val="22"/>
        </w:rPr>
        <w:t>Appendix</w:t>
      </w:r>
      <w:r w:rsidR="00080B4A" w:rsidRPr="001E47AD">
        <w:rPr>
          <w:sz w:val="22"/>
          <w:szCs w:val="22"/>
          <w:lang w:val="en-CA"/>
        </w:rPr>
        <w:t>. Qualitatively, the results are consistent with the findings reported in Table 3. However, some variations emerge; for example, we note that product variet</w:t>
      </w:r>
      <w:r w:rsidR="007A49BE" w:rsidRPr="001E47AD">
        <w:rPr>
          <w:sz w:val="22"/>
          <w:szCs w:val="22"/>
          <w:lang w:val="en-CA"/>
        </w:rPr>
        <w:t>y is not</w:t>
      </w:r>
      <w:r w:rsidR="00080B4A" w:rsidRPr="001E47AD">
        <w:rPr>
          <w:sz w:val="22"/>
          <w:szCs w:val="22"/>
          <w:lang w:val="en-CA"/>
        </w:rPr>
        <w:t xml:space="preserve"> significan</w:t>
      </w:r>
      <w:r w:rsidR="007A49BE" w:rsidRPr="001E47AD">
        <w:rPr>
          <w:sz w:val="22"/>
          <w:szCs w:val="22"/>
          <w:lang w:val="en-CA"/>
        </w:rPr>
        <w:t>t</w:t>
      </w:r>
      <w:r w:rsidR="00BF2309" w:rsidRPr="001E47AD">
        <w:rPr>
          <w:sz w:val="22"/>
          <w:szCs w:val="22"/>
          <w:lang w:val="en-CA"/>
        </w:rPr>
        <w:t xml:space="preserve"> in predicting stockpiling propensity</w:t>
      </w:r>
      <w:r w:rsidR="00080B4A" w:rsidRPr="001E47AD">
        <w:rPr>
          <w:sz w:val="22"/>
          <w:szCs w:val="22"/>
          <w:lang w:val="en-CA"/>
        </w:rPr>
        <w:t xml:space="preserve"> at the higher quantiles</w:t>
      </w:r>
      <w:r w:rsidR="00080B4A" w:rsidRPr="001E47AD">
        <w:rPr>
          <w:sz w:val="22"/>
          <w:szCs w:val="22"/>
        </w:rPr>
        <w:t>.</w:t>
      </w:r>
    </w:p>
    <w:p w14:paraId="32386EDC" w14:textId="535CEE73" w:rsidR="0078441A" w:rsidRPr="001E47AD" w:rsidRDefault="00242E37" w:rsidP="00993C39">
      <w:pPr>
        <w:spacing w:before="120" w:after="120" w:line="480" w:lineRule="auto"/>
        <w:ind w:firstLine="720"/>
        <w:contextualSpacing/>
        <w:jc w:val="both"/>
        <w:rPr>
          <w:sz w:val="22"/>
          <w:szCs w:val="22"/>
          <w:lang w:val="en-CA"/>
        </w:rPr>
      </w:pPr>
      <w:r w:rsidRPr="001E47AD">
        <w:rPr>
          <w:sz w:val="22"/>
          <w:szCs w:val="22"/>
          <w:lang w:val="en-CA"/>
        </w:rPr>
        <w:t xml:space="preserve">As a </w:t>
      </w:r>
      <w:r w:rsidR="00953F75" w:rsidRPr="001E47AD">
        <w:rPr>
          <w:sz w:val="22"/>
          <w:szCs w:val="22"/>
          <w:lang w:val="en-CA"/>
        </w:rPr>
        <w:t>second</w:t>
      </w:r>
      <w:r w:rsidR="0078441A" w:rsidRPr="001E47AD">
        <w:rPr>
          <w:sz w:val="22"/>
          <w:szCs w:val="22"/>
          <w:lang w:val="en-CA"/>
        </w:rPr>
        <w:t xml:space="preserve"> robustness check, we estimate in-store product </w:t>
      </w:r>
      <w:r w:rsidR="0078441A" w:rsidRPr="001E47AD">
        <w:rPr>
          <w:noProof/>
          <w:sz w:val="22"/>
          <w:szCs w:val="22"/>
          <w:lang w:val="en-CA"/>
        </w:rPr>
        <w:t>availability by</w:t>
      </w:r>
      <w:r w:rsidR="0078441A" w:rsidRPr="001E47AD">
        <w:rPr>
          <w:sz w:val="22"/>
          <w:szCs w:val="22"/>
          <w:lang w:val="en-CA"/>
        </w:rPr>
        <w:t xml:space="preserve"> </w:t>
      </w:r>
      <w:r w:rsidR="00772E8D" w:rsidRPr="001E47AD">
        <w:rPr>
          <w:sz w:val="22"/>
          <w:szCs w:val="22"/>
          <w:lang w:val="en-CA"/>
        </w:rPr>
        <w:t>considering</w:t>
      </w:r>
      <w:r w:rsidR="004E2770" w:rsidRPr="001E47AD">
        <w:rPr>
          <w:sz w:val="22"/>
          <w:szCs w:val="22"/>
          <w:lang w:val="en-CA"/>
        </w:rPr>
        <w:t xml:space="preserve"> </w:t>
      </w:r>
      <w:r w:rsidR="004E2770" w:rsidRPr="001E47AD">
        <w:rPr>
          <w:sz w:val="22"/>
          <w:szCs w:val="22"/>
        </w:rPr>
        <w:t xml:space="preserve">the max of </w:t>
      </w:r>
      <w:r w:rsidR="002A4134" w:rsidRPr="001E47AD">
        <w:rPr>
          <w:sz w:val="22"/>
          <w:szCs w:val="22"/>
        </w:rPr>
        <w:t>the weekly number of product UPC</w:t>
      </w:r>
      <w:r w:rsidR="004E2770" w:rsidRPr="001E47AD">
        <w:rPr>
          <w:sz w:val="22"/>
          <w:szCs w:val="22"/>
        </w:rPr>
        <w:t xml:space="preserve">s sold during the </w:t>
      </w:r>
      <w:r w:rsidR="00471183" w:rsidRPr="001E47AD">
        <w:rPr>
          <w:sz w:val="22"/>
          <w:szCs w:val="22"/>
        </w:rPr>
        <w:t xml:space="preserve">four </w:t>
      </w:r>
      <w:r w:rsidR="004E2770" w:rsidRPr="001E47AD">
        <w:rPr>
          <w:sz w:val="22"/>
          <w:szCs w:val="22"/>
        </w:rPr>
        <w:t xml:space="preserve">PRE event </w:t>
      </w:r>
      <w:r w:rsidR="00471183" w:rsidRPr="001E47AD">
        <w:rPr>
          <w:sz w:val="22"/>
          <w:szCs w:val="22"/>
        </w:rPr>
        <w:t>weeks</w:t>
      </w:r>
      <w:r w:rsidR="004E2770" w:rsidRPr="001E47AD">
        <w:rPr>
          <w:sz w:val="22"/>
          <w:szCs w:val="22"/>
        </w:rPr>
        <w:t xml:space="preserve"> as the benchmark</w:t>
      </w:r>
      <w:r w:rsidR="00B822EE" w:rsidRPr="001E47AD">
        <w:rPr>
          <w:sz w:val="22"/>
          <w:szCs w:val="22"/>
          <w:lang w:val="en-CA"/>
        </w:rPr>
        <w:t xml:space="preserve">. </w:t>
      </w:r>
      <w:r w:rsidR="0078441A" w:rsidRPr="001E47AD">
        <w:rPr>
          <w:sz w:val="22"/>
          <w:szCs w:val="22"/>
          <w:lang w:val="en-CA"/>
        </w:rPr>
        <w:t xml:space="preserve">As illustrated in Table </w:t>
      </w:r>
      <w:r w:rsidR="006866F9" w:rsidRPr="001E47AD">
        <w:rPr>
          <w:sz w:val="22"/>
          <w:szCs w:val="22"/>
          <w:lang w:val="en-CA"/>
        </w:rPr>
        <w:t>A</w:t>
      </w:r>
      <w:r w:rsidR="004B678E" w:rsidRPr="001E47AD">
        <w:rPr>
          <w:sz w:val="22"/>
          <w:szCs w:val="22"/>
          <w:lang w:val="en-CA"/>
        </w:rPr>
        <w:t>4</w:t>
      </w:r>
      <w:r w:rsidR="008B71DB" w:rsidRPr="001E47AD">
        <w:rPr>
          <w:sz w:val="22"/>
          <w:szCs w:val="22"/>
          <w:lang w:val="en-CA"/>
        </w:rPr>
        <w:t xml:space="preserve"> in </w:t>
      </w:r>
      <w:r w:rsidR="00966AC6" w:rsidRPr="001E47AD">
        <w:rPr>
          <w:sz w:val="22"/>
          <w:szCs w:val="22"/>
          <w:lang w:val="en-CA"/>
        </w:rPr>
        <w:t xml:space="preserve">the </w:t>
      </w:r>
      <w:r w:rsidR="008B71DB" w:rsidRPr="001E47AD">
        <w:rPr>
          <w:sz w:val="22"/>
          <w:szCs w:val="22"/>
          <w:lang w:val="en-CA"/>
        </w:rPr>
        <w:t>Appendix</w:t>
      </w:r>
      <w:r w:rsidR="0078441A" w:rsidRPr="001E47AD">
        <w:rPr>
          <w:sz w:val="22"/>
          <w:szCs w:val="22"/>
          <w:lang w:val="en-CA"/>
        </w:rPr>
        <w:t xml:space="preserve">, consumer stockpiling propensity during the EARLY event week is </w:t>
      </w:r>
      <w:r w:rsidR="0078441A" w:rsidRPr="001E47AD">
        <w:rPr>
          <w:noProof/>
          <w:sz w:val="22"/>
          <w:szCs w:val="22"/>
          <w:lang w:val="en-CA"/>
        </w:rPr>
        <w:t>significantly</w:t>
      </w:r>
      <w:r w:rsidR="0078441A" w:rsidRPr="001E47AD">
        <w:rPr>
          <w:sz w:val="22"/>
          <w:szCs w:val="22"/>
          <w:lang w:val="en-CA"/>
        </w:rPr>
        <w:t xml:space="preserve"> negatively </w:t>
      </w:r>
      <w:r w:rsidR="0078441A" w:rsidRPr="001E47AD">
        <w:rPr>
          <w:noProof/>
          <w:sz w:val="22"/>
          <w:szCs w:val="22"/>
          <w:lang w:val="en-CA"/>
        </w:rPr>
        <w:t>related to</w:t>
      </w:r>
      <w:r w:rsidR="0078441A" w:rsidRPr="001E47AD">
        <w:rPr>
          <w:sz w:val="22"/>
          <w:szCs w:val="22"/>
          <w:lang w:val="en-CA"/>
        </w:rPr>
        <w:t xml:space="preserve"> </w:t>
      </w:r>
      <w:r w:rsidR="00993C39" w:rsidRPr="001E47AD">
        <w:rPr>
          <w:sz w:val="22"/>
          <w:szCs w:val="22"/>
        </w:rPr>
        <w:t>product availability during the LATE event week (-0.</w:t>
      </w:r>
      <w:r w:rsidR="00304F47" w:rsidRPr="001E47AD">
        <w:rPr>
          <w:sz w:val="22"/>
          <w:szCs w:val="22"/>
        </w:rPr>
        <w:t>132</w:t>
      </w:r>
      <w:r w:rsidR="00993C39" w:rsidRPr="001E47AD">
        <w:rPr>
          <w:sz w:val="22"/>
          <w:szCs w:val="22"/>
        </w:rPr>
        <w:t xml:space="preserve">, p&lt;0.001) and the </w:t>
      </w:r>
      <w:r w:rsidR="00304F47" w:rsidRPr="001E47AD">
        <w:rPr>
          <w:sz w:val="22"/>
          <w:szCs w:val="22"/>
        </w:rPr>
        <w:t>first (-0.104</w:t>
      </w:r>
      <w:r w:rsidR="00993C39" w:rsidRPr="001E47AD">
        <w:rPr>
          <w:sz w:val="22"/>
          <w:szCs w:val="22"/>
        </w:rPr>
        <w:t xml:space="preserve">, p&lt;0.001) POST event week, but not </w:t>
      </w:r>
      <w:r w:rsidR="00E95990" w:rsidRPr="001E47AD">
        <w:rPr>
          <w:sz w:val="22"/>
          <w:szCs w:val="22"/>
        </w:rPr>
        <w:t>second (-0.044</w:t>
      </w:r>
      <w:r w:rsidR="00993C39" w:rsidRPr="001E47AD">
        <w:rPr>
          <w:sz w:val="22"/>
          <w:szCs w:val="22"/>
        </w:rPr>
        <w:t>, p&gt;0.1), third (-0.0</w:t>
      </w:r>
      <w:r w:rsidR="00E95990" w:rsidRPr="001E47AD">
        <w:rPr>
          <w:sz w:val="22"/>
          <w:szCs w:val="22"/>
        </w:rPr>
        <w:t>22</w:t>
      </w:r>
      <w:r w:rsidR="00993C39" w:rsidRPr="001E47AD">
        <w:rPr>
          <w:sz w:val="22"/>
          <w:szCs w:val="22"/>
        </w:rPr>
        <w:t xml:space="preserve">, p&gt;0.1), </w:t>
      </w:r>
      <w:r w:rsidR="007A49BE" w:rsidRPr="001E47AD">
        <w:rPr>
          <w:sz w:val="22"/>
          <w:szCs w:val="22"/>
        </w:rPr>
        <w:t>or</w:t>
      </w:r>
      <w:r w:rsidR="00993C39" w:rsidRPr="001E47AD">
        <w:rPr>
          <w:sz w:val="22"/>
          <w:szCs w:val="22"/>
        </w:rPr>
        <w:t xml:space="preserve"> fourth POST event week</w:t>
      </w:r>
      <w:r w:rsidR="007A49BE" w:rsidRPr="001E47AD">
        <w:rPr>
          <w:sz w:val="22"/>
          <w:szCs w:val="22"/>
        </w:rPr>
        <w:t>s</w:t>
      </w:r>
      <w:r w:rsidR="00E95990" w:rsidRPr="001E47AD">
        <w:rPr>
          <w:sz w:val="22"/>
          <w:szCs w:val="22"/>
        </w:rPr>
        <w:t xml:space="preserve"> (-0.045</w:t>
      </w:r>
      <w:r w:rsidR="00993C39" w:rsidRPr="001E47AD">
        <w:rPr>
          <w:sz w:val="22"/>
          <w:szCs w:val="22"/>
        </w:rPr>
        <w:t>, p&gt;0.1)</w:t>
      </w:r>
      <w:r w:rsidR="0078441A" w:rsidRPr="001E47AD">
        <w:rPr>
          <w:sz w:val="22"/>
          <w:szCs w:val="22"/>
          <w:lang w:val="en-CA"/>
        </w:rPr>
        <w:t xml:space="preserve">. </w:t>
      </w:r>
      <w:r w:rsidR="0078441A" w:rsidRPr="001E47AD">
        <w:rPr>
          <w:noProof/>
          <w:sz w:val="22"/>
          <w:szCs w:val="22"/>
          <w:lang w:val="en-CA"/>
        </w:rPr>
        <w:t>The results</w:t>
      </w:r>
      <w:r w:rsidR="0078441A" w:rsidRPr="001E47AD">
        <w:rPr>
          <w:sz w:val="22"/>
          <w:szCs w:val="22"/>
          <w:lang w:val="en-CA"/>
        </w:rPr>
        <w:t xml:space="preserve"> are consistent with the </w:t>
      </w:r>
      <w:r w:rsidR="0078441A" w:rsidRPr="001E47AD">
        <w:rPr>
          <w:noProof/>
          <w:sz w:val="22"/>
          <w:szCs w:val="22"/>
          <w:lang w:val="en-CA"/>
        </w:rPr>
        <w:t>primary</w:t>
      </w:r>
      <w:r w:rsidR="00430A5E" w:rsidRPr="001E47AD">
        <w:rPr>
          <w:sz w:val="22"/>
          <w:szCs w:val="22"/>
          <w:lang w:val="en-CA"/>
        </w:rPr>
        <w:t xml:space="preserve"> findings in Table 4. </w:t>
      </w:r>
    </w:p>
    <w:p w14:paraId="43CDB8A0" w14:textId="6553B358" w:rsidR="003B223F" w:rsidRPr="001E47AD" w:rsidRDefault="00B37FE0" w:rsidP="00E319F8">
      <w:pPr>
        <w:pStyle w:val="Heading1"/>
      </w:pPr>
      <w:bookmarkStart w:id="63" w:name="_Toc520380484"/>
      <w:bookmarkEnd w:id="61"/>
      <w:bookmarkEnd w:id="62"/>
      <w:r w:rsidRPr="001E47AD">
        <w:t>Manage</w:t>
      </w:r>
      <w:r w:rsidR="00A763BE" w:rsidRPr="001E47AD">
        <w:t xml:space="preserve">ment </w:t>
      </w:r>
      <w:r w:rsidR="00A3597B" w:rsidRPr="001E47AD">
        <w:t xml:space="preserve">and Policy </w:t>
      </w:r>
      <w:r w:rsidR="00FE27DA" w:rsidRPr="001E47AD">
        <w:t>Insights</w:t>
      </w:r>
    </w:p>
    <w:p w14:paraId="571436A5" w14:textId="3A41CE74" w:rsidR="003C7364" w:rsidRPr="001E47AD" w:rsidRDefault="003C7364" w:rsidP="003C7364">
      <w:pPr>
        <w:spacing w:line="480" w:lineRule="auto"/>
        <w:jc w:val="both"/>
        <w:rPr>
          <w:sz w:val="22"/>
          <w:szCs w:val="22"/>
          <w:lang w:eastAsia="zh-CN"/>
        </w:rPr>
      </w:pPr>
      <w:r w:rsidRPr="001E47AD">
        <w:rPr>
          <w:sz w:val="22"/>
          <w:szCs w:val="22"/>
          <w:lang w:eastAsia="zh-CN"/>
        </w:rPr>
        <w:t>The objective of disaster management is not profit-seeking; instead, it is reducing human suffering (Gupta et al. 2016).</w:t>
      </w:r>
      <w:r w:rsidR="00762F09" w:rsidRPr="001E47AD">
        <w:rPr>
          <w:sz w:val="22"/>
          <w:szCs w:val="22"/>
          <w:lang w:eastAsia="zh-CN"/>
        </w:rPr>
        <w:t xml:space="preserve"> With this in mind, b</w:t>
      </w:r>
      <w:r w:rsidR="00762F09" w:rsidRPr="001E47AD">
        <w:rPr>
          <w:rFonts w:hint="eastAsia"/>
          <w:sz w:val="22"/>
          <w:szCs w:val="22"/>
          <w:lang w:eastAsia="zh-CN"/>
        </w:rPr>
        <w:t>oth</w:t>
      </w:r>
      <w:r w:rsidR="00762F09" w:rsidRPr="001E47AD">
        <w:rPr>
          <w:sz w:val="22"/>
          <w:szCs w:val="22"/>
          <w:lang w:eastAsia="zh-CN"/>
        </w:rPr>
        <w:t xml:space="preserve"> retailers and governments need to understand </w:t>
      </w:r>
      <w:r w:rsidR="00762F09" w:rsidRPr="001E47AD">
        <w:rPr>
          <w:rFonts w:hint="eastAsia"/>
          <w:sz w:val="22"/>
          <w:szCs w:val="22"/>
          <w:lang w:eastAsia="zh-CN"/>
        </w:rPr>
        <w:t>the</w:t>
      </w:r>
      <w:r w:rsidR="00762F09" w:rsidRPr="001E47AD">
        <w:rPr>
          <w:sz w:val="22"/>
          <w:szCs w:val="22"/>
          <w:lang w:eastAsia="zh-CN"/>
        </w:rPr>
        <w:t xml:space="preserve"> </w:t>
      </w:r>
      <w:r w:rsidR="00762F09" w:rsidRPr="001E47AD">
        <w:rPr>
          <w:rFonts w:hint="eastAsia"/>
          <w:sz w:val="22"/>
          <w:szCs w:val="22"/>
          <w:lang w:eastAsia="zh-CN"/>
        </w:rPr>
        <w:t xml:space="preserve">impacts of </w:t>
      </w:r>
      <w:r w:rsidR="00762F09" w:rsidRPr="001E47AD">
        <w:rPr>
          <w:sz w:val="22"/>
          <w:szCs w:val="22"/>
          <w:lang w:eastAsia="zh-CN"/>
        </w:rPr>
        <w:t xml:space="preserve">supply-side, demand-side, and disaster characteristics </w:t>
      </w:r>
      <w:r w:rsidR="00762F09" w:rsidRPr="001E47AD">
        <w:rPr>
          <w:rFonts w:hint="eastAsia"/>
          <w:sz w:val="22"/>
          <w:szCs w:val="22"/>
          <w:lang w:eastAsia="zh-CN"/>
        </w:rPr>
        <w:t>on</w:t>
      </w:r>
      <w:r w:rsidR="00762F09" w:rsidRPr="001E47AD">
        <w:rPr>
          <w:sz w:val="22"/>
          <w:szCs w:val="22"/>
          <w:lang w:eastAsia="zh-CN"/>
        </w:rPr>
        <w:t xml:space="preserve"> consumer stockpiling behavior</w:t>
      </w:r>
      <w:r w:rsidR="00762F09" w:rsidRPr="001E47AD">
        <w:rPr>
          <w:rFonts w:hint="eastAsia"/>
          <w:sz w:val="22"/>
          <w:szCs w:val="22"/>
          <w:lang w:eastAsia="zh-CN"/>
        </w:rPr>
        <w:t xml:space="preserve">, </w:t>
      </w:r>
      <w:r w:rsidR="00762F09" w:rsidRPr="001E47AD">
        <w:rPr>
          <w:sz w:val="22"/>
          <w:szCs w:val="22"/>
          <w:lang w:eastAsia="zh-CN"/>
        </w:rPr>
        <w:t>as well as their potential compound effects</w:t>
      </w:r>
      <w:r w:rsidR="008175EB" w:rsidRPr="001E47AD">
        <w:rPr>
          <w:sz w:val="22"/>
          <w:szCs w:val="22"/>
          <w:lang w:eastAsia="zh-CN"/>
        </w:rPr>
        <w:t>, when pre-positioning inventory before hurricane</w:t>
      </w:r>
      <w:r w:rsidR="00F83EF6" w:rsidRPr="001E47AD">
        <w:rPr>
          <w:sz w:val="22"/>
          <w:szCs w:val="22"/>
          <w:lang w:eastAsia="zh-CN"/>
        </w:rPr>
        <w:t>s</w:t>
      </w:r>
      <w:r w:rsidR="008175EB" w:rsidRPr="001E47AD">
        <w:rPr>
          <w:sz w:val="22"/>
          <w:szCs w:val="22"/>
          <w:lang w:eastAsia="zh-CN"/>
        </w:rPr>
        <w:t xml:space="preserve"> approach.</w:t>
      </w:r>
    </w:p>
    <w:p w14:paraId="4A90CDD2" w14:textId="77777777" w:rsidR="00277B7B" w:rsidRPr="001E47AD" w:rsidRDefault="00277B7B" w:rsidP="00596F39">
      <w:pPr>
        <w:pStyle w:val="Heading2"/>
      </w:pPr>
      <w:r w:rsidRPr="001E47AD">
        <w:t>Compound Effects</w:t>
      </w:r>
    </w:p>
    <w:p w14:paraId="3034C822" w14:textId="246CDC5A" w:rsidR="00277B7B" w:rsidRPr="001E47AD" w:rsidRDefault="00917ABE" w:rsidP="00277B7B">
      <w:pPr>
        <w:spacing w:before="120" w:after="120" w:line="480" w:lineRule="auto"/>
        <w:contextualSpacing/>
        <w:jc w:val="both"/>
        <w:rPr>
          <w:sz w:val="22"/>
          <w:szCs w:val="22"/>
          <w:lang w:eastAsia="zh-CN"/>
        </w:rPr>
      </w:pPr>
      <w:r w:rsidRPr="001E47AD">
        <w:rPr>
          <w:sz w:val="22"/>
          <w:szCs w:val="22"/>
        </w:rPr>
        <w:fldChar w:fldCharType="begin"/>
      </w:r>
      <w:r w:rsidRPr="001E47AD">
        <w:rPr>
          <w:sz w:val="22"/>
          <w:szCs w:val="22"/>
        </w:rPr>
        <w:instrText xml:space="preserve"> REF _Ref20094062 \h  \* MERGEFORMAT </w:instrText>
      </w:r>
      <w:r w:rsidRPr="001E47AD">
        <w:rPr>
          <w:sz w:val="22"/>
          <w:szCs w:val="22"/>
        </w:rPr>
      </w:r>
      <w:r w:rsidRPr="001E47AD">
        <w:rPr>
          <w:sz w:val="22"/>
          <w:szCs w:val="22"/>
        </w:rPr>
        <w:fldChar w:fldCharType="separate"/>
      </w:r>
      <w:r w:rsidR="009E3444" w:rsidRPr="001E47AD">
        <w:rPr>
          <w:sz w:val="22"/>
          <w:szCs w:val="22"/>
        </w:rPr>
        <w:t xml:space="preserve">Table </w:t>
      </w:r>
      <w:r w:rsidR="009E3444" w:rsidRPr="001E47AD">
        <w:rPr>
          <w:noProof/>
          <w:sz w:val="22"/>
          <w:szCs w:val="22"/>
        </w:rPr>
        <w:t>5</w:t>
      </w:r>
      <w:r w:rsidRPr="001E47AD">
        <w:rPr>
          <w:sz w:val="22"/>
          <w:szCs w:val="22"/>
        </w:rPr>
        <w:fldChar w:fldCharType="end"/>
      </w:r>
      <w:r w:rsidRPr="001E47AD">
        <w:rPr>
          <w:sz w:val="22"/>
          <w:szCs w:val="22"/>
        </w:rPr>
        <w:t xml:space="preserve"> </w:t>
      </w:r>
      <w:r w:rsidR="00277B7B" w:rsidRPr="001E47AD">
        <w:rPr>
          <w:sz w:val="22"/>
          <w:szCs w:val="22"/>
          <w:lang w:eastAsia="zh-CN"/>
        </w:rPr>
        <w:t xml:space="preserve">illustrates the compound effects of supply-side, demand-side, and disaster characteristics on consumer stockpiling propensity. </w:t>
      </w:r>
      <w:r w:rsidR="00277B7B" w:rsidRPr="001E47AD">
        <w:rPr>
          <w:rFonts w:hint="eastAsia"/>
          <w:sz w:val="22"/>
          <w:szCs w:val="22"/>
          <w:lang w:eastAsia="zh-CN"/>
        </w:rPr>
        <w:t xml:space="preserve">Note that </w:t>
      </w:r>
      <w:r w:rsidR="00277B7B" w:rsidRPr="001E47AD">
        <w:rPr>
          <w:sz w:val="22"/>
          <w:szCs w:val="22"/>
          <w:lang w:eastAsia="zh-CN"/>
        </w:rPr>
        <w:t xml:space="preserve">individual factors (i.e., landfall distance and wind speed) </w:t>
      </w:r>
      <w:r w:rsidR="00277B7B" w:rsidRPr="001E47AD">
        <w:rPr>
          <w:rFonts w:hint="eastAsia"/>
          <w:sz w:val="22"/>
          <w:szCs w:val="22"/>
          <w:lang w:eastAsia="zh-CN"/>
        </w:rPr>
        <w:t>may affect consumer stockpiling in different direction</w:t>
      </w:r>
      <w:r w:rsidR="00277B7B" w:rsidRPr="001E47AD">
        <w:rPr>
          <w:sz w:val="22"/>
          <w:szCs w:val="22"/>
          <w:lang w:eastAsia="zh-CN"/>
        </w:rPr>
        <w:t xml:space="preserve">s. To investigate the extent of compound effects, we use </w:t>
      </w:r>
      <w:r w:rsidR="00277B7B" w:rsidRPr="001E47AD">
        <w:rPr>
          <w:sz w:val="22"/>
          <w:szCs w:val="22"/>
          <w:lang w:eastAsia="zh-CN"/>
        </w:rPr>
        <w:lastRenderedPageBreak/>
        <w:t xml:space="preserve">a two-step approach. First, for each category of factors (e.g., disaster-related), </w:t>
      </w:r>
      <w:r w:rsidR="00277B7B" w:rsidRPr="001E47AD">
        <w:rPr>
          <w:rFonts w:hint="eastAsia"/>
          <w:sz w:val="22"/>
          <w:szCs w:val="22"/>
          <w:lang w:eastAsia="zh-CN"/>
        </w:rPr>
        <w:t xml:space="preserve">we </w:t>
      </w:r>
      <w:r w:rsidR="00277B7B" w:rsidRPr="001E47AD">
        <w:rPr>
          <w:sz w:val="22"/>
          <w:szCs w:val="22"/>
          <w:lang w:eastAsia="zh-CN"/>
        </w:rPr>
        <w:t>estimate t</w:t>
      </w:r>
      <w:r w:rsidR="00277B7B" w:rsidRPr="001E47AD">
        <w:rPr>
          <w:rFonts w:hint="eastAsia"/>
          <w:sz w:val="22"/>
          <w:szCs w:val="22"/>
          <w:lang w:eastAsia="zh-CN"/>
        </w:rPr>
        <w:t>he impact of</w:t>
      </w:r>
      <w:r w:rsidR="00277B7B" w:rsidRPr="001E47AD">
        <w:rPr>
          <w:sz w:val="22"/>
          <w:szCs w:val="22"/>
          <w:lang w:eastAsia="zh-CN"/>
        </w:rPr>
        <w:t xml:space="preserve"> the </w:t>
      </w:r>
      <w:r w:rsidR="00277B7B" w:rsidRPr="001E47AD">
        <w:rPr>
          <w:rFonts w:hint="eastAsia"/>
          <w:sz w:val="22"/>
          <w:szCs w:val="22"/>
          <w:lang w:eastAsia="zh-CN"/>
        </w:rPr>
        <w:t>individual factor</w:t>
      </w:r>
      <w:r w:rsidR="00277B7B" w:rsidRPr="001E47AD">
        <w:rPr>
          <w:sz w:val="22"/>
          <w:szCs w:val="22"/>
          <w:lang w:eastAsia="zh-CN"/>
        </w:rPr>
        <w:t>s</w:t>
      </w:r>
      <w:r w:rsidR="00277B7B" w:rsidRPr="001E47AD">
        <w:rPr>
          <w:rFonts w:hint="eastAsia"/>
          <w:sz w:val="22"/>
          <w:szCs w:val="22"/>
          <w:lang w:eastAsia="zh-CN"/>
        </w:rPr>
        <w:t xml:space="preserve"> </w:t>
      </w:r>
      <w:r w:rsidR="00277B7B" w:rsidRPr="001E47AD">
        <w:rPr>
          <w:sz w:val="22"/>
          <w:szCs w:val="22"/>
          <w:lang w:eastAsia="zh-CN"/>
        </w:rPr>
        <w:t xml:space="preserve">(i.e., landfall distance, track distance, and wind speed) </w:t>
      </w:r>
      <w:r w:rsidR="00277B7B" w:rsidRPr="001E47AD">
        <w:rPr>
          <w:rFonts w:hint="eastAsia"/>
          <w:sz w:val="22"/>
          <w:szCs w:val="22"/>
          <w:lang w:eastAsia="zh-CN"/>
        </w:rPr>
        <w:t>when they tak</w:t>
      </w:r>
      <w:r w:rsidR="00277B7B" w:rsidRPr="001E47AD">
        <w:rPr>
          <w:sz w:val="22"/>
          <w:szCs w:val="22"/>
          <w:lang w:eastAsia="zh-CN"/>
        </w:rPr>
        <w:t>e</w:t>
      </w:r>
      <w:r w:rsidR="00277B7B" w:rsidRPr="001E47AD">
        <w:rPr>
          <w:rFonts w:hint="eastAsia"/>
          <w:sz w:val="22"/>
          <w:szCs w:val="22"/>
          <w:lang w:eastAsia="zh-CN"/>
        </w:rPr>
        <w:t xml:space="preserve"> values at</w:t>
      </w:r>
      <w:r w:rsidR="00277B7B" w:rsidRPr="001E47AD">
        <w:rPr>
          <w:sz w:val="22"/>
          <w:szCs w:val="22"/>
          <w:lang w:eastAsia="zh-CN"/>
        </w:rPr>
        <w:t xml:space="preserve"> the</w:t>
      </w:r>
      <w:r w:rsidR="00277B7B" w:rsidRPr="001E47AD">
        <w:rPr>
          <w:rFonts w:hint="eastAsia"/>
          <w:sz w:val="22"/>
          <w:szCs w:val="22"/>
          <w:lang w:eastAsia="zh-CN"/>
        </w:rPr>
        <w:t xml:space="preserve"> 25th </w:t>
      </w:r>
      <w:r w:rsidR="00277B7B" w:rsidRPr="001E47AD">
        <w:rPr>
          <w:sz w:val="22"/>
          <w:szCs w:val="22"/>
          <w:lang w:eastAsia="zh-CN"/>
        </w:rPr>
        <w:t xml:space="preserve">percentile, 50th percentile, and 75th percentile. Second, we sort the impact of individual factors </w:t>
      </w:r>
      <w:r w:rsidR="00277B7B" w:rsidRPr="001E47AD">
        <w:rPr>
          <w:rFonts w:hint="eastAsia"/>
          <w:sz w:val="22"/>
          <w:szCs w:val="22"/>
          <w:lang w:eastAsia="zh-CN"/>
        </w:rPr>
        <w:t>in increasing order</w:t>
      </w:r>
      <w:r w:rsidR="00277B7B" w:rsidRPr="001E47AD">
        <w:rPr>
          <w:sz w:val="22"/>
          <w:szCs w:val="22"/>
          <w:lang w:eastAsia="zh-CN"/>
        </w:rPr>
        <w:t xml:space="preserve"> and </w:t>
      </w:r>
      <w:r w:rsidR="00277B7B" w:rsidRPr="001E47AD">
        <w:rPr>
          <w:rFonts w:hint="eastAsia"/>
          <w:sz w:val="22"/>
          <w:szCs w:val="22"/>
          <w:lang w:eastAsia="zh-CN"/>
        </w:rPr>
        <w:t xml:space="preserve">estimate </w:t>
      </w:r>
      <w:r w:rsidR="00277B7B" w:rsidRPr="001E47AD">
        <w:rPr>
          <w:sz w:val="22"/>
          <w:szCs w:val="22"/>
          <w:lang w:eastAsia="zh-CN"/>
        </w:rPr>
        <w:t xml:space="preserve">compound effects when </w:t>
      </w:r>
      <w:r w:rsidR="00277B7B" w:rsidRPr="001E47AD">
        <w:rPr>
          <w:rFonts w:hint="eastAsia"/>
          <w:sz w:val="22"/>
          <w:szCs w:val="22"/>
          <w:lang w:eastAsia="zh-CN"/>
        </w:rPr>
        <w:t>individual factors</w:t>
      </w:r>
      <w:r w:rsidR="00277B7B" w:rsidRPr="001E47AD">
        <w:rPr>
          <w:sz w:val="22"/>
          <w:szCs w:val="22"/>
          <w:lang w:eastAsia="zh-CN"/>
        </w:rPr>
        <w:t xml:space="preserve"> simultaneously have lower, middle, higher impact.</w:t>
      </w:r>
    </w:p>
    <w:p w14:paraId="03B0ADC7" w14:textId="0293D576" w:rsidR="0087510F" w:rsidRPr="001E47AD" w:rsidRDefault="00277B7B" w:rsidP="00277B7B">
      <w:pPr>
        <w:spacing w:before="240" w:after="120" w:line="480" w:lineRule="auto"/>
        <w:ind w:firstLine="720"/>
        <w:jc w:val="both"/>
        <w:rPr>
          <w:sz w:val="22"/>
          <w:szCs w:val="22"/>
        </w:rPr>
      </w:pPr>
      <w:r w:rsidRPr="001E47AD">
        <w:rPr>
          <w:sz w:val="22"/>
          <w:szCs w:val="22"/>
        </w:rPr>
        <w:t xml:space="preserve">On </w:t>
      </w:r>
      <w:r w:rsidRPr="001E47AD">
        <w:rPr>
          <w:sz w:val="22"/>
          <w:szCs w:val="22"/>
          <w:lang w:eastAsia="zh-CN"/>
        </w:rPr>
        <w:t>the</w:t>
      </w:r>
      <w:r w:rsidRPr="001E47AD">
        <w:rPr>
          <w:sz w:val="22"/>
          <w:szCs w:val="22"/>
        </w:rPr>
        <w:t xml:space="preserve"> supply side, consumer stockpiling propensity </w:t>
      </w:r>
      <w:r w:rsidRPr="001E47AD">
        <w:rPr>
          <w:noProof/>
          <w:sz w:val="22"/>
          <w:szCs w:val="22"/>
        </w:rPr>
        <w:t xml:space="preserve">is </w:t>
      </w:r>
      <w:r w:rsidRPr="001E47AD">
        <w:rPr>
          <w:noProof/>
          <w:sz w:val="22"/>
          <w:szCs w:val="22"/>
          <w:lang w:eastAsia="zh-CN"/>
        </w:rPr>
        <w:t>related to</w:t>
      </w:r>
      <w:r w:rsidRPr="001E47AD">
        <w:rPr>
          <w:noProof/>
          <w:sz w:val="22"/>
          <w:szCs w:val="22"/>
        </w:rPr>
        <w:t xml:space="preserve"> characteristics that affect a retailer’s </w:t>
      </w:r>
      <w:r w:rsidRPr="001E47AD">
        <w:rPr>
          <w:sz w:val="22"/>
          <w:szCs w:val="22"/>
        </w:rPr>
        <w:t>desirability</w:t>
      </w:r>
      <w:r w:rsidRPr="001E47AD">
        <w:rPr>
          <w:noProof/>
          <w:sz w:val="22"/>
          <w:szCs w:val="22"/>
        </w:rPr>
        <w:t>, s</w:t>
      </w:r>
      <w:r w:rsidRPr="001E47AD">
        <w:rPr>
          <w:sz w:val="22"/>
          <w:szCs w:val="22"/>
        </w:rPr>
        <w:t xml:space="preserve">uch as the retailer’s intra-regional store network, inter-regional store network, and product variety offered at a given outlet. As shown in </w:t>
      </w:r>
      <w:r w:rsidRPr="001E47AD">
        <w:rPr>
          <w:sz w:val="22"/>
          <w:szCs w:val="22"/>
        </w:rPr>
        <w:fldChar w:fldCharType="begin"/>
      </w:r>
      <w:r w:rsidRPr="001E47AD">
        <w:rPr>
          <w:sz w:val="22"/>
          <w:szCs w:val="22"/>
        </w:rPr>
        <w:instrText xml:space="preserve"> REF _Ref20094062 \h  \* MERGEFORMAT </w:instrText>
      </w:r>
      <w:r w:rsidRPr="001E47AD">
        <w:rPr>
          <w:sz w:val="22"/>
          <w:szCs w:val="22"/>
        </w:rPr>
      </w:r>
      <w:r w:rsidRPr="001E47AD">
        <w:rPr>
          <w:sz w:val="22"/>
          <w:szCs w:val="22"/>
        </w:rPr>
        <w:fldChar w:fldCharType="separate"/>
      </w:r>
      <w:r w:rsidR="009E3444" w:rsidRPr="001E47AD">
        <w:rPr>
          <w:sz w:val="22"/>
          <w:szCs w:val="22"/>
        </w:rPr>
        <w:t xml:space="preserve">Table </w:t>
      </w:r>
      <w:r w:rsidR="009E3444" w:rsidRPr="001E47AD">
        <w:rPr>
          <w:noProof/>
          <w:sz w:val="22"/>
          <w:szCs w:val="22"/>
        </w:rPr>
        <w:t>5</w:t>
      </w:r>
      <w:r w:rsidRPr="001E47AD">
        <w:rPr>
          <w:sz w:val="22"/>
          <w:szCs w:val="22"/>
        </w:rPr>
        <w:fldChar w:fldCharType="end"/>
      </w:r>
      <w:r w:rsidRPr="001E47AD">
        <w:rPr>
          <w:sz w:val="22"/>
          <w:szCs w:val="22"/>
        </w:rPr>
        <w:t>, with intra-country stores at the 25</w:t>
      </w:r>
      <w:r w:rsidRPr="001E47AD">
        <w:rPr>
          <w:sz w:val="22"/>
          <w:szCs w:val="22"/>
          <w:vertAlign w:val="superscript"/>
        </w:rPr>
        <w:t>th</w:t>
      </w:r>
      <w:r w:rsidRPr="001E47AD">
        <w:rPr>
          <w:sz w:val="22"/>
          <w:szCs w:val="22"/>
        </w:rPr>
        <w:t xml:space="preserve"> percentile, and an inter-regional store network and product variety at the 75</w:t>
      </w:r>
      <w:r w:rsidRPr="001E47AD">
        <w:rPr>
          <w:sz w:val="22"/>
          <w:szCs w:val="22"/>
          <w:vertAlign w:val="superscript"/>
        </w:rPr>
        <w:t>th</w:t>
      </w:r>
      <w:r w:rsidRPr="001E47AD">
        <w:rPr>
          <w:sz w:val="22"/>
          <w:szCs w:val="22"/>
        </w:rPr>
        <w:t xml:space="preserve"> percentile, stockpiling propensity approximately doubles</w:t>
      </w:r>
      <w:r w:rsidR="00D55370" w:rsidRPr="001E47AD">
        <w:rPr>
          <w:color w:val="0070C0"/>
          <w:sz w:val="22"/>
          <w:szCs w:val="22"/>
        </w:rPr>
        <w:t xml:space="preserve">, </w:t>
      </w:r>
      <w:r w:rsidR="00D55370" w:rsidRPr="001E47AD">
        <w:rPr>
          <w:sz w:val="22"/>
          <w:szCs w:val="22"/>
        </w:rPr>
        <w:t>an increase of 118 percentage points,</w:t>
      </w:r>
      <w:r w:rsidRPr="001E47AD">
        <w:rPr>
          <w:sz w:val="22"/>
          <w:szCs w:val="22"/>
        </w:rPr>
        <w:t xml:space="preserve"> compared to what would be experienced with an inter-county network at the 75</w:t>
      </w:r>
      <w:r w:rsidRPr="001E47AD">
        <w:rPr>
          <w:sz w:val="22"/>
          <w:szCs w:val="22"/>
          <w:vertAlign w:val="superscript"/>
        </w:rPr>
        <w:t>th</w:t>
      </w:r>
      <w:r w:rsidRPr="001E47AD">
        <w:rPr>
          <w:sz w:val="22"/>
          <w:szCs w:val="22"/>
        </w:rPr>
        <w:t xml:space="preserve"> percentile and an inter-regional network and product variety at the 25</w:t>
      </w:r>
      <w:r w:rsidRPr="001E47AD">
        <w:rPr>
          <w:sz w:val="22"/>
          <w:szCs w:val="22"/>
          <w:vertAlign w:val="superscript"/>
        </w:rPr>
        <w:t>th</w:t>
      </w:r>
      <w:r w:rsidRPr="001E47AD">
        <w:rPr>
          <w:sz w:val="22"/>
          <w:szCs w:val="22"/>
        </w:rPr>
        <w:t xml:space="preserve"> percentile. This result is largely driven by the inter-regional store network, implying that individuals generally head to the large national chain stores to stock bottled water in advance of hurricanes.</w:t>
      </w:r>
    </w:p>
    <w:p w14:paraId="352F75A5" w14:textId="0F32991C" w:rsidR="00681F22" w:rsidRPr="001E47AD" w:rsidRDefault="00681F22" w:rsidP="00277B7B">
      <w:pPr>
        <w:spacing w:before="240" w:after="120" w:line="480" w:lineRule="auto"/>
        <w:ind w:firstLine="720"/>
        <w:jc w:val="both"/>
        <w:rPr>
          <w:sz w:val="22"/>
          <w:szCs w:val="22"/>
        </w:rPr>
      </w:pPr>
      <w:r w:rsidRPr="001E47AD">
        <w:rPr>
          <w:sz w:val="22"/>
          <w:szCs w:val="22"/>
        </w:rPr>
        <w:t xml:space="preserve">On the demand side, consumer stockpiling propensity is </w:t>
      </w:r>
      <w:r w:rsidR="00670CF4" w:rsidRPr="001E47AD">
        <w:rPr>
          <w:sz w:val="22"/>
          <w:szCs w:val="22"/>
        </w:rPr>
        <w:t>linked with characteristics that influence risk perception and purchasing power, such as recent hurricane experience and per</w:t>
      </w:r>
      <w:r w:rsidR="00570F86" w:rsidRPr="001E47AD">
        <w:rPr>
          <w:sz w:val="22"/>
          <w:szCs w:val="22"/>
        </w:rPr>
        <w:t xml:space="preserve"> </w:t>
      </w:r>
      <w:r w:rsidR="00670CF4" w:rsidRPr="001E47AD">
        <w:rPr>
          <w:sz w:val="22"/>
          <w:szCs w:val="22"/>
        </w:rPr>
        <w:t xml:space="preserve">capita income. </w:t>
      </w:r>
      <w:r w:rsidR="00CB7CA6" w:rsidRPr="001E47AD">
        <w:rPr>
          <w:sz w:val="22"/>
          <w:szCs w:val="22"/>
        </w:rPr>
        <w:t xml:space="preserve">In </w:t>
      </w:r>
      <w:r w:rsidR="00CB7CA6" w:rsidRPr="001E47AD">
        <w:rPr>
          <w:sz w:val="22"/>
          <w:szCs w:val="22"/>
        </w:rPr>
        <w:fldChar w:fldCharType="begin"/>
      </w:r>
      <w:r w:rsidR="00CB7CA6" w:rsidRPr="001E47AD">
        <w:rPr>
          <w:sz w:val="22"/>
          <w:szCs w:val="22"/>
        </w:rPr>
        <w:instrText xml:space="preserve"> REF _Ref20094062 \h  \* MERGEFORMAT </w:instrText>
      </w:r>
      <w:r w:rsidR="00CB7CA6" w:rsidRPr="001E47AD">
        <w:rPr>
          <w:sz w:val="22"/>
          <w:szCs w:val="22"/>
        </w:rPr>
      </w:r>
      <w:r w:rsidR="00CB7CA6" w:rsidRPr="001E47AD">
        <w:rPr>
          <w:sz w:val="22"/>
          <w:szCs w:val="22"/>
        </w:rPr>
        <w:fldChar w:fldCharType="separate"/>
      </w:r>
      <w:r w:rsidR="009E3444" w:rsidRPr="001E47AD">
        <w:rPr>
          <w:sz w:val="22"/>
          <w:szCs w:val="22"/>
        </w:rPr>
        <w:t xml:space="preserve">Table </w:t>
      </w:r>
      <w:r w:rsidR="009E3444" w:rsidRPr="001E47AD">
        <w:rPr>
          <w:noProof/>
          <w:sz w:val="22"/>
          <w:szCs w:val="22"/>
        </w:rPr>
        <w:t>5</w:t>
      </w:r>
      <w:r w:rsidR="00CB7CA6" w:rsidRPr="001E47AD">
        <w:rPr>
          <w:sz w:val="22"/>
          <w:szCs w:val="22"/>
        </w:rPr>
        <w:fldChar w:fldCharType="end"/>
      </w:r>
      <w:r w:rsidR="00544002" w:rsidRPr="001E47AD">
        <w:rPr>
          <w:sz w:val="22"/>
          <w:szCs w:val="22"/>
        </w:rPr>
        <w:t xml:space="preserve">, </w:t>
      </w:r>
      <w:r w:rsidR="001F256D" w:rsidRPr="001E47AD">
        <w:rPr>
          <w:sz w:val="22"/>
          <w:szCs w:val="22"/>
        </w:rPr>
        <w:t>w</w:t>
      </w:r>
      <w:r w:rsidR="004116BF" w:rsidRPr="001E47AD">
        <w:rPr>
          <w:sz w:val="22"/>
          <w:szCs w:val="22"/>
          <w:lang w:eastAsia="zh-CN"/>
        </w:rPr>
        <w:t>hen the values of the two demand-side factors change from the 25</w:t>
      </w:r>
      <w:r w:rsidR="004116BF" w:rsidRPr="001E47AD">
        <w:rPr>
          <w:sz w:val="22"/>
          <w:szCs w:val="22"/>
          <w:vertAlign w:val="superscript"/>
          <w:lang w:eastAsia="zh-CN"/>
        </w:rPr>
        <w:t>th</w:t>
      </w:r>
      <w:r w:rsidR="004116BF" w:rsidRPr="001E47AD">
        <w:rPr>
          <w:sz w:val="22"/>
          <w:szCs w:val="22"/>
          <w:lang w:eastAsia="zh-CN"/>
        </w:rPr>
        <w:t xml:space="preserve"> percentile to the 75</w:t>
      </w:r>
      <w:r w:rsidR="004116BF" w:rsidRPr="001E47AD">
        <w:rPr>
          <w:sz w:val="22"/>
          <w:szCs w:val="22"/>
          <w:vertAlign w:val="superscript"/>
          <w:lang w:eastAsia="zh-CN"/>
        </w:rPr>
        <w:t>th</w:t>
      </w:r>
      <w:r w:rsidR="004116BF" w:rsidRPr="001E47AD">
        <w:rPr>
          <w:sz w:val="22"/>
          <w:szCs w:val="22"/>
          <w:lang w:eastAsia="zh-CN"/>
        </w:rPr>
        <w:t xml:space="preserve"> percentile</w:t>
      </w:r>
      <w:r w:rsidR="006A7FCD" w:rsidRPr="001E47AD">
        <w:rPr>
          <w:sz w:val="22"/>
          <w:szCs w:val="22"/>
          <w:lang w:eastAsia="zh-CN"/>
        </w:rPr>
        <w:t>; that is</w:t>
      </w:r>
      <w:r w:rsidR="004116BF" w:rsidRPr="001E47AD">
        <w:rPr>
          <w:sz w:val="22"/>
          <w:szCs w:val="22"/>
          <w:lang w:eastAsia="zh-CN"/>
        </w:rPr>
        <w:t>, from 0 landfalls and 36,400 dollars to 10 landfalls and 50,500 dollars—consumer stockpiling propensity increases by 18 percentage points.</w:t>
      </w:r>
      <w:r w:rsidR="007C65FB" w:rsidRPr="001E47AD">
        <w:rPr>
          <w:sz w:val="22"/>
          <w:szCs w:val="22"/>
          <w:lang w:eastAsia="zh-CN"/>
        </w:rPr>
        <w:t xml:space="preserve"> This result is driven by both hurricane experience and per capita income. </w:t>
      </w:r>
      <w:r w:rsidR="007C65FB" w:rsidRPr="001E47AD">
        <w:rPr>
          <w:sz w:val="22"/>
          <w:szCs w:val="22"/>
        </w:rPr>
        <w:t xml:space="preserve">Consumers with more hurricane experience and a </w:t>
      </w:r>
      <w:r w:rsidR="007C65FB" w:rsidRPr="001E47AD">
        <w:rPr>
          <w:noProof/>
          <w:sz w:val="22"/>
          <w:szCs w:val="22"/>
        </w:rPr>
        <w:t>higher-income</w:t>
      </w:r>
      <w:r w:rsidR="007C65FB" w:rsidRPr="001E47AD">
        <w:rPr>
          <w:sz w:val="22"/>
          <w:szCs w:val="22"/>
        </w:rPr>
        <w:t xml:space="preserve"> level may </w:t>
      </w:r>
      <w:r w:rsidR="007C65FB" w:rsidRPr="001E47AD">
        <w:rPr>
          <w:noProof/>
          <w:sz w:val="22"/>
          <w:szCs w:val="22"/>
        </w:rPr>
        <w:t>stockpile</w:t>
      </w:r>
      <w:r w:rsidR="007C65FB" w:rsidRPr="001E47AD">
        <w:rPr>
          <w:sz w:val="22"/>
          <w:szCs w:val="22"/>
        </w:rPr>
        <w:t xml:space="preserve"> more due to higher purchasing power and higher risk perception.</w:t>
      </w:r>
    </w:p>
    <w:p w14:paraId="0AC5289C" w14:textId="6DCB0A8B" w:rsidR="00277B7B" w:rsidRPr="001E47AD" w:rsidRDefault="00277B7B" w:rsidP="00277B7B">
      <w:pPr>
        <w:spacing w:before="120" w:after="120" w:line="480" w:lineRule="auto"/>
        <w:ind w:firstLine="720"/>
        <w:contextualSpacing/>
        <w:jc w:val="both"/>
        <w:rPr>
          <w:sz w:val="22"/>
          <w:szCs w:val="22"/>
          <w:lang w:eastAsia="zh-CN"/>
        </w:rPr>
      </w:pPr>
      <w:r w:rsidRPr="001E47AD">
        <w:rPr>
          <w:sz w:val="22"/>
          <w:szCs w:val="22"/>
        </w:rPr>
        <w:t xml:space="preserve">On the disaster side, consumer stockpiling propensity </w:t>
      </w:r>
      <w:r w:rsidRPr="001E47AD">
        <w:rPr>
          <w:noProof/>
          <w:sz w:val="22"/>
          <w:szCs w:val="22"/>
        </w:rPr>
        <w:t xml:space="preserve">is </w:t>
      </w:r>
      <w:r w:rsidRPr="001E47AD">
        <w:rPr>
          <w:noProof/>
          <w:sz w:val="22"/>
          <w:szCs w:val="22"/>
          <w:lang w:eastAsia="zh-CN"/>
        </w:rPr>
        <w:t>associated with</w:t>
      </w:r>
      <w:r w:rsidRPr="001E47AD">
        <w:rPr>
          <w:sz w:val="22"/>
          <w:szCs w:val="22"/>
        </w:rPr>
        <w:t xml:space="preserve"> </w:t>
      </w:r>
      <w:r w:rsidRPr="001E47AD">
        <w:rPr>
          <w:sz w:val="22"/>
          <w:szCs w:val="22"/>
          <w:lang w:eastAsia="zh-CN"/>
        </w:rPr>
        <w:t xml:space="preserve">varying </w:t>
      </w:r>
      <w:r w:rsidRPr="001E47AD">
        <w:rPr>
          <w:sz w:val="22"/>
          <w:szCs w:val="22"/>
        </w:rPr>
        <w:t xml:space="preserve">factors that impact risk magnitude and consumer response, such as </w:t>
      </w:r>
      <w:r w:rsidRPr="001E47AD">
        <w:rPr>
          <w:noProof/>
          <w:sz w:val="22"/>
          <w:szCs w:val="22"/>
        </w:rPr>
        <w:t>distance</w:t>
      </w:r>
      <w:r w:rsidRPr="001E47AD">
        <w:rPr>
          <w:sz w:val="22"/>
          <w:szCs w:val="22"/>
        </w:rPr>
        <w:t xml:space="preserve"> to hurricane landfall, </w:t>
      </w:r>
      <w:r w:rsidRPr="001E47AD">
        <w:rPr>
          <w:sz w:val="22"/>
          <w:szCs w:val="22"/>
          <w:lang w:eastAsia="zh-CN"/>
        </w:rPr>
        <w:t>distance to the hurricane’s path</w:t>
      </w:r>
      <w:r w:rsidRPr="001E47AD">
        <w:rPr>
          <w:rFonts w:eastAsia="Times New Roman"/>
          <w:sz w:val="22"/>
          <w:szCs w:val="22"/>
        </w:rPr>
        <w:t xml:space="preserve">, and the intensity of </w:t>
      </w:r>
      <w:r w:rsidRPr="001E47AD">
        <w:rPr>
          <w:rFonts w:eastAsia="Times New Roman"/>
          <w:noProof/>
          <w:sz w:val="22"/>
          <w:szCs w:val="22"/>
        </w:rPr>
        <w:t>storm winds</w:t>
      </w:r>
      <w:r w:rsidRPr="001E47AD">
        <w:rPr>
          <w:noProof/>
          <w:sz w:val="22"/>
          <w:szCs w:val="22"/>
          <w:lang w:eastAsia="zh-CN"/>
        </w:rPr>
        <w:t xml:space="preserve">. As illustrated in </w:t>
      </w:r>
      <w:r w:rsidRPr="001E47AD">
        <w:rPr>
          <w:noProof/>
          <w:sz w:val="22"/>
          <w:szCs w:val="22"/>
          <w:lang w:eastAsia="zh-CN"/>
        </w:rPr>
        <w:fldChar w:fldCharType="begin"/>
      </w:r>
      <w:r w:rsidRPr="001E47AD">
        <w:rPr>
          <w:noProof/>
          <w:sz w:val="22"/>
          <w:szCs w:val="22"/>
          <w:lang w:eastAsia="zh-CN"/>
        </w:rPr>
        <w:instrText xml:space="preserve"> REF _Ref20094062 \h  \* MERGEFORMAT </w:instrText>
      </w:r>
      <w:r w:rsidRPr="001E47AD">
        <w:rPr>
          <w:noProof/>
          <w:sz w:val="22"/>
          <w:szCs w:val="22"/>
          <w:lang w:eastAsia="zh-CN"/>
        </w:rPr>
      </w:r>
      <w:r w:rsidRPr="001E47AD">
        <w:rPr>
          <w:noProof/>
          <w:sz w:val="22"/>
          <w:szCs w:val="22"/>
          <w:lang w:eastAsia="zh-CN"/>
        </w:rPr>
        <w:fldChar w:fldCharType="separate"/>
      </w:r>
      <w:r w:rsidR="009E3444" w:rsidRPr="001E47AD">
        <w:rPr>
          <w:sz w:val="22"/>
          <w:szCs w:val="22"/>
        </w:rPr>
        <w:t xml:space="preserve">Table </w:t>
      </w:r>
      <w:r w:rsidR="009E3444" w:rsidRPr="001E47AD">
        <w:rPr>
          <w:noProof/>
          <w:sz w:val="22"/>
          <w:szCs w:val="22"/>
        </w:rPr>
        <w:t>5</w:t>
      </w:r>
      <w:r w:rsidRPr="001E47AD">
        <w:rPr>
          <w:noProof/>
          <w:sz w:val="22"/>
          <w:szCs w:val="22"/>
          <w:lang w:eastAsia="zh-CN"/>
        </w:rPr>
        <w:fldChar w:fldCharType="end"/>
      </w:r>
      <w:r w:rsidRPr="001E47AD">
        <w:rPr>
          <w:noProof/>
          <w:sz w:val="22"/>
          <w:szCs w:val="22"/>
          <w:lang w:eastAsia="zh-CN"/>
        </w:rPr>
        <w:t xml:space="preserve">, </w:t>
      </w:r>
      <w:r w:rsidRPr="001E47AD">
        <w:rPr>
          <w:sz w:val="22"/>
          <w:szCs w:val="22"/>
          <w:lang w:eastAsia="zh-CN"/>
        </w:rPr>
        <w:t xml:space="preserve">when the three disaster factors—distance from landfall, distance from track and wind strength—change from </w:t>
      </w:r>
      <w:r w:rsidRPr="001E47AD">
        <w:rPr>
          <w:rFonts w:hint="eastAsia"/>
          <w:sz w:val="22"/>
          <w:szCs w:val="22"/>
          <w:lang w:eastAsia="zh-CN"/>
        </w:rPr>
        <w:t>508</w:t>
      </w:r>
      <w:r w:rsidRPr="001E47AD">
        <w:rPr>
          <w:sz w:val="22"/>
          <w:szCs w:val="22"/>
          <w:lang w:eastAsia="zh-CN"/>
        </w:rPr>
        <w:t xml:space="preserve"> miles, </w:t>
      </w:r>
      <w:r w:rsidRPr="001E47AD">
        <w:rPr>
          <w:rFonts w:hint="eastAsia"/>
          <w:sz w:val="22"/>
          <w:szCs w:val="22"/>
          <w:lang w:eastAsia="zh-CN"/>
        </w:rPr>
        <w:t>233</w:t>
      </w:r>
      <w:r w:rsidRPr="001E47AD">
        <w:rPr>
          <w:sz w:val="22"/>
          <w:szCs w:val="22"/>
          <w:lang w:eastAsia="zh-CN"/>
        </w:rPr>
        <w:t xml:space="preserve"> </w:t>
      </w:r>
      <w:r w:rsidRPr="001E47AD">
        <w:rPr>
          <w:sz w:val="22"/>
          <w:szCs w:val="22"/>
          <w:lang w:eastAsia="zh-CN"/>
        </w:rPr>
        <w:lastRenderedPageBreak/>
        <w:t xml:space="preserve">miles, and </w:t>
      </w:r>
      <w:r w:rsidRPr="001E47AD">
        <w:rPr>
          <w:rFonts w:hint="eastAsia"/>
          <w:sz w:val="22"/>
          <w:szCs w:val="22"/>
          <w:lang w:eastAsia="zh-CN"/>
        </w:rPr>
        <w:t>7</w:t>
      </w:r>
      <w:r w:rsidRPr="001E47AD">
        <w:rPr>
          <w:sz w:val="22"/>
          <w:szCs w:val="22"/>
          <w:lang w:eastAsia="zh-CN"/>
        </w:rPr>
        <w:t xml:space="preserve">0 miles per hour, respectively, to </w:t>
      </w:r>
      <w:r w:rsidRPr="001E47AD">
        <w:rPr>
          <w:rFonts w:hint="eastAsia"/>
          <w:sz w:val="22"/>
          <w:szCs w:val="22"/>
          <w:lang w:eastAsia="zh-CN"/>
        </w:rPr>
        <w:t>151</w:t>
      </w:r>
      <w:r w:rsidRPr="001E47AD">
        <w:rPr>
          <w:sz w:val="22"/>
          <w:szCs w:val="22"/>
          <w:lang w:eastAsia="zh-CN"/>
        </w:rPr>
        <w:t xml:space="preserve"> miles, </w:t>
      </w:r>
      <w:r w:rsidRPr="001E47AD">
        <w:rPr>
          <w:rFonts w:hint="eastAsia"/>
          <w:sz w:val="22"/>
          <w:szCs w:val="22"/>
          <w:lang w:eastAsia="zh-CN"/>
        </w:rPr>
        <w:t>92</w:t>
      </w:r>
      <w:r w:rsidRPr="001E47AD">
        <w:rPr>
          <w:sz w:val="22"/>
          <w:szCs w:val="22"/>
          <w:lang w:eastAsia="zh-CN"/>
        </w:rPr>
        <w:t xml:space="preserve"> miles, and </w:t>
      </w:r>
      <w:r w:rsidRPr="001E47AD">
        <w:rPr>
          <w:rFonts w:hint="eastAsia"/>
          <w:sz w:val="22"/>
          <w:szCs w:val="22"/>
          <w:lang w:eastAsia="zh-CN"/>
        </w:rPr>
        <w:t>5</w:t>
      </w:r>
      <w:r w:rsidRPr="001E47AD">
        <w:rPr>
          <w:sz w:val="22"/>
          <w:szCs w:val="22"/>
          <w:lang w:eastAsia="zh-CN"/>
        </w:rPr>
        <w:t>0 miles per hour,</w:t>
      </w:r>
      <w:r w:rsidRPr="001E47AD">
        <w:rPr>
          <w:sz w:val="22"/>
          <w:szCs w:val="22"/>
        </w:rPr>
        <w:t xml:space="preserve"> there is a </w:t>
      </w:r>
      <w:r w:rsidRPr="001E47AD">
        <w:rPr>
          <w:rFonts w:hint="eastAsia"/>
          <w:sz w:val="22"/>
          <w:szCs w:val="22"/>
          <w:lang w:eastAsia="zh-CN"/>
        </w:rPr>
        <w:t>55</w:t>
      </w:r>
      <w:r w:rsidRPr="001E47AD">
        <w:rPr>
          <w:sz w:val="22"/>
          <w:szCs w:val="22"/>
          <w:lang w:eastAsia="zh-CN"/>
        </w:rPr>
        <w:t xml:space="preserve"> percentage point</w:t>
      </w:r>
      <w:r w:rsidR="007339CF" w:rsidRPr="001E47AD">
        <w:rPr>
          <w:sz w:val="22"/>
          <w:szCs w:val="22"/>
          <w:lang w:eastAsia="zh-CN"/>
        </w:rPr>
        <w:t>s</w:t>
      </w:r>
      <w:r w:rsidRPr="001E47AD">
        <w:rPr>
          <w:sz w:val="22"/>
          <w:szCs w:val="22"/>
          <w:lang w:eastAsia="zh-CN"/>
        </w:rPr>
        <w:t xml:space="preserve"> </w:t>
      </w:r>
      <w:r w:rsidRPr="001E47AD">
        <w:rPr>
          <w:rFonts w:hint="eastAsia"/>
          <w:sz w:val="22"/>
          <w:szCs w:val="22"/>
          <w:lang w:eastAsia="zh-CN"/>
        </w:rPr>
        <w:t>in</w:t>
      </w:r>
      <w:r w:rsidRPr="001E47AD">
        <w:rPr>
          <w:sz w:val="22"/>
          <w:szCs w:val="22"/>
          <w:lang w:eastAsia="zh-CN"/>
        </w:rPr>
        <w:t xml:space="preserve">crease in </w:t>
      </w:r>
      <w:r w:rsidRPr="001E47AD">
        <w:rPr>
          <w:sz w:val="22"/>
          <w:szCs w:val="22"/>
        </w:rPr>
        <w:t>consumer stockpiling propensity</w:t>
      </w:r>
      <w:r w:rsidRPr="001E47AD">
        <w:rPr>
          <w:sz w:val="22"/>
          <w:szCs w:val="22"/>
          <w:lang w:eastAsia="zh-CN"/>
        </w:rPr>
        <w:t xml:space="preserve">. This result is </w:t>
      </w:r>
      <w:r w:rsidRPr="001E47AD">
        <w:rPr>
          <w:rFonts w:hint="eastAsia"/>
          <w:sz w:val="22"/>
          <w:szCs w:val="22"/>
          <w:lang w:eastAsia="zh-CN"/>
        </w:rPr>
        <w:t xml:space="preserve">primarily </w:t>
      </w:r>
      <w:r w:rsidRPr="001E47AD">
        <w:rPr>
          <w:sz w:val="22"/>
          <w:szCs w:val="22"/>
          <w:lang w:eastAsia="zh-CN"/>
        </w:rPr>
        <w:t xml:space="preserve">driven by the impacts of the </w:t>
      </w:r>
      <w:r w:rsidRPr="001E47AD">
        <w:rPr>
          <w:rFonts w:hint="eastAsia"/>
          <w:sz w:val="22"/>
          <w:szCs w:val="22"/>
          <w:lang w:eastAsia="zh-CN"/>
        </w:rPr>
        <w:t>two</w:t>
      </w:r>
      <w:r w:rsidRPr="001E47AD">
        <w:rPr>
          <w:sz w:val="22"/>
          <w:szCs w:val="22"/>
          <w:lang w:eastAsia="zh-CN"/>
        </w:rPr>
        <w:t xml:space="preserve"> hazard-</w:t>
      </w:r>
      <w:r w:rsidRPr="001E47AD">
        <w:rPr>
          <w:rFonts w:hint="eastAsia"/>
          <w:sz w:val="22"/>
          <w:szCs w:val="22"/>
          <w:lang w:eastAsia="zh-CN"/>
        </w:rPr>
        <w:t>proximity</w:t>
      </w:r>
      <w:r w:rsidRPr="001E47AD">
        <w:rPr>
          <w:sz w:val="22"/>
          <w:szCs w:val="22"/>
          <w:lang w:eastAsia="zh-CN"/>
        </w:rPr>
        <w:t xml:space="preserve"> factors. </w:t>
      </w:r>
    </w:p>
    <w:p w14:paraId="7EEAFF13" w14:textId="3D5DDBE7" w:rsidR="00DC2332" w:rsidRPr="001E47AD" w:rsidRDefault="00DC2332" w:rsidP="00DC2332">
      <w:pPr>
        <w:spacing w:before="120" w:after="120" w:line="480" w:lineRule="auto"/>
        <w:contextualSpacing/>
        <w:jc w:val="both"/>
        <w:rPr>
          <w:sz w:val="22"/>
          <w:szCs w:val="22"/>
        </w:rPr>
      </w:pPr>
      <w:bookmarkStart w:id="64" w:name="_Ref20094062"/>
      <w:r w:rsidRPr="001E47AD">
        <w:rPr>
          <w:sz w:val="22"/>
          <w:szCs w:val="22"/>
        </w:rPr>
        <w:t xml:space="preserve">Table </w:t>
      </w:r>
      <w:r w:rsidRPr="001E47AD">
        <w:rPr>
          <w:noProof/>
          <w:sz w:val="22"/>
          <w:szCs w:val="22"/>
        </w:rPr>
        <w:fldChar w:fldCharType="begin"/>
      </w:r>
      <w:r w:rsidRPr="001E47AD">
        <w:rPr>
          <w:noProof/>
          <w:sz w:val="22"/>
          <w:szCs w:val="22"/>
        </w:rPr>
        <w:instrText xml:space="preserve"> SEQ Table \* ARABIC </w:instrText>
      </w:r>
      <w:r w:rsidRPr="001E47AD">
        <w:rPr>
          <w:noProof/>
          <w:sz w:val="22"/>
          <w:szCs w:val="22"/>
        </w:rPr>
        <w:fldChar w:fldCharType="separate"/>
      </w:r>
      <w:r w:rsidR="009E3444" w:rsidRPr="001E47AD">
        <w:rPr>
          <w:noProof/>
          <w:sz w:val="22"/>
          <w:szCs w:val="22"/>
        </w:rPr>
        <w:t>5</w:t>
      </w:r>
      <w:r w:rsidRPr="001E47AD">
        <w:rPr>
          <w:noProof/>
          <w:sz w:val="22"/>
          <w:szCs w:val="22"/>
        </w:rPr>
        <w:fldChar w:fldCharType="end"/>
      </w:r>
      <w:bookmarkEnd w:id="64"/>
      <w:r w:rsidRPr="001E47AD">
        <w:rPr>
          <w:sz w:val="22"/>
          <w:szCs w:val="22"/>
        </w:rPr>
        <w:t>: Compound Impact of Supply-Side, Demand-Side, and Disaster Characteristics</w:t>
      </w:r>
      <w:r w:rsidRPr="001E47AD">
        <w:rPr>
          <w:rStyle w:val="FootnoteReference"/>
          <w:sz w:val="22"/>
          <w:szCs w:val="22"/>
          <w:lang w:eastAsia="zh-CN"/>
        </w:rPr>
        <w:footnoteReference w:id="26"/>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70"/>
        <w:gridCol w:w="3038"/>
        <w:gridCol w:w="1147"/>
        <w:gridCol w:w="1147"/>
        <w:gridCol w:w="1174"/>
      </w:tblGrid>
      <w:tr w:rsidR="00DC2332" w:rsidRPr="001E47AD" w14:paraId="504A2867" w14:textId="77777777" w:rsidTr="00CD06A1">
        <w:trPr>
          <w:trHeight w:val="300"/>
        </w:trPr>
        <w:tc>
          <w:tcPr>
            <w:tcW w:w="3189" w:type="pct"/>
            <w:gridSpan w:val="2"/>
            <w:tcBorders>
              <w:bottom w:val="single" w:sz="4" w:space="0" w:color="auto"/>
              <w:right w:val="nil"/>
            </w:tcBorders>
            <w:shd w:val="clear" w:color="auto" w:fill="auto"/>
            <w:noWrap/>
            <w:vAlign w:val="center"/>
            <w:hideMark/>
          </w:tcPr>
          <w:p w14:paraId="184880AE" w14:textId="77777777" w:rsidR="00DC2332" w:rsidRPr="001E47AD" w:rsidRDefault="00DC2332" w:rsidP="00CD06A1">
            <w:pPr>
              <w:rPr>
                <w:sz w:val="16"/>
                <w:szCs w:val="16"/>
              </w:rPr>
            </w:pPr>
          </w:p>
        </w:tc>
        <w:tc>
          <w:tcPr>
            <w:tcW w:w="1811" w:type="pct"/>
            <w:gridSpan w:val="3"/>
            <w:tcBorders>
              <w:left w:val="nil"/>
              <w:bottom w:val="single" w:sz="4" w:space="0" w:color="auto"/>
            </w:tcBorders>
            <w:shd w:val="clear" w:color="auto" w:fill="auto"/>
            <w:noWrap/>
            <w:vAlign w:val="center"/>
          </w:tcPr>
          <w:p w14:paraId="307D4198" w14:textId="77777777" w:rsidR="00DC2332" w:rsidRPr="001E47AD" w:rsidRDefault="00DC2332" w:rsidP="00CD06A1">
            <w:pPr>
              <w:jc w:val="center"/>
              <w:rPr>
                <w:sz w:val="16"/>
                <w:szCs w:val="16"/>
              </w:rPr>
            </w:pPr>
            <w:r w:rsidRPr="001E47AD">
              <w:rPr>
                <w:rFonts w:hint="eastAsia"/>
                <w:sz w:val="16"/>
                <w:szCs w:val="16"/>
                <w:lang w:eastAsia="zh-CN"/>
              </w:rPr>
              <w:t xml:space="preserve">Impact on </w:t>
            </w:r>
            <w:r w:rsidRPr="001E47AD">
              <w:rPr>
                <w:sz w:val="16"/>
                <w:szCs w:val="16"/>
              </w:rPr>
              <w:t>Consumer Stockpiling Propensity</w:t>
            </w:r>
          </w:p>
        </w:tc>
      </w:tr>
      <w:tr w:rsidR="00DC2332" w:rsidRPr="001E47AD" w14:paraId="14DD5B13" w14:textId="77777777" w:rsidTr="00CD06A1">
        <w:trPr>
          <w:trHeight w:val="300"/>
        </w:trPr>
        <w:tc>
          <w:tcPr>
            <w:tcW w:w="1603" w:type="pct"/>
            <w:tcBorders>
              <w:top w:val="single" w:sz="4" w:space="0" w:color="auto"/>
              <w:bottom w:val="nil"/>
              <w:right w:val="nil"/>
            </w:tcBorders>
            <w:shd w:val="clear" w:color="auto" w:fill="auto"/>
            <w:noWrap/>
            <w:vAlign w:val="center"/>
          </w:tcPr>
          <w:p w14:paraId="47FCDC7F" w14:textId="77777777" w:rsidR="00DC2332" w:rsidRPr="001E47AD" w:rsidRDefault="00DC2332" w:rsidP="00CD06A1">
            <w:pPr>
              <w:rPr>
                <w:sz w:val="16"/>
                <w:szCs w:val="16"/>
              </w:rPr>
            </w:pPr>
            <w:r w:rsidRPr="001E47AD">
              <w:rPr>
                <w:sz w:val="16"/>
                <w:szCs w:val="16"/>
              </w:rPr>
              <w:t>Supply-Side Characteristics</w:t>
            </w:r>
          </w:p>
        </w:tc>
        <w:tc>
          <w:tcPr>
            <w:tcW w:w="1586" w:type="pct"/>
            <w:tcBorders>
              <w:top w:val="single" w:sz="4" w:space="0" w:color="auto"/>
              <w:left w:val="nil"/>
              <w:bottom w:val="nil"/>
              <w:right w:val="nil"/>
            </w:tcBorders>
            <w:vAlign w:val="center"/>
          </w:tcPr>
          <w:p w14:paraId="4AA3CF40" w14:textId="77777777" w:rsidR="00DC2332" w:rsidRPr="001E47AD" w:rsidRDefault="00DC2332" w:rsidP="00CD06A1">
            <w:pPr>
              <w:rPr>
                <w:i/>
                <w:sz w:val="16"/>
                <w:szCs w:val="16"/>
              </w:rPr>
            </w:pPr>
          </w:p>
        </w:tc>
        <w:tc>
          <w:tcPr>
            <w:tcW w:w="599" w:type="pct"/>
            <w:tcBorders>
              <w:top w:val="single" w:sz="4" w:space="0" w:color="auto"/>
              <w:left w:val="nil"/>
              <w:bottom w:val="nil"/>
              <w:right w:val="nil"/>
            </w:tcBorders>
            <w:shd w:val="clear" w:color="auto" w:fill="auto"/>
            <w:noWrap/>
            <w:vAlign w:val="center"/>
          </w:tcPr>
          <w:p w14:paraId="09529F4C" w14:textId="77777777" w:rsidR="00DC2332" w:rsidRPr="001E47AD" w:rsidRDefault="00DC2332" w:rsidP="00CD06A1">
            <w:pPr>
              <w:jc w:val="right"/>
              <w:rPr>
                <w:i/>
                <w:sz w:val="16"/>
                <w:szCs w:val="16"/>
              </w:rPr>
            </w:pPr>
          </w:p>
        </w:tc>
        <w:tc>
          <w:tcPr>
            <w:tcW w:w="599" w:type="pct"/>
            <w:tcBorders>
              <w:top w:val="single" w:sz="4" w:space="0" w:color="auto"/>
              <w:left w:val="nil"/>
              <w:bottom w:val="nil"/>
              <w:right w:val="nil"/>
            </w:tcBorders>
            <w:shd w:val="clear" w:color="auto" w:fill="auto"/>
            <w:noWrap/>
            <w:vAlign w:val="center"/>
          </w:tcPr>
          <w:p w14:paraId="41B5E04E" w14:textId="77777777" w:rsidR="00DC2332" w:rsidRPr="001E47AD" w:rsidRDefault="00DC2332" w:rsidP="00CD06A1">
            <w:pPr>
              <w:jc w:val="right"/>
              <w:rPr>
                <w:i/>
                <w:sz w:val="16"/>
                <w:szCs w:val="16"/>
              </w:rPr>
            </w:pPr>
          </w:p>
        </w:tc>
        <w:tc>
          <w:tcPr>
            <w:tcW w:w="613" w:type="pct"/>
            <w:tcBorders>
              <w:top w:val="single" w:sz="4" w:space="0" w:color="auto"/>
              <w:left w:val="nil"/>
              <w:bottom w:val="nil"/>
            </w:tcBorders>
            <w:shd w:val="clear" w:color="auto" w:fill="auto"/>
            <w:noWrap/>
            <w:vAlign w:val="center"/>
          </w:tcPr>
          <w:p w14:paraId="796AE4ED" w14:textId="77777777" w:rsidR="00DC2332" w:rsidRPr="001E47AD" w:rsidRDefault="00DC2332" w:rsidP="00CD06A1">
            <w:pPr>
              <w:jc w:val="right"/>
              <w:rPr>
                <w:i/>
                <w:sz w:val="16"/>
                <w:szCs w:val="16"/>
              </w:rPr>
            </w:pPr>
          </w:p>
        </w:tc>
      </w:tr>
      <w:tr w:rsidR="00DC2332" w:rsidRPr="001E47AD" w14:paraId="01766760" w14:textId="77777777" w:rsidTr="00CD06A1">
        <w:trPr>
          <w:trHeight w:val="300"/>
        </w:trPr>
        <w:tc>
          <w:tcPr>
            <w:tcW w:w="1603" w:type="pct"/>
            <w:tcBorders>
              <w:top w:val="nil"/>
              <w:bottom w:val="nil"/>
              <w:right w:val="nil"/>
            </w:tcBorders>
            <w:shd w:val="clear" w:color="auto" w:fill="auto"/>
            <w:noWrap/>
            <w:vAlign w:val="center"/>
            <w:hideMark/>
          </w:tcPr>
          <w:p w14:paraId="0AFBAEDD" w14:textId="77777777" w:rsidR="00DC2332" w:rsidRPr="001E47AD" w:rsidRDefault="00DC2332" w:rsidP="00CD06A1">
            <w:pPr>
              <w:rPr>
                <w:sz w:val="16"/>
                <w:szCs w:val="16"/>
              </w:rPr>
            </w:pPr>
            <m:oMathPara>
              <m:oMathParaPr>
                <m:jc m:val="left"/>
              </m:oMathParaPr>
              <m:oMath>
                <m:r>
                  <m:rPr>
                    <m:sty m:val="p"/>
                  </m:rPr>
                  <w:rPr>
                    <w:rFonts w:ascii="Cambria Math" w:hAnsi="Cambria Math"/>
                    <w:sz w:val="16"/>
                    <w:szCs w:val="16"/>
                  </w:rPr>
                  <m:t>INTRA_NTW_COUNTY</m:t>
                </m:r>
              </m:oMath>
            </m:oMathPara>
          </w:p>
        </w:tc>
        <w:tc>
          <w:tcPr>
            <w:tcW w:w="1586" w:type="pct"/>
            <w:tcBorders>
              <w:top w:val="nil"/>
              <w:left w:val="nil"/>
              <w:bottom w:val="nil"/>
              <w:right w:val="nil"/>
            </w:tcBorders>
            <w:vAlign w:val="center"/>
          </w:tcPr>
          <w:p w14:paraId="74700848" w14:textId="77777777" w:rsidR="00DC2332" w:rsidRPr="001E47AD" w:rsidRDefault="00DC2332" w:rsidP="00CD06A1">
            <w:pPr>
              <w:rPr>
                <w:sz w:val="16"/>
                <w:szCs w:val="16"/>
                <w:lang w:eastAsia="zh-CN"/>
              </w:rPr>
            </w:pPr>
            <w:r w:rsidRPr="001E47AD">
              <w:rPr>
                <w:sz w:val="16"/>
                <w:szCs w:val="16"/>
              </w:rPr>
              <w:t>Stores</w:t>
            </w:r>
            <w:r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tcPr>
          <w:p w14:paraId="08FAB49C" w14:textId="77777777" w:rsidR="00DC2332" w:rsidRPr="001E47AD" w:rsidRDefault="00DC2332" w:rsidP="00CD06A1">
            <w:pPr>
              <w:jc w:val="right"/>
              <w:rPr>
                <w:sz w:val="16"/>
                <w:szCs w:val="16"/>
                <w:lang w:eastAsia="zh-CN"/>
              </w:rPr>
            </w:pPr>
            <w:r w:rsidRPr="001E47AD">
              <w:rPr>
                <w:sz w:val="16"/>
                <w:szCs w:val="16"/>
              </w:rPr>
              <w:t>22</w:t>
            </w:r>
            <w:r w:rsidRPr="001E47AD">
              <w:rPr>
                <w:rFonts w:hint="eastAsia"/>
                <w:sz w:val="16"/>
                <w:szCs w:val="16"/>
                <w:lang w:eastAsia="zh-CN"/>
              </w:rPr>
              <w:t xml:space="preserve"> (75th)</w:t>
            </w:r>
          </w:p>
        </w:tc>
        <w:tc>
          <w:tcPr>
            <w:tcW w:w="599" w:type="pct"/>
            <w:tcBorders>
              <w:top w:val="nil"/>
              <w:left w:val="nil"/>
              <w:bottom w:val="nil"/>
              <w:right w:val="nil"/>
            </w:tcBorders>
            <w:shd w:val="clear" w:color="auto" w:fill="auto"/>
            <w:noWrap/>
            <w:vAlign w:val="center"/>
            <w:hideMark/>
          </w:tcPr>
          <w:p w14:paraId="14EF814B" w14:textId="77777777" w:rsidR="00DC2332" w:rsidRPr="001E47AD" w:rsidRDefault="00DC2332" w:rsidP="00CD06A1">
            <w:pPr>
              <w:jc w:val="right"/>
              <w:rPr>
                <w:sz w:val="16"/>
                <w:szCs w:val="16"/>
                <w:lang w:eastAsia="zh-CN"/>
              </w:rPr>
            </w:pPr>
            <w:r w:rsidRPr="001E47AD">
              <w:rPr>
                <w:sz w:val="16"/>
                <w:szCs w:val="16"/>
              </w:rPr>
              <w:t>9</w:t>
            </w:r>
            <w:r w:rsidRPr="001E47AD">
              <w:rPr>
                <w:rFonts w:hint="eastAsia"/>
                <w:sz w:val="16"/>
                <w:szCs w:val="16"/>
                <w:lang w:eastAsia="zh-CN"/>
              </w:rPr>
              <w:t xml:space="preserve"> (50th)</w:t>
            </w:r>
          </w:p>
        </w:tc>
        <w:tc>
          <w:tcPr>
            <w:tcW w:w="613" w:type="pct"/>
            <w:tcBorders>
              <w:top w:val="nil"/>
              <w:left w:val="nil"/>
              <w:bottom w:val="nil"/>
            </w:tcBorders>
            <w:shd w:val="clear" w:color="auto" w:fill="auto"/>
            <w:noWrap/>
            <w:vAlign w:val="center"/>
          </w:tcPr>
          <w:p w14:paraId="433FCBB3" w14:textId="77777777" w:rsidR="00DC2332" w:rsidRPr="001E47AD" w:rsidRDefault="00DC2332" w:rsidP="00CD06A1">
            <w:pPr>
              <w:jc w:val="right"/>
              <w:rPr>
                <w:sz w:val="16"/>
                <w:szCs w:val="16"/>
                <w:lang w:eastAsia="zh-CN"/>
              </w:rPr>
            </w:pPr>
            <w:r w:rsidRPr="001E47AD">
              <w:rPr>
                <w:sz w:val="16"/>
                <w:szCs w:val="16"/>
              </w:rPr>
              <w:t>4</w:t>
            </w:r>
            <w:r w:rsidRPr="001E47AD">
              <w:rPr>
                <w:rFonts w:hint="eastAsia"/>
                <w:sz w:val="16"/>
                <w:szCs w:val="16"/>
                <w:lang w:eastAsia="zh-CN"/>
              </w:rPr>
              <w:t xml:space="preserve"> (25th)</w:t>
            </w:r>
          </w:p>
        </w:tc>
      </w:tr>
      <w:tr w:rsidR="00DC2332" w:rsidRPr="001E47AD" w14:paraId="1A1CD6AF" w14:textId="77777777" w:rsidTr="00CD06A1">
        <w:trPr>
          <w:trHeight w:val="300"/>
        </w:trPr>
        <w:tc>
          <w:tcPr>
            <w:tcW w:w="1603" w:type="pct"/>
            <w:tcBorders>
              <w:top w:val="nil"/>
              <w:bottom w:val="nil"/>
              <w:right w:val="nil"/>
            </w:tcBorders>
            <w:shd w:val="clear" w:color="auto" w:fill="auto"/>
            <w:noWrap/>
            <w:vAlign w:val="center"/>
          </w:tcPr>
          <w:p w14:paraId="36687D15"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619352BD"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6BDA063B" w14:textId="77777777" w:rsidR="00DC2332" w:rsidRPr="001E47AD" w:rsidRDefault="00DC2332" w:rsidP="00CD06A1">
            <w:pPr>
              <w:jc w:val="right"/>
              <w:rPr>
                <w:sz w:val="16"/>
                <w:szCs w:val="16"/>
              </w:rPr>
            </w:pPr>
            <w:r w:rsidRPr="001E47AD">
              <w:rPr>
                <w:sz w:val="16"/>
                <w:szCs w:val="16"/>
              </w:rPr>
              <w:t>95.11%</w:t>
            </w:r>
          </w:p>
        </w:tc>
        <w:tc>
          <w:tcPr>
            <w:tcW w:w="599" w:type="pct"/>
            <w:tcBorders>
              <w:top w:val="nil"/>
              <w:left w:val="nil"/>
              <w:bottom w:val="nil"/>
              <w:right w:val="nil"/>
            </w:tcBorders>
            <w:shd w:val="clear" w:color="auto" w:fill="auto"/>
            <w:noWrap/>
            <w:vAlign w:val="center"/>
          </w:tcPr>
          <w:p w14:paraId="262E0304" w14:textId="77777777" w:rsidR="00DC2332" w:rsidRPr="001E47AD" w:rsidRDefault="00DC2332" w:rsidP="00CD06A1">
            <w:pPr>
              <w:jc w:val="right"/>
              <w:rPr>
                <w:sz w:val="16"/>
                <w:szCs w:val="16"/>
              </w:rPr>
            </w:pPr>
            <w:r w:rsidRPr="001E47AD">
              <w:rPr>
                <w:sz w:val="16"/>
                <w:szCs w:val="16"/>
              </w:rPr>
              <w:t>97.91%</w:t>
            </w:r>
          </w:p>
        </w:tc>
        <w:tc>
          <w:tcPr>
            <w:tcW w:w="613" w:type="pct"/>
            <w:tcBorders>
              <w:top w:val="nil"/>
              <w:left w:val="nil"/>
              <w:bottom w:val="nil"/>
            </w:tcBorders>
            <w:shd w:val="clear" w:color="auto" w:fill="auto"/>
            <w:noWrap/>
            <w:vAlign w:val="center"/>
          </w:tcPr>
          <w:p w14:paraId="4E36746A" w14:textId="77777777" w:rsidR="00DC2332" w:rsidRPr="001E47AD" w:rsidRDefault="00DC2332" w:rsidP="00CD06A1">
            <w:pPr>
              <w:jc w:val="right"/>
              <w:rPr>
                <w:sz w:val="16"/>
                <w:szCs w:val="16"/>
              </w:rPr>
            </w:pPr>
            <w:r w:rsidRPr="001E47AD">
              <w:rPr>
                <w:sz w:val="16"/>
                <w:szCs w:val="16"/>
              </w:rPr>
              <w:t>99.05%</w:t>
            </w:r>
          </w:p>
        </w:tc>
      </w:tr>
      <w:tr w:rsidR="00DC2332" w:rsidRPr="001E47AD" w14:paraId="23B56D04" w14:textId="77777777" w:rsidTr="00CD06A1">
        <w:trPr>
          <w:trHeight w:val="300"/>
        </w:trPr>
        <w:tc>
          <w:tcPr>
            <w:tcW w:w="1603" w:type="pct"/>
            <w:tcBorders>
              <w:top w:val="nil"/>
              <w:bottom w:val="nil"/>
              <w:right w:val="nil"/>
            </w:tcBorders>
            <w:shd w:val="clear" w:color="auto" w:fill="auto"/>
            <w:noWrap/>
            <w:vAlign w:val="center"/>
            <w:hideMark/>
          </w:tcPr>
          <w:p w14:paraId="5F64B8AF" w14:textId="77777777" w:rsidR="00DC2332" w:rsidRPr="001E47AD" w:rsidRDefault="00DC2332" w:rsidP="00CD06A1">
            <w:pPr>
              <w:rPr>
                <w:sz w:val="16"/>
                <w:szCs w:val="16"/>
              </w:rPr>
            </w:pPr>
            <m:oMathPara>
              <m:oMathParaPr>
                <m:jc m:val="left"/>
              </m:oMathParaPr>
              <m:oMath>
                <m:r>
                  <m:rPr>
                    <m:sty m:val="p"/>
                  </m:rPr>
                  <w:rPr>
                    <w:rFonts w:ascii="Cambria Math" w:hAnsi="Cambria Math"/>
                    <w:sz w:val="16"/>
                    <w:szCs w:val="16"/>
                  </w:rPr>
                  <m:t>INTER_NTW_COUNTRY</m:t>
                </m:r>
              </m:oMath>
            </m:oMathPara>
          </w:p>
        </w:tc>
        <w:tc>
          <w:tcPr>
            <w:tcW w:w="1586" w:type="pct"/>
            <w:tcBorders>
              <w:top w:val="nil"/>
              <w:left w:val="nil"/>
              <w:bottom w:val="nil"/>
              <w:right w:val="nil"/>
            </w:tcBorders>
            <w:vAlign w:val="center"/>
          </w:tcPr>
          <w:p w14:paraId="360E0BDC" w14:textId="77777777" w:rsidR="00DC2332" w:rsidRPr="001E47AD" w:rsidRDefault="00DC2332" w:rsidP="00CD06A1">
            <w:pPr>
              <w:rPr>
                <w:sz w:val="16"/>
                <w:szCs w:val="16"/>
                <w:lang w:eastAsia="zh-CN"/>
              </w:rPr>
            </w:pPr>
            <w:r w:rsidRPr="001E47AD">
              <w:rPr>
                <w:sz w:val="16"/>
                <w:szCs w:val="16"/>
              </w:rPr>
              <w:t>Stores</w:t>
            </w:r>
            <w:r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hideMark/>
          </w:tcPr>
          <w:p w14:paraId="53E9BB2E" w14:textId="77777777" w:rsidR="00DC2332" w:rsidRPr="001E47AD" w:rsidRDefault="00DC2332" w:rsidP="00CD06A1">
            <w:pPr>
              <w:jc w:val="right"/>
              <w:rPr>
                <w:sz w:val="16"/>
                <w:szCs w:val="16"/>
                <w:lang w:eastAsia="zh-CN"/>
              </w:rPr>
            </w:pPr>
            <w:r w:rsidRPr="001E47AD">
              <w:rPr>
                <w:sz w:val="16"/>
                <w:szCs w:val="16"/>
              </w:rPr>
              <w:t>592</w:t>
            </w:r>
            <w:r w:rsidRPr="001E47AD">
              <w:rPr>
                <w:rFonts w:hint="eastAsia"/>
                <w:sz w:val="16"/>
                <w:szCs w:val="16"/>
                <w:lang w:eastAsia="zh-CN"/>
              </w:rPr>
              <w:t xml:space="preserve"> (25th)</w:t>
            </w:r>
          </w:p>
        </w:tc>
        <w:tc>
          <w:tcPr>
            <w:tcW w:w="599" w:type="pct"/>
            <w:tcBorders>
              <w:top w:val="nil"/>
              <w:left w:val="nil"/>
              <w:bottom w:val="nil"/>
              <w:right w:val="nil"/>
            </w:tcBorders>
            <w:shd w:val="clear" w:color="auto" w:fill="auto"/>
            <w:noWrap/>
            <w:vAlign w:val="center"/>
            <w:hideMark/>
          </w:tcPr>
          <w:p w14:paraId="48BEBFC2" w14:textId="77777777" w:rsidR="00DC2332" w:rsidRPr="001E47AD" w:rsidRDefault="00DC2332" w:rsidP="00CD06A1">
            <w:pPr>
              <w:jc w:val="right"/>
              <w:rPr>
                <w:sz w:val="16"/>
                <w:szCs w:val="16"/>
                <w:lang w:eastAsia="zh-CN"/>
              </w:rPr>
            </w:pPr>
            <w:r w:rsidRPr="001E47AD">
              <w:rPr>
                <w:sz w:val="16"/>
                <w:szCs w:val="16"/>
              </w:rPr>
              <w:t>3,187</w:t>
            </w:r>
            <w:r w:rsidRPr="001E47AD">
              <w:rPr>
                <w:rFonts w:hint="eastAsia"/>
                <w:sz w:val="16"/>
                <w:szCs w:val="16"/>
                <w:lang w:eastAsia="zh-CN"/>
              </w:rPr>
              <w:t xml:space="preserve"> (50th)</w:t>
            </w:r>
          </w:p>
        </w:tc>
        <w:tc>
          <w:tcPr>
            <w:tcW w:w="613" w:type="pct"/>
            <w:tcBorders>
              <w:top w:val="nil"/>
              <w:left w:val="nil"/>
              <w:bottom w:val="nil"/>
            </w:tcBorders>
            <w:shd w:val="clear" w:color="auto" w:fill="auto"/>
            <w:noWrap/>
            <w:vAlign w:val="center"/>
            <w:hideMark/>
          </w:tcPr>
          <w:p w14:paraId="58CF4C78" w14:textId="77777777" w:rsidR="00DC2332" w:rsidRPr="001E47AD" w:rsidRDefault="00DC2332" w:rsidP="00CD06A1">
            <w:pPr>
              <w:jc w:val="right"/>
              <w:rPr>
                <w:sz w:val="16"/>
                <w:szCs w:val="16"/>
                <w:lang w:eastAsia="zh-CN"/>
              </w:rPr>
            </w:pPr>
            <w:r w:rsidRPr="001E47AD">
              <w:rPr>
                <w:sz w:val="16"/>
                <w:szCs w:val="16"/>
              </w:rPr>
              <w:t>7,308</w:t>
            </w:r>
            <w:r w:rsidRPr="001E47AD">
              <w:rPr>
                <w:rFonts w:hint="eastAsia"/>
                <w:sz w:val="16"/>
                <w:szCs w:val="16"/>
                <w:lang w:eastAsia="zh-CN"/>
              </w:rPr>
              <w:t xml:space="preserve"> (75th)</w:t>
            </w:r>
          </w:p>
        </w:tc>
      </w:tr>
      <w:tr w:rsidR="00DC2332" w:rsidRPr="001E47AD" w14:paraId="5808FF68" w14:textId="77777777" w:rsidTr="00CD06A1">
        <w:trPr>
          <w:trHeight w:val="300"/>
        </w:trPr>
        <w:tc>
          <w:tcPr>
            <w:tcW w:w="1603" w:type="pct"/>
            <w:tcBorders>
              <w:top w:val="nil"/>
              <w:bottom w:val="nil"/>
              <w:right w:val="nil"/>
            </w:tcBorders>
            <w:shd w:val="clear" w:color="auto" w:fill="auto"/>
            <w:noWrap/>
            <w:vAlign w:val="center"/>
          </w:tcPr>
          <w:p w14:paraId="0223E8A1"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36A0287A"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393DAECF" w14:textId="77777777" w:rsidR="00DC2332" w:rsidRPr="001E47AD" w:rsidRDefault="00DC2332" w:rsidP="00CD06A1">
            <w:pPr>
              <w:jc w:val="right"/>
              <w:rPr>
                <w:sz w:val="16"/>
                <w:szCs w:val="16"/>
              </w:rPr>
            </w:pPr>
            <w:r w:rsidRPr="001E47AD">
              <w:rPr>
                <w:sz w:val="16"/>
                <w:szCs w:val="16"/>
              </w:rPr>
              <w:t>118.68%</w:t>
            </w:r>
          </w:p>
        </w:tc>
        <w:tc>
          <w:tcPr>
            <w:tcW w:w="599" w:type="pct"/>
            <w:tcBorders>
              <w:top w:val="nil"/>
              <w:left w:val="nil"/>
              <w:bottom w:val="nil"/>
              <w:right w:val="nil"/>
            </w:tcBorders>
            <w:shd w:val="clear" w:color="auto" w:fill="auto"/>
            <w:noWrap/>
            <w:vAlign w:val="center"/>
          </w:tcPr>
          <w:p w14:paraId="0E68078E" w14:textId="77777777" w:rsidR="00DC2332" w:rsidRPr="001E47AD" w:rsidRDefault="00DC2332" w:rsidP="00CD06A1">
            <w:pPr>
              <w:jc w:val="right"/>
              <w:rPr>
                <w:sz w:val="16"/>
                <w:szCs w:val="16"/>
              </w:rPr>
            </w:pPr>
            <w:r w:rsidRPr="001E47AD">
              <w:rPr>
                <w:sz w:val="16"/>
                <w:szCs w:val="16"/>
              </w:rPr>
              <w:t>202.09%</w:t>
            </w:r>
          </w:p>
        </w:tc>
        <w:tc>
          <w:tcPr>
            <w:tcW w:w="613" w:type="pct"/>
            <w:tcBorders>
              <w:top w:val="nil"/>
              <w:left w:val="nil"/>
              <w:bottom w:val="nil"/>
            </w:tcBorders>
            <w:shd w:val="clear" w:color="auto" w:fill="auto"/>
            <w:noWrap/>
            <w:vAlign w:val="center"/>
          </w:tcPr>
          <w:p w14:paraId="47F68995" w14:textId="77777777" w:rsidR="00DC2332" w:rsidRPr="001E47AD" w:rsidRDefault="00DC2332" w:rsidP="00CD06A1">
            <w:pPr>
              <w:jc w:val="right"/>
              <w:rPr>
                <w:sz w:val="16"/>
                <w:szCs w:val="16"/>
              </w:rPr>
            </w:pPr>
            <w:r w:rsidRPr="001E47AD">
              <w:rPr>
                <w:sz w:val="16"/>
                <w:szCs w:val="16"/>
              </w:rPr>
              <w:t>226.64%</w:t>
            </w:r>
          </w:p>
        </w:tc>
      </w:tr>
      <w:tr w:rsidR="00DC2332" w:rsidRPr="001E47AD" w14:paraId="37B52C4F" w14:textId="77777777" w:rsidTr="00CD06A1">
        <w:trPr>
          <w:trHeight w:val="300"/>
        </w:trPr>
        <w:tc>
          <w:tcPr>
            <w:tcW w:w="1603" w:type="pct"/>
            <w:tcBorders>
              <w:top w:val="nil"/>
              <w:bottom w:val="nil"/>
              <w:right w:val="nil"/>
            </w:tcBorders>
            <w:shd w:val="clear" w:color="auto" w:fill="auto"/>
            <w:noWrap/>
            <w:vAlign w:val="center"/>
            <w:hideMark/>
          </w:tcPr>
          <w:p w14:paraId="6C3B104C" w14:textId="30B8D245" w:rsidR="00DC2332" w:rsidRPr="001E47AD" w:rsidRDefault="00C854D1" w:rsidP="00CD06A1">
            <w:pPr>
              <w:rPr>
                <w:sz w:val="16"/>
                <w:szCs w:val="16"/>
              </w:rPr>
            </w:pPr>
            <m:oMathPara>
              <m:oMathParaPr>
                <m:jc m:val="left"/>
              </m:oMathParaPr>
              <m:oMath>
                <m:r>
                  <m:rPr>
                    <m:sty m:val="p"/>
                  </m:rPr>
                  <w:rPr>
                    <w:rFonts w:ascii="Cambria Math" w:hAnsi="Cambria Math"/>
                    <w:sz w:val="16"/>
                    <w:szCs w:val="16"/>
                  </w:rPr>
                  <m:t>PROD_VAR_UPC</m:t>
                </m:r>
              </m:oMath>
            </m:oMathPara>
          </w:p>
        </w:tc>
        <w:tc>
          <w:tcPr>
            <w:tcW w:w="1586" w:type="pct"/>
            <w:tcBorders>
              <w:top w:val="nil"/>
              <w:left w:val="nil"/>
              <w:bottom w:val="nil"/>
              <w:right w:val="nil"/>
            </w:tcBorders>
            <w:vAlign w:val="center"/>
          </w:tcPr>
          <w:p w14:paraId="30ED1372" w14:textId="49CA389F" w:rsidR="00DC2332" w:rsidRPr="001E47AD" w:rsidRDefault="00C854D1" w:rsidP="00CD06A1">
            <w:pPr>
              <w:rPr>
                <w:sz w:val="16"/>
                <w:szCs w:val="16"/>
                <w:lang w:eastAsia="zh-CN"/>
              </w:rPr>
            </w:pPr>
            <w:r w:rsidRPr="001E47AD">
              <w:rPr>
                <w:sz w:val="16"/>
                <w:szCs w:val="16"/>
              </w:rPr>
              <w:t>UPC</w:t>
            </w:r>
            <w:r w:rsidR="00DC2332" w:rsidRPr="001E47AD">
              <w:rPr>
                <w:sz w:val="16"/>
                <w:szCs w:val="16"/>
              </w:rPr>
              <w:t>s</w:t>
            </w:r>
            <w:r w:rsidR="00DC2332"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hideMark/>
          </w:tcPr>
          <w:p w14:paraId="120FBC2E" w14:textId="77777777" w:rsidR="00DC2332" w:rsidRPr="001E47AD" w:rsidRDefault="00DC2332" w:rsidP="00CD06A1">
            <w:pPr>
              <w:jc w:val="right"/>
              <w:rPr>
                <w:sz w:val="16"/>
                <w:szCs w:val="16"/>
                <w:lang w:eastAsia="zh-CN"/>
              </w:rPr>
            </w:pPr>
            <w:r w:rsidRPr="001E47AD">
              <w:rPr>
                <w:sz w:val="16"/>
                <w:szCs w:val="16"/>
              </w:rPr>
              <w:t>44</w:t>
            </w:r>
            <w:r w:rsidRPr="001E47AD">
              <w:rPr>
                <w:rFonts w:hint="eastAsia"/>
                <w:sz w:val="16"/>
                <w:szCs w:val="16"/>
                <w:lang w:eastAsia="zh-CN"/>
              </w:rPr>
              <w:t xml:space="preserve"> (25th)</w:t>
            </w:r>
          </w:p>
        </w:tc>
        <w:tc>
          <w:tcPr>
            <w:tcW w:w="599" w:type="pct"/>
            <w:tcBorders>
              <w:top w:val="nil"/>
              <w:left w:val="nil"/>
              <w:bottom w:val="nil"/>
              <w:right w:val="nil"/>
            </w:tcBorders>
            <w:shd w:val="clear" w:color="auto" w:fill="auto"/>
            <w:noWrap/>
            <w:vAlign w:val="center"/>
            <w:hideMark/>
          </w:tcPr>
          <w:p w14:paraId="00B2FA4B" w14:textId="77777777" w:rsidR="00DC2332" w:rsidRPr="001E47AD" w:rsidRDefault="00DC2332" w:rsidP="00CD06A1">
            <w:pPr>
              <w:jc w:val="right"/>
              <w:rPr>
                <w:sz w:val="16"/>
                <w:szCs w:val="16"/>
                <w:lang w:eastAsia="zh-CN"/>
              </w:rPr>
            </w:pPr>
            <w:r w:rsidRPr="001E47AD">
              <w:rPr>
                <w:sz w:val="16"/>
                <w:szCs w:val="16"/>
              </w:rPr>
              <w:t>76</w:t>
            </w:r>
            <w:r w:rsidRPr="001E47AD">
              <w:rPr>
                <w:rFonts w:hint="eastAsia"/>
                <w:sz w:val="16"/>
                <w:szCs w:val="16"/>
                <w:lang w:eastAsia="zh-CN"/>
              </w:rPr>
              <w:t xml:space="preserve"> (50th)</w:t>
            </w:r>
          </w:p>
        </w:tc>
        <w:tc>
          <w:tcPr>
            <w:tcW w:w="613" w:type="pct"/>
            <w:tcBorders>
              <w:top w:val="nil"/>
              <w:left w:val="nil"/>
              <w:bottom w:val="nil"/>
            </w:tcBorders>
            <w:shd w:val="clear" w:color="auto" w:fill="auto"/>
            <w:noWrap/>
            <w:vAlign w:val="center"/>
            <w:hideMark/>
          </w:tcPr>
          <w:p w14:paraId="6D38D0F5" w14:textId="77777777" w:rsidR="00DC2332" w:rsidRPr="001E47AD" w:rsidRDefault="00DC2332" w:rsidP="00CD06A1">
            <w:pPr>
              <w:jc w:val="right"/>
              <w:rPr>
                <w:sz w:val="16"/>
                <w:szCs w:val="16"/>
                <w:lang w:eastAsia="zh-CN"/>
              </w:rPr>
            </w:pPr>
            <w:r w:rsidRPr="001E47AD">
              <w:rPr>
                <w:sz w:val="16"/>
                <w:szCs w:val="16"/>
              </w:rPr>
              <w:t>140</w:t>
            </w:r>
            <w:r w:rsidRPr="001E47AD">
              <w:rPr>
                <w:rFonts w:hint="eastAsia"/>
                <w:sz w:val="16"/>
                <w:szCs w:val="16"/>
                <w:lang w:eastAsia="zh-CN"/>
              </w:rPr>
              <w:t xml:space="preserve"> (75th)</w:t>
            </w:r>
          </w:p>
        </w:tc>
      </w:tr>
      <w:tr w:rsidR="00DC2332" w:rsidRPr="001E47AD" w14:paraId="029F1E54" w14:textId="77777777" w:rsidTr="00CD06A1">
        <w:trPr>
          <w:trHeight w:val="300"/>
        </w:trPr>
        <w:tc>
          <w:tcPr>
            <w:tcW w:w="1603" w:type="pct"/>
            <w:tcBorders>
              <w:top w:val="nil"/>
              <w:bottom w:val="nil"/>
              <w:right w:val="nil"/>
            </w:tcBorders>
            <w:shd w:val="clear" w:color="auto" w:fill="auto"/>
            <w:noWrap/>
            <w:vAlign w:val="center"/>
          </w:tcPr>
          <w:p w14:paraId="3C71A7E5"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6F42C3D2"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6F5F4200" w14:textId="77777777" w:rsidR="00DC2332" w:rsidRPr="001E47AD" w:rsidRDefault="00DC2332" w:rsidP="00CD06A1">
            <w:pPr>
              <w:jc w:val="right"/>
              <w:rPr>
                <w:sz w:val="16"/>
                <w:szCs w:val="16"/>
              </w:rPr>
            </w:pPr>
            <w:r w:rsidRPr="001E47AD">
              <w:rPr>
                <w:sz w:val="16"/>
                <w:szCs w:val="16"/>
              </w:rPr>
              <w:t>103.73%</w:t>
            </w:r>
          </w:p>
        </w:tc>
        <w:tc>
          <w:tcPr>
            <w:tcW w:w="599" w:type="pct"/>
            <w:tcBorders>
              <w:top w:val="nil"/>
              <w:left w:val="nil"/>
              <w:bottom w:val="nil"/>
              <w:right w:val="nil"/>
            </w:tcBorders>
            <w:shd w:val="clear" w:color="auto" w:fill="auto"/>
            <w:noWrap/>
            <w:vAlign w:val="center"/>
          </w:tcPr>
          <w:p w14:paraId="3473FDCD" w14:textId="77777777" w:rsidR="00DC2332" w:rsidRPr="001E47AD" w:rsidRDefault="00DC2332" w:rsidP="00CD06A1">
            <w:pPr>
              <w:jc w:val="right"/>
              <w:rPr>
                <w:sz w:val="16"/>
                <w:szCs w:val="16"/>
              </w:rPr>
            </w:pPr>
            <w:r w:rsidRPr="001E47AD">
              <w:rPr>
                <w:sz w:val="16"/>
                <w:szCs w:val="16"/>
              </w:rPr>
              <w:t>105.50%</w:t>
            </w:r>
          </w:p>
        </w:tc>
        <w:tc>
          <w:tcPr>
            <w:tcW w:w="613" w:type="pct"/>
            <w:tcBorders>
              <w:top w:val="nil"/>
              <w:left w:val="nil"/>
              <w:bottom w:val="nil"/>
            </w:tcBorders>
            <w:shd w:val="clear" w:color="auto" w:fill="auto"/>
            <w:noWrap/>
            <w:vAlign w:val="center"/>
          </w:tcPr>
          <w:p w14:paraId="60DC686E" w14:textId="77777777" w:rsidR="00DC2332" w:rsidRPr="001E47AD" w:rsidRDefault="00DC2332" w:rsidP="00CD06A1">
            <w:pPr>
              <w:jc w:val="right"/>
              <w:rPr>
                <w:sz w:val="16"/>
                <w:szCs w:val="16"/>
              </w:rPr>
            </w:pPr>
            <w:r w:rsidRPr="001E47AD">
              <w:rPr>
                <w:sz w:val="16"/>
                <w:szCs w:val="16"/>
              </w:rPr>
              <w:t>106.49%</w:t>
            </w:r>
          </w:p>
        </w:tc>
      </w:tr>
      <w:tr w:rsidR="00DC2332" w:rsidRPr="001E47AD" w14:paraId="5F2CD077" w14:textId="77777777" w:rsidTr="00CD06A1">
        <w:trPr>
          <w:trHeight w:val="300"/>
        </w:trPr>
        <w:tc>
          <w:tcPr>
            <w:tcW w:w="1603" w:type="pct"/>
            <w:tcBorders>
              <w:top w:val="nil"/>
              <w:bottom w:val="single" w:sz="4" w:space="0" w:color="BFBFBF" w:themeColor="background1" w:themeShade="BF"/>
              <w:right w:val="nil"/>
            </w:tcBorders>
            <w:shd w:val="clear" w:color="auto" w:fill="auto"/>
            <w:noWrap/>
            <w:vAlign w:val="center"/>
          </w:tcPr>
          <w:p w14:paraId="2D5B323E" w14:textId="77777777" w:rsidR="00DC2332" w:rsidRPr="001E47AD" w:rsidRDefault="00DC2332" w:rsidP="00CD06A1">
            <w:pPr>
              <w:rPr>
                <w:sz w:val="16"/>
                <w:szCs w:val="16"/>
              </w:rPr>
            </w:pPr>
          </w:p>
        </w:tc>
        <w:tc>
          <w:tcPr>
            <w:tcW w:w="1586" w:type="pct"/>
            <w:tcBorders>
              <w:top w:val="nil"/>
              <w:left w:val="nil"/>
              <w:bottom w:val="single" w:sz="4" w:space="0" w:color="BFBFBF" w:themeColor="background1" w:themeShade="BF"/>
              <w:right w:val="nil"/>
            </w:tcBorders>
            <w:vAlign w:val="center"/>
          </w:tcPr>
          <w:p w14:paraId="1EA33112" w14:textId="77777777" w:rsidR="00DC2332" w:rsidRPr="001E47AD" w:rsidRDefault="00DC2332" w:rsidP="00CD06A1">
            <w:pPr>
              <w:rPr>
                <w:sz w:val="16"/>
                <w:szCs w:val="16"/>
              </w:rPr>
            </w:pPr>
            <w:r w:rsidRPr="001E47AD">
              <w:rPr>
                <w:i/>
                <w:sz w:val="16"/>
                <w:szCs w:val="16"/>
              </w:rPr>
              <w:t>Compound Impact</w:t>
            </w:r>
          </w:p>
        </w:tc>
        <w:tc>
          <w:tcPr>
            <w:tcW w:w="599" w:type="pct"/>
            <w:tcBorders>
              <w:top w:val="nil"/>
              <w:left w:val="nil"/>
              <w:bottom w:val="single" w:sz="4" w:space="0" w:color="BFBFBF" w:themeColor="background1" w:themeShade="BF"/>
              <w:right w:val="nil"/>
            </w:tcBorders>
            <w:shd w:val="clear" w:color="auto" w:fill="auto"/>
            <w:noWrap/>
            <w:vAlign w:val="center"/>
          </w:tcPr>
          <w:p w14:paraId="759E4106" w14:textId="77777777" w:rsidR="00DC2332" w:rsidRPr="001E47AD" w:rsidRDefault="00DC2332" w:rsidP="00CD06A1">
            <w:pPr>
              <w:jc w:val="right"/>
              <w:rPr>
                <w:sz w:val="16"/>
                <w:szCs w:val="16"/>
              </w:rPr>
            </w:pPr>
            <w:r w:rsidRPr="001E47AD">
              <w:rPr>
                <w:rFonts w:hint="eastAsia"/>
                <w:i/>
                <w:sz w:val="16"/>
                <w:szCs w:val="16"/>
                <w:lang w:eastAsia="zh-CN"/>
              </w:rPr>
              <w:t>117.09</w:t>
            </w:r>
            <w:r w:rsidRPr="001E47AD">
              <w:rPr>
                <w:i/>
                <w:sz w:val="16"/>
                <w:szCs w:val="16"/>
              </w:rPr>
              <w:t>%</w:t>
            </w:r>
          </w:p>
        </w:tc>
        <w:tc>
          <w:tcPr>
            <w:tcW w:w="599" w:type="pct"/>
            <w:tcBorders>
              <w:top w:val="nil"/>
              <w:left w:val="nil"/>
              <w:bottom w:val="single" w:sz="4" w:space="0" w:color="BFBFBF" w:themeColor="background1" w:themeShade="BF"/>
              <w:right w:val="nil"/>
            </w:tcBorders>
            <w:shd w:val="clear" w:color="auto" w:fill="auto"/>
            <w:noWrap/>
            <w:vAlign w:val="center"/>
          </w:tcPr>
          <w:p w14:paraId="533179F1" w14:textId="77777777" w:rsidR="00DC2332" w:rsidRPr="001E47AD" w:rsidRDefault="00DC2332" w:rsidP="00CD06A1">
            <w:pPr>
              <w:jc w:val="right"/>
              <w:rPr>
                <w:sz w:val="16"/>
                <w:szCs w:val="16"/>
              </w:rPr>
            </w:pPr>
            <w:r w:rsidRPr="001E47AD">
              <w:rPr>
                <w:i/>
                <w:sz w:val="16"/>
                <w:szCs w:val="16"/>
              </w:rPr>
              <w:t>208.75%</w:t>
            </w:r>
          </w:p>
        </w:tc>
        <w:tc>
          <w:tcPr>
            <w:tcW w:w="613" w:type="pct"/>
            <w:tcBorders>
              <w:top w:val="nil"/>
              <w:left w:val="nil"/>
              <w:bottom w:val="single" w:sz="4" w:space="0" w:color="BFBFBF" w:themeColor="background1" w:themeShade="BF"/>
            </w:tcBorders>
            <w:shd w:val="clear" w:color="auto" w:fill="auto"/>
            <w:noWrap/>
            <w:vAlign w:val="center"/>
          </w:tcPr>
          <w:p w14:paraId="2C1FE8A5" w14:textId="77777777" w:rsidR="00DC2332" w:rsidRPr="001E47AD" w:rsidRDefault="00DC2332" w:rsidP="00CD06A1">
            <w:pPr>
              <w:jc w:val="right"/>
              <w:rPr>
                <w:sz w:val="16"/>
                <w:szCs w:val="16"/>
              </w:rPr>
            </w:pPr>
            <w:r w:rsidRPr="001E47AD">
              <w:rPr>
                <w:i/>
                <w:sz w:val="16"/>
                <w:szCs w:val="16"/>
              </w:rPr>
              <w:t>2</w:t>
            </w:r>
            <w:r w:rsidRPr="001E47AD">
              <w:rPr>
                <w:rFonts w:hint="eastAsia"/>
                <w:i/>
                <w:sz w:val="16"/>
                <w:szCs w:val="16"/>
                <w:lang w:eastAsia="zh-CN"/>
              </w:rPr>
              <w:t>39.06</w:t>
            </w:r>
            <w:r w:rsidRPr="001E47AD">
              <w:rPr>
                <w:i/>
                <w:sz w:val="16"/>
                <w:szCs w:val="16"/>
              </w:rPr>
              <w:t>%</w:t>
            </w:r>
          </w:p>
        </w:tc>
      </w:tr>
      <w:tr w:rsidR="00DC2332" w:rsidRPr="001E47AD" w14:paraId="5F71A774" w14:textId="77777777" w:rsidTr="00CD06A1">
        <w:trPr>
          <w:trHeight w:val="300"/>
        </w:trPr>
        <w:tc>
          <w:tcPr>
            <w:tcW w:w="1603" w:type="pct"/>
            <w:tcBorders>
              <w:top w:val="single" w:sz="4" w:space="0" w:color="BFBFBF" w:themeColor="background1" w:themeShade="BF"/>
              <w:bottom w:val="nil"/>
              <w:right w:val="nil"/>
            </w:tcBorders>
            <w:shd w:val="clear" w:color="auto" w:fill="auto"/>
            <w:noWrap/>
            <w:vAlign w:val="center"/>
          </w:tcPr>
          <w:p w14:paraId="55464CDB" w14:textId="77777777" w:rsidR="00DC2332" w:rsidRPr="001E47AD" w:rsidRDefault="00DC2332" w:rsidP="00CD06A1">
            <w:pPr>
              <w:rPr>
                <w:sz w:val="16"/>
                <w:szCs w:val="16"/>
              </w:rPr>
            </w:pPr>
            <w:r w:rsidRPr="001E47AD">
              <w:rPr>
                <w:sz w:val="16"/>
                <w:szCs w:val="16"/>
              </w:rPr>
              <w:t>Demand-Side Characteristics</w:t>
            </w:r>
          </w:p>
        </w:tc>
        <w:tc>
          <w:tcPr>
            <w:tcW w:w="1586" w:type="pct"/>
            <w:tcBorders>
              <w:top w:val="single" w:sz="4" w:space="0" w:color="BFBFBF" w:themeColor="background1" w:themeShade="BF"/>
              <w:left w:val="nil"/>
              <w:bottom w:val="nil"/>
              <w:right w:val="nil"/>
            </w:tcBorders>
            <w:vAlign w:val="center"/>
          </w:tcPr>
          <w:p w14:paraId="04FF4F6B" w14:textId="77777777" w:rsidR="00DC2332" w:rsidRPr="001E47AD" w:rsidRDefault="00DC2332" w:rsidP="00CD06A1">
            <w:pPr>
              <w:rPr>
                <w:sz w:val="16"/>
                <w:szCs w:val="16"/>
              </w:rPr>
            </w:pPr>
          </w:p>
        </w:tc>
        <w:tc>
          <w:tcPr>
            <w:tcW w:w="599" w:type="pct"/>
            <w:tcBorders>
              <w:top w:val="single" w:sz="4" w:space="0" w:color="BFBFBF" w:themeColor="background1" w:themeShade="BF"/>
              <w:left w:val="nil"/>
              <w:bottom w:val="nil"/>
              <w:right w:val="nil"/>
            </w:tcBorders>
            <w:shd w:val="clear" w:color="auto" w:fill="auto"/>
            <w:noWrap/>
            <w:vAlign w:val="center"/>
          </w:tcPr>
          <w:p w14:paraId="519677E3" w14:textId="77777777" w:rsidR="00DC2332" w:rsidRPr="001E47AD" w:rsidRDefault="00DC2332" w:rsidP="00CD06A1">
            <w:pPr>
              <w:jc w:val="right"/>
              <w:rPr>
                <w:sz w:val="16"/>
                <w:szCs w:val="16"/>
              </w:rPr>
            </w:pPr>
          </w:p>
        </w:tc>
        <w:tc>
          <w:tcPr>
            <w:tcW w:w="599" w:type="pct"/>
            <w:tcBorders>
              <w:top w:val="single" w:sz="4" w:space="0" w:color="BFBFBF" w:themeColor="background1" w:themeShade="BF"/>
              <w:left w:val="nil"/>
              <w:bottom w:val="nil"/>
              <w:right w:val="nil"/>
            </w:tcBorders>
            <w:shd w:val="clear" w:color="auto" w:fill="auto"/>
            <w:noWrap/>
            <w:vAlign w:val="center"/>
          </w:tcPr>
          <w:p w14:paraId="14822C44" w14:textId="77777777" w:rsidR="00DC2332" w:rsidRPr="001E47AD" w:rsidRDefault="00DC2332" w:rsidP="00CD06A1">
            <w:pPr>
              <w:jc w:val="right"/>
              <w:rPr>
                <w:sz w:val="16"/>
                <w:szCs w:val="16"/>
              </w:rPr>
            </w:pPr>
          </w:p>
        </w:tc>
        <w:tc>
          <w:tcPr>
            <w:tcW w:w="613" w:type="pct"/>
            <w:tcBorders>
              <w:top w:val="single" w:sz="4" w:space="0" w:color="BFBFBF" w:themeColor="background1" w:themeShade="BF"/>
              <w:left w:val="nil"/>
              <w:bottom w:val="nil"/>
            </w:tcBorders>
            <w:shd w:val="clear" w:color="auto" w:fill="auto"/>
            <w:noWrap/>
            <w:vAlign w:val="center"/>
          </w:tcPr>
          <w:p w14:paraId="60E8D649" w14:textId="77777777" w:rsidR="00DC2332" w:rsidRPr="001E47AD" w:rsidRDefault="00DC2332" w:rsidP="00CD06A1">
            <w:pPr>
              <w:jc w:val="right"/>
              <w:rPr>
                <w:sz w:val="16"/>
                <w:szCs w:val="16"/>
              </w:rPr>
            </w:pPr>
          </w:p>
        </w:tc>
      </w:tr>
      <w:tr w:rsidR="00DC2332" w:rsidRPr="001E47AD" w14:paraId="6B295912" w14:textId="77777777" w:rsidTr="00CD06A1">
        <w:trPr>
          <w:trHeight w:val="300"/>
        </w:trPr>
        <w:tc>
          <w:tcPr>
            <w:tcW w:w="1603" w:type="pct"/>
            <w:tcBorders>
              <w:top w:val="nil"/>
              <w:bottom w:val="nil"/>
              <w:right w:val="nil"/>
            </w:tcBorders>
            <w:shd w:val="clear" w:color="auto" w:fill="auto"/>
            <w:noWrap/>
            <w:vAlign w:val="center"/>
            <w:hideMark/>
          </w:tcPr>
          <w:p w14:paraId="2631ED6D" w14:textId="77777777" w:rsidR="00DC2332" w:rsidRPr="001E47AD" w:rsidRDefault="00DC2332" w:rsidP="00CD06A1">
            <w:pPr>
              <w:rPr>
                <w:sz w:val="16"/>
                <w:szCs w:val="16"/>
              </w:rPr>
            </w:pPr>
            <m:oMathPara>
              <m:oMathParaPr>
                <m:jc m:val="left"/>
              </m:oMathParaPr>
              <m:oMath>
                <m:r>
                  <m:rPr>
                    <m:sty m:val="p"/>
                  </m:rPr>
                  <w:rPr>
                    <w:rFonts w:ascii="Cambria Math" w:hAnsi="Cambria Math"/>
                    <w:sz w:val="16"/>
                    <w:szCs w:val="16"/>
                  </w:rPr>
                  <m:t>HUR_EXP_STATE</m:t>
                </m:r>
              </m:oMath>
            </m:oMathPara>
          </w:p>
        </w:tc>
        <w:tc>
          <w:tcPr>
            <w:tcW w:w="1586" w:type="pct"/>
            <w:tcBorders>
              <w:top w:val="nil"/>
              <w:left w:val="nil"/>
              <w:bottom w:val="nil"/>
              <w:right w:val="nil"/>
            </w:tcBorders>
            <w:vAlign w:val="center"/>
          </w:tcPr>
          <w:p w14:paraId="646E31BB" w14:textId="77777777" w:rsidR="00DC2332" w:rsidRPr="001E47AD" w:rsidRDefault="00DC2332" w:rsidP="00CD06A1">
            <w:pPr>
              <w:rPr>
                <w:sz w:val="16"/>
                <w:szCs w:val="16"/>
                <w:lang w:eastAsia="zh-CN"/>
              </w:rPr>
            </w:pPr>
            <w:r w:rsidRPr="001E47AD">
              <w:rPr>
                <w:sz w:val="16"/>
                <w:szCs w:val="16"/>
              </w:rPr>
              <w:t>Landfalls</w:t>
            </w:r>
            <w:r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hideMark/>
          </w:tcPr>
          <w:p w14:paraId="7276C98B" w14:textId="77777777" w:rsidR="00DC2332" w:rsidRPr="001E47AD" w:rsidRDefault="00DC2332" w:rsidP="00CD06A1">
            <w:pPr>
              <w:jc w:val="right"/>
              <w:rPr>
                <w:sz w:val="16"/>
                <w:szCs w:val="16"/>
              </w:rPr>
            </w:pPr>
            <w:r w:rsidRPr="001E47AD">
              <w:rPr>
                <w:sz w:val="16"/>
                <w:szCs w:val="16"/>
              </w:rPr>
              <w:t>0</w:t>
            </w:r>
            <w:r w:rsidRPr="001E47AD">
              <w:rPr>
                <w:rFonts w:hint="eastAsia"/>
                <w:sz w:val="16"/>
                <w:szCs w:val="16"/>
                <w:lang w:eastAsia="zh-CN"/>
              </w:rPr>
              <w:t xml:space="preserve"> (25th)</w:t>
            </w:r>
          </w:p>
        </w:tc>
        <w:tc>
          <w:tcPr>
            <w:tcW w:w="599" w:type="pct"/>
            <w:tcBorders>
              <w:top w:val="nil"/>
              <w:left w:val="nil"/>
              <w:bottom w:val="nil"/>
              <w:right w:val="nil"/>
            </w:tcBorders>
            <w:shd w:val="clear" w:color="auto" w:fill="auto"/>
            <w:noWrap/>
            <w:vAlign w:val="center"/>
            <w:hideMark/>
          </w:tcPr>
          <w:p w14:paraId="521EC7F1" w14:textId="77777777" w:rsidR="00DC2332" w:rsidRPr="001E47AD" w:rsidRDefault="00DC2332" w:rsidP="00CD06A1">
            <w:pPr>
              <w:jc w:val="right"/>
              <w:rPr>
                <w:sz w:val="16"/>
                <w:szCs w:val="16"/>
                <w:lang w:eastAsia="zh-CN"/>
              </w:rPr>
            </w:pPr>
            <w:r w:rsidRPr="001E47AD">
              <w:rPr>
                <w:rFonts w:hint="eastAsia"/>
                <w:sz w:val="16"/>
                <w:szCs w:val="16"/>
                <w:lang w:eastAsia="zh-CN"/>
              </w:rPr>
              <w:t>1 (50th)</w:t>
            </w:r>
          </w:p>
        </w:tc>
        <w:tc>
          <w:tcPr>
            <w:tcW w:w="613" w:type="pct"/>
            <w:tcBorders>
              <w:top w:val="nil"/>
              <w:left w:val="nil"/>
              <w:bottom w:val="nil"/>
            </w:tcBorders>
            <w:shd w:val="clear" w:color="auto" w:fill="auto"/>
            <w:noWrap/>
            <w:vAlign w:val="center"/>
            <w:hideMark/>
          </w:tcPr>
          <w:p w14:paraId="01E93881" w14:textId="77777777" w:rsidR="00DC2332" w:rsidRPr="001E47AD" w:rsidRDefault="00DC2332" w:rsidP="00CD06A1">
            <w:pPr>
              <w:jc w:val="right"/>
              <w:rPr>
                <w:sz w:val="16"/>
                <w:szCs w:val="16"/>
                <w:lang w:eastAsia="zh-CN"/>
              </w:rPr>
            </w:pPr>
            <w:r w:rsidRPr="001E47AD">
              <w:rPr>
                <w:sz w:val="16"/>
                <w:szCs w:val="16"/>
              </w:rPr>
              <w:t>10</w:t>
            </w:r>
            <w:r w:rsidRPr="001E47AD">
              <w:rPr>
                <w:rFonts w:hint="eastAsia"/>
                <w:sz w:val="16"/>
                <w:szCs w:val="16"/>
                <w:lang w:eastAsia="zh-CN"/>
              </w:rPr>
              <w:t xml:space="preserve"> (75th)</w:t>
            </w:r>
          </w:p>
        </w:tc>
      </w:tr>
      <w:tr w:rsidR="00DC2332" w:rsidRPr="001E47AD" w14:paraId="725CA381" w14:textId="77777777" w:rsidTr="00CD06A1">
        <w:trPr>
          <w:trHeight w:val="300"/>
        </w:trPr>
        <w:tc>
          <w:tcPr>
            <w:tcW w:w="1603" w:type="pct"/>
            <w:tcBorders>
              <w:top w:val="nil"/>
              <w:bottom w:val="nil"/>
              <w:right w:val="nil"/>
            </w:tcBorders>
            <w:shd w:val="clear" w:color="auto" w:fill="auto"/>
            <w:noWrap/>
            <w:vAlign w:val="center"/>
          </w:tcPr>
          <w:p w14:paraId="2C4AE7D3"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50AC63CA"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007D29EF" w14:textId="77777777" w:rsidR="00DC2332" w:rsidRPr="001E47AD" w:rsidRDefault="00DC2332" w:rsidP="00CD06A1">
            <w:pPr>
              <w:jc w:val="right"/>
              <w:rPr>
                <w:sz w:val="16"/>
                <w:szCs w:val="16"/>
              </w:rPr>
            </w:pPr>
            <w:r w:rsidRPr="001E47AD">
              <w:rPr>
                <w:sz w:val="16"/>
                <w:szCs w:val="16"/>
              </w:rPr>
              <w:t>100.00%</w:t>
            </w:r>
          </w:p>
        </w:tc>
        <w:tc>
          <w:tcPr>
            <w:tcW w:w="599" w:type="pct"/>
            <w:tcBorders>
              <w:top w:val="nil"/>
              <w:left w:val="nil"/>
              <w:bottom w:val="nil"/>
              <w:right w:val="nil"/>
            </w:tcBorders>
            <w:shd w:val="clear" w:color="auto" w:fill="auto"/>
            <w:noWrap/>
            <w:vAlign w:val="center"/>
          </w:tcPr>
          <w:p w14:paraId="5CBE585D" w14:textId="77777777" w:rsidR="00DC2332" w:rsidRPr="001E47AD" w:rsidRDefault="00DC2332" w:rsidP="00CD06A1">
            <w:pPr>
              <w:jc w:val="right"/>
              <w:rPr>
                <w:sz w:val="16"/>
                <w:szCs w:val="16"/>
              </w:rPr>
            </w:pPr>
            <w:r w:rsidRPr="001E47AD">
              <w:rPr>
                <w:sz w:val="16"/>
                <w:szCs w:val="16"/>
              </w:rPr>
              <w:t>100.02%</w:t>
            </w:r>
          </w:p>
        </w:tc>
        <w:tc>
          <w:tcPr>
            <w:tcW w:w="613" w:type="pct"/>
            <w:tcBorders>
              <w:top w:val="nil"/>
              <w:left w:val="nil"/>
              <w:bottom w:val="nil"/>
            </w:tcBorders>
            <w:shd w:val="clear" w:color="auto" w:fill="auto"/>
            <w:noWrap/>
            <w:vAlign w:val="center"/>
          </w:tcPr>
          <w:p w14:paraId="0D50DDE0" w14:textId="77777777" w:rsidR="00DC2332" w:rsidRPr="001E47AD" w:rsidRDefault="00DC2332" w:rsidP="00CD06A1">
            <w:pPr>
              <w:jc w:val="right"/>
              <w:rPr>
                <w:sz w:val="16"/>
                <w:szCs w:val="16"/>
              </w:rPr>
            </w:pPr>
            <w:r w:rsidRPr="001E47AD">
              <w:rPr>
                <w:sz w:val="16"/>
                <w:szCs w:val="16"/>
              </w:rPr>
              <w:t>106.22%</w:t>
            </w:r>
          </w:p>
        </w:tc>
      </w:tr>
      <w:tr w:rsidR="00DC2332" w:rsidRPr="001E47AD" w14:paraId="6D6DC68A" w14:textId="77777777" w:rsidTr="00CD06A1">
        <w:trPr>
          <w:trHeight w:val="300"/>
        </w:trPr>
        <w:tc>
          <w:tcPr>
            <w:tcW w:w="1603" w:type="pct"/>
            <w:tcBorders>
              <w:top w:val="nil"/>
              <w:bottom w:val="nil"/>
              <w:right w:val="nil"/>
            </w:tcBorders>
            <w:shd w:val="clear" w:color="auto" w:fill="auto"/>
            <w:noWrap/>
            <w:vAlign w:val="center"/>
            <w:hideMark/>
          </w:tcPr>
          <w:p w14:paraId="66F9707D" w14:textId="77777777" w:rsidR="00DC2332" w:rsidRPr="001E47AD" w:rsidRDefault="00DC2332" w:rsidP="00CD06A1">
            <w:pPr>
              <w:rPr>
                <w:sz w:val="16"/>
                <w:szCs w:val="16"/>
              </w:rPr>
            </w:pPr>
            <m:oMathPara>
              <m:oMathParaPr>
                <m:jc m:val="left"/>
              </m:oMathParaPr>
              <m:oMath>
                <m:r>
                  <m:rPr>
                    <m:sty m:val="p"/>
                  </m:rPr>
                  <w:rPr>
                    <w:rFonts w:ascii="Cambria Math" w:hAnsi="Cambria Math"/>
                    <w:sz w:val="16"/>
                    <w:szCs w:val="16"/>
                  </w:rPr>
                  <m:t>PER_CAPITA_INC</m:t>
                </m:r>
              </m:oMath>
            </m:oMathPara>
          </w:p>
        </w:tc>
        <w:tc>
          <w:tcPr>
            <w:tcW w:w="1586" w:type="pct"/>
            <w:tcBorders>
              <w:top w:val="nil"/>
              <w:left w:val="nil"/>
              <w:bottom w:val="nil"/>
              <w:right w:val="nil"/>
            </w:tcBorders>
            <w:vAlign w:val="center"/>
          </w:tcPr>
          <w:p w14:paraId="0A5D6985" w14:textId="77777777" w:rsidR="00DC2332" w:rsidRPr="001E47AD" w:rsidRDefault="00DC2332" w:rsidP="00CD06A1">
            <w:pPr>
              <w:rPr>
                <w:sz w:val="16"/>
                <w:szCs w:val="16"/>
                <w:lang w:eastAsia="zh-CN"/>
              </w:rPr>
            </w:pPr>
            <w:r w:rsidRPr="001E47AD">
              <w:rPr>
                <w:sz w:val="16"/>
                <w:szCs w:val="16"/>
              </w:rPr>
              <w:t>10K Dollars</w:t>
            </w:r>
            <w:r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hideMark/>
          </w:tcPr>
          <w:p w14:paraId="3CA5BB54" w14:textId="77777777" w:rsidR="00DC2332" w:rsidRPr="001E47AD" w:rsidRDefault="00DC2332" w:rsidP="00CD06A1">
            <w:pPr>
              <w:jc w:val="right"/>
              <w:rPr>
                <w:sz w:val="16"/>
                <w:szCs w:val="16"/>
                <w:lang w:eastAsia="zh-CN"/>
              </w:rPr>
            </w:pPr>
            <w:r w:rsidRPr="001E47AD">
              <w:rPr>
                <w:sz w:val="16"/>
                <w:szCs w:val="16"/>
              </w:rPr>
              <w:t>3.64</w:t>
            </w:r>
            <w:r w:rsidRPr="001E47AD">
              <w:rPr>
                <w:rFonts w:hint="eastAsia"/>
                <w:sz w:val="16"/>
                <w:szCs w:val="16"/>
                <w:lang w:eastAsia="zh-CN"/>
              </w:rPr>
              <w:t xml:space="preserve"> (25th)</w:t>
            </w:r>
          </w:p>
        </w:tc>
        <w:tc>
          <w:tcPr>
            <w:tcW w:w="599" w:type="pct"/>
            <w:tcBorders>
              <w:top w:val="nil"/>
              <w:left w:val="nil"/>
              <w:bottom w:val="nil"/>
              <w:right w:val="nil"/>
            </w:tcBorders>
            <w:shd w:val="clear" w:color="auto" w:fill="auto"/>
            <w:noWrap/>
            <w:vAlign w:val="center"/>
            <w:hideMark/>
          </w:tcPr>
          <w:p w14:paraId="3D105F35" w14:textId="77777777" w:rsidR="00DC2332" w:rsidRPr="001E47AD" w:rsidRDefault="00DC2332" w:rsidP="00CD06A1">
            <w:pPr>
              <w:jc w:val="right"/>
              <w:rPr>
                <w:sz w:val="16"/>
                <w:szCs w:val="16"/>
                <w:lang w:eastAsia="zh-CN"/>
              </w:rPr>
            </w:pPr>
            <w:r w:rsidRPr="001E47AD">
              <w:rPr>
                <w:sz w:val="16"/>
                <w:szCs w:val="16"/>
              </w:rPr>
              <w:t>4.21</w:t>
            </w:r>
            <w:r w:rsidRPr="001E47AD">
              <w:rPr>
                <w:rFonts w:hint="eastAsia"/>
                <w:sz w:val="16"/>
                <w:szCs w:val="16"/>
                <w:lang w:eastAsia="zh-CN"/>
              </w:rPr>
              <w:t xml:space="preserve"> (50th)</w:t>
            </w:r>
          </w:p>
        </w:tc>
        <w:tc>
          <w:tcPr>
            <w:tcW w:w="613" w:type="pct"/>
            <w:tcBorders>
              <w:top w:val="nil"/>
              <w:left w:val="nil"/>
              <w:bottom w:val="nil"/>
            </w:tcBorders>
            <w:shd w:val="clear" w:color="auto" w:fill="auto"/>
            <w:noWrap/>
            <w:vAlign w:val="center"/>
            <w:hideMark/>
          </w:tcPr>
          <w:p w14:paraId="382137FD" w14:textId="77777777" w:rsidR="00DC2332" w:rsidRPr="001E47AD" w:rsidRDefault="00DC2332" w:rsidP="00CD06A1">
            <w:pPr>
              <w:jc w:val="right"/>
              <w:rPr>
                <w:sz w:val="16"/>
                <w:szCs w:val="16"/>
                <w:lang w:eastAsia="zh-CN"/>
              </w:rPr>
            </w:pPr>
            <w:r w:rsidRPr="001E47AD">
              <w:rPr>
                <w:sz w:val="16"/>
                <w:szCs w:val="16"/>
              </w:rPr>
              <w:t>5.05</w:t>
            </w:r>
            <w:r w:rsidRPr="001E47AD">
              <w:rPr>
                <w:rFonts w:hint="eastAsia"/>
                <w:sz w:val="16"/>
                <w:szCs w:val="16"/>
                <w:lang w:eastAsia="zh-CN"/>
              </w:rPr>
              <w:t xml:space="preserve"> (75th)</w:t>
            </w:r>
          </w:p>
        </w:tc>
      </w:tr>
      <w:tr w:rsidR="00DC2332" w:rsidRPr="001E47AD" w14:paraId="2DF667CC" w14:textId="77777777" w:rsidTr="00CD06A1">
        <w:trPr>
          <w:trHeight w:val="300"/>
        </w:trPr>
        <w:tc>
          <w:tcPr>
            <w:tcW w:w="1603" w:type="pct"/>
            <w:tcBorders>
              <w:top w:val="nil"/>
              <w:bottom w:val="nil"/>
              <w:right w:val="nil"/>
            </w:tcBorders>
            <w:shd w:val="clear" w:color="auto" w:fill="auto"/>
            <w:noWrap/>
            <w:vAlign w:val="center"/>
          </w:tcPr>
          <w:p w14:paraId="27668FF9"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24AE1668"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459E4A2E" w14:textId="77777777" w:rsidR="00DC2332" w:rsidRPr="001E47AD" w:rsidRDefault="00DC2332" w:rsidP="00CD06A1">
            <w:pPr>
              <w:jc w:val="right"/>
              <w:rPr>
                <w:sz w:val="16"/>
                <w:szCs w:val="16"/>
              </w:rPr>
            </w:pPr>
            <w:r w:rsidRPr="001E47AD">
              <w:rPr>
                <w:sz w:val="16"/>
                <w:szCs w:val="16"/>
              </w:rPr>
              <w:t>130.87%</w:t>
            </w:r>
          </w:p>
        </w:tc>
        <w:tc>
          <w:tcPr>
            <w:tcW w:w="599" w:type="pct"/>
            <w:tcBorders>
              <w:top w:val="nil"/>
              <w:left w:val="nil"/>
              <w:bottom w:val="nil"/>
              <w:right w:val="nil"/>
            </w:tcBorders>
            <w:shd w:val="clear" w:color="auto" w:fill="auto"/>
            <w:noWrap/>
            <w:vAlign w:val="center"/>
          </w:tcPr>
          <w:p w14:paraId="64909B9A" w14:textId="77777777" w:rsidR="00DC2332" w:rsidRPr="001E47AD" w:rsidRDefault="00DC2332" w:rsidP="00CD06A1">
            <w:pPr>
              <w:jc w:val="right"/>
              <w:rPr>
                <w:sz w:val="16"/>
                <w:szCs w:val="16"/>
              </w:rPr>
            </w:pPr>
            <w:r w:rsidRPr="001E47AD">
              <w:rPr>
                <w:sz w:val="16"/>
                <w:szCs w:val="16"/>
              </w:rPr>
              <w:t>134.76%</w:t>
            </w:r>
          </w:p>
        </w:tc>
        <w:tc>
          <w:tcPr>
            <w:tcW w:w="613" w:type="pct"/>
            <w:tcBorders>
              <w:top w:val="nil"/>
              <w:left w:val="nil"/>
              <w:bottom w:val="nil"/>
            </w:tcBorders>
            <w:shd w:val="clear" w:color="auto" w:fill="auto"/>
            <w:noWrap/>
            <w:vAlign w:val="center"/>
          </w:tcPr>
          <w:p w14:paraId="1AAE5B6F" w14:textId="77777777" w:rsidR="00DC2332" w:rsidRPr="001E47AD" w:rsidRDefault="00DC2332" w:rsidP="00CD06A1">
            <w:pPr>
              <w:jc w:val="right"/>
              <w:rPr>
                <w:sz w:val="16"/>
                <w:szCs w:val="16"/>
              </w:rPr>
            </w:pPr>
            <w:r w:rsidRPr="001E47AD">
              <w:rPr>
                <w:sz w:val="16"/>
                <w:szCs w:val="16"/>
              </w:rPr>
              <w:t>139.82%</w:t>
            </w:r>
          </w:p>
        </w:tc>
      </w:tr>
      <w:tr w:rsidR="00DC2332" w:rsidRPr="001E47AD" w14:paraId="508B5650" w14:textId="77777777" w:rsidTr="00CD06A1">
        <w:trPr>
          <w:trHeight w:val="300"/>
        </w:trPr>
        <w:tc>
          <w:tcPr>
            <w:tcW w:w="1603" w:type="pct"/>
            <w:tcBorders>
              <w:top w:val="nil"/>
              <w:bottom w:val="single" w:sz="4" w:space="0" w:color="BFBFBF" w:themeColor="background1" w:themeShade="BF"/>
              <w:right w:val="nil"/>
            </w:tcBorders>
            <w:shd w:val="clear" w:color="auto" w:fill="auto"/>
            <w:noWrap/>
            <w:vAlign w:val="center"/>
          </w:tcPr>
          <w:p w14:paraId="60F8D8F8" w14:textId="77777777" w:rsidR="00DC2332" w:rsidRPr="001E47AD" w:rsidRDefault="00DC2332" w:rsidP="00CD06A1">
            <w:pPr>
              <w:rPr>
                <w:sz w:val="16"/>
                <w:szCs w:val="16"/>
              </w:rPr>
            </w:pPr>
          </w:p>
        </w:tc>
        <w:tc>
          <w:tcPr>
            <w:tcW w:w="1586" w:type="pct"/>
            <w:tcBorders>
              <w:top w:val="nil"/>
              <w:left w:val="nil"/>
              <w:bottom w:val="single" w:sz="4" w:space="0" w:color="BFBFBF" w:themeColor="background1" w:themeShade="BF"/>
              <w:right w:val="nil"/>
            </w:tcBorders>
            <w:vAlign w:val="center"/>
          </w:tcPr>
          <w:p w14:paraId="45A89675" w14:textId="77777777" w:rsidR="00DC2332" w:rsidRPr="001E47AD" w:rsidRDefault="00DC2332" w:rsidP="00CD06A1">
            <w:pPr>
              <w:rPr>
                <w:i/>
                <w:sz w:val="16"/>
                <w:szCs w:val="16"/>
              </w:rPr>
            </w:pPr>
            <w:r w:rsidRPr="001E47AD">
              <w:rPr>
                <w:i/>
                <w:sz w:val="16"/>
                <w:szCs w:val="16"/>
              </w:rPr>
              <w:t>Compound Impact</w:t>
            </w:r>
          </w:p>
        </w:tc>
        <w:tc>
          <w:tcPr>
            <w:tcW w:w="599" w:type="pct"/>
            <w:tcBorders>
              <w:top w:val="nil"/>
              <w:left w:val="nil"/>
              <w:bottom w:val="single" w:sz="4" w:space="0" w:color="BFBFBF" w:themeColor="background1" w:themeShade="BF"/>
              <w:right w:val="nil"/>
            </w:tcBorders>
            <w:shd w:val="clear" w:color="auto" w:fill="auto"/>
            <w:noWrap/>
            <w:vAlign w:val="center"/>
          </w:tcPr>
          <w:p w14:paraId="6FA0E3B6" w14:textId="77777777" w:rsidR="00DC2332" w:rsidRPr="001E47AD" w:rsidRDefault="00DC2332" w:rsidP="00CD06A1">
            <w:pPr>
              <w:jc w:val="right"/>
              <w:rPr>
                <w:i/>
                <w:sz w:val="16"/>
                <w:szCs w:val="16"/>
              </w:rPr>
            </w:pPr>
            <w:r w:rsidRPr="001E47AD">
              <w:rPr>
                <w:i/>
                <w:sz w:val="16"/>
                <w:szCs w:val="16"/>
              </w:rPr>
              <w:t>130.87%</w:t>
            </w:r>
          </w:p>
        </w:tc>
        <w:tc>
          <w:tcPr>
            <w:tcW w:w="599" w:type="pct"/>
            <w:tcBorders>
              <w:top w:val="nil"/>
              <w:left w:val="nil"/>
              <w:bottom w:val="single" w:sz="4" w:space="0" w:color="BFBFBF" w:themeColor="background1" w:themeShade="BF"/>
              <w:right w:val="nil"/>
            </w:tcBorders>
            <w:shd w:val="clear" w:color="auto" w:fill="auto"/>
            <w:noWrap/>
            <w:vAlign w:val="center"/>
          </w:tcPr>
          <w:p w14:paraId="0A4CBBD3" w14:textId="77777777" w:rsidR="00DC2332" w:rsidRPr="001E47AD" w:rsidRDefault="00DC2332" w:rsidP="00CD06A1">
            <w:pPr>
              <w:jc w:val="right"/>
              <w:rPr>
                <w:i/>
                <w:sz w:val="16"/>
                <w:szCs w:val="16"/>
              </w:rPr>
            </w:pPr>
            <w:r w:rsidRPr="001E47AD">
              <w:rPr>
                <w:i/>
                <w:sz w:val="16"/>
                <w:szCs w:val="16"/>
              </w:rPr>
              <w:t>134.78%</w:t>
            </w:r>
          </w:p>
        </w:tc>
        <w:tc>
          <w:tcPr>
            <w:tcW w:w="613" w:type="pct"/>
            <w:tcBorders>
              <w:top w:val="nil"/>
              <w:left w:val="nil"/>
              <w:bottom w:val="single" w:sz="4" w:space="0" w:color="BFBFBF" w:themeColor="background1" w:themeShade="BF"/>
            </w:tcBorders>
            <w:shd w:val="clear" w:color="auto" w:fill="auto"/>
            <w:noWrap/>
            <w:vAlign w:val="center"/>
          </w:tcPr>
          <w:p w14:paraId="3CCE471F" w14:textId="77777777" w:rsidR="00DC2332" w:rsidRPr="001E47AD" w:rsidRDefault="00DC2332" w:rsidP="00CD06A1">
            <w:pPr>
              <w:jc w:val="right"/>
              <w:rPr>
                <w:i/>
                <w:sz w:val="16"/>
                <w:szCs w:val="16"/>
              </w:rPr>
            </w:pPr>
            <w:r w:rsidRPr="001E47AD">
              <w:rPr>
                <w:i/>
                <w:sz w:val="16"/>
                <w:szCs w:val="16"/>
              </w:rPr>
              <w:t>148.52%</w:t>
            </w:r>
          </w:p>
        </w:tc>
      </w:tr>
      <w:tr w:rsidR="00DC2332" w:rsidRPr="001E47AD" w14:paraId="39A127DA" w14:textId="77777777" w:rsidTr="00CD06A1">
        <w:trPr>
          <w:trHeight w:val="300"/>
        </w:trPr>
        <w:tc>
          <w:tcPr>
            <w:tcW w:w="1603" w:type="pct"/>
            <w:tcBorders>
              <w:top w:val="single" w:sz="4" w:space="0" w:color="BFBFBF" w:themeColor="background1" w:themeShade="BF"/>
              <w:bottom w:val="nil"/>
              <w:right w:val="nil"/>
            </w:tcBorders>
            <w:shd w:val="clear" w:color="auto" w:fill="auto"/>
            <w:noWrap/>
            <w:vAlign w:val="center"/>
          </w:tcPr>
          <w:p w14:paraId="0C7B240A" w14:textId="77777777" w:rsidR="00DC2332" w:rsidRPr="001E47AD" w:rsidRDefault="00DC2332" w:rsidP="00CD06A1">
            <w:pPr>
              <w:rPr>
                <w:sz w:val="16"/>
                <w:szCs w:val="16"/>
              </w:rPr>
            </w:pPr>
            <w:r w:rsidRPr="001E47AD">
              <w:rPr>
                <w:sz w:val="16"/>
                <w:szCs w:val="16"/>
              </w:rPr>
              <w:t>Disaster Characteristics</w:t>
            </w:r>
          </w:p>
        </w:tc>
        <w:tc>
          <w:tcPr>
            <w:tcW w:w="1586" w:type="pct"/>
            <w:tcBorders>
              <w:top w:val="single" w:sz="4" w:space="0" w:color="BFBFBF" w:themeColor="background1" w:themeShade="BF"/>
              <w:left w:val="nil"/>
              <w:bottom w:val="nil"/>
              <w:right w:val="nil"/>
            </w:tcBorders>
            <w:vAlign w:val="center"/>
          </w:tcPr>
          <w:p w14:paraId="6B225977" w14:textId="77777777" w:rsidR="00DC2332" w:rsidRPr="001E47AD" w:rsidRDefault="00DC2332" w:rsidP="00CD06A1">
            <w:pPr>
              <w:rPr>
                <w:i/>
                <w:sz w:val="16"/>
                <w:szCs w:val="16"/>
              </w:rPr>
            </w:pPr>
          </w:p>
        </w:tc>
        <w:tc>
          <w:tcPr>
            <w:tcW w:w="599" w:type="pct"/>
            <w:tcBorders>
              <w:top w:val="single" w:sz="4" w:space="0" w:color="BFBFBF" w:themeColor="background1" w:themeShade="BF"/>
              <w:left w:val="nil"/>
              <w:bottom w:val="nil"/>
              <w:right w:val="nil"/>
            </w:tcBorders>
            <w:shd w:val="clear" w:color="auto" w:fill="auto"/>
            <w:noWrap/>
            <w:vAlign w:val="center"/>
          </w:tcPr>
          <w:p w14:paraId="1FCF0F29" w14:textId="77777777" w:rsidR="00DC2332" w:rsidRPr="001E47AD" w:rsidRDefault="00DC2332" w:rsidP="00CD06A1">
            <w:pPr>
              <w:jc w:val="right"/>
              <w:rPr>
                <w:i/>
                <w:sz w:val="16"/>
                <w:szCs w:val="16"/>
              </w:rPr>
            </w:pPr>
          </w:p>
        </w:tc>
        <w:tc>
          <w:tcPr>
            <w:tcW w:w="599" w:type="pct"/>
            <w:tcBorders>
              <w:top w:val="single" w:sz="4" w:space="0" w:color="BFBFBF" w:themeColor="background1" w:themeShade="BF"/>
              <w:left w:val="nil"/>
              <w:bottom w:val="nil"/>
              <w:right w:val="nil"/>
            </w:tcBorders>
            <w:shd w:val="clear" w:color="auto" w:fill="auto"/>
            <w:noWrap/>
            <w:vAlign w:val="center"/>
          </w:tcPr>
          <w:p w14:paraId="65856525" w14:textId="77777777" w:rsidR="00DC2332" w:rsidRPr="001E47AD" w:rsidRDefault="00DC2332" w:rsidP="00CD06A1">
            <w:pPr>
              <w:jc w:val="right"/>
              <w:rPr>
                <w:i/>
                <w:sz w:val="16"/>
                <w:szCs w:val="16"/>
              </w:rPr>
            </w:pPr>
          </w:p>
        </w:tc>
        <w:tc>
          <w:tcPr>
            <w:tcW w:w="613" w:type="pct"/>
            <w:tcBorders>
              <w:top w:val="single" w:sz="4" w:space="0" w:color="BFBFBF" w:themeColor="background1" w:themeShade="BF"/>
              <w:left w:val="nil"/>
              <w:bottom w:val="nil"/>
            </w:tcBorders>
            <w:shd w:val="clear" w:color="auto" w:fill="auto"/>
            <w:noWrap/>
            <w:vAlign w:val="center"/>
          </w:tcPr>
          <w:p w14:paraId="498620B2" w14:textId="77777777" w:rsidR="00DC2332" w:rsidRPr="001E47AD" w:rsidRDefault="00DC2332" w:rsidP="00CD06A1">
            <w:pPr>
              <w:jc w:val="right"/>
              <w:rPr>
                <w:i/>
                <w:sz w:val="16"/>
                <w:szCs w:val="16"/>
              </w:rPr>
            </w:pPr>
          </w:p>
        </w:tc>
      </w:tr>
      <w:tr w:rsidR="00DC2332" w:rsidRPr="001E47AD" w14:paraId="339F6DD4" w14:textId="77777777" w:rsidTr="00CD06A1">
        <w:trPr>
          <w:trHeight w:val="300"/>
        </w:trPr>
        <w:tc>
          <w:tcPr>
            <w:tcW w:w="1603" w:type="pct"/>
            <w:tcBorders>
              <w:top w:val="nil"/>
              <w:bottom w:val="nil"/>
              <w:right w:val="nil"/>
            </w:tcBorders>
            <w:shd w:val="clear" w:color="auto" w:fill="auto"/>
            <w:noWrap/>
            <w:vAlign w:val="center"/>
            <w:hideMark/>
          </w:tcPr>
          <w:p w14:paraId="7682B234" w14:textId="77777777" w:rsidR="00DC2332" w:rsidRPr="001E47AD" w:rsidRDefault="00DC2332" w:rsidP="00CD06A1">
            <w:pPr>
              <w:rPr>
                <w:sz w:val="16"/>
                <w:szCs w:val="16"/>
              </w:rPr>
            </w:pPr>
            <m:oMathPara>
              <m:oMathParaPr>
                <m:jc m:val="left"/>
              </m:oMathParaPr>
              <m:oMath>
                <m:r>
                  <m:rPr>
                    <m:sty m:val="p"/>
                  </m:rPr>
                  <w:rPr>
                    <w:rFonts w:ascii="Cambria Math" w:hAnsi="Cambria Math"/>
                    <w:sz w:val="16"/>
                    <w:szCs w:val="16"/>
                  </w:rPr>
                  <m:t>HUR_LANDFALL_DIST</m:t>
                </m:r>
              </m:oMath>
            </m:oMathPara>
          </w:p>
        </w:tc>
        <w:tc>
          <w:tcPr>
            <w:tcW w:w="1586" w:type="pct"/>
            <w:tcBorders>
              <w:top w:val="nil"/>
              <w:left w:val="nil"/>
              <w:bottom w:val="nil"/>
              <w:right w:val="nil"/>
            </w:tcBorders>
            <w:vAlign w:val="center"/>
          </w:tcPr>
          <w:p w14:paraId="0EFB7732" w14:textId="77777777" w:rsidR="00DC2332" w:rsidRPr="001E47AD" w:rsidRDefault="00DC2332" w:rsidP="00CD06A1">
            <w:pPr>
              <w:rPr>
                <w:sz w:val="16"/>
                <w:szCs w:val="16"/>
                <w:lang w:eastAsia="zh-CN"/>
              </w:rPr>
            </w:pPr>
            <w:r w:rsidRPr="001E47AD">
              <w:rPr>
                <w:sz w:val="16"/>
                <w:szCs w:val="16"/>
              </w:rPr>
              <w:t>Miles</w:t>
            </w:r>
            <w:r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tcPr>
          <w:p w14:paraId="601867D8" w14:textId="77777777" w:rsidR="00DC2332" w:rsidRPr="001E47AD" w:rsidRDefault="00DC2332" w:rsidP="00CD06A1">
            <w:pPr>
              <w:jc w:val="right"/>
              <w:rPr>
                <w:sz w:val="16"/>
                <w:szCs w:val="16"/>
                <w:lang w:eastAsia="zh-CN"/>
              </w:rPr>
            </w:pPr>
            <w:r w:rsidRPr="001E47AD">
              <w:rPr>
                <w:sz w:val="16"/>
                <w:szCs w:val="16"/>
              </w:rPr>
              <w:t>508</w:t>
            </w:r>
            <w:r w:rsidRPr="001E47AD">
              <w:rPr>
                <w:rFonts w:hint="eastAsia"/>
                <w:sz w:val="16"/>
                <w:szCs w:val="16"/>
                <w:lang w:eastAsia="zh-CN"/>
              </w:rPr>
              <w:t xml:space="preserve"> (75th)</w:t>
            </w:r>
          </w:p>
        </w:tc>
        <w:tc>
          <w:tcPr>
            <w:tcW w:w="599" w:type="pct"/>
            <w:tcBorders>
              <w:top w:val="nil"/>
              <w:left w:val="nil"/>
              <w:bottom w:val="nil"/>
              <w:right w:val="nil"/>
            </w:tcBorders>
            <w:shd w:val="clear" w:color="auto" w:fill="auto"/>
            <w:noWrap/>
            <w:vAlign w:val="center"/>
            <w:hideMark/>
          </w:tcPr>
          <w:p w14:paraId="2354A987" w14:textId="77777777" w:rsidR="00DC2332" w:rsidRPr="001E47AD" w:rsidRDefault="00DC2332" w:rsidP="00CD06A1">
            <w:pPr>
              <w:jc w:val="right"/>
              <w:rPr>
                <w:sz w:val="16"/>
                <w:szCs w:val="16"/>
                <w:lang w:eastAsia="zh-CN"/>
              </w:rPr>
            </w:pPr>
            <w:r w:rsidRPr="001E47AD">
              <w:rPr>
                <w:sz w:val="16"/>
                <w:szCs w:val="16"/>
              </w:rPr>
              <w:t>288</w:t>
            </w:r>
            <w:r w:rsidRPr="001E47AD">
              <w:rPr>
                <w:rFonts w:hint="eastAsia"/>
                <w:sz w:val="16"/>
                <w:szCs w:val="16"/>
                <w:lang w:eastAsia="zh-CN"/>
              </w:rPr>
              <w:t xml:space="preserve"> (50th)</w:t>
            </w:r>
          </w:p>
        </w:tc>
        <w:tc>
          <w:tcPr>
            <w:tcW w:w="613" w:type="pct"/>
            <w:tcBorders>
              <w:top w:val="nil"/>
              <w:left w:val="nil"/>
              <w:bottom w:val="nil"/>
            </w:tcBorders>
            <w:shd w:val="clear" w:color="auto" w:fill="auto"/>
            <w:noWrap/>
            <w:vAlign w:val="center"/>
          </w:tcPr>
          <w:p w14:paraId="01F874A4" w14:textId="77777777" w:rsidR="00DC2332" w:rsidRPr="001E47AD" w:rsidRDefault="00DC2332" w:rsidP="00CD06A1">
            <w:pPr>
              <w:jc w:val="right"/>
              <w:rPr>
                <w:sz w:val="16"/>
                <w:szCs w:val="16"/>
                <w:lang w:eastAsia="zh-CN"/>
              </w:rPr>
            </w:pPr>
            <w:r w:rsidRPr="001E47AD">
              <w:rPr>
                <w:sz w:val="16"/>
                <w:szCs w:val="16"/>
              </w:rPr>
              <w:t>15</w:t>
            </w:r>
            <w:r w:rsidRPr="001E47AD">
              <w:rPr>
                <w:rFonts w:hint="eastAsia"/>
                <w:sz w:val="16"/>
                <w:szCs w:val="16"/>
                <w:lang w:eastAsia="zh-CN"/>
              </w:rPr>
              <w:t>1 (25th)</w:t>
            </w:r>
          </w:p>
        </w:tc>
      </w:tr>
      <w:tr w:rsidR="00DC2332" w:rsidRPr="001E47AD" w14:paraId="4087E89C" w14:textId="77777777" w:rsidTr="00CD06A1">
        <w:trPr>
          <w:trHeight w:val="300"/>
        </w:trPr>
        <w:tc>
          <w:tcPr>
            <w:tcW w:w="1603" w:type="pct"/>
            <w:tcBorders>
              <w:top w:val="nil"/>
              <w:bottom w:val="nil"/>
              <w:right w:val="nil"/>
            </w:tcBorders>
            <w:shd w:val="clear" w:color="auto" w:fill="auto"/>
            <w:noWrap/>
            <w:vAlign w:val="center"/>
          </w:tcPr>
          <w:p w14:paraId="064524FB"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25A855D3"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45F152AC" w14:textId="77777777" w:rsidR="00DC2332" w:rsidRPr="001E47AD" w:rsidRDefault="00DC2332" w:rsidP="00CD06A1">
            <w:pPr>
              <w:jc w:val="right"/>
              <w:rPr>
                <w:sz w:val="16"/>
                <w:szCs w:val="16"/>
              </w:rPr>
            </w:pPr>
            <w:r w:rsidRPr="001E47AD">
              <w:rPr>
                <w:sz w:val="16"/>
                <w:szCs w:val="16"/>
              </w:rPr>
              <w:t>56.32%</w:t>
            </w:r>
          </w:p>
        </w:tc>
        <w:tc>
          <w:tcPr>
            <w:tcW w:w="599" w:type="pct"/>
            <w:tcBorders>
              <w:top w:val="nil"/>
              <w:left w:val="nil"/>
              <w:bottom w:val="nil"/>
              <w:right w:val="nil"/>
            </w:tcBorders>
            <w:shd w:val="clear" w:color="auto" w:fill="auto"/>
            <w:noWrap/>
            <w:vAlign w:val="center"/>
          </w:tcPr>
          <w:p w14:paraId="55FD7437" w14:textId="77777777" w:rsidR="00DC2332" w:rsidRPr="001E47AD" w:rsidRDefault="00DC2332" w:rsidP="00CD06A1">
            <w:pPr>
              <w:jc w:val="right"/>
              <w:rPr>
                <w:sz w:val="16"/>
                <w:szCs w:val="16"/>
              </w:rPr>
            </w:pPr>
            <w:r w:rsidRPr="001E47AD">
              <w:rPr>
                <w:sz w:val="16"/>
                <w:szCs w:val="16"/>
              </w:rPr>
              <w:t>68.73%</w:t>
            </w:r>
          </w:p>
        </w:tc>
        <w:tc>
          <w:tcPr>
            <w:tcW w:w="613" w:type="pct"/>
            <w:tcBorders>
              <w:top w:val="nil"/>
              <w:left w:val="nil"/>
              <w:bottom w:val="nil"/>
            </w:tcBorders>
            <w:shd w:val="clear" w:color="auto" w:fill="auto"/>
            <w:noWrap/>
            <w:vAlign w:val="center"/>
          </w:tcPr>
          <w:p w14:paraId="776032C0" w14:textId="77777777" w:rsidR="00DC2332" w:rsidRPr="001E47AD" w:rsidRDefault="00DC2332" w:rsidP="00CD06A1">
            <w:pPr>
              <w:jc w:val="right"/>
              <w:rPr>
                <w:sz w:val="16"/>
                <w:szCs w:val="16"/>
              </w:rPr>
            </w:pPr>
            <w:r w:rsidRPr="001E47AD">
              <w:rPr>
                <w:sz w:val="16"/>
                <w:szCs w:val="16"/>
              </w:rPr>
              <w:t>80.83%</w:t>
            </w:r>
          </w:p>
        </w:tc>
      </w:tr>
      <w:tr w:rsidR="00DC2332" w:rsidRPr="001E47AD" w14:paraId="1E8ED4BD" w14:textId="77777777" w:rsidTr="00CD06A1">
        <w:trPr>
          <w:trHeight w:val="300"/>
        </w:trPr>
        <w:tc>
          <w:tcPr>
            <w:tcW w:w="1603" w:type="pct"/>
            <w:tcBorders>
              <w:top w:val="nil"/>
              <w:bottom w:val="nil"/>
              <w:right w:val="nil"/>
            </w:tcBorders>
            <w:shd w:val="clear" w:color="auto" w:fill="auto"/>
            <w:noWrap/>
            <w:vAlign w:val="center"/>
            <w:hideMark/>
          </w:tcPr>
          <w:p w14:paraId="38F38210" w14:textId="77777777" w:rsidR="00DC2332" w:rsidRPr="001E47AD" w:rsidRDefault="00DC2332" w:rsidP="00CD06A1">
            <w:pPr>
              <w:rPr>
                <w:sz w:val="16"/>
                <w:szCs w:val="16"/>
              </w:rPr>
            </w:pPr>
            <m:oMathPara>
              <m:oMathParaPr>
                <m:jc m:val="left"/>
              </m:oMathParaPr>
              <m:oMath>
                <m:r>
                  <m:rPr>
                    <m:sty m:val="p"/>
                  </m:rPr>
                  <w:rPr>
                    <w:rFonts w:ascii="Cambria Math" w:hAnsi="Cambria Math"/>
                    <w:sz w:val="16"/>
                    <w:szCs w:val="16"/>
                  </w:rPr>
                  <m:t>HUR_TRACK_DIST</m:t>
                </m:r>
              </m:oMath>
            </m:oMathPara>
          </w:p>
        </w:tc>
        <w:tc>
          <w:tcPr>
            <w:tcW w:w="1586" w:type="pct"/>
            <w:tcBorders>
              <w:top w:val="nil"/>
              <w:left w:val="nil"/>
              <w:bottom w:val="nil"/>
              <w:right w:val="nil"/>
            </w:tcBorders>
            <w:vAlign w:val="center"/>
          </w:tcPr>
          <w:p w14:paraId="70D16E09" w14:textId="77777777" w:rsidR="00DC2332" w:rsidRPr="001E47AD" w:rsidRDefault="00DC2332" w:rsidP="00CD06A1">
            <w:pPr>
              <w:rPr>
                <w:sz w:val="16"/>
                <w:szCs w:val="16"/>
                <w:lang w:eastAsia="zh-CN"/>
              </w:rPr>
            </w:pPr>
            <w:r w:rsidRPr="001E47AD">
              <w:rPr>
                <w:sz w:val="16"/>
                <w:szCs w:val="16"/>
              </w:rPr>
              <w:t>Miles</w:t>
            </w:r>
            <w:r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tcPr>
          <w:p w14:paraId="2D774163" w14:textId="77777777" w:rsidR="00DC2332" w:rsidRPr="001E47AD" w:rsidRDefault="00DC2332" w:rsidP="00CD06A1">
            <w:pPr>
              <w:jc w:val="right"/>
              <w:rPr>
                <w:sz w:val="16"/>
                <w:szCs w:val="16"/>
                <w:lang w:eastAsia="zh-CN"/>
              </w:rPr>
            </w:pPr>
            <w:r w:rsidRPr="001E47AD">
              <w:rPr>
                <w:sz w:val="16"/>
                <w:szCs w:val="16"/>
              </w:rPr>
              <w:t>233</w:t>
            </w:r>
            <w:r w:rsidRPr="001E47AD">
              <w:rPr>
                <w:rFonts w:hint="eastAsia"/>
                <w:sz w:val="16"/>
                <w:szCs w:val="16"/>
                <w:lang w:eastAsia="zh-CN"/>
              </w:rPr>
              <w:t xml:space="preserve"> (75th)</w:t>
            </w:r>
          </w:p>
        </w:tc>
        <w:tc>
          <w:tcPr>
            <w:tcW w:w="599" w:type="pct"/>
            <w:tcBorders>
              <w:top w:val="nil"/>
              <w:left w:val="nil"/>
              <w:bottom w:val="nil"/>
              <w:right w:val="nil"/>
            </w:tcBorders>
            <w:shd w:val="clear" w:color="auto" w:fill="auto"/>
            <w:noWrap/>
            <w:vAlign w:val="center"/>
            <w:hideMark/>
          </w:tcPr>
          <w:p w14:paraId="53143F04" w14:textId="77777777" w:rsidR="00DC2332" w:rsidRPr="001E47AD" w:rsidRDefault="00DC2332" w:rsidP="00CD06A1">
            <w:pPr>
              <w:jc w:val="right"/>
              <w:rPr>
                <w:sz w:val="16"/>
                <w:szCs w:val="16"/>
                <w:lang w:eastAsia="zh-CN"/>
              </w:rPr>
            </w:pPr>
            <w:r w:rsidRPr="001E47AD">
              <w:rPr>
                <w:sz w:val="16"/>
                <w:szCs w:val="16"/>
              </w:rPr>
              <w:t>162</w:t>
            </w:r>
            <w:r w:rsidRPr="001E47AD">
              <w:rPr>
                <w:rFonts w:hint="eastAsia"/>
                <w:sz w:val="16"/>
                <w:szCs w:val="16"/>
                <w:lang w:eastAsia="zh-CN"/>
              </w:rPr>
              <w:t xml:space="preserve"> (50th)</w:t>
            </w:r>
          </w:p>
        </w:tc>
        <w:tc>
          <w:tcPr>
            <w:tcW w:w="613" w:type="pct"/>
            <w:tcBorders>
              <w:top w:val="nil"/>
              <w:left w:val="nil"/>
              <w:bottom w:val="nil"/>
            </w:tcBorders>
            <w:shd w:val="clear" w:color="auto" w:fill="auto"/>
            <w:noWrap/>
            <w:vAlign w:val="center"/>
          </w:tcPr>
          <w:p w14:paraId="4AC2644E" w14:textId="77777777" w:rsidR="00DC2332" w:rsidRPr="001E47AD" w:rsidRDefault="00DC2332" w:rsidP="00CD06A1">
            <w:pPr>
              <w:jc w:val="right"/>
              <w:rPr>
                <w:sz w:val="16"/>
                <w:szCs w:val="16"/>
                <w:lang w:eastAsia="zh-CN"/>
              </w:rPr>
            </w:pPr>
            <w:r w:rsidRPr="001E47AD">
              <w:rPr>
                <w:sz w:val="16"/>
                <w:szCs w:val="16"/>
              </w:rPr>
              <w:t>92</w:t>
            </w:r>
            <w:r w:rsidRPr="001E47AD">
              <w:rPr>
                <w:rFonts w:hint="eastAsia"/>
                <w:sz w:val="16"/>
                <w:szCs w:val="16"/>
                <w:lang w:eastAsia="zh-CN"/>
              </w:rPr>
              <w:t xml:space="preserve"> (25th)</w:t>
            </w:r>
          </w:p>
        </w:tc>
      </w:tr>
      <w:tr w:rsidR="00DC2332" w:rsidRPr="001E47AD" w14:paraId="7175B72D" w14:textId="77777777" w:rsidTr="00CD06A1">
        <w:trPr>
          <w:trHeight w:val="300"/>
        </w:trPr>
        <w:tc>
          <w:tcPr>
            <w:tcW w:w="1603" w:type="pct"/>
            <w:tcBorders>
              <w:top w:val="nil"/>
              <w:bottom w:val="nil"/>
              <w:right w:val="nil"/>
            </w:tcBorders>
            <w:shd w:val="clear" w:color="auto" w:fill="auto"/>
            <w:noWrap/>
            <w:vAlign w:val="center"/>
          </w:tcPr>
          <w:p w14:paraId="68840650"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2BF318FC"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281240EF" w14:textId="77777777" w:rsidR="00DC2332" w:rsidRPr="001E47AD" w:rsidRDefault="00DC2332" w:rsidP="00CD06A1">
            <w:pPr>
              <w:jc w:val="right"/>
              <w:rPr>
                <w:sz w:val="16"/>
                <w:szCs w:val="16"/>
              </w:rPr>
            </w:pPr>
            <w:r w:rsidRPr="001E47AD">
              <w:rPr>
                <w:sz w:val="16"/>
                <w:szCs w:val="16"/>
              </w:rPr>
              <w:t>76.34%</w:t>
            </w:r>
          </w:p>
        </w:tc>
        <w:tc>
          <w:tcPr>
            <w:tcW w:w="599" w:type="pct"/>
            <w:tcBorders>
              <w:top w:val="nil"/>
              <w:left w:val="nil"/>
              <w:bottom w:val="nil"/>
              <w:right w:val="nil"/>
            </w:tcBorders>
            <w:shd w:val="clear" w:color="auto" w:fill="auto"/>
            <w:noWrap/>
            <w:vAlign w:val="center"/>
          </w:tcPr>
          <w:p w14:paraId="5F51CBF1" w14:textId="77777777" w:rsidR="00DC2332" w:rsidRPr="001E47AD" w:rsidRDefault="00DC2332" w:rsidP="00CD06A1">
            <w:pPr>
              <w:jc w:val="right"/>
              <w:rPr>
                <w:sz w:val="16"/>
                <w:szCs w:val="16"/>
              </w:rPr>
            </w:pPr>
            <w:r w:rsidRPr="001E47AD">
              <w:rPr>
                <w:sz w:val="16"/>
                <w:szCs w:val="16"/>
              </w:rPr>
              <w:t>80.82%</w:t>
            </w:r>
          </w:p>
        </w:tc>
        <w:tc>
          <w:tcPr>
            <w:tcW w:w="613" w:type="pct"/>
            <w:tcBorders>
              <w:top w:val="nil"/>
              <w:left w:val="nil"/>
              <w:bottom w:val="nil"/>
            </w:tcBorders>
            <w:shd w:val="clear" w:color="auto" w:fill="auto"/>
            <w:noWrap/>
            <w:vAlign w:val="center"/>
          </w:tcPr>
          <w:p w14:paraId="6009C274" w14:textId="77777777" w:rsidR="00DC2332" w:rsidRPr="001E47AD" w:rsidRDefault="00DC2332" w:rsidP="00CD06A1">
            <w:pPr>
              <w:jc w:val="right"/>
              <w:rPr>
                <w:sz w:val="16"/>
                <w:szCs w:val="16"/>
              </w:rPr>
            </w:pPr>
            <w:r w:rsidRPr="001E47AD">
              <w:rPr>
                <w:sz w:val="16"/>
                <w:szCs w:val="16"/>
              </w:rPr>
              <w:t>87.37%</w:t>
            </w:r>
          </w:p>
        </w:tc>
      </w:tr>
      <w:tr w:rsidR="00DC2332" w:rsidRPr="001E47AD" w14:paraId="32254ED7" w14:textId="77777777" w:rsidTr="00CD06A1">
        <w:trPr>
          <w:trHeight w:val="300"/>
        </w:trPr>
        <w:tc>
          <w:tcPr>
            <w:tcW w:w="1603" w:type="pct"/>
            <w:tcBorders>
              <w:top w:val="nil"/>
              <w:bottom w:val="nil"/>
              <w:right w:val="nil"/>
            </w:tcBorders>
            <w:shd w:val="clear" w:color="auto" w:fill="auto"/>
            <w:noWrap/>
            <w:vAlign w:val="center"/>
            <w:hideMark/>
          </w:tcPr>
          <w:p w14:paraId="4C012DC9" w14:textId="77777777" w:rsidR="00DC2332" w:rsidRPr="001E47AD" w:rsidRDefault="00DC2332" w:rsidP="00CD06A1">
            <w:pPr>
              <w:rPr>
                <w:sz w:val="16"/>
                <w:szCs w:val="16"/>
              </w:rPr>
            </w:pPr>
            <m:oMathPara>
              <m:oMathParaPr>
                <m:jc m:val="left"/>
              </m:oMathParaPr>
              <m:oMath>
                <m:r>
                  <m:rPr>
                    <m:sty m:val="p"/>
                  </m:rPr>
                  <w:rPr>
                    <w:rFonts w:ascii="Cambria Math" w:hAnsi="Cambria Math"/>
                    <w:sz w:val="16"/>
                    <w:szCs w:val="16"/>
                  </w:rPr>
                  <m:t>HUR_TRACK_WIND</m:t>
                </m:r>
              </m:oMath>
            </m:oMathPara>
          </w:p>
        </w:tc>
        <w:tc>
          <w:tcPr>
            <w:tcW w:w="1586" w:type="pct"/>
            <w:tcBorders>
              <w:top w:val="nil"/>
              <w:left w:val="nil"/>
              <w:bottom w:val="nil"/>
              <w:right w:val="nil"/>
            </w:tcBorders>
            <w:vAlign w:val="center"/>
          </w:tcPr>
          <w:p w14:paraId="64465C59" w14:textId="77777777" w:rsidR="00DC2332" w:rsidRPr="001E47AD" w:rsidRDefault="00DC2332" w:rsidP="00CD06A1">
            <w:pPr>
              <w:rPr>
                <w:sz w:val="16"/>
                <w:szCs w:val="16"/>
                <w:lang w:eastAsia="zh-CN"/>
              </w:rPr>
            </w:pPr>
            <w:r w:rsidRPr="001E47AD">
              <w:rPr>
                <w:sz w:val="16"/>
                <w:szCs w:val="16"/>
              </w:rPr>
              <w:t>Miles Per Hours</w:t>
            </w:r>
            <w:r w:rsidRPr="001E47AD">
              <w:rPr>
                <w:rFonts w:hint="eastAsia"/>
                <w:sz w:val="16"/>
                <w:szCs w:val="16"/>
                <w:lang w:eastAsia="zh-CN"/>
              </w:rPr>
              <w:t xml:space="preserve">  (Percentile)</w:t>
            </w:r>
          </w:p>
        </w:tc>
        <w:tc>
          <w:tcPr>
            <w:tcW w:w="599" w:type="pct"/>
            <w:tcBorders>
              <w:top w:val="nil"/>
              <w:left w:val="nil"/>
              <w:bottom w:val="nil"/>
              <w:right w:val="nil"/>
            </w:tcBorders>
            <w:shd w:val="clear" w:color="auto" w:fill="auto"/>
            <w:noWrap/>
            <w:vAlign w:val="center"/>
          </w:tcPr>
          <w:p w14:paraId="7A51A47C" w14:textId="77777777" w:rsidR="00DC2332" w:rsidRPr="001E47AD" w:rsidRDefault="00DC2332" w:rsidP="00CD06A1">
            <w:pPr>
              <w:jc w:val="right"/>
              <w:rPr>
                <w:sz w:val="16"/>
                <w:szCs w:val="16"/>
                <w:lang w:eastAsia="zh-CN"/>
              </w:rPr>
            </w:pPr>
            <w:r w:rsidRPr="001E47AD">
              <w:rPr>
                <w:rFonts w:hint="eastAsia"/>
                <w:sz w:val="16"/>
                <w:szCs w:val="16"/>
                <w:lang w:eastAsia="zh-CN"/>
              </w:rPr>
              <w:t>70 (75th)</w:t>
            </w:r>
          </w:p>
        </w:tc>
        <w:tc>
          <w:tcPr>
            <w:tcW w:w="599" w:type="pct"/>
            <w:tcBorders>
              <w:top w:val="nil"/>
              <w:left w:val="nil"/>
              <w:bottom w:val="nil"/>
              <w:right w:val="nil"/>
            </w:tcBorders>
            <w:shd w:val="clear" w:color="auto" w:fill="auto"/>
            <w:noWrap/>
            <w:vAlign w:val="center"/>
            <w:hideMark/>
          </w:tcPr>
          <w:p w14:paraId="2920274E" w14:textId="77777777" w:rsidR="00DC2332" w:rsidRPr="001E47AD" w:rsidRDefault="00DC2332" w:rsidP="00CD06A1">
            <w:pPr>
              <w:jc w:val="right"/>
              <w:rPr>
                <w:sz w:val="16"/>
                <w:szCs w:val="16"/>
                <w:lang w:eastAsia="zh-CN"/>
              </w:rPr>
            </w:pPr>
            <w:r w:rsidRPr="001E47AD">
              <w:rPr>
                <w:sz w:val="16"/>
                <w:szCs w:val="16"/>
              </w:rPr>
              <w:t>65</w:t>
            </w:r>
            <w:r w:rsidRPr="001E47AD">
              <w:rPr>
                <w:rFonts w:hint="eastAsia"/>
                <w:sz w:val="16"/>
                <w:szCs w:val="16"/>
                <w:lang w:eastAsia="zh-CN"/>
              </w:rPr>
              <w:t xml:space="preserve"> (50th)</w:t>
            </w:r>
          </w:p>
        </w:tc>
        <w:tc>
          <w:tcPr>
            <w:tcW w:w="613" w:type="pct"/>
            <w:tcBorders>
              <w:top w:val="nil"/>
              <w:left w:val="nil"/>
              <w:bottom w:val="nil"/>
            </w:tcBorders>
            <w:shd w:val="clear" w:color="auto" w:fill="auto"/>
            <w:noWrap/>
            <w:vAlign w:val="center"/>
          </w:tcPr>
          <w:p w14:paraId="5190915C" w14:textId="77777777" w:rsidR="00DC2332" w:rsidRPr="001E47AD" w:rsidRDefault="00DC2332" w:rsidP="00CD06A1">
            <w:pPr>
              <w:jc w:val="right"/>
              <w:rPr>
                <w:sz w:val="16"/>
                <w:szCs w:val="16"/>
                <w:lang w:eastAsia="zh-CN"/>
              </w:rPr>
            </w:pPr>
            <w:r w:rsidRPr="001E47AD">
              <w:rPr>
                <w:rFonts w:hint="eastAsia"/>
                <w:sz w:val="16"/>
                <w:szCs w:val="16"/>
                <w:lang w:eastAsia="zh-CN"/>
              </w:rPr>
              <w:t>5</w:t>
            </w:r>
            <w:r w:rsidRPr="001E47AD">
              <w:rPr>
                <w:sz w:val="16"/>
                <w:szCs w:val="16"/>
              </w:rPr>
              <w:t>0</w:t>
            </w:r>
            <w:r w:rsidRPr="001E47AD">
              <w:rPr>
                <w:rFonts w:hint="eastAsia"/>
                <w:sz w:val="16"/>
                <w:szCs w:val="16"/>
                <w:lang w:eastAsia="zh-CN"/>
              </w:rPr>
              <w:t xml:space="preserve"> (25th)</w:t>
            </w:r>
          </w:p>
        </w:tc>
      </w:tr>
      <w:tr w:rsidR="00DC2332" w:rsidRPr="001E47AD" w14:paraId="56F30BDA" w14:textId="77777777" w:rsidTr="00CD06A1">
        <w:trPr>
          <w:trHeight w:val="300"/>
        </w:trPr>
        <w:tc>
          <w:tcPr>
            <w:tcW w:w="1603" w:type="pct"/>
            <w:tcBorders>
              <w:top w:val="nil"/>
              <w:bottom w:val="nil"/>
              <w:right w:val="nil"/>
            </w:tcBorders>
            <w:shd w:val="clear" w:color="auto" w:fill="auto"/>
            <w:noWrap/>
            <w:vAlign w:val="center"/>
          </w:tcPr>
          <w:p w14:paraId="5C4E4E78" w14:textId="77777777" w:rsidR="00DC2332" w:rsidRPr="001E47AD" w:rsidRDefault="00DC2332" w:rsidP="00CD06A1">
            <w:pPr>
              <w:rPr>
                <w:sz w:val="16"/>
                <w:szCs w:val="16"/>
              </w:rPr>
            </w:pPr>
          </w:p>
        </w:tc>
        <w:tc>
          <w:tcPr>
            <w:tcW w:w="1586" w:type="pct"/>
            <w:tcBorders>
              <w:top w:val="nil"/>
              <w:left w:val="nil"/>
              <w:bottom w:val="nil"/>
              <w:right w:val="nil"/>
            </w:tcBorders>
            <w:vAlign w:val="center"/>
          </w:tcPr>
          <w:p w14:paraId="43252C8F" w14:textId="77777777" w:rsidR="00DC2332" w:rsidRPr="001E47AD" w:rsidRDefault="00DC2332" w:rsidP="00CD06A1">
            <w:pPr>
              <w:rPr>
                <w:sz w:val="16"/>
                <w:szCs w:val="16"/>
              </w:rPr>
            </w:pPr>
            <w:r w:rsidRPr="001E47AD">
              <w:rPr>
                <w:sz w:val="16"/>
                <w:szCs w:val="16"/>
              </w:rPr>
              <w:t>Impact</w:t>
            </w:r>
          </w:p>
        </w:tc>
        <w:tc>
          <w:tcPr>
            <w:tcW w:w="599" w:type="pct"/>
            <w:tcBorders>
              <w:top w:val="nil"/>
              <w:left w:val="nil"/>
              <w:bottom w:val="nil"/>
              <w:right w:val="nil"/>
            </w:tcBorders>
            <w:shd w:val="clear" w:color="auto" w:fill="auto"/>
            <w:noWrap/>
            <w:vAlign w:val="center"/>
          </w:tcPr>
          <w:p w14:paraId="042B310F" w14:textId="77777777" w:rsidR="00DC2332" w:rsidRPr="001E47AD" w:rsidRDefault="00DC2332" w:rsidP="00CD06A1">
            <w:pPr>
              <w:jc w:val="right"/>
              <w:rPr>
                <w:sz w:val="16"/>
                <w:szCs w:val="16"/>
                <w:lang w:eastAsia="zh-CN"/>
              </w:rPr>
            </w:pPr>
            <w:r w:rsidRPr="001E47AD">
              <w:rPr>
                <w:rFonts w:hint="eastAsia"/>
                <w:sz w:val="16"/>
                <w:szCs w:val="16"/>
                <w:lang w:eastAsia="zh-CN"/>
              </w:rPr>
              <w:t>189.27%</w:t>
            </w:r>
          </w:p>
        </w:tc>
        <w:tc>
          <w:tcPr>
            <w:tcW w:w="599" w:type="pct"/>
            <w:tcBorders>
              <w:top w:val="nil"/>
              <w:left w:val="nil"/>
              <w:bottom w:val="nil"/>
              <w:right w:val="nil"/>
            </w:tcBorders>
            <w:shd w:val="clear" w:color="auto" w:fill="auto"/>
            <w:noWrap/>
            <w:vAlign w:val="center"/>
          </w:tcPr>
          <w:p w14:paraId="0805CE64" w14:textId="77777777" w:rsidR="00DC2332" w:rsidRPr="001E47AD" w:rsidRDefault="00DC2332" w:rsidP="00CD06A1">
            <w:pPr>
              <w:jc w:val="right"/>
              <w:rPr>
                <w:sz w:val="16"/>
                <w:szCs w:val="16"/>
              </w:rPr>
            </w:pPr>
            <w:r w:rsidRPr="001E47AD">
              <w:rPr>
                <w:sz w:val="16"/>
                <w:szCs w:val="16"/>
              </w:rPr>
              <w:t>193.29%</w:t>
            </w:r>
          </w:p>
        </w:tc>
        <w:tc>
          <w:tcPr>
            <w:tcW w:w="613" w:type="pct"/>
            <w:tcBorders>
              <w:top w:val="nil"/>
              <w:left w:val="nil"/>
              <w:bottom w:val="nil"/>
            </w:tcBorders>
            <w:shd w:val="clear" w:color="auto" w:fill="auto"/>
            <w:noWrap/>
            <w:vAlign w:val="center"/>
          </w:tcPr>
          <w:p w14:paraId="61CB7FCF" w14:textId="77777777" w:rsidR="00DC2332" w:rsidRPr="001E47AD" w:rsidRDefault="00DC2332" w:rsidP="00CD06A1">
            <w:pPr>
              <w:jc w:val="right"/>
              <w:rPr>
                <w:sz w:val="16"/>
                <w:szCs w:val="16"/>
              </w:rPr>
            </w:pPr>
            <w:r w:rsidRPr="001E47AD">
              <w:rPr>
                <w:sz w:val="16"/>
                <w:szCs w:val="16"/>
              </w:rPr>
              <w:t>193.61%</w:t>
            </w:r>
          </w:p>
        </w:tc>
      </w:tr>
      <w:tr w:rsidR="00DC2332" w:rsidRPr="001E47AD" w14:paraId="1E06AF89" w14:textId="77777777" w:rsidTr="00CD06A1">
        <w:trPr>
          <w:trHeight w:val="300"/>
        </w:trPr>
        <w:tc>
          <w:tcPr>
            <w:tcW w:w="1603" w:type="pct"/>
            <w:tcBorders>
              <w:top w:val="nil"/>
              <w:right w:val="nil"/>
            </w:tcBorders>
            <w:shd w:val="clear" w:color="auto" w:fill="auto"/>
            <w:noWrap/>
            <w:vAlign w:val="center"/>
          </w:tcPr>
          <w:p w14:paraId="451A9A5D" w14:textId="77777777" w:rsidR="00DC2332" w:rsidRPr="001E47AD" w:rsidRDefault="00DC2332" w:rsidP="00CD06A1">
            <w:pPr>
              <w:rPr>
                <w:sz w:val="16"/>
                <w:szCs w:val="16"/>
              </w:rPr>
            </w:pPr>
          </w:p>
        </w:tc>
        <w:tc>
          <w:tcPr>
            <w:tcW w:w="1586" w:type="pct"/>
            <w:tcBorders>
              <w:top w:val="nil"/>
              <w:left w:val="nil"/>
              <w:right w:val="nil"/>
            </w:tcBorders>
            <w:vAlign w:val="center"/>
          </w:tcPr>
          <w:p w14:paraId="28A0B867" w14:textId="77777777" w:rsidR="00DC2332" w:rsidRPr="001E47AD" w:rsidRDefault="00DC2332" w:rsidP="00CD06A1">
            <w:pPr>
              <w:rPr>
                <w:sz w:val="16"/>
                <w:szCs w:val="16"/>
              </w:rPr>
            </w:pPr>
            <w:r w:rsidRPr="001E47AD">
              <w:rPr>
                <w:i/>
                <w:sz w:val="16"/>
                <w:szCs w:val="16"/>
              </w:rPr>
              <w:t>Compound Impact</w:t>
            </w:r>
          </w:p>
        </w:tc>
        <w:tc>
          <w:tcPr>
            <w:tcW w:w="599" w:type="pct"/>
            <w:tcBorders>
              <w:top w:val="nil"/>
              <w:left w:val="nil"/>
              <w:right w:val="nil"/>
            </w:tcBorders>
            <w:shd w:val="clear" w:color="auto" w:fill="auto"/>
            <w:noWrap/>
            <w:vAlign w:val="center"/>
          </w:tcPr>
          <w:p w14:paraId="38CF205C" w14:textId="77777777" w:rsidR="00DC2332" w:rsidRPr="001E47AD" w:rsidRDefault="00DC2332" w:rsidP="00CD06A1">
            <w:pPr>
              <w:jc w:val="right"/>
              <w:rPr>
                <w:sz w:val="16"/>
                <w:szCs w:val="16"/>
              </w:rPr>
            </w:pPr>
            <w:r w:rsidRPr="001E47AD">
              <w:rPr>
                <w:i/>
                <w:sz w:val="16"/>
                <w:szCs w:val="16"/>
              </w:rPr>
              <w:t>8</w:t>
            </w:r>
            <w:r w:rsidRPr="001E47AD">
              <w:rPr>
                <w:rFonts w:hint="eastAsia"/>
                <w:i/>
                <w:sz w:val="16"/>
                <w:szCs w:val="16"/>
                <w:lang w:eastAsia="zh-CN"/>
              </w:rPr>
              <w:t>1.38</w:t>
            </w:r>
            <w:r w:rsidRPr="001E47AD">
              <w:rPr>
                <w:i/>
                <w:sz w:val="16"/>
                <w:szCs w:val="16"/>
              </w:rPr>
              <w:t>%</w:t>
            </w:r>
          </w:p>
        </w:tc>
        <w:tc>
          <w:tcPr>
            <w:tcW w:w="599" w:type="pct"/>
            <w:tcBorders>
              <w:top w:val="nil"/>
              <w:left w:val="nil"/>
              <w:right w:val="nil"/>
            </w:tcBorders>
            <w:shd w:val="clear" w:color="auto" w:fill="auto"/>
            <w:noWrap/>
            <w:vAlign w:val="center"/>
          </w:tcPr>
          <w:p w14:paraId="7D193432" w14:textId="77777777" w:rsidR="00DC2332" w:rsidRPr="001E47AD" w:rsidRDefault="00DC2332" w:rsidP="00CD06A1">
            <w:pPr>
              <w:jc w:val="right"/>
              <w:rPr>
                <w:sz w:val="16"/>
                <w:szCs w:val="16"/>
              </w:rPr>
            </w:pPr>
            <w:r w:rsidRPr="001E47AD">
              <w:rPr>
                <w:i/>
                <w:sz w:val="16"/>
                <w:szCs w:val="16"/>
              </w:rPr>
              <w:t>107.</w:t>
            </w:r>
            <w:r w:rsidRPr="001E47AD">
              <w:rPr>
                <w:rFonts w:hint="eastAsia"/>
                <w:i/>
                <w:sz w:val="16"/>
                <w:szCs w:val="16"/>
                <w:lang w:eastAsia="zh-CN"/>
              </w:rPr>
              <w:t>37</w:t>
            </w:r>
            <w:r w:rsidRPr="001E47AD">
              <w:rPr>
                <w:i/>
                <w:sz w:val="16"/>
                <w:szCs w:val="16"/>
              </w:rPr>
              <w:t>%</w:t>
            </w:r>
          </w:p>
        </w:tc>
        <w:tc>
          <w:tcPr>
            <w:tcW w:w="613" w:type="pct"/>
            <w:tcBorders>
              <w:top w:val="nil"/>
              <w:left w:val="nil"/>
            </w:tcBorders>
            <w:shd w:val="clear" w:color="auto" w:fill="auto"/>
            <w:noWrap/>
            <w:vAlign w:val="center"/>
          </w:tcPr>
          <w:p w14:paraId="4AF46D01" w14:textId="77777777" w:rsidR="00DC2332" w:rsidRPr="001E47AD" w:rsidRDefault="00DC2332" w:rsidP="00CD06A1">
            <w:pPr>
              <w:jc w:val="right"/>
              <w:rPr>
                <w:sz w:val="16"/>
                <w:szCs w:val="16"/>
              </w:rPr>
            </w:pPr>
            <w:r w:rsidRPr="001E47AD">
              <w:rPr>
                <w:i/>
                <w:sz w:val="16"/>
                <w:szCs w:val="16"/>
              </w:rPr>
              <w:t>13</w:t>
            </w:r>
            <w:r w:rsidRPr="001E47AD">
              <w:rPr>
                <w:rFonts w:hint="eastAsia"/>
                <w:i/>
                <w:sz w:val="16"/>
                <w:szCs w:val="16"/>
                <w:lang w:eastAsia="zh-CN"/>
              </w:rPr>
              <w:t>6.73</w:t>
            </w:r>
            <w:r w:rsidRPr="001E47AD">
              <w:rPr>
                <w:i/>
                <w:sz w:val="16"/>
                <w:szCs w:val="16"/>
              </w:rPr>
              <w:t xml:space="preserve"> %</w:t>
            </w:r>
          </w:p>
        </w:tc>
      </w:tr>
    </w:tbl>
    <w:p w14:paraId="453C185B" w14:textId="2FDBD91B" w:rsidR="006626C8" w:rsidRPr="001E47AD" w:rsidRDefault="006626C8" w:rsidP="006626C8">
      <w:pPr>
        <w:spacing w:before="240" w:after="120" w:line="480" w:lineRule="auto"/>
        <w:ind w:firstLine="720"/>
        <w:jc w:val="both"/>
        <w:rPr>
          <w:sz w:val="22"/>
          <w:szCs w:val="22"/>
          <w:lang w:eastAsia="zh-CN"/>
        </w:rPr>
      </w:pPr>
      <w:r w:rsidRPr="001E47AD">
        <w:rPr>
          <w:sz w:val="22"/>
          <w:szCs w:val="22"/>
        </w:rPr>
        <w:t xml:space="preserve">Evidently, as indicated in </w:t>
      </w:r>
      <w:r w:rsidRPr="001E47AD">
        <w:rPr>
          <w:sz w:val="22"/>
          <w:szCs w:val="22"/>
        </w:rPr>
        <w:fldChar w:fldCharType="begin"/>
      </w:r>
      <w:r w:rsidRPr="001E47AD">
        <w:rPr>
          <w:sz w:val="22"/>
          <w:szCs w:val="22"/>
        </w:rPr>
        <w:instrText xml:space="preserve"> REF _Ref20094062 \h  \* MERGEFORMAT </w:instrText>
      </w:r>
      <w:r w:rsidRPr="001E47AD">
        <w:rPr>
          <w:sz w:val="22"/>
          <w:szCs w:val="22"/>
        </w:rPr>
      </w:r>
      <w:r w:rsidRPr="001E47AD">
        <w:rPr>
          <w:sz w:val="22"/>
          <w:szCs w:val="22"/>
        </w:rPr>
        <w:fldChar w:fldCharType="separate"/>
      </w:r>
      <w:r w:rsidR="009E3444" w:rsidRPr="001E47AD">
        <w:rPr>
          <w:sz w:val="22"/>
          <w:szCs w:val="22"/>
        </w:rPr>
        <w:t xml:space="preserve">Table </w:t>
      </w:r>
      <w:r w:rsidR="009E3444" w:rsidRPr="001E47AD">
        <w:rPr>
          <w:noProof/>
          <w:sz w:val="22"/>
          <w:szCs w:val="22"/>
        </w:rPr>
        <w:t>5</w:t>
      </w:r>
      <w:r w:rsidRPr="001E47AD">
        <w:rPr>
          <w:sz w:val="22"/>
          <w:szCs w:val="22"/>
        </w:rPr>
        <w:fldChar w:fldCharType="end"/>
      </w:r>
      <w:r w:rsidRPr="001E47AD">
        <w:rPr>
          <w:sz w:val="22"/>
          <w:szCs w:val="22"/>
        </w:rPr>
        <w:t xml:space="preserve">, the compound impact of the demand-side characteristics is not as large as for the supply-side characteristics and disaster </w:t>
      </w:r>
      <w:r w:rsidR="0090007B" w:rsidRPr="001E47AD">
        <w:rPr>
          <w:sz w:val="22"/>
          <w:szCs w:val="22"/>
        </w:rPr>
        <w:t>characteristics</w:t>
      </w:r>
      <w:r w:rsidRPr="001E47AD">
        <w:rPr>
          <w:sz w:val="22"/>
          <w:szCs w:val="22"/>
        </w:rPr>
        <w:t>.</w:t>
      </w:r>
      <w:r w:rsidRPr="001E47AD" w:rsidDel="00554738">
        <w:rPr>
          <w:sz w:val="22"/>
          <w:szCs w:val="22"/>
        </w:rPr>
        <w:t xml:space="preserve"> </w:t>
      </w:r>
      <w:r w:rsidRPr="001E47AD">
        <w:rPr>
          <w:sz w:val="22"/>
          <w:szCs w:val="22"/>
          <w:lang w:eastAsia="zh-CN"/>
        </w:rPr>
        <w:t>For a similar increase (from the 25</w:t>
      </w:r>
      <w:r w:rsidRPr="001E47AD">
        <w:rPr>
          <w:sz w:val="22"/>
          <w:szCs w:val="22"/>
          <w:vertAlign w:val="superscript"/>
          <w:lang w:eastAsia="zh-CN"/>
        </w:rPr>
        <w:t>th</w:t>
      </w:r>
      <w:r w:rsidRPr="001E47AD">
        <w:rPr>
          <w:sz w:val="22"/>
          <w:szCs w:val="22"/>
          <w:lang w:eastAsia="zh-CN"/>
        </w:rPr>
        <w:t xml:space="preserve"> percentile to the 75</w:t>
      </w:r>
      <w:r w:rsidRPr="001E47AD">
        <w:rPr>
          <w:sz w:val="22"/>
          <w:szCs w:val="22"/>
          <w:vertAlign w:val="superscript"/>
          <w:lang w:eastAsia="zh-CN"/>
        </w:rPr>
        <w:t>th</w:t>
      </w:r>
      <w:r w:rsidRPr="001E47AD">
        <w:rPr>
          <w:sz w:val="22"/>
          <w:szCs w:val="22"/>
          <w:lang w:eastAsia="zh-CN"/>
        </w:rPr>
        <w:t xml:space="preserve"> percentile),</w:t>
      </w:r>
      <w:r w:rsidR="009458A9" w:rsidRPr="001E47AD">
        <w:rPr>
          <w:sz w:val="22"/>
          <w:szCs w:val="22"/>
          <w:lang w:eastAsia="zh-CN"/>
        </w:rPr>
        <w:t xml:space="preserve"> </w:t>
      </w:r>
      <w:r w:rsidRPr="001E47AD">
        <w:rPr>
          <w:sz w:val="22"/>
          <w:szCs w:val="22"/>
          <w:lang w:eastAsia="zh-CN"/>
        </w:rPr>
        <w:t>consumer stockpiling propensity increases by 18 percentage points, as compared with an increase of 118 percentage point</w:t>
      </w:r>
      <w:r w:rsidR="006C0DA4" w:rsidRPr="001E47AD">
        <w:rPr>
          <w:sz w:val="22"/>
          <w:szCs w:val="22"/>
          <w:lang w:eastAsia="zh-CN"/>
        </w:rPr>
        <w:t>s</w:t>
      </w:r>
      <w:r w:rsidRPr="001E47AD">
        <w:rPr>
          <w:sz w:val="22"/>
          <w:szCs w:val="22"/>
          <w:lang w:eastAsia="zh-CN"/>
        </w:rPr>
        <w:t xml:space="preserve"> in </w:t>
      </w:r>
      <w:r w:rsidR="009458A9" w:rsidRPr="001E47AD">
        <w:rPr>
          <w:sz w:val="22"/>
          <w:szCs w:val="22"/>
          <w:lang w:eastAsia="zh-CN"/>
        </w:rPr>
        <w:t xml:space="preserve">the supply-side characteristics and </w:t>
      </w:r>
      <w:r w:rsidR="006C0DA4" w:rsidRPr="001E47AD">
        <w:rPr>
          <w:sz w:val="22"/>
          <w:szCs w:val="22"/>
          <w:lang w:eastAsia="zh-CN"/>
        </w:rPr>
        <w:t xml:space="preserve">an increase of 55 percentage points in the </w:t>
      </w:r>
      <w:r w:rsidR="009458A9" w:rsidRPr="001E47AD">
        <w:rPr>
          <w:sz w:val="22"/>
          <w:szCs w:val="22"/>
          <w:lang w:eastAsia="zh-CN"/>
        </w:rPr>
        <w:t xml:space="preserve">disaster </w:t>
      </w:r>
      <w:r w:rsidR="0090007B" w:rsidRPr="001E47AD">
        <w:rPr>
          <w:sz w:val="22"/>
          <w:szCs w:val="22"/>
          <w:lang w:eastAsia="zh-CN"/>
        </w:rPr>
        <w:t>characteristics</w:t>
      </w:r>
      <w:r w:rsidR="009458A9" w:rsidRPr="001E47AD">
        <w:rPr>
          <w:sz w:val="22"/>
          <w:szCs w:val="22"/>
          <w:lang w:eastAsia="zh-CN"/>
        </w:rPr>
        <w:t>.</w:t>
      </w:r>
    </w:p>
    <w:p w14:paraId="58D60C41" w14:textId="35FE711F" w:rsidR="00426993" w:rsidRPr="001E47AD" w:rsidRDefault="00426993" w:rsidP="00596F39">
      <w:pPr>
        <w:pStyle w:val="Heading2"/>
      </w:pPr>
      <w:r w:rsidRPr="001E47AD">
        <w:lastRenderedPageBreak/>
        <w:t>Store Format</w:t>
      </w:r>
      <w:r w:rsidR="00CA1958" w:rsidRPr="001E47AD">
        <w:t>s</w:t>
      </w:r>
    </w:p>
    <w:p w14:paraId="613B8F54" w14:textId="77777777" w:rsidR="00CA1958" w:rsidRPr="001E47AD" w:rsidRDefault="00CA1958" w:rsidP="00CA1958">
      <w:pPr>
        <w:spacing w:before="120" w:after="120" w:line="480" w:lineRule="auto"/>
        <w:contextualSpacing/>
        <w:jc w:val="both"/>
        <w:rPr>
          <w:sz w:val="22"/>
          <w:szCs w:val="22"/>
        </w:rPr>
      </w:pPr>
      <w:r w:rsidRPr="001E47AD">
        <w:rPr>
          <w:sz w:val="22"/>
          <w:szCs w:val="22"/>
        </w:rPr>
        <w:t xml:space="preserve">Growing heterogeneity in consumer demand </w:t>
      </w:r>
      <w:r w:rsidRPr="001E47AD">
        <w:rPr>
          <w:noProof/>
          <w:sz w:val="22"/>
          <w:szCs w:val="22"/>
        </w:rPr>
        <w:t>has</w:t>
      </w:r>
      <w:r w:rsidRPr="001E47AD">
        <w:rPr>
          <w:sz w:val="22"/>
          <w:szCs w:val="22"/>
        </w:rPr>
        <w:t xml:space="preserve"> led to the diversification of store formats (González-Benito et al. 2005). Consumers </w:t>
      </w:r>
      <w:r w:rsidRPr="001E47AD">
        <w:rPr>
          <w:noProof/>
          <w:sz w:val="22"/>
          <w:szCs w:val="22"/>
        </w:rPr>
        <w:t>are influenced</w:t>
      </w:r>
      <w:r w:rsidRPr="001E47AD">
        <w:rPr>
          <w:sz w:val="22"/>
          <w:szCs w:val="22"/>
        </w:rPr>
        <w:t xml:space="preserve"> by store features, such as (1) product assortment, (2) pricing strategy, (3) transactional convenience, and (4) shopping experience (Messinger </w:t>
      </w:r>
      <w:r w:rsidRPr="001E47AD">
        <w:rPr>
          <w:sz w:val="22"/>
          <w:szCs w:val="22"/>
          <w:lang w:eastAsia="zh-CN"/>
        </w:rPr>
        <w:t>and</w:t>
      </w:r>
      <w:r w:rsidRPr="001E47AD">
        <w:rPr>
          <w:sz w:val="22"/>
          <w:szCs w:val="22"/>
        </w:rPr>
        <w:t xml:space="preserve"> Narasimhan 1997, Bustos-Reyes </w:t>
      </w:r>
      <w:r w:rsidRPr="001E47AD">
        <w:rPr>
          <w:sz w:val="22"/>
          <w:szCs w:val="22"/>
          <w:lang w:eastAsia="zh-CN"/>
        </w:rPr>
        <w:t>and</w:t>
      </w:r>
      <w:r w:rsidRPr="001E47AD">
        <w:rPr>
          <w:sz w:val="22"/>
          <w:szCs w:val="22"/>
        </w:rPr>
        <w:t xml:space="preserve"> Gonzalez-Benito 2008). From a demand-side perspective, the diversity of formats allows retailers to satisfy the needs of various consumer segments in different shopping situations (González-Benito et al. 2005). From a supply-side perspective, the diversity of retail formats represents a mix of operations and distribution functions to support business strategies</w:t>
      </w:r>
      <w:r w:rsidRPr="001E47AD">
        <w:rPr>
          <w:sz w:val="22"/>
          <w:szCs w:val="22"/>
          <w:lang w:eastAsia="zh-CN"/>
        </w:rPr>
        <w:t>. Therefore, store format may relate to a retailer’s disaster preparedness strategy, such as prepositioning inventory and investing in disaster management capability (Kunz et al. 2014), thus</w:t>
      </w:r>
      <w:r w:rsidRPr="001E47AD">
        <w:rPr>
          <w:sz w:val="22"/>
          <w:szCs w:val="22"/>
        </w:rPr>
        <w:t xml:space="preserve"> impacting </w:t>
      </w:r>
      <w:r w:rsidRPr="001E47AD">
        <w:rPr>
          <w:sz w:val="22"/>
          <w:szCs w:val="22"/>
          <w:lang w:eastAsia="zh-CN"/>
        </w:rPr>
        <w:t xml:space="preserve">consumer stockpiling propensity and in-store product availability </w:t>
      </w:r>
      <w:r w:rsidRPr="001E47AD">
        <w:rPr>
          <w:sz w:val="22"/>
          <w:szCs w:val="22"/>
        </w:rPr>
        <w:t xml:space="preserve">during </w:t>
      </w:r>
      <w:r w:rsidRPr="001E47AD">
        <w:rPr>
          <w:noProof/>
          <w:sz w:val="22"/>
          <w:szCs w:val="22"/>
        </w:rPr>
        <w:t>an</w:t>
      </w:r>
      <w:r w:rsidRPr="001E47AD">
        <w:rPr>
          <w:sz w:val="22"/>
          <w:szCs w:val="22"/>
        </w:rPr>
        <w:t xml:space="preserve"> environmental emergency.</w:t>
      </w:r>
    </w:p>
    <w:p w14:paraId="44F6744A" w14:textId="0A7F24F5" w:rsidR="00CA1958" w:rsidRPr="001E47AD" w:rsidRDefault="00CA1958" w:rsidP="00CA1958">
      <w:pPr>
        <w:spacing w:before="120" w:after="120" w:line="480" w:lineRule="auto"/>
        <w:ind w:firstLine="720"/>
        <w:contextualSpacing/>
        <w:jc w:val="both"/>
        <w:rPr>
          <w:noProof/>
          <w:sz w:val="22"/>
          <w:szCs w:val="22"/>
        </w:rPr>
      </w:pPr>
      <w:r w:rsidRPr="001E47AD">
        <w:rPr>
          <w:sz w:val="22"/>
          <w:szCs w:val="22"/>
        </w:rPr>
        <w:t xml:space="preserve">During hurricane events, we expect </w:t>
      </w:r>
      <w:r w:rsidRPr="001E47AD">
        <w:rPr>
          <w:noProof/>
          <w:sz w:val="22"/>
          <w:szCs w:val="22"/>
        </w:rPr>
        <w:t>consumer</w:t>
      </w:r>
      <w:r w:rsidRPr="001E47AD">
        <w:rPr>
          <w:sz w:val="22"/>
          <w:szCs w:val="22"/>
        </w:rPr>
        <w:t xml:space="preserve"> stockpiling propensity to vary among retail formats.  </w:t>
      </w:r>
      <w:r w:rsidRPr="001E47AD">
        <w:rPr>
          <w:noProof/>
          <w:sz w:val="22"/>
          <w:szCs w:val="22"/>
        </w:rPr>
        <w:t>Ranking</w:t>
      </w:r>
      <w:r w:rsidRPr="001E47AD">
        <w:rPr>
          <w:sz w:val="22"/>
          <w:szCs w:val="22"/>
        </w:rPr>
        <w:t xml:space="preserve"> the impacts of store formats on stockpiling propensity (</w:t>
      </w:r>
      <w:r w:rsidRPr="001E47AD">
        <w:rPr>
          <w:noProof/>
          <w:sz w:val="22"/>
          <w:szCs w:val="22"/>
        </w:rPr>
        <w:t>utilizing</w:t>
      </w:r>
      <w:r w:rsidRPr="001E47AD">
        <w:rPr>
          <w:sz w:val="22"/>
          <w:szCs w:val="22"/>
        </w:rPr>
        <w:t xml:space="preserve"> Model 1.4 and setting convenience stores as the base case) we have: drug store (450.413, p&lt;0.001), liquor store (208.720, p&lt;0.001), warehouse club (170.458, p&lt;0.001), discount store (133.965, p&lt;0.1), convenience store (0, base case), grocery store (-198.446, p&lt;0.1), dollar store (-228.637</w:t>
      </w:r>
      <w:r w:rsidR="00337145" w:rsidRPr="001E47AD">
        <w:rPr>
          <w:sz w:val="22"/>
          <w:szCs w:val="22"/>
        </w:rPr>
        <w:t xml:space="preserve">, </w:t>
      </w:r>
      <w:r w:rsidRPr="001E47AD">
        <w:rPr>
          <w:sz w:val="22"/>
          <w:szCs w:val="22"/>
        </w:rPr>
        <w:t>p&gt;0.001).</w:t>
      </w:r>
      <w:r w:rsidRPr="001E47AD">
        <w:rPr>
          <w:rStyle w:val="FootnoteReference"/>
          <w:sz w:val="22"/>
          <w:szCs w:val="22"/>
        </w:rPr>
        <w:footnoteReference w:id="27"/>
      </w:r>
      <w:r w:rsidRPr="001E47AD">
        <w:rPr>
          <w:sz w:val="22"/>
          <w:szCs w:val="22"/>
        </w:rPr>
        <w:t xml:space="preserve"> Among the various store formats, drug</w:t>
      </w:r>
      <w:r w:rsidRPr="001E47AD">
        <w:rPr>
          <w:sz w:val="22"/>
          <w:szCs w:val="22"/>
          <w:lang w:eastAsia="zh-CN"/>
        </w:rPr>
        <w:t xml:space="preserve"> </w:t>
      </w:r>
      <w:r w:rsidRPr="001E47AD">
        <w:rPr>
          <w:sz w:val="22"/>
          <w:szCs w:val="22"/>
        </w:rPr>
        <w:t xml:space="preserve">store channel is related to the highest stockpiling propensity. </w:t>
      </w:r>
      <w:r w:rsidRPr="001E47AD">
        <w:rPr>
          <w:noProof/>
          <w:sz w:val="22"/>
          <w:szCs w:val="22"/>
        </w:rPr>
        <w:t>This implies that drug</w:t>
      </w:r>
      <w:r w:rsidRPr="001E47AD">
        <w:rPr>
          <w:noProof/>
          <w:sz w:val="22"/>
          <w:szCs w:val="22"/>
          <w:lang w:eastAsia="zh-CN"/>
        </w:rPr>
        <w:t xml:space="preserve"> </w:t>
      </w:r>
      <w:r w:rsidRPr="001E47AD">
        <w:rPr>
          <w:noProof/>
          <w:sz w:val="22"/>
          <w:szCs w:val="22"/>
        </w:rPr>
        <w:t xml:space="preserve">stores </w:t>
      </w:r>
      <w:r w:rsidRPr="001E47AD">
        <w:rPr>
          <w:sz w:val="22"/>
          <w:szCs w:val="22"/>
        </w:rPr>
        <w:t xml:space="preserve">may </w:t>
      </w:r>
      <w:r w:rsidRPr="001E47AD">
        <w:rPr>
          <w:noProof/>
          <w:sz w:val="22"/>
          <w:szCs w:val="22"/>
        </w:rPr>
        <w:t xml:space="preserve">play a critical role in disaster preparedness. </w:t>
      </w:r>
    </w:p>
    <w:p w14:paraId="3DFC1234" w14:textId="74F68AB2" w:rsidR="00CA1958" w:rsidRPr="001E47AD" w:rsidRDefault="00CA1958" w:rsidP="00AF062B">
      <w:pPr>
        <w:spacing w:before="120" w:after="120" w:line="480" w:lineRule="auto"/>
        <w:ind w:firstLine="720"/>
        <w:contextualSpacing/>
        <w:jc w:val="both"/>
        <w:rPr>
          <w:sz w:val="22"/>
          <w:szCs w:val="22"/>
          <w:lang w:eastAsia="zh-CN"/>
        </w:rPr>
      </w:pPr>
      <w:r w:rsidRPr="001E47AD">
        <w:rPr>
          <w:sz w:val="22"/>
          <w:szCs w:val="22"/>
        </w:rPr>
        <w:t>Moreover, following hurricane events, we also expect that operational performance, measured by in-store product availability</w:t>
      </w:r>
      <w:r w:rsidRPr="001E47AD">
        <w:rPr>
          <w:sz w:val="22"/>
          <w:szCs w:val="22"/>
          <w:lang w:eastAsia="zh-CN"/>
        </w:rPr>
        <w:t>,</w:t>
      </w:r>
      <w:r w:rsidRPr="001E47AD">
        <w:rPr>
          <w:sz w:val="22"/>
          <w:szCs w:val="22"/>
        </w:rPr>
        <w:t xml:space="preserve"> to vary across retail formats. To compare product availability across the various store formats </w:t>
      </w:r>
      <w:r w:rsidRPr="001E47AD">
        <w:rPr>
          <w:noProof/>
          <w:sz w:val="22"/>
          <w:szCs w:val="22"/>
        </w:rPr>
        <w:t>over the course of</w:t>
      </w:r>
      <w:r w:rsidRPr="001E47AD">
        <w:rPr>
          <w:sz w:val="22"/>
          <w:szCs w:val="22"/>
        </w:rPr>
        <w:t xml:space="preserve"> hurricane events, we transform the coefficients of store formats into z-scores for each event week (Models 2.1-2.5) to represent the degree of product availability for each store format relative to the market average. </w:t>
      </w:r>
      <w:r w:rsidRPr="001E47AD">
        <w:rPr>
          <w:sz w:val="22"/>
          <w:szCs w:val="22"/>
        </w:rPr>
        <w:fldChar w:fldCharType="begin"/>
      </w:r>
      <w:r w:rsidRPr="001E47AD">
        <w:rPr>
          <w:sz w:val="22"/>
          <w:szCs w:val="22"/>
        </w:rPr>
        <w:instrText xml:space="preserve"> REF _Ref512576275 \h  \* MERGEFORMAT </w:instrText>
      </w:r>
      <w:r w:rsidRPr="001E47AD">
        <w:rPr>
          <w:sz w:val="22"/>
          <w:szCs w:val="22"/>
        </w:rPr>
      </w:r>
      <w:r w:rsidRPr="001E47AD">
        <w:rPr>
          <w:sz w:val="22"/>
          <w:szCs w:val="22"/>
        </w:rPr>
        <w:fldChar w:fldCharType="separate"/>
      </w:r>
      <w:r w:rsidR="009E3444" w:rsidRPr="001E47AD">
        <w:rPr>
          <w:sz w:val="22"/>
          <w:szCs w:val="22"/>
        </w:rPr>
        <w:t>Figure 7</w:t>
      </w:r>
      <w:r w:rsidRPr="001E47AD">
        <w:rPr>
          <w:sz w:val="22"/>
          <w:szCs w:val="22"/>
        </w:rPr>
        <w:fldChar w:fldCharType="end"/>
      </w:r>
      <w:r w:rsidRPr="001E47AD">
        <w:rPr>
          <w:sz w:val="22"/>
          <w:szCs w:val="22"/>
        </w:rPr>
        <w:t xml:space="preserve"> illustrates the effects of retail formats on in-store </w:t>
      </w:r>
      <w:r w:rsidRPr="001E47AD">
        <w:rPr>
          <w:sz w:val="22"/>
          <w:szCs w:val="22"/>
        </w:rPr>
        <w:lastRenderedPageBreak/>
        <w:t xml:space="preserve">product availability during the LATE week and the four POST event weeks. We find that grocery stores and warehouse clubs </w:t>
      </w:r>
      <w:r w:rsidRPr="001E47AD">
        <w:rPr>
          <w:noProof/>
          <w:sz w:val="22"/>
          <w:szCs w:val="22"/>
        </w:rPr>
        <w:t>are associated</w:t>
      </w:r>
      <w:r w:rsidRPr="001E47AD">
        <w:rPr>
          <w:sz w:val="22"/>
          <w:szCs w:val="22"/>
        </w:rPr>
        <w:t xml:space="preserve"> with </w:t>
      </w:r>
      <w:r w:rsidRPr="001E47AD">
        <w:rPr>
          <w:noProof/>
          <w:sz w:val="22"/>
          <w:szCs w:val="22"/>
        </w:rPr>
        <w:t>superior</w:t>
      </w:r>
      <w:r w:rsidRPr="001E47AD">
        <w:rPr>
          <w:sz w:val="22"/>
          <w:szCs w:val="22"/>
        </w:rPr>
        <w:t xml:space="preserve"> performance in in-store product availability during the LATE and the POST event period. In contrast, low-price-oriented retail channels, such as discount stores and dollar stores, </w:t>
      </w:r>
      <w:r w:rsidRPr="001E47AD">
        <w:rPr>
          <w:noProof/>
          <w:sz w:val="22"/>
          <w:szCs w:val="22"/>
        </w:rPr>
        <w:t>are related</w:t>
      </w:r>
      <w:r w:rsidRPr="001E47AD">
        <w:rPr>
          <w:sz w:val="22"/>
          <w:szCs w:val="22"/>
        </w:rPr>
        <w:t xml:space="preserve"> to inferior performance in in-store product availability over the LATE and the POST event period. </w:t>
      </w:r>
    </w:p>
    <w:p w14:paraId="338DD51B" w14:textId="77777777" w:rsidR="00CA1958" w:rsidRPr="001E47AD" w:rsidRDefault="00CA1958" w:rsidP="00CA1958">
      <w:pPr>
        <w:spacing w:before="120" w:after="120" w:line="360" w:lineRule="auto"/>
        <w:contextualSpacing/>
        <w:jc w:val="center"/>
        <w:rPr>
          <w:sz w:val="22"/>
          <w:szCs w:val="22"/>
          <w:lang w:eastAsia="zh-CN"/>
        </w:rPr>
      </w:pPr>
      <w:r w:rsidRPr="001E47AD">
        <w:rPr>
          <w:noProof/>
          <w:sz w:val="22"/>
          <w:szCs w:val="22"/>
          <w:lang w:eastAsia="zh-CN"/>
        </w:rPr>
        <w:drawing>
          <wp:inline distT="0" distB="0" distL="0" distR="0" wp14:anchorId="4279E6F7" wp14:editId="599E638D">
            <wp:extent cx="5010150" cy="2105119"/>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1835" cy="2114230"/>
                    </a:xfrm>
                    <a:prstGeom prst="rect">
                      <a:avLst/>
                    </a:prstGeom>
                    <a:noFill/>
                  </pic:spPr>
                </pic:pic>
              </a:graphicData>
            </a:graphic>
          </wp:inline>
        </w:drawing>
      </w:r>
    </w:p>
    <w:p w14:paraId="63354F0A" w14:textId="5EC9FAEC" w:rsidR="00CA1958" w:rsidRPr="001E47AD" w:rsidRDefault="00CA1958" w:rsidP="00856161">
      <w:pPr>
        <w:spacing w:before="120" w:after="120" w:line="480" w:lineRule="auto"/>
        <w:contextualSpacing/>
        <w:jc w:val="center"/>
        <w:rPr>
          <w:sz w:val="22"/>
          <w:szCs w:val="22"/>
        </w:rPr>
      </w:pPr>
      <w:bookmarkStart w:id="65" w:name="_Ref512576275"/>
      <w:bookmarkStart w:id="66" w:name="_Toc520380532"/>
      <w:r w:rsidRPr="001E47AD">
        <w:rPr>
          <w:sz w:val="22"/>
          <w:szCs w:val="22"/>
        </w:rPr>
        <w:t xml:space="preserve">Figure </w:t>
      </w:r>
      <w:r w:rsidRPr="001E47AD">
        <w:rPr>
          <w:sz w:val="22"/>
          <w:szCs w:val="22"/>
        </w:rPr>
        <w:fldChar w:fldCharType="begin"/>
      </w:r>
      <w:r w:rsidRPr="001E47AD">
        <w:rPr>
          <w:sz w:val="22"/>
          <w:szCs w:val="22"/>
        </w:rPr>
        <w:instrText xml:space="preserve"> SEQ Figure \* ARABIC </w:instrText>
      </w:r>
      <w:r w:rsidRPr="001E47AD">
        <w:rPr>
          <w:sz w:val="22"/>
          <w:szCs w:val="22"/>
        </w:rPr>
        <w:fldChar w:fldCharType="separate"/>
      </w:r>
      <w:r w:rsidR="009E3444" w:rsidRPr="001E47AD">
        <w:rPr>
          <w:noProof/>
          <w:sz w:val="22"/>
          <w:szCs w:val="22"/>
        </w:rPr>
        <w:t>7</w:t>
      </w:r>
      <w:r w:rsidRPr="001E47AD">
        <w:rPr>
          <w:sz w:val="22"/>
          <w:szCs w:val="22"/>
        </w:rPr>
        <w:fldChar w:fldCharType="end"/>
      </w:r>
      <w:bookmarkEnd w:id="65"/>
      <w:r w:rsidRPr="001E47AD">
        <w:rPr>
          <w:sz w:val="22"/>
          <w:szCs w:val="22"/>
        </w:rPr>
        <w:t>: Retail Formats and Product Availability during LATE and POST Event Periods</w:t>
      </w:r>
      <w:bookmarkEnd w:id="66"/>
    </w:p>
    <w:p w14:paraId="0F26117F" w14:textId="5C2C0092" w:rsidR="00CA1958" w:rsidRPr="001E47AD" w:rsidRDefault="00CA1958" w:rsidP="00856161">
      <w:pPr>
        <w:spacing w:before="120" w:after="120" w:line="480" w:lineRule="auto"/>
        <w:ind w:firstLine="720"/>
        <w:contextualSpacing/>
        <w:jc w:val="both"/>
        <w:rPr>
          <w:sz w:val="22"/>
          <w:szCs w:val="22"/>
        </w:rPr>
      </w:pPr>
      <w:r w:rsidRPr="001E47AD">
        <w:rPr>
          <w:sz w:val="22"/>
          <w:szCs w:val="22"/>
        </w:rPr>
        <w:t>Retail formats represent a mix of operations and distribution functions to support their business strategies</w:t>
      </w:r>
      <w:r w:rsidRPr="001E47AD">
        <w:rPr>
          <w:noProof/>
          <w:sz w:val="22"/>
          <w:szCs w:val="22"/>
        </w:rPr>
        <w:t>; for</w:t>
      </w:r>
      <w:r w:rsidRPr="001E47AD">
        <w:rPr>
          <w:sz w:val="22"/>
          <w:szCs w:val="22"/>
        </w:rPr>
        <w:t xml:space="preserve"> example, inventory strategy varies across retail </w:t>
      </w:r>
      <w:r w:rsidRPr="001E47AD">
        <w:rPr>
          <w:noProof/>
          <w:sz w:val="22"/>
          <w:szCs w:val="22"/>
        </w:rPr>
        <w:t>formats</w:t>
      </w:r>
      <w:r w:rsidRPr="001E47AD">
        <w:rPr>
          <w:sz w:val="22"/>
          <w:szCs w:val="22"/>
        </w:rPr>
        <w:t>. Statistics by CSIMarket show that in the third quarter of 2012, the inventory turnover ratio and average inventory processing period were around 14 and 25 days, respectively, for grocery stores, such as Kroger, 12 and 32 days respectively for warehouse clubs, such as Costco, 6 and 61 days respectively for discount stores, such as Target, and 4 and 103 days respectively for dollar stores, such as Dollar Tree (CSIMarket 2012).</w:t>
      </w:r>
      <w:r w:rsidRPr="001E47AD">
        <w:rPr>
          <w:rStyle w:val="FootnoteReference"/>
          <w:sz w:val="22"/>
          <w:szCs w:val="22"/>
        </w:rPr>
        <w:footnoteReference w:id="28"/>
      </w:r>
      <w:r w:rsidRPr="001E47AD">
        <w:rPr>
          <w:sz w:val="22"/>
          <w:szCs w:val="22"/>
        </w:rPr>
        <w:t xml:space="preserve"> The inventory turnover ratio and inventory planning cycle reflect, among other things, a retail chain’s restoration capability, which could partially explain why low-price-oriented channels, such as discount stores and dollar stores, show the lowest in-store product availability during the LATE and the POST event period. In general, we expect high in-store product availability following hurricanes to take place at retailers with quick recovery capability.</w:t>
      </w:r>
    </w:p>
    <w:p w14:paraId="39C88B08" w14:textId="77777777" w:rsidR="00A126C8" w:rsidRPr="001E47AD" w:rsidRDefault="00A126C8" w:rsidP="00596F39">
      <w:pPr>
        <w:pStyle w:val="Heading2"/>
      </w:pPr>
      <w:r w:rsidRPr="001E47AD">
        <w:lastRenderedPageBreak/>
        <w:t>Management and Policy Insights</w:t>
      </w:r>
    </w:p>
    <w:p w14:paraId="4694D13D" w14:textId="7E786B9F" w:rsidR="004770A5" w:rsidRPr="001E47AD" w:rsidRDefault="004770A5" w:rsidP="00A126C8">
      <w:pPr>
        <w:tabs>
          <w:tab w:val="left" w:pos="720"/>
        </w:tabs>
        <w:spacing w:before="120" w:after="120" w:line="480" w:lineRule="auto"/>
        <w:jc w:val="both"/>
        <w:rPr>
          <w:sz w:val="22"/>
          <w:szCs w:val="22"/>
          <w:lang w:eastAsia="zh-CN"/>
        </w:rPr>
      </w:pPr>
      <w:r w:rsidRPr="001E47AD">
        <w:rPr>
          <w:noProof/>
          <w:sz w:val="22"/>
          <w:szCs w:val="22"/>
          <w:lang w:eastAsia="zh-CN"/>
        </w:rPr>
        <w:t xml:space="preserve">From a managerial perspective, retailers can plan inventory based on the effect of the supply-side, demand-side, and disaster characteristics on consumers stockpiling propensity. </w:t>
      </w:r>
      <w:r w:rsidRPr="001E47AD">
        <w:rPr>
          <w:sz w:val="22"/>
          <w:szCs w:val="22"/>
          <w:lang w:eastAsia="zh-CN"/>
        </w:rPr>
        <w:t xml:space="preserve">On the supply side, </w:t>
      </w:r>
      <w:r w:rsidRPr="001E47AD">
        <w:rPr>
          <w:sz w:val="22"/>
          <w:szCs w:val="22"/>
        </w:rPr>
        <w:t xml:space="preserve">retailers should </w:t>
      </w:r>
      <w:r w:rsidRPr="001E47AD">
        <w:rPr>
          <w:sz w:val="22"/>
          <w:szCs w:val="22"/>
          <w:lang w:eastAsia="zh-CN"/>
        </w:rPr>
        <w:t>pay attention to</w:t>
      </w:r>
      <w:r w:rsidRPr="001E47AD">
        <w:rPr>
          <w:sz w:val="22"/>
          <w:szCs w:val="22"/>
        </w:rPr>
        <w:t xml:space="preserve"> the size of their inter-regional (i.e., national) store network, as consumers have a higher propensity to shop at national retailers, perhaps due to their expected disaster preparedness capability</w:t>
      </w:r>
      <w:r w:rsidRPr="001E47AD">
        <w:rPr>
          <w:sz w:val="22"/>
          <w:szCs w:val="22"/>
          <w:lang w:eastAsia="zh-CN"/>
        </w:rPr>
        <w:t xml:space="preserve">. </w:t>
      </w:r>
      <w:r w:rsidRPr="001E47AD">
        <w:rPr>
          <w:sz w:val="22"/>
          <w:szCs w:val="22"/>
        </w:rPr>
        <w:t xml:space="preserve">For example, </w:t>
      </w:r>
      <w:r w:rsidRPr="001E47AD">
        <w:rPr>
          <w:sz w:val="22"/>
          <w:szCs w:val="22"/>
          <w:lang w:eastAsia="zh-CN"/>
        </w:rPr>
        <w:t>relative</w:t>
      </w:r>
      <w:r w:rsidRPr="001E47AD">
        <w:rPr>
          <w:sz w:val="22"/>
          <w:szCs w:val="22"/>
        </w:rPr>
        <w:t xml:space="preserve"> to </w:t>
      </w:r>
      <w:r w:rsidRPr="001E47AD">
        <w:rPr>
          <w:sz w:val="22"/>
          <w:szCs w:val="22"/>
          <w:lang w:eastAsia="zh-CN"/>
        </w:rPr>
        <w:t>store outlets</w:t>
      </w:r>
      <w:r w:rsidRPr="001E47AD">
        <w:rPr>
          <w:sz w:val="22"/>
          <w:szCs w:val="22"/>
        </w:rPr>
        <w:t xml:space="preserve"> with an inter-regional store network of fewer than 600 stores</w:t>
      </w:r>
      <w:r w:rsidRPr="001E47AD">
        <w:rPr>
          <w:sz w:val="22"/>
          <w:szCs w:val="22"/>
          <w:lang w:eastAsia="zh-CN"/>
        </w:rPr>
        <w:t>,</w:t>
      </w:r>
      <w:r w:rsidRPr="001E47AD">
        <w:rPr>
          <w:sz w:val="22"/>
          <w:szCs w:val="22"/>
        </w:rPr>
        <w:t xml:space="preserve"> consumer stockpiling propensity nearly doubled for </w:t>
      </w:r>
      <w:r w:rsidR="00596805" w:rsidRPr="001E47AD">
        <w:rPr>
          <w:sz w:val="22"/>
          <w:szCs w:val="22"/>
          <w:lang w:eastAsia="zh-CN"/>
        </w:rPr>
        <w:t>a retail outlet</w:t>
      </w:r>
      <w:r w:rsidRPr="001E47AD">
        <w:rPr>
          <w:sz w:val="22"/>
          <w:szCs w:val="22"/>
        </w:rPr>
        <w:t xml:space="preserve"> with an inter-regional store network of above 3</w:t>
      </w:r>
      <w:r w:rsidRPr="001E47AD">
        <w:rPr>
          <w:sz w:val="22"/>
          <w:szCs w:val="22"/>
          <w:lang w:eastAsia="zh-CN"/>
        </w:rPr>
        <w:t>,</w:t>
      </w:r>
      <w:r w:rsidRPr="001E47AD">
        <w:rPr>
          <w:sz w:val="22"/>
          <w:szCs w:val="22"/>
        </w:rPr>
        <w:t xml:space="preserve">000 stores. On the demand side, </w:t>
      </w:r>
      <w:r w:rsidRPr="001E47AD">
        <w:rPr>
          <w:sz w:val="22"/>
          <w:szCs w:val="22"/>
          <w:lang w:eastAsia="zh-CN"/>
        </w:rPr>
        <w:t>retailers could categorize their markets by recent hurricane experience</w:t>
      </w:r>
      <w:r w:rsidRPr="001E47AD">
        <w:rPr>
          <w:rFonts w:hint="eastAsia"/>
          <w:sz w:val="22"/>
          <w:szCs w:val="22"/>
          <w:lang w:eastAsia="zh-CN"/>
        </w:rPr>
        <w:t xml:space="preserve"> and household income level</w:t>
      </w:r>
      <w:r w:rsidRPr="001E47AD">
        <w:rPr>
          <w:sz w:val="22"/>
          <w:szCs w:val="22"/>
        </w:rPr>
        <w:t xml:space="preserve">. For instance, consumers in Florida and North Carolina (over 10 landfalls) show relatively higher stockpiling propensity than those in states with less hurricane experience (0-2 landfalls). Moreover, retailers should </w:t>
      </w:r>
      <w:r w:rsidRPr="001E47AD">
        <w:rPr>
          <w:sz w:val="22"/>
          <w:szCs w:val="22"/>
          <w:lang w:eastAsia="zh-CN"/>
        </w:rPr>
        <w:t>be cognizant of the ef</w:t>
      </w:r>
      <w:r w:rsidRPr="001E47AD">
        <w:rPr>
          <w:sz w:val="22"/>
          <w:szCs w:val="22"/>
        </w:rPr>
        <w:t>fects of household income level. Consumer stockpiling propensity for store outlets located in communities with per-capita-incomes about $</w:t>
      </w:r>
      <w:r w:rsidRPr="001E47AD">
        <w:rPr>
          <w:rFonts w:hint="eastAsia"/>
          <w:sz w:val="22"/>
          <w:szCs w:val="22"/>
          <w:lang w:eastAsia="zh-CN"/>
        </w:rPr>
        <w:t>50,500</w:t>
      </w:r>
      <w:r w:rsidRPr="001E47AD">
        <w:rPr>
          <w:sz w:val="22"/>
          <w:szCs w:val="22"/>
        </w:rPr>
        <w:t xml:space="preserve"> are 9% </w:t>
      </w:r>
      <w:r w:rsidRPr="001E47AD">
        <w:rPr>
          <w:rFonts w:hint="eastAsia"/>
          <w:sz w:val="22"/>
          <w:szCs w:val="22"/>
          <w:lang w:eastAsia="zh-CN"/>
        </w:rPr>
        <w:t>higher</w:t>
      </w:r>
      <w:r w:rsidRPr="001E47AD">
        <w:rPr>
          <w:sz w:val="22"/>
          <w:szCs w:val="22"/>
        </w:rPr>
        <w:t xml:space="preserve"> than in those communities with per-capita incomes of about $</w:t>
      </w:r>
      <w:r w:rsidRPr="001E47AD">
        <w:rPr>
          <w:rFonts w:hint="eastAsia"/>
          <w:sz w:val="22"/>
          <w:szCs w:val="22"/>
          <w:lang w:eastAsia="zh-CN"/>
        </w:rPr>
        <w:t>36,400</w:t>
      </w:r>
      <w:r w:rsidRPr="001E47AD">
        <w:rPr>
          <w:sz w:val="22"/>
          <w:szCs w:val="22"/>
        </w:rPr>
        <w:t xml:space="preserve">. On the disaster side, </w:t>
      </w:r>
      <w:r w:rsidRPr="001E47AD">
        <w:rPr>
          <w:noProof/>
          <w:sz w:val="22"/>
          <w:szCs w:val="22"/>
          <w:lang w:eastAsia="zh-CN"/>
        </w:rPr>
        <w:t>a</w:t>
      </w:r>
      <w:r w:rsidRPr="001E47AD">
        <w:rPr>
          <w:sz w:val="22"/>
          <w:szCs w:val="22"/>
          <w:lang w:eastAsia="zh-CN"/>
        </w:rPr>
        <w:t xml:space="preserve">ll three factors must be carefully considered </w:t>
      </w:r>
      <w:r w:rsidRPr="001E47AD">
        <w:rPr>
          <w:sz w:val="22"/>
          <w:szCs w:val="22"/>
        </w:rPr>
        <w:t>when pre-positioning inventory</w:t>
      </w:r>
      <w:r w:rsidRPr="001E47AD">
        <w:rPr>
          <w:rFonts w:eastAsia="Times New Roman"/>
          <w:sz w:val="22"/>
          <w:szCs w:val="22"/>
        </w:rPr>
        <w:t>.</w:t>
      </w:r>
      <w:r w:rsidRPr="001E47AD">
        <w:rPr>
          <w:sz w:val="22"/>
          <w:szCs w:val="22"/>
          <w:lang w:eastAsia="zh-CN"/>
        </w:rPr>
        <w:t xml:space="preserve"> Although retailers are likely to pay close attention to storm track, the intensity of the winds is an important consideration in the propensity for stockpi</w:t>
      </w:r>
      <w:r w:rsidR="00E453AE" w:rsidRPr="001E47AD">
        <w:rPr>
          <w:sz w:val="22"/>
          <w:szCs w:val="22"/>
          <w:lang w:eastAsia="zh-CN"/>
        </w:rPr>
        <w:t>ling, with the evidence</w:t>
      </w:r>
      <w:r w:rsidRPr="001E47AD">
        <w:rPr>
          <w:sz w:val="22"/>
          <w:szCs w:val="22"/>
          <w:lang w:eastAsia="zh-CN"/>
        </w:rPr>
        <w:t xml:space="preserve"> that very intense storms are likely to have less stockpiling than moderate storms.</w:t>
      </w:r>
    </w:p>
    <w:p w14:paraId="091466BD" w14:textId="6BCF0544" w:rsidR="00440DE7" w:rsidRPr="001E47AD" w:rsidRDefault="00D6030C" w:rsidP="004770A5">
      <w:pPr>
        <w:tabs>
          <w:tab w:val="left" w:pos="720"/>
        </w:tabs>
        <w:spacing w:before="120" w:after="120" w:line="480" w:lineRule="auto"/>
        <w:ind w:firstLine="720"/>
        <w:jc w:val="both"/>
        <w:rPr>
          <w:sz w:val="22"/>
          <w:szCs w:val="22"/>
          <w:lang w:eastAsia="zh-CN"/>
        </w:rPr>
      </w:pPr>
      <w:r w:rsidRPr="001E47AD">
        <w:rPr>
          <w:noProof/>
          <w:sz w:val="22"/>
          <w:szCs w:val="22"/>
          <w:lang w:eastAsia="zh-CN"/>
        </w:rPr>
        <w:t>Moreover, retailers</w:t>
      </w:r>
      <w:r w:rsidRPr="001E47AD">
        <w:rPr>
          <w:sz w:val="22"/>
          <w:szCs w:val="22"/>
          <w:lang w:eastAsia="zh-CN"/>
        </w:rPr>
        <w:t xml:space="preserve"> should remain flexible when pre-positioning inventory given hurricane path uncertainties.</w:t>
      </w:r>
      <w:r w:rsidR="006D78B3" w:rsidRPr="001E47AD">
        <w:rPr>
          <w:sz w:val="22"/>
          <w:szCs w:val="22"/>
          <w:lang w:eastAsia="zh-CN"/>
        </w:rPr>
        <w:t xml:space="preserve"> Specifically, w</w:t>
      </w:r>
      <w:r w:rsidR="00BC36D4" w:rsidRPr="001E47AD">
        <w:rPr>
          <w:sz w:val="22"/>
          <w:szCs w:val="22"/>
          <w:lang w:eastAsia="zh-CN"/>
        </w:rPr>
        <w:t xml:space="preserve">e suggest retailers </w:t>
      </w:r>
      <w:r w:rsidRPr="001E47AD">
        <w:rPr>
          <w:sz w:val="22"/>
          <w:szCs w:val="22"/>
          <w:lang w:eastAsia="zh-CN"/>
        </w:rPr>
        <w:t>pay close attention to</w:t>
      </w:r>
      <w:r w:rsidR="00440DE7" w:rsidRPr="001E47AD">
        <w:rPr>
          <w:sz w:val="22"/>
          <w:szCs w:val="22"/>
          <w:lang w:eastAsia="zh-CN"/>
        </w:rPr>
        <w:t xml:space="preserve"> disaster-related factors when pre-positioning inventory during the hurricane season. The NOAA produces a “cone of uncertainty” each time a tropical cyclone becomes a named storm. The cone contains information</w:t>
      </w:r>
      <w:r w:rsidR="00CF39AB" w:rsidRPr="001E47AD">
        <w:rPr>
          <w:sz w:val="22"/>
          <w:szCs w:val="22"/>
          <w:lang w:eastAsia="zh-CN"/>
        </w:rPr>
        <w:t>,</w:t>
      </w:r>
      <w:r w:rsidR="00440DE7" w:rsidRPr="001E47AD">
        <w:rPr>
          <w:sz w:val="22"/>
          <w:szCs w:val="22"/>
          <w:lang w:eastAsia="zh-CN"/>
        </w:rPr>
        <w:t xml:space="preserve"> such as current </w:t>
      </w:r>
      <w:r w:rsidR="00CF39AB" w:rsidRPr="001E47AD">
        <w:rPr>
          <w:sz w:val="22"/>
          <w:szCs w:val="22"/>
          <w:lang w:eastAsia="zh-CN"/>
        </w:rPr>
        <w:t xml:space="preserve">hurricane </w:t>
      </w:r>
      <w:r w:rsidR="00440DE7" w:rsidRPr="001E47AD">
        <w:rPr>
          <w:sz w:val="22"/>
          <w:szCs w:val="22"/>
          <w:lang w:eastAsia="zh-CN"/>
        </w:rPr>
        <w:t>center position, forecast center positions, potential 1-3</w:t>
      </w:r>
      <w:r w:rsidR="00CF39AB" w:rsidRPr="001E47AD">
        <w:rPr>
          <w:sz w:val="22"/>
          <w:szCs w:val="22"/>
          <w:lang w:eastAsia="zh-CN"/>
        </w:rPr>
        <w:t xml:space="preserve"> day</w:t>
      </w:r>
      <w:r w:rsidR="00440DE7" w:rsidRPr="001E47AD">
        <w:rPr>
          <w:sz w:val="22"/>
          <w:szCs w:val="22"/>
          <w:lang w:eastAsia="zh-CN"/>
        </w:rPr>
        <w:t xml:space="preserve"> track area</w:t>
      </w:r>
      <w:r w:rsidR="00CF39AB" w:rsidRPr="001E47AD">
        <w:rPr>
          <w:sz w:val="22"/>
          <w:szCs w:val="22"/>
          <w:lang w:eastAsia="zh-CN"/>
        </w:rPr>
        <w:t>s</w:t>
      </w:r>
      <w:r w:rsidR="00440DE7" w:rsidRPr="001E47AD">
        <w:rPr>
          <w:sz w:val="22"/>
          <w:szCs w:val="22"/>
          <w:lang w:eastAsia="zh-CN"/>
        </w:rPr>
        <w:t>, potential 4-5</w:t>
      </w:r>
      <w:r w:rsidR="00CF39AB" w:rsidRPr="001E47AD">
        <w:rPr>
          <w:sz w:val="22"/>
          <w:szCs w:val="22"/>
          <w:lang w:eastAsia="zh-CN"/>
        </w:rPr>
        <w:t xml:space="preserve"> day</w:t>
      </w:r>
      <w:r w:rsidR="00440DE7" w:rsidRPr="001E47AD">
        <w:rPr>
          <w:sz w:val="22"/>
          <w:szCs w:val="22"/>
          <w:lang w:eastAsia="zh-CN"/>
        </w:rPr>
        <w:t xml:space="preserve"> track area</w:t>
      </w:r>
      <w:r w:rsidR="00CF39AB" w:rsidRPr="001E47AD">
        <w:rPr>
          <w:sz w:val="22"/>
          <w:szCs w:val="22"/>
          <w:lang w:eastAsia="zh-CN"/>
        </w:rPr>
        <w:t>s</w:t>
      </w:r>
      <w:r w:rsidR="00440DE7" w:rsidRPr="001E47AD">
        <w:rPr>
          <w:sz w:val="22"/>
          <w:szCs w:val="22"/>
          <w:lang w:eastAsia="zh-CN"/>
        </w:rPr>
        <w:t>, and max</w:t>
      </w:r>
      <w:r w:rsidR="00CF39AB" w:rsidRPr="001E47AD">
        <w:rPr>
          <w:sz w:val="22"/>
          <w:szCs w:val="22"/>
          <w:lang w:eastAsia="zh-CN"/>
        </w:rPr>
        <w:t>imum</w:t>
      </w:r>
      <w:r w:rsidR="00440DE7" w:rsidRPr="001E47AD">
        <w:rPr>
          <w:sz w:val="22"/>
          <w:szCs w:val="22"/>
          <w:lang w:eastAsia="zh-CN"/>
        </w:rPr>
        <w:t xml:space="preserve"> sustained wind</w:t>
      </w:r>
      <w:r w:rsidR="00E53546" w:rsidRPr="001E47AD">
        <w:rPr>
          <w:sz w:val="22"/>
          <w:szCs w:val="22"/>
          <w:lang w:eastAsia="zh-CN"/>
        </w:rPr>
        <w:t>s</w:t>
      </w:r>
      <w:r w:rsidR="00440DE7" w:rsidRPr="001E47AD">
        <w:rPr>
          <w:sz w:val="22"/>
          <w:szCs w:val="22"/>
          <w:lang w:eastAsia="zh-CN"/>
        </w:rPr>
        <w:t xml:space="preserve"> for each forecast lead time (12, 24, 36, 48, 72, 96, and 120 hours). An important factor to consider is that the track and intensity forecast errors increase with forecast lead time </w:t>
      </w:r>
      <w:r w:rsidR="00440DE7" w:rsidRPr="001E47AD">
        <w:rPr>
          <w:sz w:val="22"/>
          <w:szCs w:val="22"/>
        </w:rPr>
        <w:t xml:space="preserve">(Avila </w:t>
      </w:r>
      <w:r w:rsidR="00440DE7" w:rsidRPr="001E47AD">
        <w:rPr>
          <w:sz w:val="22"/>
          <w:szCs w:val="22"/>
          <w:lang w:eastAsia="zh-CN"/>
        </w:rPr>
        <w:t>and</w:t>
      </w:r>
      <w:r w:rsidR="00440DE7" w:rsidRPr="001E47AD">
        <w:rPr>
          <w:sz w:val="22"/>
          <w:szCs w:val="22"/>
        </w:rPr>
        <w:t xml:space="preserve"> Cangialosi 2011</w:t>
      </w:r>
      <w:r w:rsidR="00440DE7" w:rsidRPr="001E47AD">
        <w:rPr>
          <w:sz w:val="22"/>
          <w:szCs w:val="22"/>
          <w:lang w:eastAsia="zh-CN"/>
        </w:rPr>
        <w:t xml:space="preserve">, </w:t>
      </w:r>
      <w:r w:rsidR="00440DE7" w:rsidRPr="001E47AD">
        <w:rPr>
          <w:sz w:val="22"/>
          <w:szCs w:val="22"/>
        </w:rPr>
        <w:t>Berg 2009, Berg 2015,</w:t>
      </w:r>
      <w:r w:rsidR="00440DE7" w:rsidRPr="001E47AD">
        <w:rPr>
          <w:sz w:val="22"/>
          <w:szCs w:val="22"/>
          <w:lang w:eastAsia="zh-CN"/>
        </w:rPr>
        <w:t xml:space="preserve"> </w:t>
      </w:r>
      <w:r w:rsidR="00440DE7" w:rsidRPr="001E47AD">
        <w:rPr>
          <w:sz w:val="22"/>
          <w:szCs w:val="22"/>
        </w:rPr>
        <w:t>Blake et al. 2013)</w:t>
      </w:r>
      <w:r w:rsidR="00440DE7" w:rsidRPr="001E47AD">
        <w:rPr>
          <w:sz w:val="22"/>
          <w:szCs w:val="22"/>
          <w:lang w:eastAsia="zh-CN"/>
        </w:rPr>
        <w:t xml:space="preserve">. For example, </w:t>
      </w:r>
      <w:r w:rsidR="00E53546" w:rsidRPr="001E47AD">
        <w:rPr>
          <w:sz w:val="22"/>
          <w:szCs w:val="22"/>
          <w:lang w:eastAsia="zh-CN"/>
        </w:rPr>
        <w:t xml:space="preserve">the </w:t>
      </w:r>
      <w:r w:rsidR="00440DE7" w:rsidRPr="001E47AD">
        <w:rPr>
          <w:sz w:val="22"/>
          <w:szCs w:val="22"/>
          <w:lang w:eastAsia="zh-CN"/>
        </w:rPr>
        <w:t xml:space="preserve">NHC official </w:t>
      </w:r>
      <w:r w:rsidR="00440DE7" w:rsidRPr="001E47AD">
        <w:rPr>
          <w:sz w:val="22"/>
          <w:szCs w:val="22"/>
          <w:lang w:eastAsia="zh-CN"/>
        </w:rPr>
        <w:lastRenderedPageBreak/>
        <w:t>forecast</w:t>
      </w:r>
      <w:r w:rsidR="00E53546" w:rsidRPr="001E47AD">
        <w:rPr>
          <w:sz w:val="22"/>
          <w:szCs w:val="22"/>
          <w:lang w:eastAsia="zh-CN"/>
        </w:rPr>
        <w:t>s</w:t>
      </w:r>
      <w:r w:rsidR="00440DE7" w:rsidRPr="001E47AD">
        <w:rPr>
          <w:sz w:val="22"/>
          <w:szCs w:val="22"/>
          <w:lang w:eastAsia="zh-CN"/>
        </w:rPr>
        <w:t xml:space="preserve"> (OFCL)</w:t>
      </w:r>
      <w:r w:rsidR="00E53546" w:rsidRPr="001E47AD">
        <w:rPr>
          <w:sz w:val="22"/>
          <w:szCs w:val="22"/>
          <w:lang w:eastAsia="zh-CN"/>
        </w:rPr>
        <w:t xml:space="preserve"> for</w:t>
      </w:r>
      <w:r w:rsidR="00440DE7" w:rsidRPr="001E47AD">
        <w:rPr>
          <w:sz w:val="22"/>
          <w:szCs w:val="22"/>
          <w:lang w:eastAsia="zh-CN"/>
        </w:rPr>
        <w:t xml:space="preserve"> hurricane Sandy</w:t>
      </w:r>
      <w:r w:rsidR="00E53546" w:rsidRPr="001E47AD">
        <w:rPr>
          <w:sz w:val="22"/>
          <w:szCs w:val="22"/>
          <w:lang w:eastAsia="zh-CN"/>
        </w:rPr>
        <w:t xml:space="preserve"> 120 hours in advance had average track error of 148.9 nautical miles and windspeed error of 14.5 knots (</w:t>
      </w:r>
      <w:r w:rsidR="00E53546" w:rsidRPr="001E47AD">
        <w:rPr>
          <w:sz w:val="22"/>
          <w:szCs w:val="22"/>
        </w:rPr>
        <w:t>Blake et al. 2013)</w:t>
      </w:r>
      <w:r w:rsidR="00E53546" w:rsidRPr="001E47AD">
        <w:rPr>
          <w:sz w:val="22"/>
          <w:szCs w:val="22"/>
          <w:lang w:eastAsia="zh-CN"/>
        </w:rPr>
        <w:t xml:space="preserve">. </w:t>
      </w:r>
      <w:bookmarkStart w:id="67" w:name="_Hlk22389458"/>
      <w:r w:rsidR="00A252DC" w:rsidRPr="001E47AD">
        <w:rPr>
          <w:sz w:val="22"/>
          <w:szCs w:val="22"/>
          <w:lang w:eastAsia="zh-CN"/>
        </w:rPr>
        <w:t>I</w:t>
      </w:r>
      <w:r w:rsidR="00264107" w:rsidRPr="001E47AD">
        <w:rPr>
          <w:noProof/>
          <w:sz w:val="22"/>
          <w:szCs w:val="22"/>
          <w:lang w:eastAsia="zh-CN"/>
        </w:rPr>
        <w:t xml:space="preserve">n </w:t>
      </w:r>
      <w:r w:rsidR="00264107" w:rsidRPr="001E47AD">
        <w:rPr>
          <w:sz w:val="22"/>
          <w:szCs w:val="22"/>
        </w:rPr>
        <w:t xml:space="preserve">the days leading to potential landfall, </w:t>
      </w:r>
      <w:r w:rsidR="00DE0E08" w:rsidRPr="001E47AD">
        <w:rPr>
          <w:sz w:val="22"/>
          <w:szCs w:val="22"/>
        </w:rPr>
        <w:t xml:space="preserve">(socially-aware) </w:t>
      </w:r>
      <w:r w:rsidR="00264107" w:rsidRPr="001E47AD">
        <w:rPr>
          <w:noProof/>
          <w:sz w:val="22"/>
          <w:szCs w:val="22"/>
          <w:lang w:eastAsia="zh-CN"/>
        </w:rPr>
        <w:t xml:space="preserve">retailers could </w:t>
      </w:r>
      <w:r w:rsidR="00DE0E08" w:rsidRPr="001E47AD">
        <w:rPr>
          <w:noProof/>
          <w:sz w:val="22"/>
          <w:szCs w:val="22"/>
          <w:lang w:eastAsia="zh-CN"/>
        </w:rPr>
        <w:t>consider</w:t>
      </w:r>
      <w:r w:rsidR="00264107" w:rsidRPr="001E47AD">
        <w:rPr>
          <w:noProof/>
          <w:sz w:val="22"/>
          <w:szCs w:val="22"/>
          <w:lang w:eastAsia="zh-CN"/>
        </w:rPr>
        <w:t xml:space="preserve"> stockpiling propensity </w:t>
      </w:r>
      <w:r w:rsidR="00DE0E08" w:rsidRPr="001E47AD">
        <w:rPr>
          <w:noProof/>
          <w:sz w:val="22"/>
          <w:szCs w:val="22"/>
          <w:lang w:eastAsia="zh-CN"/>
        </w:rPr>
        <w:t>when positioning</w:t>
      </w:r>
      <w:r w:rsidR="00264107" w:rsidRPr="001E47AD">
        <w:rPr>
          <w:noProof/>
          <w:sz w:val="22"/>
          <w:szCs w:val="22"/>
          <w:lang w:eastAsia="zh-CN"/>
        </w:rPr>
        <w:t xml:space="preserve"> inventory based on the forecast cone.</w:t>
      </w:r>
      <w:r w:rsidR="00DE0E08" w:rsidRPr="001E47AD">
        <w:rPr>
          <w:noProof/>
          <w:sz w:val="22"/>
          <w:szCs w:val="22"/>
          <w:lang w:eastAsia="zh-CN"/>
        </w:rPr>
        <w:t xml:space="preserve"> </w:t>
      </w:r>
    </w:p>
    <w:bookmarkEnd w:id="67"/>
    <w:p w14:paraId="6EB60C31" w14:textId="6DDFCA34" w:rsidR="00272845" w:rsidRPr="001E47AD" w:rsidRDefault="00272845" w:rsidP="00BC07A1">
      <w:pPr>
        <w:tabs>
          <w:tab w:val="left" w:pos="720"/>
        </w:tabs>
        <w:spacing w:before="120" w:after="120" w:line="480" w:lineRule="auto"/>
        <w:ind w:firstLine="720"/>
        <w:jc w:val="both"/>
        <w:rPr>
          <w:sz w:val="22"/>
          <w:szCs w:val="22"/>
          <w:lang w:eastAsia="zh-CN"/>
        </w:rPr>
      </w:pPr>
      <w:r w:rsidRPr="001E47AD">
        <w:rPr>
          <w:rFonts w:eastAsia="Times New Roman"/>
          <w:sz w:val="22"/>
          <w:szCs w:val="22"/>
        </w:rPr>
        <w:t xml:space="preserve">Local governments </w:t>
      </w:r>
      <w:r w:rsidR="007C4CB5" w:rsidRPr="001E47AD">
        <w:rPr>
          <w:rFonts w:eastAsia="Times New Roman"/>
          <w:sz w:val="22"/>
          <w:szCs w:val="22"/>
        </w:rPr>
        <w:t>should</w:t>
      </w:r>
      <w:r w:rsidRPr="001E47AD">
        <w:rPr>
          <w:rFonts w:eastAsia="Times New Roman"/>
          <w:sz w:val="22"/>
          <w:szCs w:val="22"/>
        </w:rPr>
        <w:t xml:space="preserve"> account</w:t>
      </w:r>
      <w:r w:rsidR="007C4CB5" w:rsidRPr="001E47AD">
        <w:rPr>
          <w:rFonts w:eastAsia="Times New Roman"/>
          <w:sz w:val="22"/>
          <w:szCs w:val="22"/>
        </w:rPr>
        <w:t xml:space="preserve"> for</w:t>
      </w:r>
      <w:r w:rsidRPr="001E47AD">
        <w:rPr>
          <w:rFonts w:eastAsia="Times New Roman"/>
          <w:sz w:val="22"/>
          <w:szCs w:val="22"/>
        </w:rPr>
        <w:t xml:space="preserve"> factors associated with consumer stockpiling behavior when </w:t>
      </w:r>
      <w:r w:rsidRPr="001E47AD">
        <w:rPr>
          <w:sz w:val="22"/>
          <w:szCs w:val="22"/>
        </w:rPr>
        <w:t>assessing community risk and planning operational capacity.</w:t>
      </w:r>
      <w:r w:rsidR="00760CE8" w:rsidRPr="001E47AD">
        <w:rPr>
          <w:rFonts w:eastAsia="Times New Roman"/>
          <w:sz w:val="22"/>
          <w:szCs w:val="22"/>
        </w:rPr>
        <w:t xml:space="preserve"> </w:t>
      </w:r>
      <w:r w:rsidR="00373334" w:rsidRPr="001E47AD">
        <w:rPr>
          <w:sz w:val="22"/>
          <w:szCs w:val="22"/>
        </w:rPr>
        <w:t>Firs</w:t>
      </w:r>
      <w:r w:rsidR="00BC36D4" w:rsidRPr="001E47AD">
        <w:rPr>
          <w:sz w:val="22"/>
          <w:szCs w:val="22"/>
        </w:rPr>
        <w:t>t, on the demand side</w:t>
      </w:r>
      <w:r w:rsidR="00373334" w:rsidRPr="001E47AD">
        <w:rPr>
          <w:sz w:val="22"/>
          <w:szCs w:val="22"/>
        </w:rPr>
        <w:t xml:space="preserve">, local governments should </w:t>
      </w:r>
      <w:r w:rsidR="007C4CB5" w:rsidRPr="001E47AD">
        <w:rPr>
          <w:sz w:val="22"/>
          <w:szCs w:val="22"/>
        </w:rPr>
        <w:t>realize that members of</w:t>
      </w:r>
      <w:r w:rsidR="00373334" w:rsidRPr="001E47AD">
        <w:rPr>
          <w:sz w:val="22"/>
          <w:szCs w:val="22"/>
        </w:rPr>
        <w:t xml:space="preserve"> low-income communities</w:t>
      </w:r>
      <w:r w:rsidR="007C4CB5" w:rsidRPr="001E47AD">
        <w:rPr>
          <w:sz w:val="22"/>
          <w:szCs w:val="22"/>
        </w:rPr>
        <w:t xml:space="preserve"> may not have the means to vacate areas in the track of hurricanes</w:t>
      </w:r>
      <w:r w:rsidR="00373334" w:rsidRPr="001E47AD">
        <w:rPr>
          <w:sz w:val="22"/>
          <w:szCs w:val="22"/>
        </w:rPr>
        <w:t xml:space="preserve"> and</w:t>
      </w:r>
      <w:r w:rsidR="007C4CB5" w:rsidRPr="001E47AD">
        <w:rPr>
          <w:sz w:val="22"/>
          <w:szCs w:val="22"/>
        </w:rPr>
        <w:t>, therefore,</w:t>
      </w:r>
      <w:r w:rsidR="00CE1C6A" w:rsidRPr="001E47AD">
        <w:rPr>
          <w:sz w:val="22"/>
          <w:szCs w:val="22"/>
        </w:rPr>
        <w:t xml:space="preserve"> may need to</w:t>
      </w:r>
      <w:r w:rsidR="00373334" w:rsidRPr="001E47AD">
        <w:rPr>
          <w:sz w:val="22"/>
          <w:szCs w:val="22"/>
        </w:rPr>
        <w:t xml:space="preserve"> provide </w:t>
      </w:r>
      <w:r w:rsidR="007C4CB5" w:rsidRPr="001E47AD">
        <w:rPr>
          <w:sz w:val="22"/>
          <w:szCs w:val="22"/>
        </w:rPr>
        <w:t>essential items as hurricanes approach</w:t>
      </w:r>
      <w:r w:rsidR="00373334" w:rsidRPr="001E47AD">
        <w:rPr>
          <w:sz w:val="22"/>
          <w:szCs w:val="22"/>
        </w:rPr>
        <w:t xml:space="preserve">. </w:t>
      </w:r>
      <w:r w:rsidR="007C4CB5" w:rsidRPr="001E47AD">
        <w:rPr>
          <w:rFonts w:eastAsia="Times New Roman"/>
          <w:sz w:val="22"/>
          <w:szCs w:val="22"/>
        </w:rPr>
        <w:t>O</w:t>
      </w:r>
      <w:r w:rsidR="00373334" w:rsidRPr="001E47AD">
        <w:rPr>
          <w:rFonts w:eastAsia="Times New Roman"/>
          <w:sz w:val="22"/>
          <w:szCs w:val="22"/>
        </w:rPr>
        <w:t xml:space="preserve">n the supply side, </w:t>
      </w:r>
      <w:r w:rsidR="00373334" w:rsidRPr="001E47AD">
        <w:rPr>
          <w:sz w:val="22"/>
          <w:szCs w:val="22"/>
        </w:rPr>
        <w:t>local</w:t>
      </w:r>
      <w:r w:rsidR="007C4CB5" w:rsidRPr="001E47AD">
        <w:rPr>
          <w:sz w:val="22"/>
          <w:szCs w:val="22"/>
        </w:rPr>
        <w:t xml:space="preserve"> </w:t>
      </w:r>
      <w:r w:rsidR="00373334" w:rsidRPr="001E47AD">
        <w:rPr>
          <w:sz w:val="22"/>
          <w:szCs w:val="22"/>
        </w:rPr>
        <w:t>governments</w:t>
      </w:r>
      <w:r w:rsidRPr="001E47AD">
        <w:rPr>
          <w:sz w:val="22"/>
          <w:szCs w:val="22"/>
        </w:rPr>
        <w:t xml:space="preserve"> should</w:t>
      </w:r>
      <w:r w:rsidR="007C4CB5" w:rsidRPr="001E47AD">
        <w:rPr>
          <w:sz w:val="22"/>
          <w:szCs w:val="22"/>
        </w:rPr>
        <w:t xml:space="preserve"> facilitate inbound logistics networks</w:t>
      </w:r>
      <w:r w:rsidR="00554738" w:rsidRPr="001E47AD">
        <w:rPr>
          <w:sz w:val="22"/>
          <w:szCs w:val="22"/>
        </w:rPr>
        <w:t>, thus enhancing the</w:t>
      </w:r>
      <w:r w:rsidR="007C4CB5" w:rsidRPr="001E47AD">
        <w:rPr>
          <w:sz w:val="22"/>
          <w:szCs w:val="22"/>
        </w:rPr>
        <w:t xml:space="preserve"> supply</w:t>
      </w:r>
      <w:r w:rsidR="00554738" w:rsidRPr="001E47AD">
        <w:rPr>
          <w:sz w:val="22"/>
          <w:szCs w:val="22"/>
        </w:rPr>
        <w:t xml:space="preserve"> of</w:t>
      </w:r>
      <w:r w:rsidR="007C4CB5" w:rsidRPr="001E47AD">
        <w:rPr>
          <w:sz w:val="22"/>
          <w:szCs w:val="22"/>
        </w:rPr>
        <w:t xml:space="preserve"> essential items to areas in hurricane tracks. This may require exceptions to highway lane reversals that may </w:t>
      </w:r>
      <w:r w:rsidR="00554738" w:rsidRPr="001E47AD">
        <w:rPr>
          <w:sz w:val="22"/>
          <w:szCs w:val="22"/>
        </w:rPr>
        <w:t>impede</w:t>
      </w:r>
      <w:r w:rsidR="007C4CB5" w:rsidRPr="001E47AD">
        <w:rPr>
          <w:sz w:val="22"/>
          <w:szCs w:val="22"/>
        </w:rPr>
        <w:t xml:space="preserve"> inbound traffic into areas in a hurricane’s path.</w:t>
      </w:r>
      <w:r w:rsidR="000C6A4F" w:rsidRPr="001E47AD">
        <w:rPr>
          <w:rFonts w:eastAsia="Times New Roman"/>
          <w:sz w:val="22"/>
          <w:szCs w:val="22"/>
        </w:rPr>
        <w:t xml:space="preserve"> </w:t>
      </w:r>
      <w:r w:rsidR="007C4CB5" w:rsidRPr="001E47AD">
        <w:rPr>
          <w:sz w:val="22"/>
          <w:szCs w:val="22"/>
        </w:rPr>
        <w:t>Moreover</w:t>
      </w:r>
      <w:r w:rsidRPr="001E47AD">
        <w:rPr>
          <w:sz w:val="22"/>
          <w:szCs w:val="22"/>
        </w:rPr>
        <w:t xml:space="preserve">, </w:t>
      </w:r>
      <w:r w:rsidRPr="001E47AD">
        <w:rPr>
          <w:sz w:val="22"/>
          <w:szCs w:val="22"/>
          <w:lang w:eastAsia="zh-CN"/>
        </w:rPr>
        <w:t>government</w:t>
      </w:r>
      <w:r w:rsidR="00373334" w:rsidRPr="001E47AD">
        <w:rPr>
          <w:sz w:val="22"/>
          <w:szCs w:val="22"/>
          <w:lang w:eastAsia="zh-CN"/>
        </w:rPr>
        <w:t>s</w:t>
      </w:r>
      <w:r w:rsidRPr="001E47AD">
        <w:rPr>
          <w:sz w:val="22"/>
          <w:szCs w:val="22"/>
          <w:lang w:eastAsia="zh-CN"/>
        </w:rPr>
        <w:t xml:space="preserve"> could facilitate </w:t>
      </w:r>
      <w:r w:rsidR="00FC5F64" w:rsidRPr="001E47AD">
        <w:rPr>
          <w:sz w:val="22"/>
          <w:szCs w:val="22"/>
          <w:lang w:eastAsia="zh-CN"/>
        </w:rPr>
        <w:t>communication channel</w:t>
      </w:r>
      <w:r w:rsidR="007C4CB5" w:rsidRPr="001E47AD">
        <w:rPr>
          <w:sz w:val="22"/>
          <w:szCs w:val="22"/>
          <w:lang w:eastAsia="zh-CN"/>
        </w:rPr>
        <w:t>s</w:t>
      </w:r>
      <w:r w:rsidR="00760CE8" w:rsidRPr="001E47AD">
        <w:rPr>
          <w:sz w:val="22"/>
          <w:szCs w:val="22"/>
          <w:lang w:eastAsia="zh-CN"/>
        </w:rPr>
        <w:t xml:space="preserve"> between hurricane meteorologists</w:t>
      </w:r>
      <w:r w:rsidRPr="001E47AD">
        <w:rPr>
          <w:sz w:val="22"/>
          <w:szCs w:val="22"/>
          <w:lang w:eastAsia="zh-CN"/>
        </w:rPr>
        <w:t xml:space="preserve"> and ret</w:t>
      </w:r>
      <w:r w:rsidR="00B64DB9" w:rsidRPr="001E47AD">
        <w:rPr>
          <w:sz w:val="22"/>
          <w:szCs w:val="22"/>
          <w:lang w:eastAsia="zh-CN"/>
        </w:rPr>
        <w:t xml:space="preserve">ail operation managers </w:t>
      </w:r>
      <w:r w:rsidRPr="001E47AD">
        <w:rPr>
          <w:sz w:val="22"/>
          <w:szCs w:val="22"/>
          <w:lang w:eastAsia="zh-CN"/>
        </w:rPr>
        <w:t xml:space="preserve">to help retailers better </w:t>
      </w:r>
      <w:r w:rsidR="00146B91" w:rsidRPr="001E47AD">
        <w:rPr>
          <w:sz w:val="22"/>
          <w:szCs w:val="22"/>
          <w:lang w:eastAsia="zh-CN"/>
        </w:rPr>
        <w:t xml:space="preserve">understand </w:t>
      </w:r>
      <w:r w:rsidRPr="001E47AD">
        <w:rPr>
          <w:sz w:val="22"/>
          <w:szCs w:val="22"/>
          <w:lang w:eastAsia="zh-CN"/>
        </w:rPr>
        <w:t>hurricane forecast information and accurately pre-position inventories.</w:t>
      </w:r>
      <w:r w:rsidR="00760CE8" w:rsidRPr="001E47AD">
        <w:rPr>
          <w:sz w:val="22"/>
          <w:szCs w:val="22"/>
          <w:lang w:eastAsia="zh-CN"/>
        </w:rPr>
        <w:t xml:space="preserve"> Lastly, governments can improve their disaster-relief capabilities by utilizing efficient supply chains in private sector</w:t>
      </w:r>
      <w:r w:rsidR="00146B91" w:rsidRPr="001E47AD">
        <w:rPr>
          <w:sz w:val="22"/>
          <w:szCs w:val="22"/>
          <w:lang w:eastAsia="zh-CN"/>
        </w:rPr>
        <w:t>s</w:t>
      </w:r>
      <w:r w:rsidR="007C4CB5" w:rsidRPr="001E47AD">
        <w:rPr>
          <w:sz w:val="22"/>
          <w:szCs w:val="22"/>
          <w:lang w:eastAsia="zh-CN"/>
        </w:rPr>
        <w:t>;</w:t>
      </w:r>
      <w:r w:rsidR="00760CE8" w:rsidRPr="001E47AD">
        <w:rPr>
          <w:sz w:val="22"/>
          <w:szCs w:val="22"/>
          <w:lang w:eastAsia="zh-CN"/>
        </w:rPr>
        <w:t xml:space="preserve"> for example, </w:t>
      </w:r>
      <w:r w:rsidR="007C4CB5" w:rsidRPr="001E47AD">
        <w:rPr>
          <w:sz w:val="22"/>
          <w:szCs w:val="22"/>
          <w:lang w:eastAsia="zh-CN"/>
        </w:rPr>
        <w:t xml:space="preserve">by contracting with private-sector retailers to strategically </w:t>
      </w:r>
      <w:r w:rsidR="00FC234D" w:rsidRPr="001E47AD">
        <w:rPr>
          <w:sz w:val="22"/>
          <w:szCs w:val="22"/>
          <w:lang w:eastAsia="zh-CN"/>
        </w:rPr>
        <w:t xml:space="preserve">position </w:t>
      </w:r>
      <w:r w:rsidR="007C4CB5" w:rsidRPr="001E47AD">
        <w:rPr>
          <w:sz w:val="22"/>
          <w:szCs w:val="22"/>
          <w:lang w:eastAsia="zh-CN"/>
        </w:rPr>
        <w:t>inventory during the hurricane season</w:t>
      </w:r>
      <w:r w:rsidR="00596805" w:rsidRPr="001E47AD">
        <w:rPr>
          <w:sz w:val="22"/>
          <w:szCs w:val="22"/>
          <w:lang w:eastAsia="zh-CN"/>
        </w:rPr>
        <w:t>;</w:t>
      </w:r>
      <w:r w:rsidR="00C417BA" w:rsidRPr="001E47AD">
        <w:rPr>
          <w:sz w:val="22"/>
          <w:szCs w:val="22"/>
          <w:lang w:eastAsia="zh-CN"/>
        </w:rPr>
        <w:t xml:space="preserve"> </w:t>
      </w:r>
      <w:r w:rsidR="00D029E6" w:rsidRPr="001E47AD">
        <w:rPr>
          <w:sz w:val="22"/>
          <w:szCs w:val="22"/>
          <w:lang w:eastAsia="zh-CN"/>
        </w:rPr>
        <w:t>in particular</w:t>
      </w:r>
      <w:r w:rsidR="00C417BA" w:rsidRPr="001E47AD">
        <w:rPr>
          <w:sz w:val="22"/>
          <w:szCs w:val="22"/>
          <w:lang w:eastAsia="zh-CN"/>
        </w:rPr>
        <w:t xml:space="preserve">, those retailers with </w:t>
      </w:r>
      <w:r w:rsidR="00C417BA" w:rsidRPr="001E47AD">
        <w:rPr>
          <w:sz w:val="22"/>
          <w:szCs w:val="22"/>
        </w:rPr>
        <w:t>a large inter-county network</w:t>
      </w:r>
      <w:r w:rsidR="00033339" w:rsidRPr="001E47AD">
        <w:rPr>
          <w:sz w:val="22"/>
          <w:szCs w:val="22"/>
        </w:rPr>
        <w:t xml:space="preserve"> and</w:t>
      </w:r>
      <w:r w:rsidR="00C417BA" w:rsidRPr="001E47AD">
        <w:rPr>
          <w:sz w:val="22"/>
          <w:szCs w:val="22"/>
        </w:rPr>
        <w:t xml:space="preserve"> quick restoration </w:t>
      </w:r>
      <w:r w:rsidR="0090007B" w:rsidRPr="001E47AD">
        <w:rPr>
          <w:sz w:val="22"/>
          <w:szCs w:val="22"/>
        </w:rPr>
        <w:t>capabilities</w:t>
      </w:r>
      <w:r w:rsidR="007C4CB5" w:rsidRPr="001E47AD">
        <w:rPr>
          <w:sz w:val="22"/>
          <w:szCs w:val="22"/>
          <w:lang w:eastAsia="zh-CN"/>
        </w:rPr>
        <w:t>.</w:t>
      </w:r>
      <w:r w:rsidR="00D37963" w:rsidRPr="001E47AD">
        <w:rPr>
          <w:sz w:val="22"/>
          <w:szCs w:val="22"/>
          <w:lang w:eastAsia="zh-CN"/>
        </w:rPr>
        <w:t xml:space="preserve"> Overall, </w:t>
      </w:r>
      <w:r w:rsidR="007D7CB0" w:rsidRPr="001E47AD">
        <w:rPr>
          <w:sz w:val="22"/>
          <w:szCs w:val="22"/>
          <w:lang w:eastAsia="zh-CN"/>
        </w:rPr>
        <w:t xml:space="preserve">civil authorities </w:t>
      </w:r>
      <w:r w:rsidR="001C7E2D" w:rsidRPr="001E47AD">
        <w:rPr>
          <w:sz w:val="22"/>
          <w:szCs w:val="22"/>
          <w:lang w:eastAsia="zh-CN"/>
        </w:rPr>
        <w:t xml:space="preserve">and retailers </w:t>
      </w:r>
      <w:r w:rsidRPr="001E47AD">
        <w:rPr>
          <w:sz w:val="22"/>
          <w:szCs w:val="22"/>
          <w:lang w:eastAsia="zh-CN"/>
        </w:rPr>
        <w:t xml:space="preserve">could benefit greatly </w:t>
      </w:r>
      <w:r w:rsidR="007C4CB5" w:rsidRPr="001E47AD">
        <w:rPr>
          <w:sz w:val="22"/>
          <w:szCs w:val="22"/>
          <w:lang w:eastAsia="zh-CN"/>
        </w:rPr>
        <w:t xml:space="preserve">from </w:t>
      </w:r>
      <w:r w:rsidRPr="001E47AD">
        <w:rPr>
          <w:sz w:val="22"/>
          <w:szCs w:val="22"/>
          <w:lang w:eastAsia="zh-CN"/>
        </w:rPr>
        <w:t xml:space="preserve">collaboration </w:t>
      </w:r>
      <w:r w:rsidR="007C4CB5" w:rsidRPr="001E47AD">
        <w:rPr>
          <w:sz w:val="22"/>
          <w:szCs w:val="22"/>
          <w:lang w:eastAsia="zh-CN"/>
        </w:rPr>
        <w:t>that</w:t>
      </w:r>
      <w:r w:rsidRPr="001E47AD">
        <w:rPr>
          <w:sz w:val="22"/>
          <w:szCs w:val="22"/>
          <w:lang w:eastAsia="zh-CN"/>
        </w:rPr>
        <w:t xml:space="preserve"> will allow for better coordination when prepositioning inventory and directing disaster-relief efforts. </w:t>
      </w:r>
    </w:p>
    <w:p w14:paraId="58FEA218" w14:textId="42A84C4E" w:rsidR="00CA0B1B" w:rsidRPr="001E47AD" w:rsidRDefault="003B223F" w:rsidP="00FB7C14">
      <w:pPr>
        <w:pStyle w:val="Heading1"/>
      </w:pPr>
      <w:r w:rsidRPr="001E47AD">
        <w:t>Conclusions</w:t>
      </w:r>
      <w:bookmarkEnd w:id="63"/>
      <w:r w:rsidR="00FB7C14" w:rsidRPr="001E47AD">
        <w:t xml:space="preserve"> and Limitations</w:t>
      </w:r>
    </w:p>
    <w:p w14:paraId="3B9D5AF2" w14:textId="4F59B139" w:rsidR="000C7F04" w:rsidRPr="001E47AD" w:rsidRDefault="00E07987" w:rsidP="00E33632">
      <w:pPr>
        <w:spacing w:before="120" w:after="120" w:line="480" w:lineRule="auto"/>
        <w:contextualSpacing/>
        <w:jc w:val="both"/>
        <w:rPr>
          <w:sz w:val="22"/>
          <w:szCs w:val="22"/>
          <w:lang w:eastAsia="zh-CN"/>
        </w:rPr>
      </w:pPr>
      <w:r w:rsidRPr="001E47AD">
        <w:rPr>
          <w:sz w:val="22"/>
          <w:szCs w:val="22"/>
        </w:rPr>
        <w:t>M</w:t>
      </w:r>
      <w:r w:rsidR="00CA0B1B" w:rsidRPr="001E47AD">
        <w:rPr>
          <w:sz w:val="22"/>
          <w:szCs w:val="22"/>
        </w:rPr>
        <w:t xml:space="preserve">atching demand and supply is a challenging task for </w:t>
      </w:r>
      <w:r w:rsidR="009A75E7" w:rsidRPr="001E47AD">
        <w:rPr>
          <w:sz w:val="22"/>
          <w:szCs w:val="22"/>
        </w:rPr>
        <w:t>retailers</w:t>
      </w:r>
      <w:r w:rsidR="00CA0B1B" w:rsidRPr="001E47AD">
        <w:rPr>
          <w:sz w:val="22"/>
          <w:szCs w:val="22"/>
        </w:rPr>
        <w:t xml:space="preserve"> attempting to provide goods or services </w:t>
      </w:r>
      <w:r w:rsidR="00CF39AB" w:rsidRPr="001E47AD">
        <w:rPr>
          <w:sz w:val="22"/>
          <w:szCs w:val="22"/>
        </w:rPr>
        <w:t xml:space="preserve">when </w:t>
      </w:r>
      <w:r w:rsidR="00CA0B1B" w:rsidRPr="001E47AD">
        <w:rPr>
          <w:sz w:val="22"/>
          <w:szCs w:val="22"/>
        </w:rPr>
        <w:t xml:space="preserve">faced with the threat of </w:t>
      </w:r>
      <w:r w:rsidR="00CA0B1B" w:rsidRPr="001E47AD">
        <w:rPr>
          <w:noProof/>
          <w:sz w:val="22"/>
          <w:szCs w:val="22"/>
        </w:rPr>
        <w:t>hurricanes</w:t>
      </w:r>
      <w:r w:rsidR="00CA0B1B" w:rsidRPr="001E47AD">
        <w:rPr>
          <w:sz w:val="22"/>
          <w:szCs w:val="22"/>
        </w:rPr>
        <w:t xml:space="preserve"> (Pedraza-Martinez </w:t>
      </w:r>
      <w:r w:rsidR="00B4311B" w:rsidRPr="001E47AD">
        <w:rPr>
          <w:sz w:val="22"/>
          <w:szCs w:val="22"/>
          <w:lang w:eastAsia="zh-CN"/>
        </w:rPr>
        <w:t>and</w:t>
      </w:r>
      <w:r w:rsidR="00CA0B1B" w:rsidRPr="001E47AD">
        <w:rPr>
          <w:sz w:val="22"/>
          <w:szCs w:val="22"/>
        </w:rPr>
        <w:t xml:space="preserve"> Van Wassenhove 2016). </w:t>
      </w:r>
      <w:r w:rsidR="00CA0B1B" w:rsidRPr="001E47AD">
        <w:rPr>
          <w:noProof/>
          <w:sz w:val="22"/>
          <w:szCs w:val="22"/>
        </w:rPr>
        <w:t>This work disent</w:t>
      </w:r>
      <w:r w:rsidR="002F741A" w:rsidRPr="001E47AD">
        <w:rPr>
          <w:noProof/>
          <w:sz w:val="22"/>
          <w:szCs w:val="22"/>
        </w:rPr>
        <w:t xml:space="preserve">angles a </w:t>
      </w:r>
      <w:r w:rsidR="002F741A" w:rsidRPr="001E47AD">
        <w:rPr>
          <w:noProof/>
          <w:sz w:val="22"/>
          <w:szCs w:val="22"/>
          <w:lang w:eastAsia="zh-CN"/>
        </w:rPr>
        <w:t>disaster management</w:t>
      </w:r>
      <w:r w:rsidR="00CA0B1B" w:rsidRPr="001E47AD">
        <w:rPr>
          <w:noProof/>
          <w:sz w:val="22"/>
          <w:szCs w:val="22"/>
        </w:rPr>
        <w:t xml:space="preserve"> problem from the perspective of consumer stockpiling behavior and retail operations performance u</w:t>
      </w:r>
      <w:r w:rsidR="00CF39AB" w:rsidRPr="001E47AD">
        <w:rPr>
          <w:noProof/>
          <w:sz w:val="22"/>
          <w:szCs w:val="22"/>
        </w:rPr>
        <w:t>si</w:t>
      </w:r>
      <w:r w:rsidR="00CA0B1B" w:rsidRPr="001E47AD">
        <w:rPr>
          <w:noProof/>
          <w:sz w:val="22"/>
          <w:szCs w:val="22"/>
        </w:rPr>
        <w:t>ng hurricane disasters as a natural experiment</w:t>
      </w:r>
      <w:r w:rsidR="0034710A" w:rsidRPr="001E47AD">
        <w:rPr>
          <w:noProof/>
          <w:sz w:val="22"/>
          <w:szCs w:val="22"/>
        </w:rPr>
        <w:t>.</w:t>
      </w:r>
      <w:r w:rsidR="00CA0B1B" w:rsidRPr="001E47AD">
        <w:rPr>
          <w:noProof/>
          <w:sz w:val="22"/>
          <w:szCs w:val="22"/>
        </w:rPr>
        <w:t xml:space="preserve"> Specifically, we integrate critical elements in disaster preparedness: retail</w:t>
      </w:r>
      <w:r w:rsidR="00841676" w:rsidRPr="001E47AD">
        <w:rPr>
          <w:noProof/>
          <w:sz w:val="22"/>
          <w:szCs w:val="22"/>
        </w:rPr>
        <w:t xml:space="preserve"> network and product assortment</w:t>
      </w:r>
      <w:r w:rsidR="00FF168A" w:rsidRPr="001E47AD">
        <w:rPr>
          <w:noProof/>
          <w:sz w:val="22"/>
          <w:szCs w:val="22"/>
        </w:rPr>
        <w:t xml:space="preserve"> on the</w:t>
      </w:r>
      <w:r w:rsidR="00CA0B1B" w:rsidRPr="001E47AD">
        <w:rPr>
          <w:noProof/>
          <w:sz w:val="22"/>
          <w:szCs w:val="22"/>
        </w:rPr>
        <w:t xml:space="preserve"> supply side, </w:t>
      </w:r>
      <w:r w:rsidR="00CA0B1B" w:rsidRPr="001E47AD">
        <w:rPr>
          <w:noProof/>
          <w:sz w:val="22"/>
          <w:szCs w:val="22"/>
        </w:rPr>
        <w:lastRenderedPageBreak/>
        <w:t xml:space="preserve">disaster experience and household income </w:t>
      </w:r>
      <w:r w:rsidR="00FF168A" w:rsidRPr="001E47AD">
        <w:rPr>
          <w:noProof/>
          <w:sz w:val="22"/>
          <w:szCs w:val="22"/>
        </w:rPr>
        <w:t>on the</w:t>
      </w:r>
      <w:r w:rsidR="00CA0B1B" w:rsidRPr="001E47AD">
        <w:rPr>
          <w:noProof/>
          <w:sz w:val="22"/>
          <w:szCs w:val="22"/>
        </w:rPr>
        <w:t xml:space="preserve"> demand side, and hazard proximity and hazard intensity </w:t>
      </w:r>
      <w:r w:rsidR="00FF168A" w:rsidRPr="001E47AD">
        <w:rPr>
          <w:noProof/>
          <w:sz w:val="22"/>
          <w:szCs w:val="22"/>
        </w:rPr>
        <w:t xml:space="preserve">relating to the </w:t>
      </w:r>
      <w:r w:rsidR="00CA0B1B" w:rsidRPr="001E47AD">
        <w:rPr>
          <w:noProof/>
          <w:sz w:val="22"/>
          <w:szCs w:val="22"/>
        </w:rPr>
        <w:t>disaster.</w:t>
      </w:r>
      <w:r w:rsidR="00CA0B1B" w:rsidRPr="001E47AD">
        <w:rPr>
          <w:sz w:val="22"/>
          <w:szCs w:val="22"/>
        </w:rPr>
        <w:t xml:space="preserve"> We show how these elements </w:t>
      </w:r>
      <w:r w:rsidR="00CF39AB" w:rsidRPr="001E47AD">
        <w:rPr>
          <w:noProof/>
          <w:sz w:val="22"/>
          <w:szCs w:val="22"/>
        </w:rPr>
        <w:t>contribute</w:t>
      </w:r>
      <w:r w:rsidR="00CA0B1B" w:rsidRPr="001E47AD">
        <w:rPr>
          <w:sz w:val="22"/>
          <w:szCs w:val="22"/>
        </w:rPr>
        <w:t xml:space="preserve"> to consumer stockpiling propensity</w:t>
      </w:r>
      <w:r w:rsidR="00211CDB" w:rsidRPr="001E47AD">
        <w:rPr>
          <w:sz w:val="22"/>
          <w:szCs w:val="22"/>
        </w:rPr>
        <w:t>,</w:t>
      </w:r>
      <w:r w:rsidR="00CA0B1B" w:rsidRPr="001E47AD">
        <w:rPr>
          <w:sz w:val="22"/>
          <w:szCs w:val="22"/>
        </w:rPr>
        <w:t xml:space="preserve"> and how consumer stockpiling propensity affect</w:t>
      </w:r>
      <w:r w:rsidR="00FF168A" w:rsidRPr="001E47AD">
        <w:rPr>
          <w:sz w:val="22"/>
          <w:szCs w:val="22"/>
        </w:rPr>
        <w:t>s</w:t>
      </w:r>
      <w:r w:rsidR="00CA0B1B" w:rsidRPr="001E47AD">
        <w:rPr>
          <w:sz w:val="22"/>
          <w:szCs w:val="22"/>
        </w:rPr>
        <w:t xml:space="preserve"> in-store product availability </w:t>
      </w:r>
      <w:r w:rsidR="00CA0B1B" w:rsidRPr="001E47AD">
        <w:rPr>
          <w:noProof/>
          <w:sz w:val="22"/>
          <w:szCs w:val="22"/>
        </w:rPr>
        <w:t>over the course of</w:t>
      </w:r>
      <w:r w:rsidR="00F8601E" w:rsidRPr="001E47AD">
        <w:rPr>
          <w:sz w:val="22"/>
          <w:szCs w:val="22"/>
        </w:rPr>
        <w:t xml:space="preserve"> hurricane disasters</w:t>
      </w:r>
      <w:r w:rsidR="00F8601E" w:rsidRPr="001E47AD">
        <w:rPr>
          <w:sz w:val="22"/>
          <w:szCs w:val="22"/>
          <w:lang w:eastAsia="zh-CN"/>
        </w:rPr>
        <w:t xml:space="preserve">. </w:t>
      </w:r>
    </w:p>
    <w:p w14:paraId="7DBCDF70" w14:textId="77777777" w:rsidR="00E33632" w:rsidRPr="001E47AD" w:rsidRDefault="002F60F6" w:rsidP="00E33632">
      <w:pPr>
        <w:spacing w:before="120" w:after="120" w:line="480" w:lineRule="auto"/>
        <w:ind w:firstLine="720"/>
        <w:contextualSpacing/>
        <w:jc w:val="both"/>
        <w:rPr>
          <w:sz w:val="22"/>
          <w:szCs w:val="22"/>
          <w:lang w:eastAsia="zh-CN"/>
        </w:rPr>
      </w:pPr>
      <w:r w:rsidRPr="001E47AD">
        <w:rPr>
          <w:sz w:val="22"/>
          <w:szCs w:val="22"/>
        </w:rPr>
        <w:t>Our work enables retail</w:t>
      </w:r>
      <w:r w:rsidRPr="001E47AD">
        <w:rPr>
          <w:sz w:val="22"/>
          <w:szCs w:val="22"/>
          <w:lang w:eastAsia="zh-CN"/>
        </w:rPr>
        <w:t xml:space="preserve">ers and </w:t>
      </w:r>
      <w:r w:rsidR="004532B8" w:rsidRPr="001E47AD">
        <w:rPr>
          <w:noProof/>
          <w:sz w:val="22"/>
          <w:szCs w:val="22"/>
          <w:lang w:eastAsia="zh-CN"/>
        </w:rPr>
        <w:t>policy</w:t>
      </w:r>
      <w:r w:rsidRPr="001E47AD">
        <w:rPr>
          <w:noProof/>
          <w:sz w:val="22"/>
          <w:szCs w:val="22"/>
          <w:lang w:eastAsia="zh-CN"/>
        </w:rPr>
        <w:t>makers</w:t>
      </w:r>
      <w:r w:rsidRPr="001E47AD">
        <w:rPr>
          <w:sz w:val="22"/>
          <w:szCs w:val="22"/>
        </w:rPr>
        <w:t xml:space="preserve"> to more accurately pre-position inventories </w:t>
      </w:r>
      <w:r w:rsidR="00DC58B7" w:rsidRPr="001E47AD">
        <w:rPr>
          <w:sz w:val="22"/>
          <w:szCs w:val="22"/>
        </w:rPr>
        <w:t>and direct disaster-relief effort</w:t>
      </w:r>
      <w:r w:rsidR="000217A1" w:rsidRPr="001E47AD">
        <w:rPr>
          <w:sz w:val="22"/>
          <w:szCs w:val="22"/>
        </w:rPr>
        <w:t>s</w:t>
      </w:r>
      <w:r w:rsidR="00DC58B7" w:rsidRPr="001E47AD">
        <w:rPr>
          <w:sz w:val="22"/>
          <w:szCs w:val="22"/>
        </w:rPr>
        <w:t xml:space="preserve"> </w:t>
      </w:r>
      <w:r w:rsidRPr="001E47AD">
        <w:rPr>
          <w:sz w:val="22"/>
          <w:szCs w:val="22"/>
        </w:rPr>
        <w:t>during the hurricane season</w:t>
      </w:r>
      <w:r w:rsidR="00562A60" w:rsidRPr="001E47AD">
        <w:rPr>
          <w:sz w:val="22"/>
          <w:szCs w:val="22"/>
          <w:lang w:eastAsia="zh-CN"/>
        </w:rPr>
        <w:t xml:space="preserve">. </w:t>
      </w:r>
      <w:r w:rsidRPr="001E47AD">
        <w:rPr>
          <w:sz w:val="22"/>
          <w:szCs w:val="22"/>
          <w:lang w:eastAsia="zh-CN"/>
        </w:rPr>
        <w:t xml:space="preserve">In particular, </w:t>
      </w:r>
      <w:r w:rsidRPr="001E47AD">
        <w:rPr>
          <w:sz w:val="22"/>
          <w:szCs w:val="22"/>
        </w:rPr>
        <w:t xml:space="preserve">this work can help </w:t>
      </w:r>
      <w:r w:rsidR="005B7242" w:rsidRPr="001E47AD">
        <w:rPr>
          <w:sz w:val="22"/>
          <w:szCs w:val="22"/>
        </w:rPr>
        <w:t xml:space="preserve">professional </w:t>
      </w:r>
      <w:r w:rsidR="00211CDB" w:rsidRPr="001E47AD">
        <w:rPr>
          <w:sz w:val="22"/>
          <w:szCs w:val="22"/>
        </w:rPr>
        <w:t xml:space="preserve">managers </w:t>
      </w:r>
      <w:r w:rsidR="00BD3705" w:rsidRPr="001E47AD">
        <w:rPr>
          <w:sz w:val="22"/>
          <w:szCs w:val="22"/>
        </w:rPr>
        <w:t xml:space="preserve">in private and public sectors </w:t>
      </w:r>
      <w:r w:rsidRPr="001E47AD">
        <w:rPr>
          <w:sz w:val="22"/>
          <w:szCs w:val="22"/>
        </w:rPr>
        <w:t>anticipate counties</w:t>
      </w:r>
      <w:r w:rsidR="007C4CB5" w:rsidRPr="001E47AD">
        <w:rPr>
          <w:sz w:val="22"/>
          <w:szCs w:val="22"/>
        </w:rPr>
        <w:t xml:space="preserve"> that</w:t>
      </w:r>
      <w:r w:rsidRPr="001E47AD">
        <w:rPr>
          <w:sz w:val="22"/>
          <w:szCs w:val="22"/>
        </w:rPr>
        <w:t xml:space="preserve"> are more likely to</w:t>
      </w:r>
      <w:r w:rsidR="00211CDB" w:rsidRPr="001E47AD">
        <w:rPr>
          <w:sz w:val="22"/>
          <w:szCs w:val="22"/>
        </w:rPr>
        <w:t xml:space="preserve"> experience</w:t>
      </w:r>
      <w:r w:rsidRPr="001E47AD">
        <w:rPr>
          <w:sz w:val="22"/>
          <w:szCs w:val="22"/>
        </w:rPr>
        <w:t xml:space="preserve"> </w:t>
      </w:r>
      <w:r w:rsidR="000652E1" w:rsidRPr="001E47AD">
        <w:rPr>
          <w:rFonts w:hint="eastAsia"/>
          <w:sz w:val="22"/>
          <w:szCs w:val="22"/>
          <w:lang w:eastAsia="zh-CN"/>
        </w:rPr>
        <w:t xml:space="preserve">high </w:t>
      </w:r>
      <w:r w:rsidRPr="001E47AD">
        <w:rPr>
          <w:sz w:val="22"/>
          <w:szCs w:val="22"/>
        </w:rPr>
        <w:t>stockpil</w:t>
      </w:r>
      <w:r w:rsidR="00211CDB" w:rsidRPr="001E47AD">
        <w:rPr>
          <w:sz w:val="22"/>
          <w:szCs w:val="22"/>
        </w:rPr>
        <w:t xml:space="preserve">ing </w:t>
      </w:r>
      <w:r w:rsidR="000652E1" w:rsidRPr="001E47AD">
        <w:rPr>
          <w:rFonts w:hint="eastAsia"/>
          <w:noProof/>
          <w:sz w:val="22"/>
          <w:szCs w:val="22"/>
          <w:lang w:eastAsia="zh-CN"/>
        </w:rPr>
        <w:t>propensity</w:t>
      </w:r>
      <w:r w:rsidRPr="001E47AD">
        <w:rPr>
          <w:sz w:val="22"/>
          <w:szCs w:val="22"/>
        </w:rPr>
        <w:t xml:space="preserve"> </w:t>
      </w:r>
      <w:r w:rsidR="00211CDB" w:rsidRPr="001E47AD">
        <w:rPr>
          <w:sz w:val="22"/>
          <w:szCs w:val="22"/>
        </w:rPr>
        <w:t>so that they can</w:t>
      </w:r>
      <w:r w:rsidRPr="001E47AD">
        <w:rPr>
          <w:sz w:val="22"/>
          <w:szCs w:val="22"/>
        </w:rPr>
        <w:t xml:space="preserve"> </w:t>
      </w:r>
      <w:r w:rsidR="00211CDB" w:rsidRPr="001E47AD">
        <w:rPr>
          <w:sz w:val="22"/>
          <w:szCs w:val="22"/>
        </w:rPr>
        <w:t>pre</w:t>
      </w:r>
      <w:r w:rsidR="00090741" w:rsidRPr="001E47AD">
        <w:rPr>
          <w:sz w:val="22"/>
          <w:szCs w:val="22"/>
        </w:rPr>
        <w:t>p</w:t>
      </w:r>
      <w:r w:rsidR="00090741" w:rsidRPr="001E47AD">
        <w:rPr>
          <w:rFonts w:hint="eastAsia"/>
          <w:sz w:val="22"/>
          <w:szCs w:val="22"/>
          <w:lang w:eastAsia="zh-CN"/>
        </w:rPr>
        <w:t>are</w:t>
      </w:r>
      <w:r w:rsidRPr="001E47AD">
        <w:rPr>
          <w:sz w:val="22"/>
          <w:szCs w:val="22"/>
        </w:rPr>
        <w:t xml:space="preserve"> in </w:t>
      </w:r>
      <w:r w:rsidR="00211CDB" w:rsidRPr="001E47AD">
        <w:rPr>
          <w:sz w:val="22"/>
          <w:szCs w:val="22"/>
        </w:rPr>
        <w:t>advance of a hurricane landfall</w:t>
      </w:r>
      <w:r w:rsidRPr="001E47AD">
        <w:rPr>
          <w:sz w:val="22"/>
          <w:szCs w:val="22"/>
        </w:rPr>
        <w:t>.</w:t>
      </w:r>
      <w:r w:rsidRPr="001E47AD">
        <w:rPr>
          <w:sz w:val="22"/>
          <w:szCs w:val="22"/>
          <w:lang w:eastAsia="zh-CN"/>
        </w:rPr>
        <w:t xml:space="preserve"> </w:t>
      </w:r>
      <w:r w:rsidR="000727B4" w:rsidRPr="001E47AD">
        <w:rPr>
          <w:sz w:val="22"/>
          <w:szCs w:val="22"/>
          <w:lang w:eastAsia="zh-CN"/>
        </w:rPr>
        <w:t>As</w:t>
      </w:r>
      <w:r w:rsidRPr="001E47AD">
        <w:rPr>
          <w:sz w:val="22"/>
          <w:szCs w:val="22"/>
          <w:lang w:eastAsia="zh-CN"/>
        </w:rPr>
        <w:t xml:space="preserve"> product availability during the EARLY event period is positively associated with product availability during the LATE and POST event periods, </w:t>
      </w:r>
      <w:r w:rsidRPr="001E47AD">
        <w:rPr>
          <w:sz w:val="22"/>
          <w:szCs w:val="22"/>
        </w:rPr>
        <w:t xml:space="preserve">anticipating stockpiling by increasing EARLY period availability </w:t>
      </w:r>
      <w:r w:rsidR="0002148D" w:rsidRPr="001E47AD">
        <w:rPr>
          <w:sz w:val="22"/>
          <w:szCs w:val="22"/>
        </w:rPr>
        <w:t>can</w:t>
      </w:r>
      <w:r w:rsidRPr="001E47AD">
        <w:rPr>
          <w:sz w:val="22"/>
          <w:szCs w:val="22"/>
        </w:rPr>
        <w:t xml:space="preserve"> pay off in the LATE and POST periods with higher availabilit</w:t>
      </w:r>
      <w:r w:rsidRPr="001E47AD">
        <w:rPr>
          <w:sz w:val="22"/>
          <w:szCs w:val="22"/>
          <w:lang w:eastAsia="zh-CN"/>
        </w:rPr>
        <w:t>y.</w:t>
      </w:r>
      <w:bookmarkStart w:id="68" w:name="_Ref518083007"/>
      <w:bookmarkStart w:id="69" w:name="_Toc520380543"/>
      <w:bookmarkStart w:id="70" w:name="_Ref508232897"/>
      <w:bookmarkStart w:id="71" w:name="_Ref512576555"/>
      <w:bookmarkStart w:id="72" w:name="_Toc476732976"/>
      <w:bookmarkStart w:id="73" w:name="_Toc476735248"/>
      <w:bookmarkEnd w:id="1"/>
      <w:bookmarkEnd w:id="2"/>
    </w:p>
    <w:p w14:paraId="1893575C" w14:textId="77777777" w:rsidR="002B5B04" w:rsidRDefault="00E33632" w:rsidP="00E33632">
      <w:pPr>
        <w:spacing w:before="120" w:after="120" w:line="480" w:lineRule="auto"/>
        <w:ind w:firstLine="720"/>
        <w:contextualSpacing/>
        <w:jc w:val="both"/>
        <w:rPr>
          <w:sz w:val="22"/>
          <w:szCs w:val="22"/>
        </w:rPr>
      </w:pPr>
      <w:r w:rsidRPr="001E47AD">
        <w:rPr>
          <w:sz w:val="22"/>
          <w:szCs w:val="22"/>
        </w:rPr>
        <w:t xml:space="preserve">We note several limitations. First, we limit our study to the bottled water category, an essential emergency item in hurricane preparedness. Future research could extend our </w:t>
      </w:r>
      <w:r w:rsidRPr="001E47AD">
        <w:rPr>
          <w:noProof/>
          <w:sz w:val="22"/>
          <w:szCs w:val="22"/>
        </w:rPr>
        <w:t>study</w:t>
      </w:r>
      <w:r w:rsidRPr="001E47AD">
        <w:rPr>
          <w:sz w:val="22"/>
          <w:szCs w:val="22"/>
        </w:rPr>
        <w:t xml:space="preserve"> beyond bottled water and compare consumer stockpiling propensity for other </w:t>
      </w:r>
      <w:r w:rsidRPr="001E47AD">
        <w:rPr>
          <w:noProof/>
          <w:sz w:val="22"/>
          <w:szCs w:val="22"/>
        </w:rPr>
        <w:t>essential</w:t>
      </w:r>
      <w:r w:rsidRPr="001E47AD">
        <w:rPr>
          <w:sz w:val="22"/>
          <w:szCs w:val="22"/>
        </w:rPr>
        <w:t xml:space="preserve"> items, for example, non-perishable and easy-to-prepare food, sanitation and personal hygiene items, and medication and medical items (FEMA 2018b). Second, we investigate how consumer stockpiling propensity of an individual store outlet is affected by its chain network. Future research could study the impacts of </w:t>
      </w:r>
      <w:r w:rsidRPr="001E47AD">
        <w:rPr>
          <w:noProof/>
          <w:sz w:val="22"/>
          <w:szCs w:val="22"/>
        </w:rPr>
        <w:t>both retail</w:t>
      </w:r>
      <w:r w:rsidRPr="001E47AD">
        <w:rPr>
          <w:sz w:val="22"/>
          <w:szCs w:val="22"/>
        </w:rPr>
        <w:t xml:space="preserve"> store networks and </w:t>
      </w:r>
      <w:r w:rsidRPr="001E47AD">
        <w:rPr>
          <w:sz w:val="22"/>
          <w:szCs w:val="22"/>
          <w:lang w:eastAsia="zh-CN"/>
        </w:rPr>
        <w:t>distribution center</w:t>
      </w:r>
      <w:r w:rsidRPr="001E47AD">
        <w:rPr>
          <w:sz w:val="22"/>
          <w:szCs w:val="22"/>
        </w:rPr>
        <w:t xml:space="preserve">s (Holmes </w:t>
      </w:r>
      <w:r w:rsidRPr="001E47AD">
        <w:rPr>
          <w:rFonts w:hint="eastAsia"/>
          <w:sz w:val="22"/>
          <w:szCs w:val="22"/>
          <w:lang w:eastAsia="zh-CN"/>
        </w:rPr>
        <w:t xml:space="preserve">2008, </w:t>
      </w:r>
      <w:r w:rsidRPr="001E47AD">
        <w:rPr>
          <w:sz w:val="22"/>
          <w:szCs w:val="22"/>
        </w:rPr>
        <w:t xml:space="preserve">Rajagopalan 2013). This will require access to additional data that is generally not publicly available. Third, we estimate consumer stockpiling propensity using weekly sales from the Nielsen Retail Scanner Data that captures grocery sales from major retail chains across U.S. markets. Future research could extend our study using daily sales data, which could provide more accurate estimations of consumer stockpiling behavior. Lastly, we note that the speed of information diffusion is critical to combating uncertainties and complexities in disaster relief operations (Yoo et al. 2016). </w:t>
      </w:r>
      <w:r w:rsidRPr="001E47AD">
        <w:rPr>
          <w:sz w:val="22"/>
          <w:szCs w:val="22"/>
          <w:lang w:eastAsia="zh-CN"/>
        </w:rPr>
        <w:t>F</w:t>
      </w:r>
      <w:r w:rsidRPr="001E47AD">
        <w:rPr>
          <w:sz w:val="22"/>
          <w:szCs w:val="22"/>
        </w:rPr>
        <w:t xml:space="preserve">uture research could </w:t>
      </w:r>
      <w:r w:rsidRPr="001E47AD">
        <w:rPr>
          <w:rFonts w:hint="eastAsia"/>
          <w:sz w:val="22"/>
          <w:szCs w:val="22"/>
          <w:lang w:eastAsia="zh-CN"/>
        </w:rPr>
        <w:t xml:space="preserve">use content analysis methodology </w:t>
      </w:r>
      <w:r w:rsidRPr="001E47AD">
        <w:rPr>
          <w:sz w:val="22"/>
          <w:szCs w:val="22"/>
        </w:rPr>
        <w:t>study</w:t>
      </w:r>
      <w:r w:rsidRPr="001E47AD">
        <w:rPr>
          <w:rFonts w:hint="eastAsia"/>
          <w:sz w:val="22"/>
          <w:szCs w:val="22"/>
          <w:lang w:eastAsia="zh-CN"/>
        </w:rPr>
        <w:t>ing</w:t>
      </w:r>
      <w:r w:rsidRPr="001E47AD">
        <w:rPr>
          <w:sz w:val="22"/>
          <w:szCs w:val="22"/>
        </w:rPr>
        <w:t xml:space="preserve"> how consumer stockpiling interacts with the diffusion </w:t>
      </w:r>
      <w:r w:rsidRPr="001E47AD">
        <w:rPr>
          <w:rFonts w:hint="eastAsia"/>
          <w:sz w:val="22"/>
          <w:szCs w:val="22"/>
          <w:lang w:eastAsia="zh-CN"/>
        </w:rPr>
        <w:t xml:space="preserve">of positive and negative information </w:t>
      </w:r>
      <w:r w:rsidRPr="001E47AD">
        <w:rPr>
          <w:sz w:val="22"/>
          <w:szCs w:val="22"/>
        </w:rPr>
        <w:t xml:space="preserve">from social media </w:t>
      </w:r>
      <w:r w:rsidRPr="001E47AD">
        <w:rPr>
          <w:rFonts w:hint="eastAsia"/>
          <w:sz w:val="22"/>
          <w:szCs w:val="22"/>
          <w:lang w:eastAsia="zh-CN"/>
        </w:rPr>
        <w:t>over the course of</w:t>
      </w:r>
      <w:r w:rsidRPr="001E47AD">
        <w:rPr>
          <w:sz w:val="22"/>
          <w:szCs w:val="22"/>
        </w:rPr>
        <w:t xml:space="preserve"> hurricane events.</w:t>
      </w:r>
    </w:p>
    <w:bookmarkEnd w:id="68"/>
    <w:bookmarkEnd w:id="69"/>
    <w:bookmarkEnd w:id="70"/>
    <w:bookmarkEnd w:id="71"/>
    <w:bookmarkEnd w:id="72"/>
    <w:bookmarkEnd w:id="73"/>
    <w:p w14:paraId="133AD9F0" w14:textId="2750F9AD" w:rsidR="002B5B04" w:rsidRDefault="00B30E1A" w:rsidP="002B5B04">
      <w:pPr>
        <w:pStyle w:val="Heading1"/>
        <w:numPr>
          <w:ilvl w:val="0"/>
          <w:numId w:val="0"/>
        </w:numPr>
      </w:pPr>
      <w:r>
        <w:lastRenderedPageBreak/>
        <w:t>Acknowledg</w:t>
      </w:r>
      <w:r w:rsidR="002B5B04">
        <w:t>ment</w:t>
      </w:r>
      <w:r>
        <w:t>s</w:t>
      </w:r>
    </w:p>
    <w:p w14:paraId="1D12D281" w14:textId="2711C678" w:rsidR="002B5B04" w:rsidRPr="008D34D2" w:rsidRDefault="008D34D2" w:rsidP="00093AE7">
      <w:pPr>
        <w:spacing w:before="120" w:after="120" w:line="480" w:lineRule="auto"/>
        <w:contextualSpacing/>
        <w:jc w:val="both"/>
      </w:pPr>
      <w:r w:rsidRPr="008D34D2">
        <w:t>We</w:t>
      </w:r>
      <w:r w:rsidR="002B5B04" w:rsidRPr="008D34D2">
        <w:t xml:space="preserve"> thank the department editors, Professor Martin K. Starr and Professor Sushil K. Gupta, the anonymous senior editor, and the two anonymous reviewers for their </w:t>
      </w:r>
      <w:r>
        <w:t xml:space="preserve">valuable </w:t>
      </w:r>
      <w:r w:rsidR="002B5B04" w:rsidRPr="008D34D2">
        <w:t>comments that have g</w:t>
      </w:r>
      <w:r w:rsidR="00C4792C">
        <w:t>reatly improved the manuscript</w:t>
      </w:r>
      <w:r>
        <w:t xml:space="preserve">. We are also grateful to Professor Robert </w:t>
      </w:r>
      <w:r w:rsidR="008A57C2">
        <w:t xml:space="preserve">J. </w:t>
      </w:r>
      <w:r>
        <w:t xml:space="preserve">Windle and Professor Philip </w:t>
      </w:r>
      <w:r w:rsidR="00D617C2">
        <w:t xml:space="preserve">T. </w:t>
      </w:r>
      <w:r>
        <w:t xml:space="preserve">Evers </w:t>
      </w:r>
      <w:r w:rsidR="00926808">
        <w:t xml:space="preserve">at the University of Maryland </w:t>
      </w:r>
      <w:r>
        <w:t xml:space="preserve">for their </w:t>
      </w:r>
      <w:r w:rsidR="00155D2B">
        <w:t xml:space="preserve">constructive </w:t>
      </w:r>
      <w:r>
        <w:t>suggestions on early versions of this paper.</w:t>
      </w:r>
    </w:p>
    <w:p w14:paraId="41488E32" w14:textId="77777777" w:rsidR="002B5B04" w:rsidRPr="002B5B04" w:rsidRDefault="002B5B04" w:rsidP="002B5B04">
      <w:pPr>
        <w:rPr>
          <w:lang w:eastAsia="zh-CN"/>
        </w:rPr>
      </w:pPr>
    </w:p>
    <w:p w14:paraId="4F8EDF4A" w14:textId="77777777" w:rsidR="003F1831" w:rsidRPr="001E47AD" w:rsidRDefault="003F1831" w:rsidP="00E319F8">
      <w:pPr>
        <w:pStyle w:val="Heading1"/>
        <w:sectPr w:rsidR="003F1831" w:rsidRPr="001E47AD" w:rsidSect="003F1831">
          <w:pgSz w:w="12240" w:h="15840" w:code="1"/>
          <w:pgMar w:top="1440" w:right="1440" w:bottom="1440" w:left="1440" w:header="720" w:footer="720" w:gutter="0"/>
          <w:cols w:space="720"/>
          <w:docGrid w:linePitch="360"/>
        </w:sectPr>
      </w:pPr>
    </w:p>
    <w:p w14:paraId="3719076E" w14:textId="77777777" w:rsidR="00784B64" w:rsidRPr="001E47AD" w:rsidRDefault="00784B64" w:rsidP="00E319F8">
      <w:pPr>
        <w:pStyle w:val="Heading1"/>
        <w:numPr>
          <w:ilvl w:val="0"/>
          <w:numId w:val="0"/>
        </w:numPr>
      </w:pPr>
      <w:r w:rsidRPr="001E47AD">
        <w:lastRenderedPageBreak/>
        <w:t>Appendix</w:t>
      </w:r>
    </w:p>
    <w:p w14:paraId="563ECFDD" w14:textId="77777777" w:rsidR="00554E20" w:rsidRPr="001E47AD" w:rsidRDefault="00554E20" w:rsidP="007B2618">
      <w:pPr>
        <w:spacing w:before="120" w:after="120"/>
        <w:rPr>
          <w:bCs/>
          <w:noProof/>
          <w:sz w:val="22"/>
          <w:szCs w:val="22"/>
        </w:rPr>
      </w:pPr>
      <w:r w:rsidRPr="001E47AD">
        <w:rPr>
          <w:bCs/>
          <w:noProof/>
          <w:sz w:val="22"/>
          <w:szCs w:val="22"/>
        </w:rPr>
        <w:t>Table A1: Correlation Matrix</w:t>
      </w:r>
    </w:p>
    <w:tbl>
      <w:tblPr>
        <w:tblW w:w="5000" w:type="pct"/>
        <w:tblBorders>
          <w:top w:val="single" w:sz="4" w:space="0" w:color="auto"/>
          <w:bottom w:val="single" w:sz="4" w:space="0" w:color="auto"/>
        </w:tblBorders>
        <w:tblLook w:val="04A0" w:firstRow="1" w:lastRow="0" w:firstColumn="1" w:lastColumn="0" w:noHBand="0" w:noVBand="1"/>
      </w:tblPr>
      <w:tblGrid>
        <w:gridCol w:w="707"/>
        <w:gridCol w:w="2481"/>
        <w:gridCol w:w="727"/>
        <w:gridCol w:w="727"/>
        <w:gridCol w:w="727"/>
        <w:gridCol w:w="727"/>
        <w:gridCol w:w="727"/>
        <w:gridCol w:w="667"/>
        <w:gridCol w:w="727"/>
        <w:gridCol w:w="727"/>
        <w:gridCol w:w="727"/>
        <w:gridCol w:w="727"/>
        <w:gridCol w:w="725"/>
        <w:gridCol w:w="725"/>
        <w:gridCol w:w="664"/>
        <w:gridCol w:w="664"/>
      </w:tblGrid>
      <w:tr w:rsidR="00D56016" w:rsidRPr="001E47AD" w14:paraId="60623E81" w14:textId="77777777" w:rsidTr="00DA6B18">
        <w:trPr>
          <w:trHeight w:val="300"/>
        </w:trPr>
        <w:tc>
          <w:tcPr>
            <w:tcW w:w="268" w:type="pct"/>
            <w:tcBorders>
              <w:top w:val="single" w:sz="4" w:space="0" w:color="auto"/>
              <w:bottom w:val="single" w:sz="4" w:space="0" w:color="auto"/>
            </w:tcBorders>
            <w:shd w:val="clear" w:color="auto" w:fill="auto"/>
            <w:noWrap/>
            <w:vAlign w:val="center"/>
          </w:tcPr>
          <w:p w14:paraId="42B9475F" w14:textId="77777777" w:rsidR="00D56016" w:rsidRPr="001E47AD" w:rsidRDefault="00D56016" w:rsidP="00CB702A">
            <w:pPr>
              <w:spacing w:line="276" w:lineRule="auto"/>
              <w:contextualSpacing/>
              <w:jc w:val="center"/>
              <w:rPr>
                <w:rFonts w:eastAsia="Times New Roman"/>
                <w:spacing w:val="-4"/>
                <w:sz w:val="16"/>
                <w:szCs w:val="16"/>
              </w:rPr>
            </w:pPr>
          </w:p>
        </w:tc>
        <w:tc>
          <w:tcPr>
            <w:tcW w:w="941" w:type="pct"/>
            <w:tcBorders>
              <w:top w:val="single" w:sz="4" w:space="0" w:color="auto"/>
              <w:bottom w:val="single" w:sz="4" w:space="0" w:color="auto"/>
            </w:tcBorders>
            <w:shd w:val="clear" w:color="auto" w:fill="auto"/>
            <w:noWrap/>
            <w:vAlign w:val="center"/>
            <w:hideMark/>
          </w:tcPr>
          <w:p w14:paraId="58F3EB8A" w14:textId="77777777"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Variables</w:t>
            </w:r>
          </w:p>
        </w:tc>
        <w:tc>
          <w:tcPr>
            <w:tcW w:w="276" w:type="pct"/>
            <w:tcBorders>
              <w:top w:val="single" w:sz="4" w:space="0" w:color="auto"/>
              <w:bottom w:val="single" w:sz="4" w:space="0" w:color="auto"/>
            </w:tcBorders>
            <w:shd w:val="clear" w:color="auto" w:fill="auto"/>
            <w:noWrap/>
            <w:vAlign w:val="center"/>
            <w:hideMark/>
          </w:tcPr>
          <w:p w14:paraId="209FF9C8" w14:textId="77777777"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1</w:t>
            </w:r>
          </w:p>
        </w:tc>
        <w:tc>
          <w:tcPr>
            <w:tcW w:w="276" w:type="pct"/>
            <w:tcBorders>
              <w:top w:val="single" w:sz="4" w:space="0" w:color="auto"/>
              <w:bottom w:val="single" w:sz="4" w:space="0" w:color="auto"/>
            </w:tcBorders>
            <w:shd w:val="clear" w:color="auto" w:fill="auto"/>
            <w:noWrap/>
            <w:vAlign w:val="center"/>
          </w:tcPr>
          <w:p w14:paraId="50B78DEF" w14:textId="39C55A3D"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2</w:t>
            </w:r>
          </w:p>
        </w:tc>
        <w:tc>
          <w:tcPr>
            <w:tcW w:w="276" w:type="pct"/>
            <w:tcBorders>
              <w:top w:val="single" w:sz="4" w:space="0" w:color="auto"/>
              <w:bottom w:val="single" w:sz="4" w:space="0" w:color="auto"/>
            </w:tcBorders>
            <w:shd w:val="clear" w:color="auto" w:fill="auto"/>
            <w:noWrap/>
            <w:vAlign w:val="center"/>
          </w:tcPr>
          <w:p w14:paraId="2CCCE95C" w14:textId="0260A81F"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3</w:t>
            </w:r>
          </w:p>
        </w:tc>
        <w:tc>
          <w:tcPr>
            <w:tcW w:w="276" w:type="pct"/>
            <w:tcBorders>
              <w:top w:val="single" w:sz="4" w:space="0" w:color="auto"/>
              <w:bottom w:val="single" w:sz="4" w:space="0" w:color="auto"/>
            </w:tcBorders>
            <w:shd w:val="clear" w:color="auto" w:fill="auto"/>
            <w:noWrap/>
            <w:vAlign w:val="center"/>
          </w:tcPr>
          <w:p w14:paraId="4C21389A" w14:textId="16C53514"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4</w:t>
            </w:r>
          </w:p>
        </w:tc>
        <w:tc>
          <w:tcPr>
            <w:tcW w:w="276" w:type="pct"/>
            <w:tcBorders>
              <w:top w:val="single" w:sz="4" w:space="0" w:color="auto"/>
              <w:bottom w:val="single" w:sz="4" w:space="0" w:color="auto"/>
            </w:tcBorders>
            <w:shd w:val="clear" w:color="auto" w:fill="auto"/>
            <w:noWrap/>
            <w:vAlign w:val="center"/>
          </w:tcPr>
          <w:p w14:paraId="31853F0B" w14:textId="47BF3784"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5</w:t>
            </w:r>
          </w:p>
        </w:tc>
        <w:tc>
          <w:tcPr>
            <w:tcW w:w="253" w:type="pct"/>
            <w:tcBorders>
              <w:top w:val="single" w:sz="4" w:space="0" w:color="auto"/>
              <w:bottom w:val="single" w:sz="4" w:space="0" w:color="auto"/>
            </w:tcBorders>
            <w:shd w:val="clear" w:color="auto" w:fill="auto"/>
            <w:noWrap/>
            <w:vAlign w:val="center"/>
          </w:tcPr>
          <w:p w14:paraId="5FD04D54" w14:textId="56A3552F"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6</w:t>
            </w:r>
          </w:p>
        </w:tc>
        <w:tc>
          <w:tcPr>
            <w:tcW w:w="276" w:type="pct"/>
            <w:tcBorders>
              <w:top w:val="single" w:sz="4" w:space="0" w:color="auto"/>
              <w:bottom w:val="single" w:sz="4" w:space="0" w:color="auto"/>
            </w:tcBorders>
            <w:shd w:val="clear" w:color="auto" w:fill="auto"/>
            <w:noWrap/>
            <w:vAlign w:val="center"/>
          </w:tcPr>
          <w:p w14:paraId="55338288" w14:textId="70A4611C"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7</w:t>
            </w:r>
          </w:p>
        </w:tc>
        <w:tc>
          <w:tcPr>
            <w:tcW w:w="276" w:type="pct"/>
            <w:tcBorders>
              <w:top w:val="single" w:sz="4" w:space="0" w:color="auto"/>
              <w:bottom w:val="single" w:sz="4" w:space="0" w:color="auto"/>
            </w:tcBorders>
            <w:shd w:val="clear" w:color="auto" w:fill="auto"/>
            <w:noWrap/>
            <w:vAlign w:val="center"/>
          </w:tcPr>
          <w:p w14:paraId="34236E47" w14:textId="295F6874"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8</w:t>
            </w:r>
          </w:p>
        </w:tc>
        <w:tc>
          <w:tcPr>
            <w:tcW w:w="276" w:type="pct"/>
            <w:tcBorders>
              <w:top w:val="single" w:sz="4" w:space="0" w:color="auto"/>
              <w:bottom w:val="single" w:sz="4" w:space="0" w:color="auto"/>
            </w:tcBorders>
            <w:shd w:val="clear" w:color="auto" w:fill="auto"/>
            <w:noWrap/>
            <w:vAlign w:val="center"/>
          </w:tcPr>
          <w:p w14:paraId="4E4A6F96" w14:textId="742516EC"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9</w:t>
            </w:r>
          </w:p>
        </w:tc>
        <w:tc>
          <w:tcPr>
            <w:tcW w:w="276" w:type="pct"/>
            <w:tcBorders>
              <w:top w:val="single" w:sz="4" w:space="0" w:color="auto"/>
              <w:bottom w:val="single" w:sz="4" w:space="0" w:color="auto"/>
            </w:tcBorders>
            <w:shd w:val="clear" w:color="auto" w:fill="auto"/>
            <w:noWrap/>
            <w:vAlign w:val="center"/>
          </w:tcPr>
          <w:p w14:paraId="18A7A682" w14:textId="26E40CD0"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10</w:t>
            </w:r>
          </w:p>
        </w:tc>
        <w:tc>
          <w:tcPr>
            <w:tcW w:w="275" w:type="pct"/>
            <w:tcBorders>
              <w:top w:val="single" w:sz="4" w:space="0" w:color="auto"/>
              <w:bottom w:val="single" w:sz="4" w:space="0" w:color="auto"/>
            </w:tcBorders>
            <w:shd w:val="clear" w:color="auto" w:fill="auto"/>
            <w:noWrap/>
            <w:vAlign w:val="center"/>
          </w:tcPr>
          <w:p w14:paraId="72AB9AF8" w14:textId="5C5CE29D"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11</w:t>
            </w:r>
          </w:p>
        </w:tc>
        <w:tc>
          <w:tcPr>
            <w:tcW w:w="275" w:type="pct"/>
            <w:tcBorders>
              <w:top w:val="single" w:sz="4" w:space="0" w:color="auto"/>
              <w:bottom w:val="single" w:sz="4" w:space="0" w:color="auto"/>
            </w:tcBorders>
            <w:shd w:val="clear" w:color="auto" w:fill="auto"/>
            <w:noWrap/>
            <w:vAlign w:val="center"/>
          </w:tcPr>
          <w:p w14:paraId="3C6522D1" w14:textId="17B9A385"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12</w:t>
            </w:r>
          </w:p>
        </w:tc>
        <w:tc>
          <w:tcPr>
            <w:tcW w:w="252" w:type="pct"/>
            <w:tcBorders>
              <w:top w:val="single" w:sz="4" w:space="0" w:color="auto"/>
              <w:bottom w:val="single" w:sz="4" w:space="0" w:color="auto"/>
            </w:tcBorders>
            <w:shd w:val="clear" w:color="auto" w:fill="auto"/>
            <w:noWrap/>
            <w:vAlign w:val="center"/>
          </w:tcPr>
          <w:p w14:paraId="0EF5762F" w14:textId="18237F82"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13</w:t>
            </w:r>
          </w:p>
        </w:tc>
        <w:tc>
          <w:tcPr>
            <w:tcW w:w="252" w:type="pct"/>
            <w:tcBorders>
              <w:top w:val="single" w:sz="4" w:space="0" w:color="auto"/>
              <w:bottom w:val="single" w:sz="4" w:space="0" w:color="auto"/>
            </w:tcBorders>
            <w:shd w:val="clear" w:color="auto" w:fill="auto"/>
            <w:noWrap/>
            <w:vAlign w:val="center"/>
          </w:tcPr>
          <w:p w14:paraId="79C39CC6" w14:textId="286A9FC0" w:rsidR="00D56016" w:rsidRPr="001E47AD" w:rsidRDefault="00D56016" w:rsidP="00CB702A">
            <w:pPr>
              <w:spacing w:line="276" w:lineRule="auto"/>
              <w:contextualSpacing/>
              <w:jc w:val="center"/>
              <w:rPr>
                <w:rFonts w:eastAsia="Times New Roman"/>
                <w:spacing w:val="-4"/>
                <w:sz w:val="16"/>
                <w:szCs w:val="16"/>
              </w:rPr>
            </w:pPr>
            <w:r w:rsidRPr="001E47AD">
              <w:rPr>
                <w:rFonts w:eastAsia="Times New Roman"/>
                <w:spacing w:val="-4"/>
                <w:sz w:val="16"/>
                <w:szCs w:val="16"/>
              </w:rPr>
              <w:t>14</w:t>
            </w:r>
          </w:p>
        </w:tc>
      </w:tr>
      <w:tr w:rsidR="00D56016" w:rsidRPr="001E47AD" w14:paraId="3654B8D8" w14:textId="77777777" w:rsidTr="00DA6B18">
        <w:trPr>
          <w:trHeight w:val="300"/>
        </w:trPr>
        <w:tc>
          <w:tcPr>
            <w:tcW w:w="268" w:type="pct"/>
            <w:tcBorders>
              <w:top w:val="single" w:sz="4" w:space="0" w:color="auto"/>
              <w:bottom w:val="nil"/>
              <w:right w:val="nil"/>
            </w:tcBorders>
            <w:shd w:val="clear" w:color="auto" w:fill="auto"/>
            <w:noWrap/>
            <w:vAlign w:val="center"/>
          </w:tcPr>
          <w:p w14:paraId="3404CE54" w14:textId="77777777"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1</w:t>
            </w:r>
          </w:p>
        </w:tc>
        <w:tc>
          <w:tcPr>
            <w:tcW w:w="941" w:type="pct"/>
            <w:tcBorders>
              <w:top w:val="single" w:sz="4" w:space="0" w:color="auto"/>
              <w:left w:val="nil"/>
              <w:bottom w:val="nil"/>
              <w:right w:val="nil"/>
            </w:tcBorders>
            <w:shd w:val="clear" w:color="auto" w:fill="auto"/>
            <w:noWrap/>
            <w:vAlign w:val="center"/>
            <w:hideMark/>
          </w:tcPr>
          <w:p w14:paraId="376C42D5"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STOCK_PROP_EARLY</m:t>
                </m:r>
              </m:oMath>
            </m:oMathPara>
          </w:p>
        </w:tc>
        <w:tc>
          <w:tcPr>
            <w:tcW w:w="276" w:type="pct"/>
            <w:tcBorders>
              <w:top w:val="single" w:sz="4" w:space="0" w:color="auto"/>
              <w:left w:val="nil"/>
              <w:bottom w:val="nil"/>
              <w:right w:val="nil"/>
            </w:tcBorders>
            <w:shd w:val="clear" w:color="auto" w:fill="auto"/>
            <w:noWrap/>
            <w:vAlign w:val="bottom"/>
          </w:tcPr>
          <w:p w14:paraId="4F4CC8CF"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single" w:sz="4" w:space="0" w:color="auto"/>
              <w:left w:val="nil"/>
              <w:bottom w:val="nil"/>
              <w:right w:val="nil"/>
            </w:tcBorders>
            <w:shd w:val="clear" w:color="auto" w:fill="auto"/>
            <w:noWrap/>
            <w:vAlign w:val="bottom"/>
          </w:tcPr>
          <w:p w14:paraId="283FF9D9"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single" w:sz="4" w:space="0" w:color="auto"/>
              <w:left w:val="nil"/>
              <w:bottom w:val="nil"/>
              <w:right w:val="nil"/>
            </w:tcBorders>
            <w:shd w:val="clear" w:color="auto" w:fill="auto"/>
            <w:noWrap/>
            <w:vAlign w:val="bottom"/>
          </w:tcPr>
          <w:p w14:paraId="3960D1A6"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single" w:sz="4" w:space="0" w:color="auto"/>
              <w:left w:val="nil"/>
              <w:bottom w:val="nil"/>
              <w:right w:val="nil"/>
            </w:tcBorders>
            <w:shd w:val="clear" w:color="auto" w:fill="auto"/>
            <w:noWrap/>
            <w:vAlign w:val="bottom"/>
          </w:tcPr>
          <w:p w14:paraId="5257A2A6"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single" w:sz="4" w:space="0" w:color="auto"/>
              <w:left w:val="nil"/>
              <w:bottom w:val="nil"/>
              <w:right w:val="nil"/>
            </w:tcBorders>
            <w:shd w:val="clear" w:color="auto" w:fill="auto"/>
            <w:noWrap/>
            <w:vAlign w:val="bottom"/>
          </w:tcPr>
          <w:p w14:paraId="07078FE0" w14:textId="77777777" w:rsidR="00D56016" w:rsidRPr="001E47AD" w:rsidRDefault="00D56016" w:rsidP="00CB702A">
            <w:pPr>
              <w:spacing w:line="276" w:lineRule="auto"/>
              <w:contextualSpacing/>
              <w:jc w:val="right"/>
              <w:rPr>
                <w:rFonts w:eastAsia="Times New Roman"/>
                <w:spacing w:val="-4"/>
                <w:sz w:val="16"/>
                <w:szCs w:val="16"/>
              </w:rPr>
            </w:pPr>
          </w:p>
        </w:tc>
        <w:tc>
          <w:tcPr>
            <w:tcW w:w="253" w:type="pct"/>
            <w:tcBorders>
              <w:top w:val="single" w:sz="4" w:space="0" w:color="auto"/>
              <w:left w:val="nil"/>
              <w:bottom w:val="nil"/>
              <w:right w:val="nil"/>
            </w:tcBorders>
            <w:shd w:val="clear" w:color="auto" w:fill="auto"/>
            <w:noWrap/>
            <w:vAlign w:val="bottom"/>
          </w:tcPr>
          <w:p w14:paraId="4827487C"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single" w:sz="4" w:space="0" w:color="auto"/>
              <w:left w:val="nil"/>
              <w:bottom w:val="nil"/>
              <w:right w:val="nil"/>
            </w:tcBorders>
            <w:shd w:val="clear" w:color="auto" w:fill="auto"/>
            <w:noWrap/>
            <w:vAlign w:val="bottom"/>
          </w:tcPr>
          <w:p w14:paraId="26149B29"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single" w:sz="4" w:space="0" w:color="auto"/>
              <w:left w:val="nil"/>
              <w:bottom w:val="nil"/>
              <w:right w:val="nil"/>
            </w:tcBorders>
            <w:shd w:val="clear" w:color="auto" w:fill="auto"/>
            <w:noWrap/>
            <w:vAlign w:val="bottom"/>
          </w:tcPr>
          <w:p w14:paraId="7F912CC3"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single" w:sz="4" w:space="0" w:color="auto"/>
              <w:left w:val="nil"/>
              <w:bottom w:val="nil"/>
              <w:right w:val="nil"/>
            </w:tcBorders>
            <w:shd w:val="clear" w:color="auto" w:fill="auto"/>
            <w:noWrap/>
            <w:vAlign w:val="bottom"/>
          </w:tcPr>
          <w:p w14:paraId="7F6F2FDE"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single" w:sz="4" w:space="0" w:color="auto"/>
              <w:left w:val="nil"/>
              <w:bottom w:val="nil"/>
              <w:right w:val="nil"/>
            </w:tcBorders>
            <w:shd w:val="clear" w:color="auto" w:fill="auto"/>
            <w:noWrap/>
            <w:vAlign w:val="bottom"/>
          </w:tcPr>
          <w:p w14:paraId="678C61BD"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single" w:sz="4" w:space="0" w:color="auto"/>
              <w:left w:val="nil"/>
              <w:bottom w:val="nil"/>
              <w:right w:val="nil"/>
            </w:tcBorders>
            <w:shd w:val="clear" w:color="auto" w:fill="auto"/>
            <w:noWrap/>
            <w:vAlign w:val="bottom"/>
          </w:tcPr>
          <w:p w14:paraId="0F8E86E0"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single" w:sz="4" w:space="0" w:color="auto"/>
              <w:left w:val="nil"/>
              <w:bottom w:val="nil"/>
              <w:right w:val="nil"/>
            </w:tcBorders>
            <w:shd w:val="clear" w:color="auto" w:fill="auto"/>
            <w:noWrap/>
            <w:vAlign w:val="bottom"/>
          </w:tcPr>
          <w:p w14:paraId="69D8F279"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single" w:sz="4" w:space="0" w:color="auto"/>
              <w:left w:val="nil"/>
              <w:bottom w:val="nil"/>
              <w:right w:val="nil"/>
            </w:tcBorders>
            <w:shd w:val="clear" w:color="auto" w:fill="auto"/>
            <w:noWrap/>
            <w:vAlign w:val="bottom"/>
          </w:tcPr>
          <w:p w14:paraId="42DB0784"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single" w:sz="4" w:space="0" w:color="auto"/>
              <w:left w:val="nil"/>
              <w:bottom w:val="nil"/>
              <w:right w:val="nil"/>
            </w:tcBorders>
            <w:shd w:val="clear" w:color="auto" w:fill="auto"/>
            <w:noWrap/>
            <w:vAlign w:val="bottom"/>
          </w:tcPr>
          <w:p w14:paraId="67BC1A95"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08025CFA" w14:textId="77777777" w:rsidTr="00DA6B18">
        <w:trPr>
          <w:trHeight w:val="300"/>
        </w:trPr>
        <w:tc>
          <w:tcPr>
            <w:tcW w:w="268" w:type="pct"/>
            <w:tcBorders>
              <w:top w:val="nil"/>
              <w:bottom w:val="nil"/>
              <w:right w:val="nil"/>
            </w:tcBorders>
            <w:shd w:val="clear" w:color="auto" w:fill="auto"/>
            <w:noWrap/>
            <w:vAlign w:val="center"/>
          </w:tcPr>
          <w:p w14:paraId="28D9D28C" w14:textId="6DC6DC53" w:rsidR="00D56016" w:rsidRPr="001E47AD" w:rsidRDefault="00D56016" w:rsidP="00CB702A">
            <w:pPr>
              <w:spacing w:line="276" w:lineRule="auto"/>
              <w:ind w:right="320"/>
              <w:rPr>
                <w:rFonts w:eastAsia="Times New Roman"/>
                <w:spacing w:val="-4"/>
                <w:sz w:val="16"/>
                <w:szCs w:val="16"/>
              </w:rPr>
            </w:pPr>
            <w:r w:rsidRPr="001E47AD">
              <w:rPr>
                <w:rFonts w:eastAsia="Times New Roman"/>
                <w:spacing w:val="-4"/>
                <w:sz w:val="16"/>
                <w:szCs w:val="16"/>
              </w:rPr>
              <w:t>2</w:t>
            </w:r>
          </w:p>
        </w:tc>
        <w:tc>
          <w:tcPr>
            <w:tcW w:w="941" w:type="pct"/>
            <w:tcBorders>
              <w:top w:val="nil"/>
              <w:left w:val="nil"/>
              <w:bottom w:val="nil"/>
              <w:right w:val="nil"/>
            </w:tcBorders>
            <w:shd w:val="clear" w:color="auto" w:fill="auto"/>
            <w:noWrap/>
            <w:vAlign w:val="center"/>
          </w:tcPr>
          <w:p w14:paraId="476F14E2"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PROD_AVAIL_LATE</m:t>
                </m:r>
              </m:oMath>
            </m:oMathPara>
          </w:p>
        </w:tc>
        <w:tc>
          <w:tcPr>
            <w:tcW w:w="276" w:type="pct"/>
            <w:tcBorders>
              <w:top w:val="nil"/>
              <w:left w:val="nil"/>
              <w:bottom w:val="nil"/>
              <w:right w:val="nil"/>
            </w:tcBorders>
            <w:shd w:val="clear" w:color="auto" w:fill="auto"/>
            <w:noWrap/>
            <w:vAlign w:val="bottom"/>
          </w:tcPr>
          <w:p w14:paraId="0B80FBA5" w14:textId="77777777" w:rsidR="00D56016" w:rsidRPr="001E47AD" w:rsidRDefault="00D56016" w:rsidP="00CB702A">
            <w:pPr>
              <w:spacing w:line="276" w:lineRule="auto"/>
              <w:contextualSpacing/>
              <w:jc w:val="right"/>
              <w:rPr>
                <w:spacing w:val="-4"/>
                <w:sz w:val="16"/>
                <w:szCs w:val="16"/>
              </w:rPr>
            </w:pPr>
            <w:r w:rsidRPr="001E47AD">
              <w:rPr>
                <w:sz w:val="16"/>
                <w:szCs w:val="16"/>
              </w:rPr>
              <w:t>-0.148</w:t>
            </w:r>
          </w:p>
        </w:tc>
        <w:tc>
          <w:tcPr>
            <w:tcW w:w="276" w:type="pct"/>
            <w:tcBorders>
              <w:top w:val="nil"/>
              <w:left w:val="nil"/>
              <w:bottom w:val="nil"/>
              <w:right w:val="nil"/>
            </w:tcBorders>
            <w:shd w:val="clear" w:color="auto" w:fill="auto"/>
            <w:noWrap/>
            <w:vAlign w:val="bottom"/>
          </w:tcPr>
          <w:p w14:paraId="0CD0A28A"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nil"/>
              <w:left w:val="nil"/>
              <w:bottom w:val="nil"/>
              <w:right w:val="nil"/>
            </w:tcBorders>
            <w:shd w:val="clear" w:color="auto" w:fill="auto"/>
            <w:noWrap/>
            <w:vAlign w:val="bottom"/>
          </w:tcPr>
          <w:p w14:paraId="3AF82E92"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5E1F77D8"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78458D61" w14:textId="77777777" w:rsidR="00D56016" w:rsidRPr="001E47AD" w:rsidRDefault="00D56016" w:rsidP="00CB702A">
            <w:pPr>
              <w:spacing w:line="276" w:lineRule="auto"/>
              <w:contextualSpacing/>
              <w:jc w:val="right"/>
              <w:rPr>
                <w:rFonts w:eastAsia="Times New Roman"/>
                <w:spacing w:val="-4"/>
                <w:sz w:val="16"/>
                <w:szCs w:val="16"/>
              </w:rPr>
            </w:pPr>
          </w:p>
        </w:tc>
        <w:tc>
          <w:tcPr>
            <w:tcW w:w="253" w:type="pct"/>
            <w:tcBorders>
              <w:top w:val="nil"/>
              <w:left w:val="nil"/>
              <w:bottom w:val="nil"/>
              <w:right w:val="nil"/>
            </w:tcBorders>
            <w:shd w:val="clear" w:color="auto" w:fill="auto"/>
            <w:noWrap/>
            <w:vAlign w:val="bottom"/>
          </w:tcPr>
          <w:p w14:paraId="1F4DC25E"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05265B01"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2B7DFA73"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1AFDD363"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16A34CFE"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11CD5F74"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0ED39AF1"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66EBD30F"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000CD98B"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3D0B4D37" w14:textId="77777777" w:rsidTr="00DA6B18">
        <w:trPr>
          <w:trHeight w:val="300"/>
        </w:trPr>
        <w:tc>
          <w:tcPr>
            <w:tcW w:w="268" w:type="pct"/>
            <w:tcBorders>
              <w:top w:val="nil"/>
              <w:bottom w:val="nil"/>
              <w:right w:val="nil"/>
            </w:tcBorders>
            <w:shd w:val="clear" w:color="auto" w:fill="auto"/>
            <w:noWrap/>
            <w:vAlign w:val="center"/>
          </w:tcPr>
          <w:p w14:paraId="5DB58E21" w14:textId="12183F33"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3</w:t>
            </w:r>
          </w:p>
        </w:tc>
        <w:tc>
          <w:tcPr>
            <w:tcW w:w="941" w:type="pct"/>
            <w:tcBorders>
              <w:top w:val="nil"/>
              <w:left w:val="nil"/>
              <w:bottom w:val="nil"/>
              <w:right w:val="nil"/>
            </w:tcBorders>
            <w:shd w:val="clear" w:color="auto" w:fill="auto"/>
            <w:noWrap/>
            <w:vAlign w:val="center"/>
          </w:tcPr>
          <w:p w14:paraId="191A6F09"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PROD_AVAIL_POST_W1</m:t>
                </m:r>
              </m:oMath>
            </m:oMathPara>
          </w:p>
        </w:tc>
        <w:tc>
          <w:tcPr>
            <w:tcW w:w="276" w:type="pct"/>
            <w:tcBorders>
              <w:top w:val="nil"/>
              <w:left w:val="nil"/>
              <w:bottom w:val="nil"/>
              <w:right w:val="nil"/>
            </w:tcBorders>
            <w:shd w:val="clear" w:color="auto" w:fill="auto"/>
            <w:noWrap/>
            <w:vAlign w:val="bottom"/>
          </w:tcPr>
          <w:p w14:paraId="262274E0" w14:textId="77777777" w:rsidR="00D56016" w:rsidRPr="001E47AD" w:rsidRDefault="00D56016" w:rsidP="00CB702A">
            <w:pPr>
              <w:spacing w:line="276" w:lineRule="auto"/>
              <w:contextualSpacing/>
              <w:jc w:val="right"/>
              <w:rPr>
                <w:spacing w:val="-4"/>
                <w:sz w:val="16"/>
                <w:szCs w:val="16"/>
              </w:rPr>
            </w:pPr>
            <w:r w:rsidRPr="001E47AD">
              <w:rPr>
                <w:sz w:val="16"/>
                <w:szCs w:val="16"/>
              </w:rPr>
              <w:t>-0.162</w:t>
            </w:r>
          </w:p>
        </w:tc>
        <w:tc>
          <w:tcPr>
            <w:tcW w:w="276" w:type="pct"/>
            <w:tcBorders>
              <w:top w:val="nil"/>
              <w:left w:val="nil"/>
              <w:bottom w:val="nil"/>
              <w:right w:val="nil"/>
            </w:tcBorders>
            <w:shd w:val="clear" w:color="auto" w:fill="auto"/>
            <w:noWrap/>
            <w:vAlign w:val="bottom"/>
          </w:tcPr>
          <w:p w14:paraId="4B936201"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0.306</w:t>
            </w:r>
          </w:p>
        </w:tc>
        <w:tc>
          <w:tcPr>
            <w:tcW w:w="276" w:type="pct"/>
            <w:tcBorders>
              <w:top w:val="nil"/>
              <w:left w:val="nil"/>
              <w:bottom w:val="nil"/>
              <w:right w:val="nil"/>
            </w:tcBorders>
            <w:shd w:val="clear" w:color="auto" w:fill="auto"/>
            <w:noWrap/>
            <w:vAlign w:val="bottom"/>
          </w:tcPr>
          <w:p w14:paraId="7023AB82"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nil"/>
              <w:left w:val="nil"/>
              <w:bottom w:val="nil"/>
              <w:right w:val="nil"/>
            </w:tcBorders>
            <w:shd w:val="clear" w:color="auto" w:fill="auto"/>
            <w:noWrap/>
            <w:vAlign w:val="bottom"/>
          </w:tcPr>
          <w:p w14:paraId="237790B1"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3CF69085" w14:textId="77777777" w:rsidR="00D56016" w:rsidRPr="001E47AD" w:rsidRDefault="00D56016" w:rsidP="00CB702A">
            <w:pPr>
              <w:spacing w:line="276" w:lineRule="auto"/>
              <w:contextualSpacing/>
              <w:jc w:val="right"/>
              <w:rPr>
                <w:rFonts w:eastAsia="Times New Roman"/>
                <w:spacing w:val="-4"/>
                <w:sz w:val="16"/>
                <w:szCs w:val="16"/>
              </w:rPr>
            </w:pPr>
          </w:p>
        </w:tc>
        <w:tc>
          <w:tcPr>
            <w:tcW w:w="253" w:type="pct"/>
            <w:tcBorders>
              <w:top w:val="nil"/>
              <w:left w:val="nil"/>
              <w:bottom w:val="nil"/>
              <w:right w:val="nil"/>
            </w:tcBorders>
            <w:shd w:val="clear" w:color="auto" w:fill="auto"/>
            <w:noWrap/>
            <w:vAlign w:val="bottom"/>
          </w:tcPr>
          <w:p w14:paraId="5A131D53"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2A58DF48"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2E7A96BD"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2FF59260"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7AFD2BD0"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5D86BA94"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14B0AEE3"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5931FC40"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6DA70F85"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416110A3" w14:textId="77777777" w:rsidTr="00DA6B18">
        <w:trPr>
          <w:trHeight w:val="300"/>
        </w:trPr>
        <w:tc>
          <w:tcPr>
            <w:tcW w:w="268" w:type="pct"/>
            <w:tcBorders>
              <w:top w:val="nil"/>
              <w:bottom w:val="nil"/>
              <w:right w:val="nil"/>
            </w:tcBorders>
            <w:shd w:val="clear" w:color="auto" w:fill="auto"/>
            <w:noWrap/>
            <w:vAlign w:val="center"/>
          </w:tcPr>
          <w:p w14:paraId="759E0008" w14:textId="1377C241"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4</w:t>
            </w:r>
          </w:p>
        </w:tc>
        <w:tc>
          <w:tcPr>
            <w:tcW w:w="941" w:type="pct"/>
            <w:tcBorders>
              <w:top w:val="nil"/>
              <w:left w:val="nil"/>
              <w:bottom w:val="nil"/>
              <w:right w:val="nil"/>
            </w:tcBorders>
            <w:shd w:val="clear" w:color="auto" w:fill="auto"/>
            <w:noWrap/>
            <w:vAlign w:val="center"/>
          </w:tcPr>
          <w:p w14:paraId="497436EE"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PROD_AVAIL_POST_W2</m:t>
                </m:r>
              </m:oMath>
            </m:oMathPara>
          </w:p>
        </w:tc>
        <w:tc>
          <w:tcPr>
            <w:tcW w:w="276" w:type="pct"/>
            <w:tcBorders>
              <w:top w:val="nil"/>
              <w:left w:val="nil"/>
              <w:bottom w:val="nil"/>
              <w:right w:val="nil"/>
            </w:tcBorders>
            <w:shd w:val="clear" w:color="auto" w:fill="auto"/>
            <w:noWrap/>
            <w:vAlign w:val="bottom"/>
          </w:tcPr>
          <w:p w14:paraId="0A6C246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-0.080</w:t>
            </w:r>
          </w:p>
        </w:tc>
        <w:tc>
          <w:tcPr>
            <w:tcW w:w="276" w:type="pct"/>
            <w:tcBorders>
              <w:top w:val="nil"/>
              <w:left w:val="nil"/>
              <w:bottom w:val="nil"/>
              <w:right w:val="nil"/>
            </w:tcBorders>
            <w:shd w:val="clear" w:color="auto" w:fill="auto"/>
            <w:noWrap/>
            <w:vAlign w:val="bottom"/>
          </w:tcPr>
          <w:p w14:paraId="0234E946"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0.278</w:t>
            </w:r>
          </w:p>
        </w:tc>
        <w:tc>
          <w:tcPr>
            <w:tcW w:w="276" w:type="pct"/>
            <w:tcBorders>
              <w:top w:val="nil"/>
              <w:left w:val="nil"/>
              <w:bottom w:val="nil"/>
              <w:right w:val="nil"/>
            </w:tcBorders>
            <w:shd w:val="clear" w:color="auto" w:fill="auto"/>
            <w:noWrap/>
            <w:vAlign w:val="bottom"/>
          </w:tcPr>
          <w:p w14:paraId="42E5D4DB"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0.427</w:t>
            </w:r>
          </w:p>
        </w:tc>
        <w:tc>
          <w:tcPr>
            <w:tcW w:w="276" w:type="pct"/>
            <w:tcBorders>
              <w:top w:val="nil"/>
              <w:left w:val="nil"/>
              <w:bottom w:val="nil"/>
              <w:right w:val="nil"/>
            </w:tcBorders>
            <w:shd w:val="clear" w:color="auto" w:fill="auto"/>
            <w:noWrap/>
            <w:vAlign w:val="bottom"/>
          </w:tcPr>
          <w:p w14:paraId="0623B8C5"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nil"/>
              <w:left w:val="nil"/>
              <w:bottom w:val="nil"/>
              <w:right w:val="nil"/>
            </w:tcBorders>
            <w:shd w:val="clear" w:color="auto" w:fill="auto"/>
            <w:noWrap/>
            <w:vAlign w:val="bottom"/>
          </w:tcPr>
          <w:p w14:paraId="23741491" w14:textId="77777777" w:rsidR="00D56016" w:rsidRPr="001E47AD" w:rsidRDefault="00D56016" w:rsidP="00CB702A">
            <w:pPr>
              <w:spacing w:line="276" w:lineRule="auto"/>
              <w:contextualSpacing/>
              <w:jc w:val="right"/>
              <w:rPr>
                <w:rFonts w:eastAsia="Times New Roman"/>
                <w:spacing w:val="-4"/>
                <w:sz w:val="16"/>
                <w:szCs w:val="16"/>
              </w:rPr>
            </w:pPr>
          </w:p>
        </w:tc>
        <w:tc>
          <w:tcPr>
            <w:tcW w:w="253" w:type="pct"/>
            <w:tcBorders>
              <w:top w:val="nil"/>
              <w:left w:val="nil"/>
              <w:bottom w:val="nil"/>
              <w:right w:val="nil"/>
            </w:tcBorders>
            <w:shd w:val="clear" w:color="auto" w:fill="auto"/>
            <w:noWrap/>
            <w:vAlign w:val="bottom"/>
          </w:tcPr>
          <w:p w14:paraId="3745BE97"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09AD7E60"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5FD5E258"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2B593006"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179418CB"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2787E995"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2418B7B2"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634BF4D7"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73FCB963"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070484BA" w14:textId="77777777" w:rsidTr="00DA6B18">
        <w:trPr>
          <w:trHeight w:val="300"/>
        </w:trPr>
        <w:tc>
          <w:tcPr>
            <w:tcW w:w="268" w:type="pct"/>
            <w:tcBorders>
              <w:top w:val="nil"/>
              <w:bottom w:val="nil"/>
              <w:right w:val="nil"/>
            </w:tcBorders>
            <w:shd w:val="clear" w:color="auto" w:fill="auto"/>
            <w:noWrap/>
            <w:vAlign w:val="center"/>
          </w:tcPr>
          <w:p w14:paraId="43C818DA" w14:textId="3852C21F" w:rsidR="00D56016" w:rsidRPr="001E47AD" w:rsidRDefault="00D56016" w:rsidP="00CB702A">
            <w:pPr>
              <w:spacing w:line="276" w:lineRule="auto"/>
              <w:rPr>
                <w:rFonts w:eastAsia="Times New Roman"/>
                <w:spacing w:val="-4"/>
                <w:sz w:val="16"/>
                <w:szCs w:val="16"/>
              </w:rPr>
            </w:pPr>
            <w:r w:rsidRPr="001E47AD">
              <w:rPr>
                <w:rFonts w:eastAsia="Times New Roman"/>
                <w:spacing w:val="-4"/>
                <w:sz w:val="16"/>
                <w:szCs w:val="16"/>
              </w:rPr>
              <w:t>5</w:t>
            </w:r>
          </w:p>
        </w:tc>
        <w:tc>
          <w:tcPr>
            <w:tcW w:w="941" w:type="pct"/>
            <w:tcBorders>
              <w:top w:val="nil"/>
              <w:left w:val="nil"/>
              <w:bottom w:val="nil"/>
              <w:right w:val="nil"/>
            </w:tcBorders>
            <w:shd w:val="clear" w:color="auto" w:fill="auto"/>
            <w:noWrap/>
            <w:vAlign w:val="center"/>
          </w:tcPr>
          <w:p w14:paraId="6E6E42A7"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PROD_AVAIL_POST_W3</m:t>
                </m:r>
              </m:oMath>
            </m:oMathPara>
          </w:p>
        </w:tc>
        <w:tc>
          <w:tcPr>
            <w:tcW w:w="276" w:type="pct"/>
            <w:tcBorders>
              <w:top w:val="nil"/>
              <w:left w:val="nil"/>
              <w:bottom w:val="nil"/>
              <w:right w:val="nil"/>
            </w:tcBorders>
            <w:shd w:val="clear" w:color="auto" w:fill="auto"/>
            <w:noWrap/>
            <w:vAlign w:val="bottom"/>
          </w:tcPr>
          <w:p w14:paraId="16FFEA3F"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-0.044</w:t>
            </w:r>
          </w:p>
        </w:tc>
        <w:tc>
          <w:tcPr>
            <w:tcW w:w="276" w:type="pct"/>
            <w:tcBorders>
              <w:top w:val="nil"/>
              <w:left w:val="nil"/>
              <w:bottom w:val="nil"/>
              <w:right w:val="nil"/>
            </w:tcBorders>
            <w:shd w:val="clear" w:color="auto" w:fill="auto"/>
            <w:noWrap/>
            <w:vAlign w:val="bottom"/>
          </w:tcPr>
          <w:p w14:paraId="4FCCD3DA"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0.249</w:t>
            </w:r>
          </w:p>
        </w:tc>
        <w:tc>
          <w:tcPr>
            <w:tcW w:w="276" w:type="pct"/>
            <w:tcBorders>
              <w:top w:val="nil"/>
              <w:left w:val="nil"/>
              <w:bottom w:val="nil"/>
              <w:right w:val="nil"/>
            </w:tcBorders>
            <w:shd w:val="clear" w:color="auto" w:fill="auto"/>
            <w:noWrap/>
            <w:vAlign w:val="bottom"/>
          </w:tcPr>
          <w:p w14:paraId="7FE8449B"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0.370</w:t>
            </w:r>
          </w:p>
        </w:tc>
        <w:tc>
          <w:tcPr>
            <w:tcW w:w="276" w:type="pct"/>
            <w:tcBorders>
              <w:top w:val="nil"/>
              <w:left w:val="nil"/>
              <w:bottom w:val="nil"/>
              <w:right w:val="nil"/>
            </w:tcBorders>
            <w:shd w:val="clear" w:color="auto" w:fill="auto"/>
            <w:noWrap/>
            <w:vAlign w:val="bottom"/>
          </w:tcPr>
          <w:p w14:paraId="0C9CFC8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0.446</w:t>
            </w:r>
          </w:p>
        </w:tc>
        <w:tc>
          <w:tcPr>
            <w:tcW w:w="276" w:type="pct"/>
            <w:tcBorders>
              <w:top w:val="nil"/>
              <w:left w:val="nil"/>
              <w:bottom w:val="nil"/>
              <w:right w:val="nil"/>
            </w:tcBorders>
            <w:shd w:val="clear" w:color="auto" w:fill="auto"/>
            <w:noWrap/>
            <w:vAlign w:val="bottom"/>
          </w:tcPr>
          <w:p w14:paraId="7D907139"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53" w:type="pct"/>
            <w:tcBorders>
              <w:top w:val="nil"/>
              <w:left w:val="nil"/>
              <w:bottom w:val="nil"/>
              <w:right w:val="nil"/>
            </w:tcBorders>
            <w:shd w:val="clear" w:color="auto" w:fill="auto"/>
            <w:noWrap/>
            <w:vAlign w:val="bottom"/>
          </w:tcPr>
          <w:p w14:paraId="2954A207"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2ED8A602"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48656ECC"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76585A4D"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368D4624"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64C8AAD1"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014E08AB"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29AF3B73"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42886E84"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402F424B" w14:textId="77777777" w:rsidTr="00DA6B18">
        <w:trPr>
          <w:trHeight w:val="300"/>
        </w:trPr>
        <w:tc>
          <w:tcPr>
            <w:tcW w:w="268" w:type="pct"/>
            <w:tcBorders>
              <w:top w:val="nil"/>
              <w:bottom w:val="nil"/>
              <w:right w:val="nil"/>
            </w:tcBorders>
            <w:shd w:val="clear" w:color="auto" w:fill="auto"/>
            <w:noWrap/>
            <w:vAlign w:val="center"/>
          </w:tcPr>
          <w:p w14:paraId="5364895E" w14:textId="1AD8DC58"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6</w:t>
            </w:r>
          </w:p>
        </w:tc>
        <w:tc>
          <w:tcPr>
            <w:tcW w:w="941" w:type="pct"/>
            <w:tcBorders>
              <w:top w:val="nil"/>
              <w:left w:val="nil"/>
              <w:bottom w:val="nil"/>
              <w:right w:val="nil"/>
            </w:tcBorders>
            <w:shd w:val="clear" w:color="auto" w:fill="auto"/>
            <w:noWrap/>
            <w:vAlign w:val="center"/>
          </w:tcPr>
          <w:p w14:paraId="52F6C505"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PROD_AVAIL_POST_W4</m:t>
                </m:r>
              </m:oMath>
            </m:oMathPara>
          </w:p>
        </w:tc>
        <w:tc>
          <w:tcPr>
            <w:tcW w:w="276" w:type="pct"/>
            <w:tcBorders>
              <w:top w:val="nil"/>
              <w:left w:val="nil"/>
              <w:bottom w:val="nil"/>
              <w:right w:val="nil"/>
            </w:tcBorders>
            <w:shd w:val="clear" w:color="auto" w:fill="auto"/>
            <w:noWrap/>
            <w:vAlign w:val="bottom"/>
          </w:tcPr>
          <w:p w14:paraId="5FF143E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0.018</w:t>
            </w:r>
          </w:p>
        </w:tc>
        <w:tc>
          <w:tcPr>
            <w:tcW w:w="276" w:type="pct"/>
            <w:tcBorders>
              <w:top w:val="nil"/>
              <w:left w:val="nil"/>
              <w:bottom w:val="nil"/>
              <w:right w:val="nil"/>
            </w:tcBorders>
            <w:shd w:val="clear" w:color="auto" w:fill="auto"/>
            <w:noWrap/>
            <w:vAlign w:val="bottom"/>
          </w:tcPr>
          <w:p w14:paraId="7CB677E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0.242</w:t>
            </w:r>
          </w:p>
        </w:tc>
        <w:tc>
          <w:tcPr>
            <w:tcW w:w="276" w:type="pct"/>
            <w:tcBorders>
              <w:top w:val="nil"/>
              <w:left w:val="nil"/>
              <w:bottom w:val="nil"/>
              <w:right w:val="nil"/>
            </w:tcBorders>
            <w:shd w:val="clear" w:color="auto" w:fill="auto"/>
            <w:noWrap/>
            <w:vAlign w:val="bottom"/>
          </w:tcPr>
          <w:p w14:paraId="7F23E536"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0.337</w:t>
            </w:r>
          </w:p>
        </w:tc>
        <w:tc>
          <w:tcPr>
            <w:tcW w:w="276" w:type="pct"/>
            <w:tcBorders>
              <w:top w:val="nil"/>
              <w:left w:val="nil"/>
              <w:bottom w:val="nil"/>
              <w:right w:val="nil"/>
            </w:tcBorders>
            <w:shd w:val="clear" w:color="auto" w:fill="auto"/>
            <w:noWrap/>
            <w:vAlign w:val="bottom"/>
          </w:tcPr>
          <w:p w14:paraId="1F1D3D4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0.404</w:t>
            </w:r>
          </w:p>
        </w:tc>
        <w:tc>
          <w:tcPr>
            <w:tcW w:w="276" w:type="pct"/>
            <w:tcBorders>
              <w:top w:val="nil"/>
              <w:left w:val="nil"/>
              <w:bottom w:val="nil"/>
              <w:right w:val="nil"/>
            </w:tcBorders>
            <w:shd w:val="clear" w:color="auto" w:fill="auto"/>
            <w:noWrap/>
            <w:vAlign w:val="bottom"/>
          </w:tcPr>
          <w:p w14:paraId="3FC4C5F4"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0.455</w:t>
            </w:r>
          </w:p>
        </w:tc>
        <w:tc>
          <w:tcPr>
            <w:tcW w:w="253" w:type="pct"/>
            <w:tcBorders>
              <w:top w:val="nil"/>
              <w:left w:val="nil"/>
              <w:bottom w:val="nil"/>
              <w:right w:val="nil"/>
            </w:tcBorders>
            <w:shd w:val="clear" w:color="auto" w:fill="auto"/>
            <w:noWrap/>
            <w:vAlign w:val="bottom"/>
          </w:tcPr>
          <w:p w14:paraId="7AEAF076"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nil"/>
              <w:left w:val="nil"/>
              <w:bottom w:val="nil"/>
              <w:right w:val="nil"/>
            </w:tcBorders>
            <w:shd w:val="clear" w:color="auto" w:fill="auto"/>
            <w:noWrap/>
            <w:vAlign w:val="bottom"/>
          </w:tcPr>
          <w:p w14:paraId="2217E25E"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09540199"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76CE0F10"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5A24D9C3"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52C2FEE8"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1DB9E7CB"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7FFE2498"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53CED0DB"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6BF1D8FA" w14:textId="77777777" w:rsidTr="00DA6B18">
        <w:trPr>
          <w:trHeight w:val="300"/>
        </w:trPr>
        <w:tc>
          <w:tcPr>
            <w:tcW w:w="268" w:type="pct"/>
            <w:tcBorders>
              <w:top w:val="nil"/>
              <w:bottom w:val="nil"/>
              <w:right w:val="nil"/>
            </w:tcBorders>
            <w:shd w:val="clear" w:color="auto" w:fill="auto"/>
            <w:noWrap/>
            <w:vAlign w:val="center"/>
          </w:tcPr>
          <w:p w14:paraId="700EFDD3" w14:textId="1D3BA1D9"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7</w:t>
            </w:r>
          </w:p>
        </w:tc>
        <w:tc>
          <w:tcPr>
            <w:tcW w:w="941" w:type="pct"/>
            <w:tcBorders>
              <w:top w:val="nil"/>
              <w:left w:val="nil"/>
              <w:bottom w:val="nil"/>
              <w:right w:val="nil"/>
            </w:tcBorders>
            <w:shd w:val="clear" w:color="auto" w:fill="auto"/>
            <w:noWrap/>
            <w:vAlign w:val="center"/>
          </w:tcPr>
          <w:p w14:paraId="0A2C8BE8"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INTRA_NTW_COUNTY</m:t>
                </m:r>
              </m:oMath>
            </m:oMathPara>
          </w:p>
        </w:tc>
        <w:tc>
          <w:tcPr>
            <w:tcW w:w="276" w:type="pct"/>
            <w:tcBorders>
              <w:top w:val="nil"/>
              <w:left w:val="nil"/>
              <w:bottom w:val="nil"/>
              <w:right w:val="nil"/>
            </w:tcBorders>
            <w:shd w:val="clear" w:color="auto" w:fill="auto"/>
            <w:noWrap/>
            <w:vAlign w:val="bottom"/>
          </w:tcPr>
          <w:p w14:paraId="69FFE752"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-0.043</w:t>
            </w:r>
          </w:p>
        </w:tc>
        <w:tc>
          <w:tcPr>
            <w:tcW w:w="276" w:type="pct"/>
            <w:tcBorders>
              <w:top w:val="nil"/>
              <w:left w:val="nil"/>
              <w:bottom w:val="nil"/>
              <w:right w:val="nil"/>
            </w:tcBorders>
            <w:shd w:val="clear" w:color="auto" w:fill="auto"/>
            <w:noWrap/>
            <w:vAlign w:val="bottom"/>
          </w:tcPr>
          <w:p w14:paraId="310F4FB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0.019</w:t>
            </w:r>
          </w:p>
        </w:tc>
        <w:tc>
          <w:tcPr>
            <w:tcW w:w="276" w:type="pct"/>
            <w:tcBorders>
              <w:top w:val="nil"/>
              <w:left w:val="nil"/>
              <w:bottom w:val="nil"/>
              <w:right w:val="nil"/>
            </w:tcBorders>
            <w:shd w:val="clear" w:color="auto" w:fill="auto"/>
            <w:noWrap/>
            <w:vAlign w:val="bottom"/>
          </w:tcPr>
          <w:p w14:paraId="3372139F"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0.073</w:t>
            </w:r>
          </w:p>
        </w:tc>
        <w:tc>
          <w:tcPr>
            <w:tcW w:w="276" w:type="pct"/>
            <w:tcBorders>
              <w:top w:val="nil"/>
              <w:left w:val="nil"/>
              <w:bottom w:val="nil"/>
              <w:right w:val="nil"/>
            </w:tcBorders>
            <w:shd w:val="clear" w:color="auto" w:fill="auto"/>
            <w:noWrap/>
            <w:vAlign w:val="bottom"/>
          </w:tcPr>
          <w:p w14:paraId="3A678311"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0.048</w:t>
            </w:r>
          </w:p>
        </w:tc>
        <w:tc>
          <w:tcPr>
            <w:tcW w:w="276" w:type="pct"/>
            <w:tcBorders>
              <w:top w:val="nil"/>
              <w:left w:val="nil"/>
              <w:bottom w:val="nil"/>
              <w:right w:val="nil"/>
            </w:tcBorders>
            <w:shd w:val="clear" w:color="auto" w:fill="auto"/>
            <w:noWrap/>
            <w:vAlign w:val="bottom"/>
          </w:tcPr>
          <w:p w14:paraId="301C07E1"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0.055</w:t>
            </w:r>
          </w:p>
        </w:tc>
        <w:tc>
          <w:tcPr>
            <w:tcW w:w="253" w:type="pct"/>
            <w:tcBorders>
              <w:top w:val="nil"/>
              <w:left w:val="nil"/>
              <w:bottom w:val="nil"/>
              <w:right w:val="nil"/>
            </w:tcBorders>
            <w:shd w:val="clear" w:color="auto" w:fill="auto"/>
            <w:noWrap/>
            <w:vAlign w:val="bottom"/>
          </w:tcPr>
          <w:p w14:paraId="3E672160"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0.040</w:t>
            </w:r>
          </w:p>
        </w:tc>
        <w:tc>
          <w:tcPr>
            <w:tcW w:w="276" w:type="pct"/>
            <w:tcBorders>
              <w:top w:val="nil"/>
              <w:left w:val="nil"/>
              <w:bottom w:val="nil"/>
              <w:right w:val="nil"/>
            </w:tcBorders>
            <w:shd w:val="clear" w:color="auto" w:fill="auto"/>
            <w:noWrap/>
            <w:vAlign w:val="bottom"/>
          </w:tcPr>
          <w:p w14:paraId="1578232A"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nil"/>
              <w:left w:val="nil"/>
              <w:bottom w:val="nil"/>
              <w:right w:val="nil"/>
            </w:tcBorders>
            <w:shd w:val="clear" w:color="auto" w:fill="auto"/>
            <w:noWrap/>
            <w:vAlign w:val="bottom"/>
          </w:tcPr>
          <w:p w14:paraId="3CE9BA14"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6D947777"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73B80724"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75F6D41B"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1933FC88"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7A6BB675"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1143AA88"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00011C9E" w14:textId="77777777" w:rsidTr="00DA6B18">
        <w:trPr>
          <w:trHeight w:val="300"/>
        </w:trPr>
        <w:tc>
          <w:tcPr>
            <w:tcW w:w="268" w:type="pct"/>
            <w:tcBorders>
              <w:top w:val="nil"/>
              <w:bottom w:val="nil"/>
              <w:right w:val="nil"/>
            </w:tcBorders>
            <w:shd w:val="clear" w:color="auto" w:fill="auto"/>
            <w:noWrap/>
            <w:vAlign w:val="center"/>
          </w:tcPr>
          <w:p w14:paraId="381DEA27" w14:textId="4C028CA9"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8</w:t>
            </w:r>
          </w:p>
        </w:tc>
        <w:tc>
          <w:tcPr>
            <w:tcW w:w="941" w:type="pct"/>
            <w:tcBorders>
              <w:top w:val="nil"/>
              <w:left w:val="nil"/>
              <w:bottom w:val="nil"/>
              <w:right w:val="nil"/>
            </w:tcBorders>
            <w:shd w:val="clear" w:color="auto" w:fill="auto"/>
            <w:noWrap/>
            <w:vAlign w:val="center"/>
          </w:tcPr>
          <w:p w14:paraId="6EACB368"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INTER_NTW_COUNTRY</m:t>
                </m:r>
              </m:oMath>
            </m:oMathPara>
          </w:p>
        </w:tc>
        <w:tc>
          <w:tcPr>
            <w:tcW w:w="276" w:type="pct"/>
            <w:tcBorders>
              <w:top w:val="nil"/>
              <w:left w:val="nil"/>
              <w:bottom w:val="nil"/>
              <w:right w:val="nil"/>
            </w:tcBorders>
            <w:shd w:val="clear" w:color="auto" w:fill="auto"/>
            <w:noWrap/>
            <w:vAlign w:val="bottom"/>
          </w:tcPr>
          <w:p w14:paraId="726B836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0.121</w:t>
            </w:r>
          </w:p>
        </w:tc>
        <w:tc>
          <w:tcPr>
            <w:tcW w:w="276" w:type="pct"/>
            <w:tcBorders>
              <w:top w:val="nil"/>
              <w:left w:val="nil"/>
              <w:bottom w:val="nil"/>
              <w:right w:val="nil"/>
            </w:tcBorders>
            <w:shd w:val="clear" w:color="auto" w:fill="auto"/>
            <w:noWrap/>
            <w:vAlign w:val="bottom"/>
          </w:tcPr>
          <w:p w14:paraId="47778DD5"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-0.004</w:t>
            </w:r>
          </w:p>
        </w:tc>
        <w:tc>
          <w:tcPr>
            <w:tcW w:w="276" w:type="pct"/>
            <w:tcBorders>
              <w:top w:val="nil"/>
              <w:left w:val="nil"/>
              <w:bottom w:val="nil"/>
              <w:right w:val="nil"/>
            </w:tcBorders>
            <w:shd w:val="clear" w:color="auto" w:fill="auto"/>
            <w:noWrap/>
            <w:vAlign w:val="bottom"/>
          </w:tcPr>
          <w:p w14:paraId="50890B0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-0.026</w:t>
            </w:r>
          </w:p>
        </w:tc>
        <w:tc>
          <w:tcPr>
            <w:tcW w:w="276" w:type="pct"/>
            <w:tcBorders>
              <w:top w:val="nil"/>
              <w:left w:val="nil"/>
              <w:bottom w:val="nil"/>
              <w:right w:val="nil"/>
            </w:tcBorders>
            <w:shd w:val="clear" w:color="auto" w:fill="auto"/>
            <w:noWrap/>
            <w:vAlign w:val="bottom"/>
          </w:tcPr>
          <w:p w14:paraId="347905E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-0.049</w:t>
            </w:r>
          </w:p>
        </w:tc>
        <w:tc>
          <w:tcPr>
            <w:tcW w:w="276" w:type="pct"/>
            <w:tcBorders>
              <w:top w:val="nil"/>
              <w:left w:val="nil"/>
              <w:bottom w:val="nil"/>
              <w:right w:val="nil"/>
            </w:tcBorders>
            <w:shd w:val="clear" w:color="auto" w:fill="auto"/>
            <w:noWrap/>
            <w:vAlign w:val="bottom"/>
          </w:tcPr>
          <w:p w14:paraId="21E43A26"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-0.027</w:t>
            </w:r>
          </w:p>
        </w:tc>
        <w:tc>
          <w:tcPr>
            <w:tcW w:w="253" w:type="pct"/>
            <w:tcBorders>
              <w:top w:val="nil"/>
              <w:left w:val="nil"/>
              <w:bottom w:val="nil"/>
              <w:right w:val="nil"/>
            </w:tcBorders>
            <w:shd w:val="clear" w:color="auto" w:fill="auto"/>
            <w:noWrap/>
            <w:vAlign w:val="bottom"/>
          </w:tcPr>
          <w:p w14:paraId="4B97855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0.015</w:t>
            </w:r>
          </w:p>
        </w:tc>
        <w:tc>
          <w:tcPr>
            <w:tcW w:w="276" w:type="pct"/>
            <w:tcBorders>
              <w:top w:val="nil"/>
              <w:left w:val="nil"/>
              <w:bottom w:val="nil"/>
              <w:right w:val="nil"/>
            </w:tcBorders>
            <w:shd w:val="clear" w:color="auto" w:fill="auto"/>
            <w:noWrap/>
            <w:vAlign w:val="bottom"/>
          </w:tcPr>
          <w:p w14:paraId="0EE43E85"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0.219</w:t>
            </w:r>
          </w:p>
        </w:tc>
        <w:tc>
          <w:tcPr>
            <w:tcW w:w="276" w:type="pct"/>
            <w:tcBorders>
              <w:top w:val="nil"/>
              <w:left w:val="nil"/>
              <w:bottom w:val="nil"/>
              <w:right w:val="nil"/>
            </w:tcBorders>
            <w:shd w:val="clear" w:color="auto" w:fill="auto"/>
            <w:noWrap/>
            <w:vAlign w:val="bottom"/>
          </w:tcPr>
          <w:p w14:paraId="653F1FD9"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nil"/>
              <w:left w:val="nil"/>
              <w:bottom w:val="nil"/>
              <w:right w:val="nil"/>
            </w:tcBorders>
            <w:shd w:val="clear" w:color="auto" w:fill="auto"/>
            <w:noWrap/>
            <w:vAlign w:val="bottom"/>
          </w:tcPr>
          <w:p w14:paraId="41B5B620" w14:textId="77777777" w:rsidR="00D56016" w:rsidRPr="001E47AD" w:rsidRDefault="00D56016" w:rsidP="00CB702A">
            <w:pPr>
              <w:spacing w:line="276" w:lineRule="auto"/>
              <w:contextualSpacing/>
              <w:jc w:val="right"/>
              <w:rPr>
                <w:rFonts w:eastAsia="Times New Roman"/>
                <w:spacing w:val="-4"/>
                <w:sz w:val="16"/>
                <w:szCs w:val="16"/>
              </w:rPr>
            </w:pPr>
          </w:p>
        </w:tc>
        <w:tc>
          <w:tcPr>
            <w:tcW w:w="276" w:type="pct"/>
            <w:tcBorders>
              <w:top w:val="nil"/>
              <w:left w:val="nil"/>
              <w:bottom w:val="nil"/>
              <w:right w:val="nil"/>
            </w:tcBorders>
            <w:shd w:val="clear" w:color="auto" w:fill="auto"/>
            <w:noWrap/>
            <w:vAlign w:val="bottom"/>
          </w:tcPr>
          <w:p w14:paraId="7318D1D9"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1A376513"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5A2D4B77"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16B4EB9A"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35BF1E7B"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036DFF5F" w14:textId="77777777" w:rsidTr="00DA6B18">
        <w:trPr>
          <w:trHeight w:val="300"/>
        </w:trPr>
        <w:tc>
          <w:tcPr>
            <w:tcW w:w="268" w:type="pct"/>
            <w:tcBorders>
              <w:top w:val="nil"/>
              <w:bottom w:val="nil"/>
              <w:right w:val="nil"/>
            </w:tcBorders>
            <w:shd w:val="clear" w:color="auto" w:fill="auto"/>
            <w:noWrap/>
            <w:vAlign w:val="center"/>
          </w:tcPr>
          <w:p w14:paraId="45B39B43" w14:textId="26CD0B29"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9</w:t>
            </w:r>
          </w:p>
        </w:tc>
        <w:tc>
          <w:tcPr>
            <w:tcW w:w="941" w:type="pct"/>
            <w:tcBorders>
              <w:top w:val="nil"/>
              <w:left w:val="nil"/>
              <w:bottom w:val="nil"/>
              <w:right w:val="nil"/>
            </w:tcBorders>
            <w:shd w:val="clear" w:color="auto" w:fill="auto"/>
            <w:noWrap/>
            <w:vAlign w:val="center"/>
          </w:tcPr>
          <w:p w14:paraId="16582638" w14:textId="3ED36B08" w:rsidR="00D56016" w:rsidRPr="001E47AD" w:rsidRDefault="00237223"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PROD_VAR_UPC</m:t>
                </m:r>
              </m:oMath>
            </m:oMathPara>
          </w:p>
        </w:tc>
        <w:tc>
          <w:tcPr>
            <w:tcW w:w="276" w:type="pct"/>
            <w:tcBorders>
              <w:top w:val="nil"/>
              <w:left w:val="nil"/>
              <w:bottom w:val="nil"/>
              <w:right w:val="nil"/>
            </w:tcBorders>
            <w:shd w:val="clear" w:color="auto" w:fill="auto"/>
            <w:noWrap/>
            <w:vAlign w:val="bottom"/>
          </w:tcPr>
          <w:p w14:paraId="4EBF019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-0.117</w:t>
            </w:r>
          </w:p>
        </w:tc>
        <w:tc>
          <w:tcPr>
            <w:tcW w:w="276" w:type="pct"/>
            <w:tcBorders>
              <w:top w:val="nil"/>
              <w:left w:val="nil"/>
              <w:bottom w:val="nil"/>
              <w:right w:val="nil"/>
            </w:tcBorders>
            <w:shd w:val="clear" w:color="auto" w:fill="auto"/>
            <w:noWrap/>
            <w:vAlign w:val="bottom"/>
          </w:tcPr>
          <w:p w14:paraId="7B1C7E30"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0.060</w:t>
            </w:r>
          </w:p>
        </w:tc>
        <w:tc>
          <w:tcPr>
            <w:tcW w:w="276" w:type="pct"/>
            <w:tcBorders>
              <w:top w:val="nil"/>
              <w:left w:val="nil"/>
              <w:bottom w:val="nil"/>
              <w:right w:val="nil"/>
            </w:tcBorders>
            <w:shd w:val="clear" w:color="auto" w:fill="auto"/>
            <w:noWrap/>
            <w:vAlign w:val="bottom"/>
          </w:tcPr>
          <w:p w14:paraId="0F2203E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0.098</w:t>
            </w:r>
          </w:p>
        </w:tc>
        <w:tc>
          <w:tcPr>
            <w:tcW w:w="276" w:type="pct"/>
            <w:tcBorders>
              <w:top w:val="nil"/>
              <w:left w:val="nil"/>
              <w:bottom w:val="nil"/>
              <w:right w:val="nil"/>
            </w:tcBorders>
            <w:shd w:val="clear" w:color="auto" w:fill="auto"/>
            <w:noWrap/>
            <w:vAlign w:val="bottom"/>
          </w:tcPr>
          <w:p w14:paraId="26FD8B1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0.100</w:t>
            </w:r>
          </w:p>
        </w:tc>
        <w:tc>
          <w:tcPr>
            <w:tcW w:w="276" w:type="pct"/>
            <w:tcBorders>
              <w:top w:val="nil"/>
              <w:left w:val="nil"/>
              <w:bottom w:val="nil"/>
              <w:right w:val="nil"/>
            </w:tcBorders>
            <w:shd w:val="clear" w:color="auto" w:fill="auto"/>
            <w:noWrap/>
            <w:vAlign w:val="bottom"/>
          </w:tcPr>
          <w:p w14:paraId="67CEC694"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0.091</w:t>
            </w:r>
          </w:p>
        </w:tc>
        <w:tc>
          <w:tcPr>
            <w:tcW w:w="253" w:type="pct"/>
            <w:tcBorders>
              <w:top w:val="nil"/>
              <w:left w:val="nil"/>
              <w:bottom w:val="nil"/>
              <w:right w:val="nil"/>
            </w:tcBorders>
            <w:shd w:val="clear" w:color="auto" w:fill="auto"/>
            <w:noWrap/>
            <w:vAlign w:val="bottom"/>
          </w:tcPr>
          <w:p w14:paraId="02A4FCF4"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0.034</w:t>
            </w:r>
          </w:p>
        </w:tc>
        <w:tc>
          <w:tcPr>
            <w:tcW w:w="276" w:type="pct"/>
            <w:tcBorders>
              <w:top w:val="nil"/>
              <w:left w:val="nil"/>
              <w:bottom w:val="nil"/>
              <w:right w:val="nil"/>
            </w:tcBorders>
            <w:shd w:val="clear" w:color="auto" w:fill="auto"/>
            <w:noWrap/>
            <w:vAlign w:val="bottom"/>
          </w:tcPr>
          <w:p w14:paraId="0E88C04F"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0.029</w:t>
            </w:r>
          </w:p>
        </w:tc>
        <w:tc>
          <w:tcPr>
            <w:tcW w:w="276" w:type="pct"/>
            <w:tcBorders>
              <w:top w:val="nil"/>
              <w:left w:val="nil"/>
              <w:bottom w:val="nil"/>
              <w:right w:val="nil"/>
            </w:tcBorders>
            <w:shd w:val="clear" w:color="auto" w:fill="auto"/>
            <w:noWrap/>
            <w:vAlign w:val="bottom"/>
          </w:tcPr>
          <w:p w14:paraId="2F465BDD"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-0.615</w:t>
            </w:r>
          </w:p>
        </w:tc>
        <w:tc>
          <w:tcPr>
            <w:tcW w:w="276" w:type="pct"/>
            <w:tcBorders>
              <w:top w:val="nil"/>
              <w:left w:val="nil"/>
              <w:bottom w:val="nil"/>
              <w:right w:val="nil"/>
            </w:tcBorders>
            <w:shd w:val="clear" w:color="auto" w:fill="auto"/>
            <w:noWrap/>
            <w:vAlign w:val="bottom"/>
          </w:tcPr>
          <w:p w14:paraId="393EEA81"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6" w:type="pct"/>
            <w:tcBorders>
              <w:top w:val="nil"/>
              <w:left w:val="nil"/>
              <w:bottom w:val="nil"/>
              <w:right w:val="nil"/>
            </w:tcBorders>
            <w:shd w:val="clear" w:color="auto" w:fill="auto"/>
            <w:noWrap/>
            <w:vAlign w:val="bottom"/>
          </w:tcPr>
          <w:p w14:paraId="3DB719B3"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3461C2C4"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2579B1C5"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48A5A0DE"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1519375F"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33B71F75" w14:textId="77777777" w:rsidTr="00DA6B18">
        <w:trPr>
          <w:trHeight w:val="300"/>
        </w:trPr>
        <w:tc>
          <w:tcPr>
            <w:tcW w:w="268" w:type="pct"/>
            <w:tcBorders>
              <w:top w:val="nil"/>
              <w:bottom w:val="nil"/>
              <w:right w:val="nil"/>
            </w:tcBorders>
            <w:shd w:val="clear" w:color="auto" w:fill="auto"/>
            <w:noWrap/>
            <w:vAlign w:val="center"/>
          </w:tcPr>
          <w:p w14:paraId="2DEA9A68" w14:textId="4B95D85F"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10</w:t>
            </w:r>
          </w:p>
        </w:tc>
        <w:tc>
          <w:tcPr>
            <w:tcW w:w="941" w:type="pct"/>
            <w:tcBorders>
              <w:top w:val="nil"/>
              <w:left w:val="nil"/>
              <w:bottom w:val="nil"/>
              <w:right w:val="nil"/>
            </w:tcBorders>
            <w:shd w:val="clear" w:color="auto" w:fill="auto"/>
            <w:noWrap/>
            <w:vAlign w:val="center"/>
          </w:tcPr>
          <w:p w14:paraId="1C3258C8"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HUR_EXP_STATE</m:t>
                </m:r>
              </m:oMath>
            </m:oMathPara>
          </w:p>
        </w:tc>
        <w:tc>
          <w:tcPr>
            <w:tcW w:w="276" w:type="pct"/>
            <w:tcBorders>
              <w:top w:val="nil"/>
              <w:left w:val="nil"/>
              <w:bottom w:val="nil"/>
              <w:right w:val="nil"/>
            </w:tcBorders>
            <w:shd w:val="clear" w:color="auto" w:fill="auto"/>
            <w:noWrap/>
            <w:vAlign w:val="bottom"/>
          </w:tcPr>
          <w:p w14:paraId="5284B1B1"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-0.232</w:t>
            </w:r>
          </w:p>
        </w:tc>
        <w:tc>
          <w:tcPr>
            <w:tcW w:w="276" w:type="pct"/>
            <w:tcBorders>
              <w:top w:val="nil"/>
              <w:left w:val="nil"/>
              <w:bottom w:val="nil"/>
              <w:right w:val="nil"/>
            </w:tcBorders>
            <w:shd w:val="clear" w:color="auto" w:fill="auto"/>
            <w:noWrap/>
            <w:vAlign w:val="bottom"/>
          </w:tcPr>
          <w:p w14:paraId="244D63C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0.012</w:t>
            </w:r>
          </w:p>
        </w:tc>
        <w:tc>
          <w:tcPr>
            <w:tcW w:w="276" w:type="pct"/>
            <w:tcBorders>
              <w:top w:val="nil"/>
              <w:left w:val="nil"/>
              <w:bottom w:val="nil"/>
              <w:right w:val="nil"/>
            </w:tcBorders>
            <w:shd w:val="clear" w:color="auto" w:fill="auto"/>
            <w:noWrap/>
            <w:vAlign w:val="bottom"/>
          </w:tcPr>
          <w:p w14:paraId="47F9B4F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0.121</w:t>
            </w:r>
          </w:p>
        </w:tc>
        <w:tc>
          <w:tcPr>
            <w:tcW w:w="276" w:type="pct"/>
            <w:tcBorders>
              <w:top w:val="nil"/>
              <w:left w:val="nil"/>
              <w:bottom w:val="nil"/>
              <w:right w:val="nil"/>
            </w:tcBorders>
            <w:shd w:val="clear" w:color="auto" w:fill="auto"/>
            <w:noWrap/>
            <w:vAlign w:val="bottom"/>
          </w:tcPr>
          <w:p w14:paraId="51A0423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0.079</w:t>
            </w:r>
          </w:p>
        </w:tc>
        <w:tc>
          <w:tcPr>
            <w:tcW w:w="276" w:type="pct"/>
            <w:tcBorders>
              <w:top w:val="nil"/>
              <w:left w:val="nil"/>
              <w:bottom w:val="nil"/>
              <w:right w:val="nil"/>
            </w:tcBorders>
            <w:shd w:val="clear" w:color="auto" w:fill="auto"/>
            <w:noWrap/>
            <w:vAlign w:val="bottom"/>
          </w:tcPr>
          <w:p w14:paraId="0C1A2E8D"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0.070</w:t>
            </w:r>
          </w:p>
        </w:tc>
        <w:tc>
          <w:tcPr>
            <w:tcW w:w="253" w:type="pct"/>
            <w:tcBorders>
              <w:top w:val="nil"/>
              <w:left w:val="nil"/>
              <w:bottom w:val="nil"/>
              <w:right w:val="nil"/>
            </w:tcBorders>
            <w:shd w:val="clear" w:color="auto" w:fill="auto"/>
            <w:noWrap/>
            <w:vAlign w:val="bottom"/>
          </w:tcPr>
          <w:p w14:paraId="63788B85"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0.068</w:t>
            </w:r>
          </w:p>
        </w:tc>
        <w:tc>
          <w:tcPr>
            <w:tcW w:w="276" w:type="pct"/>
            <w:tcBorders>
              <w:top w:val="nil"/>
              <w:left w:val="nil"/>
              <w:bottom w:val="nil"/>
              <w:right w:val="nil"/>
            </w:tcBorders>
            <w:shd w:val="clear" w:color="auto" w:fill="auto"/>
            <w:noWrap/>
            <w:vAlign w:val="bottom"/>
          </w:tcPr>
          <w:p w14:paraId="228D654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0.035</w:t>
            </w:r>
          </w:p>
        </w:tc>
        <w:tc>
          <w:tcPr>
            <w:tcW w:w="276" w:type="pct"/>
            <w:tcBorders>
              <w:top w:val="nil"/>
              <w:left w:val="nil"/>
              <w:bottom w:val="nil"/>
              <w:right w:val="nil"/>
            </w:tcBorders>
            <w:shd w:val="clear" w:color="auto" w:fill="auto"/>
            <w:noWrap/>
            <w:vAlign w:val="bottom"/>
          </w:tcPr>
          <w:p w14:paraId="2573273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0.107</w:t>
            </w:r>
          </w:p>
        </w:tc>
        <w:tc>
          <w:tcPr>
            <w:tcW w:w="276" w:type="pct"/>
            <w:tcBorders>
              <w:top w:val="nil"/>
              <w:left w:val="nil"/>
              <w:bottom w:val="nil"/>
              <w:right w:val="nil"/>
            </w:tcBorders>
            <w:shd w:val="clear" w:color="auto" w:fill="auto"/>
            <w:noWrap/>
            <w:vAlign w:val="bottom"/>
          </w:tcPr>
          <w:p w14:paraId="4DB43B53"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-0.059</w:t>
            </w:r>
          </w:p>
        </w:tc>
        <w:tc>
          <w:tcPr>
            <w:tcW w:w="276" w:type="pct"/>
            <w:tcBorders>
              <w:top w:val="nil"/>
              <w:left w:val="nil"/>
              <w:bottom w:val="nil"/>
              <w:right w:val="nil"/>
            </w:tcBorders>
            <w:shd w:val="clear" w:color="auto" w:fill="auto"/>
            <w:noWrap/>
            <w:vAlign w:val="bottom"/>
          </w:tcPr>
          <w:p w14:paraId="1654D0E5"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5" w:type="pct"/>
            <w:tcBorders>
              <w:top w:val="nil"/>
              <w:left w:val="nil"/>
              <w:bottom w:val="nil"/>
              <w:right w:val="nil"/>
            </w:tcBorders>
            <w:shd w:val="clear" w:color="auto" w:fill="auto"/>
            <w:noWrap/>
            <w:vAlign w:val="bottom"/>
          </w:tcPr>
          <w:p w14:paraId="4EDEB0B1" w14:textId="77777777" w:rsidR="00D56016" w:rsidRPr="001E47AD" w:rsidRDefault="00D56016" w:rsidP="00CB702A">
            <w:pPr>
              <w:spacing w:line="276" w:lineRule="auto"/>
              <w:contextualSpacing/>
              <w:jc w:val="right"/>
              <w:rPr>
                <w:rFonts w:eastAsia="Times New Roman"/>
                <w:spacing w:val="-4"/>
                <w:sz w:val="16"/>
                <w:szCs w:val="16"/>
              </w:rPr>
            </w:pPr>
          </w:p>
        </w:tc>
        <w:tc>
          <w:tcPr>
            <w:tcW w:w="275" w:type="pct"/>
            <w:tcBorders>
              <w:top w:val="nil"/>
              <w:left w:val="nil"/>
              <w:bottom w:val="nil"/>
              <w:right w:val="nil"/>
            </w:tcBorders>
            <w:shd w:val="clear" w:color="auto" w:fill="auto"/>
            <w:noWrap/>
            <w:vAlign w:val="bottom"/>
          </w:tcPr>
          <w:p w14:paraId="502D456D"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73CD393E"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2319E6C7"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5B4F8973" w14:textId="77777777" w:rsidTr="00DA6B18">
        <w:trPr>
          <w:trHeight w:val="300"/>
        </w:trPr>
        <w:tc>
          <w:tcPr>
            <w:tcW w:w="268" w:type="pct"/>
            <w:tcBorders>
              <w:top w:val="nil"/>
              <w:bottom w:val="nil"/>
              <w:right w:val="nil"/>
            </w:tcBorders>
            <w:shd w:val="clear" w:color="auto" w:fill="auto"/>
            <w:noWrap/>
            <w:vAlign w:val="center"/>
          </w:tcPr>
          <w:p w14:paraId="133EAA11" w14:textId="1A7662D1"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11</w:t>
            </w:r>
          </w:p>
        </w:tc>
        <w:tc>
          <w:tcPr>
            <w:tcW w:w="941" w:type="pct"/>
            <w:tcBorders>
              <w:top w:val="nil"/>
              <w:left w:val="nil"/>
              <w:bottom w:val="nil"/>
              <w:right w:val="nil"/>
            </w:tcBorders>
            <w:shd w:val="clear" w:color="auto" w:fill="auto"/>
            <w:noWrap/>
            <w:vAlign w:val="center"/>
          </w:tcPr>
          <w:p w14:paraId="660F0A7E"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PER_CAPITA_INC</m:t>
                </m:r>
              </m:oMath>
            </m:oMathPara>
          </w:p>
        </w:tc>
        <w:tc>
          <w:tcPr>
            <w:tcW w:w="276" w:type="pct"/>
            <w:tcBorders>
              <w:top w:val="nil"/>
              <w:left w:val="nil"/>
              <w:bottom w:val="nil"/>
              <w:right w:val="nil"/>
            </w:tcBorders>
            <w:shd w:val="clear" w:color="auto" w:fill="auto"/>
            <w:noWrap/>
            <w:vAlign w:val="bottom"/>
          </w:tcPr>
          <w:p w14:paraId="6A126614"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0.175</w:t>
            </w:r>
          </w:p>
        </w:tc>
        <w:tc>
          <w:tcPr>
            <w:tcW w:w="276" w:type="pct"/>
            <w:tcBorders>
              <w:top w:val="nil"/>
              <w:left w:val="nil"/>
              <w:bottom w:val="nil"/>
              <w:right w:val="nil"/>
            </w:tcBorders>
            <w:shd w:val="clear" w:color="auto" w:fill="auto"/>
            <w:noWrap/>
            <w:vAlign w:val="bottom"/>
          </w:tcPr>
          <w:p w14:paraId="4394B3CA"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0.007</w:t>
            </w:r>
          </w:p>
        </w:tc>
        <w:tc>
          <w:tcPr>
            <w:tcW w:w="276" w:type="pct"/>
            <w:tcBorders>
              <w:top w:val="nil"/>
              <w:left w:val="nil"/>
              <w:bottom w:val="nil"/>
              <w:right w:val="nil"/>
            </w:tcBorders>
            <w:shd w:val="clear" w:color="auto" w:fill="auto"/>
            <w:noWrap/>
            <w:vAlign w:val="bottom"/>
          </w:tcPr>
          <w:p w14:paraId="3AC21E94"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-0.006</w:t>
            </w:r>
          </w:p>
        </w:tc>
        <w:tc>
          <w:tcPr>
            <w:tcW w:w="276" w:type="pct"/>
            <w:tcBorders>
              <w:top w:val="nil"/>
              <w:left w:val="nil"/>
              <w:bottom w:val="nil"/>
              <w:right w:val="nil"/>
            </w:tcBorders>
            <w:shd w:val="clear" w:color="auto" w:fill="auto"/>
            <w:noWrap/>
            <w:vAlign w:val="bottom"/>
          </w:tcPr>
          <w:p w14:paraId="441BF792"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0.043</w:t>
            </w:r>
          </w:p>
        </w:tc>
        <w:tc>
          <w:tcPr>
            <w:tcW w:w="276" w:type="pct"/>
            <w:tcBorders>
              <w:top w:val="nil"/>
              <w:left w:val="nil"/>
              <w:bottom w:val="nil"/>
              <w:right w:val="nil"/>
            </w:tcBorders>
            <w:shd w:val="clear" w:color="auto" w:fill="auto"/>
            <w:noWrap/>
            <w:vAlign w:val="bottom"/>
          </w:tcPr>
          <w:p w14:paraId="7FF573C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0.044</w:t>
            </w:r>
          </w:p>
        </w:tc>
        <w:tc>
          <w:tcPr>
            <w:tcW w:w="253" w:type="pct"/>
            <w:tcBorders>
              <w:top w:val="nil"/>
              <w:left w:val="nil"/>
              <w:bottom w:val="nil"/>
              <w:right w:val="nil"/>
            </w:tcBorders>
            <w:shd w:val="clear" w:color="auto" w:fill="auto"/>
            <w:noWrap/>
            <w:vAlign w:val="bottom"/>
          </w:tcPr>
          <w:p w14:paraId="06678E09"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0.066</w:t>
            </w:r>
          </w:p>
        </w:tc>
        <w:tc>
          <w:tcPr>
            <w:tcW w:w="276" w:type="pct"/>
            <w:tcBorders>
              <w:top w:val="nil"/>
              <w:left w:val="nil"/>
              <w:bottom w:val="nil"/>
              <w:right w:val="nil"/>
            </w:tcBorders>
            <w:shd w:val="clear" w:color="auto" w:fill="auto"/>
            <w:noWrap/>
            <w:vAlign w:val="bottom"/>
          </w:tcPr>
          <w:p w14:paraId="4DC0A2BF"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0.355</w:t>
            </w:r>
          </w:p>
        </w:tc>
        <w:tc>
          <w:tcPr>
            <w:tcW w:w="276" w:type="pct"/>
            <w:tcBorders>
              <w:top w:val="nil"/>
              <w:left w:val="nil"/>
              <w:bottom w:val="nil"/>
              <w:right w:val="nil"/>
            </w:tcBorders>
            <w:shd w:val="clear" w:color="auto" w:fill="auto"/>
            <w:noWrap/>
            <w:vAlign w:val="bottom"/>
          </w:tcPr>
          <w:p w14:paraId="72304B0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-0.047</w:t>
            </w:r>
          </w:p>
        </w:tc>
        <w:tc>
          <w:tcPr>
            <w:tcW w:w="276" w:type="pct"/>
            <w:tcBorders>
              <w:top w:val="nil"/>
              <w:left w:val="nil"/>
              <w:bottom w:val="nil"/>
              <w:right w:val="nil"/>
            </w:tcBorders>
            <w:shd w:val="clear" w:color="auto" w:fill="auto"/>
            <w:noWrap/>
            <w:vAlign w:val="bottom"/>
          </w:tcPr>
          <w:p w14:paraId="41BC57D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0.212</w:t>
            </w:r>
          </w:p>
        </w:tc>
        <w:tc>
          <w:tcPr>
            <w:tcW w:w="276" w:type="pct"/>
            <w:tcBorders>
              <w:top w:val="nil"/>
              <w:left w:val="nil"/>
              <w:bottom w:val="nil"/>
              <w:right w:val="nil"/>
            </w:tcBorders>
            <w:shd w:val="clear" w:color="auto" w:fill="auto"/>
            <w:noWrap/>
            <w:vAlign w:val="bottom"/>
          </w:tcPr>
          <w:p w14:paraId="7182A16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-0.218</w:t>
            </w:r>
          </w:p>
        </w:tc>
        <w:tc>
          <w:tcPr>
            <w:tcW w:w="275" w:type="pct"/>
            <w:tcBorders>
              <w:top w:val="nil"/>
              <w:left w:val="nil"/>
              <w:bottom w:val="nil"/>
              <w:right w:val="nil"/>
            </w:tcBorders>
            <w:shd w:val="clear" w:color="auto" w:fill="auto"/>
            <w:noWrap/>
            <w:vAlign w:val="bottom"/>
          </w:tcPr>
          <w:p w14:paraId="3B76E581"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75" w:type="pct"/>
            <w:tcBorders>
              <w:top w:val="nil"/>
              <w:left w:val="nil"/>
              <w:bottom w:val="nil"/>
              <w:right w:val="nil"/>
            </w:tcBorders>
            <w:shd w:val="clear" w:color="auto" w:fill="auto"/>
            <w:noWrap/>
            <w:vAlign w:val="bottom"/>
          </w:tcPr>
          <w:p w14:paraId="5B4F4DB8"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0C656D1B"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2A174F72"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6EAE4CDC" w14:textId="77777777" w:rsidTr="00DA6B18">
        <w:trPr>
          <w:trHeight w:val="300"/>
        </w:trPr>
        <w:tc>
          <w:tcPr>
            <w:tcW w:w="268" w:type="pct"/>
            <w:tcBorders>
              <w:top w:val="nil"/>
              <w:bottom w:val="nil"/>
              <w:right w:val="nil"/>
            </w:tcBorders>
            <w:shd w:val="clear" w:color="auto" w:fill="auto"/>
            <w:noWrap/>
            <w:vAlign w:val="center"/>
          </w:tcPr>
          <w:p w14:paraId="1558F418" w14:textId="522A15CA"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12</w:t>
            </w:r>
          </w:p>
        </w:tc>
        <w:tc>
          <w:tcPr>
            <w:tcW w:w="941" w:type="pct"/>
            <w:tcBorders>
              <w:top w:val="nil"/>
              <w:left w:val="nil"/>
              <w:bottom w:val="nil"/>
              <w:right w:val="nil"/>
            </w:tcBorders>
            <w:shd w:val="clear" w:color="auto" w:fill="auto"/>
            <w:noWrap/>
            <w:vAlign w:val="center"/>
          </w:tcPr>
          <w:p w14:paraId="1099051A"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HUR_LANDFALL</m:t>
                </m:r>
                <m:r>
                  <m:rPr>
                    <m:sty m:val="p"/>
                  </m:rPr>
                  <w:rPr>
                    <w:rFonts w:ascii="Cambria Math" w:eastAsia="宋体" w:hAnsi="Cambria Math"/>
                    <w:spacing w:val="-4"/>
                    <w:sz w:val="16"/>
                    <w:szCs w:val="16"/>
                  </w:rPr>
                  <m:t>_DIST</m:t>
                </m:r>
              </m:oMath>
            </m:oMathPara>
          </w:p>
        </w:tc>
        <w:tc>
          <w:tcPr>
            <w:tcW w:w="276" w:type="pct"/>
            <w:tcBorders>
              <w:top w:val="nil"/>
              <w:left w:val="nil"/>
              <w:bottom w:val="nil"/>
              <w:right w:val="nil"/>
            </w:tcBorders>
            <w:shd w:val="clear" w:color="auto" w:fill="auto"/>
            <w:noWrap/>
            <w:vAlign w:val="bottom"/>
          </w:tcPr>
          <w:p w14:paraId="59657BC1"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-0.440</w:t>
            </w:r>
          </w:p>
        </w:tc>
        <w:tc>
          <w:tcPr>
            <w:tcW w:w="276" w:type="pct"/>
            <w:tcBorders>
              <w:top w:val="nil"/>
              <w:left w:val="nil"/>
              <w:bottom w:val="nil"/>
              <w:right w:val="nil"/>
            </w:tcBorders>
            <w:shd w:val="clear" w:color="auto" w:fill="auto"/>
            <w:noWrap/>
            <w:vAlign w:val="bottom"/>
          </w:tcPr>
          <w:p w14:paraId="0E326527"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0.053</w:t>
            </w:r>
          </w:p>
        </w:tc>
        <w:tc>
          <w:tcPr>
            <w:tcW w:w="276" w:type="pct"/>
            <w:tcBorders>
              <w:top w:val="nil"/>
              <w:left w:val="nil"/>
              <w:bottom w:val="nil"/>
              <w:right w:val="nil"/>
            </w:tcBorders>
            <w:shd w:val="clear" w:color="auto" w:fill="auto"/>
            <w:noWrap/>
            <w:vAlign w:val="bottom"/>
          </w:tcPr>
          <w:p w14:paraId="3E5F3D7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0.175</w:t>
            </w:r>
          </w:p>
        </w:tc>
        <w:tc>
          <w:tcPr>
            <w:tcW w:w="276" w:type="pct"/>
            <w:tcBorders>
              <w:top w:val="nil"/>
              <w:left w:val="nil"/>
              <w:bottom w:val="nil"/>
              <w:right w:val="nil"/>
            </w:tcBorders>
            <w:shd w:val="clear" w:color="auto" w:fill="auto"/>
            <w:noWrap/>
            <w:vAlign w:val="bottom"/>
          </w:tcPr>
          <w:p w14:paraId="66C5F630"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0.076</w:t>
            </w:r>
          </w:p>
        </w:tc>
        <w:tc>
          <w:tcPr>
            <w:tcW w:w="276" w:type="pct"/>
            <w:tcBorders>
              <w:top w:val="nil"/>
              <w:left w:val="nil"/>
              <w:bottom w:val="nil"/>
              <w:right w:val="nil"/>
            </w:tcBorders>
            <w:shd w:val="clear" w:color="auto" w:fill="auto"/>
            <w:noWrap/>
            <w:vAlign w:val="bottom"/>
          </w:tcPr>
          <w:p w14:paraId="53828839"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0.068</w:t>
            </w:r>
          </w:p>
        </w:tc>
        <w:tc>
          <w:tcPr>
            <w:tcW w:w="253" w:type="pct"/>
            <w:tcBorders>
              <w:top w:val="nil"/>
              <w:left w:val="nil"/>
              <w:bottom w:val="nil"/>
              <w:right w:val="nil"/>
            </w:tcBorders>
            <w:shd w:val="clear" w:color="auto" w:fill="auto"/>
            <w:noWrap/>
            <w:vAlign w:val="bottom"/>
          </w:tcPr>
          <w:p w14:paraId="51B0C50D"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0.015</w:t>
            </w:r>
          </w:p>
        </w:tc>
        <w:tc>
          <w:tcPr>
            <w:tcW w:w="276" w:type="pct"/>
            <w:tcBorders>
              <w:top w:val="nil"/>
              <w:left w:val="nil"/>
              <w:bottom w:val="nil"/>
              <w:right w:val="nil"/>
            </w:tcBorders>
            <w:shd w:val="clear" w:color="auto" w:fill="auto"/>
            <w:noWrap/>
            <w:vAlign w:val="bottom"/>
          </w:tcPr>
          <w:p w14:paraId="0584757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0.203</w:t>
            </w:r>
          </w:p>
        </w:tc>
        <w:tc>
          <w:tcPr>
            <w:tcW w:w="276" w:type="pct"/>
            <w:tcBorders>
              <w:top w:val="nil"/>
              <w:left w:val="nil"/>
              <w:bottom w:val="nil"/>
              <w:right w:val="nil"/>
            </w:tcBorders>
            <w:shd w:val="clear" w:color="auto" w:fill="auto"/>
            <w:noWrap/>
            <w:vAlign w:val="bottom"/>
          </w:tcPr>
          <w:p w14:paraId="459B25BB"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0.131</w:t>
            </w:r>
          </w:p>
        </w:tc>
        <w:tc>
          <w:tcPr>
            <w:tcW w:w="276" w:type="pct"/>
            <w:tcBorders>
              <w:top w:val="nil"/>
              <w:left w:val="nil"/>
              <w:bottom w:val="nil"/>
              <w:right w:val="nil"/>
            </w:tcBorders>
            <w:shd w:val="clear" w:color="auto" w:fill="auto"/>
            <w:noWrap/>
            <w:vAlign w:val="bottom"/>
          </w:tcPr>
          <w:p w14:paraId="6C03460E"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-0.009</w:t>
            </w:r>
          </w:p>
        </w:tc>
        <w:tc>
          <w:tcPr>
            <w:tcW w:w="276" w:type="pct"/>
            <w:tcBorders>
              <w:top w:val="nil"/>
              <w:left w:val="nil"/>
              <w:bottom w:val="nil"/>
              <w:right w:val="nil"/>
            </w:tcBorders>
            <w:shd w:val="clear" w:color="auto" w:fill="auto"/>
            <w:noWrap/>
            <w:vAlign w:val="bottom"/>
          </w:tcPr>
          <w:p w14:paraId="54A38018"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0.340</w:t>
            </w:r>
          </w:p>
        </w:tc>
        <w:tc>
          <w:tcPr>
            <w:tcW w:w="275" w:type="pct"/>
            <w:tcBorders>
              <w:top w:val="nil"/>
              <w:left w:val="nil"/>
              <w:bottom w:val="nil"/>
              <w:right w:val="nil"/>
            </w:tcBorders>
            <w:shd w:val="clear" w:color="auto" w:fill="auto"/>
            <w:noWrap/>
            <w:vAlign w:val="bottom"/>
          </w:tcPr>
          <w:p w14:paraId="1F76000C"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-0.208</w:t>
            </w:r>
          </w:p>
        </w:tc>
        <w:tc>
          <w:tcPr>
            <w:tcW w:w="275" w:type="pct"/>
            <w:tcBorders>
              <w:top w:val="nil"/>
              <w:left w:val="nil"/>
              <w:bottom w:val="nil"/>
              <w:right w:val="nil"/>
            </w:tcBorders>
            <w:shd w:val="clear" w:color="auto" w:fill="auto"/>
            <w:noWrap/>
            <w:vAlign w:val="bottom"/>
          </w:tcPr>
          <w:p w14:paraId="0CEC9259"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52" w:type="pct"/>
            <w:tcBorders>
              <w:top w:val="nil"/>
              <w:left w:val="nil"/>
              <w:bottom w:val="nil"/>
              <w:right w:val="nil"/>
            </w:tcBorders>
            <w:shd w:val="clear" w:color="auto" w:fill="auto"/>
            <w:noWrap/>
            <w:vAlign w:val="bottom"/>
          </w:tcPr>
          <w:p w14:paraId="6AB70678" w14:textId="77777777" w:rsidR="00D56016" w:rsidRPr="001E47AD" w:rsidRDefault="00D56016" w:rsidP="00CB702A">
            <w:pPr>
              <w:spacing w:line="276" w:lineRule="auto"/>
              <w:contextualSpacing/>
              <w:jc w:val="right"/>
              <w:rPr>
                <w:rFonts w:eastAsia="Times New Roman"/>
                <w:spacing w:val="-4"/>
                <w:sz w:val="16"/>
                <w:szCs w:val="16"/>
              </w:rPr>
            </w:pPr>
          </w:p>
        </w:tc>
        <w:tc>
          <w:tcPr>
            <w:tcW w:w="252" w:type="pct"/>
            <w:tcBorders>
              <w:top w:val="nil"/>
              <w:left w:val="nil"/>
              <w:bottom w:val="nil"/>
              <w:right w:val="nil"/>
            </w:tcBorders>
            <w:shd w:val="clear" w:color="auto" w:fill="auto"/>
            <w:noWrap/>
            <w:vAlign w:val="bottom"/>
          </w:tcPr>
          <w:p w14:paraId="0A8014E5"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5EEF562B" w14:textId="77777777" w:rsidTr="00DA6B18">
        <w:trPr>
          <w:trHeight w:val="300"/>
        </w:trPr>
        <w:tc>
          <w:tcPr>
            <w:tcW w:w="268" w:type="pct"/>
            <w:tcBorders>
              <w:top w:val="nil"/>
              <w:bottom w:val="nil"/>
              <w:right w:val="nil"/>
            </w:tcBorders>
            <w:shd w:val="clear" w:color="auto" w:fill="auto"/>
            <w:noWrap/>
            <w:vAlign w:val="center"/>
          </w:tcPr>
          <w:p w14:paraId="2FC7928D" w14:textId="22F2F934"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13</w:t>
            </w:r>
          </w:p>
        </w:tc>
        <w:tc>
          <w:tcPr>
            <w:tcW w:w="941" w:type="pct"/>
            <w:tcBorders>
              <w:top w:val="nil"/>
              <w:left w:val="nil"/>
              <w:bottom w:val="nil"/>
              <w:right w:val="nil"/>
            </w:tcBorders>
            <w:shd w:val="clear" w:color="auto" w:fill="auto"/>
            <w:noWrap/>
            <w:vAlign w:val="center"/>
          </w:tcPr>
          <w:p w14:paraId="164E042A" w14:textId="77777777" w:rsidR="00D56016" w:rsidRPr="001E47AD" w:rsidRDefault="00D56016" w:rsidP="00CB702A">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HUR_TRACK_DIST</m:t>
                </m:r>
              </m:oMath>
            </m:oMathPara>
          </w:p>
        </w:tc>
        <w:tc>
          <w:tcPr>
            <w:tcW w:w="276" w:type="pct"/>
            <w:tcBorders>
              <w:top w:val="nil"/>
              <w:left w:val="nil"/>
              <w:bottom w:val="nil"/>
              <w:right w:val="nil"/>
            </w:tcBorders>
            <w:shd w:val="clear" w:color="auto" w:fill="auto"/>
            <w:noWrap/>
            <w:vAlign w:val="bottom"/>
          </w:tcPr>
          <w:p w14:paraId="4A028A09"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-0.408</w:t>
            </w:r>
          </w:p>
        </w:tc>
        <w:tc>
          <w:tcPr>
            <w:tcW w:w="276" w:type="pct"/>
            <w:tcBorders>
              <w:top w:val="nil"/>
              <w:left w:val="nil"/>
              <w:bottom w:val="nil"/>
              <w:right w:val="nil"/>
            </w:tcBorders>
            <w:shd w:val="clear" w:color="auto" w:fill="auto"/>
            <w:noWrap/>
            <w:vAlign w:val="bottom"/>
          </w:tcPr>
          <w:p w14:paraId="7E44127A"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0.080</w:t>
            </w:r>
          </w:p>
        </w:tc>
        <w:tc>
          <w:tcPr>
            <w:tcW w:w="276" w:type="pct"/>
            <w:tcBorders>
              <w:top w:val="nil"/>
              <w:left w:val="nil"/>
              <w:bottom w:val="nil"/>
              <w:right w:val="nil"/>
            </w:tcBorders>
            <w:shd w:val="clear" w:color="auto" w:fill="auto"/>
            <w:noWrap/>
            <w:vAlign w:val="bottom"/>
          </w:tcPr>
          <w:p w14:paraId="1485C856"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0.111</w:t>
            </w:r>
          </w:p>
        </w:tc>
        <w:tc>
          <w:tcPr>
            <w:tcW w:w="276" w:type="pct"/>
            <w:tcBorders>
              <w:top w:val="nil"/>
              <w:left w:val="nil"/>
              <w:bottom w:val="nil"/>
              <w:right w:val="nil"/>
            </w:tcBorders>
            <w:shd w:val="clear" w:color="auto" w:fill="auto"/>
            <w:noWrap/>
            <w:vAlign w:val="bottom"/>
          </w:tcPr>
          <w:p w14:paraId="6B634203"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0.051</w:t>
            </w:r>
          </w:p>
        </w:tc>
        <w:tc>
          <w:tcPr>
            <w:tcW w:w="276" w:type="pct"/>
            <w:tcBorders>
              <w:top w:val="nil"/>
              <w:left w:val="nil"/>
              <w:bottom w:val="nil"/>
              <w:right w:val="nil"/>
            </w:tcBorders>
            <w:shd w:val="clear" w:color="auto" w:fill="auto"/>
            <w:noWrap/>
            <w:vAlign w:val="bottom"/>
          </w:tcPr>
          <w:p w14:paraId="59E864D3"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0.017</w:t>
            </w:r>
          </w:p>
        </w:tc>
        <w:tc>
          <w:tcPr>
            <w:tcW w:w="253" w:type="pct"/>
            <w:tcBorders>
              <w:top w:val="nil"/>
              <w:left w:val="nil"/>
              <w:bottom w:val="nil"/>
              <w:right w:val="nil"/>
            </w:tcBorders>
            <w:shd w:val="clear" w:color="auto" w:fill="auto"/>
            <w:noWrap/>
            <w:vAlign w:val="bottom"/>
          </w:tcPr>
          <w:p w14:paraId="4370D6AF"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0.008</w:t>
            </w:r>
          </w:p>
        </w:tc>
        <w:tc>
          <w:tcPr>
            <w:tcW w:w="276" w:type="pct"/>
            <w:tcBorders>
              <w:top w:val="nil"/>
              <w:left w:val="nil"/>
              <w:bottom w:val="nil"/>
              <w:right w:val="nil"/>
            </w:tcBorders>
            <w:shd w:val="clear" w:color="auto" w:fill="auto"/>
            <w:noWrap/>
            <w:vAlign w:val="bottom"/>
          </w:tcPr>
          <w:p w14:paraId="5AE8BDDB"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-0.102</w:t>
            </w:r>
          </w:p>
        </w:tc>
        <w:tc>
          <w:tcPr>
            <w:tcW w:w="276" w:type="pct"/>
            <w:tcBorders>
              <w:top w:val="nil"/>
              <w:left w:val="nil"/>
              <w:bottom w:val="nil"/>
              <w:right w:val="nil"/>
            </w:tcBorders>
            <w:shd w:val="clear" w:color="auto" w:fill="auto"/>
            <w:noWrap/>
            <w:vAlign w:val="bottom"/>
          </w:tcPr>
          <w:p w14:paraId="2DC862EF"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0.049</w:t>
            </w:r>
          </w:p>
        </w:tc>
        <w:tc>
          <w:tcPr>
            <w:tcW w:w="276" w:type="pct"/>
            <w:tcBorders>
              <w:top w:val="nil"/>
              <w:left w:val="nil"/>
              <w:bottom w:val="nil"/>
              <w:right w:val="nil"/>
            </w:tcBorders>
            <w:shd w:val="clear" w:color="auto" w:fill="auto"/>
            <w:noWrap/>
            <w:vAlign w:val="bottom"/>
          </w:tcPr>
          <w:p w14:paraId="7B8845A2"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-0.059</w:t>
            </w:r>
          </w:p>
        </w:tc>
        <w:tc>
          <w:tcPr>
            <w:tcW w:w="276" w:type="pct"/>
            <w:tcBorders>
              <w:top w:val="nil"/>
              <w:left w:val="nil"/>
              <w:bottom w:val="nil"/>
              <w:right w:val="nil"/>
            </w:tcBorders>
            <w:shd w:val="clear" w:color="auto" w:fill="auto"/>
            <w:noWrap/>
            <w:vAlign w:val="bottom"/>
          </w:tcPr>
          <w:p w14:paraId="35E45DC0"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0.360</w:t>
            </w:r>
          </w:p>
        </w:tc>
        <w:tc>
          <w:tcPr>
            <w:tcW w:w="275" w:type="pct"/>
            <w:tcBorders>
              <w:top w:val="nil"/>
              <w:left w:val="nil"/>
              <w:bottom w:val="nil"/>
              <w:right w:val="nil"/>
            </w:tcBorders>
            <w:shd w:val="clear" w:color="auto" w:fill="auto"/>
            <w:noWrap/>
            <w:vAlign w:val="bottom"/>
          </w:tcPr>
          <w:p w14:paraId="14ED5902"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-0.235</w:t>
            </w:r>
          </w:p>
        </w:tc>
        <w:tc>
          <w:tcPr>
            <w:tcW w:w="275" w:type="pct"/>
            <w:tcBorders>
              <w:top w:val="nil"/>
              <w:left w:val="nil"/>
              <w:bottom w:val="nil"/>
              <w:right w:val="nil"/>
            </w:tcBorders>
            <w:shd w:val="clear" w:color="auto" w:fill="auto"/>
            <w:noWrap/>
            <w:vAlign w:val="bottom"/>
          </w:tcPr>
          <w:p w14:paraId="707C556D"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0.416</w:t>
            </w:r>
          </w:p>
        </w:tc>
        <w:tc>
          <w:tcPr>
            <w:tcW w:w="252" w:type="pct"/>
            <w:tcBorders>
              <w:top w:val="nil"/>
              <w:left w:val="nil"/>
              <w:bottom w:val="nil"/>
              <w:right w:val="nil"/>
            </w:tcBorders>
            <w:shd w:val="clear" w:color="auto" w:fill="auto"/>
            <w:noWrap/>
            <w:vAlign w:val="bottom"/>
          </w:tcPr>
          <w:p w14:paraId="6CE61D2C" w14:textId="77777777" w:rsidR="00D56016" w:rsidRPr="001E47AD" w:rsidRDefault="00D56016" w:rsidP="00CB702A">
            <w:pPr>
              <w:spacing w:line="276" w:lineRule="auto"/>
              <w:contextualSpacing/>
              <w:jc w:val="right"/>
              <w:rPr>
                <w:rFonts w:eastAsia="Times New Roman"/>
                <w:spacing w:val="-4"/>
                <w:sz w:val="16"/>
                <w:szCs w:val="16"/>
              </w:rPr>
            </w:pPr>
            <w:r w:rsidRPr="001E47AD">
              <w:rPr>
                <w:sz w:val="16"/>
                <w:szCs w:val="16"/>
              </w:rPr>
              <w:t>1.000</w:t>
            </w:r>
          </w:p>
        </w:tc>
        <w:tc>
          <w:tcPr>
            <w:tcW w:w="252" w:type="pct"/>
            <w:tcBorders>
              <w:top w:val="nil"/>
              <w:left w:val="nil"/>
              <w:bottom w:val="nil"/>
              <w:right w:val="nil"/>
            </w:tcBorders>
            <w:shd w:val="clear" w:color="auto" w:fill="auto"/>
            <w:noWrap/>
            <w:vAlign w:val="bottom"/>
          </w:tcPr>
          <w:p w14:paraId="52FA1473" w14:textId="77777777" w:rsidR="00D56016" w:rsidRPr="001E47AD" w:rsidRDefault="00D56016" w:rsidP="00CB702A">
            <w:pPr>
              <w:spacing w:line="276" w:lineRule="auto"/>
              <w:contextualSpacing/>
              <w:jc w:val="right"/>
              <w:rPr>
                <w:rFonts w:eastAsia="Times New Roman"/>
                <w:spacing w:val="-4"/>
                <w:sz w:val="16"/>
                <w:szCs w:val="16"/>
              </w:rPr>
            </w:pPr>
          </w:p>
        </w:tc>
      </w:tr>
      <w:tr w:rsidR="00D56016" w:rsidRPr="001E47AD" w14:paraId="7E98D5AA" w14:textId="77777777" w:rsidTr="00DA6B18">
        <w:trPr>
          <w:trHeight w:val="300"/>
        </w:trPr>
        <w:tc>
          <w:tcPr>
            <w:tcW w:w="268" w:type="pct"/>
            <w:tcBorders>
              <w:top w:val="nil"/>
              <w:bottom w:val="single" w:sz="4" w:space="0" w:color="auto"/>
              <w:right w:val="nil"/>
            </w:tcBorders>
            <w:shd w:val="clear" w:color="auto" w:fill="auto"/>
            <w:noWrap/>
            <w:vAlign w:val="center"/>
          </w:tcPr>
          <w:p w14:paraId="1EC99A06" w14:textId="1A47BBDE" w:rsidR="00D56016" w:rsidRPr="001E47AD" w:rsidRDefault="00D56016" w:rsidP="00CB702A">
            <w:pPr>
              <w:spacing w:line="276" w:lineRule="auto"/>
              <w:jc w:val="both"/>
              <w:rPr>
                <w:rFonts w:eastAsia="Times New Roman"/>
                <w:spacing w:val="-4"/>
                <w:sz w:val="16"/>
                <w:szCs w:val="16"/>
              </w:rPr>
            </w:pPr>
            <w:r w:rsidRPr="001E47AD">
              <w:rPr>
                <w:rFonts w:eastAsia="Times New Roman"/>
                <w:spacing w:val="-4"/>
                <w:sz w:val="16"/>
                <w:szCs w:val="16"/>
              </w:rPr>
              <w:t>14</w:t>
            </w:r>
          </w:p>
        </w:tc>
        <w:tc>
          <w:tcPr>
            <w:tcW w:w="941" w:type="pct"/>
            <w:tcBorders>
              <w:top w:val="nil"/>
              <w:left w:val="nil"/>
              <w:bottom w:val="single" w:sz="4" w:space="0" w:color="auto"/>
              <w:right w:val="nil"/>
            </w:tcBorders>
            <w:shd w:val="clear" w:color="auto" w:fill="auto"/>
            <w:noWrap/>
            <w:vAlign w:val="center"/>
          </w:tcPr>
          <w:p w14:paraId="372688F5" w14:textId="77777777" w:rsidR="00D56016" w:rsidRPr="001E47AD" w:rsidRDefault="00D56016" w:rsidP="00DA1839">
            <w:pPr>
              <w:spacing w:line="276" w:lineRule="auto"/>
              <w:contextualSpacing/>
              <w:jc w:val="center"/>
              <w:rPr>
                <w:rFonts w:eastAsia="Times New Roman"/>
                <w:spacing w:val="-4"/>
                <w:sz w:val="16"/>
                <w:szCs w:val="16"/>
              </w:rPr>
            </w:pPr>
            <m:oMathPara>
              <m:oMathParaPr>
                <m:jc m:val="left"/>
              </m:oMathParaPr>
              <m:oMath>
                <m:r>
                  <m:rPr>
                    <m:sty m:val="p"/>
                  </m:rPr>
                  <w:rPr>
                    <w:rFonts w:ascii="Cambria Math" w:hAnsi="Cambria Math"/>
                    <w:spacing w:val="-4"/>
                    <w:sz w:val="16"/>
                    <w:szCs w:val="16"/>
                  </w:rPr>
                  <m:t>HUR_TRACK_WIND</m:t>
                </m:r>
              </m:oMath>
            </m:oMathPara>
          </w:p>
        </w:tc>
        <w:tc>
          <w:tcPr>
            <w:tcW w:w="276" w:type="pct"/>
            <w:tcBorders>
              <w:top w:val="nil"/>
              <w:left w:val="nil"/>
              <w:bottom w:val="single" w:sz="4" w:space="0" w:color="auto"/>
              <w:right w:val="nil"/>
            </w:tcBorders>
            <w:shd w:val="clear" w:color="auto" w:fill="auto"/>
            <w:noWrap/>
            <w:vAlign w:val="bottom"/>
          </w:tcPr>
          <w:p w14:paraId="5C61025B" w14:textId="77777777" w:rsidR="00D56016" w:rsidRPr="001E47AD" w:rsidRDefault="00D56016" w:rsidP="00CB702A">
            <w:pPr>
              <w:spacing w:line="276" w:lineRule="auto"/>
              <w:contextualSpacing/>
              <w:jc w:val="right"/>
              <w:rPr>
                <w:spacing w:val="-4"/>
                <w:sz w:val="16"/>
                <w:szCs w:val="16"/>
              </w:rPr>
            </w:pPr>
            <w:r w:rsidRPr="001E47AD">
              <w:rPr>
                <w:sz w:val="16"/>
                <w:szCs w:val="16"/>
              </w:rPr>
              <w:t>0.007</w:t>
            </w:r>
          </w:p>
        </w:tc>
        <w:tc>
          <w:tcPr>
            <w:tcW w:w="276" w:type="pct"/>
            <w:tcBorders>
              <w:top w:val="nil"/>
              <w:left w:val="nil"/>
              <w:bottom w:val="single" w:sz="4" w:space="0" w:color="auto"/>
              <w:right w:val="nil"/>
            </w:tcBorders>
            <w:shd w:val="clear" w:color="auto" w:fill="auto"/>
            <w:noWrap/>
            <w:vAlign w:val="bottom"/>
          </w:tcPr>
          <w:p w14:paraId="0BC5EE96" w14:textId="77777777" w:rsidR="00D56016" w:rsidRPr="001E47AD" w:rsidRDefault="00D56016" w:rsidP="00CB702A">
            <w:pPr>
              <w:spacing w:line="276" w:lineRule="auto"/>
              <w:contextualSpacing/>
              <w:jc w:val="right"/>
              <w:rPr>
                <w:spacing w:val="-4"/>
                <w:sz w:val="16"/>
                <w:szCs w:val="16"/>
              </w:rPr>
            </w:pPr>
            <w:r w:rsidRPr="001E47AD">
              <w:rPr>
                <w:sz w:val="16"/>
                <w:szCs w:val="16"/>
              </w:rPr>
              <w:t>0.006</w:t>
            </w:r>
          </w:p>
        </w:tc>
        <w:tc>
          <w:tcPr>
            <w:tcW w:w="276" w:type="pct"/>
            <w:tcBorders>
              <w:top w:val="nil"/>
              <w:left w:val="nil"/>
              <w:bottom w:val="single" w:sz="4" w:space="0" w:color="auto"/>
              <w:right w:val="nil"/>
            </w:tcBorders>
            <w:shd w:val="clear" w:color="auto" w:fill="auto"/>
            <w:noWrap/>
            <w:vAlign w:val="bottom"/>
          </w:tcPr>
          <w:p w14:paraId="435EA192" w14:textId="77777777" w:rsidR="00D56016" w:rsidRPr="001E47AD" w:rsidRDefault="00D56016" w:rsidP="00CB702A">
            <w:pPr>
              <w:spacing w:line="276" w:lineRule="auto"/>
              <w:contextualSpacing/>
              <w:jc w:val="right"/>
              <w:rPr>
                <w:spacing w:val="-4"/>
                <w:sz w:val="16"/>
                <w:szCs w:val="16"/>
              </w:rPr>
            </w:pPr>
            <w:r w:rsidRPr="001E47AD">
              <w:rPr>
                <w:sz w:val="16"/>
                <w:szCs w:val="16"/>
              </w:rPr>
              <w:t>0.012</w:t>
            </w:r>
          </w:p>
        </w:tc>
        <w:tc>
          <w:tcPr>
            <w:tcW w:w="276" w:type="pct"/>
            <w:tcBorders>
              <w:top w:val="nil"/>
              <w:left w:val="nil"/>
              <w:bottom w:val="single" w:sz="4" w:space="0" w:color="auto"/>
              <w:right w:val="nil"/>
            </w:tcBorders>
            <w:shd w:val="clear" w:color="auto" w:fill="auto"/>
            <w:noWrap/>
            <w:vAlign w:val="bottom"/>
          </w:tcPr>
          <w:p w14:paraId="206936E8" w14:textId="77777777" w:rsidR="00D56016" w:rsidRPr="001E47AD" w:rsidRDefault="00D56016" w:rsidP="00CB702A">
            <w:pPr>
              <w:spacing w:line="276" w:lineRule="auto"/>
              <w:contextualSpacing/>
              <w:jc w:val="right"/>
              <w:rPr>
                <w:spacing w:val="-4"/>
                <w:sz w:val="16"/>
                <w:szCs w:val="16"/>
              </w:rPr>
            </w:pPr>
            <w:r w:rsidRPr="001E47AD">
              <w:rPr>
                <w:sz w:val="16"/>
                <w:szCs w:val="16"/>
              </w:rPr>
              <w:t>0.046</w:t>
            </w:r>
          </w:p>
        </w:tc>
        <w:tc>
          <w:tcPr>
            <w:tcW w:w="276" w:type="pct"/>
            <w:tcBorders>
              <w:top w:val="nil"/>
              <w:left w:val="nil"/>
              <w:bottom w:val="single" w:sz="4" w:space="0" w:color="auto"/>
              <w:right w:val="nil"/>
            </w:tcBorders>
            <w:shd w:val="clear" w:color="auto" w:fill="auto"/>
            <w:noWrap/>
            <w:vAlign w:val="bottom"/>
          </w:tcPr>
          <w:p w14:paraId="7F6C2616" w14:textId="77777777" w:rsidR="00D56016" w:rsidRPr="001E47AD" w:rsidRDefault="00D56016" w:rsidP="00CB702A">
            <w:pPr>
              <w:spacing w:line="276" w:lineRule="auto"/>
              <w:contextualSpacing/>
              <w:jc w:val="right"/>
              <w:rPr>
                <w:spacing w:val="-4"/>
                <w:sz w:val="16"/>
                <w:szCs w:val="16"/>
              </w:rPr>
            </w:pPr>
            <w:r w:rsidRPr="001E47AD">
              <w:rPr>
                <w:sz w:val="16"/>
                <w:szCs w:val="16"/>
              </w:rPr>
              <w:t>0.019</w:t>
            </w:r>
          </w:p>
        </w:tc>
        <w:tc>
          <w:tcPr>
            <w:tcW w:w="253" w:type="pct"/>
            <w:tcBorders>
              <w:top w:val="nil"/>
              <w:left w:val="nil"/>
              <w:bottom w:val="single" w:sz="4" w:space="0" w:color="auto"/>
              <w:right w:val="nil"/>
            </w:tcBorders>
            <w:shd w:val="clear" w:color="auto" w:fill="auto"/>
            <w:noWrap/>
            <w:vAlign w:val="bottom"/>
          </w:tcPr>
          <w:p w14:paraId="72FE28F4" w14:textId="77777777" w:rsidR="00D56016" w:rsidRPr="001E47AD" w:rsidRDefault="00D56016" w:rsidP="00CB702A">
            <w:pPr>
              <w:spacing w:line="276" w:lineRule="auto"/>
              <w:contextualSpacing/>
              <w:jc w:val="right"/>
              <w:rPr>
                <w:spacing w:val="-4"/>
                <w:sz w:val="16"/>
                <w:szCs w:val="16"/>
              </w:rPr>
            </w:pPr>
            <w:r w:rsidRPr="001E47AD">
              <w:rPr>
                <w:sz w:val="16"/>
                <w:szCs w:val="16"/>
              </w:rPr>
              <w:t>0.036</w:t>
            </w:r>
          </w:p>
        </w:tc>
        <w:tc>
          <w:tcPr>
            <w:tcW w:w="276" w:type="pct"/>
            <w:tcBorders>
              <w:top w:val="nil"/>
              <w:left w:val="nil"/>
              <w:bottom w:val="single" w:sz="4" w:space="0" w:color="auto"/>
              <w:right w:val="nil"/>
            </w:tcBorders>
            <w:shd w:val="clear" w:color="auto" w:fill="auto"/>
            <w:noWrap/>
            <w:vAlign w:val="bottom"/>
          </w:tcPr>
          <w:p w14:paraId="1B76085C" w14:textId="77777777" w:rsidR="00D56016" w:rsidRPr="001E47AD" w:rsidRDefault="00D56016" w:rsidP="00CB702A">
            <w:pPr>
              <w:spacing w:line="276" w:lineRule="auto"/>
              <w:contextualSpacing/>
              <w:jc w:val="right"/>
              <w:rPr>
                <w:spacing w:val="-4"/>
                <w:sz w:val="16"/>
                <w:szCs w:val="16"/>
              </w:rPr>
            </w:pPr>
            <w:r w:rsidRPr="001E47AD">
              <w:rPr>
                <w:sz w:val="16"/>
                <w:szCs w:val="16"/>
              </w:rPr>
              <w:t>-0.044</w:t>
            </w:r>
          </w:p>
        </w:tc>
        <w:tc>
          <w:tcPr>
            <w:tcW w:w="276" w:type="pct"/>
            <w:tcBorders>
              <w:top w:val="nil"/>
              <w:left w:val="nil"/>
              <w:bottom w:val="single" w:sz="4" w:space="0" w:color="auto"/>
              <w:right w:val="nil"/>
            </w:tcBorders>
            <w:shd w:val="clear" w:color="auto" w:fill="auto"/>
            <w:noWrap/>
            <w:vAlign w:val="bottom"/>
          </w:tcPr>
          <w:p w14:paraId="1A2B84AB" w14:textId="77777777" w:rsidR="00D56016" w:rsidRPr="001E47AD" w:rsidRDefault="00D56016" w:rsidP="00CB702A">
            <w:pPr>
              <w:spacing w:line="276" w:lineRule="auto"/>
              <w:contextualSpacing/>
              <w:jc w:val="right"/>
              <w:rPr>
                <w:spacing w:val="-4"/>
                <w:sz w:val="16"/>
                <w:szCs w:val="16"/>
              </w:rPr>
            </w:pPr>
            <w:r w:rsidRPr="001E47AD">
              <w:rPr>
                <w:sz w:val="16"/>
                <w:szCs w:val="16"/>
              </w:rPr>
              <w:t>0.020</w:t>
            </w:r>
          </w:p>
        </w:tc>
        <w:tc>
          <w:tcPr>
            <w:tcW w:w="276" w:type="pct"/>
            <w:tcBorders>
              <w:top w:val="nil"/>
              <w:left w:val="nil"/>
              <w:bottom w:val="single" w:sz="4" w:space="0" w:color="auto"/>
              <w:right w:val="nil"/>
            </w:tcBorders>
            <w:shd w:val="clear" w:color="auto" w:fill="auto"/>
            <w:noWrap/>
            <w:vAlign w:val="bottom"/>
          </w:tcPr>
          <w:p w14:paraId="128D6665" w14:textId="77777777" w:rsidR="00D56016" w:rsidRPr="001E47AD" w:rsidRDefault="00D56016" w:rsidP="00CB702A">
            <w:pPr>
              <w:spacing w:line="276" w:lineRule="auto"/>
              <w:contextualSpacing/>
              <w:jc w:val="right"/>
              <w:rPr>
                <w:spacing w:val="-4"/>
                <w:sz w:val="16"/>
                <w:szCs w:val="16"/>
              </w:rPr>
            </w:pPr>
            <w:r w:rsidRPr="001E47AD">
              <w:rPr>
                <w:sz w:val="16"/>
                <w:szCs w:val="16"/>
              </w:rPr>
              <w:t>0.018</w:t>
            </w:r>
          </w:p>
        </w:tc>
        <w:tc>
          <w:tcPr>
            <w:tcW w:w="276" w:type="pct"/>
            <w:tcBorders>
              <w:top w:val="nil"/>
              <w:left w:val="nil"/>
              <w:bottom w:val="single" w:sz="4" w:space="0" w:color="auto"/>
              <w:right w:val="nil"/>
            </w:tcBorders>
            <w:shd w:val="clear" w:color="auto" w:fill="auto"/>
            <w:noWrap/>
            <w:vAlign w:val="bottom"/>
          </w:tcPr>
          <w:p w14:paraId="559DF51A" w14:textId="77777777" w:rsidR="00D56016" w:rsidRPr="001E47AD" w:rsidRDefault="00D56016" w:rsidP="00CB702A">
            <w:pPr>
              <w:spacing w:line="276" w:lineRule="auto"/>
              <w:contextualSpacing/>
              <w:jc w:val="right"/>
              <w:rPr>
                <w:spacing w:val="-4"/>
                <w:sz w:val="16"/>
                <w:szCs w:val="16"/>
              </w:rPr>
            </w:pPr>
            <w:r w:rsidRPr="001E47AD">
              <w:rPr>
                <w:sz w:val="16"/>
                <w:szCs w:val="16"/>
              </w:rPr>
              <w:t>0.186</w:t>
            </w:r>
          </w:p>
        </w:tc>
        <w:tc>
          <w:tcPr>
            <w:tcW w:w="275" w:type="pct"/>
            <w:tcBorders>
              <w:top w:val="nil"/>
              <w:left w:val="nil"/>
              <w:bottom w:val="single" w:sz="4" w:space="0" w:color="auto"/>
              <w:right w:val="nil"/>
            </w:tcBorders>
            <w:shd w:val="clear" w:color="auto" w:fill="auto"/>
            <w:noWrap/>
            <w:vAlign w:val="bottom"/>
          </w:tcPr>
          <w:p w14:paraId="27D0BA11" w14:textId="77777777" w:rsidR="00D56016" w:rsidRPr="001E47AD" w:rsidRDefault="00D56016" w:rsidP="00CB702A">
            <w:pPr>
              <w:spacing w:line="276" w:lineRule="auto"/>
              <w:contextualSpacing/>
              <w:jc w:val="right"/>
              <w:rPr>
                <w:spacing w:val="-4"/>
                <w:sz w:val="16"/>
                <w:szCs w:val="16"/>
              </w:rPr>
            </w:pPr>
            <w:r w:rsidRPr="001E47AD">
              <w:rPr>
                <w:sz w:val="16"/>
                <w:szCs w:val="16"/>
              </w:rPr>
              <w:t>0.047</w:t>
            </w:r>
          </w:p>
        </w:tc>
        <w:tc>
          <w:tcPr>
            <w:tcW w:w="275" w:type="pct"/>
            <w:tcBorders>
              <w:top w:val="nil"/>
              <w:left w:val="nil"/>
              <w:bottom w:val="single" w:sz="4" w:space="0" w:color="auto"/>
              <w:right w:val="nil"/>
            </w:tcBorders>
            <w:shd w:val="clear" w:color="auto" w:fill="auto"/>
            <w:noWrap/>
            <w:vAlign w:val="bottom"/>
          </w:tcPr>
          <w:p w14:paraId="0D7EECEE" w14:textId="77777777" w:rsidR="00D56016" w:rsidRPr="001E47AD" w:rsidRDefault="00D56016" w:rsidP="00CB702A">
            <w:pPr>
              <w:spacing w:line="276" w:lineRule="auto"/>
              <w:contextualSpacing/>
              <w:jc w:val="right"/>
              <w:rPr>
                <w:spacing w:val="-4"/>
                <w:sz w:val="16"/>
                <w:szCs w:val="16"/>
              </w:rPr>
            </w:pPr>
            <w:r w:rsidRPr="001E47AD">
              <w:rPr>
                <w:sz w:val="16"/>
                <w:szCs w:val="16"/>
              </w:rPr>
              <w:t>-0.201</w:t>
            </w:r>
          </w:p>
        </w:tc>
        <w:tc>
          <w:tcPr>
            <w:tcW w:w="252" w:type="pct"/>
            <w:tcBorders>
              <w:top w:val="nil"/>
              <w:left w:val="nil"/>
              <w:bottom w:val="single" w:sz="4" w:space="0" w:color="auto"/>
              <w:right w:val="nil"/>
            </w:tcBorders>
            <w:shd w:val="clear" w:color="auto" w:fill="auto"/>
            <w:noWrap/>
            <w:vAlign w:val="bottom"/>
          </w:tcPr>
          <w:p w14:paraId="59541644" w14:textId="77777777" w:rsidR="00D56016" w:rsidRPr="001E47AD" w:rsidRDefault="00D56016" w:rsidP="00CB702A">
            <w:pPr>
              <w:spacing w:line="276" w:lineRule="auto"/>
              <w:contextualSpacing/>
              <w:jc w:val="right"/>
              <w:rPr>
                <w:spacing w:val="-4"/>
                <w:sz w:val="16"/>
                <w:szCs w:val="16"/>
              </w:rPr>
            </w:pPr>
            <w:r w:rsidRPr="001E47AD">
              <w:rPr>
                <w:sz w:val="16"/>
                <w:szCs w:val="16"/>
              </w:rPr>
              <w:t>0.175</w:t>
            </w:r>
          </w:p>
        </w:tc>
        <w:tc>
          <w:tcPr>
            <w:tcW w:w="252" w:type="pct"/>
            <w:tcBorders>
              <w:top w:val="nil"/>
              <w:left w:val="nil"/>
              <w:bottom w:val="single" w:sz="4" w:space="0" w:color="auto"/>
              <w:right w:val="nil"/>
            </w:tcBorders>
            <w:shd w:val="clear" w:color="auto" w:fill="auto"/>
            <w:noWrap/>
            <w:vAlign w:val="bottom"/>
          </w:tcPr>
          <w:p w14:paraId="09E70433" w14:textId="77777777" w:rsidR="00D56016" w:rsidRPr="001E47AD" w:rsidRDefault="00D56016" w:rsidP="00CB702A">
            <w:pPr>
              <w:spacing w:line="276" w:lineRule="auto"/>
              <w:contextualSpacing/>
              <w:jc w:val="right"/>
              <w:rPr>
                <w:spacing w:val="-4"/>
                <w:sz w:val="16"/>
                <w:szCs w:val="16"/>
              </w:rPr>
            </w:pPr>
            <w:r w:rsidRPr="001E47AD">
              <w:rPr>
                <w:sz w:val="16"/>
                <w:szCs w:val="16"/>
              </w:rPr>
              <w:t>1.000</w:t>
            </w:r>
          </w:p>
        </w:tc>
      </w:tr>
    </w:tbl>
    <w:p w14:paraId="5D9C56F6" w14:textId="77777777" w:rsidR="00D63168" w:rsidRPr="001E47AD" w:rsidRDefault="00D63168" w:rsidP="00D63168">
      <w:pPr>
        <w:tabs>
          <w:tab w:val="left" w:pos="8361"/>
        </w:tabs>
        <w:spacing w:line="360" w:lineRule="auto"/>
        <w:contextualSpacing/>
        <w:rPr>
          <w:sz w:val="22"/>
          <w:szCs w:val="22"/>
        </w:rPr>
      </w:pPr>
      <w:bookmarkStart w:id="74" w:name="_Ref518084283"/>
      <w:bookmarkStart w:id="75" w:name="_Toc520380545"/>
    </w:p>
    <w:p w14:paraId="754C043D" w14:textId="77777777" w:rsidR="00D63168" w:rsidRPr="001E47AD" w:rsidRDefault="00D63168">
      <w:pPr>
        <w:rPr>
          <w:sz w:val="22"/>
          <w:szCs w:val="22"/>
        </w:rPr>
      </w:pPr>
      <w:r w:rsidRPr="001E47AD">
        <w:rPr>
          <w:sz w:val="22"/>
          <w:szCs w:val="22"/>
        </w:rPr>
        <w:br w:type="page"/>
      </w:r>
    </w:p>
    <w:p w14:paraId="4578A78C" w14:textId="1AE9DCD9" w:rsidR="00D63168" w:rsidRPr="001E47AD" w:rsidRDefault="00D63168" w:rsidP="00D63168">
      <w:pPr>
        <w:tabs>
          <w:tab w:val="left" w:pos="8361"/>
        </w:tabs>
        <w:spacing w:line="360" w:lineRule="auto"/>
        <w:contextualSpacing/>
        <w:rPr>
          <w:b/>
          <w:sz w:val="22"/>
          <w:szCs w:val="22"/>
        </w:rPr>
      </w:pPr>
      <w:r w:rsidRPr="001E47AD">
        <w:rPr>
          <w:sz w:val="22"/>
          <w:szCs w:val="22"/>
        </w:rPr>
        <w:lastRenderedPageBreak/>
        <w:t xml:space="preserve">Table </w:t>
      </w:r>
      <w:bookmarkEnd w:id="74"/>
      <w:r w:rsidRPr="001E47AD">
        <w:rPr>
          <w:sz w:val="22"/>
          <w:szCs w:val="22"/>
        </w:rPr>
        <w:t>A</w:t>
      </w:r>
      <w:r w:rsidR="00385087" w:rsidRPr="001E47AD">
        <w:rPr>
          <w:sz w:val="22"/>
          <w:szCs w:val="22"/>
        </w:rPr>
        <w:t>2</w:t>
      </w:r>
      <w:r w:rsidRPr="001E47AD">
        <w:rPr>
          <w:sz w:val="22"/>
          <w:szCs w:val="22"/>
        </w:rPr>
        <w:t>: Estimation Results (First-Stage of 2SLS: In-Store Product Availability)</w:t>
      </w:r>
      <w:bookmarkEnd w:id="75"/>
      <w:r w:rsidRPr="001E47AD">
        <w:rPr>
          <w:sz w:val="22"/>
          <w:szCs w:val="22"/>
        </w:rPr>
        <w:tab/>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016"/>
        <w:gridCol w:w="1984"/>
        <w:gridCol w:w="1984"/>
        <w:gridCol w:w="1984"/>
        <w:gridCol w:w="1982"/>
      </w:tblGrid>
      <w:tr w:rsidR="00D63168" w:rsidRPr="001E47AD" w14:paraId="636F2407" w14:textId="77777777" w:rsidTr="006B6D34">
        <w:tc>
          <w:tcPr>
            <w:tcW w:w="1224" w:type="pct"/>
            <w:tcBorders>
              <w:top w:val="single" w:sz="4" w:space="0" w:color="auto"/>
              <w:bottom w:val="single" w:sz="4" w:space="0" w:color="auto"/>
            </w:tcBorders>
            <w:vAlign w:val="center"/>
          </w:tcPr>
          <w:p w14:paraId="40C086AB" w14:textId="77777777" w:rsidR="00D63168" w:rsidRPr="001E47AD" w:rsidRDefault="00D63168" w:rsidP="006B6D34">
            <w:pPr>
              <w:contextualSpacing/>
              <w:rPr>
                <w:rFonts w:ascii="Times New Roman" w:hAnsi="Times New Roman" w:cs="Times New Roman"/>
                <w:sz w:val="16"/>
                <w:szCs w:val="16"/>
              </w:rPr>
            </w:pPr>
            <w:r w:rsidRPr="001E47AD">
              <w:rPr>
                <w:rFonts w:ascii="Times New Roman" w:hAnsi="Times New Roman" w:cs="Times New Roman"/>
                <w:sz w:val="16"/>
                <w:szCs w:val="16"/>
              </w:rPr>
              <w:t>Dependent Variable</w:t>
            </w:r>
          </w:p>
          <w:p w14:paraId="34FB1BAC" w14:textId="77777777" w:rsidR="00D63168" w:rsidRPr="001E47AD" w:rsidRDefault="00D63168" w:rsidP="006B6D34">
            <w:pPr>
              <w:contextualSpacing/>
              <w:rPr>
                <w:rFonts w:ascii="Times New Roman" w:hAnsi="Times New Roman" w:cs="Times New Roman"/>
                <w:spacing w:val="-4"/>
                <w:sz w:val="16"/>
                <w:szCs w:val="16"/>
              </w:rPr>
            </w:pPr>
            <m:oMathPara>
              <m:oMathParaPr>
                <m:jc m:val="left"/>
              </m:oMathParaPr>
              <m:oMath>
                <m:r>
                  <m:rPr>
                    <m:sty m:val="p"/>
                  </m:rPr>
                  <w:rPr>
                    <w:rFonts w:ascii="Cambria Math" w:hAnsi="Cambria Math" w:cs="Times New Roman"/>
                    <w:spacing w:val="-4"/>
                    <w:sz w:val="16"/>
                    <w:szCs w:val="16"/>
                  </w:rPr>
                  <m:t>LN(STOCK_PROP_EARLY)×1000</m:t>
                </m:r>
              </m:oMath>
            </m:oMathPara>
          </w:p>
        </w:tc>
        <w:tc>
          <w:tcPr>
            <w:tcW w:w="765" w:type="pct"/>
            <w:tcBorders>
              <w:top w:val="single" w:sz="4" w:space="0" w:color="auto"/>
              <w:bottom w:val="single" w:sz="4" w:space="0" w:color="auto"/>
            </w:tcBorders>
            <w:vAlign w:val="center"/>
          </w:tcPr>
          <w:p w14:paraId="20616F40"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2.1</w:t>
            </w:r>
          </w:p>
          <w:p w14:paraId="54F5B4F4"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LATE Week</w:t>
            </w:r>
          </w:p>
        </w:tc>
        <w:tc>
          <w:tcPr>
            <w:tcW w:w="753" w:type="pct"/>
            <w:tcBorders>
              <w:top w:val="single" w:sz="4" w:space="0" w:color="auto"/>
              <w:bottom w:val="single" w:sz="4" w:space="0" w:color="auto"/>
            </w:tcBorders>
            <w:shd w:val="clear" w:color="auto" w:fill="auto"/>
            <w:vAlign w:val="center"/>
          </w:tcPr>
          <w:p w14:paraId="712BD226"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2.2</w:t>
            </w:r>
          </w:p>
          <w:p w14:paraId="3929F005"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1</w:t>
            </w:r>
          </w:p>
        </w:tc>
        <w:tc>
          <w:tcPr>
            <w:tcW w:w="753" w:type="pct"/>
            <w:tcBorders>
              <w:top w:val="single" w:sz="4" w:space="0" w:color="auto"/>
              <w:bottom w:val="single" w:sz="4" w:space="0" w:color="auto"/>
            </w:tcBorders>
            <w:vAlign w:val="center"/>
          </w:tcPr>
          <w:p w14:paraId="18E9BF2B"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2.3</w:t>
            </w:r>
          </w:p>
          <w:p w14:paraId="5A5795CF"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2</w:t>
            </w:r>
          </w:p>
        </w:tc>
        <w:tc>
          <w:tcPr>
            <w:tcW w:w="753" w:type="pct"/>
            <w:tcBorders>
              <w:top w:val="single" w:sz="4" w:space="0" w:color="auto"/>
              <w:bottom w:val="single" w:sz="4" w:space="0" w:color="auto"/>
            </w:tcBorders>
            <w:vAlign w:val="center"/>
          </w:tcPr>
          <w:p w14:paraId="6D1B0116"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2.4</w:t>
            </w:r>
          </w:p>
          <w:p w14:paraId="40058F7F"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3</w:t>
            </w:r>
          </w:p>
        </w:tc>
        <w:tc>
          <w:tcPr>
            <w:tcW w:w="752" w:type="pct"/>
            <w:tcBorders>
              <w:top w:val="single" w:sz="4" w:space="0" w:color="auto"/>
              <w:bottom w:val="single" w:sz="4" w:space="0" w:color="auto"/>
            </w:tcBorders>
          </w:tcPr>
          <w:p w14:paraId="305EC132"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2.5</w:t>
            </w:r>
          </w:p>
          <w:p w14:paraId="3E266EA2" w14:textId="77777777" w:rsidR="00D63168" w:rsidRPr="001E47AD" w:rsidRDefault="00D63168" w:rsidP="006B6D34">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4</w:t>
            </w:r>
          </w:p>
        </w:tc>
      </w:tr>
      <w:tr w:rsidR="00D63168" w:rsidRPr="001E47AD" w14:paraId="2C73E53D" w14:textId="77777777" w:rsidTr="006B6D34">
        <w:tc>
          <w:tcPr>
            <w:tcW w:w="1224" w:type="pct"/>
            <w:tcBorders>
              <w:top w:val="single" w:sz="4" w:space="0" w:color="auto"/>
              <w:left w:val="nil"/>
              <w:bottom w:val="nil"/>
              <w:right w:val="nil"/>
            </w:tcBorders>
            <w:shd w:val="clear" w:color="auto" w:fill="auto"/>
            <w:vAlign w:val="center"/>
          </w:tcPr>
          <w:p w14:paraId="39C5FEF4" w14:textId="77777777" w:rsidR="00D63168" w:rsidRPr="001E47AD" w:rsidRDefault="00D63168" w:rsidP="006B6D34">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Independent Variables</w:t>
            </w:r>
          </w:p>
        </w:tc>
        <w:tc>
          <w:tcPr>
            <w:tcW w:w="765" w:type="pct"/>
            <w:tcBorders>
              <w:top w:val="single" w:sz="4" w:space="0" w:color="auto"/>
              <w:left w:val="nil"/>
              <w:bottom w:val="nil"/>
              <w:right w:val="nil"/>
            </w:tcBorders>
            <w:shd w:val="clear" w:color="auto" w:fill="auto"/>
            <w:vAlign w:val="bottom"/>
          </w:tcPr>
          <w:p w14:paraId="7BD2AB62" w14:textId="77777777" w:rsidR="00D63168" w:rsidRPr="001E47AD" w:rsidRDefault="00D63168" w:rsidP="006B6D34">
            <w:pPr>
              <w:jc w:val="right"/>
              <w:rPr>
                <w:rFonts w:ascii="Times New Roman" w:hAnsi="Times New Roman" w:cs="Times New Roman"/>
                <w:sz w:val="16"/>
                <w:szCs w:val="16"/>
              </w:rPr>
            </w:pPr>
          </w:p>
        </w:tc>
        <w:tc>
          <w:tcPr>
            <w:tcW w:w="753" w:type="pct"/>
            <w:tcBorders>
              <w:top w:val="single" w:sz="4" w:space="0" w:color="auto"/>
              <w:left w:val="nil"/>
              <w:bottom w:val="nil"/>
              <w:right w:val="nil"/>
            </w:tcBorders>
            <w:shd w:val="clear" w:color="auto" w:fill="auto"/>
            <w:vAlign w:val="bottom"/>
          </w:tcPr>
          <w:p w14:paraId="5C05B926" w14:textId="77777777" w:rsidR="00D63168" w:rsidRPr="001E47AD" w:rsidRDefault="00D63168" w:rsidP="006B6D34">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629CCBE2" w14:textId="77777777" w:rsidR="00D63168" w:rsidRPr="001E47AD" w:rsidRDefault="00D63168" w:rsidP="006B6D34">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34467837" w14:textId="77777777" w:rsidR="00D63168" w:rsidRPr="001E47AD" w:rsidRDefault="00D63168" w:rsidP="006B6D34">
            <w:pPr>
              <w:jc w:val="right"/>
              <w:rPr>
                <w:rFonts w:ascii="Times New Roman" w:hAnsi="Times New Roman" w:cs="Times New Roman"/>
                <w:sz w:val="20"/>
                <w:szCs w:val="20"/>
              </w:rPr>
            </w:pPr>
          </w:p>
        </w:tc>
        <w:tc>
          <w:tcPr>
            <w:tcW w:w="752" w:type="pct"/>
            <w:tcBorders>
              <w:top w:val="single" w:sz="4" w:space="0" w:color="auto"/>
              <w:left w:val="nil"/>
              <w:bottom w:val="nil"/>
              <w:right w:val="nil"/>
            </w:tcBorders>
            <w:shd w:val="clear" w:color="auto" w:fill="auto"/>
            <w:vAlign w:val="bottom"/>
          </w:tcPr>
          <w:p w14:paraId="0E7EAB07" w14:textId="77777777" w:rsidR="00D63168" w:rsidRPr="001E47AD" w:rsidRDefault="00D63168" w:rsidP="006B6D34">
            <w:pPr>
              <w:jc w:val="right"/>
              <w:rPr>
                <w:rFonts w:ascii="Times New Roman" w:hAnsi="Times New Roman" w:cs="Times New Roman"/>
                <w:sz w:val="20"/>
                <w:szCs w:val="20"/>
              </w:rPr>
            </w:pPr>
          </w:p>
        </w:tc>
      </w:tr>
      <w:tr w:rsidR="00D63168" w:rsidRPr="001E47AD" w14:paraId="66D9146E" w14:textId="77777777" w:rsidTr="006B6D34">
        <w:tc>
          <w:tcPr>
            <w:tcW w:w="1224" w:type="pct"/>
            <w:tcBorders>
              <w:top w:val="nil"/>
              <w:left w:val="nil"/>
              <w:bottom w:val="nil"/>
              <w:right w:val="nil"/>
            </w:tcBorders>
            <w:shd w:val="clear" w:color="auto" w:fill="auto"/>
            <w:vAlign w:val="center"/>
          </w:tcPr>
          <w:p w14:paraId="752E29C0"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Supply-Side Characteristics</w:t>
            </w:r>
          </w:p>
        </w:tc>
        <w:tc>
          <w:tcPr>
            <w:tcW w:w="765" w:type="pct"/>
            <w:tcBorders>
              <w:top w:val="nil"/>
              <w:left w:val="nil"/>
              <w:bottom w:val="nil"/>
              <w:right w:val="nil"/>
            </w:tcBorders>
            <w:shd w:val="clear" w:color="auto" w:fill="auto"/>
            <w:vAlign w:val="bottom"/>
          </w:tcPr>
          <w:p w14:paraId="0704ADBA"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59897F87"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AEE3869"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6FF6C9DE" w14:textId="77777777" w:rsidR="00D63168" w:rsidRPr="001E47AD" w:rsidRDefault="00D63168" w:rsidP="006B6D34">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69AB2C8D" w14:textId="77777777" w:rsidR="00D63168" w:rsidRPr="001E47AD" w:rsidRDefault="00D63168" w:rsidP="006B6D34">
            <w:pPr>
              <w:jc w:val="right"/>
              <w:rPr>
                <w:rFonts w:ascii="Times New Roman" w:hAnsi="Times New Roman" w:cs="Times New Roman"/>
                <w:sz w:val="20"/>
                <w:szCs w:val="20"/>
              </w:rPr>
            </w:pPr>
          </w:p>
        </w:tc>
      </w:tr>
      <w:tr w:rsidR="00D63168" w:rsidRPr="001E47AD" w14:paraId="45FB2B93" w14:textId="77777777" w:rsidTr="006B6D34">
        <w:tc>
          <w:tcPr>
            <w:tcW w:w="1224" w:type="pct"/>
            <w:tcBorders>
              <w:top w:val="nil"/>
              <w:left w:val="nil"/>
              <w:bottom w:val="nil"/>
              <w:right w:val="nil"/>
            </w:tcBorders>
            <w:shd w:val="clear" w:color="auto" w:fill="auto"/>
            <w:vAlign w:val="center"/>
          </w:tcPr>
          <w:p w14:paraId="30F1BFCA"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INTRA_NTW_COUNTY</m:t>
                </m:r>
              </m:oMath>
            </m:oMathPara>
          </w:p>
        </w:tc>
        <w:tc>
          <w:tcPr>
            <w:tcW w:w="765" w:type="pct"/>
            <w:tcBorders>
              <w:top w:val="nil"/>
              <w:left w:val="nil"/>
              <w:bottom w:val="nil"/>
              <w:right w:val="nil"/>
            </w:tcBorders>
            <w:shd w:val="clear" w:color="auto" w:fill="auto"/>
            <w:vAlign w:val="bottom"/>
          </w:tcPr>
          <w:p w14:paraId="45577D9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-221.917*** (22.292)</w:t>
            </w:r>
          </w:p>
        </w:tc>
        <w:tc>
          <w:tcPr>
            <w:tcW w:w="753" w:type="pct"/>
            <w:tcBorders>
              <w:top w:val="nil"/>
              <w:left w:val="nil"/>
              <w:bottom w:val="nil"/>
              <w:right w:val="nil"/>
            </w:tcBorders>
            <w:shd w:val="clear" w:color="auto" w:fill="auto"/>
            <w:vAlign w:val="bottom"/>
          </w:tcPr>
          <w:p w14:paraId="48795E66"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-229.087*** (22.271)</w:t>
            </w:r>
          </w:p>
        </w:tc>
        <w:tc>
          <w:tcPr>
            <w:tcW w:w="753" w:type="pct"/>
            <w:tcBorders>
              <w:top w:val="nil"/>
              <w:left w:val="nil"/>
              <w:bottom w:val="nil"/>
              <w:right w:val="nil"/>
            </w:tcBorders>
            <w:shd w:val="clear" w:color="auto" w:fill="auto"/>
            <w:vAlign w:val="bottom"/>
          </w:tcPr>
          <w:p w14:paraId="73273B6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-229.196*** (22.255)</w:t>
            </w:r>
          </w:p>
        </w:tc>
        <w:tc>
          <w:tcPr>
            <w:tcW w:w="753" w:type="pct"/>
            <w:tcBorders>
              <w:top w:val="nil"/>
              <w:left w:val="nil"/>
              <w:bottom w:val="nil"/>
              <w:right w:val="nil"/>
            </w:tcBorders>
            <w:shd w:val="clear" w:color="auto" w:fill="auto"/>
            <w:vAlign w:val="bottom"/>
          </w:tcPr>
          <w:p w14:paraId="431EE22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-232.017*** (22.244)</w:t>
            </w:r>
          </w:p>
        </w:tc>
        <w:tc>
          <w:tcPr>
            <w:tcW w:w="752" w:type="pct"/>
            <w:tcBorders>
              <w:top w:val="nil"/>
              <w:left w:val="nil"/>
              <w:bottom w:val="nil"/>
              <w:right w:val="nil"/>
            </w:tcBorders>
            <w:shd w:val="clear" w:color="auto" w:fill="auto"/>
            <w:vAlign w:val="bottom"/>
          </w:tcPr>
          <w:p w14:paraId="12D6655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-227.800*** (22.265)</w:t>
            </w:r>
          </w:p>
        </w:tc>
      </w:tr>
      <w:tr w:rsidR="00D63168" w:rsidRPr="001E47AD" w14:paraId="4CCEFAA8" w14:textId="77777777" w:rsidTr="006B6D34">
        <w:tc>
          <w:tcPr>
            <w:tcW w:w="1224" w:type="pct"/>
            <w:tcBorders>
              <w:top w:val="nil"/>
              <w:left w:val="nil"/>
              <w:bottom w:val="nil"/>
              <w:right w:val="nil"/>
            </w:tcBorders>
            <w:shd w:val="clear" w:color="auto" w:fill="auto"/>
            <w:vAlign w:val="center"/>
          </w:tcPr>
          <w:p w14:paraId="4FC3863C"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(INTRA_NTW_COUNTY)</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1B0191D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51.304*** (8.554)</w:t>
            </w:r>
          </w:p>
        </w:tc>
        <w:tc>
          <w:tcPr>
            <w:tcW w:w="753" w:type="pct"/>
            <w:tcBorders>
              <w:top w:val="nil"/>
              <w:left w:val="nil"/>
              <w:bottom w:val="nil"/>
              <w:right w:val="nil"/>
            </w:tcBorders>
            <w:shd w:val="clear" w:color="auto" w:fill="auto"/>
            <w:vAlign w:val="bottom"/>
          </w:tcPr>
          <w:p w14:paraId="26451AC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52.527*** (8.548)</w:t>
            </w:r>
          </w:p>
        </w:tc>
        <w:tc>
          <w:tcPr>
            <w:tcW w:w="753" w:type="pct"/>
            <w:tcBorders>
              <w:top w:val="nil"/>
              <w:left w:val="nil"/>
              <w:bottom w:val="nil"/>
              <w:right w:val="nil"/>
            </w:tcBorders>
            <w:shd w:val="clear" w:color="auto" w:fill="auto"/>
            <w:vAlign w:val="bottom"/>
          </w:tcPr>
          <w:p w14:paraId="44223D0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52.410*** (8.542)</w:t>
            </w:r>
          </w:p>
        </w:tc>
        <w:tc>
          <w:tcPr>
            <w:tcW w:w="753" w:type="pct"/>
            <w:tcBorders>
              <w:top w:val="nil"/>
              <w:left w:val="nil"/>
              <w:bottom w:val="nil"/>
              <w:right w:val="nil"/>
            </w:tcBorders>
            <w:shd w:val="clear" w:color="auto" w:fill="auto"/>
            <w:vAlign w:val="bottom"/>
          </w:tcPr>
          <w:p w14:paraId="708C40D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52.835*** (8.537)</w:t>
            </w:r>
          </w:p>
        </w:tc>
        <w:tc>
          <w:tcPr>
            <w:tcW w:w="752" w:type="pct"/>
            <w:tcBorders>
              <w:top w:val="nil"/>
              <w:left w:val="nil"/>
              <w:bottom w:val="nil"/>
              <w:right w:val="nil"/>
            </w:tcBorders>
            <w:shd w:val="clear" w:color="auto" w:fill="auto"/>
            <w:vAlign w:val="bottom"/>
          </w:tcPr>
          <w:p w14:paraId="4FA01EE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52.237*** (8.546)</w:t>
            </w:r>
          </w:p>
        </w:tc>
      </w:tr>
      <w:tr w:rsidR="00D63168" w:rsidRPr="001E47AD" w14:paraId="4305314C" w14:textId="77777777" w:rsidTr="006B6D34">
        <w:tc>
          <w:tcPr>
            <w:tcW w:w="1224" w:type="pct"/>
            <w:tcBorders>
              <w:top w:val="nil"/>
              <w:left w:val="nil"/>
              <w:bottom w:val="nil"/>
              <w:right w:val="nil"/>
            </w:tcBorders>
            <w:shd w:val="clear" w:color="auto" w:fill="auto"/>
            <w:vAlign w:val="center"/>
          </w:tcPr>
          <w:p w14:paraId="3B72DE57"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INTER_NTW_COUNTRY</m:t>
                </m:r>
              </m:oMath>
            </m:oMathPara>
          </w:p>
        </w:tc>
        <w:tc>
          <w:tcPr>
            <w:tcW w:w="765" w:type="pct"/>
            <w:tcBorders>
              <w:top w:val="nil"/>
              <w:left w:val="nil"/>
              <w:bottom w:val="nil"/>
              <w:right w:val="nil"/>
            </w:tcBorders>
            <w:shd w:val="clear" w:color="auto" w:fill="auto"/>
            <w:vAlign w:val="bottom"/>
          </w:tcPr>
          <w:p w14:paraId="40C88B3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30.566*** (1.677)</w:t>
            </w:r>
          </w:p>
        </w:tc>
        <w:tc>
          <w:tcPr>
            <w:tcW w:w="753" w:type="pct"/>
            <w:tcBorders>
              <w:top w:val="nil"/>
              <w:left w:val="nil"/>
              <w:bottom w:val="nil"/>
              <w:right w:val="nil"/>
            </w:tcBorders>
            <w:shd w:val="clear" w:color="auto" w:fill="auto"/>
            <w:vAlign w:val="bottom"/>
          </w:tcPr>
          <w:p w14:paraId="6892A8F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30.532*** (1.676)</w:t>
            </w:r>
          </w:p>
        </w:tc>
        <w:tc>
          <w:tcPr>
            <w:tcW w:w="753" w:type="pct"/>
            <w:tcBorders>
              <w:top w:val="nil"/>
              <w:left w:val="nil"/>
              <w:bottom w:val="nil"/>
              <w:right w:val="nil"/>
            </w:tcBorders>
            <w:shd w:val="clear" w:color="auto" w:fill="auto"/>
            <w:vAlign w:val="bottom"/>
          </w:tcPr>
          <w:p w14:paraId="5D698EC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31.170*** (1.676)</w:t>
            </w:r>
          </w:p>
        </w:tc>
        <w:tc>
          <w:tcPr>
            <w:tcW w:w="753" w:type="pct"/>
            <w:tcBorders>
              <w:top w:val="nil"/>
              <w:left w:val="nil"/>
              <w:bottom w:val="nil"/>
              <w:right w:val="nil"/>
            </w:tcBorders>
            <w:shd w:val="clear" w:color="auto" w:fill="auto"/>
            <w:vAlign w:val="bottom"/>
          </w:tcPr>
          <w:p w14:paraId="35967FB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30.574*** (1.674)</w:t>
            </w:r>
          </w:p>
        </w:tc>
        <w:tc>
          <w:tcPr>
            <w:tcW w:w="752" w:type="pct"/>
            <w:tcBorders>
              <w:top w:val="nil"/>
              <w:left w:val="nil"/>
              <w:bottom w:val="nil"/>
              <w:right w:val="nil"/>
            </w:tcBorders>
            <w:shd w:val="clear" w:color="auto" w:fill="auto"/>
            <w:vAlign w:val="bottom"/>
          </w:tcPr>
          <w:p w14:paraId="69AD939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30.203*** (1.675)</w:t>
            </w:r>
          </w:p>
        </w:tc>
      </w:tr>
      <w:tr w:rsidR="00D63168" w:rsidRPr="001E47AD" w14:paraId="2E2A1997" w14:textId="77777777" w:rsidTr="006B6D34">
        <w:tc>
          <w:tcPr>
            <w:tcW w:w="1224" w:type="pct"/>
            <w:tcBorders>
              <w:top w:val="nil"/>
              <w:left w:val="nil"/>
              <w:bottom w:val="nil"/>
              <w:right w:val="nil"/>
            </w:tcBorders>
            <w:shd w:val="clear" w:color="auto" w:fill="auto"/>
            <w:vAlign w:val="center"/>
          </w:tcPr>
          <w:p w14:paraId="39411816"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(INTER_NTW_COUNTRY)</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1145D7E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-0.262*** (0.014)</w:t>
            </w:r>
          </w:p>
        </w:tc>
        <w:tc>
          <w:tcPr>
            <w:tcW w:w="753" w:type="pct"/>
            <w:tcBorders>
              <w:top w:val="nil"/>
              <w:left w:val="nil"/>
              <w:bottom w:val="nil"/>
              <w:right w:val="nil"/>
            </w:tcBorders>
            <w:shd w:val="clear" w:color="auto" w:fill="auto"/>
            <w:vAlign w:val="bottom"/>
          </w:tcPr>
          <w:p w14:paraId="3F78F04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-0.263*** (0.014)</w:t>
            </w:r>
          </w:p>
        </w:tc>
        <w:tc>
          <w:tcPr>
            <w:tcW w:w="753" w:type="pct"/>
            <w:tcBorders>
              <w:top w:val="nil"/>
              <w:left w:val="nil"/>
              <w:bottom w:val="nil"/>
              <w:right w:val="nil"/>
            </w:tcBorders>
            <w:shd w:val="clear" w:color="auto" w:fill="auto"/>
            <w:vAlign w:val="bottom"/>
          </w:tcPr>
          <w:p w14:paraId="1DA64CC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-0.267*** (0.014)</w:t>
            </w:r>
          </w:p>
        </w:tc>
        <w:tc>
          <w:tcPr>
            <w:tcW w:w="753" w:type="pct"/>
            <w:tcBorders>
              <w:top w:val="nil"/>
              <w:left w:val="nil"/>
              <w:bottom w:val="nil"/>
              <w:right w:val="nil"/>
            </w:tcBorders>
            <w:shd w:val="clear" w:color="auto" w:fill="auto"/>
            <w:vAlign w:val="bottom"/>
          </w:tcPr>
          <w:p w14:paraId="0FDB38B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-0.263*** (0.014)</w:t>
            </w:r>
          </w:p>
        </w:tc>
        <w:tc>
          <w:tcPr>
            <w:tcW w:w="752" w:type="pct"/>
            <w:tcBorders>
              <w:top w:val="nil"/>
              <w:left w:val="nil"/>
              <w:bottom w:val="nil"/>
              <w:right w:val="nil"/>
            </w:tcBorders>
            <w:shd w:val="clear" w:color="auto" w:fill="auto"/>
            <w:vAlign w:val="bottom"/>
          </w:tcPr>
          <w:p w14:paraId="681CA67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-0.260*** (0.014)</w:t>
            </w:r>
          </w:p>
        </w:tc>
      </w:tr>
      <w:tr w:rsidR="00D63168" w:rsidRPr="001E47AD" w14:paraId="24A8BB58" w14:textId="77777777" w:rsidTr="006B6D34">
        <w:tc>
          <w:tcPr>
            <w:tcW w:w="1224" w:type="pct"/>
            <w:tcBorders>
              <w:top w:val="nil"/>
              <w:left w:val="nil"/>
              <w:bottom w:val="nil"/>
              <w:right w:val="nil"/>
            </w:tcBorders>
            <w:shd w:val="clear" w:color="auto" w:fill="auto"/>
            <w:vAlign w:val="center"/>
          </w:tcPr>
          <w:p w14:paraId="202475D9"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PROD_VAR_UPC</m:t>
                </m:r>
              </m:oMath>
            </m:oMathPara>
          </w:p>
        </w:tc>
        <w:tc>
          <w:tcPr>
            <w:tcW w:w="765" w:type="pct"/>
            <w:tcBorders>
              <w:top w:val="nil"/>
              <w:left w:val="nil"/>
              <w:bottom w:val="nil"/>
              <w:right w:val="nil"/>
            </w:tcBorders>
            <w:shd w:val="clear" w:color="auto" w:fill="auto"/>
            <w:vAlign w:val="bottom"/>
          </w:tcPr>
          <w:p w14:paraId="31C9BDF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0.894*** (0.271)</w:t>
            </w:r>
          </w:p>
        </w:tc>
        <w:tc>
          <w:tcPr>
            <w:tcW w:w="753" w:type="pct"/>
            <w:tcBorders>
              <w:top w:val="nil"/>
              <w:left w:val="nil"/>
              <w:bottom w:val="nil"/>
              <w:right w:val="nil"/>
            </w:tcBorders>
            <w:shd w:val="clear" w:color="auto" w:fill="auto"/>
            <w:vAlign w:val="bottom"/>
          </w:tcPr>
          <w:p w14:paraId="2389155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1.037*** (0.271)</w:t>
            </w:r>
          </w:p>
        </w:tc>
        <w:tc>
          <w:tcPr>
            <w:tcW w:w="753" w:type="pct"/>
            <w:tcBorders>
              <w:top w:val="nil"/>
              <w:left w:val="nil"/>
              <w:bottom w:val="nil"/>
              <w:right w:val="nil"/>
            </w:tcBorders>
            <w:shd w:val="clear" w:color="auto" w:fill="auto"/>
            <w:vAlign w:val="bottom"/>
          </w:tcPr>
          <w:p w14:paraId="5D05041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1.125*** (0.271)</w:t>
            </w:r>
          </w:p>
        </w:tc>
        <w:tc>
          <w:tcPr>
            <w:tcW w:w="753" w:type="pct"/>
            <w:tcBorders>
              <w:top w:val="nil"/>
              <w:left w:val="nil"/>
              <w:bottom w:val="nil"/>
              <w:right w:val="nil"/>
            </w:tcBorders>
            <w:shd w:val="clear" w:color="auto" w:fill="auto"/>
            <w:vAlign w:val="bottom"/>
          </w:tcPr>
          <w:p w14:paraId="247BFEB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1.167*** (0.270)</w:t>
            </w:r>
          </w:p>
        </w:tc>
        <w:tc>
          <w:tcPr>
            <w:tcW w:w="752" w:type="pct"/>
            <w:tcBorders>
              <w:top w:val="nil"/>
              <w:left w:val="nil"/>
              <w:bottom w:val="nil"/>
              <w:right w:val="nil"/>
            </w:tcBorders>
            <w:shd w:val="clear" w:color="auto" w:fill="auto"/>
            <w:vAlign w:val="bottom"/>
          </w:tcPr>
          <w:p w14:paraId="43E78A1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1.006*** (0.270)</w:t>
            </w:r>
          </w:p>
        </w:tc>
      </w:tr>
      <w:tr w:rsidR="00D63168" w:rsidRPr="001E47AD" w14:paraId="5CB125EE" w14:textId="77777777" w:rsidTr="006B6D34">
        <w:tc>
          <w:tcPr>
            <w:tcW w:w="1224" w:type="pct"/>
            <w:tcBorders>
              <w:top w:val="nil"/>
              <w:left w:val="nil"/>
              <w:bottom w:val="nil"/>
              <w:right w:val="nil"/>
            </w:tcBorders>
            <w:shd w:val="clear" w:color="auto" w:fill="auto"/>
            <w:vAlign w:val="center"/>
          </w:tcPr>
          <w:p w14:paraId="7827DA89"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(PROD_VAR_UPC)</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2BF7A31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-0.004*** (0.001)</w:t>
            </w:r>
          </w:p>
        </w:tc>
        <w:tc>
          <w:tcPr>
            <w:tcW w:w="753" w:type="pct"/>
            <w:tcBorders>
              <w:top w:val="nil"/>
              <w:left w:val="nil"/>
              <w:bottom w:val="nil"/>
              <w:right w:val="nil"/>
            </w:tcBorders>
            <w:shd w:val="clear" w:color="auto" w:fill="auto"/>
            <w:vAlign w:val="bottom"/>
          </w:tcPr>
          <w:p w14:paraId="56399E9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-0.004*** (0.001)</w:t>
            </w:r>
          </w:p>
        </w:tc>
        <w:tc>
          <w:tcPr>
            <w:tcW w:w="753" w:type="pct"/>
            <w:tcBorders>
              <w:top w:val="nil"/>
              <w:left w:val="nil"/>
              <w:bottom w:val="nil"/>
              <w:right w:val="nil"/>
            </w:tcBorders>
            <w:shd w:val="clear" w:color="auto" w:fill="auto"/>
            <w:vAlign w:val="bottom"/>
          </w:tcPr>
          <w:p w14:paraId="7B853DB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-0.004*** (0.001)</w:t>
            </w:r>
          </w:p>
        </w:tc>
        <w:tc>
          <w:tcPr>
            <w:tcW w:w="753" w:type="pct"/>
            <w:tcBorders>
              <w:top w:val="nil"/>
              <w:left w:val="nil"/>
              <w:bottom w:val="nil"/>
              <w:right w:val="nil"/>
            </w:tcBorders>
            <w:shd w:val="clear" w:color="auto" w:fill="auto"/>
            <w:vAlign w:val="bottom"/>
          </w:tcPr>
          <w:p w14:paraId="419DD79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-0.005*** (0.001)</w:t>
            </w:r>
          </w:p>
        </w:tc>
        <w:tc>
          <w:tcPr>
            <w:tcW w:w="752" w:type="pct"/>
            <w:tcBorders>
              <w:top w:val="nil"/>
              <w:left w:val="nil"/>
              <w:bottom w:val="nil"/>
              <w:right w:val="nil"/>
            </w:tcBorders>
            <w:shd w:val="clear" w:color="auto" w:fill="auto"/>
            <w:vAlign w:val="bottom"/>
          </w:tcPr>
          <w:p w14:paraId="5F65BA8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-0.004*** (0.001)</w:t>
            </w:r>
          </w:p>
        </w:tc>
      </w:tr>
      <w:tr w:rsidR="00D63168" w:rsidRPr="001E47AD" w14:paraId="4DA11B49" w14:textId="77777777" w:rsidTr="006B6D34">
        <w:tc>
          <w:tcPr>
            <w:tcW w:w="1224" w:type="pct"/>
            <w:tcBorders>
              <w:top w:val="nil"/>
              <w:left w:val="nil"/>
              <w:bottom w:val="nil"/>
              <w:right w:val="nil"/>
            </w:tcBorders>
            <w:shd w:val="clear" w:color="auto" w:fill="auto"/>
            <w:vAlign w:val="center"/>
          </w:tcPr>
          <w:p w14:paraId="1308FC59"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Demand-Side Characteristics</w:t>
            </w:r>
          </w:p>
        </w:tc>
        <w:tc>
          <w:tcPr>
            <w:tcW w:w="765" w:type="pct"/>
            <w:tcBorders>
              <w:top w:val="nil"/>
              <w:left w:val="nil"/>
              <w:bottom w:val="nil"/>
              <w:right w:val="nil"/>
            </w:tcBorders>
            <w:shd w:val="clear" w:color="auto" w:fill="auto"/>
            <w:vAlign w:val="bottom"/>
          </w:tcPr>
          <w:p w14:paraId="5AC5907D"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6844E10D"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357AA12A"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3C85A23F" w14:textId="77777777" w:rsidR="00D63168" w:rsidRPr="001E47AD" w:rsidRDefault="00D63168" w:rsidP="006B6D34">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6DAE2A7E" w14:textId="77777777" w:rsidR="00D63168" w:rsidRPr="001E47AD" w:rsidRDefault="00D63168" w:rsidP="006B6D34">
            <w:pPr>
              <w:jc w:val="right"/>
              <w:rPr>
                <w:rFonts w:ascii="Times New Roman" w:hAnsi="Times New Roman" w:cs="Times New Roman"/>
                <w:sz w:val="20"/>
                <w:szCs w:val="20"/>
              </w:rPr>
            </w:pPr>
          </w:p>
        </w:tc>
      </w:tr>
      <w:tr w:rsidR="00D63168" w:rsidRPr="001E47AD" w14:paraId="21E3C73C" w14:textId="77777777" w:rsidTr="006B6D34">
        <w:tc>
          <w:tcPr>
            <w:tcW w:w="1224" w:type="pct"/>
            <w:tcBorders>
              <w:top w:val="nil"/>
              <w:left w:val="nil"/>
              <w:bottom w:val="nil"/>
              <w:right w:val="nil"/>
            </w:tcBorders>
            <w:shd w:val="clear" w:color="auto" w:fill="auto"/>
            <w:vAlign w:val="center"/>
          </w:tcPr>
          <w:p w14:paraId="38A08E92"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HUR_EXP_STATE</m:t>
                </m:r>
              </m:oMath>
            </m:oMathPara>
          </w:p>
        </w:tc>
        <w:tc>
          <w:tcPr>
            <w:tcW w:w="765" w:type="pct"/>
            <w:tcBorders>
              <w:top w:val="nil"/>
              <w:left w:val="nil"/>
              <w:bottom w:val="nil"/>
              <w:right w:val="nil"/>
            </w:tcBorders>
            <w:shd w:val="clear" w:color="auto" w:fill="auto"/>
            <w:vAlign w:val="bottom"/>
          </w:tcPr>
          <w:p w14:paraId="028A42B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-1.503 (3.410)</w:t>
            </w:r>
          </w:p>
        </w:tc>
        <w:tc>
          <w:tcPr>
            <w:tcW w:w="753" w:type="pct"/>
            <w:tcBorders>
              <w:top w:val="nil"/>
              <w:left w:val="nil"/>
              <w:bottom w:val="nil"/>
              <w:right w:val="nil"/>
            </w:tcBorders>
            <w:shd w:val="clear" w:color="auto" w:fill="auto"/>
            <w:vAlign w:val="bottom"/>
          </w:tcPr>
          <w:p w14:paraId="0D2E51D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-1.119 (3.404)</w:t>
            </w:r>
          </w:p>
        </w:tc>
        <w:tc>
          <w:tcPr>
            <w:tcW w:w="753" w:type="pct"/>
            <w:tcBorders>
              <w:top w:val="nil"/>
              <w:left w:val="nil"/>
              <w:bottom w:val="nil"/>
              <w:right w:val="nil"/>
            </w:tcBorders>
            <w:shd w:val="clear" w:color="auto" w:fill="auto"/>
            <w:vAlign w:val="bottom"/>
          </w:tcPr>
          <w:p w14:paraId="4506FD3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-0.280 (3.401)</w:t>
            </w:r>
          </w:p>
        </w:tc>
        <w:tc>
          <w:tcPr>
            <w:tcW w:w="753" w:type="pct"/>
            <w:tcBorders>
              <w:top w:val="nil"/>
              <w:left w:val="nil"/>
              <w:bottom w:val="nil"/>
              <w:right w:val="nil"/>
            </w:tcBorders>
            <w:shd w:val="clear" w:color="auto" w:fill="auto"/>
            <w:vAlign w:val="bottom"/>
          </w:tcPr>
          <w:p w14:paraId="382C78A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-0.355 (3.399)</w:t>
            </w:r>
          </w:p>
        </w:tc>
        <w:tc>
          <w:tcPr>
            <w:tcW w:w="752" w:type="pct"/>
            <w:tcBorders>
              <w:top w:val="nil"/>
              <w:left w:val="nil"/>
              <w:bottom w:val="nil"/>
              <w:right w:val="nil"/>
            </w:tcBorders>
            <w:shd w:val="clear" w:color="auto" w:fill="auto"/>
            <w:vAlign w:val="bottom"/>
          </w:tcPr>
          <w:p w14:paraId="1D1DF8F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-0.504 (3.403)</w:t>
            </w:r>
          </w:p>
        </w:tc>
      </w:tr>
      <w:tr w:rsidR="00D63168" w:rsidRPr="001E47AD" w14:paraId="5FBA1FDD" w14:textId="77777777" w:rsidTr="006B6D34">
        <w:tc>
          <w:tcPr>
            <w:tcW w:w="1224" w:type="pct"/>
            <w:tcBorders>
              <w:top w:val="nil"/>
              <w:left w:val="nil"/>
              <w:bottom w:val="nil"/>
              <w:right w:val="nil"/>
            </w:tcBorders>
            <w:shd w:val="clear" w:color="auto" w:fill="auto"/>
            <w:vAlign w:val="center"/>
          </w:tcPr>
          <w:p w14:paraId="3A5F1D8B"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(HUR_EXP_STATE)</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6DFD21A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0.752** (0.272)</w:t>
            </w:r>
          </w:p>
        </w:tc>
        <w:tc>
          <w:tcPr>
            <w:tcW w:w="753" w:type="pct"/>
            <w:tcBorders>
              <w:top w:val="nil"/>
              <w:left w:val="nil"/>
              <w:bottom w:val="nil"/>
              <w:right w:val="nil"/>
            </w:tcBorders>
            <w:shd w:val="clear" w:color="auto" w:fill="auto"/>
            <w:vAlign w:val="bottom"/>
          </w:tcPr>
          <w:p w14:paraId="2301F54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0.749** (0.272)</w:t>
            </w:r>
          </w:p>
        </w:tc>
        <w:tc>
          <w:tcPr>
            <w:tcW w:w="753" w:type="pct"/>
            <w:tcBorders>
              <w:top w:val="nil"/>
              <w:left w:val="nil"/>
              <w:bottom w:val="nil"/>
              <w:right w:val="nil"/>
            </w:tcBorders>
            <w:shd w:val="clear" w:color="auto" w:fill="auto"/>
            <w:vAlign w:val="bottom"/>
          </w:tcPr>
          <w:p w14:paraId="1D2BF31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0.678* (0.272)</w:t>
            </w:r>
          </w:p>
        </w:tc>
        <w:tc>
          <w:tcPr>
            <w:tcW w:w="753" w:type="pct"/>
            <w:tcBorders>
              <w:top w:val="nil"/>
              <w:left w:val="nil"/>
              <w:bottom w:val="nil"/>
              <w:right w:val="nil"/>
            </w:tcBorders>
            <w:shd w:val="clear" w:color="auto" w:fill="auto"/>
            <w:vAlign w:val="bottom"/>
          </w:tcPr>
          <w:p w14:paraId="3A18D58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0.674* (0.271)</w:t>
            </w:r>
          </w:p>
        </w:tc>
        <w:tc>
          <w:tcPr>
            <w:tcW w:w="752" w:type="pct"/>
            <w:tcBorders>
              <w:top w:val="nil"/>
              <w:left w:val="nil"/>
              <w:bottom w:val="nil"/>
              <w:right w:val="nil"/>
            </w:tcBorders>
            <w:shd w:val="clear" w:color="auto" w:fill="auto"/>
            <w:vAlign w:val="bottom"/>
          </w:tcPr>
          <w:p w14:paraId="65C55E2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0.688* (0.272)</w:t>
            </w:r>
          </w:p>
        </w:tc>
      </w:tr>
      <w:tr w:rsidR="00D63168" w:rsidRPr="001E47AD" w14:paraId="201D38F0" w14:textId="77777777" w:rsidTr="006B6D34">
        <w:tc>
          <w:tcPr>
            <w:tcW w:w="1224" w:type="pct"/>
            <w:tcBorders>
              <w:top w:val="nil"/>
              <w:left w:val="nil"/>
              <w:bottom w:val="nil"/>
              <w:right w:val="nil"/>
            </w:tcBorders>
            <w:shd w:val="clear" w:color="auto" w:fill="auto"/>
            <w:vAlign w:val="center"/>
          </w:tcPr>
          <w:p w14:paraId="02653A61"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PER_CAPITA_INC</m:t>
                </m:r>
              </m:oMath>
            </m:oMathPara>
          </w:p>
        </w:tc>
        <w:tc>
          <w:tcPr>
            <w:tcW w:w="765" w:type="pct"/>
            <w:tcBorders>
              <w:top w:val="nil"/>
              <w:left w:val="nil"/>
              <w:bottom w:val="nil"/>
              <w:right w:val="nil"/>
            </w:tcBorders>
            <w:shd w:val="clear" w:color="auto" w:fill="auto"/>
            <w:vAlign w:val="bottom"/>
          </w:tcPr>
          <w:p w14:paraId="007D4D9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87.875*** (7.006)</w:t>
            </w:r>
          </w:p>
        </w:tc>
        <w:tc>
          <w:tcPr>
            <w:tcW w:w="753" w:type="pct"/>
            <w:tcBorders>
              <w:top w:val="nil"/>
              <w:left w:val="nil"/>
              <w:bottom w:val="nil"/>
              <w:right w:val="nil"/>
            </w:tcBorders>
            <w:shd w:val="clear" w:color="auto" w:fill="auto"/>
            <w:vAlign w:val="bottom"/>
          </w:tcPr>
          <w:p w14:paraId="6216761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86.046*** (7.000)</w:t>
            </w:r>
          </w:p>
        </w:tc>
        <w:tc>
          <w:tcPr>
            <w:tcW w:w="753" w:type="pct"/>
            <w:tcBorders>
              <w:top w:val="nil"/>
              <w:left w:val="nil"/>
              <w:bottom w:val="nil"/>
              <w:right w:val="nil"/>
            </w:tcBorders>
            <w:shd w:val="clear" w:color="auto" w:fill="auto"/>
            <w:vAlign w:val="bottom"/>
          </w:tcPr>
          <w:p w14:paraId="12BD583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85.256*** (6.996)</w:t>
            </w:r>
          </w:p>
        </w:tc>
        <w:tc>
          <w:tcPr>
            <w:tcW w:w="753" w:type="pct"/>
            <w:tcBorders>
              <w:top w:val="nil"/>
              <w:left w:val="nil"/>
              <w:bottom w:val="nil"/>
              <w:right w:val="nil"/>
            </w:tcBorders>
            <w:shd w:val="clear" w:color="auto" w:fill="auto"/>
            <w:vAlign w:val="bottom"/>
          </w:tcPr>
          <w:p w14:paraId="04ED48F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85.163*** (6.992)</w:t>
            </w:r>
          </w:p>
        </w:tc>
        <w:tc>
          <w:tcPr>
            <w:tcW w:w="752" w:type="pct"/>
            <w:tcBorders>
              <w:top w:val="nil"/>
              <w:left w:val="nil"/>
              <w:bottom w:val="nil"/>
              <w:right w:val="nil"/>
            </w:tcBorders>
            <w:shd w:val="clear" w:color="auto" w:fill="auto"/>
            <w:vAlign w:val="bottom"/>
          </w:tcPr>
          <w:p w14:paraId="1E14D43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84.858*** (7.001)</w:t>
            </w:r>
          </w:p>
        </w:tc>
      </w:tr>
      <w:tr w:rsidR="00D63168" w:rsidRPr="001E47AD" w14:paraId="7C94E879" w14:textId="77777777" w:rsidTr="006B6D34">
        <w:tc>
          <w:tcPr>
            <w:tcW w:w="1224" w:type="pct"/>
            <w:tcBorders>
              <w:top w:val="nil"/>
              <w:left w:val="nil"/>
              <w:bottom w:val="nil"/>
              <w:right w:val="nil"/>
            </w:tcBorders>
            <w:shd w:val="clear" w:color="auto" w:fill="auto"/>
            <w:vAlign w:val="center"/>
          </w:tcPr>
          <w:p w14:paraId="1C1E2090"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(PER_CAPITA_INC)</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4AD3F1D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-4.847*** (0.508)</w:t>
            </w:r>
          </w:p>
        </w:tc>
        <w:tc>
          <w:tcPr>
            <w:tcW w:w="753" w:type="pct"/>
            <w:tcBorders>
              <w:top w:val="nil"/>
              <w:left w:val="nil"/>
              <w:bottom w:val="nil"/>
              <w:right w:val="nil"/>
            </w:tcBorders>
            <w:shd w:val="clear" w:color="auto" w:fill="auto"/>
            <w:vAlign w:val="bottom"/>
          </w:tcPr>
          <w:p w14:paraId="3FF130B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-4.733*** (0.507)</w:t>
            </w:r>
          </w:p>
        </w:tc>
        <w:tc>
          <w:tcPr>
            <w:tcW w:w="753" w:type="pct"/>
            <w:tcBorders>
              <w:top w:val="nil"/>
              <w:left w:val="nil"/>
              <w:bottom w:val="nil"/>
              <w:right w:val="nil"/>
            </w:tcBorders>
            <w:shd w:val="clear" w:color="auto" w:fill="auto"/>
            <w:vAlign w:val="bottom"/>
          </w:tcPr>
          <w:p w14:paraId="22E719D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-4.726*** (0.507)</w:t>
            </w:r>
          </w:p>
        </w:tc>
        <w:tc>
          <w:tcPr>
            <w:tcW w:w="753" w:type="pct"/>
            <w:tcBorders>
              <w:top w:val="nil"/>
              <w:left w:val="nil"/>
              <w:bottom w:val="nil"/>
              <w:right w:val="nil"/>
            </w:tcBorders>
            <w:shd w:val="clear" w:color="auto" w:fill="auto"/>
            <w:vAlign w:val="bottom"/>
          </w:tcPr>
          <w:p w14:paraId="16D68DB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-4.739*** (0.507)</w:t>
            </w:r>
          </w:p>
        </w:tc>
        <w:tc>
          <w:tcPr>
            <w:tcW w:w="752" w:type="pct"/>
            <w:tcBorders>
              <w:top w:val="nil"/>
              <w:left w:val="nil"/>
              <w:bottom w:val="nil"/>
              <w:right w:val="nil"/>
            </w:tcBorders>
            <w:shd w:val="clear" w:color="auto" w:fill="auto"/>
            <w:vAlign w:val="bottom"/>
          </w:tcPr>
          <w:p w14:paraId="40078C0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-4.702*** (0.507)</w:t>
            </w:r>
          </w:p>
        </w:tc>
      </w:tr>
      <w:tr w:rsidR="00D63168" w:rsidRPr="001E47AD" w14:paraId="37B50B1B" w14:textId="77777777" w:rsidTr="006B6D34">
        <w:tc>
          <w:tcPr>
            <w:tcW w:w="1224" w:type="pct"/>
            <w:tcBorders>
              <w:top w:val="nil"/>
              <w:left w:val="nil"/>
              <w:bottom w:val="nil"/>
              <w:right w:val="nil"/>
            </w:tcBorders>
            <w:shd w:val="clear" w:color="auto" w:fill="auto"/>
            <w:vAlign w:val="center"/>
          </w:tcPr>
          <w:p w14:paraId="77A75FAB"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Disaster Characteristics</w:t>
            </w:r>
          </w:p>
        </w:tc>
        <w:tc>
          <w:tcPr>
            <w:tcW w:w="765" w:type="pct"/>
            <w:tcBorders>
              <w:top w:val="nil"/>
              <w:left w:val="nil"/>
              <w:bottom w:val="nil"/>
              <w:right w:val="nil"/>
            </w:tcBorders>
            <w:shd w:val="clear" w:color="auto" w:fill="auto"/>
            <w:vAlign w:val="bottom"/>
          </w:tcPr>
          <w:p w14:paraId="6B0E0ABF"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14BF2352"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3BAC3DB"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2EF84B7A" w14:textId="77777777" w:rsidR="00D63168" w:rsidRPr="001E47AD" w:rsidRDefault="00D63168" w:rsidP="006B6D34">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06745387" w14:textId="77777777" w:rsidR="00D63168" w:rsidRPr="001E47AD" w:rsidRDefault="00D63168" w:rsidP="006B6D34">
            <w:pPr>
              <w:jc w:val="right"/>
              <w:rPr>
                <w:rFonts w:ascii="Times New Roman" w:hAnsi="Times New Roman" w:cs="Times New Roman"/>
                <w:sz w:val="20"/>
                <w:szCs w:val="20"/>
              </w:rPr>
            </w:pPr>
          </w:p>
        </w:tc>
      </w:tr>
      <w:tr w:rsidR="00D63168" w:rsidRPr="001E47AD" w14:paraId="1B6C1802" w14:textId="77777777" w:rsidTr="006B6D34">
        <w:tc>
          <w:tcPr>
            <w:tcW w:w="1224" w:type="pct"/>
            <w:tcBorders>
              <w:top w:val="nil"/>
              <w:left w:val="nil"/>
              <w:bottom w:val="nil"/>
              <w:right w:val="nil"/>
            </w:tcBorders>
            <w:shd w:val="clear" w:color="auto" w:fill="auto"/>
            <w:vAlign w:val="center"/>
          </w:tcPr>
          <w:p w14:paraId="3777D2F7"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oMath>
            </m:oMathPara>
          </w:p>
        </w:tc>
        <w:tc>
          <w:tcPr>
            <w:tcW w:w="765" w:type="pct"/>
            <w:tcBorders>
              <w:top w:val="nil"/>
              <w:left w:val="nil"/>
              <w:bottom w:val="nil"/>
              <w:right w:val="nil"/>
            </w:tcBorders>
            <w:shd w:val="clear" w:color="auto" w:fill="auto"/>
            <w:vAlign w:val="bottom"/>
          </w:tcPr>
          <w:p w14:paraId="0AE5248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-148.750*** (4.785)</w:t>
            </w:r>
          </w:p>
        </w:tc>
        <w:tc>
          <w:tcPr>
            <w:tcW w:w="753" w:type="pct"/>
            <w:tcBorders>
              <w:top w:val="nil"/>
              <w:left w:val="nil"/>
              <w:bottom w:val="nil"/>
              <w:right w:val="nil"/>
            </w:tcBorders>
            <w:shd w:val="clear" w:color="auto" w:fill="auto"/>
            <w:vAlign w:val="bottom"/>
          </w:tcPr>
          <w:p w14:paraId="13B6030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-151.753*** (4.779)</w:t>
            </w:r>
          </w:p>
        </w:tc>
        <w:tc>
          <w:tcPr>
            <w:tcW w:w="753" w:type="pct"/>
            <w:tcBorders>
              <w:top w:val="nil"/>
              <w:left w:val="nil"/>
              <w:bottom w:val="nil"/>
              <w:right w:val="nil"/>
            </w:tcBorders>
            <w:shd w:val="clear" w:color="auto" w:fill="auto"/>
            <w:vAlign w:val="bottom"/>
          </w:tcPr>
          <w:p w14:paraId="489E72F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-149.518*** (4.775)</w:t>
            </w:r>
          </w:p>
        </w:tc>
        <w:tc>
          <w:tcPr>
            <w:tcW w:w="753" w:type="pct"/>
            <w:tcBorders>
              <w:top w:val="nil"/>
              <w:left w:val="nil"/>
              <w:bottom w:val="nil"/>
              <w:right w:val="nil"/>
            </w:tcBorders>
            <w:shd w:val="clear" w:color="auto" w:fill="auto"/>
            <w:vAlign w:val="bottom"/>
          </w:tcPr>
          <w:p w14:paraId="01AE392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-152.984*** (4.775)</w:t>
            </w:r>
          </w:p>
        </w:tc>
        <w:tc>
          <w:tcPr>
            <w:tcW w:w="752" w:type="pct"/>
            <w:tcBorders>
              <w:top w:val="nil"/>
              <w:left w:val="nil"/>
              <w:bottom w:val="nil"/>
              <w:right w:val="nil"/>
            </w:tcBorders>
            <w:shd w:val="clear" w:color="auto" w:fill="auto"/>
            <w:vAlign w:val="bottom"/>
          </w:tcPr>
          <w:p w14:paraId="13D2DCC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-152.102*** (4.779)</w:t>
            </w:r>
          </w:p>
        </w:tc>
      </w:tr>
      <w:tr w:rsidR="00D63168" w:rsidRPr="001E47AD" w14:paraId="56F8831B" w14:textId="77777777" w:rsidTr="006B6D34">
        <w:tc>
          <w:tcPr>
            <w:tcW w:w="1224" w:type="pct"/>
            <w:tcBorders>
              <w:top w:val="nil"/>
              <w:left w:val="nil"/>
              <w:bottom w:val="nil"/>
              <w:right w:val="nil"/>
            </w:tcBorders>
            <w:shd w:val="clear" w:color="auto" w:fill="auto"/>
            <w:vAlign w:val="center"/>
          </w:tcPr>
          <w:p w14:paraId="1CE1D62D"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1EE240D6"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7.514*** (0.430)</w:t>
            </w:r>
          </w:p>
        </w:tc>
        <w:tc>
          <w:tcPr>
            <w:tcW w:w="753" w:type="pct"/>
            <w:tcBorders>
              <w:top w:val="nil"/>
              <w:left w:val="nil"/>
              <w:bottom w:val="nil"/>
              <w:right w:val="nil"/>
            </w:tcBorders>
            <w:shd w:val="clear" w:color="auto" w:fill="auto"/>
            <w:vAlign w:val="bottom"/>
          </w:tcPr>
          <w:p w14:paraId="68DE05F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7.762*** (0.430)</w:t>
            </w:r>
          </w:p>
        </w:tc>
        <w:tc>
          <w:tcPr>
            <w:tcW w:w="753" w:type="pct"/>
            <w:tcBorders>
              <w:top w:val="nil"/>
              <w:left w:val="nil"/>
              <w:bottom w:val="nil"/>
              <w:right w:val="nil"/>
            </w:tcBorders>
            <w:shd w:val="clear" w:color="auto" w:fill="auto"/>
            <w:vAlign w:val="bottom"/>
          </w:tcPr>
          <w:p w14:paraId="2897C5B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7.578*** (0.429)</w:t>
            </w:r>
          </w:p>
        </w:tc>
        <w:tc>
          <w:tcPr>
            <w:tcW w:w="753" w:type="pct"/>
            <w:tcBorders>
              <w:top w:val="nil"/>
              <w:left w:val="nil"/>
              <w:bottom w:val="nil"/>
              <w:right w:val="nil"/>
            </w:tcBorders>
            <w:shd w:val="clear" w:color="auto" w:fill="auto"/>
            <w:vAlign w:val="bottom"/>
          </w:tcPr>
          <w:p w14:paraId="618920B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7.885*** (0.429)</w:t>
            </w:r>
          </w:p>
        </w:tc>
        <w:tc>
          <w:tcPr>
            <w:tcW w:w="752" w:type="pct"/>
            <w:tcBorders>
              <w:top w:val="nil"/>
              <w:left w:val="nil"/>
              <w:bottom w:val="nil"/>
              <w:right w:val="nil"/>
            </w:tcBorders>
            <w:shd w:val="clear" w:color="auto" w:fill="auto"/>
            <w:vAlign w:val="bottom"/>
          </w:tcPr>
          <w:p w14:paraId="64BA37B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7.815*** (0.430)</w:t>
            </w:r>
          </w:p>
        </w:tc>
      </w:tr>
      <w:tr w:rsidR="00D63168" w:rsidRPr="001E47AD" w14:paraId="417F5382" w14:textId="77777777" w:rsidTr="006B6D34">
        <w:tc>
          <w:tcPr>
            <w:tcW w:w="1224" w:type="pct"/>
            <w:tcBorders>
              <w:top w:val="nil"/>
              <w:left w:val="nil"/>
              <w:bottom w:val="nil"/>
              <w:right w:val="nil"/>
            </w:tcBorders>
            <w:shd w:val="clear" w:color="auto" w:fill="auto"/>
            <w:vAlign w:val="center"/>
          </w:tcPr>
          <w:p w14:paraId="16CA86EA"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HUR_TRACK_DIST</m:t>
                </m:r>
              </m:oMath>
            </m:oMathPara>
          </w:p>
        </w:tc>
        <w:tc>
          <w:tcPr>
            <w:tcW w:w="765" w:type="pct"/>
            <w:tcBorders>
              <w:top w:val="nil"/>
              <w:left w:val="nil"/>
              <w:bottom w:val="nil"/>
              <w:right w:val="nil"/>
            </w:tcBorders>
            <w:shd w:val="clear" w:color="auto" w:fill="auto"/>
            <w:vAlign w:val="bottom"/>
          </w:tcPr>
          <w:p w14:paraId="72A68C4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-173.753*** (9.034)</w:t>
            </w:r>
          </w:p>
        </w:tc>
        <w:tc>
          <w:tcPr>
            <w:tcW w:w="753" w:type="pct"/>
            <w:tcBorders>
              <w:top w:val="nil"/>
              <w:left w:val="nil"/>
              <w:bottom w:val="nil"/>
              <w:right w:val="nil"/>
            </w:tcBorders>
            <w:shd w:val="clear" w:color="auto" w:fill="auto"/>
            <w:vAlign w:val="bottom"/>
          </w:tcPr>
          <w:p w14:paraId="7A5FA43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-177.136*** (9.034)</w:t>
            </w:r>
          </w:p>
        </w:tc>
        <w:tc>
          <w:tcPr>
            <w:tcW w:w="753" w:type="pct"/>
            <w:tcBorders>
              <w:top w:val="nil"/>
              <w:left w:val="nil"/>
              <w:bottom w:val="nil"/>
              <w:right w:val="nil"/>
            </w:tcBorders>
            <w:shd w:val="clear" w:color="auto" w:fill="auto"/>
            <w:vAlign w:val="bottom"/>
          </w:tcPr>
          <w:p w14:paraId="422C469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-178.940*** (9.032)</w:t>
            </w:r>
          </w:p>
        </w:tc>
        <w:tc>
          <w:tcPr>
            <w:tcW w:w="753" w:type="pct"/>
            <w:tcBorders>
              <w:top w:val="nil"/>
              <w:left w:val="nil"/>
              <w:bottom w:val="nil"/>
              <w:right w:val="nil"/>
            </w:tcBorders>
            <w:shd w:val="clear" w:color="auto" w:fill="auto"/>
            <w:vAlign w:val="bottom"/>
          </w:tcPr>
          <w:p w14:paraId="379E1DD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-175.433*** (9.017)</w:t>
            </w:r>
          </w:p>
        </w:tc>
        <w:tc>
          <w:tcPr>
            <w:tcW w:w="752" w:type="pct"/>
            <w:tcBorders>
              <w:top w:val="nil"/>
              <w:left w:val="nil"/>
              <w:bottom w:val="nil"/>
              <w:right w:val="nil"/>
            </w:tcBorders>
            <w:shd w:val="clear" w:color="auto" w:fill="auto"/>
            <w:vAlign w:val="bottom"/>
          </w:tcPr>
          <w:p w14:paraId="47EBF0B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-175.873*** (9.028)</w:t>
            </w:r>
          </w:p>
        </w:tc>
      </w:tr>
      <w:tr w:rsidR="00D63168" w:rsidRPr="001E47AD" w14:paraId="17953536" w14:textId="77777777" w:rsidTr="006B6D34">
        <w:tc>
          <w:tcPr>
            <w:tcW w:w="1224" w:type="pct"/>
            <w:tcBorders>
              <w:top w:val="nil"/>
              <w:left w:val="nil"/>
              <w:bottom w:val="nil"/>
              <w:right w:val="nil"/>
            </w:tcBorders>
            <w:shd w:val="clear" w:color="auto" w:fill="auto"/>
            <w:vAlign w:val="center"/>
          </w:tcPr>
          <w:p w14:paraId="4CB37BB1"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(HUR_TRACK_DIST)</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1C9D0A7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22.945*** (1.895)</w:t>
            </w:r>
          </w:p>
        </w:tc>
        <w:tc>
          <w:tcPr>
            <w:tcW w:w="753" w:type="pct"/>
            <w:tcBorders>
              <w:top w:val="nil"/>
              <w:left w:val="nil"/>
              <w:bottom w:val="nil"/>
              <w:right w:val="nil"/>
            </w:tcBorders>
            <w:shd w:val="clear" w:color="auto" w:fill="auto"/>
            <w:vAlign w:val="bottom"/>
          </w:tcPr>
          <w:p w14:paraId="4FA871C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23.951*** (1.895)</w:t>
            </w:r>
          </w:p>
        </w:tc>
        <w:tc>
          <w:tcPr>
            <w:tcW w:w="753" w:type="pct"/>
            <w:tcBorders>
              <w:top w:val="nil"/>
              <w:left w:val="nil"/>
              <w:bottom w:val="nil"/>
              <w:right w:val="nil"/>
            </w:tcBorders>
            <w:shd w:val="clear" w:color="auto" w:fill="auto"/>
            <w:vAlign w:val="bottom"/>
          </w:tcPr>
          <w:p w14:paraId="0C215EE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24.191*** (1.894)</w:t>
            </w:r>
          </w:p>
        </w:tc>
        <w:tc>
          <w:tcPr>
            <w:tcW w:w="753" w:type="pct"/>
            <w:tcBorders>
              <w:top w:val="nil"/>
              <w:left w:val="nil"/>
              <w:bottom w:val="nil"/>
              <w:right w:val="nil"/>
            </w:tcBorders>
            <w:shd w:val="clear" w:color="auto" w:fill="auto"/>
            <w:vAlign w:val="bottom"/>
          </w:tcPr>
          <w:p w14:paraId="77433AB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23.694*** (1.891)</w:t>
            </w:r>
          </w:p>
        </w:tc>
        <w:tc>
          <w:tcPr>
            <w:tcW w:w="752" w:type="pct"/>
            <w:tcBorders>
              <w:top w:val="nil"/>
              <w:left w:val="nil"/>
              <w:bottom w:val="nil"/>
              <w:right w:val="nil"/>
            </w:tcBorders>
            <w:shd w:val="clear" w:color="auto" w:fill="auto"/>
            <w:vAlign w:val="bottom"/>
          </w:tcPr>
          <w:p w14:paraId="6930FE3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23.671*** (1.893)</w:t>
            </w:r>
          </w:p>
        </w:tc>
      </w:tr>
      <w:tr w:rsidR="00D63168" w:rsidRPr="001E47AD" w14:paraId="00F49151" w14:textId="77777777" w:rsidTr="006B6D34">
        <w:tc>
          <w:tcPr>
            <w:tcW w:w="1224" w:type="pct"/>
            <w:tcBorders>
              <w:top w:val="nil"/>
              <w:left w:val="nil"/>
              <w:bottom w:val="nil"/>
              <w:right w:val="nil"/>
            </w:tcBorders>
            <w:shd w:val="clear" w:color="auto" w:fill="auto"/>
            <w:vAlign w:val="center"/>
          </w:tcPr>
          <w:p w14:paraId="5227190E"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HUR_TRACK_WIND</m:t>
                </m:r>
              </m:oMath>
            </m:oMathPara>
          </w:p>
        </w:tc>
        <w:tc>
          <w:tcPr>
            <w:tcW w:w="765" w:type="pct"/>
            <w:tcBorders>
              <w:top w:val="nil"/>
              <w:left w:val="nil"/>
              <w:bottom w:val="nil"/>
              <w:right w:val="nil"/>
            </w:tcBorders>
            <w:shd w:val="clear" w:color="auto" w:fill="auto"/>
            <w:vAlign w:val="bottom"/>
          </w:tcPr>
          <w:p w14:paraId="40F9100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23.045*** (1.301)</w:t>
            </w:r>
          </w:p>
        </w:tc>
        <w:tc>
          <w:tcPr>
            <w:tcW w:w="753" w:type="pct"/>
            <w:tcBorders>
              <w:top w:val="nil"/>
              <w:left w:val="nil"/>
              <w:bottom w:val="nil"/>
              <w:right w:val="nil"/>
            </w:tcBorders>
            <w:shd w:val="clear" w:color="auto" w:fill="auto"/>
            <w:vAlign w:val="bottom"/>
          </w:tcPr>
          <w:p w14:paraId="2DE852C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23.342*** (1.301)</w:t>
            </w:r>
          </w:p>
        </w:tc>
        <w:tc>
          <w:tcPr>
            <w:tcW w:w="753" w:type="pct"/>
            <w:tcBorders>
              <w:top w:val="nil"/>
              <w:left w:val="nil"/>
              <w:bottom w:val="nil"/>
              <w:right w:val="nil"/>
            </w:tcBorders>
            <w:shd w:val="clear" w:color="auto" w:fill="auto"/>
            <w:vAlign w:val="bottom"/>
          </w:tcPr>
          <w:p w14:paraId="44BD6B26"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24.102*** (1.302)</w:t>
            </w:r>
          </w:p>
        </w:tc>
        <w:tc>
          <w:tcPr>
            <w:tcW w:w="753" w:type="pct"/>
            <w:tcBorders>
              <w:top w:val="nil"/>
              <w:left w:val="nil"/>
              <w:bottom w:val="nil"/>
              <w:right w:val="nil"/>
            </w:tcBorders>
            <w:shd w:val="clear" w:color="auto" w:fill="auto"/>
            <w:vAlign w:val="bottom"/>
          </w:tcPr>
          <w:p w14:paraId="31C4612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23.265*** (1.299)</w:t>
            </w:r>
          </w:p>
        </w:tc>
        <w:tc>
          <w:tcPr>
            <w:tcW w:w="752" w:type="pct"/>
            <w:tcBorders>
              <w:top w:val="nil"/>
              <w:left w:val="nil"/>
              <w:bottom w:val="nil"/>
              <w:right w:val="nil"/>
            </w:tcBorders>
            <w:shd w:val="clear" w:color="auto" w:fill="auto"/>
            <w:vAlign w:val="bottom"/>
          </w:tcPr>
          <w:p w14:paraId="55CEFE0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23.242*** (1.300)</w:t>
            </w:r>
          </w:p>
        </w:tc>
      </w:tr>
      <w:tr w:rsidR="00D63168" w:rsidRPr="001E47AD" w14:paraId="1445A666" w14:textId="77777777" w:rsidTr="006B6D34">
        <w:tc>
          <w:tcPr>
            <w:tcW w:w="1224" w:type="pct"/>
            <w:tcBorders>
              <w:top w:val="nil"/>
              <w:left w:val="nil"/>
              <w:bottom w:val="single" w:sz="4" w:space="0" w:color="auto"/>
              <w:right w:val="nil"/>
            </w:tcBorders>
            <w:shd w:val="clear" w:color="auto" w:fill="auto"/>
            <w:vAlign w:val="center"/>
          </w:tcPr>
          <w:p w14:paraId="41776F12" w14:textId="77777777" w:rsidR="00D63168" w:rsidRPr="001E47AD" w:rsidRDefault="00EC5F60" w:rsidP="006B6D34">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(HUR_TRACK_WIND)</m:t>
                    </m:r>
                  </m:e>
                  <m:sup>
                    <m:r>
                      <m:rPr>
                        <m:sty m:val="p"/>
                      </m:rPr>
                      <w:rPr>
                        <w:rFonts w:ascii="Cambria Math" w:hAnsi="Cambria Math" w:cs="Times New Roman"/>
                        <w:sz w:val="16"/>
                        <w:szCs w:val="16"/>
                      </w:rPr>
                      <m:t>2</m:t>
                    </m:r>
                  </m:sup>
                </m:sSup>
              </m:oMath>
            </m:oMathPara>
          </w:p>
        </w:tc>
        <w:tc>
          <w:tcPr>
            <w:tcW w:w="765" w:type="pct"/>
            <w:tcBorders>
              <w:top w:val="nil"/>
              <w:left w:val="nil"/>
              <w:bottom w:val="single" w:sz="4" w:space="0" w:color="auto"/>
              <w:right w:val="nil"/>
            </w:tcBorders>
            <w:shd w:val="clear" w:color="auto" w:fill="auto"/>
            <w:vAlign w:val="bottom"/>
          </w:tcPr>
          <w:p w14:paraId="1DECEA8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-0.200*** (0.010)</w:t>
            </w:r>
          </w:p>
        </w:tc>
        <w:tc>
          <w:tcPr>
            <w:tcW w:w="753" w:type="pct"/>
            <w:tcBorders>
              <w:top w:val="nil"/>
              <w:left w:val="nil"/>
              <w:bottom w:val="single" w:sz="4" w:space="0" w:color="auto"/>
              <w:right w:val="nil"/>
            </w:tcBorders>
            <w:shd w:val="clear" w:color="auto" w:fill="auto"/>
            <w:vAlign w:val="bottom"/>
          </w:tcPr>
          <w:p w14:paraId="24EEB61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-0.202*** (0.010)</w:t>
            </w:r>
          </w:p>
        </w:tc>
        <w:tc>
          <w:tcPr>
            <w:tcW w:w="753" w:type="pct"/>
            <w:tcBorders>
              <w:top w:val="nil"/>
              <w:left w:val="nil"/>
              <w:bottom w:val="single" w:sz="4" w:space="0" w:color="auto"/>
              <w:right w:val="nil"/>
            </w:tcBorders>
            <w:shd w:val="clear" w:color="auto" w:fill="auto"/>
            <w:vAlign w:val="bottom"/>
          </w:tcPr>
          <w:p w14:paraId="74CCFAF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-0.208*** (0.010)</w:t>
            </w:r>
          </w:p>
        </w:tc>
        <w:tc>
          <w:tcPr>
            <w:tcW w:w="753" w:type="pct"/>
            <w:tcBorders>
              <w:top w:val="nil"/>
              <w:left w:val="nil"/>
              <w:bottom w:val="single" w:sz="4" w:space="0" w:color="auto"/>
              <w:right w:val="nil"/>
            </w:tcBorders>
            <w:shd w:val="clear" w:color="auto" w:fill="auto"/>
            <w:vAlign w:val="bottom"/>
          </w:tcPr>
          <w:p w14:paraId="76C457F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-0.202*** (0.010)</w:t>
            </w:r>
          </w:p>
        </w:tc>
        <w:tc>
          <w:tcPr>
            <w:tcW w:w="752" w:type="pct"/>
            <w:tcBorders>
              <w:top w:val="nil"/>
              <w:left w:val="nil"/>
              <w:bottom w:val="single" w:sz="4" w:space="0" w:color="auto"/>
              <w:right w:val="nil"/>
            </w:tcBorders>
            <w:shd w:val="clear" w:color="auto" w:fill="auto"/>
            <w:vAlign w:val="bottom"/>
          </w:tcPr>
          <w:p w14:paraId="656FFCE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-0.202*** (0.010)</w:t>
            </w:r>
          </w:p>
        </w:tc>
      </w:tr>
      <w:tr w:rsidR="00D63168" w:rsidRPr="001E47AD" w14:paraId="3B8BB435" w14:textId="77777777" w:rsidTr="006B6D34">
        <w:tc>
          <w:tcPr>
            <w:tcW w:w="1224" w:type="pct"/>
            <w:tcBorders>
              <w:top w:val="single" w:sz="4" w:space="0" w:color="auto"/>
              <w:left w:val="nil"/>
              <w:bottom w:val="nil"/>
              <w:right w:val="nil"/>
            </w:tcBorders>
            <w:shd w:val="clear" w:color="auto" w:fill="auto"/>
            <w:vAlign w:val="center"/>
          </w:tcPr>
          <w:p w14:paraId="4F0D5C4A" w14:textId="77777777" w:rsidR="00D63168" w:rsidRPr="001E47AD" w:rsidRDefault="00D63168" w:rsidP="006B6D34">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Control Variables</w:t>
            </w:r>
          </w:p>
        </w:tc>
        <w:tc>
          <w:tcPr>
            <w:tcW w:w="765" w:type="pct"/>
            <w:tcBorders>
              <w:top w:val="single" w:sz="4" w:space="0" w:color="auto"/>
              <w:left w:val="nil"/>
              <w:bottom w:val="nil"/>
              <w:right w:val="nil"/>
            </w:tcBorders>
            <w:shd w:val="clear" w:color="auto" w:fill="auto"/>
            <w:vAlign w:val="bottom"/>
          </w:tcPr>
          <w:p w14:paraId="4E9A566D" w14:textId="77777777" w:rsidR="00D63168" w:rsidRPr="001E47AD" w:rsidRDefault="00D63168" w:rsidP="006B6D34">
            <w:pPr>
              <w:jc w:val="right"/>
              <w:rPr>
                <w:rFonts w:ascii="Times New Roman" w:hAnsi="Times New Roman" w:cs="Times New Roman"/>
                <w:sz w:val="16"/>
                <w:szCs w:val="16"/>
              </w:rPr>
            </w:pPr>
          </w:p>
        </w:tc>
        <w:tc>
          <w:tcPr>
            <w:tcW w:w="753" w:type="pct"/>
            <w:tcBorders>
              <w:top w:val="single" w:sz="4" w:space="0" w:color="auto"/>
              <w:left w:val="nil"/>
              <w:bottom w:val="nil"/>
              <w:right w:val="nil"/>
            </w:tcBorders>
            <w:shd w:val="clear" w:color="auto" w:fill="auto"/>
            <w:vAlign w:val="bottom"/>
          </w:tcPr>
          <w:p w14:paraId="11F281BF" w14:textId="77777777" w:rsidR="00D63168" w:rsidRPr="001E47AD" w:rsidRDefault="00D63168" w:rsidP="006B6D34">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1F683050" w14:textId="77777777" w:rsidR="00D63168" w:rsidRPr="001E47AD" w:rsidRDefault="00D63168" w:rsidP="006B6D34">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7B12422E" w14:textId="77777777" w:rsidR="00D63168" w:rsidRPr="001E47AD" w:rsidRDefault="00D63168" w:rsidP="006B6D34">
            <w:pPr>
              <w:jc w:val="right"/>
              <w:rPr>
                <w:rFonts w:ascii="Times New Roman" w:hAnsi="Times New Roman" w:cs="Times New Roman"/>
                <w:sz w:val="20"/>
                <w:szCs w:val="20"/>
              </w:rPr>
            </w:pPr>
          </w:p>
        </w:tc>
        <w:tc>
          <w:tcPr>
            <w:tcW w:w="752" w:type="pct"/>
            <w:tcBorders>
              <w:top w:val="single" w:sz="4" w:space="0" w:color="auto"/>
              <w:left w:val="nil"/>
              <w:bottom w:val="nil"/>
              <w:right w:val="nil"/>
            </w:tcBorders>
            <w:shd w:val="clear" w:color="auto" w:fill="auto"/>
            <w:vAlign w:val="bottom"/>
          </w:tcPr>
          <w:p w14:paraId="0681C5BE" w14:textId="77777777" w:rsidR="00D63168" w:rsidRPr="001E47AD" w:rsidRDefault="00D63168" w:rsidP="006B6D34">
            <w:pPr>
              <w:jc w:val="right"/>
              <w:rPr>
                <w:rFonts w:ascii="Times New Roman" w:hAnsi="Times New Roman" w:cs="Times New Roman"/>
                <w:sz w:val="20"/>
                <w:szCs w:val="20"/>
              </w:rPr>
            </w:pPr>
          </w:p>
        </w:tc>
      </w:tr>
      <w:tr w:rsidR="00D63168" w:rsidRPr="001E47AD" w14:paraId="46EA4DCF" w14:textId="77777777" w:rsidTr="006B6D34">
        <w:tc>
          <w:tcPr>
            <w:tcW w:w="1224" w:type="pct"/>
            <w:tcBorders>
              <w:top w:val="nil"/>
              <w:left w:val="nil"/>
              <w:bottom w:val="nil"/>
              <w:right w:val="nil"/>
            </w:tcBorders>
            <w:shd w:val="clear" w:color="auto" w:fill="auto"/>
            <w:vAlign w:val="center"/>
          </w:tcPr>
          <w:p w14:paraId="798D3934"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Format</w:t>
            </w:r>
          </w:p>
        </w:tc>
        <w:tc>
          <w:tcPr>
            <w:tcW w:w="765" w:type="pct"/>
            <w:tcBorders>
              <w:top w:val="nil"/>
              <w:left w:val="nil"/>
              <w:bottom w:val="nil"/>
              <w:right w:val="nil"/>
            </w:tcBorders>
            <w:shd w:val="clear" w:color="auto" w:fill="auto"/>
            <w:vAlign w:val="bottom"/>
          </w:tcPr>
          <w:p w14:paraId="39D88BEF"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437D1608"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30C31250"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46A265FF" w14:textId="77777777" w:rsidR="00D63168" w:rsidRPr="001E47AD" w:rsidRDefault="00D63168" w:rsidP="006B6D34">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5F2FC6CB" w14:textId="77777777" w:rsidR="00D63168" w:rsidRPr="001E47AD" w:rsidRDefault="00D63168" w:rsidP="006B6D34">
            <w:pPr>
              <w:jc w:val="right"/>
              <w:rPr>
                <w:rFonts w:ascii="Times New Roman" w:hAnsi="Times New Roman" w:cs="Times New Roman"/>
                <w:sz w:val="20"/>
                <w:szCs w:val="20"/>
              </w:rPr>
            </w:pPr>
          </w:p>
        </w:tc>
      </w:tr>
      <w:tr w:rsidR="00D63168" w:rsidRPr="001E47AD" w14:paraId="61801DCC" w14:textId="77777777" w:rsidTr="006B6D34">
        <w:tc>
          <w:tcPr>
            <w:tcW w:w="1224" w:type="pct"/>
            <w:tcBorders>
              <w:top w:val="nil"/>
              <w:left w:val="nil"/>
              <w:bottom w:val="nil"/>
              <w:right w:val="nil"/>
            </w:tcBorders>
            <w:shd w:val="clear" w:color="auto" w:fill="auto"/>
            <w:vAlign w:val="center"/>
          </w:tcPr>
          <w:p w14:paraId="25B7E5E7"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CHAIN_GROC</m:t>
                </m:r>
              </m:oMath>
            </m:oMathPara>
          </w:p>
        </w:tc>
        <w:tc>
          <w:tcPr>
            <w:tcW w:w="765" w:type="pct"/>
            <w:tcBorders>
              <w:top w:val="nil"/>
              <w:left w:val="nil"/>
              <w:bottom w:val="nil"/>
              <w:right w:val="nil"/>
            </w:tcBorders>
            <w:shd w:val="clear" w:color="auto" w:fill="auto"/>
            <w:vAlign w:val="bottom"/>
          </w:tcPr>
          <w:p w14:paraId="1AFB916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29.558 (99.228)</w:t>
            </w:r>
          </w:p>
        </w:tc>
        <w:tc>
          <w:tcPr>
            <w:tcW w:w="753" w:type="pct"/>
            <w:tcBorders>
              <w:top w:val="nil"/>
              <w:left w:val="nil"/>
              <w:bottom w:val="nil"/>
              <w:right w:val="nil"/>
            </w:tcBorders>
            <w:shd w:val="clear" w:color="auto" w:fill="auto"/>
            <w:vAlign w:val="bottom"/>
          </w:tcPr>
          <w:p w14:paraId="4005148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131.399 (99.167)</w:t>
            </w:r>
          </w:p>
        </w:tc>
        <w:tc>
          <w:tcPr>
            <w:tcW w:w="753" w:type="pct"/>
            <w:tcBorders>
              <w:top w:val="nil"/>
              <w:left w:val="nil"/>
              <w:bottom w:val="nil"/>
              <w:right w:val="nil"/>
            </w:tcBorders>
            <w:shd w:val="clear" w:color="auto" w:fill="auto"/>
            <w:vAlign w:val="bottom"/>
          </w:tcPr>
          <w:p w14:paraId="1DF0394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143.311 (99.104)</w:t>
            </w:r>
          </w:p>
        </w:tc>
        <w:tc>
          <w:tcPr>
            <w:tcW w:w="753" w:type="pct"/>
            <w:tcBorders>
              <w:top w:val="nil"/>
              <w:left w:val="nil"/>
              <w:bottom w:val="nil"/>
              <w:right w:val="nil"/>
            </w:tcBorders>
            <w:shd w:val="clear" w:color="auto" w:fill="auto"/>
            <w:vAlign w:val="bottom"/>
          </w:tcPr>
          <w:p w14:paraId="23D3582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126.306 (98.962)</w:t>
            </w:r>
          </w:p>
        </w:tc>
        <w:tc>
          <w:tcPr>
            <w:tcW w:w="752" w:type="pct"/>
            <w:tcBorders>
              <w:top w:val="nil"/>
              <w:left w:val="nil"/>
              <w:bottom w:val="nil"/>
              <w:right w:val="nil"/>
            </w:tcBorders>
            <w:shd w:val="clear" w:color="auto" w:fill="auto"/>
            <w:vAlign w:val="bottom"/>
          </w:tcPr>
          <w:p w14:paraId="7DE8A7F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117.351 (99.076)</w:t>
            </w:r>
          </w:p>
        </w:tc>
      </w:tr>
      <w:tr w:rsidR="00D63168" w:rsidRPr="001E47AD" w14:paraId="5C5EDFF5" w14:textId="77777777" w:rsidTr="006B6D34">
        <w:tc>
          <w:tcPr>
            <w:tcW w:w="1224" w:type="pct"/>
            <w:tcBorders>
              <w:top w:val="nil"/>
              <w:left w:val="nil"/>
              <w:bottom w:val="nil"/>
              <w:right w:val="nil"/>
            </w:tcBorders>
            <w:shd w:val="clear" w:color="auto" w:fill="auto"/>
            <w:vAlign w:val="center"/>
          </w:tcPr>
          <w:p w14:paraId="0B03F301"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CHAIN_WHS</m:t>
                </m:r>
              </m:oMath>
            </m:oMathPara>
          </w:p>
        </w:tc>
        <w:tc>
          <w:tcPr>
            <w:tcW w:w="765" w:type="pct"/>
            <w:tcBorders>
              <w:top w:val="nil"/>
              <w:left w:val="nil"/>
              <w:bottom w:val="nil"/>
              <w:right w:val="nil"/>
            </w:tcBorders>
            <w:shd w:val="clear" w:color="auto" w:fill="auto"/>
            <w:vAlign w:val="bottom"/>
          </w:tcPr>
          <w:p w14:paraId="318E235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127.997*** (28.317)</w:t>
            </w:r>
          </w:p>
        </w:tc>
        <w:tc>
          <w:tcPr>
            <w:tcW w:w="753" w:type="pct"/>
            <w:tcBorders>
              <w:top w:val="nil"/>
              <w:left w:val="nil"/>
              <w:bottom w:val="nil"/>
              <w:right w:val="nil"/>
            </w:tcBorders>
            <w:shd w:val="clear" w:color="auto" w:fill="auto"/>
            <w:vAlign w:val="bottom"/>
          </w:tcPr>
          <w:p w14:paraId="34ED858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252.249*** (28.780)</w:t>
            </w:r>
          </w:p>
        </w:tc>
        <w:tc>
          <w:tcPr>
            <w:tcW w:w="753" w:type="pct"/>
            <w:tcBorders>
              <w:top w:val="nil"/>
              <w:left w:val="nil"/>
              <w:bottom w:val="nil"/>
              <w:right w:val="nil"/>
            </w:tcBorders>
            <w:shd w:val="clear" w:color="auto" w:fill="auto"/>
            <w:vAlign w:val="bottom"/>
          </w:tcPr>
          <w:p w14:paraId="1727B71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241.848*** (28.319)</w:t>
            </w:r>
          </w:p>
        </w:tc>
        <w:tc>
          <w:tcPr>
            <w:tcW w:w="753" w:type="pct"/>
            <w:tcBorders>
              <w:top w:val="nil"/>
              <w:left w:val="nil"/>
              <w:bottom w:val="nil"/>
              <w:right w:val="nil"/>
            </w:tcBorders>
            <w:shd w:val="clear" w:color="auto" w:fill="auto"/>
            <w:vAlign w:val="bottom"/>
          </w:tcPr>
          <w:p w14:paraId="69A72E7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253.083*** (28.330)</w:t>
            </w:r>
          </w:p>
        </w:tc>
        <w:tc>
          <w:tcPr>
            <w:tcW w:w="752" w:type="pct"/>
            <w:tcBorders>
              <w:top w:val="nil"/>
              <w:left w:val="nil"/>
              <w:bottom w:val="nil"/>
              <w:right w:val="nil"/>
            </w:tcBorders>
            <w:shd w:val="clear" w:color="auto" w:fill="auto"/>
            <w:vAlign w:val="bottom"/>
          </w:tcPr>
          <w:p w14:paraId="4DAF626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202.196*** (27.936)</w:t>
            </w:r>
          </w:p>
        </w:tc>
      </w:tr>
      <w:tr w:rsidR="00D63168" w:rsidRPr="001E47AD" w14:paraId="02287735" w14:textId="77777777" w:rsidTr="006B6D34">
        <w:tc>
          <w:tcPr>
            <w:tcW w:w="1224" w:type="pct"/>
            <w:tcBorders>
              <w:top w:val="nil"/>
              <w:left w:val="nil"/>
              <w:bottom w:val="nil"/>
              <w:right w:val="nil"/>
            </w:tcBorders>
            <w:shd w:val="clear" w:color="auto" w:fill="auto"/>
            <w:vAlign w:val="center"/>
          </w:tcPr>
          <w:p w14:paraId="3EC2B257"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CHAIN_DISC</m:t>
                </m:r>
              </m:oMath>
            </m:oMathPara>
          </w:p>
        </w:tc>
        <w:tc>
          <w:tcPr>
            <w:tcW w:w="765" w:type="pct"/>
            <w:tcBorders>
              <w:top w:val="nil"/>
              <w:left w:val="nil"/>
              <w:bottom w:val="nil"/>
              <w:right w:val="nil"/>
            </w:tcBorders>
            <w:shd w:val="clear" w:color="auto" w:fill="auto"/>
            <w:vAlign w:val="bottom"/>
          </w:tcPr>
          <w:p w14:paraId="4E40828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141.245* (63.745)</w:t>
            </w:r>
          </w:p>
        </w:tc>
        <w:tc>
          <w:tcPr>
            <w:tcW w:w="753" w:type="pct"/>
            <w:tcBorders>
              <w:top w:val="nil"/>
              <w:left w:val="nil"/>
              <w:bottom w:val="nil"/>
              <w:right w:val="nil"/>
            </w:tcBorders>
            <w:shd w:val="clear" w:color="auto" w:fill="auto"/>
            <w:vAlign w:val="bottom"/>
          </w:tcPr>
          <w:p w14:paraId="1BDB72F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142.705* (63.697)</w:t>
            </w:r>
          </w:p>
        </w:tc>
        <w:tc>
          <w:tcPr>
            <w:tcW w:w="753" w:type="pct"/>
            <w:tcBorders>
              <w:top w:val="nil"/>
              <w:left w:val="nil"/>
              <w:bottom w:val="nil"/>
              <w:right w:val="nil"/>
            </w:tcBorders>
            <w:shd w:val="clear" w:color="auto" w:fill="auto"/>
            <w:vAlign w:val="bottom"/>
          </w:tcPr>
          <w:p w14:paraId="4CD6615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144.199* (63.655)</w:t>
            </w:r>
          </w:p>
        </w:tc>
        <w:tc>
          <w:tcPr>
            <w:tcW w:w="753" w:type="pct"/>
            <w:tcBorders>
              <w:top w:val="nil"/>
              <w:left w:val="nil"/>
              <w:bottom w:val="nil"/>
              <w:right w:val="nil"/>
            </w:tcBorders>
            <w:shd w:val="clear" w:color="auto" w:fill="auto"/>
            <w:vAlign w:val="bottom"/>
          </w:tcPr>
          <w:p w14:paraId="5761513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146.734* (63.616)</w:t>
            </w:r>
          </w:p>
        </w:tc>
        <w:tc>
          <w:tcPr>
            <w:tcW w:w="752" w:type="pct"/>
            <w:tcBorders>
              <w:top w:val="nil"/>
              <w:left w:val="nil"/>
              <w:bottom w:val="nil"/>
              <w:right w:val="nil"/>
            </w:tcBorders>
            <w:shd w:val="clear" w:color="auto" w:fill="auto"/>
            <w:vAlign w:val="bottom"/>
          </w:tcPr>
          <w:p w14:paraId="4B75D2E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142.441* (63.684)</w:t>
            </w:r>
          </w:p>
        </w:tc>
      </w:tr>
      <w:tr w:rsidR="00D63168" w:rsidRPr="001E47AD" w14:paraId="43081C1D" w14:textId="77777777" w:rsidTr="006B6D34">
        <w:tc>
          <w:tcPr>
            <w:tcW w:w="1224" w:type="pct"/>
            <w:tcBorders>
              <w:top w:val="nil"/>
              <w:left w:val="nil"/>
              <w:bottom w:val="nil"/>
              <w:right w:val="nil"/>
            </w:tcBorders>
            <w:shd w:val="clear" w:color="auto" w:fill="auto"/>
            <w:vAlign w:val="center"/>
          </w:tcPr>
          <w:p w14:paraId="6571E1D3"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CHAIN_DOLLAR</m:t>
                </m:r>
              </m:oMath>
            </m:oMathPara>
          </w:p>
        </w:tc>
        <w:tc>
          <w:tcPr>
            <w:tcW w:w="765" w:type="pct"/>
            <w:tcBorders>
              <w:top w:val="nil"/>
              <w:left w:val="nil"/>
              <w:bottom w:val="nil"/>
              <w:right w:val="nil"/>
            </w:tcBorders>
            <w:shd w:val="clear" w:color="auto" w:fill="auto"/>
            <w:vAlign w:val="bottom"/>
          </w:tcPr>
          <w:p w14:paraId="5CF156F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-252.197*** (56.352)</w:t>
            </w:r>
          </w:p>
        </w:tc>
        <w:tc>
          <w:tcPr>
            <w:tcW w:w="753" w:type="pct"/>
            <w:tcBorders>
              <w:top w:val="nil"/>
              <w:left w:val="nil"/>
              <w:bottom w:val="nil"/>
              <w:right w:val="nil"/>
            </w:tcBorders>
            <w:shd w:val="clear" w:color="auto" w:fill="auto"/>
            <w:vAlign w:val="bottom"/>
          </w:tcPr>
          <w:p w14:paraId="31A2F1A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-242.505*** (56.274)</w:t>
            </w:r>
          </w:p>
        </w:tc>
        <w:tc>
          <w:tcPr>
            <w:tcW w:w="753" w:type="pct"/>
            <w:tcBorders>
              <w:top w:val="nil"/>
              <w:left w:val="nil"/>
              <w:bottom w:val="nil"/>
              <w:right w:val="nil"/>
            </w:tcBorders>
            <w:shd w:val="clear" w:color="auto" w:fill="auto"/>
            <w:vAlign w:val="bottom"/>
          </w:tcPr>
          <w:p w14:paraId="531CF03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-261.645*** (56.269)</w:t>
            </w:r>
          </w:p>
        </w:tc>
        <w:tc>
          <w:tcPr>
            <w:tcW w:w="753" w:type="pct"/>
            <w:tcBorders>
              <w:top w:val="nil"/>
              <w:left w:val="nil"/>
              <w:bottom w:val="nil"/>
              <w:right w:val="nil"/>
            </w:tcBorders>
            <w:shd w:val="clear" w:color="auto" w:fill="auto"/>
            <w:vAlign w:val="bottom"/>
          </w:tcPr>
          <w:p w14:paraId="1838BE2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-244.525*** (56.202)</w:t>
            </w:r>
          </w:p>
        </w:tc>
        <w:tc>
          <w:tcPr>
            <w:tcW w:w="752" w:type="pct"/>
            <w:tcBorders>
              <w:top w:val="nil"/>
              <w:left w:val="nil"/>
              <w:bottom w:val="nil"/>
              <w:right w:val="nil"/>
            </w:tcBorders>
            <w:shd w:val="clear" w:color="auto" w:fill="auto"/>
            <w:vAlign w:val="bottom"/>
          </w:tcPr>
          <w:p w14:paraId="53E2E8C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-238.081*** (56.260)</w:t>
            </w:r>
          </w:p>
        </w:tc>
      </w:tr>
      <w:tr w:rsidR="00D63168" w:rsidRPr="001E47AD" w14:paraId="368F9229" w14:textId="77777777" w:rsidTr="006B6D34">
        <w:tc>
          <w:tcPr>
            <w:tcW w:w="1224" w:type="pct"/>
            <w:tcBorders>
              <w:top w:val="nil"/>
              <w:left w:val="nil"/>
              <w:bottom w:val="nil"/>
              <w:right w:val="nil"/>
            </w:tcBorders>
            <w:shd w:val="clear" w:color="auto" w:fill="auto"/>
            <w:vAlign w:val="center"/>
          </w:tcPr>
          <w:p w14:paraId="292B62DF"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CHAIN_DRUG</m:t>
                </m:r>
              </m:oMath>
            </m:oMathPara>
          </w:p>
        </w:tc>
        <w:tc>
          <w:tcPr>
            <w:tcW w:w="765" w:type="pct"/>
            <w:tcBorders>
              <w:top w:val="nil"/>
              <w:left w:val="nil"/>
              <w:bottom w:val="nil"/>
              <w:right w:val="nil"/>
            </w:tcBorders>
            <w:shd w:val="clear" w:color="auto" w:fill="auto"/>
            <w:vAlign w:val="bottom"/>
          </w:tcPr>
          <w:p w14:paraId="007CD2C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441.938*** (34.447)</w:t>
            </w:r>
          </w:p>
        </w:tc>
        <w:tc>
          <w:tcPr>
            <w:tcW w:w="753" w:type="pct"/>
            <w:tcBorders>
              <w:top w:val="nil"/>
              <w:left w:val="nil"/>
              <w:bottom w:val="nil"/>
              <w:right w:val="nil"/>
            </w:tcBorders>
            <w:shd w:val="clear" w:color="auto" w:fill="auto"/>
            <w:vAlign w:val="bottom"/>
          </w:tcPr>
          <w:p w14:paraId="4FAF57B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441.413*** (34.421)</w:t>
            </w:r>
          </w:p>
        </w:tc>
        <w:tc>
          <w:tcPr>
            <w:tcW w:w="753" w:type="pct"/>
            <w:tcBorders>
              <w:top w:val="nil"/>
              <w:left w:val="nil"/>
              <w:bottom w:val="nil"/>
              <w:right w:val="nil"/>
            </w:tcBorders>
            <w:shd w:val="clear" w:color="auto" w:fill="auto"/>
            <w:vAlign w:val="bottom"/>
          </w:tcPr>
          <w:p w14:paraId="14C3DFA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443.247*** (34.398)</w:t>
            </w:r>
          </w:p>
        </w:tc>
        <w:tc>
          <w:tcPr>
            <w:tcW w:w="753" w:type="pct"/>
            <w:tcBorders>
              <w:top w:val="nil"/>
              <w:left w:val="nil"/>
              <w:bottom w:val="nil"/>
              <w:right w:val="nil"/>
            </w:tcBorders>
            <w:shd w:val="clear" w:color="auto" w:fill="auto"/>
            <w:vAlign w:val="bottom"/>
          </w:tcPr>
          <w:p w14:paraId="396780A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441.330*** (34.377)</w:t>
            </w:r>
          </w:p>
        </w:tc>
        <w:tc>
          <w:tcPr>
            <w:tcW w:w="752" w:type="pct"/>
            <w:tcBorders>
              <w:top w:val="nil"/>
              <w:left w:val="nil"/>
              <w:bottom w:val="nil"/>
              <w:right w:val="nil"/>
            </w:tcBorders>
            <w:shd w:val="clear" w:color="auto" w:fill="auto"/>
            <w:vAlign w:val="bottom"/>
          </w:tcPr>
          <w:p w14:paraId="52C04E7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441.502*** (34.414)</w:t>
            </w:r>
          </w:p>
        </w:tc>
      </w:tr>
      <w:tr w:rsidR="00D63168" w:rsidRPr="001E47AD" w14:paraId="7D891415" w14:textId="77777777" w:rsidTr="006B6D34">
        <w:tc>
          <w:tcPr>
            <w:tcW w:w="1224" w:type="pct"/>
            <w:tcBorders>
              <w:top w:val="nil"/>
              <w:left w:val="nil"/>
              <w:bottom w:val="nil"/>
              <w:right w:val="nil"/>
            </w:tcBorders>
            <w:shd w:val="clear" w:color="auto" w:fill="auto"/>
            <w:vAlign w:val="center"/>
          </w:tcPr>
          <w:p w14:paraId="3CE701B1"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CHAIN_LIQ</m:t>
                </m:r>
              </m:oMath>
            </m:oMathPara>
          </w:p>
        </w:tc>
        <w:tc>
          <w:tcPr>
            <w:tcW w:w="765" w:type="pct"/>
            <w:tcBorders>
              <w:top w:val="nil"/>
              <w:left w:val="nil"/>
              <w:bottom w:val="nil"/>
              <w:right w:val="nil"/>
            </w:tcBorders>
            <w:shd w:val="clear" w:color="auto" w:fill="auto"/>
            <w:vAlign w:val="bottom"/>
          </w:tcPr>
          <w:p w14:paraId="0538B22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202.444*** (51.865)</w:t>
            </w:r>
          </w:p>
        </w:tc>
        <w:tc>
          <w:tcPr>
            <w:tcW w:w="753" w:type="pct"/>
            <w:tcBorders>
              <w:top w:val="nil"/>
              <w:left w:val="nil"/>
              <w:bottom w:val="nil"/>
              <w:right w:val="nil"/>
            </w:tcBorders>
            <w:shd w:val="clear" w:color="auto" w:fill="auto"/>
            <w:vAlign w:val="bottom"/>
          </w:tcPr>
          <w:p w14:paraId="6B1652C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204.858*** (51.825)</w:t>
            </w:r>
          </w:p>
        </w:tc>
        <w:tc>
          <w:tcPr>
            <w:tcW w:w="753" w:type="pct"/>
            <w:tcBorders>
              <w:top w:val="nil"/>
              <w:left w:val="nil"/>
              <w:bottom w:val="nil"/>
              <w:right w:val="nil"/>
            </w:tcBorders>
            <w:shd w:val="clear" w:color="auto" w:fill="auto"/>
            <w:vAlign w:val="bottom"/>
          </w:tcPr>
          <w:p w14:paraId="5271D436"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210.975*** (51.793)</w:t>
            </w:r>
          </w:p>
        </w:tc>
        <w:tc>
          <w:tcPr>
            <w:tcW w:w="753" w:type="pct"/>
            <w:tcBorders>
              <w:top w:val="nil"/>
              <w:left w:val="nil"/>
              <w:bottom w:val="nil"/>
              <w:right w:val="nil"/>
            </w:tcBorders>
            <w:shd w:val="clear" w:color="auto" w:fill="auto"/>
            <w:vAlign w:val="bottom"/>
          </w:tcPr>
          <w:p w14:paraId="73E6FF7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211.051*** (51.761)</w:t>
            </w:r>
          </w:p>
        </w:tc>
        <w:tc>
          <w:tcPr>
            <w:tcW w:w="752" w:type="pct"/>
            <w:tcBorders>
              <w:top w:val="nil"/>
              <w:left w:val="nil"/>
              <w:bottom w:val="nil"/>
              <w:right w:val="nil"/>
            </w:tcBorders>
            <w:shd w:val="clear" w:color="auto" w:fill="auto"/>
            <w:vAlign w:val="bottom"/>
          </w:tcPr>
          <w:p w14:paraId="7FE489D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206.282*** (51.815)</w:t>
            </w:r>
          </w:p>
        </w:tc>
      </w:tr>
      <w:tr w:rsidR="00D63168" w:rsidRPr="001E47AD" w14:paraId="20F0B1A6" w14:textId="77777777" w:rsidTr="006B6D34">
        <w:tc>
          <w:tcPr>
            <w:tcW w:w="1224" w:type="pct"/>
            <w:tcBorders>
              <w:top w:val="nil"/>
              <w:left w:val="nil"/>
              <w:bottom w:val="nil"/>
              <w:right w:val="nil"/>
            </w:tcBorders>
            <w:shd w:val="clear" w:color="auto" w:fill="auto"/>
            <w:vAlign w:val="center"/>
          </w:tcPr>
          <w:p w14:paraId="0ED46A22"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Chain</w:t>
            </w:r>
          </w:p>
        </w:tc>
        <w:tc>
          <w:tcPr>
            <w:tcW w:w="765" w:type="pct"/>
            <w:tcBorders>
              <w:top w:val="nil"/>
              <w:left w:val="nil"/>
              <w:bottom w:val="nil"/>
              <w:right w:val="nil"/>
            </w:tcBorders>
          </w:tcPr>
          <w:p w14:paraId="05F8619D"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vAlign w:val="bottom"/>
          </w:tcPr>
          <w:p w14:paraId="24C56D8C"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45085F76"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6D431645" w14:textId="77777777" w:rsidR="00D63168" w:rsidRPr="001E47AD" w:rsidRDefault="00D63168" w:rsidP="006B6D34">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vAlign w:val="bottom"/>
          </w:tcPr>
          <w:p w14:paraId="41BA3E31" w14:textId="77777777" w:rsidR="00D63168" w:rsidRPr="001E47AD" w:rsidRDefault="00D63168" w:rsidP="006B6D34">
            <w:pPr>
              <w:contextualSpacing/>
              <w:jc w:val="right"/>
              <w:rPr>
                <w:rFonts w:ascii="Times New Roman" w:hAnsi="Times New Roman" w:cs="Times New Roman"/>
                <w:spacing w:val="-5"/>
                <w:sz w:val="16"/>
                <w:szCs w:val="16"/>
              </w:rPr>
            </w:pPr>
          </w:p>
        </w:tc>
      </w:tr>
      <w:tr w:rsidR="00D63168" w:rsidRPr="001E47AD" w14:paraId="7774D015" w14:textId="77777777" w:rsidTr="006B6D34">
        <w:tc>
          <w:tcPr>
            <w:tcW w:w="1224" w:type="pct"/>
            <w:tcBorders>
              <w:top w:val="nil"/>
              <w:left w:val="nil"/>
              <w:bottom w:val="nil"/>
              <w:right w:val="nil"/>
            </w:tcBorders>
            <w:shd w:val="clear" w:color="auto" w:fill="auto"/>
            <w:vAlign w:val="center"/>
          </w:tcPr>
          <w:p w14:paraId="4CDBEA98"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RETAIL_CHAIN</m:t>
                </m:r>
              </m:oMath>
            </m:oMathPara>
          </w:p>
        </w:tc>
        <w:tc>
          <w:tcPr>
            <w:tcW w:w="765" w:type="pct"/>
            <w:tcBorders>
              <w:top w:val="nil"/>
              <w:left w:val="nil"/>
              <w:bottom w:val="nil"/>
              <w:right w:val="nil"/>
            </w:tcBorders>
            <w:vAlign w:val="bottom"/>
          </w:tcPr>
          <w:p w14:paraId="2BC3B963"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shd w:val="clear" w:color="auto" w:fill="auto"/>
            <w:vAlign w:val="bottom"/>
          </w:tcPr>
          <w:p w14:paraId="0EABE196"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vAlign w:val="bottom"/>
          </w:tcPr>
          <w:p w14:paraId="72F9EA11"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vAlign w:val="bottom"/>
          </w:tcPr>
          <w:p w14:paraId="78957F50"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2" w:type="pct"/>
            <w:tcBorders>
              <w:top w:val="nil"/>
              <w:left w:val="nil"/>
              <w:bottom w:val="nil"/>
              <w:right w:val="nil"/>
            </w:tcBorders>
            <w:vAlign w:val="bottom"/>
          </w:tcPr>
          <w:p w14:paraId="1A422AE8"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r>
      <w:tr w:rsidR="00D63168" w:rsidRPr="001E47AD" w14:paraId="7F15937A" w14:textId="77777777" w:rsidTr="006B6D34">
        <w:tc>
          <w:tcPr>
            <w:tcW w:w="1224" w:type="pct"/>
            <w:tcBorders>
              <w:top w:val="nil"/>
              <w:left w:val="nil"/>
              <w:bottom w:val="nil"/>
              <w:right w:val="nil"/>
            </w:tcBorders>
            <w:shd w:val="clear" w:color="auto" w:fill="auto"/>
            <w:vAlign w:val="center"/>
          </w:tcPr>
          <w:p w14:paraId="575FB29C"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Hurricane Influence</w:t>
            </w:r>
          </w:p>
        </w:tc>
        <w:tc>
          <w:tcPr>
            <w:tcW w:w="765" w:type="pct"/>
            <w:tcBorders>
              <w:top w:val="nil"/>
              <w:left w:val="nil"/>
              <w:bottom w:val="nil"/>
              <w:right w:val="nil"/>
            </w:tcBorders>
          </w:tcPr>
          <w:p w14:paraId="0D53E39D"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tcPr>
          <w:p w14:paraId="664FC8D0"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tcPr>
          <w:p w14:paraId="1DD7B80B"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center"/>
          </w:tcPr>
          <w:p w14:paraId="77BC47B9" w14:textId="77777777" w:rsidR="00D63168" w:rsidRPr="001E47AD" w:rsidRDefault="00D63168" w:rsidP="006B6D34">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tcPr>
          <w:p w14:paraId="0D187A39" w14:textId="77777777" w:rsidR="00D63168" w:rsidRPr="001E47AD" w:rsidRDefault="00D63168" w:rsidP="006B6D34">
            <w:pPr>
              <w:contextualSpacing/>
              <w:jc w:val="right"/>
              <w:rPr>
                <w:rFonts w:ascii="Times New Roman" w:hAnsi="Times New Roman" w:cs="Times New Roman"/>
                <w:spacing w:val="-5"/>
                <w:sz w:val="16"/>
                <w:szCs w:val="16"/>
              </w:rPr>
            </w:pPr>
          </w:p>
        </w:tc>
      </w:tr>
      <w:tr w:rsidR="00D63168" w:rsidRPr="001E47AD" w14:paraId="7D526272" w14:textId="77777777" w:rsidTr="006B6D34">
        <w:tc>
          <w:tcPr>
            <w:tcW w:w="1224" w:type="pct"/>
            <w:tcBorders>
              <w:top w:val="nil"/>
              <w:left w:val="nil"/>
              <w:bottom w:val="nil"/>
              <w:right w:val="nil"/>
            </w:tcBorders>
            <w:shd w:val="clear" w:color="auto" w:fill="auto"/>
            <w:vAlign w:val="center"/>
          </w:tcPr>
          <w:p w14:paraId="79C7A70D"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DAYS_BEF_INFL_EARLY</m:t>
                </m:r>
              </m:oMath>
            </m:oMathPara>
          </w:p>
        </w:tc>
        <w:tc>
          <w:tcPr>
            <w:tcW w:w="765" w:type="pct"/>
            <w:tcBorders>
              <w:top w:val="nil"/>
              <w:left w:val="nil"/>
              <w:bottom w:val="nil"/>
              <w:right w:val="nil"/>
            </w:tcBorders>
            <w:shd w:val="clear" w:color="auto" w:fill="auto"/>
            <w:vAlign w:val="bottom"/>
          </w:tcPr>
          <w:p w14:paraId="7B60A7F6" w14:textId="77777777" w:rsidR="00D63168" w:rsidRPr="001E47AD" w:rsidRDefault="00D63168" w:rsidP="006B6D34">
            <w:pPr>
              <w:jc w:val="right"/>
              <w:rPr>
                <w:rFonts w:ascii="Times New Roman" w:hAnsi="Times New Roman" w:cs="Times New Roman"/>
                <w:sz w:val="16"/>
                <w:szCs w:val="16"/>
                <w:lang w:val="en-CA"/>
              </w:rPr>
            </w:pPr>
            <w:r w:rsidRPr="001E47AD">
              <w:rPr>
                <w:rFonts w:ascii="Times New Roman" w:hAnsi="Times New Roman" w:cs="Times New Roman"/>
                <w:color w:val="000000"/>
                <w:sz w:val="16"/>
                <w:szCs w:val="16"/>
              </w:rPr>
              <w:t>14.507*** (3.926)</w:t>
            </w:r>
          </w:p>
        </w:tc>
        <w:tc>
          <w:tcPr>
            <w:tcW w:w="753" w:type="pct"/>
            <w:tcBorders>
              <w:top w:val="nil"/>
              <w:left w:val="nil"/>
              <w:bottom w:val="nil"/>
              <w:right w:val="nil"/>
            </w:tcBorders>
            <w:shd w:val="clear" w:color="auto" w:fill="auto"/>
            <w:vAlign w:val="bottom"/>
          </w:tcPr>
          <w:p w14:paraId="46188D8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13.400*** (3.910)</w:t>
            </w:r>
          </w:p>
        </w:tc>
        <w:tc>
          <w:tcPr>
            <w:tcW w:w="753" w:type="pct"/>
            <w:tcBorders>
              <w:top w:val="nil"/>
              <w:left w:val="nil"/>
              <w:bottom w:val="nil"/>
              <w:right w:val="nil"/>
            </w:tcBorders>
            <w:shd w:val="clear" w:color="auto" w:fill="auto"/>
            <w:vAlign w:val="bottom"/>
          </w:tcPr>
          <w:p w14:paraId="36F9D24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10.367** (3.904)</w:t>
            </w:r>
          </w:p>
        </w:tc>
        <w:tc>
          <w:tcPr>
            <w:tcW w:w="753" w:type="pct"/>
            <w:tcBorders>
              <w:top w:val="nil"/>
              <w:left w:val="nil"/>
              <w:bottom w:val="nil"/>
              <w:right w:val="nil"/>
            </w:tcBorders>
            <w:shd w:val="clear" w:color="auto" w:fill="auto"/>
            <w:vAlign w:val="bottom"/>
          </w:tcPr>
          <w:p w14:paraId="2903BE2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12.427** (3.901)</w:t>
            </w:r>
          </w:p>
        </w:tc>
        <w:tc>
          <w:tcPr>
            <w:tcW w:w="752" w:type="pct"/>
            <w:tcBorders>
              <w:top w:val="nil"/>
              <w:left w:val="nil"/>
              <w:bottom w:val="nil"/>
              <w:right w:val="nil"/>
            </w:tcBorders>
            <w:shd w:val="clear" w:color="auto" w:fill="auto"/>
            <w:vAlign w:val="bottom"/>
          </w:tcPr>
          <w:p w14:paraId="0FA30DB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12.011** (3.905)</w:t>
            </w:r>
          </w:p>
        </w:tc>
      </w:tr>
      <w:tr w:rsidR="00D63168" w:rsidRPr="001E47AD" w14:paraId="6CDD594D" w14:textId="77777777" w:rsidTr="006B6D34">
        <w:tc>
          <w:tcPr>
            <w:tcW w:w="1224" w:type="pct"/>
            <w:tcBorders>
              <w:top w:val="nil"/>
              <w:left w:val="nil"/>
              <w:bottom w:val="nil"/>
              <w:right w:val="nil"/>
            </w:tcBorders>
            <w:shd w:val="clear" w:color="auto" w:fill="auto"/>
            <w:vAlign w:val="center"/>
          </w:tcPr>
          <w:p w14:paraId="5C97B35D"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DAYS_INFL_AFT_LANDFALL</m:t>
                </m:r>
              </m:oMath>
            </m:oMathPara>
          </w:p>
        </w:tc>
        <w:tc>
          <w:tcPr>
            <w:tcW w:w="765" w:type="pct"/>
            <w:tcBorders>
              <w:top w:val="nil"/>
              <w:left w:val="nil"/>
              <w:bottom w:val="nil"/>
              <w:right w:val="nil"/>
            </w:tcBorders>
            <w:shd w:val="clear" w:color="auto" w:fill="auto"/>
            <w:vAlign w:val="bottom"/>
          </w:tcPr>
          <w:p w14:paraId="42C8CBA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-28.430*** (2.852)</w:t>
            </w:r>
          </w:p>
        </w:tc>
        <w:tc>
          <w:tcPr>
            <w:tcW w:w="753" w:type="pct"/>
            <w:tcBorders>
              <w:top w:val="nil"/>
              <w:left w:val="nil"/>
              <w:bottom w:val="nil"/>
              <w:right w:val="nil"/>
            </w:tcBorders>
            <w:shd w:val="clear" w:color="auto" w:fill="auto"/>
            <w:vAlign w:val="bottom"/>
          </w:tcPr>
          <w:p w14:paraId="2C3AA45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-27.196*** (2.848)</w:t>
            </w:r>
          </w:p>
        </w:tc>
        <w:tc>
          <w:tcPr>
            <w:tcW w:w="753" w:type="pct"/>
            <w:tcBorders>
              <w:top w:val="nil"/>
              <w:left w:val="nil"/>
              <w:bottom w:val="nil"/>
              <w:right w:val="nil"/>
            </w:tcBorders>
            <w:shd w:val="clear" w:color="auto" w:fill="auto"/>
            <w:vAlign w:val="bottom"/>
          </w:tcPr>
          <w:p w14:paraId="60BF2DB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-25.605*** (2.850)</w:t>
            </w:r>
          </w:p>
        </w:tc>
        <w:tc>
          <w:tcPr>
            <w:tcW w:w="753" w:type="pct"/>
            <w:tcBorders>
              <w:top w:val="nil"/>
              <w:left w:val="nil"/>
              <w:bottom w:val="nil"/>
              <w:right w:val="nil"/>
            </w:tcBorders>
            <w:shd w:val="clear" w:color="auto" w:fill="auto"/>
            <w:vAlign w:val="bottom"/>
          </w:tcPr>
          <w:p w14:paraId="2149A15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-27.189*** (2.844)</w:t>
            </w:r>
          </w:p>
        </w:tc>
        <w:tc>
          <w:tcPr>
            <w:tcW w:w="752" w:type="pct"/>
            <w:tcBorders>
              <w:top w:val="nil"/>
              <w:left w:val="nil"/>
              <w:bottom w:val="nil"/>
              <w:right w:val="nil"/>
            </w:tcBorders>
            <w:shd w:val="clear" w:color="auto" w:fill="auto"/>
            <w:vAlign w:val="bottom"/>
          </w:tcPr>
          <w:p w14:paraId="20BF7AF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-27.383*** (2.847)</w:t>
            </w:r>
          </w:p>
        </w:tc>
      </w:tr>
      <w:tr w:rsidR="00D63168" w:rsidRPr="001E47AD" w14:paraId="42C8D1B5" w14:textId="77777777" w:rsidTr="006B6D34">
        <w:tc>
          <w:tcPr>
            <w:tcW w:w="1224" w:type="pct"/>
            <w:tcBorders>
              <w:top w:val="nil"/>
              <w:left w:val="nil"/>
              <w:bottom w:val="nil"/>
              <w:right w:val="nil"/>
            </w:tcBorders>
            <w:shd w:val="clear" w:color="auto" w:fill="auto"/>
            <w:vAlign w:val="center"/>
          </w:tcPr>
          <w:p w14:paraId="02B7DDAE"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Category Competition</w:t>
            </w:r>
          </w:p>
        </w:tc>
        <w:tc>
          <w:tcPr>
            <w:tcW w:w="765" w:type="pct"/>
            <w:tcBorders>
              <w:top w:val="nil"/>
              <w:left w:val="nil"/>
              <w:bottom w:val="nil"/>
              <w:right w:val="nil"/>
            </w:tcBorders>
            <w:shd w:val="clear" w:color="auto" w:fill="auto"/>
            <w:vAlign w:val="bottom"/>
          </w:tcPr>
          <w:p w14:paraId="62C015AE"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7E0C9A43"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4486FC51"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98A928F" w14:textId="77777777" w:rsidR="00D63168" w:rsidRPr="001E47AD" w:rsidRDefault="00D63168" w:rsidP="006B6D34">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24253757" w14:textId="77777777" w:rsidR="00D63168" w:rsidRPr="001E47AD" w:rsidRDefault="00D63168" w:rsidP="006B6D34">
            <w:pPr>
              <w:jc w:val="right"/>
              <w:rPr>
                <w:rFonts w:ascii="Times New Roman" w:hAnsi="Times New Roman" w:cs="Times New Roman"/>
                <w:sz w:val="20"/>
                <w:szCs w:val="20"/>
              </w:rPr>
            </w:pPr>
          </w:p>
        </w:tc>
      </w:tr>
      <w:tr w:rsidR="00D63168" w:rsidRPr="001E47AD" w14:paraId="73A6C5D4" w14:textId="77777777" w:rsidTr="006B6D34">
        <w:tc>
          <w:tcPr>
            <w:tcW w:w="1224" w:type="pct"/>
            <w:tcBorders>
              <w:top w:val="nil"/>
              <w:left w:val="nil"/>
              <w:bottom w:val="nil"/>
              <w:right w:val="nil"/>
            </w:tcBorders>
            <w:shd w:val="clear" w:color="auto" w:fill="auto"/>
            <w:vAlign w:val="center"/>
          </w:tcPr>
          <w:p w14:paraId="2D21E313"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VOL_COUNTY</m:t>
                </m:r>
              </m:oMath>
            </m:oMathPara>
          </w:p>
        </w:tc>
        <w:tc>
          <w:tcPr>
            <w:tcW w:w="765" w:type="pct"/>
            <w:tcBorders>
              <w:top w:val="nil"/>
              <w:left w:val="nil"/>
              <w:bottom w:val="nil"/>
              <w:right w:val="nil"/>
            </w:tcBorders>
            <w:shd w:val="clear" w:color="auto" w:fill="auto"/>
            <w:vAlign w:val="bottom"/>
          </w:tcPr>
          <w:p w14:paraId="08110CF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4.197* (2.090)</w:t>
            </w:r>
          </w:p>
        </w:tc>
        <w:tc>
          <w:tcPr>
            <w:tcW w:w="753" w:type="pct"/>
            <w:tcBorders>
              <w:top w:val="nil"/>
              <w:left w:val="nil"/>
              <w:bottom w:val="nil"/>
              <w:right w:val="nil"/>
            </w:tcBorders>
            <w:shd w:val="clear" w:color="auto" w:fill="auto"/>
            <w:vAlign w:val="bottom"/>
          </w:tcPr>
          <w:p w14:paraId="112B615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6.153** (2.088)</w:t>
            </w:r>
          </w:p>
        </w:tc>
        <w:tc>
          <w:tcPr>
            <w:tcW w:w="753" w:type="pct"/>
            <w:tcBorders>
              <w:top w:val="nil"/>
              <w:left w:val="nil"/>
              <w:bottom w:val="nil"/>
              <w:right w:val="nil"/>
            </w:tcBorders>
            <w:shd w:val="clear" w:color="auto" w:fill="auto"/>
            <w:vAlign w:val="bottom"/>
          </w:tcPr>
          <w:p w14:paraId="4842C30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5.639** (2.085)</w:t>
            </w:r>
          </w:p>
        </w:tc>
        <w:tc>
          <w:tcPr>
            <w:tcW w:w="753" w:type="pct"/>
            <w:tcBorders>
              <w:top w:val="nil"/>
              <w:left w:val="nil"/>
              <w:bottom w:val="nil"/>
              <w:right w:val="nil"/>
            </w:tcBorders>
            <w:shd w:val="clear" w:color="auto" w:fill="auto"/>
            <w:vAlign w:val="bottom"/>
          </w:tcPr>
          <w:p w14:paraId="44412E7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5.978** (2.084)</w:t>
            </w:r>
          </w:p>
        </w:tc>
        <w:tc>
          <w:tcPr>
            <w:tcW w:w="752" w:type="pct"/>
            <w:tcBorders>
              <w:top w:val="nil"/>
              <w:left w:val="nil"/>
              <w:bottom w:val="nil"/>
              <w:right w:val="nil"/>
            </w:tcBorders>
            <w:shd w:val="clear" w:color="auto" w:fill="auto"/>
            <w:vAlign w:val="bottom"/>
          </w:tcPr>
          <w:p w14:paraId="139FC72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5.005* (2.085)</w:t>
            </w:r>
          </w:p>
        </w:tc>
      </w:tr>
      <w:tr w:rsidR="00D63168" w:rsidRPr="001E47AD" w14:paraId="062BF3B9" w14:textId="77777777" w:rsidTr="006B6D34">
        <w:tc>
          <w:tcPr>
            <w:tcW w:w="1224" w:type="pct"/>
            <w:tcBorders>
              <w:top w:val="nil"/>
              <w:left w:val="nil"/>
              <w:bottom w:val="nil"/>
              <w:right w:val="nil"/>
            </w:tcBorders>
            <w:shd w:val="clear" w:color="auto" w:fill="auto"/>
            <w:vAlign w:val="center"/>
          </w:tcPr>
          <w:p w14:paraId="6000407D"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VOL_STATE</m:t>
                </m:r>
              </m:oMath>
            </m:oMathPara>
          </w:p>
        </w:tc>
        <w:tc>
          <w:tcPr>
            <w:tcW w:w="765" w:type="pct"/>
            <w:tcBorders>
              <w:top w:val="nil"/>
              <w:left w:val="nil"/>
              <w:bottom w:val="nil"/>
              <w:right w:val="nil"/>
            </w:tcBorders>
            <w:shd w:val="clear" w:color="auto" w:fill="auto"/>
            <w:vAlign w:val="bottom"/>
          </w:tcPr>
          <w:p w14:paraId="04B6D999"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3.900*** (0.326)</w:t>
            </w:r>
          </w:p>
        </w:tc>
        <w:tc>
          <w:tcPr>
            <w:tcW w:w="753" w:type="pct"/>
            <w:tcBorders>
              <w:top w:val="nil"/>
              <w:left w:val="nil"/>
              <w:bottom w:val="nil"/>
              <w:right w:val="nil"/>
            </w:tcBorders>
            <w:shd w:val="clear" w:color="auto" w:fill="auto"/>
            <w:vAlign w:val="bottom"/>
          </w:tcPr>
          <w:p w14:paraId="75C6826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3.946*** (0.326)</w:t>
            </w:r>
          </w:p>
        </w:tc>
        <w:tc>
          <w:tcPr>
            <w:tcW w:w="753" w:type="pct"/>
            <w:tcBorders>
              <w:top w:val="nil"/>
              <w:left w:val="nil"/>
              <w:bottom w:val="nil"/>
              <w:right w:val="nil"/>
            </w:tcBorders>
            <w:shd w:val="clear" w:color="auto" w:fill="auto"/>
            <w:vAlign w:val="bottom"/>
          </w:tcPr>
          <w:p w14:paraId="5B8639C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3.895*** (0.326)</w:t>
            </w:r>
          </w:p>
        </w:tc>
        <w:tc>
          <w:tcPr>
            <w:tcW w:w="753" w:type="pct"/>
            <w:tcBorders>
              <w:top w:val="nil"/>
              <w:left w:val="nil"/>
              <w:bottom w:val="nil"/>
              <w:right w:val="nil"/>
            </w:tcBorders>
            <w:shd w:val="clear" w:color="auto" w:fill="auto"/>
            <w:vAlign w:val="bottom"/>
          </w:tcPr>
          <w:p w14:paraId="476391A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4.020*** (0.326)</w:t>
            </w:r>
          </w:p>
        </w:tc>
        <w:tc>
          <w:tcPr>
            <w:tcW w:w="752" w:type="pct"/>
            <w:tcBorders>
              <w:top w:val="nil"/>
              <w:left w:val="nil"/>
              <w:bottom w:val="nil"/>
              <w:right w:val="nil"/>
            </w:tcBorders>
            <w:shd w:val="clear" w:color="auto" w:fill="auto"/>
            <w:vAlign w:val="bottom"/>
          </w:tcPr>
          <w:p w14:paraId="51D8D33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4.018*** (0.326)</w:t>
            </w:r>
          </w:p>
        </w:tc>
      </w:tr>
      <w:tr w:rsidR="00D63168" w:rsidRPr="001E47AD" w14:paraId="67A48657" w14:textId="77777777" w:rsidTr="006B6D34">
        <w:tc>
          <w:tcPr>
            <w:tcW w:w="1224" w:type="pct"/>
            <w:tcBorders>
              <w:top w:val="nil"/>
              <w:left w:val="nil"/>
              <w:bottom w:val="nil"/>
              <w:right w:val="nil"/>
            </w:tcBorders>
            <w:shd w:val="clear" w:color="auto" w:fill="auto"/>
            <w:vAlign w:val="center"/>
          </w:tcPr>
          <w:p w14:paraId="5F31B4A8"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HHI_COUNTY</m:t>
                </m:r>
              </m:oMath>
            </m:oMathPara>
          </w:p>
        </w:tc>
        <w:tc>
          <w:tcPr>
            <w:tcW w:w="765" w:type="pct"/>
            <w:tcBorders>
              <w:top w:val="nil"/>
              <w:left w:val="nil"/>
              <w:bottom w:val="nil"/>
              <w:right w:val="nil"/>
            </w:tcBorders>
            <w:shd w:val="clear" w:color="auto" w:fill="auto"/>
            <w:vAlign w:val="bottom"/>
          </w:tcPr>
          <w:p w14:paraId="10EC709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21.006 (15.521)</w:t>
            </w:r>
          </w:p>
        </w:tc>
        <w:tc>
          <w:tcPr>
            <w:tcW w:w="753" w:type="pct"/>
            <w:tcBorders>
              <w:top w:val="nil"/>
              <w:left w:val="nil"/>
              <w:bottom w:val="nil"/>
              <w:right w:val="nil"/>
            </w:tcBorders>
            <w:shd w:val="clear" w:color="auto" w:fill="auto"/>
            <w:vAlign w:val="bottom"/>
          </w:tcPr>
          <w:p w14:paraId="59A734D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18.778 (15.507)</w:t>
            </w:r>
          </w:p>
        </w:tc>
        <w:tc>
          <w:tcPr>
            <w:tcW w:w="753" w:type="pct"/>
            <w:tcBorders>
              <w:top w:val="nil"/>
              <w:left w:val="nil"/>
              <w:bottom w:val="nil"/>
              <w:right w:val="nil"/>
            </w:tcBorders>
            <w:shd w:val="clear" w:color="auto" w:fill="auto"/>
            <w:vAlign w:val="bottom"/>
          </w:tcPr>
          <w:p w14:paraId="7EA388A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18.558 (15.496)</w:t>
            </w:r>
          </w:p>
        </w:tc>
        <w:tc>
          <w:tcPr>
            <w:tcW w:w="753" w:type="pct"/>
            <w:tcBorders>
              <w:top w:val="nil"/>
              <w:left w:val="nil"/>
              <w:bottom w:val="nil"/>
              <w:right w:val="nil"/>
            </w:tcBorders>
            <w:shd w:val="clear" w:color="auto" w:fill="auto"/>
            <w:vAlign w:val="bottom"/>
          </w:tcPr>
          <w:p w14:paraId="62BE595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18.419 (15.487)</w:t>
            </w:r>
          </w:p>
        </w:tc>
        <w:tc>
          <w:tcPr>
            <w:tcW w:w="752" w:type="pct"/>
            <w:tcBorders>
              <w:top w:val="nil"/>
              <w:left w:val="nil"/>
              <w:bottom w:val="nil"/>
              <w:right w:val="nil"/>
            </w:tcBorders>
            <w:shd w:val="clear" w:color="auto" w:fill="auto"/>
            <w:vAlign w:val="bottom"/>
          </w:tcPr>
          <w:p w14:paraId="3B7737C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18.491 (15.504)</w:t>
            </w:r>
          </w:p>
        </w:tc>
      </w:tr>
      <w:tr w:rsidR="00D63168" w:rsidRPr="001E47AD" w14:paraId="5559A31E" w14:textId="77777777" w:rsidTr="006B6D34">
        <w:tc>
          <w:tcPr>
            <w:tcW w:w="1224" w:type="pct"/>
            <w:tcBorders>
              <w:top w:val="nil"/>
              <w:left w:val="nil"/>
              <w:bottom w:val="nil"/>
              <w:right w:val="nil"/>
            </w:tcBorders>
            <w:shd w:val="clear" w:color="auto" w:fill="auto"/>
            <w:vAlign w:val="center"/>
          </w:tcPr>
          <w:p w14:paraId="2DC2B3C3"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HHI_STATE</m:t>
                </m:r>
              </m:oMath>
            </m:oMathPara>
          </w:p>
        </w:tc>
        <w:tc>
          <w:tcPr>
            <w:tcW w:w="765" w:type="pct"/>
            <w:tcBorders>
              <w:top w:val="nil"/>
              <w:left w:val="nil"/>
              <w:bottom w:val="nil"/>
              <w:right w:val="nil"/>
            </w:tcBorders>
            <w:shd w:val="clear" w:color="auto" w:fill="auto"/>
            <w:vAlign w:val="bottom"/>
          </w:tcPr>
          <w:p w14:paraId="217718D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2,318.315*** (254.157)</w:t>
            </w:r>
          </w:p>
        </w:tc>
        <w:tc>
          <w:tcPr>
            <w:tcW w:w="753" w:type="pct"/>
            <w:tcBorders>
              <w:top w:val="nil"/>
              <w:left w:val="nil"/>
              <w:bottom w:val="nil"/>
              <w:right w:val="nil"/>
            </w:tcBorders>
            <w:shd w:val="clear" w:color="auto" w:fill="auto"/>
            <w:vAlign w:val="bottom"/>
          </w:tcPr>
          <w:p w14:paraId="71015B4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2,345.792*** (253.973)</w:t>
            </w:r>
          </w:p>
        </w:tc>
        <w:tc>
          <w:tcPr>
            <w:tcW w:w="753" w:type="pct"/>
            <w:tcBorders>
              <w:top w:val="nil"/>
              <w:left w:val="nil"/>
              <w:bottom w:val="nil"/>
              <w:right w:val="nil"/>
            </w:tcBorders>
            <w:shd w:val="clear" w:color="auto" w:fill="auto"/>
            <w:vAlign w:val="bottom"/>
          </w:tcPr>
          <w:p w14:paraId="5C189FB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2,345.895*** (253.804)</w:t>
            </w:r>
          </w:p>
        </w:tc>
        <w:tc>
          <w:tcPr>
            <w:tcW w:w="753" w:type="pct"/>
            <w:tcBorders>
              <w:top w:val="nil"/>
              <w:left w:val="nil"/>
              <w:bottom w:val="nil"/>
              <w:right w:val="nil"/>
            </w:tcBorders>
            <w:shd w:val="clear" w:color="auto" w:fill="auto"/>
            <w:vAlign w:val="bottom"/>
          </w:tcPr>
          <w:p w14:paraId="37B339C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2,340.646*** (253.645)</w:t>
            </w:r>
          </w:p>
        </w:tc>
        <w:tc>
          <w:tcPr>
            <w:tcW w:w="752" w:type="pct"/>
            <w:tcBorders>
              <w:top w:val="nil"/>
              <w:left w:val="nil"/>
              <w:bottom w:val="nil"/>
              <w:right w:val="nil"/>
            </w:tcBorders>
            <w:shd w:val="clear" w:color="auto" w:fill="auto"/>
            <w:vAlign w:val="bottom"/>
          </w:tcPr>
          <w:p w14:paraId="71BC06B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2,328.218*** (253.914)</w:t>
            </w:r>
          </w:p>
        </w:tc>
      </w:tr>
      <w:tr w:rsidR="00D63168" w:rsidRPr="001E47AD" w14:paraId="675FD4FB" w14:textId="77777777" w:rsidTr="006B6D34">
        <w:tc>
          <w:tcPr>
            <w:tcW w:w="1224" w:type="pct"/>
            <w:tcBorders>
              <w:top w:val="nil"/>
              <w:left w:val="nil"/>
              <w:bottom w:val="nil"/>
              <w:right w:val="nil"/>
            </w:tcBorders>
            <w:vAlign w:val="center"/>
          </w:tcPr>
          <w:p w14:paraId="6AD3A89D" w14:textId="77777777" w:rsidR="00D63168" w:rsidRPr="001E47AD" w:rsidRDefault="00D63168" w:rsidP="006B6D34">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Geodemographic Feature</w:t>
            </w:r>
          </w:p>
        </w:tc>
        <w:tc>
          <w:tcPr>
            <w:tcW w:w="765" w:type="pct"/>
            <w:tcBorders>
              <w:top w:val="nil"/>
              <w:left w:val="nil"/>
              <w:bottom w:val="nil"/>
              <w:right w:val="nil"/>
            </w:tcBorders>
            <w:vAlign w:val="bottom"/>
          </w:tcPr>
          <w:p w14:paraId="54F86C65"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vAlign w:val="bottom"/>
          </w:tcPr>
          <w:p w14:paraId="596344F8"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5059B59C" w14:textId="77777777" w:rsidR="00D63168" w:rsidRPr="001E47AD" w:rsidRDefault="00D63168" w:rsidP="006B6D34">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1C990182" w14:textId="77777777" w:rsidR="00D63168" w:rsidRPr="001E47AD" w:rsidRDefault="00D63168" w:rsidP="006B6D34">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vAlign w:val="bottom"/>
          </w:tcPr>
          <w:p w14:paraId="34DB97EB" w14:textId="77777777" w:rsidR="00D63168" w:rsidRPr="001E47AD" w:rsidRDefault="00D63168" w:rsidP="006B6D34">
            <w:pPr>
              <w:contextualSpacing/>
              <w:jc w:val="right"/>
              <w:rPr>
                <w:rFonts w:ascii="Times New Roman" w:hAnsi="Times New Roman" w:cs="Times New Roman"/>
                <w:spacing w:val="-5"/>
                <w:sz w:val="16"/>
                <w:szCs w:val="16"/>
              </w:rPr>
            </w:pPr>
          </w:p>
        </w:tc>
      </w:tr>
      <w:tr w:rsidR="00D63168" w:rsidRPr="001E47AD" w14:paraId="4AB7D1AC" w14:textId="77777777" w:rsidTr="006B6D34">
        <w:tc>
          <w:tcPr>
            <w:tcW w:w="1224" w:type="pct"/>
            <w:tcBorders>
              <w:top w:val="nil"/>
              <w:left w:val="nil"/>
              <w:bottom w:val="nil"/>
              <w:right w:val="nil"/>
            </w:tcBorders>
            <w:vAlign w:val="center"/>
          </w:tcPr>
          <w:p w14:paraId="627A8D61"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POP_COUNTY</m:t>
                </m:r>
              </m:oMath>
            </m:oMathPara>
          </w:p>
        </w:tc>
        <w:tc>
          <w:tcPr>
            <w:tcW w:w="765" w:type="pct"/>
            <w:tcBorders>
              <w:top w:val="nil"/>
              <w:left w:val="nil"/>
              <w:bottom w:val="nil"/>
              <w:right w:val="nil"/>
            </w:tcBorders>
            <w:shd w:val="clear" w:color="auto" w:fill="auto"/>
            <w:vAlign w:val="bottom"/>
          </w:tcPr>
          <w:p w14:paraId="128EA72B" w14:textId="77777777" w:rsidR="00D63168" w:rsidRPr="001E47AD" w:rsidRDefault="00D63168" w:rsidP="006B6D34">
            <w:pPr>
              <w:jc w:val="right"/>
              <w:rPr>
                <w:rFonts w:ascii="Times New Roman" w:hAnsi="Times New Roman" w:cs="Times New Roman"/>
                <w:sz w:val="16"/>
                <w:szCs w:val="16"/>
                <w:lang w:val="en-CA"/>
              </w:rPr>
            </w:pPr>
            <w:r w:rsidRPr="001E47AD">
              <w:rPr>
                <w:rFonts w:ascii="Times New Roman" w:hAnsi="Times New Roman" w:cs="Times New Roman"/>
                <w:color w:val="000000"/>
                <w:sz w:val="16"/>
                <w:szCs w:val="16"/>
              </w:rPr>
              <w:t>-0.017 (0.050)</w:t>
            </w:r>
          </w:p>
        </w:tc>
        <w:tc>
          <w:tcPr>
            <w:tcW w:w="753" w:type="pct"/>
            <w:tcBorders>
              <w:top w:val="nil"/>
              <w:left w:val="nil"/>
              <w:bottom w:val="nil"/>
              <w:right w:val="nil"/>
            </w:tcBorders>
            <w:shd w:val="clear" w:color="auto" w:fill="auto"/>
            <w:vAlign w:val="bottom"/>
          </w:tcPr>
          <w:p w14:paraId="05AFE9C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-0.020 (0.050)</w:t>
            </w:r>
          </w:p>
        </w:tc>
        <w:tc>
          <w:tcPr>
            <w:tcW w:w="753" w:type="pct"/>
            <w:tcBorders>
              <w:top w:val="nil"/>
              <w:left w:val="nil"/>
              <w:bottom w:val="nil"/>
              <w:right w:val="nil"/>
            </w:tcBorders>
            <w:shd w:val="clear" w:color="auto" w:fill="auto"/>
            <w:vAlign w:val="bottom"/>
          </w:tcPr>
          <w:p w14:paraId="48A9146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-0.025 (0.050)</w:t>
            </w:r>
          </w:p>
        </w:tc>
        <w:tc>
          <w:tcPr>
            <w:tcW w:w="753" w:type="pct"/>
            <w:tcBorders>
              <w:top w:val="nil"/>
              <w:left w:val="nil"/>
              <w:bottom w:val="nil"/>
              <w:right w:val="nil"/>
            </w:tcBorders>
            <w:shd w:val="clear" w:color="auto" w:fill="auto"/>
            <w:vAlign w:val="bottom"/>
          </w:tcPr>
          <w:p w14:paraId="1980460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-0.009 (0.050)</w:t>
            </w:r>
          </w:p>
        </w:tc>
        <w:tc>
          <w:tcPr>
            <w:tcW w:w="752" w:type="pct"/>
            <w:tcBorders>
              <w:top w:val="nil"/>
              <w:left w:val="nil"/>
              <w:bottom w:val="nil"/>
              <w:right w:val="nil"/>
            </w:tcBorders>
            <w:shd w:val="clear" w:color="auto" w:fill="auto"/>
            <w:vAlign w:val="bottom"/>
          </w:tcPr>
          <w:p w14:paraId="690A49A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-0.011 (0.050)</w:t>
            </w:r>
          </w:p>
        </w:tc>
      </w:tr>
      <w:tr w:rsidR="00D63168" w:rsidRPr="001E47AD" w14:paraId="7593E5C9" w14:textId="77777777" w:rsidTr="006B6D34">
        <w:tc>
          <w:tcPr>
            <w:tcW w:w="1224" w:type="pct"/>
            <w:tcBorders>
              <w:top w:val="nil"/>
              <w:left w:val="nil"/>
              <w:bottom w:val="nil"/>
              <w:right w:val="nil"/>
            </w:tcBorders>
            <w:vAlign w:val="center"/>
          </w:tcPr>
          <w:p w14:paraId="08F39D10"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POP_STATE</m:t>
                </m:r>
              </m:oMath>
            </m:oMathPara>
          </w:p>
        </w:tc>
        <w:tc>
          <w:tcPr>
            <w:tcW w:w="765" w:type="pct"/>
            <w:tcBorders>
              <w:top w:val="nil"/>
              <w:left w:val="nil"/>
              <w:bottom w:val="nil"/>
              <w:right w:val="nil"/>
            </w:tcBorders>
            <w:shd w:val="clear" w:color="auto" w:fill="auto"/>
            <w:vAlign w:val="bottom"/>
          </w:tcPr>
          <w:p w14:paraId="04DD1FA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-3.495*** (0.314)</w:t>
            </w:r>
          </w:p>
        </w:tc>
        <w:tc>
          <w:tcPr>
            <w:tcW w:w="753" w:type="pct"/>
            <w:tcBorders>
              <w:top w:val="nil"/>
              <w:left w:val="nil"/>
              <w:bottom w:val="nil"/>
              <w:right w:val="nil"/>
            </w:tcBorders>
            <w:shd w:val="clear" w:color="auto" w:fill="auto"/>
            <w:vAlign w:val="bottom"/>
          </w:tcPr>
          <w:p w14:paraId="3214A71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-3.530*** (0.314)</w:t>
            </w:r>
          </w:p>
        </w:tc>
        <w:tc>
          <w:tcPr>
            <w:tcW w:w="753" w:type="pct"/>
            <w:tcBorders>
              <w:top w:val="nil"/>
              <w:left w:val="nil"/>
              <w:bottom w:val="nil"/>
              <w:right w:val="nil"/>
            </w:tcBorders>
            <w:shd w:val="clear" w:color="auto" w:fill="auto"/>
            <w:vAlign w:val="bottom"/>
          </w:tcPr>
          <w:p w14:paraId="5D5AA0C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-3.461*** (0.313)</w:t>
            </w:r>
          </w:p>
        </w:tc>
        <w:tc>
          <w:tcPr>
            <w:tcW w:w="753" w:type="pct"/>
            <w:tcBorders>
              <w:top w:val="nil"/>
              <w:left w:val="nil"/>
              <w:bottom w:val="nil"/>
              <w:right w:val="nil"/>
            </w:tcBorders>
            <w:shd w:val="clear" w:color="auto" w:fill="auto"/>
            <w:vAlign w:val="bottom"/>
          </w:tcPr>
          <w:p w14:paraId="78D7BFF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-3.455*** (0.313)</w:t>
            </w:r>
          </w:p>
        </w:tc>
        <w:tc>
          <w:tcPr>
            <w:tcW w:w="752" w:type="pct"/>
            <w:tcBorders>
              <w:top w:val="nil"/>
              <w:left w:val="nil"/>
              <w:bottom w:val="nil"/>
              <w:right w:val="nil"/>
            </w:tcBorders>
            <w:shd w:val="clear" w:color="auto" w:fill="auto"/>
            <w:vAlign w:val="bottom"/>
          </w:tcPr>
          <w:p w14:paraId="07EBA13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-3.449*** (0.314)</w:t>
            </w:r>
          </w:p>
        </w:tc>
      </w:tr>
      <w:tr w:rsidR="00D63168" w:rsidRPr="001E47AD" w14:paraId="75034443" w14:textId="77777777" w:rsidTr="006B6D34">
        <w:tc>
          <w:tcPr>
            <w:tcW w:w="1224" w:type="pct"/>
            <w:tcBorders>
              <w:top w:val="nil"/>
              <w:left w:val="nil"/>
              <w:bottom w:val="nil"/>
              <w:right w:val="nil"/>
            </w:tcBorders>
            <w:vAlign w:val="center"/>
          </w:tcPr>
          <w:p w14:paraId="45E33C11"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LAND_AREA_COUNTY</m:t>
                </m:r>
              </m:oMath>
            </m:oMathPara>
          </w:p>
        </w:tc>
        <w:tc>
          <w:tcPr>
            <w:tcW w:w="765" w:type="pct"/>
            <w:tcBorders>
              <w:top w:val="nil"/>
              <w:left w:val="nil"/>
              <w:bottom w:val="nil"/>
              <w:right w:val="nil"/>
            </w:tcBorders>
            <w:shd w:val="clear" w:color="auto" w:fill="auto"/>
            <w:vAlign w:val="bottom"/>
          </w:tcPr>
          <w:p w14:paraId="39842F2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4.326*** (0.567)</w:t>
            </w:r>
          </w:p>
        </w:tc>
        <w:tc>
          <w:tcPr>
            <w:tcW w:w="753" w:type="pct"/>
            <w:tcBorders>
              <w:top w:val="nil"/>
              <w:left w:val="nil"/>
              <w:bottom w:val="nil"/>
              <w:right w:val="nil"/>
            </w:tcBorders>
            <w:shd w:val="clear" w:color="auto" w:fill="auto"/>
            <w:vAlign w:val="bottom"/>
          </w:tcPr>
          <w:p w14:paraId="1F125A0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4.148*** (0.567)</w:t>
            </w:r>
          </w:p>
        </w:tc>
        <w:tc>
          <w:tcPr>
            <w:tcW w:w="753" w:type="pct"/>
            <w:tcBorders>
              <w:top w:val="nil"/>
              <w:left w:val="nil"/>
              <w:bottom w:val="nil"/>
              <w:right w:val="nil"/>
            </w:tcBorders>
            <w:shd w:val="clear" w:color="auto" w:fill="auto"/>
            <w:vAlign w:val="bottom"/>
          </w:tcPr>
          <w:p w14:paraId="1E150E2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4.134*** (0.567)</w:t>
            </w:r>
          </w:p>
        </w:tc>
        <w:tc>
          <w:tcPr>
            <w:tcW w:w="753" w:type="pct"/>
            <w:tcBorders>
              <w:top w:val="nil"/>
              <w:left w:val="nil"/>
              <w:bottom w:val="nil"/>
              <w:right w:val="nil"/>
            </w:tcBorders>
            <w:shd w:val="clear" w:color="auto" w:fill="auto"/>
            <w:vAlign w:val="bottom"/>
          </w:tcPr>
          <w:p w14:paraId="28CD6DF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4.217*** (0.566)</w:t>
            </w:r>
          </w:p>
        </w:tc>
        <w:tc>
          <w:tcPr>
            <w:tcW w:w="752" w:type="pct"/>
            <w:tcBorders>
              <w:top w:val="nil"/>
              <w:left w:val="nil"/>
              <w:bottom w:val="nil"/>
              <w:right w:val="nil"/>
            </w:tcBorders>
            <w:shd w:val="clear" w:color="auto" w:fill="auto"/>
            <w:vAlign w:val="bottom"/>
          </w:tcPr>
          <w:p w14:paraId="6C00C7F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4.267*** (0.567)</w:t>
            </w:r>
          </w:p>
        </w:tc>
      </w:tr>
      <w:tr w:rsidR="00D63168" w:rsidRPr="001E47AD" w14:paraId="479FA198" w14:textId="77777777" w:rsidTr="006B6D34">
        <w:tc>
          <w:tcPr>
            <w:tcW w:w="1224" w:type="pct"/>
            <w:tcBorders>
              <w:top w:val="nil"/>
              <w:left w:val="nil"/>
              <w:bottom w:val="nil"/>
              <w:right w:val="nil"/>
            </w:tcBorders>
            <w:vAlign w:val="center"/>
          </w:tcPr>
          <w:p w14:paraId="195EA4C5"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LAND_AREA_STATE</m:t>
                </m:r>
              </m:oMath>
            </m:oMathPara>
          </w:p>
        </w:tc>
        <w:tc>
          <w:tcPr>
            <w:tcW w:w="765" w:type="pct"/>
            <w:tcBorders>
              <w:top w:val="nil"/>
              <w:left w:val="nil"/>
              <w:bottom w:val="nil"/>
              <w:right w:val="nil"/>
            </w:tcBorders>
            <w:shd w:val="clear" w:color="auto" w:fill="auto"/>
            <w:vAlign w:val="bottom"/>
          </w:tcPr>
          <w:p w14:paraId="5EE3D8B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-0.584*** (0.030)</w:t>
            </w:r>
          </w:p>
        </w:tc>
        <w:tc>
          <w:tcPr>
            <w:tcW w:w="753" w:type="pct"/>
            <w:tcBorders>
              <w:top w:val="nil"/>
              <w:left w:val="nil"/>
              <w:bottom w:val="nil"/>
              <w:right w:val="nil"/>
            </w:tcBorders>
            <w:shd w:val="clear" w:color="auto" w:fill="auto"/>
            <w:vAlign w:val="bottom"/>
          </w:tcPr>
          <w:p w14:paraId="65FE5C7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-0.589*** (0.030)</w:t>
            </w:r>
          </w:p>
        </w:tc>
        <w:tc>
          <w:tcPr>
            <w:tcW w:w="753" w:type="pct"/>
            <w:tcBorders>
              <w:top w:val="nil"/>
              <w:left w:val="nil"/>
              <w:bottom w:val="nil"/>
              <w:right w:val="nil"/>
            </w:tcBorders>
            <w:shd w:val="clear" w:color="auto" w:fill="auto"/>
            <w:vAlign w:val="bottom"/>
          </w:tcPr>
          <w:p w14:paraId="6A2F307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-0.585*** (0.030)</w:t>
            </w:r>
          </w:p>
        </w:tc>
        <w:tc>
          <w:tcPr>
            <w:tcW w:w="753" w:type="pct"/>
            <w:tcBorders>
              <w:top w:val="nil"/>
              <w:left w:val="nil"/>
              <w:bottom w:val="nil"/>
              <w:right w:val="nil"/>
            </w:tcBorders>
            <w:shd w:val="clear" w:color="auto" w:fill="auto"/>
            <w:vAlign w:val="bottom"/>
          </w:tcPr>
          <w:p w14:paraId="2F62B47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-0.587*** (0.030)</w:t>
            </w:r>
          </w:p>
        </w:tc>
        <w:tc>
          <w:tcPr>
            <w:tcW w:w="752" w:type="pct"/>
            <w:tcBorders>
              <w:top w:val="nil"/>
              <w:left w:val="nil"/>
              <w:bottom w:val="nil"/>
              <w:right w:val="nil"/>
            </w:tcBorders>
            <w:shd w:val="clear" w:color="auto" w:fill="auto"/>
            <w:vAlign w:val="bottom"/>
          </w:tcPr>
          <w:p w14:paraId="78B15F3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-0.589*** (0.030)</w:t>
            </w:r>
          </w:p>
        </w:tc>
      </w:tr>
      <w:tr w:rsidR="00D63168" w:rsidRPr="001E47AD" w14:paraId="01C3E82A" w14:textId="77777777" w:rsidTr="006B6D34">
        <w:tc>
          <w:tcPr>
            <w:tcW w:w="1224" w:type="pct"/>
            <w:tcBorders>
              <w:top w:val="nil"/>
              <w:left w:val="nil"/>
              <w:bottom w:val="nil"/>
              <w:right w:val="nil"/>
            </w:tcBorders>
            <w:vAlign w:val="center"/>
          </w:tcPr>
          <w:p w14:paraId="5207166A"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WATER_AREA_COUNTY</m:t>
                </m:r>
              </m:oMath>
            </m:oMathPara>
          </w:p>
        </w:tc>
        <w:tc>
          <w:tcPr>
            <w:tcW w:w="765" w:type="pct"/>
            <w:tcBorders>
              <w:top w:val="nil"/>
              <w:left w:val="nil"/>
              <w:bottom w:val="nil"/>
              <w:right w:val="nil"/>
            </w:tcBorders>
            <w:shd w:val="clear" w:color="auto" w:fill="auto"/>
            <w:vAlign w:val="bottom"/>
          </w:tcPr>
          <w:p w14:paraId="74F3C44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0.002 (1.173)</w:t>
            </w:r>
          </w:p>
        </w:tc>
        <w:tc>
          <w:tcPr>
            <w:tcW w:w="753" w:type="pct"/>
            <w:tcBorders>
              <w:top w:val="nil"/>
              <w:left w:val="nil"/>
              <w:bottom w:val="nil"/>
              <w:right w:val="nil"/>
            </w:tcBorders>
            <w:shd w:val="clear" w:color="auto" w:fill="auto"/>
            <w:vAlign w:val="bottom"/>
          </w:tcPr>
          <w:p w14:paraId="46BF08C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0.820 (1.173)</w:t>
            </w:r>
          </w:p>
        </w:tc>
        <w:tc>
          <w:tcPr>
            <w:tcW w:w="753" w:type="pct"/>
            <w:tcBorders>
              <w:top w:val="nil"/>
              <w:left w:val="nil"/>
              <w:bottom w:val="nil"/>
              <w:right w:val="nil"/>
            </w:tcBorders>
            <w:shd w:val="clear" w:color="auto" w:fill="auto"/>
            <w:vAlign w:val="bottom"/>
          </w:tcPr>
          <w:p w14:paraId="29C1954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0.776 (1.172)</w:t>
            </w:r>
          </w:p>
        </w:tc>
        <w:tc>
          <w:tcPr>
            <w:tcW w:w="753" w:type="pct"/>
            <w:tcBorders>
              <w:top w:val="nil"/>
              <w:left w:val="nil"/>
              <w:bottom w:val="nil"/>
              <w:right w:val="nil"/>
            </w:tcBorders>
            <w:shd w:val="clear" w:color="auto" w:fill="auto"/>
            <w:vAlign w:val="bottom"/>
          </w:tcPr>
          <w:p w14:paraId="0288F22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0.692 (1.171)</w:t>
            </w:r>
          </w:p>
        </w:tc>
        <w:tc>
          <w:tcPr>
            <w:tcW w:w="752" w:type="pct"/>
            <w:tcBorders>
              <w:top w:val="nil"/>
              <w:left w:val="nil"/>
              <w:bottom w:val="nil"/>
              <w:right w:val="nil"/>
            </w:tcBorders>
            <w:shd w:val="clear" w:color="auto" w:fill="auto"/>
            <w:vAlign w:val="bottom"/>
          </w:tcPr>
          <w:p w14:paraId="5ABF8E5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0.657 (1.172)</w:t>
            </w:r>
          </w:p>
        </w:tc>
      </w:tr>
      <w:tr w:rsidR="00D63168" w:rsidRPr="001E47AD" w14:paraId="2095256F" w14:textId="77777777" w:rsidTr="006B6D34">
        <w:tc>
          <w:tcPr>
            <w:tcW w:w="1224" w:type="pct"/>
            <w:tcBorders>
              <w:top w:val="nil"/>
              <w:left w:val="nil"/>
              <w:bottom w:val="nil"/>
              <w:right w:val="nil"/>
            </w:tcBorders>
            <w:vAlign w:val="center"/>
          </w:tcPr>
          <w:p w14:paraId="53AE4DDA"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w:lastRenderedPageBreak/>
                  <m:t>WATER_AREA_STATE</m:t>
                </m:r>
              </m:oMath>
            </m:oMathPara>
          </w:p>
        </w:tc>
        <w:tc>
          <w:tcPr>
            <w:tcW w:w="765" w:type="pct"/>
            <w:tcBorders>
              <w:top w:val="nil"/>
              <w:left w:val="nil"/>
              <w:bottom w:val="nil"/>
              <w:right w:val="nil"/>
            </w:tcBorders>
            <w:shd w:val="clear" w:color="auto" w:fill="auto"/>
            <w:vAlign w:val="bottom"/>
          </w:tcPr>
          <w:p w14:paraId="60ED7FA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0.490*** (0.138)</w:t>
            </w:r>
          </w:p>
        </w:tc>
        <w:tc>
          <w:tcPr>
            <w:tcW w:w="753" w:type="pct"/>
            <w:tcBorders>
              <w:top w:val="nil"/>
              <w:left w:val="nil"/>
              <w:bottom w:val="nil"/>
              <w:right w:val="nil"/>
            </w:tcBorders>
            <w:shd w:val="clear" w:color="auto" w:fill="auto"/>
            <w:vAlign w:val="bottom"/>
          </w:tcPr>
          <w:p w14:paraId="1248451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0.495*** (0.138)</w:t>
            </w:r>
          </w:p>
        </w:tc>
        <w:tc>
          <w:tcPr>
            <w:tcW w:w="753" w:type="pct"/>
            <w:tcBorders>
              <w:top w:val="nil"/>
              <w:left w:val="nil"/>
              <w:bottom w:val="nil"/>
              <w:right w:val="nil"/>
            </w:tcBorders>
            <w:shd w:val="clear" w:color="auto" w:fill="auto"/>
            <w:vAlign w:val="bottom"/>
          </w:tcPr>
          <w:p w14:paraId="798FB8D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0.492*** (0.138)</w:t>
            </w:r>
          </w:p>
        </w:tc>
        <w:tc>
          <w:tcPr>
            <w:tcW w:w="753" w:type="pct"/>
            <w:tcBorders>
              <w:top w:val="nil"/>
              <w:left w:val="nil"/>
              <w:bottom w:val="nil"/>
              <w:right w:val="nil"/>
            </w:tcBorders>
            <w:shd w:val="clear" w:color="auto" w:fill="auto"/>
            <w:vAlign w:val="bottom"/>
          </w:tcPr>
          <w:p w14:paraId="19B29AA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0.488*** (0.138)</w:t>
            </w:r>
          </w:p>
        </w:tc>
        <w:tc>
          <w:tcPr>
            <w:tcW w:w="752" w:type="pct"/>
            <w:tcBorders>
              <w:top w:val="nil"/>
              <w:left w:val="nil"/>
              <w:bottom w:val="nil"/>
              <w:right w:val="nil"/>
            </w:tcBorders>
            <w:shd w:val="clear" w:color="auto" w:fill="auto"/>
            <w:vAlign w:val="bottom"/>
          </w:tcPr>
          <w:p w14:paraId="73E4837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0.478*** (0.138)</w:t>
            </w:r>
          </w:p>
        </w:tc>
      </w:tr>
      <w:tr w:rsidR="00D63168" w:rsidRPr="001E47AD" w14:paraId="404216A7" w14:textId="77777777" w:rsidTr="006B6D34">
        <w:tc>
          <w:tcPr>
            <w:tcW w:w="1224" w:type="pct"/>
            <w:tcBorders>
              <w:top w:val="nil"/>
              <w:left w:val="nil"/>
              <w:bottom w:val="nil"/>
              <w:right w:val="nil"/>
            </w:tcBorders>
            <w:shd w:val="clear" w:color="auto" w:fill="auto"/>
            <w:vAlign w:val="center"/>
          </w:tcPr>
          <w:p w14:paraId="14C9D0B2" w14:textId="77777777" w:rsidR="00D63168" w:rsidRPr="001E47AD" w:rsidRDefault="00D63168" w:rsidP="006B6D34">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u w:val="single"/>
              </w:rPr>
              <w:t>Changes in Sales Volume</w:t>
            </w:r>
          </w:p>
        </w:tc>
        <w:tc>
          <w:tcPr>
            <w:tcW w:w="765" w:type="pct"/>
            <w:tcBorders>
              <w:top w:val="nil"/>
              <w:left w:val="nil"/>
              <w:bottom w:val="nil"/>
              <w:right w:val="nil"/>
            </w:tcBorders>
            <w:shd w:val="clear" w:color="auto" w:fill="auto"/>
            <w:vAlign w:val="bottom"/>
          </w:tcPr>
          <w:p w14:paraId="1D57E713"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50489666"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BBEA05F" w14:textId="77777777" w:rsidR="00D63168" w:rsidRPr="001E47AD" w:rsidRDefault="00D63168" w:rsidP="006B6D34">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2B1B23C5" w14:textId="77777777" w:rsidR="00D63168" w:rsidRPr="001E47AD" w:rsidRDefault="00D63168" w:rsidP="006B6D34">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4B380C71" w14:textId="77777777" w:rsidR="00D63168" w:rsidRPr="001E47AD" w:rsidRDefault="00D63168" w:rsidP="006B6D34">
            <w:pPr>
              <w:jc w:val="right"/>
              <w:rPr>
                <w:rFonts w:ascii="Times New Roman" w:hAnsi="Times New Roman" w:cs="Times New Roman"/>
                <w:sz w:val="20"/>
                <w:szCs w:val="20"/>
              </w:rPr>
            </w:pPr>
          </w:p>
        </w:tc>
      </w:tr>
      <w:tr w:rsidR="00D63168" w:rsidRPr="001E47AD" w14:paraId="491D38B8" w14:textId="77777777" w:rsidTr="006B6D34">
        <w:tc>
          <w:tcPr>
            <w:tcW w:w="1224" w:type="pct"/>
            <w:tcBorders>
              <w:top w:val="nil"/>
              <w:left w:val="nil"/>
              <w:bottom w:val="nil"/>
              <w:right w:val="nil"/>
            </w:tcBorders>
            <w:shd w:val="clear" w:color="auto" w:fill="auto"/>
            <w:vAlign w:val="center"/>
          </w:tcPr>
          <w:p w14:paraId="426BE912" w14:textId="77777777" w:rsidR="00D63168" w:rsidRPr="001E47AD" w:rsidRDefault="00D63168" w:rsidP="006B6D34">
            <w:pPr>
              <w:contextualSpacing/>
              <w:jc w:val="both"/>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CHANGE_VOL_LATE</m:t>
                </m:r>
              </m:oMath>
            </m:oMathPara>
          </w:p>
        </w:tc>
        <w:tc>
          <w:tcPr>
            <w:tcW w:w="765" w:type="pct"/>
            <w:tcBorders>
              <w:top w:val="nil"/>
              <w:left w:val="nil"/>
              <w:bottom w:val="nil"/>
              <w:right w:val="nil"/>
            </w:tcBorders>
            <w:shd w:val="clear" w:color="auto" w:fill="auto"/>
            <w:vAlign w:val="bottom"/>
          </w:tcPr>
          <w:p w14:paraId="40D940A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-1.221*** (0.152)</w:t>
            </w:r>
          </w:p>
        </w:tc>
        <w:tc>
          <w:tcPr>
            <w:tcW w:w="753" w:type="pct"/>
            <w:tcBorders>
              <w:top w:val="nil"/>
              <w:left w:val="nil"/>
              <w:bottom w:val="nil"/>
              <w:right w:val="nil"/>
            </w:tcBorders>
            <w:shd w:val="clear" w:color="auto" w:fill="auto"/>
            <w:vAlign w:val="bottom"/>
          </w:tcPr>
          <w:p w14:paraId="69928D8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364C50B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28C1E3DC"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2" w:type="pct"/>
            <w:tcBorders>
              <w:top w:val="nil"/>
              <w:left w:val="nil"/>
              <w:bottom w:val="nil"/>
              <w:right w:val="nil"/>
            </w:tcBorders>
            <w:shd w:val="clear" w:color="auto" w:fill="auto"/>
            <w:vAlign w:val="bottom"/>
          </w:tcPr>
          <w:p w14:paraId="314F452A"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r>
      <w:tr w:rsidR="00D63168" w:rsidRPr="001E47AD" w14:paraId="2647E7CA" w14:textId="77777777" w:rsidTr="006B6D34">
        <w:tc>
          <w:tcPr>
            <w:tcW w:w="1224" w:type="pct"/>
            <w:tcBorders>
              <w:top w:val="nil"/>
              <w:left w:val="nil"/>
              <w:bottom w:val="nil"/>
              <w:right w:val="nil"/>
            </w:tcBorders>
            <w:shd w:val="clear" w:color="auto" w:fill="auto"/>
            <w:vAlign w:val="center"/>
          </w:tcPr>
          <w:p w14:paraId="0115CA3B"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CHANGE_VOL_POST_W1</m:t>
                </m:r>
              </m:oMath>
            </m:oMathPara>
          </w:p>
        </w:tc>
        <w:tc>
          <w:tcPr>
            <w:tcW w:w="765" w:type="pct"/>
            <w:tcBorders>
              <w:top w:val="nil"/>
              <w:left w:val="nil"/>
              <w:bottom w:val="nil"/>
              <w:right w:val="nil"/>
            </w:tcBorders>
            <w:shd w:val="clear" w:color="auto" w:fill="auto"/>
            <w:vAlign w:val="bottom"/>
          </w:tcPr>
          <w:p w14:paraId="3BFBF5A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4C0CC93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3.378*** (0.305)</w:t>
            </w:r>
          </w:p>
        </w:tc>
        <w:tc>
          <w:tcPr>
            <w:tcW w:w="753" w:type="pct"/>
            <w:tcBorders>
              <w:top w:val="nil"/>
              <w:left w:val="nil"/>
              <w:bottom w:val="nil"/>
              <w:right w:val="nil"/>
            </w:tcBorders>
            <w:shd w:val="clear" w:color="auto" w:fill="auto"/>
            <w:vAlign w:val="bottom"/>
          </w:tcPr>
          <w:p w14:paraId="218F057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06D2581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2" w:type="pct"/>
            <w:tcBorders>
              <w:top w:val="nil"/>
              <w:left w:val="nil"/>
              <w:bottom w:val="nil"/>
              <w:right w:val="nil"/>
            </w:tcBorders>
            <w:shd w:val="clear" w:color="auto" w:fill="auto"/>
            <w:vAlign w:val="bottom"/>
          </w:tcPr>
          <w:p w14:paraId="4E8A2F5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r>
      <w:tr w:rsidR="00D63168" w:rsidRPr="001E47AD" w14:paraId="4B0A4C13" w14:textId="77777777" w:rsidTr="006B6D34">
        <w:tc>
          <w:tcPr>
            <w:tcW w:w="1224" w:type="pct"/>
            <w:tcBorders>
              <w:top w:val="nil"/>
              <w:left w:val="nil"/>
              <w:bottom w:val="nil"/>
              <w:right w:val="nil"/>
            </w:tcBorders>
            <w:shd w:val="clear" w:color="auto" w:fill="auto"/>
            <w:vAlign w:val="center"/>
          </w:tcPr>
          <w:p w14:paraId="2F940487"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CHANGE_VOL_POST_W2</m:t>
                </m:r>
              </m:oMath>
            </m:oMathPara>
          </w:p>
        </w:tc>
        <w:tc>
          <w:tcPr>
            <w:tcW w:w="765" w:type="pct"/>
            <w:tcBorders>
              <w:top w:val="nil"/>
              <w:left w:val="nil"/>
              <w:bottom w:val="nil"/>
              <w:right w:val="nil"/>
            </w:tcBorders>
            <w:shd w:val="clear" w:color="auto" w:fill="auto"/>
            <w:vAlign w:val="bottom"/>
          </w:tcPr>
          <w:p w14:paraId="5C7E8835"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7D3C38E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0A61274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3.288*** (0.250)</w:t>
            </w:r>
          </w:p>
        </w:tc>
        <w:tc>
          <w:tcPr>
            <w:tcW w:w="753" w:type="pct"/>
            <w:tcBorders>
              <w:top w:val="nil"/>
              <w:left w:val="nil"/>
              <w:bottom w:val="nil"/>
              <w:right w:val="nil"/>
            </w:tcBorders>
            <w:shd w:val="clear" w:color="auto" w:fill="auto"/>
            <w:vAlign w:val="bottom"/>
          </w:tcPr>
          <w:p w14:paraId="4C2DA63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2" w:type="pct"/>
            <w:tcBorders>
              <w:top w:val="nil"/>
              <w:left w:val="nil"/>
              <w:bottom w:val="nil"/>
              <w:right w:val="nil"/>
            </w:tcBorders>
            <w:shd w:val="clear" w:color="auto" w:fill="auto"/>
            <w:vAlign w:val="bottom"/>
          </w:tcPr>
          <w:p w14:paraId="0E4D6AE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r>
      <w:tr w:rsidR="00D63168" w:rsidRPr="001E47AD" w14:paraId="1E402E76" w14:textId="77777777" w:rsidTr="006B6D34">
        <w:tc>
          <w:tcPr>
            <w:tcW w:w="1224" w:type="pct"/>
            <w:tcBorders>
              <w:top w:val="nil"/>
              <w:left w:val="nil"/>
              <w:bottom w:val="nil"/>
              <w:right w:val="nil"/>
            </w:tcBorders>
            <w:shd w:val="clear" w:color="auto" w:fill="auto"/>
            <w:vAlign w:val="center"/>
          </w:tcPr>
          <w:p w14:paraId="651544EC"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CHANGE_VOL_POST_W3</m:t>
                </m:r>
              </m:oMath>
            </m:oMathPara>
          </w:p>
        </w:tc>
        <w:tc>
          <w:tcPr>
            <w:tcW w:w="765" w:type="pct"/>
            <w:tcBorders>
              <w:top w:val="nil"/>
              <w:left w:val="nil"/>
              <w:bottom w:val="nil"/>
              <w:right w:val="nil"/>
            </w:tcBorders>
            <w:shd w:val="clear" w:color="auto" w:fill="auto"/>
            <w:vAlign w:val="bottom"/>
          </w:tcPr>
          <w:p w14:paraId="7C0211A2"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766B766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13A92AC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nil"/>
              <w:right w:val="nil"/>
            </w:tcBorders>
            <w:shd w:val="clear" w:color="auto" w:fill="auto"/>
            <w:vAlign w:val="bottom"/>
          </w:tcPr>
          <w:p w14:paraId="5BD9D48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2.696*** (0.182)</w:t>
            </w:r>
          </w:p>
        </w:tc>
        <w:tc>
          <w:tcPr>
            <w:tcW w:w="752" w:type="pct"/>
            <w:tcBorders>
              <w:top w:val="nil"/>
              <w:left w:val="nil"/>
              <w:bottom w:val="nil"/>
              <w:right w:val="nil"/>
            </w:tcBorders>
            <w:shd w:val="clear" w:color="auto" w:fill="auto"/>
            <w:vAlign w:val="bottom"/>
          </w:tcPr>
          <w:p w14:paraId="4EBC0608"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r>
      <w:tr w:rsidR="00D63168" w:rsidRPr="001E47AD" w14:paraId="07CB28B0" w14:textId="77777777" w:rsidTr="006B6D34">
        <w:tc>
          <w:tcPr>
            <w:tcW w:w="1224" w:type="pct"/>
            <w:tcBorders>
              <w:top w:val="nil"/>
              <w:left w:val="nil"/>
              <w:bottom w:val="single" w:sz="4" w:space="0" w:color="auto"/>
              <w:right w:val="nil"/>
            </w:tcBorders>
            <w:shd w:val="clear" w:color="auto" w:fill="auto"/>
            <w:vAlign w:val="center"/>
          </w:tcPr>
          <w:p w14:paraId="1F431845"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CHANGE_VOL_POST_W4</m:t>
                </m:r>
              </m:oMath>
            </m:oMathPara>
          </w:p>
        </w:tc>
        <w:tc>
          <w:tcPr>
            <w:tcW w:w="765" w:type="pct"/>
            <w:tcBorders>
              <w:top w:val="nil"/>
              <w:left w:val="nil"/>
              <w:bottom w:val="single" w:sz="4" w:space="0" w:color="auto"/>
              <w:right w:val="nil"/>
            </w:tcBorders>
            <w:shd w:val="clear" w:color="auto" w:fill="auto"/>
            <w:vAlign w:val="bottom"/>
          </w:tcPr>
          <w:p w14:paraId="6C06D9C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single" w:sz="4" w:space="0" w:color="auto"/>
              <w:right w:val="nil"/>
            </w:tcBorders>
            <w:shd w:val="clear" w:color="auto" w:fill="auto"/>
            <w:vAlign w:val="bottom"/>
          </w:tcPr>
          <w:p w14:paraId="5DDD381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single" w:sz="4" w:space="0" w:color="auto"/>
              <w:right w:val="nil"/>
            </w:tcBorders>
            <w:shd w:val="clear" w:color="auto" w:fill="auto"/>
            <w:vAlign w:val="bottom"/>
          </w:tcPr>
          <w:p w14:paraId="0ABD251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3" w:type="pct"/>
            <w:tcBorders>
              <w:top w:val="nil"/>
              <w:left w:val="nil"/>
              <w:bottom w:val="single" w:sz="4" w:space="0" w:color="auto"/>
              <w:right w:val="nil"/>
            </w:tcBorders>
            <w:shd w:val="clear" w:color="auto" w:fill="auto"/>
            <w:vAlign w:val="bottom"/>
          </w:tcPr>
          <w:p w14:paraId="1545BF2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 xml:space="preserve"> </w:t>
            </w:r>
          </w:p>
        </w:tc>
        <w:tc>
          <w:tcPr>
            <w:tcW w:w="752" w:type="pct"/>
            <w:tcBorders>
              <w:top w:val="nil"/>
              <w:left w:val="nil"/>
              <w:bottom w:val="single" w:sz="4" w:space="0" w:color="auto"/>
              <w:right w:val="nil"/>
            </w:tcBorders>
            <w:shd w:val="clear" w:color="auto" w:fill="auto"/>
            <w:vAlign w:val="bottom"/>
          </w:tcPr>
          <w:p w14:paraId="2FC3DB91"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1.991*** (0.170)</w:t>
            </w:r>
          </w:p>
        </w:tc>
      </w:tr>
      <w:tr w:rsidR="00D63168" w:rsidRPr="001E47AD" w14:paraId="4EC96EED" w14:textId="77777777" w:rsidTr="006B6D34">
        <w:tc>
          <w:tcPr>
            <w:tcW w:w="1224" w:type="pct"/>
            <w:tcBorders>
              <w:top w:val="single" w:sz="4" w:space="0" w:color="auto"/>
              <w:left w:val="nil"/>
              <w:bottom w:val="nil"/>
              <w:right w:val="nil"/>
            </w:tcBorders>
            <w:shd w:val="clear" w:color="auto" w:fill="auto"/>
            <w:vAlign w:val="center"/>
          </w:tcPr>
          <w:p w14:paraId="17E4A7B4" w14:textId="77777777" w:rsidR="00D63168" w:rsidRPr="001E47AD" w:rsidRDefault="00D63168" w:rsidP="006B6D34">
            <w:pPr>
              <w:contextualSpacing/>
              <w:rPr>
                <w:rFonts w:eastAsia="宋体"/>
                <w:sz w:val="16"/>
                <w:szCs w:val="16"/>
              </w:rPr>
            </w:pPr>
            <w:r w:rsidRPr="001E47AD">
              <w:rPr>
                <w:rFonts w:ascii="Times New Roman" w:eastAsia="宋体" w:hAnsi="Times New Roman" w:cs="Times New Roman"/>
                <w:sz w:val="16"/>
                <w:szCs w:val="16"/>
              </w:rPr>
              <w:t>Instrumental Variables</w:t>
            </w:r>
          </w:p>
        </w:tc>
        <w:tc>
          <w:tcPr>
            <w:tcW w:w="765" w:type="pct"/>
            <w:tcBorders>
              <w:top w:val="single" w:sz="4" w:space="0" w:color="auto"/>
              <w:left w:val="nil"/>
              <w:bottom w:val="nil"/>
              <w:right w:val="nil"/>
            </w:tcBorders>
            <w:shd w:val="clear" w:color="auto" w:fill="auto"/>
            <w:vAlign w:val="bottom"/>
          </w:tcPr>
          <w:p w14:paraId="3A026DF9" w14:textId="77777777" w:rsidR="00D63168" w:rsidRPr="001E47AD" w:rsidRDefault="00D63168" w:rsidP="006B6D34">
            <w:pPr>
              <w:jc w:val="right"/>
              <w:rPr>
                <w:rFonts w:ascii="Times New Roman" w:hAnsi="Times New Roman" w:cs="Times New Roman"/>
                <w:sz w:val="16"/>
                <w:szCs w:val="16"/>
              </w:rPr>
            </w:pPr>
          </w:p>
        </w:tc>
        <w:tc>
          <w:tcPr>
            <w:tcW w:w="753" w:type="pct"/>
            <w:tcBorders>
              <w:top w:val="single" w:sz="4" w:space="0" w:color="auto"/>
              <w:left w:val="nil"/>
              <w:bottom w:val="nil"/>
              <w:right w:val="nil"/>
            </w:tcBorders>
            <w:shd w:val="clear" w:color="auto" w:fill="auto"/>
            <w:vAlign w:val="bottom"/>
          </w:tcPr>
          <w:p w14:paraId="0A41AB2C" w14:textId="77777777" w:rsidR="00D63168" w:rsidRPr="001E47AD" w:rsidRDefault="00D63168" w:rsidP="006B6D34">
            <w:pPr>
              <w:jc w:val="right"/>
              <w:rPr>
                <w:rFonts w:ascii="Times New Roman" w:hAnsi="Times New Roman" w:cs="Times New Roman"/>
                <w:sz w:val="16"/>
                <w:szCs w:val="16"/>
              </w:rPr>
            </w:pPr>
          </w:p>
        </w:tc>
        <w:tc>
          <w:tcPr>
            <w:tcW w:w="753" w:type="pct"/>
            <w:tcBorders>
              <w:top w:val="single" w:sz="4" w:space="0" w:color="auto"/>
              <w:left w:val="nil"/>
              <w:bottom w:val="nil"/>
              <w:right w:val="nil"/>
            </w:tcBorders>
            <w:shd w:val="clear" w:color="auto" w:fill="auto"/>
            <w:vAlign w:val="bottom"/>
          </w:tcPr>
          <w:p w14:paraId="145075ED" w14:textId="77777777" w:rsidR="00D63168" w:rsidRPr="001E47AD" w:rsidRDefault="00D63168" w:rsidP="006B6D34">
            <w:pPr>
              <w:jc w:val="right"/>
              <w:rPr>
                <w:rFonts w:ascii="Times New Roman" w:hAnsi="Times New Roman" w:cs="Times New Roman"/>
                <w:sz w:val="16"/>
                <w:szCs w:val="16"/>
              </w:rPr>
            </w:pPr>
          </w:p>
        </w:tc>
        <w:tc>
          <w:tcPr>
            <w:tcW w:w="753" w:type="pct"/>
            <w:tcBorders>
              <w:top w:val="single" w:sz="4" w:space="0" w:color="auto"/>
              <w:left w:val="nil"/>
              <w:bottom w:val="nil"/>
              <w:right w:val="nil"/>
            </w:tcBorders>
            <w:shd w:val="clear" w:color="auto" w:fill="auto"/>
            <w:vAlign w:val="bottom"/>
          </w:tcPr>
          <w:p w14:paraId="6DC8CEC0" w14:textId="77777777" w:rsidR="00D63168" w:rsidRPr="001E47AD" w:rsidRDefault="00D63168" w:rsidP="006B6D34">
            <w:pPr>
              <w:jc w:val="right"/>
              <w:rPr>
                <w:rFonts w:ascii="Times New Roman" w:hAnsi="Times New Roman" w:cs="Times New Roman"/>
                <w:sz w:val="16"/>
                <w:szCs w:val="16"/>
              </w:rPr>
            </w:pPr>
          </w:p>
        </w:tc>
        <w:tc>
          <w:tcPr>
            <w:tcW w:w="752" w:type="pct"/>
            <w:tcBorders>
              <w:top w:val="single" w:sz="4" w:space="0" w:color="auto"/>
              <w:left w:val="nil"/>
              <w:bottom w:val="nil"/>
              <w:right w:val="nil"/>
            </w:tcBorders>
            <w:shd w:val="clear" w:color="auto" w:fill="auto"/>
            <w:vAlign w:val="bottom"/>
          </w:tcPr>
          <w:p w14:paraId="4BB08ACB" w14:textId="77777777" w:rsidR="00D63168" w:rsidRPr="001E47AD" w:rsidRDefault="00D63168" w:rsidP="006B6D34">
            <w:pPr>
              <w:jc w:val="right"/>
              <w:rPr>
                <w:rFonts w:ascii="Times New Roman" w:hAnsi="Times New Roman" w:cs="Times New Roman"/>
                <w:sz w:val="16"/>
                <w:szCs w:val="16"/>
              </w:rPr>
            </w:pPr>
          </w:p>
        </w:tc>
      </w:tr>
      <w:tr w:rsidR="00D63168" w:rsidRPr="001E47AD" w14:paraId="046D2941" w14:textId="77777777" w:rsidTr="006B6D34">
        <w:tc>
          <w:tcPr>
            <w:tcW w:w="1224" w:type="pct"/>
            <w:tcBorders>
              <w:top w:val="nil"/>
              <w:left w:val="nil"/>
              <w:bottom w:val="nil"/>
              <w:right w:val="nil"/>
            </w:tcBorders>
            <w:shd w:val="clear" w:color="auto" w:fill="auto"/>
            <w:vAlign w:val="center"/>
          </w:tcPr>
          <w:p w14:paraId="20B16A7E" w14:textId="77777777" w:rsidR="00D63168" w:rsidRPr="001E47AD" w:rsidRDefault="00D63168" w:rsidP="006B6D34">
            <w:pPr>
              <w:contextualSpacing/>
              <w:rPr>
                <w:rFonts w:eastAsia="宋体"/>
                <w:sz w:val="16"/>
                <w:szCs w:val="16"/>
              </w:rPr>
            </w:pPr>
            <w:r w:rsidRPr="001E47AD">
              <w:rPr>
                <w:rFonts w:ascii="Times New Roman" w:eastAsia="宋体" w:hAnsi="Times New Roman" w:cs="Times New Roman"/>
                <w:sz w:val="16"/>
                <w:szCs w:val="16"/>
                <w:u w:val="single"/>
              </w:rPr>
              <w:t>Industrial Water Use</w:t>
            </w:r>
          </w:p>
        </w:tc>
        <w:tc>
          <w:tcPr>
            <w:tcW w:w="765" w:type="pct"/>
            <w:tcBorders>
              <w:top w:val="nil"/>
              <w:left w:val="nil"/>
              <w:bottom w:val="nil"/>
              <w:right w:val="nil"/>
            </w:tcBorders>
            <w:shd w:val="clear" w:color="auto" w:fill="auto"/>
            <w:vAlign w:val="bottom"/>
          </w:tcPr>
          <w:p w14:paraId="514F28EE"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64E22566"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52C1AC52" w14:textId="77777777" w:rsidR="00D63168" w:rsidRPr="001E47AD" w:rsidRDefault="00D63168" w:rsidP="006B6D34">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6AFC9FB3" w14:textId="77777777" w:rsidR="00D63168" w:rsidRPr="001E47AD" w:rsidRDefault="00D63168" w:rsidP="006B6D34">
            <w:pPr>
              <w:jc w:val="right"/>
              <w:rPr>
                <w:rFonts w:ascii="Times New Roman" w:hAnsi="Times New Roman" w:cs="Times New Roman"/>
                <w:sz w:val="16"/>
                <w:szCs w:val="16"/>
              </w:rPr>
            </w:pPr>
          </w:p>
        </w:tc>
        <w:tc>
          <w:tcPr>
            <w:tcW w:w="752" w:type="pct"/>
            <w:tcBorders>
              <w:top w:val="nil"/>
              <w:left w:val="nil"/>
              <w:bottom w:val="nil"/>
              <w:right w:val="nil"/>
            </w:tcBorders>
            <w:shd w:val="clear" w:color="auto" w:fill="auto"/>
            <w:vAlign w:val="bottom"/>
          </w:tcPr>
          <w:p w14:paraId="78879507" w14:textId="77777777" w:rsidR="00D63168" w:rsidRPr="001E47AD" w:rsidRDefault="00D63168" w:rsidP="006B6D34">
            <w:pPr>
              <w:jc w:val="right"/>
              <w:rPr>
                <w:rFonts w:ascii="Times New Roman" w:hAnsi="Times New Roman" w:cs="Times New Roman"/>
                <w:sz w:val="16"/>
                <w:szCs w:val="16"/>
              </w:rPr>
            </w:pPr>
          </w:p>
        </w:tc>
      </w:tr>
      <w:tr w:rsidR="00D63168" w:rsidRPr="001E47AD" w14:paraId="4537680B" w14:textId="77777777" w:rsidTr="006B6D34">
        <w:tc>
          <w:tcPr>
            <w:tcW w:w="1224" w:type="pct"/>
            <w:tcBorders>
              <w:top w:val="nil"/>
              <w:left w:val="nil"/>
              <w:bottom w:val="nil"/>
              <w:right w:val="nil"/>
            </w:tcBorders>
            <w:shd w:val="clear" w:color="auto" w:fill="auto"/>
            <w:vAlign w:val="center"/>
          </w:tcPr>
          <w:p w14:paraId="6AD451E4" w14:textId="77777777" w:rsidR="00D63168" w:rsidRPr="001E47AD" w:rsidRDefault="00D63168" w:rsidP="006B6D34">
            <w:pPr>
              <w:contextualSpacing/>
              <w:jc w:val="both"/>
              <w:rPr>
                <w:rFonts w:eastAsia="宋体"/>
                <w:sz w:val="16"/>
                <w:szCs w:val="16"/>
              </w:rPr>
            </w:pPr>
            <m:oMathPara>
              <m:oMathParaPr>
                <m:jc m:val="left"/>
              </m:oMathParaPr>
              <m:oMath>
                <m:r>
                  <m:rPr>
                    <m:sty m:val="p"/>
                  </m:rPr>
                  <w:rPr>
                    <w:rFonts w:ascii="Cambria Math" w:eastAsia="宋体" w:hAnsi="Cambria Math" w:cs="Times New Roman"/>
                    <w:sz w:val="16"/>
                    <w:szCs w:val="16"/>
                  </w:rPr>
                  <m:t>GROUND_FRESH_IN</m:t>
                </m:r>
              </m:oMath>
            </m:oMathPara>
          </w:p>
        </w:tc>
        <w:tc>
          <w:tcPr>
            <w:tcW w:w="765" w:type="pct"/>
            <w:tcBorders>
              <w:top w:val="nil"/>
              <w:left w:val="nil"/>
              <w:bottom w:val="nil"/>
              <w:right w:val="nil"/>
            </w:tcBorders>
            <w:shd w:val="clear" w:color="auto" w:fill="auto"/>
            <w:vAlign w:val="bottom"/>
          </w:tcPr>
          <w:p w14:paraId="6E56894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2.206*** (0.370)</w:t>
            </w:r>
          </w:p>
        </w:tc>
        <w:tc>
          <w:tcPr>
            <w:tcW w:w="753" w:type="pct"/>
            <w:tcBorders>
              <w:top w:val="nil"/>
              <w:left w:val="nil"/>
              <w:bottom w:val="nil"/>
              <w:right w:val="nil"/>
            </w:tcBorders>
            <w:shd w:val="clear" w:color="auto" w:fill="auto"/>
            <w:vAlign w:val="bottom"/>
          </w:tcPr>
          <w:p w14:paraId="08DCF60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2.161*** (0.369)</w:t>
            </w:r>
          </w:p>
        </w:tc>
        <w:tc>
          <w:tcPr>
            <w:tcW w:w="753" w:type="pct"/>
            <w:tcBorders>
              <w:top w:val="nil"/>
              <w:left w:val="nil"/>
              <w:bottom w:val="nil"/>
              <w:right w:val="nil"/>
            </w:tcBorders>
            <w:shd w:val="clear" w:color="auto" w:fill="auto"/>
            <w:vAlign w:val="bottom"/>
          </w:tcPr>
          <w:p w14:paraId="1FD856C6"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2.209*** (0.369)</w:t>
            </w:r>
          </w:p>
        </w:tc>
        <w:tc>
          <w:tcPr>
            <w:tcW w:w="753" w:type="pct"/>
            <w:tcBorders>
              <w:top w:val="nil"/>
              <w:left w:val="nil"/>
              <w:bottom w:val="nil"/>
              <w:right w:val="nil"/>
            </w:tcBorders>
            <w:shd w:val="clear" w:color="auto" w:fill="auto"/>
            <w:vAlign w:val="bottom"/>
          </w:tcPr>
          <w:p w14:paraId="49859BA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2.200*** (0.369)</w:t>
            </w:r>
          </w:p>
        </w:tc>
        <w:tc>
          <w:tcPr>
            <w:tcW w:w="752" w:type="pct"/>
            <w:tcBorders>
              <w:top w:val="nil"/>
              <w:left w:val="nil"/>
              <w:bottom w:val="nil"/>
              <w:right w:val="nil"/>
            </w:tcBorders>
            <w:shd w:val="clear" w:color="auto" w:fill="auto"/>
            <w:vAlign w:val="bottom"/>
          </w:tcPr>
          <w:p w14:paraId="25B2536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2.189*** (0.369)</w:t>
            </w:r>
          </w:p>
        </w:tc>
      </w:tr>
      <w:tr w:rsidR="00D63168" w:rsidRPr="001E47AD" w14:paraId="1C1D629F" w14:textId="77777777" w:rsidTr="006B6D34">
        <w:tc>
          <w:tcPr>
            <w:tcW w:w="1224" w:type="pct"/>
            <w:tcBorders>
              <w:top w:val="nil"/>
              <w:left w:val="nil"/>
              <w:bottom w:val="nil"/>
              <w:right w:val="nil"/>
            </w:tcBorders>
            <w:shd w:val="clear" w:color="auto" w:fill="auto"/>
            <w:vAlign w:val="center"/>
          </w:tcPr>
          <w:p w14:paraId="799F59F7" w14:textId="77777777" w:rsidR="00D63168" w:rsidRPr="001E47AD" w:rsidRDefault="00D63168" w:rsidP="006B6D34">
            <w:pPr>
              <w:contextualSpacing/>
              <w:jc w:val="both"/>
              <w:rPr>
                <w:rFonts w:eastAsia="宋体"/>
                <w:sz w:val="16"/>
                <w:szCs w:val="16"/>
              </w:rPr>
            </w:pPr>
            <m:oMathPara>
              <m:oMathParaPr>
                <m:jc m:val="left"/>
              </m:oMathParaPr>
              <m:oMath>
                <m:r>
                  <m:rPr>
                    <m:sty m:val="p"/>
                  </m:rPr>
                  <w:rPr>
                    <w:rFonts w:ascii="Cambria Math" w:eastAsia="宋体" w:hAnsi="Cambria Math" w:cs="Times New Roman"/>
                    <w:sz w:val="16"/>
                    <w:szCs w:val="16"/>
                  </w:rPr>
                  <m:t>GROUND_SALINE_IN</m:t>
                </m:r>
              </m:oMath>
            </m:oMathPara>
          </w:p>
        </w:tc>
        <w:tc>
          <w:tcPr>
            <w:tcW w:w="765" w:type="pct"/>
            <w:tcBorders>
              <w:top w:val="nil"/>
              <w:left w:val="nil"/>
              <w:bottom w:val="nil"/>
              <w:right w:val="nil"/>
            </w:tcBorders>
            <w:shd w:val="clear" w:color="auto" w:fill="auto"/>
            <w:vAlign w:val="bottom"/>
          </w:tcPr>
          <w:p w14:paraId="714B4F1D"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-65.814* (29.687)</w:t>
            </w:r>
          </w:p>
        </w:tc>
        <w:tc>
          <w:tcPr>
            <w:tcW w:w="753" w:type="pct"/>
            <w:tcBorders>
              <w:top w:val="nil"/>
              <w:left w:val="nil"/>
              <w:bottom w:val="nil"/>
              <w:right w:val="nil"/>
            </w:tcBorders>
            <w:shd w:val="clear" w:color="auto" w:fill="auto"/>
            <w:vAlign w:val="bottom"/>
          </w:tcPr>
          <w:p w14:paraId="71270B6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-67.204* (29.665)</w:t>
            </w:r>
          </w:p>
        </w:tc>
        <w:tc>
          <w:tcPr>
            <w:tcW w:w="753" w:type="pct"/>
            <w:tcBorders>
              <w:top w:val="nil"/>
              <w:left w:val="nil"/>
              <w:bottom w:val="nil"/>
              <w:right w:val="nil"/>
            </w:tcBorders>
            <w:shd w:val="clear" w:color="auto" w:fill="auto"/>
            <w:vAlign w:val="bottom"/>
          </w:tcPr>
          <w:p w14:paraId="01EEA3E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-66.458* (29.645)</w:t>
            </w:r>
          </w:p>
        </w:tc>
        <w:tc>
          <w:tcPr>
            <w:tcW w:w="753" w:type="pct"/>
            <w:tcBorders>
              <w:top w:val="nil"/>
              <w:left w:val="nil"/>
              <w:bottom w:val="nil"/>
              <w:right w:val="nil"/>
            </w:tcBorders>
            <w:shd w:val="clear" w:color="auto" w:fill="auto"/>
            <w:vAlign w:val="bottom"/>
          </w:tcPr>
          <w:p w14:paraId="3B1385A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-66.646* (29.627)</w:t>
            </w:r>
          </w:p>
        </w:tc>
        <w:tc>
          <w:tcPr>
            <w:tcW w:w="752" w:type="pct"/>
            <w:tcBorders>
              <w:top w:val="nil"/>
              <w:left w:val="nil"/>
              <w:bottom w:val="nil"/>
              <w:right w:val="nil"/>
            </w:tcBorders>
            <w:shd w:val="clear" w:color="auto" w:fill="auto"/>
            <w:vAlign w:val="bottom"/>
          </w:tcPr>
          <w:p w14:paraId="76FB273E"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-67.022* (29.659)</w:t>
            </w:r>
          </w:p>
        </w:tc>
      </w:tr>
      <w:tr w:rsidR="00D63168" w:rsidRPr="001E47AD" w14:paraId="2211FC46" w14:textId="77777777" w:rsidTr="006B6D34">
        <w:tc>
          <w:tcPr>
            <w:tcW w:w="1224" w:type="pct"/>
            <w:tcBorders>
              <w:top w:val="nil"/>
              <w:left w:val="nil"/>
              <w:bottom w:val="nil"/>
              <w:right w:val="nil"/>
            </w:tcBorders>
            <w:shd w:val="clear" w:color="auto" w:fill="auto"/>
            <w:vAlign w:val="center"/>
          </w:tcPr>
          <w:p w14:paraId="2E5D3339" w14:textId="77777777" w:rsidR="00D63168" w:rsidRPr="001E47AD" w:rsidRDefault="00D63168" w:rsidP="006B6D34">
            <w:pPr>
              <w:contextualSpacing/>
              <w:jc w:val="both"/>
              <w:rPr>
                <w:rFonts w:eastAsia="宋体"/>
                <w:sz w:val="16"/>
                <w:szCs w:val="16"/>
              </w:rPr>
            </w:pPr>
            <m:oMathPara>
              <m:oMathParaPr>
                <m:jc m:val="left"/>
              </m:oMathParaPr>
              <m:oMath>
                <m:r>
                  <m:rPr>
                    <m:sty m:val="p"/>
                  </m:rPr>
                  <w:rPr>
                    <w:rFonts w:ascii="Cambria Math" w:eastAsia="宋体" w:hAnsi="Cambria Math" w:cs="Times New Roman"/>
                    <w:sz w:val="16"/>
                    <w:szCs w:val="16"/>
                  </w:rPr>
                  <m:t>SURFACE_FRESH_IN</m:t>
                </m:r>
              </m:oMath>
            </m:oMathPara>
          </w:p>
        </w:tc>
        <w:tc>
          <w:tcPr>
            <w:tcW w:w="765" w:type="pct"/>
            <w:tcBorders>
              <w:top w:val="nil"/>
              <w:left w:val="nil"/>
              <w:bottom w:val="nil"/>
              <w:right w:val="nil"/>
            </w:tcBorders>
            <w:shd w:val="clear" w:color="auto" w:fill="auto"/>
            <w:vAlign w:val="bottom"/>
          </w:tcPr>
          <w:p w14:paraId="4882D3CB"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-0.353*** (0.035)</w:t>
            </w:r>
          </w:p>
        </w:tc>
        <w:tc>
          <w:tcPr>
            <w:tcW w:w="753" w:type="pct"/>
            <w:tcBorders>
              <w:top w:val="nil"/>
              <w:left w:val="nil"/>
              <w:bottom w:val="nil"/>
              <w:right w:val="nil"/>
            </w:tcBorders>
            <w:shd w:val="clear" w:color="auto" w:fill="auto"/>
            <w:vAlign w:val="bottom"/>
          </w:tcPr>
          <w:p w14:paraId="5E03F487"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-0.355*** (0.035)</w:t>
            </w:r>
          </w:p>
        </w:tc>
        <w:tc>
          <w:tcPr>
            <w:tcW w:w="753" w:type="pct"/>
            <w:tcBorders>
              <w:top w:val="nil"/>
              <w:left w:val="nil"/>
              <w:bottom w:val="nil"/>
              <w:right w:val="nil"/>
            </w:tcBorders>
            <w:shd w:val="clear" w:color="auto" w:fill="auto"/>
            <w:vAlign w:val="bottom"/>
          </w:tcPr>
          <w:p w14:paraId="58C8BA7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-0.353*** (0.035)</w:t>
            </w:r>
          </w:p>
        </w:tc>
        <w:tc>
          <w:tcPr>
            <w:tcW w:w="753" w:type="pct"/>
            <w:tcBorders>
              <w:top w:val="nil"/>
              <w:left w:val="nil"/>
              <w:bottom w:val="nil"/>
              <w:right w:val="nil"/>
            </w:tcBorders>
            <w:shd w:val="clear" w:color="auto" w:fill="auto"/>
            <w:vAlign w:val="bottom"/>
          </w:tcPr>
          <w:p w14:paraId="27A5E50F"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-0.351*** (0.035)</w:t>
            </w:r>
          </w:p>
        </w:tc>
        <w:tc>
          <w:tcPr>
            <w:tcW w:w="752" w:type="pct"/>
            <w:tcBorders>
              <w:top w:val="nil"/>
              <w:left w:val="nil"/>
              <w:bottom w:val="nil"/>
              <w:right w:val="nil"/>
            </w:tcBorders>
            <w:shd w:val="clear" w:color="auto" w:fill="auto"/>
            <w:vAlign w:val="bottom"/>
          </w:tcPr>
          <w:p w14:paraId="22514006"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-0.350*** (0.035)</w:t>
            </w:r>
          </w:p>
        </w:tc>
      </w:tr>
      <w:tr w:rsidR="00D63168" w:rsidRPr="001E47AD" w14:paraId="59DBF2A9" w14:textId="77777777" w:rsidTr="006B6D34">
        <w:tc>
          <w:tcPr>
            <w:tcW w:w="1224" w:type="pct"/>
            <w:tcBorders>
              <w:top w:val="nil"/>
              <w:left w:val="nil"/>
              <w:bottom w:val="nil"/>
              <w:right w:val="nil"/>
            </w:tcBorders>
            <w:shd w:val="clear" w:color="auto" w:fill="auto"/>
            <w:vAlign w:val="center"/>
          </w:tcPr>
          <w:p w14:paraId="2707D7F5" w14:textId="77777777" w:rsidR="00D63168" w:rsidRPr="001E47AD" w:rsidRDefault="00D63168" w:rsidP="006B6D34">
            <w:pPr>
              <w:contextualSpacing/>
              <w:jc w:val="both"/>
              <w:rPr>
                <w:rFonts w:eastAsia="宋体"/>
                <w:sz w:val="16"/>
                <w:szCs w:val="16"/>
              </w:rPr>
            </w:pPr>
            <m:oMathPara>
              <m:oMathParaPr>
                <m:jc m:val="left"/>
              </m:oMathParaPr>
              <m:oMath>
                <m:r>
                  <m:rPr>
                    <m:sty m:val="p"/>
                  </m:rPr>
                  <w:rPr>
                    <w:rFonts w:ascii="Cambria Math" w:eastAsia="等线" w:hAnsi="Cambria Math" w:cs="Times New Roman"/>
                    <w:sz w:val="16"/>
                    <w:szCs w:val="16"/>
                  </w:rPr>
                  <m:t>SURFACE_SALINE_IN</m:t>
                </m:r>
              </m:oMath>
            </m:oMathPara>
          </w:p>
        </w:tc>
        <w:tc>
          <w:tcPr>
            <w:tcW w:w="765" w:type="pct"/>
            <w:tcBorders>
              <w:top w:val="nil"/>
              <w:left w:val="nil"/>
              <w:bottom w:val="nil"/>
              <w:right w:val="nil"/>
            </w:tcBorders>
            <w:shd w:val="clear" w:color="auto" w:fill="auto"/>
            <w:vAlign w:val="bottom"/>
          </w:tcPr>
          <w:p w14:paraId="72F49343"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1.151*** (0.252)</w:t>
            </w:r>
          </w:p>
        </w:tc>
        <w:tc>
          <w:tcPr>
            <w:tcW w:w="753" w:type="pct"/>
            <w:tcBorders>
              <w:top w:val="nil"/>
              <w:left w:val="nil"/>
              <w:bottom w:val="nil"/>
              <w:right w:val="nil"/>
            </w:tcBorders>
            <w:shd w:val="clear" w:color="auto" w:fill="auto"/>
            <w:vAlign w:val="bottom"/>
          </w:tcPr>
          <w:p w14:paraId="2BC2799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1.183*** (0.252)</w:t>
            </w:r>
          </w:p>
        </w:tc>
        <w:tc>
          <w:tcPr>
            <w:tcW w:w="753" w:type="pct"/>
            <w:tcBorders>
              <w:top w:val="nil"/>
              <w:left w:val="nil"/>
              <w:bottom w:val="nil"/>
              <w:right w:val="nil"/>
            </w:tcBorders>
            <w:shd w:val="clear" w:color="auto" w:fill="auto"/>
            <w:vAlign w:val="bottom"/>
          </w:tcPr>
          <w:p w14:paraId="5EBE455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1.195*** (0.252)</w:t>
            </w:r>
          </w:p>
        </w:tc>
        <w:tc>
          <w:tcPr>
            <w:tcW w:w="753" w:type="pct"/>
            <w:tcBorders>
              <w:top w:val="nil"/>
              <w:left w:val="nil"/>
              <w:bottom w:val="nil"/>
              <w:right w:val="nil"/>
            </w:tcBorders>
            <w:shd w:val="clear" w:color="auto" w:fill="auto"/>
            <w:vAlign w:val="bottom"/>
          </w:tcPr>
          <w:p w14:paraId="44769450"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1.181*** (0.252)</w:t>
            </w:r>
          </w:p>
        </w:tc>
        <w:tc>
          <w:tcPr>
            <w:tcW w:w="752" w:type="pct"/>
            <w:tcBorders>
              <w:top w:val="nil"/>
              <w:left w:val="nil"/>
              <w:bottom w:val="nil"/>
              <w:right w:val="nil"/>
            </w:tcBorders>
            <w:shd w:val="clear" w:color="auto" w:fill="auto"/>
            <w:vAlign w:val="bottom"/>
          </w:tcPr>
          <w:p w14:paraId="14249104" w14:textId="77777777" w:rsidR="00D63168" w:rsidRPr="001E47AD" w:rsidRDefault="00D63168" w:rsidP="006B6D34">
            <w:pPr>
              <w:jc w:val="right"/>
              <w:rPr>
                <w:rFonts w:ascii="Times New Roman" w:hAnsi="Times New Roman" w:cs="Times New Roman"/>
                <w:sz w:val="16"/>
                <w:szCs w:val="16"/>
              </w:rPr>
            </w:pPr>
            <w:r w:rsidRPr="001E47AD">
              <w:rPr>
                <w:rFonts w:ascii="Times New Roman" w:hAnsi="Times New Roman" w:cs="Times New Roman"/>
                <w:color w:val="000000"/>
                <w:sz w:val="16"/>
                <w:szCs w:val="16"/>
              </w:rPr>
              <w:t>1.188*** (0.252)</w:t>
            </w:r>
          </w:p>
        </w:tc>
      </w:tr>
      <w:tr w:rsidR="00D63168" w:rsidRPr="001E47AD" w14:paraId="3F2BA8C6" w14:textId="77777777" w:rsidTr="006B6D34">
        <w:tc>
          <w:tcPr>
            <w:tcW w:w="1224" w:type="pct"/>
            <w:tcBorders>
              <w:top w:val="nil"/>
              <w:left w:val="nil"/>
              <w:bottom w:val="single" w:sz="4" w:space="0" w:color="auto"/>
              <w:right w:val="nil"/>
            </w:tcBorders>
            <w:vAlign w:val="center"/>
          </w:tcPr>
          <w:p w14:paraId="65F91DAD" w14:textId="77777777" w:rsidR="00D63168" w:rsidRPr="001E47AD" w:rsidRDefault="00D63168" w:rsidP="006B6D34">
            <w:pPr>
              <w:contextualSpacing/>
              <w:rPr>
                <w:rFonts w:eastAsia="宋体"/>
                <w:sz w:val="16"/>
                <w:szCs w:val="16"/>
              </w:rPr>
            </w:pPr>
            <m:oMathPara>
              <m:oMathParaPr>
                <m:jc m:val="left"/>
              </m:oMathParaPr>
              <m:oMath>
                <m:r>
                  <m:rPr>
                    <m:sty m:val="p"/>
                  </m:rPr>
                  <w:rPr>
                    <w:rFonts w:ascii="Cambria Math" w:eastAsia="宋体" w:hAnsi="Cambria Math" w:cs="Times New Roman"/>
                    <w:sz w:val="16"/>
                    <w:szCs w:val="16"/>
                  </w:rPr>
                  <m:t>CONSTANT</m:t>
                </m:r>
              </m:oMath>
            </m:oMathPara>
          </w:p>
        </w:tc>
        <w:tc>
          <w:tcPr>
            <w:tcW w:w="765" w:type="pct"/>
            <w:tcBorders>
              <w:top w:val="nil"/>
              <w:left w:val="nil"/>
              <w:bottom w:val="single" w:sz="4" w:space="0" w:color="auto"/>
              <w:right w:val="nil"/>
            </w:tcBorders>
            <w:vAlign w:val="bottom"/>
          </w:tcPr>
          <w:p w14:paraId="20F45F59" w14:textId="77777777" w:rsidR="00D63168" w:rsidRPr="001E47AD" w:rsidRDefault="00D63168" w:rsidP="006B6D34">
            <w:pPr>
              <w:contextualSpacing/>
              <w:jc w:val="right"/>
              <w:rPr>
                <w:rFonts w:ascii="Times New Roman" w:hAnsi="Times New Roman" w:cs="Times New Roman"/>
                <w:sz w:val="16"/>
                <w:szCs w:val="16"/>
              </w:rPr>
            </w:pPr>
            <w:r w:rsidRPr="001E47AD">
              <w:rPr>
                <w:rFonts w:ascii="Times New Roman" w:hAnsi="Times New Roman" w:cs="Times New Roman"/>
                <w:color w:val="000000"/>
                <w:sz w:val="16"/>
                <w:szCs w:val="16"/>
              </w:rPr>
              <w:t>-505.401*** (59.985)</w:t>
            </w:r>
          </w:p>
        </w:tc>
        <w:tc>
          <w:tcPr>
            <w:tcW w:w="753" w:type="pct"/>
            <w:tcBorders>
              <w:top w:val="nil"/>
              <w:left w:val="nil"/>
              <w:bottom w:val="single" w:sz="4" w:space="0" w:color="auto"/>
              <w:right w:val="nil"/>
            </w:tcBorders>
            <w:shd w:val="clear" w:color="auto" w:fill="auto"/>
            <w:vAlign w:val="bottom"/>
          </w:tcPr>
          <w:p w14:paraId="59FAA994" w14:textId="77777777" w:rsidR="00D63168" w:rsidRPr="001E47AD" w:rsidRDefault="00D63168" w:rsidP="006B6D34">
            <w:pPr>
              <w:contextualSpacing/>
              <w:jc w:val="right"/>
              <w:rPr>
                <w:rFonts w:ascii="Times New Roman" w:hAnsi="Times New Roman" w:cs="Times New Roman"/>
                <w:sz w:val="16"/>
                <w:szCs w:val="16"/>
              </w:rPr>
            </w:pPr>
            <w:r w:rsidRPr="001E47AD">
              <w:rPr>
                <w:rFonts w:ascii="Times New Roman" w:hAnsi="Times New Roman" w:cs="Times New Roman"/>
                <w:color w:val="000000"/>
                <w:sz w:val="16"/>
                <w:szCs w:val="16"/>
              </w:rPr>
              <w:t>-496.030*** (59.879)</w:t>
            </w:r>
          </w:p>
        </w:tc>
        <w:tc>
          <w:tcPr>
            <w:tcW w:w="753" w:type="pct"/>
            <w:tcBorders>
              <w:top w:val="nil"/>
              <w:left w:val="nil"/>
              <w:bottom w:val="single" w:sz="4" w:space="0" w:color="auto"/>
              <w:right w:val="nil"/>
            </w:tcBorders>
            <w:vAlign w:val="bottom"/>
          </w:tcPr>
          <w:p w14:paraId="00488137" w14:textId="77777777" w:rsidR="00D63168" w:rsidRPr="001E47AD" w:rsidRDefault="00D63168" w:rsidP="006B6D34">
            <w:pPr>
              <w:contextualSpacing/>
              <w:jc w:val="right"/>
              <w:rPr>
                <w:rFonts w:ascii="Times New Roman" w:hAnsi="Times New Roman" w:cs="Times New Roman"/>
                <w:sz w:val="16"/>
                <w:szCs w:val="16"/>
              </w:rPr>
            </w:pPr>
            <w:r w:rsidRPr="001E47AD">
              <w:rPr>
                <w:rFonts w:ascii="Times New Roman" w:hAnsi="Times New Roman" w:cs="Times New Roman"/>
                <w:color w:val="000000"/>
                <w:sz w:val="16"/>
                <w:szCs w:val="16"/>
              </w:rPr>
              <w:t>-506.585*** (59.856)</w:t>
            </w:r>
          </w:p>
        </w:tc>
        <w:tc>
          <w:tcPr>
            <w:tcW w:w="753" w:type="pct"/>
            <w:tcBorders>
              <w:top w:val="nil"/>
              <w:left w:val="nil"/>
              <w:bottom w:val="single" w:sz="4" w:space="0" w:color="auto"/>
              <w:right w:val="nil"/>
            </w:tcBorders>
            <w:vAlign w:val="bottom"/>
          </w:tcPr>
          <w:p w14:paraId="7891C46A" w14:textId="77777777" w:rsidR="00D63168" w:rsidRPr="001E47AD" w:rsidRDefault="00D63168" w:rsidP="006B6D34">
            <w:pPr>
              <w:contextualSpacing/>
              <w:jc w:val="right"/>
              <w:rPr>
                <w:rFonts w:ascii="Times New Roman" w:hAnsi="Times New Roman" w:cs="Times New Roman"/>
                <w:sz w:val="16"/>
                <w:szCs w:val="16"/>
              </w:rPr>
            </w:pPr>
            <w:r w:rsidRPr="001E47AD">
              <w:rPr>
                <w:rFonts w:ascii="Times New Roman" w:hAnsi="Times New Roman" w:cs="Times New Roman"/>
                <w:color w:val="000000"/>
                <w:sz w:val="16"/>
                <w:szCs w:val="16"/>
              </w:rPr>
              <w:t>-490.255*** (59.790)</w:t>
            </w:r>
          </w:p>
        </w:tc>
        <w:tc>
          <w:tcPr>
            <w:tcW w:w="752" w:type="pct"/>
            <w:tcBorders>
              <w:top w:val="nil"/>
              <w:left w:val="nil"/>
              <w:bottom w:val="single" w:sz="4" w:space="0" w:color="auto"/>
              <w:right w:val="nil"/>
            </w:tcBorders>
            <w:vAlign w:val="bottom"/>
          </w:tcPr>
          <w:p w14:paraId="0B290183" w14:textId="77777777" w:rsidR="00D63168" w:rsidRPr="001E47AD" w:rsidRDefault="00D63168" w:rsidP="006B6D34">
            <w:pPr>
              <w:contextualSpacing/>
              <w:jc w:val="right"/>
              <w:rPr>
                <w:rFonts w:ascii="Times New Roman" w:hAnsi="Times New Roman" w:cs="Times New Roman"/>
                <w:sz w:val="16"/>
                <w:szCs w:val="16"/>
              </w:rPr>
            </w:pPr>
            <w:r w:rsidRPr="001E47AD">
              <w:rPr>
                <w:rFonts w:ascii="Times New Roman" w:hAnsi="Times New Roman" w:cs="Times New Roman"/>
                <w:color w:val="000000"/>
                <w:sz w:val="16"/>
                <w:szCs w:val="16"/>
              </w:rPr>
              <w:t>-479.580*** (59.851)</w:t>
            </w:r>
          </w:p>
        </w:tc>
      </w:tr>
      <w:tr w:rsidR="00D63168" w:rsidRPr="001E47AD" w14:paraId="6A614555" w14:textId="77777777" w:rsidTr="006B6D34">
        <w:tc>
          <w:tcPr>
            <w:tcW w:w="1224" w:type="pct"/>
            <w:tcBorders>
              <w:top w:val="single" w:sz="4" w:space="0" w:color="auto"/>
              <w:left w:val="nil"/>
              <w:bottom w:val="single" w:sz="4" w:space="0" w:color="auto"/>
              <w:right w:val="nil"/>
            </w:tcBorders>
            <w:vAlign w:val="center"/>
          </w:tcPr>
          <w:p w14:paraId="08F697E3"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Observations</m:t>
                </m:r>
              </m:oMath>
            </m:oMathPara>
          </w:p>
        </w:tc>
        <w:tc>
          <w:tcPr>
            <w:tcW w:w="765" w:type="pct"/>
            <w:tcBorders>
              <w:top w:val="single" w:sz="4" w:space="0" w:color="auto"/>
              <w:left w:val="nil"/>
              <w:bottom w:val="single" w:sz="4" w:space="0" w:color="auto"/>
              <w:right w:val="nil"/>
            </w:tcBorders>
            <w:vAlign w:val="bottom"/>
          </w:tcPr>
          <w:p w14:paraId="772D9EC7"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38,418</w:t>
            </w:r>
          </w:p>
        </w:tc>
        <w:tc>
          <w:tcPr>
            <w:tcW w:w="753" w:type="pct"/>
            <w:tcBorders>
              <w:top w:val="single" w:sz="4" w:space="0" w:color="auto"/>
              <w:left w:val="nil"/>
              <w:bottom w:val="single" w:sz="4" w:space="0" w:color="auto"/>
              <w:right w:val="nil"/>
            </w:tcBorders>
            <w:shd w:val="clear" w:color="auto" w:fill="auto"/>
            <w:vAlign w:val="bottom"/>
          </w:tcPr>
          <w:p w14:paraId="2C3124CA"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38,418</w:t>
            </w:r>
          </w:p>
        </w:tc>
        <w:tc>
          <w:tcPr>
            <w:tcW w:w="753" w:type="pct"/>
            <w:tcBorders>
              <w:top w:val="single" w:sz="4" w:space="0" w:color="auto"/>
              <w:left w:val="nil"/>
              <w:bottom w:val="single" w:sz="4" w:space="0" w:color="auto"/>
              <w:right w:val="nil"/>
            </w:tcBorders>
            <w:vAlign w:val="bottom"/>
          </w:tcPr>
          <w:p w14:paraId="745D33D2" w14:textId="77777777" w:rsidR="00D63168" w:rsidRPr="001E47AD" w:rsidRDefault="00D63168" w:rsidP="006B6D34">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38,418</w:t>
            </w:r>
          </w:p>
        </w:tc>
        <w:tc>
          <w:tcPr>
            <w:tcW w:w="753" w:type="pct"/>
            <w:tcBorders>
              <w:top w:val="single" w:sz="4" w:space="0" w:color="auto"/>
              <w:left w:val="nil"/>
              <w:bottom w:val="single" w:sz="4" w:space="0" w:color="auto"/>
              <w:right w:val="nil"/>
            </w:tcBorders>
            <w:vAlign w:val="bottom"/>
          </w:tcPr>
          <w:p w14:paraId="3699E258" w14:textId="77777777" w:rsidR="00D63168" w:rsidRPr="001E47AD" w:rsidRDefault="00D63168" w:rsidP="006B6D34">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38,418</w:t>
            </w:r>
          </w:p>
        </w:tc>
        <w:tc>
          <w:tcPr>
            <w:tcW w:w="752" w:type="pct"/>
            <w:tcBorders>
              <w:top w:val="single" w:sz="4" w:space="0" w:color="auto"/>
              <w:left w:val="nil"/>
              <w:bottom w:val="single" w:sz="4" w:space="0" w:color="auto"/>
              <w:right w:val="nil"/>
            </w:tcBorders>
            <w:vAlign w:val="bottom"/>
          </w:tcPr>
          <w:p w14:paraId="488D28C1" w14:textId="77777777" w:rsidR="00D63168" w:rsidRPr="001E47AD" w:rsidRDefault="00D63168" w:rsidP="006B6D34">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38,418</w:t>
            </w:r>
          </w:p>
        </w:tc>
      </w:tr>
      <w:tr w:rsidR="00D63168" w:rsidRPr="001E47AD" w14:paraId="70EF3043" w14:textId="77777777" w:rsidTr="006B6D34">
        <w:tc>
          <w:tcPr>
            <w:tcW w:w="1224" w:type="pct"/>
            <w:tcBorders>
              <w:top w:val="single" w:sz="4" w:space="0" w:color="auto"/>
              <w:left w:val="nil"/>
              <w:bottom w:val="single" w:sz="4" w:space="0" w:color="auto"/>
              <w:right w:val="nil"/>
            </w:tcBorders>
            <w:vAlign w:val="center"/>
          </w:tcPr>
          <w:p w14:paraId="30ADCA30" w14:textId="77777777" w:rsidR="00D63168" w:rsidRPr="001E47AD" w:rsidRDefault="00D63168" w:rsidP="006B6D34">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F</m:t>
                </m:r>
              </m:oMath>
            </m:oMathPara>
          </w:p>
        </w:tc>
        <w:tc>
          <w:tcPr>
            <w:tcW w:w="765" w:type="pct"/>
            <w:tcBorders>
              <w:top w:val="single" w:sz="4" w:space="0" w:color="auto"/>
              <w:left w:val="nil"/>
              <w:bottom w:val="single" w:sz="4" w:space="0" w:color="auto"/>
              <w:right w:val="nil"/>
            </w:tcBorders>
          </w:tcPr>
          <w:p w14:paraId="16325407"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335.36***</w:t>
            </w:r>
          </w:p>
        </w:tc>
        <w:tc>
          <w:tcPr>
            <w:tcW w:w="753" w:type="pct"/>
            <w:tcBorders>
              <w:top w:val="single" w:sz="4" w:space="0" w:color="auto"/>
              <w:left w:val="nil"/>
              <w:bottom w:val="single" w:sz="4" w:space="0" w:color="auto"/>
              <w:right w:val="nil"/>
            </w:tcBorders>
            <w:shd w:val="clear" w:color="auto" w:fill="auto"/>
            <w:vAlign w:val="bottom"/>
          </w:tcPr>
          <w:p w14:paraId="23CE5A0D"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336.49***</w:t>
            </w:r>
          </w:p>
        </w:tc>
        <w:tc>
          <w:tcPr>
            <w:tcW w:w="753" w:type="pct"/>
            <w:tcBorders>
              <w:top w:val="single" w:sz="4" w:space="0" w:color="auto"/>
              <w:left w:val="nil"/>
              <w:bottom w:val="single" w:sz="4" w:space="0" w:color="auto"/>
              <w:right w:val="nil"/>
            </w:tcBorders>
            <w:vAlign w:val="bottom"/>
          </w:tcPr>
          <w:p w14:paraId="3E615F78"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337.48***</w:t>
            </w:r>
          </w:p>
        </w:tc>
        <w:tc>
          <w:tcPr>
            <w:tcW w:w="753" w:type="pct"/>
            <w:tcBorders>
              <w:top w:val="single" w:sz="4" w:space="0" w:color="auto"/>
              <w:left w:val="nil"/>
              <w:bottom w:val="single" w:sz="4" w:space="0" w:color="auto"/>
              <w:right w:val="nil"/>
            </w:tcBorders>
            <w:vAlign w:val="bottom"/>
          </w:tcPr>
          <w:p w14:paraId="389841A8"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338.40***</w:t>
            </w:r>
          </w:p>
        </w:tc>
        <w:tc>
          <w:tcPr>
            <w:tcW w:w="752" w:type="pct"/>
            <w:tcBorders>
              <w:top w:val="single" w:sz="4" w:space="0" w:color="auto"/>
              <w:left w:val="nil"/>
              <w:bottom w:val="single" w:sz="4" w:space="0" w:color="auto"/>
              <w:right w:val="nil"/>
            </w:tcBorders>
            <w:vAlign w:val="bottom"/>
          </w:tcPr>
          <w:p w14:paraId="441B9350" w14:textId="77777777" w:rsidR="00D63168" w:rsidRPr="001E47AD" w:rsidRDefault="00D63168" w:rsidP="006B6D34">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336.79***</w:t>
            </w:r>
          </w:p>
        </w:tc>
      </w:tr>
    </w:tbl>
    <w:p w14:paraId="231B7021" w14:textId="77777777" w:rsidR="00D63168" w:rsidRPr="001E47AD" w:rsidRDefault="00D63168" w:rsidP="00D63168">
      <w:pPr>
        <w:tabs>
          <w:tab w:val="left" w:pos="1878"/>
        </w:tabs>
        <w:jc w:val="both"/>
        <w:rPr>
          <w:sz w:val="20"/>
          <w:szCs w:val="20"/>
          <w:lang w:eastAsia="zh-CN"/>
        </w:rPr>
      </w:pPr>
      <w:r w:rsidRPr="001E47AD">
        <w:rPr>
          <w:sz w:val="20"/>
          <w:szCs w:val="20"/>
        </w:rPr>
        <w:t>Note: The table shows estimated coefficients. Standard errors in parentheses. * p&lt;0.1, ** p&lt;0.01, *** p&lt;0.001.</w:t>
      </w:r>
    </w:p>
    <w:p w14:paraId="4849E35A" w14:textId="77777777" w:rsidR="00784B64" w:rsidRPr="001E47AD" w:rsidRDefault="00784B64" w:rsidP="00784B64">
      <w:pPr>
        <w:contextualSpacing/>
        <w:rPr>
          <w:sz w:val="16"/>
          <w:szCs w:val="16"/>
        </w:rPr>
        <w:sectPr w:rsidR="00784B64" w:rsidRPr="001E47AD" w:rsidSect="009C01AC">
          <w:pgSz w:w="15840" w:h="12240" w:orient="landscape" w:code="1"/>
          <w:pgMar w:top="1440" w:right="1440" w:bottom="1440" w:left="1440" w:header="720" w:footer="720" w:gutter="0"/>
          <w:cols w:space="720"/>
          <w:docGrid w:linePitch="360"/>
        </w:sectPr>
      </w:pPr>
    </w:p>
    <w:p w14:paraId="55A3D2A1" w14:textId="66C25F7B" w:rsidR="00FB6196" w:rsidRPr="001E47AD" w:rsidRDefault="00DA4D9D" w:rsidP="006D2004">
      <w:pPr>
        <w:pStyle w:val="Caption"/>
        <w:jc w:val="left"/>
      </w:pPr>
      <w:r w:rsidRPr="001E47AD">
        <w:lastRenderedPageBreak/>
        <w:t xml:space="preserve">Table </w:t>
      </w:r>
      <w:r w:rsidR="003C12B6" w:rsidRPr="001E47AD">
        <w:t>A</w:t>
      </w:r>
      <w:r w:rsidR="00367007" w:rsidRPr="001E47AD">
        <w:t>3</w:t>
      </w:r>
      <w:r w:rsidR="008D28C1" w:rsidRPr="001E47AD">
        <w:t>: Robustness Check</w:t>
      </w:r>
      <w:r w:rsidR="001C23BD" w:rsidRPr="001E47AD">
        <w:t xml:space="preserve"> </w:t>
      </w:r>
      <w:r w:rsidR="00310856" w:rsidRPr="001E47AD">
        <w:t xml:space="preserve">I </w:t>
      </w:r>
      <w:r w:rsidRPr="001E47AD">
        <w:t>(Consumer Stockpiling Propensity)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2116"/>
        <w:gridCol w:w="2116"/>
        <w:gridCol w:w="2111"/>
      </w:tblGrid>
      <w:tr w:rsidR="00393153" w:rsidRPr="001E47AD" w14:paraId="02995556" w14:textId="77777777" w:rsidTr="00557F3E">
        <w:tc>
          <w:tcPr>
            <w:tcW w:w="1688" w:type="pct"/>
            <w:tcBorders>
              <w:top w:val="single" w:sz="4" w:space="0" w:color="auto"/>
              <w:bottom w:val="single" w:sz="4" w:space="0" w:color="auto"/>
            </w:tcBorders>
            <w:vAlign w:val="center"/>
          </w:tcPr>
          <w:p w14:paraId="08D449A7" w14:textId="77777777" w:rsidR="00AE69B1" w:rsidRPr="001E47AD" w:rsidRDefault="00AE69B1" w:rsidP="00537DAE">
            <w:pPr>
              <w:spacing w:line="288" w:lineRule="auto"/>
              <w:contextualSpacing/>
              <w:rPr>
                <w:rFonts w:ascii="Times New Roman" w:hAnsi="Times New Roman" w:cs="Times New Roman"/>
                <w:sz w:val="16"/>
                <w:szCs w:val="16"/>
              </w:rPr>
            </w:pPr>
            <w:r w:rsidRPr="001E47AD">
              <w:rPr>
                <w:rFonts w:ascii="Times New Roman" w:hAnsi="Times New Roman" w:cs="Times New Roman"/>
                <w:sz w:val="16"/>
                <w:szCs w:val="16"/>
              </w:rPr>
              <w:t>Dependent Variable</w:t>
            </w:r>
          </w:p>
          <w:p w14:paraId="531A3301" w14:textId="7F2E742B" w:rsidR="00AE69B1" w:rsidRPr="001E47AD" w:rsidRDefault="00AE69B1" w:rsidP="00537DAE">
            <w:pPr>
              <w:spacing w:line="288" w:lineRule="auto"/>
              <w:contextualSpacing/>
              <w:rPr>
                <w:rFonts w:ascii="Times New Roman" w:hAnsi="Times New Roman" w:cs="Times New Roman"/>
                <w:spacing w:val="-4"/>
                <w:sz w:val="16"/>
                <w:szCs w:val="16"/>
              </w:rPr>
            </w:pPr>
            <m:oMathPara>
              <m:oMathParaPr>
                <m:jc m:val="left"/>
              </m:oMathParaPr>
              <m:oMath>
                <m:r>
                  <m:rPr>
                    <m:sty m:val="p"/>
                  </m:rPr>
                  <w:rPr>
                    <w:rFonts w:ascii="Cambria Math" w:hAnsi="Cambria Math" w:cs="Times New Roman"/>
                    <w:spacing w:val="-4"/>
                    <w:sz w:val="16"/>
                    <w:szCs w:val="16"/>
                  </w:rPr>
                  <m:t>LN(STOCK_PROP_EARLY)×1000</m:t>
                </m:r>
              </m:oMath>
            </m:oMathPara>
          </w:p>
        </w:tc>
        <w:tc>
          <w:tcPr>
            <w:tcW w:w="1105" w:type="pct"/>
            <w:tcBorders>
              <w:top w:val="single" w:sz="4" w:space="0" w:color="auto"/>
              <w:bottom w:val="single" w:sz="4" w:space="0" w:color="auto"/>
            </w:tcBorders>
            <w:shd w:val="clear" w:color="auto" w:fill="auto"/>
            <w:vAlign w:val="center"/>
          </w:tcPr>
          <w:p w14:paraId="2F239511" w14:textId="77777777" w:rsidR="00AE69B1" w:rsidRPr="001E47AD" w:rsidRDefault="00AE69B1" w:rsidP="006D5616">
            <w:pPr>
              <w:spacing w:line="288" w:lineRule="auto"/>
              <w:contextualSpacing/>
              <w:jc w:val="center"/>
              <w:rPr>
                <w:rFonts w:ascii="Times New Roman" w:hAnsi="Times New Roman" w:cs="Times New Roman"/>
                <w:sz w:val="16"/>
                <w:szCs w:val="16"/>
              </w:rPr>
            </w:pPr>
            <w:r w:rsidRPr="001E47AD">
              <w:rPr>
                <w:rFonts w:ascii="Times New Roman" w:hAnsi="Times New Roman" w:cs="Times New Roman"/>
                <w:sz w:val="16"/>
                <w:szCs w:val="16"/>
              </w:rPr>
              <w:t>Model A1.1</w:t>
            </w:r>
          </w:p>
          <w:p w14:paraId="031A6FA4" w14:textId="77777777" w:rsidR="00AE69B1" w:rsidRPr="001E47AD" w:rsidRDefault="00AE69B1" w:rsidP="006D5616">
            <w:pPr>
              <w:spacing w:line="288" w:lineRule="auto"/>
              <w:contextualSpacing/>
              <w:jc w:val="center"/>
              <w:rPr>
                <w:rFonts w:ascii="Times New Roman" w:hAnsi="Times New Roman" w:cs="Times New Roman"/>
                <w:sz w:val="16"/>
                <w:szCs w:val="16"/>
              </w:rPr>
            </w:pPr>
            <w:r w:rsidRPr="001E47AD">
              <w:rPr>
                <w:rFonts w:ascii="Times New Roman" w:hAnsi="Times New Roman" w:cs="Times New Roman"/>
                <w:sz w:val="16"/>
                <w:szCs w:val="16"/>
              </w:rPr>
              <w:t>Quantile (.25)</w:t>
            </w:r>
          </w:p>
        </w:tc>
        <w:tc>
          <w:tcPr>
            <w:tcW w:w="1105" w:type="pct"/>
            <w:tcBorders>
              <w:top w:val="single" w:sz="4" w:space="0" w:color="auto"/>
              <w:bottom w:val="single" w:sz="4" w:space="0" w:color="auto"/>
            </w:tcBorders>
            <w:shd w:val="clear" w:color="auto" w:fill="auto"/>
            <w:vAlign w:val="center"/>
          </w:tcPr>
          <w:p w14:paraId="28399E7A" w14:textId="77777777" w:rsidR="00AE69B1" w:rsidRPr="001E47AD" w:rsidRDefault="00AE69B1" w:rsidP="00537DAE">
            <w:pPr>
              <w:spacing w:line="288" w:lineRule="auto"/>
              <w:contextualSpacing/>
              <w:jc w:val="center"/>
              <w:rPr>
                <w:rFonts w:ascii="Times New Roman" w:hAnsi="Times New Roman" w:cs="Times New Roman"/>
                <w:sz w:val="16"/>
                <w:szCs w:val="16"/>
              </w:rPr>
            </w:pPr>
            <w:r w:rsidRPr="001E47AD">
              <w:rPr>
                <w:rFonts w:ascii="Times New Roman" w:hAnsi="Times New Roman" w:cs="Times New Roman"/>
                <w:sz w:val="16"/>
                <w:szCs w:val="16"/>
              </w:rPr>
              <w:t>Model A1.2</w:t>
            </w:r>
          </w:p>
          <w:p w14:paraId="45817521" w14:textId="77777777" w:rsidR="00AE69B1" w:rsidRPr="001E47AD" w:rsidRDefault="00AE69B1" w:rsidP="00537DAE">
            <w:pPr>
              <w:spacing w:line="288" w:lineRule="auto"/>
              <w:contextualSpacing/>
              <w:jc w:val="center"/>
              <w:rPr>
                <w:rFonts w:ascii="Times New Roman" w:hAnsi="Times New Roman" w:cs="Times New Roman"/>
                <w:sz w:val="16"/>
                <w:szCs w:val="16"/>
              </w:rPr>
            </w:pPr>
            <w:r w:rsidRPr="001E47AD">
              <w:rPr>
                <w:rFonts w:ascii="Times New Roman" w:hAnsi="Times New Roman" w:cs="Times New Roman"/>
                <w:sz w:val="16"/>
                <w:szCs w:val="16"/>
              </w:rPr>
              <w:t>Quantile (.50)</w:t>
            </w:r>
          </w:p>
        </w:tc>
        <w:tc>
          <w:tcPr>
            <w:tcW w:w="1102" w:type="pct"/>
            <w:tcBorders>
              <w:top w:val="single" w:sz="4" w:space="0" w:color="auto"/>
              <w:bottom w:val="single" w:sz="4" w:space="0" w:color="auto"/>
            </w:tcBorders>
          </w:tcPr>
          <w:p w14:paraId="1277566C" w14:textId="77777777" w:rsidR="00AE69B1" w:rsidRPr="001E47AD" w:rsidRDefault="00AE69B1" w:rsidP="006D5616">
            <w:pPr>
              <w:spacing w:line="288" w:lineRule="auto"/>
              <w:contextualSpacing/>
              <w:jc w:val="center"/>
              <w:rPr>
                <w:rFonts w:ascii="Times New Roman" w:hAnsi="Times New Roman" w:cs="Times New Roman"/>
                <w:sz w:val="16"/>
                <w:szCs w:val="16"/>
              </w:rPr>
            </w:pPr>
            <w:r w:rsidRPr="001E47AD">
              <w:rPr>
                <w:rFonts w:ascii="Times New Roman" w:hAnsi="Times New Roman" w:cs="Times New Roman"/>
                <w:sz w:val="16"/>
                <w:szCs w:val="16"/>
              </w:rPr>
              <w:t>Model A1.3</w:t>
            </w:r>
          </w:p>
          <w:p w14:paraId="073B2223" w14:textId="77777777" w:rsidR="00AE69B1" w:rsidRPr="001E47AD" w:rsidRDefault="00AE69B1" w:rsidP="006D5616">
            <w:pPr>
              <w:spacing w:line="288" w:lineRule="auto"/>
              <w:contextualSpacing/>
              <w:jc w:val="center"/>
              <w:rPr>
                <w:rFonts w:ascii="Times New Roman" w:hAnsi="Times New Roman" w:cs="Times New Roman"/>
                <w:sz w:val="16"/>
                <w:szCs w:val="16"/>
              </w:rPr>
            </w:pPr>
            <w:r w:rsidRPr="001E47AD">
              <w:rPr>
                <w:rFonts w:ascii="Times New Roman" w:hAnsi="Times New Roman" w:cs="Times New Roman"/>
                <w:sz w:val="16"/>
                <w:szCs w:val="16"/>
              </w:rPr>
              <w:t>Quantile (.75)</w:t>
            </w:r>
          </w:p>
        </w:tc>
      </w:tr>
      <w:tr w:rsidR="00557F3E" w:rsidRPr="001E47AD" w14:paraId="308983C9" w14:textId="77777777" w:rsidTr="00557F3E">
        <w:tc>
          <w:tcPr>
            <w:tcW w:w="1688" w:type="pct"/>
            <w:tcBorders>
              <w:top w:val="single" w:sz="4" w:space="0" w:color="auto"/>
              <w:bottom w:val="nil"/>
              <w:right w:val="nil"/>
            </w:tcBorders>
            <w:shd w:val="clear" w:color="auto" w:fill="auto"/>
            <w:vAlign w:val="center"/>
          </w:tcPr>
          <w:p w14:paraId="282ABFE2" w14:textId="0C6455BD" w:rsidR="00557F3E" w:rsidRPr="001E47AD" w:rsidRDefault="00557F3E" w:rsidP="00537DAE">
            <w:pPr>
              <w:spacing w:line="288" w:lineRule="auto"/>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Independent Variables</w:t>
            </w:r>
          </w:p>
        </w:tc>
        <w:tc>
          <w:tcPr>
            <w:tcW w:w="1105" w:type="pct"/>
            <w:tcBorders>
              <w:top w:val="single" w:sz="4" w:space="0" w:color="auto"/>
              <w:left w:val="nil"/>
              <w:bottom w:val="nil"/>
              <w:right w:val="nil"/>
            </w:tcBorders>
            <w:shd w:val="clear" w:color="auto" w:fill="auto"/>
          </w:tcPr>
          <w:p w14:paraId="0B100CB5" w14:textId="77777777" w:rsidR="00557F3E" w:rsidRPr="001E47AD" w:rsidRDefault="00557F3E" w:rsidP="00537DAE">
            <w:pPr>
              <w:spacing w:line="288" w:lineRule="auto"/>
              <w:contextualSpacing/>
              <w:jc w:val="right"/>
              <w:rPr>
                <w:rFonts w:ascii="Times New Roman" w:hAnsi="Times New Roman" w:cs="Times New Roman"/>
                <w:spacing w:val="-5"/>
                <w:sz w:val="16"/>
                <w:szCs w:val="16"/>
              </w:rPr>
            </w:pPr>
          </w:p>
        </w:tc>
        <w:tc>
          <w:tcPr>
            <w:tcW w:w="1105" w:type="pct"/>
            <w:tcBorders>
              <w:top w:val="single" w:sz="4" w:space="0" w:color="auto"/>
              <w:left w:val="nil"/>
              <w:bottom w:val="nil"/>
              <w:right w:val="nil"/>
            </w:tcBorders>
            <w:shd w:val="clear" w:color="auto" w:fill="auto"/>
            <w:vAlign w:val="center"/>
          </w:tcPr>
          <w:p w14:paraId="01C439CC" w14:textId="77777777" w:rsidR="00557F3E" w:rsidRPr="001E47AD" w:rsidRDefault="00557F3E" w:rsidP="00537DAE">
            <w:pPr>
              <w:spacing w:line="288" w:lineRule="auto"/>
              <w:contextualSpacing/>
              <w:jc w:val="right"/>
              <w:rPr>
                <w:rFonts w:ascii="Times New Roman" w:hAnsi="Times New Roman" w:cs="Times New Roman"/>
                <w:spacing w:val="-5"/>
                <w:sz w:val="16"/>
                <w:szCs w:val="16"/>
              </w:rPr>
            </w:pPr>
          </w:p>
        </w:tc>
        <w:tc>
          <w:tcPr>
            <w:tcW w:w="1102" w:type="pct"/>
            <w:tcBorders>
              <w:top w:val="single" w:sz="4" w:space="0" w:color="auto"/>
              <w:left w:val="nil"/>
              <w:bottom w:val="nil"/>
            </w:tcBorders>
          </w:tcPr>
          <w:p w14:paraId="5FEA09DE" w14:textId="77777777" w:rsidR="00557F3E" w:rsidRPr="001E47AD" w:rsidRDefault="00557F3E" w:rsidP="00537DAE">
            <w:pPr>
              <w:spacing w:line="288" w:lineRule="auto"/>
              <w:contextualSpacing/>
              <w:jc w:val="right"/>
              <w:rPr>
                <w:rFonts w:ascii="Times New Roman" w:hAnsi="Times New Roman" w:cs="Times New Roman"/>
                <w:spacing w:val="-5"/>
                <w:sz w:val="16"/>
                <w:szCs w:val="16"/>
              </w:rPr>
            </w:pPr>
          </w:p>
        </w:tc>
      </w:tr>
      <w:tr w:rsidR="00393153" w:rsidRPr="001E47AD" w14:paraId="52B65963" w14:textId="77777777" w:rsidTr="00557F3E">
        <w:tc>
          <w:tcPr>
            <w:tcW w:w="1688" w:type="pct"/>
            <w:tcBorders>
              <w:top w:val="nil"/>
              <w:bottom w:val="nil"/>
              <w:right w:val="nil"/>
            </w:tcBorders>
            <w:shd w:val="clear" w:color="auto" w:fill="auto"/>
            <w:vAlign w:val="center"/>
          </w:tcPr>
          <w:p w14:paraId="4F6B75B2"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Supply-Side Characteristics</w:t>
            </w:r>
          </w:p>
        </w:tc>
        <w:tc>
          <w:tcPr>
            <w:tcW w:w="1105" w:type="pct"/>
            <w:tcBorders>
              <w:top w:val="nil"/>
              <w:left w:val="nil"/>
              <w:bottom w:val="nil"/>
              <w:right w:val="nil"/>
            </w:tcBorders>
            <w:shd w:val="clear" w:color="auto" w:fill="auto"/>
          </w:tcPr>
          <w:p w14:paraId="688F030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vAlign w:val="center"/>
          </w:tcPr>
          <w:p w14:paraId="5173504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4FDC550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6732D813" w14:textId="77777777" w:rsidTr="00AE69B1">
        <w:tc>
          <w:tcPr>
            <w:tcW w:w="1688" w:type="pct"/>
            <w:tcBorders>
              <w:top w:val="nil"/>
              <w:bottom w:val="nil"/>
              <w:right w:val="nil"/>
            </w:tcBorders>
            <w:shd w:val="clear" w:color="auto" w:fill="auto"/>
            <w:vAlign w:val="center"/>
          </w:tcPr>
          <w:p w14:paraId="38900A20"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INTRA_NTW_COUNTY</m:t>
                </m:r>
              </m:oMath>
            </m:oMathPara>
          </w:p>
        </w:tc>
        <w:tc>
          <w:tcPr>
            <w:tcW w:w="1105" w:type="pct"/>
            <w:tcBorders>
              <w:top w:val="nil"/>
              <w:left w:val="nil"/>
              <w:bottom w:val="nil"/>
              <w:right w:val="nil"/>
            </w:tcBorders>
            <w:shd w:val="clear" w:color="auto" w:fill="auto"/>
            <w:vAlign w:val="bottom"/>
          </w:tcPr>
          <w:p w14:paraId="08E13B54" w14:textId="77777777" w:rsidR="00AE69B1" w:rsidRPr="001E47AD" w:rsidRDefault="00AE69B1" w:rsidP="005378DB">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-74.411*(31.180)</w:t>
            </w:r>
          </w:p>
        </w:tc>
        <w:tc>
          <w:tcPr>
            <w:tcW w:w="1105" w:type="pct"/>
            <w:tcBorders>
              <w:top w:val="nil"/>
              <w:left w:val="nil"/>
              <w:bottom w:val="nil"/>
              <w:right w:val="nil"/>
            </w:tcBorders>
            <w:shd w:val="clear" w:color="auto" w:fill="auto"/>
            <w:vAlign w:val="bottom"/>
          </w:tcPr>
          <w:p w14:paraId="43ADC6D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-173.577*** (27.774)</w:t>
            </w:r>
          </w:p>
        </w:tc>
        <w:tc>
          <w:tcPr>
            <w:tcW w:w="1102" w:type="pct"/>
            <w:tcBorders>
              <w:top w:val="nil"/>
              <w:left w:val="nil"/>
              <w:bottom w:val="nil"/>
            </w:tcBorders>
            <w:vAlign w:val="bottom"/>
          </w:tcPr>
          <w:p w14:paraId="7CB2820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-252.011*** (38.668)</w:t>
            </w:r>
          </w:p>
        </w:tc>
      </w:tr>
      <w:tr w:rsidR="00393153" w:rsidRPr="001E47AD" w14:paraId="7BDF41A0" w14:textId="77777777" w:rsidTr="00AE69B1">
        <w:tc>
          <w:tcPr>
            <w:tcW w:w="1688" w:type="pct"/>
            <w:tcBorders>
              <w:top w:val="nil"/>
              <w:bottom w:val="nil"/>
              <w:right w:val="nil"/>
            </w:tcBorders>
            <w:shd w:val="clear" w:color="auto" w:fill="auto"/>
            <w:vAlign w:val="center"/>
          </w:tcPr>
          <w:p w14:paraId="24983E3A" w14:textId="77777777"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(INTRA_NTW_COUNTY)</m:t>
                    </m:r>
                  </m:e>
                  <m:sup>
                    <m:r>
                      <m:rPr>
                        <m:sty m:val="p"/>
                      </m:rPr>
                      <w:rPr>
                        <w:rFonts w:ascii="Cambria Math" w:hAnsi="Cambria Math" w:cs="Times New Roman"/>
                        <w:sz w:val="16"/>
                        <w:szCs w:val="16"/>
                      </w:rPr>
                      <m:t>2</m:t>
                    </m:r>
                  </m:sup>
                </m:sSup>
              </m:oMath>
            </m:oMathPara>
          </w:p>
        </w:tc>
        <w:tc>
          <w:tcPr>
            <w:tcW w:w="1105" w:type="pct"/>
            <w:tcBorders>
              <w:top w:val="nil"/>
              <w:left w:val="nil"/>
              <w:bottom w:val="nil"/>
              <w:right w:val="nil"/>
            </w:tcBorders>
            <w:shd w:val="clear" w:color="auto" w:fill="auto"/>
            <w:vAlign w:val="bottom"/>
          </w:tcPr>
          <w:p w14:paraId="7F97EB11"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13.495 (10.748)</w:t>
            </w:r>
          </w:p>
        </w:tc>
        <w:tc>
          <w:tcPr>
            <w:tcW w:w="1105" w:type="pct"/>
            <w:tcBorders>
              <w:top w:val="nil"/>
              <w:left w:val="nil"/>
              <w:bottom w:val="nil"/>
              <w:right w:val="nil"/>
            </w:tcBorders>
            <w:shd w:val="clear" w:color="auto" w:fill="auto"/>
            <w:vAlign w:val="bottom"/>
          </w:tcPr>
          <w:p w14:paraId="0221EDA1"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29.326** (11.285)</w:t>
            </w:r>
          </w:p>
        </w:tc>
        <w:tc>
          <w:tcPr>
            <w:tcW w:w="1102" w:type="pct"/>
            <w:tcBorders>
              <w:top w:val="nil"/>
              <w:left w:val="nil"/>
              <w:bottom w:val="nil"/>
            </w:tcBorders>
            <w:vAlign w:val="bottom"/>
          </w:tcPr>
          <w:p w14:paraId="6AA5F61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28.792* (14.782)</w:t>
            </w:r>
          </w:p>
        </w:tc>
      </w:tr>
      <w:tr w:rsidR="00393153" w:rsidRPr="001E47AD" w14:paraId="784155E5" w14:textId="77777777" w:rsidTr="00AE69B1">
        <w:tc>
          <w:tcPr>
            <w:tcW w:w="1688" w:type="pct"/>
            <w:tcBorders>
              <w:top w:val="nil"/>
              <w:bottom w:val="nil"/>
              <w:right w:val="nil"/>
            </w:tcBorders>
            <w:shd w:val="clear" w:color="auto" w:fill="auto"/>
            <w:vAlign w:val="center"/>
          </w:tcPr>
          <w:p w14:paraId="3EE58379"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INTER_NTW_COUNTRY</m:t>
                </m:r>
              </m:oMath>
            </m:oMathPara>
          </w:p>
        </w:tc>
        <w:tc>
          <w:tcPr>
            <w:tcW w:w="1105" w:type="pct"/>
            <w:tcBorders>
              <w:top w:val="nil"/>
              <w:left w:val="nil"/>
              <w:bottom w:val="nil"/>
              <w:right w:val="nil"/>
            </w:tcBorders>
            <w:shd w:val="clear" w:color="auto" w:fill="auto"/>
            <w:vAlign w:val="bottom"/>
          </w:tcPr>
          <w:p w14:paraId="05F1859D"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22.612*** (2.649)</w:t>
            </w:r>
          </w:p>
        </w:tc>
        <w:tc>
          <w:tcPr>
            <w:tcW w:w="1105" w:type="pct"/>
            <w:tcBorders>
              <w:top w:val="nil"/>
              <w:left w:val="nil"/>
              <w:bottom w:val="nil"/>
              <w:right w:val="nil"/>
            </w:tcBorders>
            <w:shd w:val="clear" w:color="auto" w:fill="auto"/>
            <w:vAlign w:val="bottom"/>
          </w:tcPr>
          <w:p w14:paraId="1D9F848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23.743*** (2.059)</w:t>
            </w:r>
          </w:p>
        </w:tc>
        <w:tc>
          <w:tcPr>
            <w:tcW w:w="1102" w:type="pct"/>
            <w:tcBorders>
              <w:top w:val="nil"/>
              <w:left w:val="nil"/>
              <w:bottom w:val="nil"/>
            </w:tcBorders>
            <w:vAlign w:val="bottom"/>
          </w:tcPr>
          <w:p w14:paraId="0BAC9E4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27.843*** (1.770)</w:t>
            </w:r>
          </w:p>
        </w:tc>
      </w:tr>
      <w:tr w:rsidR="00393153" w:rsidRPr="001E47AD" w14:paraId="6D74F465" w14:textId="77777777" w:rsidTr="00AE69B1">
        <w:tc>
          <w:tcPr>
            <w:tcW w:w="1688" w:type="pct"/>
            <w:tcBorders>
              <w:top w:val="nil"/>
              <w:bottom w:val="nil"/>
              <w:right w:val="nil"/>
            </w:tcBorders>
            <w:shd w:val="clear" w:color="auto" w:fill="auto"/>
            <w:vAlign w:val="center"/>
          </w:tcPr>
          <w:p w14:paraId="7D892A4C" w14:textId="77777777"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(INTER_NTW_COUNTRY)</m:t>
                    </m:r>
                  </m:e>
                  <m:sup>
                    <m:r>
                      <m:rPr>
                        <m:sty m:val="p"/>
                      </m:rPr>
                      <w:rPr>
                        <w:rFonts w:ascii="Cambria Math" w:hAnsi="Cambria Math" w:cs="Times New Roman"/>
                        <w:sz w:val="16"/>
                        <w:szCs w:val="16"/>
                      </w:rPr>
                      <m:t>2</m:t>
                    </m:r>
                  </m:sup>
                </m:sSup>
              </m:oMath>
            </m:oMathPara>
          </w:p>
        </w:tc>
        <w:tc>
          <w:tcPr>
            <w:tcW w:w="1105" w:type="pct"/>
            <w:tcBorders>
              <w:top w:val="nil"/>
              <w:left w:val="nil"/>
              <w:bottom w:val="nil"/>
              <w:right w:val="nil"/>
            </w:tcBorders>
            <w:shd w:val="clear" w:color="auto" w:fill="auto"/>
            <w:vAlign w:val="bottom"/>
          </w:tcPr>
          <w:p w14:paraId="1228AC69"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-0.162*** (0.019)</w:t>
            </w:r>
          </w:p>
        </w:tc>
        <w:tc>
          <w:tcPr>
            <w:tcW w:w="1105" w:type="pct"/>
            <w:tcBorders>
              <w:top w:val="nil"/>
              <w:left w:val="nil"/>
              <w:bottom w:val="nil"/>
              <w:right w:val="nil"/>
            </w:tcBorders>
            <w:shd w:val="clear" w:color="auto" w:fill="auto"/>
            <w:vAlign w:val="bottom"/>
          </w:tcPr>
          <w:p w14:paraId="3D6AE2EE"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-0.197*** (0.016)</w:t>
            </w:r>
          </w:p>
        </w:tc>
        <w:tc>
          <w:tcPr>
            <w:tcW w:w="1102" w:type="pct"/>
            <w:tcBorders>
              <w:top w:val="nil"/>
              <w:left w:val="nil"/>
              <w:bottom w:val="nil"/>
            </w:tcBorders>
            <w:vAlign w:val="bottom"/>
          </w:tcPr>
          <w:p w14:paraId="4890936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-0.244*** (0.013)</w:t>
            </w:r>
          </w:p>
        </w:tc>
      </w:tr>
      <w:tr w:rsidR="00393153" w:rsidRPr="001E47AD" w14:paraId="25D6F730" w14:textId="77777777" w:rsidTr="00AE69B1">
        <w:tc>
          <w:tcPr>
            <w:tcW w:w="1688" w:type="pct"/>
            <w:tcBorders>
              <w:top w:val="nil"/>
              <w:bottom w:val="nil"/>
              <w:right w:val="nil"/>
            </w:tcBorders>
            <w:shd w:val="clear" w:color="auto" w:fill="auto"/>
            <w:vAlign w:val="center"/>
          </w:tcPr>
          <w:p w14:paraId="3AD0B62F" w14:textId="57FFDF63" w:rsidR="00AE69B1" w:rsidRPr="001E47AD" w:rsidRDefault="00237223"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PROD_VAR_UPC</m:t>
                </m:r>
              </m:oMath>
            </m:oMathPara>
          </w:p>
        </w:tc>
        <w:tc>
          <w:tcPr>
            <w:tcW w:w="1105" w:type="pct"/>
            <w:tcBorders>
              <w:top w:val="nil"/>
              <w:left w:val="nil"/>
              <w:bottom w:val="nil"/>
              <w:right w:val="nil"/>
            </w:tcBorders>
            <w:shd w:val="clear" w:color="auto" w:fill="auto"/>
            <w:vAlign w:val="bottom"/>
          </w:tcPr>
          <w:p w14:paraId="73EA0DB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1.117*** (0.295)</w:t>
            </w:r>
          </w:p>
        </w:tc>
        <w:tc>
          <w:tcPr>
            <w:tcW w:w="1105" w:type="pct"/>
            <w:tcBorders>
              <w:top w:val="nil"/>
              <w:left w:val="nil"/>
              <w:bottom w:val="nil"/>
              <w:right w:val="nil"/>
            </w:tcBorders>
            <w:shd w:val="clear" w:color="auto" w:fill="auto"/>
            <w:vAlign w:val="bottom"/>
          </w:tcPr>
          <w:p w14:paraId="751C8A0E"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0.230 (0.314)</w:t>
            </w:r>
          </w:p>
        </w:tc>
        <w:tc>
          <w:tcPr>
            <w:tcW w:w="1102" w:type="pct"/>
            <w:tcBorders>
              <w:top w:val="nil"/>
              <w:left w:val="nil"/>
              <w:bottom w:val="nil"/>
            </w:tcBorders>
            <w:vAlign w:val="bottom"/>
          </w:tcPr>
          <w:p w14:paraId="62E92901"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-0.520 (0.390)</w:t>
            </w:r>
          </w:p>
        </w:tc>
      </w:tr>
      <w:tr w:rsidR="00393153" w:rsidRPr="001E47AD" w14:paraId="12D70FB2" w14:textId="77777777" w:rsidTr="00AE69B1">
        <w:tc>
          <w:tcPr>
            <w:tcW w:w="1688" w:type="pct"/>
            <w:tcBorders>
              <w:top w:val="nil"/>
              <w:bottom w:val="nil"/>
              <w:right w:val="nil"/>
            </w:tcBorders>
            <w:shd w:val="clear" w:color="auto" w:fill="auto"/>
            <w:vAlign w:val="center"/>
          </w:tcPr>
          <w:p w14:paraId="42D5AE86" w14:textId="15E96502"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(PROD_VAR_UPC)</m:t>
                    </m:r>
                  </m:e>
                  <m:sup>
                    <m:r>
                      <m:rPr>
                        <m:sty m:val="p"/>
                      </m:rPr>
                      <w:rPr>
                        <w:rFonts w:ascii="Cambria Math" w:hAnsi="Cambria Math" w:cs="Times New Roman"/>
                        <w:sz w:val="16"/>
                        <w:szCs w:val="16"/>
                      </w:rPr>
                      <m:t>2</m:t>
                    </m:r>
                  </m:sup>
                </m:sSup>
              </m:oMath>
            </m:oMathPara>
          </w:p>
        </w:tc>
        <w:tc>
          <w:tcPr>
            <w:tcW w:w="1105" w:type="pct"/>
            <w:tcBorders>
              <w:top w:val="nil"/>
              <w:left w:val="nil"/>
              <w:bottom w:val="nil"/>
              <w:right w:val="nil"/>
            </w:tcBorders>
            <w:shd w:val="clear" w:color="auto" w:fill="auto"/>
            <w:vAlign w:val="bottom"/>
          </w:tcPr>
          <w:p w14:paraId="1A952C7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-0.004*** (0.001)</w:t>
            </w:r>
          </w:p>
        </w:tc>
        <w:tc>
          <w:tcPr>
            <w:tcW w:w="1105" w:type="pct"/>
            <w:tcBorders>
              <w:top w:val="nil"/>
              <w:left w:val="nil"/>
              <w:bottom w:val="nil"/>
              <w:right w:val="nil"/>
            </w:tcBorders>
            <w:shd w:val="clear" w:color="auto" w:fill="auto"/>
            <w:vAlign w:val="bottom"/>
          </w:tcPr>
          <w:p w14:paraId="67D7864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-0.001* (0.001)</w:t>
            </w:r>
          </w:p>
        </w:tc>
        <w:tc>
          <w:tcPr>
            <w:tcW w:w="1102" w:type="pct"/>
            <w:tcBorders>
              <w:top w:val="nil"/>
              <w:left w:val="nil"/>
              <w:bottom w:val="nil"/>
            </w:tcBorders>
            <w:vAlign w:val="bottom"/>
          </w:tcPr>
          <w:p w14:paraId="524742B6"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0.001 (0.001)</w:t>
            </w:r>
          </w:p>
        </w:tc>
      </w:tr>
      <w:tr w:rsidR="00393153" w:rsidRPr="001E47AD" w14:paraId="605B1AA3" w14:textId="77777777" w:rsidTr="00AE69B1">
        <w:tc>
          <w:tcPr>
            <w:tcW w:w="1688" w:type="pct"/>
            <w:tcBorders>
              <w:top w:val="nil"/>
              <w:bottom w:val="nil"/>
              <w:right w:val="nil"/>
            </w:tcBorders>
            <w:shd w:val="clear" w:color="auto" w:fill="auto"/>
            <w:vAlign w:val="center"/>
          </w:tcPr>
          <w:p w14:paraId="5F81CF64"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Demand-Side Characteristics</w:t>
            </w:r>
          </w:p>
        </w:tc>
        <w:tc>
          <w:tcPr>
            <w:tcW w:w="1105" w:type="pct"/>
            <w:tcBorders>
              <w:top w:val="nil"/>
              <w:left w:val="nil"/>
              <w:bottom w:val="nil"/>
              <w:right w:val="nil"/>
            </w:tcBorders>
            <w:shd w:val="clear" w:color="auto" w:fill="auto"/>
          </w:tcPr>
          <w:p w14:paraId="11FE2438"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tcPr>
          <w:p w14:paraId="5DC0399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326ED12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567DDD8F" w14:textId="77777777" w:rsidTr="00AE69B1">
        <w:tc>
          <w:tcPr>
            <w:tcW w:w="1688" w:type="pct"/>
            <w:tcBorders>
              <w:top w:val="nil"/>
              <w:bottom w:val="nil"/>
              <w:right w:val="nil"/>
            </w:tcBorders>
            <w:shd w:val="clear" w:color="auto" w:fill="auto"/>
            <w:vAlign w:val="center"/>
          </w:tcPr>
          <w:p w14:paraId="2219CC03"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HUR_EXP_STATE</m:t>
                </m:r>
              </m:oMath>
            </m:oMathPara>
          </w:p>
        </w:tc>
        <w:tc>
          <w:tcPr>
            <w:tcW w:w="1105" w:type="pct"/>
            <w:tcBorders>
              <w:top w:val="nil"/>
              <w:left w:val="nil"/>
              <w:bottom w:val="nil"/>
              <w:right w:val="nil"/>
            </w:tcBorders>
            <w:shd w:val="clear" w:color="auto" w:fill="auto"/>
            <w:vAlign w:val="bottom"/>
          </w:tcPr>
          <w:p w14:paraId="52B45F0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-9.112** (2.822)</w:t>
            </w:r>
          </w:p>
        </w:tc>
        <w:tc>
          <w:tcPr>
            <w:tcW w:w="1105" w:type="pct"/>
            <w:tcBorders>
              <w:top w:val="nil"/>
              <w:left w:val="nil"/>
              <w:bottom w:val="nil"/>
              <w:right w:val="nil"/>
            </w:tcBorders>
            <w:shd w:val="clear" w:color="auto" w:fill="auto"/>
            <w:vAlign w:val="bottom"/>
          </w:tcPr>
          <w:p w14:paraId="6CAED53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-18.885*** (3.735)</w:t>
            </w:r>
          </w:p>
        </w:tc>
        <w:tc>
          <w:tcPr>
            <w:tcW w:w="1102" w:type="pct"/>
            <w:tcBorders>
              <w:top w:val="nil"/>
              <w:left w:val="nil"/>
              <w:bottom w:val="nil"/>
            </w:tcBorders>
            <w:vAlign w:val="bottom"/>
          </w:tcPr>
          <w:p w14:paraId="0A360C2D"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-22.389*** (4.178)</w:t>
            </w:r>
          </w:p>
        </w:tc>
      </w:tr>
      <w:tr w:rsidR="00393153" w:rsidRPr="001E47AD" w14:paraId="2F4757B3" w14:textId="77777777" w:rsidTr="00AE69B1">
        <w:tc>
          <w:tcPr>
            <w:tcW w:w="1688" w:type="pct"/>
            <w:tcBorders>
              <w:top w:val="nil"/>
              <w:bottom w:val="nil"/>
              <w:right w:val="nil"/>
            </w:tcBorders>
            <w:shd w:val="clear" w:color="auto" w:fill="auto"/>
            <w:vAlign w:val="center"/>
          </w:tcPr>
          <w:p w14:paraId="35A98E2B" w14:textId="77777777"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(HUR_EXP_STATE)</m:t>
                    </m:r>
                  </m:e>
                  <m:sup>
                    <m:r>
                      <m:rPr>
                        <m:sty m:val="p"/>
                      </m:rPr>
                      <w:rPr>
                        <w:rFonts w:ascii="Cambria Math" w:hAnsi="Cambria Math" w:cs="Times New Roman"/>
                        <w:sz w:val="16"/>
                        <w:szCs w:val="16"/>
                      </w:rPr>
                      <m:t>2</m:t>
                    </m:r>
                  </m:sup>
                </m:sSup>
              </m:oMath>
            </m:oMathPara>
          </w:p>
        </w:tc>
        <w:tc>
          <w:tcPr>
            <w:tcW w:w="1105" w:type="pct"/>
            <w:tcBorders>
              <w:top w:val="nil"/>
              <w:left w:val="nil"/>
              <w:bottom w:val="nil"/>
              <w:right w:val="nil"/>
            </w:tcBorders>
            <w:shd w:val="clear" w:color="auto" w:fill="auto"/>
            <w:vAlign w:val="bottom"/>
          </w:tcPr>
          <w:p w14:paraId="44BFCB95"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1.177*** (0.194)</w:t>
            </w:r>
          </w:p>
        </w:tc>
        <w:tc>
          <w:tcPr>
            <w:tcW w:w="1105" w:type="pct"/>
            <w:tcBorders>
              <w:top w:val="nil"/>
              <w:left w:val="nil"/>
              <w:bottom w:val="nil"/>
              <w:right w:val="nil"/>
            </w:tcBorders>
            <w:shd w:val="clear" w:color="auto" w:fill="auto"/>
            <w:vAlign w:val="bottom"/>
          </w:tcPr>
          <w:p w14:paraId="0CF1E34E"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1.990*** (0.307)</w:t>
            </w:r>
          </w:p>
        </w:tc>
        <w:tc>
          <w:tcPr>
            <w:tcW w:w="1102" w:type="pct"/>
            <w:tcBorders>
              <w:top w:val="nil"/>
              <w:left w:val="nil"/>
              <w:bottom w:val="nil"/>
            </w:tcBorders>
            <w:vAlign w:val="bottom"/>
          </w:tcPr>
          <w:p w14:paraId="36A9E87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2.457*** (0.340)</w:t>
            </w:r>
          </w:p>
        </w:tc>
      </w:tr>
      <w:tr w:rsidR="00393153" w:rsidRPr="001E47AD" w14:paraId="730302AB" w14:textId="77777777" w:rsidTr="00AE69B1">
        <w:tc>
          <w:tcPr>
            <w:tcW w:w="1688" w:type="pct"/>
            <w:tcBorders>
              <w:top w:val="nil"/>
              <w:bottom w:val="nil"/>
              <w:right w:val="nil"/>
            </w:tcBorders>
            <w:shd w:val="clear" w:color="auto" w:fill="auto"/>
            <w:vAlign w:val="center"/>
          </w:tcPr>
          <w:p w14:paraId="5EFC3249"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PER_CAPITA_INC</m:t>
                </m:r>
              </m:oMath>
            </m:oMathPara>
          </w:p>
        </w:tc>
        <w:tc>
          <w:tcPr>
            <w:tcW w:w="1105" w:type="pct"/>
            <w:tcBorders>
              <w:top w:val="nil"/>
              <w:left w:val="nil"/>
              <w:bottom w:val="nil"/>
              <w:right w:val="nil"/>
            </w:tcBorders>
            <w:shd w:val="clear" w:color="auto" w:fill="auto"/>
            <w:vAlign w:val="bottom"/>
          </w:tcPr>
          <w:p w14:paraId="0C22069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81.767*** (5.569)</w:t>
            </w:r>
          </w:p>
        </w:tc>
        <w:tc>
          <w:tcPr>
            <w:tcW w:w="1105" w:type="pct"/>
            <w:tcBorders>
              <w:top w:val="nil"/>
              <w:left w:val="nil"/>
              <w:bottom w:val="nil"/>
              <w:right w:val="nil"/>
            </w:tcBorders>
            <w:shd w:val="clear" w:color="auto" w:fill="auto"/>
            <w:vAlign w:val="bottom"/>
          </w:tcPr>
          <w:p w14:paraId="1062BFA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72.465*** (7.366)</w:t>
            </w:r>
          </w:p>
        </w:tc>
        <w:tc>
          <w:tcPr>
            <w:tcW w:w="1102" w:type="pct"/>
            <w:tcBorders>
              <w:top w:val="nil"/>
              <w:left w:val="nil"/>
              <w:bottom w:val="nil"/>
            </w:tcBorders>
            <w:vAlign w:val="bottom"/>
          </w:tcPr>
          <w:p w14:paraId="375FD88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74.559*** (6.593)</w:t>
            </w:r>
          </w:p>
        </w:tc>
      </w:tr>
      <w:tr w:rsidR="00393153" w:rsidRPr="001E47AD" w14:paraId="7455D38F" w14:textId="77777777" w:rsidTr="00AE69B1">
        <w:tc>
          <w:tcPr>
            <w:tcW w:w="1688" w:type="pct"/>
            <w:tcBorders>
              <w:top w:val="nil"/>
              <w:bottom w:val="nil"/>
              <w:right w:val="nil"/>
            </w:tcBorders>
            <w:shd w:val="clear" w:color="auto" w:fill="auto"/>
            <w:vAlign w:val="center"/>
          </w:tcPr>
          <w:p w14:paraId="558A4079" w14:textId="77777777"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(PER_CAPITA_INC)</m:t>
                    </m:r>
                  </m:e>
                  <m:sup>
                    <m:r>
                      <m:rPr>
                        <m:sty m:val="p"/>
                      </m:rPr>
                      <w:rPr>
                        <w:rFonts w:ascii="Cambria Math" w:hAnsi="Cambria Math" w:cs="Times New Roman"/>
                        <w:sz w:val="16"/>
                        <w:szCs w:val="16"/>
                      </w:rPr>
                      <m:t>2</m:t>
                    </m:r>
                  </m:sup>
                </m:sSup>
              </m:oMath>
            </m:oMathPara>
          </w:p>
        </w:tc>
        <w:tc>
          <w:tcPr>
            <w:tcW w:w="1105" w:type="pct"/>
            <w:tcBorders>
              <w:top w:val="nil"/>
              <w:left w:val="nil"/>
              <w:bottom w:val="nil"/>
              <w:right w:val="nil"/>
            </w:tcBorders>
            <w:shd w:val="clear" w:color="auto" w:fill="auto"/>
            <w:vAlign w:val="bottom"/>
          </w:tcPr>
          <w:p w14:paraId="33D84098"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-4.737*** (0.386)</w:t>
            </w:r>
          </w:p>
        </w:tc>
        <w:tc>
          <w:tcPr>
            <w:tcW w:w="1105" w:type="pct"/>
            <w:tcBorders>
              <w:top w:val="nil"/>
              <w:left w:val="nil"/>
              <w:bottom w:val="nil"/>
              <w:right w:val="nil"/>
            </w:tcBorders>
            <w:shd w:val="clear" w:color="auto" w:fill="auto"/>
            <w:vAlign w:val="bottom"/>
          </w:tcPr>
          <w:p w14:paraId="0A32CA8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-4.269*** (0.502)</w:t>
            </w:r>
          </w:p>
        </w:tc>
        <w:tc>
          <w:tcPr>
            <w:tcW w:w="1102" w:type="pct"/>
            <w:tcBorders>
              <w:top w:val="nil"/>
              <w:left w:val="nil"/>
              <w:bottom w:val="nil"/>
            </w:tcBorders>
            <w:vAlign w:val="bottom"/>
          </w:tcPr>
          <w:p w14:paraId="598F950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-4.454*** (0.467)</w:t>
            </w:r>
          </w:p>
        </w:tc>
      </w:tr>
      <w:tr w:rsidR="00393153" w:rsidRPr="001E47AD" w14:paraId="13EE42FD" w14:textId="77777777" w:rsidTr="00AE69B1">
        <w:tc>
          <w:tcPr>
            <w:tcW w:w="1688" w:type="pct"/>
            <w:tcBorders>
              <w:top w:val="nil"/>
              <w:bottom w:val="nil"/>
              <w:right w:val="nil"/>
            </w:tcBorders>
            <w:shd w:val="clear" w:color="auto" w:fill="auto"/>
            <w:vAlign w:val="center"/>
          </w:tcPr>
          <w:p w14:paraId="1BA20BDD"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Disaster Characteristics</w:t>
            </w:r>
          </w:p>
        </w:tc>
        <w:tc>
          <w:tcPr>
            <w:tcW w:w="1105" w:type="pct"/>
            <w:tcBorders>
              <w:top w:val="nil"/>
              <w:left w:val="nil"/>
              <w:bottom w:val="nil"/>
              <w:right w:val="nil"/>
            </w:tcBorders>
            <w:shd w:val="clear" w:color="auto" w:fill="auto"/>
            <w:vAlign w:val="bottom"/>
          </w:tcPr>
          <w:p w14:paraId="32ADDAF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tcPr>
          <w:p w14:paraId="52B588E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1952AE1D"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17A4AB92" w14:textId="77777777" w:rsidTr="00AE69B1">
        <w:tc>
          <w:tcPr>
            <w:tcW w:w="1688" w:type="pct"/>
            <w:tcBorders>
              <w:top w:val="nil"/>
              <w:bottom w:val="nil"/>
              <w:right w:val="nil"/>
            </w:tcBorders>
            <w:shd w:val="clear" w:color="auto" w:fill="auto"/>
            <w:vAlign w:val="center"/>
          </w:tcPr>
          <w:p w14:paraId="368C9D15"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oMath>
            </m:oMathPara>
          </w:p>
        </w:tc>
        <w:tc>
          <w:tcPr>
            <w:tcW w:w="1105" w:type="pct"/>
            <w:tcBorders>
              <w:top w:val="nil"/>
              <w:left w:val="nil"/>
              <w:bottom w:val="nil"/>
              <w:right w:val="nil"/>
            </w:tcBorders>
            <w:shd w:val="clear" w:color="auto" w:fill="auto"/>
            <w:vAlign w:val="bottom"/>
          </w:tcPr>
          <w:p w14:paraId="4B72F8C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-169.212*** (4.449)</w:t>
            </w:r>
          </w:p>
        </w:tc>
        <w:tc>
          <w:tcPr>
            <w:tcW w:w="1105" w:type="pct"/>
            <w:tcBorders>
              <w:top w:val="nil"/>
              <w:left w:val="nil"/>
              <w:bottom w:val="nil"/>
              <w:right w:val="nil"/>
            </w:tcBorders>
            <w:shd w:val="clear" w:color="auto" w:fill="auto"/>
            <w:vAlign w:val="bottom"/>
          </w:tcPr>
          <w:p w14:paraId="14BFF04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-162.340*** (5.946)</w:t>
            </w:r>
          </w:p>
        </w:tc>
        <w:tc>
          <w:tcPr>
            <w:tcW w:w="1102" w:type="pct"/>
            <w:tcBorders>
              <w:top w:val="nil"/>
              <w:left w:val="nil"/>
              <w:bottom w:val="nil"/>
            </w:tcBorders>
            <w:vAlign w:val="bottom"/>
          </w:tcPr>
          <w:p w14:paraId="227257F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-145.935*** (5.488)</w:t>
            </w:r>
          </w:p>
        </w:tc>
      </w:tr>
      <w:tr w:rsidR="00393153" w:rsidRPr="001E47AD" w14:paraId="0668BC27" w14:textId="77777777" w:rsidTr="00AE69B1">
        <w:tc>
          <w:tcPr>
            <w:tcW w:w="1688" w:type="pct"/>
            <w:tcBorders>
              <w:top w:val="nil"/>
              <w:bottom w:val="nil"/>
              <w:right w:val="nil"/>
            </w:tcBorders>
            <w:shd w:val="clear" w:color="auto" w:fill="auto"/>
            <w:vAlign w:val="center"/>
          </w:tcPr>
          <w:p w14:paraId="2356AC8C" w14:textId="77777777"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e>
                  <m:sup>
                    <m:r>
                      <m:rPr>
                        <m:sty m:val="p"/>
                      </m:rPr>
                      <w:rPr>
                        <w:rFonts w:ascii="Cambria Math" w:hAnsi="Cambria Math" w:cs="Times New Roman"/>
                        <w:sz w:val="16"/>
                        <w:szCs w:val="16"/>
                      </w:rPr>
                      <m:t>2</m:t>
                    </m:r>
                  </m:sup>
                </m:sSup>
              </m:oMath>
            </m:oMathPara>
          </w:p>
        </w:tc>
        <w:tc>
          <w:tcPr>
            <w:tcW w:w="1105" w:type="pct"/>
            <w:tcBorders>
              <w:top w:val="nil"/>
              <w:left w:val="nil"/>
              <w:bottom w:val="nil"/>
              <w:right w:val="nil"/>
            </w:tcBorders>
            <w:shd w:val="clear" w:color="auto" w:fill="auto"/>
            <w:vAlign w:val="bottom"/>
          </w:tcPr>
          <w:p w14:paraId="4F264CA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9.081*** (0.398)</w:t>
            </w:r>
          </w:p>
        </w:tc>
        <w:tc>
          <w:tcPr>
            <w:tcW w:w="1105" w:type="pct"/>
            <w:tcBorders>
              <w:top w:val="nil"/>
              <w:left w:val="nil"/>
              <w:bottom w:val="nil"/>
              <w:right w:val="nil"/>
            </w:tcBorders>
            <w:shd w:val="clear" w:color="auto" w:fill="auto"/>
            <w:vAlign w:val="bottom"/>
          </w:tcPr>
          <w:p w14:paraId="0B577BB0"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8.341*** (0.535)</w:t>
            </w:r>
          </w:p>
        </w:tc>
        <w:tc>
          <w:tcPr>
            <w:tcW w:w="1102" w:type="pct"/>
            <w:tcBorders>
              <w:top w:val="nil"/>
              <w:left w:val="nil"/>
              <w:bottom w:val="nil"/>
            </w:tcBorders>
            <w:vAlign w:val="bottom"/>
          </w:tcPr>
          <w:p w14:paraId="3630BA5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7.187*** (0.487)</w:t>
            </w:r>
          </w:p>
        </w:tc>
      </w:tr>
      <w:tr w:rsidR="00393153" w:rsidRPr="001E47AD" w14:paraId="20DD13EB" w14:textId="77777777" w:rsidTr="00AE69B1">
        <w:tc>
          <w:tcPr>
            <w:tcW w:w="1688" w:type="pct"/>
            <w:tcBorders>
              <w:top w:val="nil"/>
              <w:bottom w:val="nil"/>
              <w:right w:val="nil"/>
            </w:tcBorders>
            <w:shd w:val="clear" w:color="auto" w:fill="auto"/>
            <w:vAlign w:val="center"/>
          </w:tcPr>
          <w:p w14:paraId="7B06C7E8"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HUR_TRACK_DIST</m:t>
                </m:r>
              </m:oMath>
            </m:oMathPara>
          </w:p>
        </w:tc>
        <w:tc>
          <w:tcPr>
            <w:tcW w:w="1105" w:type="pct"/>
            <w:tcBorders>
              <w:top w:val="nil"/>
              <w:left w:val="nil"/>
              <w:bottom w:val="nil"/>
              <w:right w:val="nil"/>
            </w:tcBorders>
            <w:shd w:val="clear" w:color="auto" w:fill="auto"/>
            <w:vAlign w:val="bottom"/>
          </w:tcPr>
          <w:p w14:paraId="4E3001C5"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-133.743*** (10.678)</w:t>
            </w:r>
          </w:p>
        </w:tc>
        <w:tc>
          <w:tcPr>
            <w:tcW w:w="1105" w:type="pct"/>
            <w:tcBorders>
              <w:top w:val="nil"/>
              <w:left w:val="nil"/>
              <w:bottom w:val="nil"/>
              <w:right w:val="nil"/>
            </w:tcBorders>
            <w:shd w:val="clear" w:color="auto" w:fill="auto"/>
            <w:vAlign w:val="bottom"/>
          </w:tcPr>
          <w:p w14:paraId="22C0D16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-175.741*** (11.373)</w:t>
            </w:r>
          </w:p>
        </w:tc>
        <w:tc>
          <w:tcPr>
            <w:tcW w:w="1102" w:type="pct"/>
            <w:tcBorders>
              <w:top w:val="nil"/>
              <w:left w:val="nil"/>
              <w:bottom w:val="nil"/>
            </w:tcBorders>
            <w:vAlign w:val="bottom"/>
          </w:tcPr>
          <w:p w14:paraId="5A2D8F3E"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-197.530*** (10.269)</w:t>
            </w:r>
          </w:p>
        </w:tc>
      </w:tr>
      <w:tr w:rsidR="00393153" w:rsidRPr="001E47AD" w14:paraId="2308DC68" w14:textId="77777777" w:rsidTr="00AE69B1">
        <w:tc>
          <w:tcPr>
            <w:tcW w:w="1688" w:type="pct"/>
            <w:tcBorders>
              <w:top w:val="nil"/>
              <w:bottom w:val="nil"/>
              <w:right w:val="nil"/>
            </w:tcBorders>
            <w:shd w:val="clear" w:color="auto" w:fill="auto"/>
            <w:vAlign w:val="center"/>
          </w:tcPr>
          <w:p w14:paraId="5C51E268" w14:textId="77777777"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(HUR_TRACK_DIST)</m:t>
                    </m:r>
                  </m:e>
                  <m:sup>
                    <m:r>
                      <m:rPr>
                        <m:sty m:val="p"/>
                      </m:rPr>
                      <w:rPr>
                        <w:rFonts w:ascii="Cambria Math" w:hAnsi="Cambria Math" w:cs="Times New Roman"/>
                        <w:sz w:val="16"/>
                        <w:szCs w:val="16"/>
                      </w:rPr>
                      <m:t>2</m:t>
                    </m:r>
                  </m:sup>
                </m:sSup>
              </m:oMath>
            </m:oMathPara>
          </w:p>
        </w:tc>
        <w:tc>
          <w:tcPr>
            <w:tcW w:w="1105" w:type="pct"/>
            <w:tcBorders>
              <w:top w:val="nil"/>
              <w:left w:val="nil"/>
              <w:bottom w:val="nil"/>
              <w:right w:val="nil"/>
            </w:tcBorders>
            <w:shd w:val="clear" w:color="auto" w:fill="auto"/>
            <w:vAlign w:val="bottom"/>
          </w:tcPr>
          <w:p w14:paraId="4C6786E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21.772*** (2.174)</w:t>
            </w:r>
          </w:p>
        </w:tc>
        <w:tc>
          <w:tcPr>
            <w:tcW w:w="1105" w:type="pct"/>
            <w:tcBorders>
              <w:top w:val="nil"/>
              <w:left w:val="nil"/>
              <w:bottom w:val="nil"/>
              <w:right w:val="nil"/>
            </w:tcBorders>
            <w:shd w:val="clear" w:color="auto" w:fill="auto"/>
            <w:vAlign w:val="bottom"/>
          </w:tcPr>
          <w:p w14:paraId="3AAFEF1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28.573*** (2.271)</w:t>
            </w:r>
          </w:p>
        </w:tc>
        <w:tc>
          <w:tcPr>
            <w:tcW w:w="1102" w:type="pct"/>
            <w:tcBorders>
              <w:top w:val="nil"/>
              <w:left w:val="nil"/>
              <w:bottom w:val="nil"/>
            </w:tcBorders>
            <w:vAlign w:val="bottom"/>
          </w:tcPr>
          <w:p w14:paraId="0A7419A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30.805*** (2.110)</w:t>
            </w:r>
          </w:p>
        </w:tc>
      </w:tr>
      <w:tr w:rsidR="00393153" w:rsidRPr="001E47AD" w14:paraId="037D28B4" w14:textId="77777777" w:rsidTr="00557F3E">
        <w:tc>
          <w:tcPr>
            <w:tcW w:w="1688" w:type="pct"/>
            <w:tcBorders>
              <w:top w:val="nil"/>
              <w:bottom w:val="nil"/>
              <w:right w:val="nil"/>
            </w:tcBorders>
            <w:shd w:val="clear" w:color="auto" w:fill="auto"/>
            <w:vAlign w:val="center"/>
          </w:tcPr>
          <w:p w14:paraId="25FC5939"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HUR_TRACK_WIND</m:t>
                </m:r>
              </m:oMath>
            </m:oMathPara>
          </w:p>
        </w:tc>
        <w:tc>
          <w:tcPr>
            <w:tcW w:w="1105" w:type="pct"/>
            <w:tcBorders>
              <w:top w:val="nil"/>
              <w:left w:val="nil"/>
              <w:bottom w:val="nil"/>
              <w:right w:val="nil"/>
            </w:tcBorders>
            <w:shd w:val="clear" w:color="auto" w:fill="auto"/>
            <w:vAlign w:val="bottom"/>
          </w:tcPr>
          <w:p w14:paraId="5CF7B89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19.373*** (1.635)</w:t>
            </w:r>
          </w:p>
        </w:tc>
        <w:tc>
          <w:tcPr>
            <w:tcW w:w="1105" w:type="pct"/>
            <w:tcBorders>
              <w:top w:val="nil"/>
              <w:left w:val="nil"/>
              <w:bottom w:val="nil"/>
              <w:right w:val="nil"/>
            </w:tcBorders>
            <w:shd w:val="clear" w:color="auto" w:fill="auto"/>
            <w:vAlign w:val="bottom"/>
          </w:tcPr>
          <w:p w14:paraId="2670A33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19.584*** (1.309)</w:t>
            </w:r>
          </w:p>
        </w:tc>
        <w:tc>
          <w:tcPr>
            <w:tcW w:w="1102" w:type="pct"/>
            <w:tcBorders>
              <w:top w:val="nil"/>
              <w:left w:val="nil"/>
              <w:bottom w:val="nil"/>
            </w:tcBorders>
            <w:vAlign w:val="bottom"/>
          </w:tcPr>
          <w:p w14:paraId="4A32373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21.473*** (1.503)</w:t>
            </w:r>
          </w:p>
        </w:tc>
      </w:tr>
      <w:tr w:rsidR="00393153" w:rsidRPr="001E47AD" w14:paraId="119F53FE" w14:textId="77777777" w:rsidTr="00557F3E">
        <w:tc>
          <w:tcPr>
            <w:tcW w:w="1688" w:type="pct"/>
            <w:tcBorders>
              <w:top w:val="nil"/>
              <w:bottom w:val="single" w:sz="4" w:space="0" w:color="auto"/>
              <w:right w:val="nil"/>
            </w:tcBorders>
            <w:shd w:val="clear" w:color="auto" w:fill="auto"/>
            <w:vAlign w:val="center"/>
          </w:tcPr>
          <w:p w14:paraId="738F2E32" w14:textId="77777777" w:rsidR="00AE69B1" w:rsidRPr="001E47AD" w:rsidRDefault="00EC5F60" w:rsidP="00537DAE">
            <w:pPr>
              <w:spacing w:line="288" w:lineRule="auto"/>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(HUR_TRACK_WIND)</m:t>
                    </m:r>
                  </m:e>
                  <m:sup>
                    <m:r>
                      <m:rPr>
                        <m:sty m:val="p"/>
                      </m:rPr>
                      <w:rPr>
                        <w:rFonts w:ascii="Cambria Math" w:hAnsi="Cambria Math" w:cs="Times New Roman"/>
                        <w:sz w:val="16"/>
                        <w:szCs w:val="16"/>
                      </w:rPr>
                      <m:t>2</m:t>
                    </m:r>
                  </m:sup>
                </m:sSup>
              </m:oMath>
            </m:oMathPara>
          </w:p>
        </w:tc>
        <w:tc>
          <w:tcPr>
            <w:tcW w:w="1105" w:type="pct"/>
            <w:tcBorders>
              <w:top w:val="nil"/>
              <w:left w:val="nil"/>
              <w:bottom w:val="single" w:sz="4" w:space="0" w:color="auto"/>
              <w:right w:val="nil"/>
            </w:tcBorders>
            <w:shd w:val="clear" w:color="auto" w:fill="auto"/>
            <w:vAlign w:val="bottom"/>
          </w:tcPr>
          <w:p w14:paraId="56EC25D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-0.173*** (0.012)</w:t>
            </w:r>
          </w:p>
        </w:tc>
        <w:tc>
          <w:tcPr>
            <w:tcW w:w="1105" w:type="pct"/>
            <w:tcBorders>
              <w:top w:val="nil"/>
              <w:left w:val="nil"/>
              <w:bottom w:val="single" w:sz="4" w:space="0" w:color="auto"/>
              <w:right w:val="nil"/>
            </w:tcBorders>
            <w:shd w:val="clear" w:color="auto" w:fill="auto"/>
            <w:vAlign w:val="bottom"/>
          </w:tcPr>
          <w:p w14:paraId="3C7424F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-0.172*** (0.010)</w:t>
            </w:r>
          </w:p>
        </w:tc>
        <w:tc>
          <w:tcPr>
            <w:tcW w:w="1102" w:type="pct"/>
            <w:tcBorders>
              <w:top w:val="nil"/>
              <w:left w:val="nil"/>
              <w:bottom w:val="single" w:sz="4" w:space="0" w:color="auto"/>
            </w:tcBorders>
            <w:vAlign w:val="bottom"/>
          </w:tcPr>
          <w:p w14:paraId="4EBBB1C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-0.181*** (0.012)</w:t>
            </w:r>
          </w:p>
        </w:tc>
      </w:tr>
      <w:tr w:rsidR="00557F3E" w:rsidRPr="001E47AD" w14:paraId="6E34808A" w14:textId="77777777" w:rsidTr="00557F3E">
        <w:tc>
          <w:tcPr>
            <w:tcW w:w="1688" w:type="pct"/>
            <w:tcBorders>
              <w:top w:val="single" w:sz="4" w:space="0" w:color="auto"/>
              <w:bottom w:val="nil"/>
              <w:right w:val="nil"/>
            </w:tcBorders>
            <w:shd w:val="clear" w:color="auto" w:fill="auto"/>
            <w:vAlign w:val="center"/>
          </w:tcPr>
          <w:p w14:paraId="520B53B4" w14:textId="252FDCA5" w:rsidR="00557F3E" w:rsidRPr="001E47AD" w:rsidRDefault="00557F3E" w:rsidP="00537DAE">
            <w:pPr>
              <w:spacing w:line="288" w:lineRule="auto"/>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Control Variables</w:t>
            </w:r>
          </w:p>
        </w:tc>
        <w:tc>
          <w:tcPr>
            <w:tcW w:w="1105" w:type="pct"/>
            <w:tcBorders>
              <w:top w:val="single" w:sz="4" w:space="0" w:color="auto"/>
              <w:left w:val="nil"/>
              <w:bottom w:val="nil"/>
              <w:right w:val="nil"/>
            </w:tcBorders>
            <w:shd w:val="clear" w:color="auto" w:fill="auto"/>
            <w:vAlign w:val="bottom"/>
          </w:tcPr>
          <w:p w14:paraId="17970F96" w14:textId="77777777" w:rsidR="00557F3E" w:rsidRPr="001E47AD" w:rsidRDefault="00557F3E" w:rsidP="00537DAE">
            <w:pPr>
              <w:spacing w:line="288" w:lineRule="auto"/>
              <w:contextualSpacing/>
              <w:jc w:val="right"/>
              <w:rPr>
                <w:spacing w:val="-5"/>
                <w:sz w:val="16"/>
                <w:szCs w:val="16"/>
              </w:rPr>
            </w:pPr>
          </w:p>
        </w:tc>
        <w:tc>
          <w:tcPr>
            <w:tcW w:w="1105" w:type="pct"/>
            <w:tcBorders>
              <w:top w:val="single" w:sz="4" w:space="0" w:color="auto"/>
              <w:left w:val="nil"/>
              <w:bottom w:val="nil"/>
              <w:right w:val="nil"/>
            </w:tcBorders>
            <w:shd w:val="clear" w:color="auto" w:fill="auto"/>
          </w:tcPr>
          <w:p w14:paraId="193DB640" w14:textId="77777777" w:rsidR="00557F3E" w:rsidRPr="001E47AD" w:rsidRDefault="00557F3E" w:rsidP="00537DAE">
            <w:pPr>
              <w:spacing w:line="288" w:lineRule="auto"/>
              <w:contextualSpacing/>
              <w:jc w:val="right"/>
              <w:rPr>
                <w:spacing w:val="-5"/>
                <w:sz w:val="16"/>
                <w:szCs w:val="16"/>
              </w:rPr>
            </w:pPr>
          </w:p>
        </w:tc>
        <w:tc>
          <w:tcPr>
            <w:tcW w:w="1102" w:type="pct"/>
            <w:tcBorders>
              <w:top w:val="single" w:sz="4" w:space="0" w:color="auto"/>
              <w:left w:val="nil"/>
              <w:bottom w:val="nil"/>
            </w:tcBorders>
          </w:tcPr>
          <w:p w14:paraId="6F857709" w14:textId="77777777" w:rsidR="00557F3E" w:rsidRPr="001E47AD" w:rsidRDefault="00557F3E" w:rsidP="00537DAE">
            <w:pPr>
              <w:spacing w:line="288" w:lineRule="auto"/>
              <w:contextualSpacing/>
              <w:jc w:val="right"/>
              <w:rPr>
                <w:spacing w:val="-5"/>
                <w:sz w:val="16"/>
                <w:szCs w:val="16"/>
              </w:rPr>
            </w:pPr>
          </w:p>
        </w:tc>
      </w:tr>
      <w:tr w:rsidR="00393153" w:rsidRPr="001E47AD" w14:paraId="501E8BAF" w14:textId="77777777" w:rsidTr="00AE69B1">
        <w:tc>
          <w:tcPr>
            <w:tcW w:w="1688" w:type="pct"/>
            <w:tcBorders>
              <w:top w:val="nil"/>
              <w:bottom w:val="nil"/>
              <w:right w:val="nil"/>
            </w:tcBorders>
            <w:shd w:val="clear" w:color="auto" w:fill="auto"/>
            <w:vAlign w:val="center"/>
          </w:tcPr>
          <w:p w14:paraId="2865FC0F"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Format</w:t>
            </w:r>
          </w:p>
        </w:tc>
        <w:tc>
          <w:tcPr>
            <w:tcW w:w="1105" w:type="pct"/>
            <w:tcBorders>
              <w:top w:val="nil"/>
              <w:left w:val="nil"/>
              <w:bottom w:val="nil"/>
              <w:right w:val="nil"/>
            </w:tcBorders>
            <w:shd w:val="clear" w:color="auto" w:fill="auto"/>
            <w:vAlign w:val="bottom"/>
          </w:tcPr>
          <w:p w14:paraId="6B839B8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tcPr>
          <w:p w14:paraId="32F32A5E"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35AD3031"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2CDC5631" w14:textId="77777777" w:rsidTr="00AE69B1">
        <w:tc>
          <w:tcPr>
            <w:tcW w:w="1688" w:type="pct"/>
            <w:tcBorders>
              <w:top w:val="nil"/>
              <w:bottom w:val="nil"/>
              <w:right w:val="nil"/>
            </w:tcBorders>
            <w:shd w:val="clear" w:color="auto" w:fill="auto"/>
            <w:vAlign w:val="center"/>
          </w:tcPr>
          <w:p w14:paraId="3EE1A825"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CHAIN_GROC</m:t>
                </m:r>
              </m:oMath>
            </m:oMathPara>
          </w:p>
        </w:tc>
        <w:tc>
          <w:tcPr>
            <w:tcW w:w="1105" w:type="pct"/>
            <w:tcBorders>
              <w:top w:val="nil"/>
              <w:left w:val="nil"/>
              <w:bottom w:val="nil"/>
              <w:right w:val="nil"/>
            </w:tcBorders>
            <w:shd w:val="clear" w:color="auto" w:fill="auto"/>
            <w:vAlign w:val="bottom"/>
          </w:tcPr>
          <w:p w14:paraId="71FC58A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-253.342*** (47.948)</w:t>
            </w:r>
          </w:p>
        </w:tc>
        <w:tc>
          <w:tcPr>
            <w:tcW w:w="1105" w:type="pct"/>
            <w:tcBorders>
              <w:top w:val="nil"/>
              <w:left w:val="nil"/>
              <w:bottom w:val="nil"/>
              <w:right w:val="nil"/>
            </w:tcBorders>
            <w:shd w:val="clear" w:color="auto" w:fill="auto"/>
            <w:vAlign w:val="bottom"/>
          </w:tcPr>
          <w:p w14:paraId="78E2B86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-315.628*** (29.465)</w:t>
            </w:r>
          </w:p>
        </w:tc>
        <w:tc>
          <w:tcPr>
            <w:tcW w:w="1102" w:type="pct"/>
            <w:tcBorders>
              <w:top w:val="nil"/>
              <w:left w:val="nil"/>
              <w:bottom w:val="nil"/>
            </w:tcBorders>
            <w:vAlign w:val="bottom"/>
          </w:tcPr>
          <w:p w14:paraId="2CC8C28D"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-351.831*** (97.154)</w:t>
            </w:r>
          </w:p>
        </w:tc>
      </w:tr>
      <w:tr w:rsidR="00393153" w:rsidRPr="001E47AD" w14:paraId="67B8675D" w14:textId="77777777" w:rsidTr="00AE69B1">
        <w:tc>
          <w:tcPr>
            <w:tcW w:w="1688" w:type="pct"/>
            <w:tcBorders>
              <w:top w:val="nil"/>
              <w:bottom w:val="nil"/>
              <w:right w:val="nil"/>
            </w:tcBorders>
            <w:shd w:val="clear" w:color="auto" w:fill="auto"/>
            <w:vAlign w:val="center"/>
          </w:tcPr>
          <w:p w14:paraId="1BE36DC5"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CHAIN_WHS</m:t>
                </m:r>
              </m:oMath>
            </m:oMathPara>
          </w:p>
        </w:tc>
        <w:tc>
          <w:tcPr>
            <w:tcW w:w="1105" w:type="pct"/>
            <w:tcBorders>
              <w:top w:val="nil"/>
              <w:left w:val="nil"/>
              <w:bottom w:val="nil"/>
              <w:right w:val="nil"/>
            </w:tcBorders>
            <w:shd w:val="clear" w:color="auto" w:fill="auto"/>
            <w:vAlign w:val="bottom"/>
          </w:tcPr>
          <w:p w14:paraId="7EF6DB7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110.667*** (32.708)</w:t>
            </w:r>
          </w:p>
        </w:tc>
        <w:tc>
          <w:tcPr>
            <w:tcW w:w="1105" w:type="pct"/>
            <w:tcBorders>
              <w:top w:val="nil"/>
              <w:left w:val="nil"/>
              <w:bottom w:val="nil"/>
              <w:right w:val="nil"/>
            </w:tcBorders>
            <w:shd w:val="clear" w:color="auto" w:fill="auto"/>
            <w:vAlign w:val="bottom"/>
          </w:tcPr>
          <w:p w14:paraId="5F4EF15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92.700*** (27.052)</w:t>
            </w:r>
          </w:p>
        </w:tc>
        <w:tc>
          <w:tcPr>
            <w:tcW w:w="1102" w:type="pct"/>
            <w:tcBorders>
              <w:top w:val="nil"/>
              <w:left w:val="nil"/>
              <w:bottom w:val="nil"/>
            </w:tcBorders>
            <w:vAlign w:val="bottom"/>
          </w:tcPr>
          <w:p w14:paraId="728EB4B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168.393*** (34.452)</w:t>
            </w:r>
          </w:p>
        </w:tc>
      </w:tr>
      <w:tr w:rsidR="00393153" w:rsidRPr="001E47AD" w14:paraId="6E4BEE9B" w14:textId="77777777" w:rsidTr="00AE69B1">
        <w:tc>
          <w:tcPr>
            <w:tcW w:w="1688" w:type="pct"/>
            <w:tcBorders>
              <w:top w:val="nil"/>
              <w:bottom w:val="nil"/>
              <w:right w:val="nil"/>
            </w:tcBorders>
            <w:shd w:val="clear" w:color="auto" w:fill="auto"/>
            <w:vAlign w:val="center"/>
          </w:tcPr>
          <w:p w14:paraId="28623753"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CHAIN_DISC</m:t>
                </m:r>
              </m:oMath>
            </m:oMathPara>
          </w:p>
        </w:tc>
        <w:tc>
          <w:tcPr>
            <w:tcW w:w="1105" w:type="pct"/>
            <w:tcBorders>
              <w:top w:val="nil"/>
              <w:left w:val="nil"/>
              <w:bottom w:val="nil"/>
              <w:right w:val="nil"/>
            </w:tcBorders>
            <w:shd w:val="clear" w:color="auto" w:fill="auto"/>
            <w:vAlign w:val="bottom"/>
          </w:tcPr>
          <w:p w14:paraId="5AF12B2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59.242 (93.128)</w:t>
            </w:r>
          </w:p>
        </w:tc>
        <w:tc>
          <w:tcPr>
            <w:tcW w:w="1105" w:type="pct"/>
            <w:tcBorders>
              <w:top w:val="nil"/>
              <w:left w:val="nil"/>
              <w:bottom w:val="nil"/>
              <w:right w:val="nil"/>
            </w:tcBorders>
            <w:shd w:val="clear" w:color="auto" w:fill="auto"/>
            <w:vAlign w:val="bottom"/>
          </w:tcPr>
          <w:p w14:paraId="7110E28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102.633* (59.243)</w:t>
            </w:r>
          </w:p>
        </w:tc>
        <w:tc>
          <w:tcPr>
            <w:tcW w:w="1102" w:type="pct"/>
            <w:tcBorders>
              <w:top w:val="nil"/>
              <w:left w:val="nil"/>
              <w:bottom w:val="nil"/>
            </w:tcBorders>
            <w:vAlign w:val="bottom"/>
          </w:tcPr>
          <w:p w14:paraId="2FD08A0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282.392** (101.004)</w:t>
            </w:r>
          </w:p>
        </w:tc>
      </w:tr>
      <w:tr w:rsidR="00393153" w:rsidRPr="001E47AD" w14:paraId="0FF8D25D" w14:textId="77777777" w:rsidTr="00AE69B1">
        <w:tc>
          <w:tcPr>
            <w:tcW w:w="1688" w:type="pct"/>
            <w:tcBorders>
              <w:top w:val="nil"/>
              <w:bottom w:val="nil"/>
              <w:right w:val="nil"/>
            </w:tcBorders>
            <w:shd w:val="clear" w:color="auto" w:fill="auto"/>
            <w:vAlign w:val="center"/>
          </w:tcPr>
          <w:p w14:paraId="720D95C2"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CHAIN_DOLLAR</m:t>
                </m:r>
              </m:oMath>
            </m:oMathPara>
          </w:p>
        </w:tc>
        <w:tc>
          <w:tcPr>
            <w:tcW w:w="1105" w:type="pct"/>
            <w:tcBorders>
              <w:top w:val="nil"/>
              <w:left w:val="nil"/>
              <w:bottom w:val="nil"/>
              <w:right w:val="nil"/>
            </w:tcBorders>
            <w:shd w:val="clear" w:color="auto" w:fill="auto"/>
            <w:vAlign w:val="bottom"/>
          </w:tcPr>
          <w:p w14:paraId="0E373196"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-403.432*** (105.768)</w:t>
            </w:r>
          </w:p>
        </w:tc>
        <w:tc>
          <w:tcPr>
            <w:tcW w:w="1105" w:type="pct"/>
            <w:tcBorders>
              <w:top w:val="nil"/>
              <w:left w:val="nil"/>
              <w:bottom w:val="nil"/>
              <w:right w:val="nil"/>
            </w:tcBorders>
            <w:shd w:val="clear" w:color="auto" w:fill="auto"/>
            <w:vAlign w:val="bottom"/>
          </w:tcPr>
          <w:p w14:paraId="7675EF9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-222.389** (72.965)</w:t>
            </w:r>
          </w:p>
        </w:tc>
        <w:tc>
          <w:tcPr>
            <w:tcW w:w="1102" w:type="pct"/>
            <w:tcBorders>
              <w:top w:val="nil"/>
              <w:left w:val="nil"/>
              <w:bottom w:val="nil"/>
            </w:tcBorders>
            <w:vAlign w:val="bottom"/>
          </w:tcPr>
          <w:p w14:paraId="2574E16D"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-110.335 (67.087)</w:t>
            </w:r>
          </w:p>
        </w:tc>
      </w:tr>
      <w:tr w:rsidR="00393153" w:rsidRPr="001E47AD" w14:paraId="2D8E2541" w14:textId="77777777" w:rsidTr="00AE69B1">
        <w:tc>
          <w:tcPr>
            <w:tcW w:w="1688" w:type="pct"/>
            <w:tcBorders>
              <w:top w:val="nil"/>
              <w:bottom w:val="nil"/>
              <w:right w:val="nil"/>
            </w:tcBorders>
            <w:shd w:val="clear" w:color="auto" w:fill="auto"/>
            <w:vAlign w:val="center"/>
          </w:tcPr>
          <w:p w14:paraId="57AB035D"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CHAIN_DRUG</m:t>
                </m:r>
              </m:oMath>
            </m:oMathPara>
          </w:p>
        </w:tc>
        <w:tc>
          <w:tcPr>
            <w:tcW w:w="1105" w:type="pct"/>
            <w:tcBorders>
              <w:top w:val="nil"/>
              <w:left w:val="nil"/>
              <w:bottom w:val="nil"/>
              <w:right w:val="nil"/>
            </w:tcBorders>
            <w:shd w:val="clear" w:color="auto" w:fill="auto"/>
            <w:vAlign w:val="bottom"/>
          </w:tcPr>
          <w:p w14:paraId="56ACEED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233.230*** (45.539)</w:t>
            </w:r>
          </w:p>
        </w:tc>
        <w:tc>
          <w:tcPr>
            <w:tcW w:w="1105" w:type="pct"/>
            <w:tcBorders>
              <w:top w:val="nil"/>
              <w:left w:val="nil"/>
              <w:bottom w:val="nil"/>
              <w:right w:val="nil"/>
            </w:tcBorders>
            <w:shd w:val="clear" w:color="auto" w:fill="auto"/>
            <w:vAlign w:val="bottom"/>
          </w:tcPr>
          <w:p w14:paraId="4354533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328.050*** (50.576)</w:t>
            </w:r>
          </w:p>
        </w:tc>
        <w:tc>
          <w:tcPr>
            <w:tcW w:w="1102" w:type="pct"/>
            <w:tcBorders>
              <w:top w:val="nil"/>
              <w:left w:val="nil"/>
              <w:bottom w:val="nil"/>
            </w:tcBorders>
            <w:vAlign w:val="bottom"/>
          </w:tcPr>
          <w:p w14:paraId="1509A1B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521.999*** (42.264)</w:t>
            </w:r>
          </w:p>
        </w:tc>
      </w:tr>
      <w:tr w:rsidR="00393153" w:rsidRPr="001E47AD" w14:paraId="5ADD96A3" w14:textId="77777777" w:rsidTr="00AE69B1">
        <w:tc>
          <w:tcPr>
            <w:tcW w:w="1688" w:type="pct"/>
            <w:tcBorders>
              <w:top w:val="nil"/>
              <w:bottom w:val="nil"/>
              <w:right w:val="nil"/>
            </w:tcBorders>
            <w:shd w:val="clear" w:color="auto" w:fill="auto"/>
            <w:vAlign w:val="center"/>
          </w:tcPr>
          <w:p w14:paraId="4137E96F"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CHAIN_LIQ</m:t>
                </m:r>
              </m:oMath>
            </m:oMathPara>
          </w:p>
        </w:tc>
        <w:tc>
          <w:tcPr>
            <w:tcW w:w="1105" w:type="pct"/>
            <w:tcBorders>
              <w:top w:val="nil"/>
              <w:left w:val="nil"/>
              <w:bottom w:val="nil"/>
              <w:right w:val="nil"/>
            </w:tcBorders>
            <w:shd w:val="clear" w:color="auto" w:fill="auto"/>
            <w:vAlign w:val="bottom"/>
          </w:tcPr>
          <w:p w14:paraId="1903115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39.526 (71.697)</w:t>
            </w:r>
          </w:p>
        </w:tc>
        <w:tc>
          <w:tcPr>
            <w:tcW w:w="1105" w:type="pct"/>
            <w:tcBorders>
              <w:top w:val="nil"/>
              <w:left w:val="nil"/>
              <w:bottom w:val="nil"/>
              <w:right w:val="nil"/>
            </w:tcBorders>
            <w:shd w:val="clear" w:color="auto" w:fill="auto"/>
            <w:vAlign w:val="bottom"/>
          </w:tcPr>
          <w:p w14:paraId="25BD9538"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136.760 (109.950)</w:t>
            </w:r>
          </w:p>
        </w:tc>
        <w:tc>
          <w:tcPr>
            <w:tcW w:w="1102" w:type="pct"/>
            <w:tcBorders>
              <w:top w:val="nil"/>
              <w:left w:val="nil"/>
              <w:bottom w:val="nil"/>
            </w:tcBorders>
            <w:vAlign w:val="bottom"/>
          </w:tcPr>
          <w:p w14:paraId="751251E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303.743*** (63.061)</w:t>
            </w:r>
          </w:p>
        </w:tc>
      </w:tr>
      <w:tr w:rsidR="00393153" w:rsidRPr="001E47AD" w14:paraId="6019F829" w14:textId="77777777" w:rsidTr="00AE69B1">
        <w:tc>
          <w:tcPr>
            <w:tcW w:w="1688" w:type="pct"/>
            <w:tcBorders>
              <w:top w:val="nil"/>
              <w:bottom w:val="nil"/>
              <w:right w:val="nil"/>
            </w:tcBorders>
            <w:shd w:val="clear" w:color="auto" w:fill="auto"/>
            <w:vAlign w:val="center"/>
          </w:tcPr>
          <w:p w14:paraId="01E8C535"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Chain</w:t>
            </w:r>
          </w:p>
        </w:tc>
        <w:tc>
          <w:tcPr>
            <w:tcW w:w="1105" w:type="pct"/>
            <w:tcBorders>
              <w:top w:val="nil"/>
              <w:left w:val="nil"/>
              <w:bottom w:val="nil"/>
              <w:right w:val="nil"/>
            </w:tcBorders>
            <w:shd w:val="clear" w:color="auto" w:fill="auto"/>
            <w:vAlign w:val="bottom"/>
          </w:tcPr>
          <w:p w14:paraId="59E23B7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tcPr>
          <w:p w14:paraId="57116EA6"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52CEBC48"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137DC4C1" w14:textId="77777777" w:rsidTr="00AE69B1">
        <w:tc>
          <w:tcPr>
            <w:tcW w:w="1688" w:type="pct"/>
            <w:tcBorders>
              <w:top w:val="nil"/>
              <w:bottom w:val="nil"/>
              <w:right w:val="nil"/>
            </w:tcBorders>
            <w:shd w:val="clear" w:color="auto" w:fill="auto"/>
            <w:vAlign w:val="center"/>
          </w:tcPr>
          <w:p w14:paraId="5F522D36"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RETAIL_CHAIN</m:t>
                </m:r>
              </m:oMath>
            </m:oMathPara>
          </w:p>
        </w:tc>
        <w:tc>
          <w:tcPr>
            <w:tcW w:w="1105" w:type="pct"/>
            <w:tcBorders>
              <w:top w:val="nil"/>
              <w:left w:val="nil"/>
              <w:bottom w:val="nil"/>
              <w:right w:val="nil"/>
            </w:tcBorders>
            <w:shd w:val="clear" w:color="auto" w:fill="auto"/>
            <w:vAlign w:val="bottom"/>
          </w:tcPr>
          <w:p w14:paraId="6E9D552B" w14:textId="77777777" w:rsidR="00AE69B1" w:rsidRPr="001E47AD" w:rsidRDefault="00E43B80"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1105" w:type="pct"/>
            <w:tcBorders>
              <w:top w:val="nil"/>
              <w:left w:val="nil"/>
              <w:bottom w:val="nil"/>
              <w:right w:val="nil"/>
            </w:tcBorders>
            <w:shd w:val="clear" w:color="auto" w:fill="auto"/>
          </w:tcPr>
          <w:p w14:paraId="24D949AF" w14:textId="77777777" w:rsidR="00AE69B1" w:rsidRPr="001E47AD" w:rsidRDefault="00E43B80"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1102" w:type="pct"/>
            <w:tcBorders>
              <w:top w:val="nil"/>
              <w:left w:val="nil"/>
              <w:bottom w:val="nil"/>
            </w:tcBorders>
          </w:tcPr>
          <w:p w14:paraId="3EEC8A2D" w14:textId="77777777" w:rsidR="00AE69B1" w:rsidRPr="001E47AD" w:rsidRDefault="00E43B80"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r>
      <w:tr w:rsidR="00393153" w:rsidRPr="001E47AD" w14:paraId="5A6F6D40" w14:textId="77777777" w:rsidTr="00AE69B1">
        <w:tc>
          <w:tcPr>
            <w:tcW w:w="1688" w:type="pct"/>
            <w:tcBorders>
              <w:top w:val="nil"/>
              <w:bottom w:val="nil"/>
              <w:right w:val="nil"/>
            </w:tcBorders>
            <w:shd w:val="clear" w:color="auto" w:fill="auto"/>
            <w:vAlign w:val="center"/>
          </w:tcPr>
          <w:p w14:paraId="5AF1E2E0"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Hurricane Influence</w:t>
            </w:r>
          </w:p>
        </w:tc>
        <w:tc>
          <w:tcPr>
            <w:tcW w:w="1105" w:type="pct"/>
            <w:tcBorders>
              <w:top w:val="nil"/>
              <w:left w:val="nil"/>
              <w:bottom w:val="nil"/>
              <w:right w:val="nil"/>
            </w:tcBorders>
            <w:shd w:val="clear" w:color="auto" w:fill="auto"/>
          </w:tcPr>
          <w:p w14:paraId="0C997F26"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tcPr>
          <w:p w14:paraId="77AF8B20"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24793EE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14FEA849" w14:textId="77777777" w:rsidTr="00AE69B1">
        <w:tc>
          <w:tcPr>
            <w:tcW w:w="1688" w:type="pct"/>
            <w:tcBorders>
              <w:top w:val="nil"/>
              <w:bottom w:val="nil"/>
              <w:right w:val="nil"/>
            </w:tcBorders>
            <w:shd w:val="clear" w:color="auto" w:fill="auto"/>
            <w:vAlign w:val="center"/>
          </w:tcPr>
          <w:p w14:paraId="7FBF0CB5"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DAYS_BEF_INFL_EARLY</m:t>
                </m:r>
              </m:oMath>
            </m:oMathPara>
          </w:p>
        </w:tc>
        <w:tc>
          <w:tcPr>
            <w:tcW w:w="1105" w:type="pct"/>
            <w:tcBorders>
              <w:top w:val="nil"/>
              <w:left w:val="nil"/>
              <w:bottom w:val="nil"/>
              <w:right w:val="nil"/>
            </w:tcBorders>
            <w:shd w:val="clear" w:color="auto" w:fill="auto"/>
            <w:vAlign w:val="bottom"/>
          </w:tcPr>
          <w:p w14:paraId="5F578180"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4.851 (5.389)</w:t>
            </w:r>
          </w:p>
        </w:tc>
        <w:tc>
          <w:tcPr>
            <w:tcW w:w="1105" w:type="pct"/>
            <w:tcBorders>
              <w:top w:val="nil"/>
              <w:left w:val="nil"/>
              <w:bottom w:val="nil"/>
              <w:right w:val="nil"/>
            </w:tcBorders>
            <w:shd w:val="clear" w:color="auto" w:fill="auto"/>
            <w:vAlign w:val="bottom"/>
          </w:tcPr>
          <w:p w14:paraId="3B0FEE2E"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21.578*** (3.591)</w:t>
            </w:r>
          </w:p>
        </w:tc>
        <w:tc>
          <w:tcPr>
            <w:tcW w:w="1102" w:type="pct"/>
            <w:tcBorders>
              <w:top w:val="nil"/>
              <w:left w:val="nil"/>
              <w:bottom w:val="nil"/>
            </w:tcBorders>
            <w:vAlign w:val="bottom"/>
          </w:tcPr>
          <w:p w14:paraId="6D313D0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31.055*** (5.370)</w:t>
            </w:r>
          </w:p>
        </w:tc>
      </w:tr>
      <w:tr w:rsidR="00393153" w:rsidRPr="001E47AD" w14:paraId="545E62D6" w14:textId="77777777" w:rsidTr="00AE69B1">
        <w:tc>
          <w:tcPr>
            <w:tcW w:w="1688" w:type="pct"/>
            <w:tcBorders>
              <w:top w:val="nil"/>
              <w:bottom w:val="nil"/>
              <w:right w:val="nil"/>
            </w:tcBorders>
            <w:shd w:val="clear" w:color="auto" w:fill="auto"/>
            <w:vAlign w:val="center"/>
          </w:tcPr>
          <w:p w14:paraId="088AA64E"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DAYS_INFL_AFT_LANDFALL</m:t>
                </m:r>
              </m:oMath>
            </m:oMathPara>
          </w:p>
        </w:tc>
        <w:tc>
          <w:tcPr>
            <w:tcW w:w="1105" w:type="pct"/>
            <w:tcBorders>
              <w:top w:val="nil"/>
              <w:left w:val="nil"/>
              <w:bottom w:val="nil"/>
              <w:right w:val="nil"/>
            </w:tcBorders>
            <w:shd w:val="clear" w:color="auto" w:fill="auto"/>
            <w:vAlign w:val="bottom"/>
          </w:tcPr>
          <w:p w14:paraId="4A1AB12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-29.098*** (4.327)</w:t>
            </w:r>
          </w:p>
        </w:tc>
        <w:tc>
          <w:tcPr>
            <w:tcW w:w="1105" w:type="pct"/>
            <w:tcBorders>
              <w:top w:val="nil"/>
              <w:left w:val="nil"/>
              <w:bottom w:val="nil"/>
              <w:right w:val="nil"/>
            </w:tcBorders>
            <w:shd w:val="clear" w:color="auto" w:fill="auto"/>
            <w:vAlign w:val="bottom"/>
          </w:tcPr>
          <w:p w14:paraId="7D0A6B65"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-25.762*** (3.729)</w:t>
            </w:r>
          </w:p>
        </w:tc>
        <w:tc>
          <w:tcPr>
            <w:tcW w:w="1102" w:type="pct"/>
            <w:tcBorders>
              <w:top w:val="nil"/>
              <w:left w:val="nil"/>
              <w:bottom w:val="nil"/>
            </w:tcBorders>
            <w:vAlign w:val="bottom"/>
          </w:tcPr>
          <w:p w14:paraId="13C7002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-20.975*** (3.418)</w:t>
            </w:r>
          </w:p>
        </w:tc>
      </w:tr>
      <w:tr w:rsidR="00393153" w:rsidRPr="001E47AD" w14:paraId="34E8040F" w14:textId="77777777" w:rsidTr="00AE69B1">
        <w:tc>
          <w:tcPr>
            <w:tcW w:w="1688" w:type="pct"/>
            <w:tcBorders>
              <w:top w:val="nil"/>
              <w:bottom w:val="nil"/>
              <w:right w:val="nil"/>
            </w:tcBorders>
            <w:shd w:val="clear" w:color="auto" w:fill="auto"/>
            <w:vAlign w:val="center"/>
          </w:tcPr>
          <w:p w14:paraId="44029730"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Category Competition</w:t>
            </w:r>
          </w:p>
        </w:tc>
        <w:tc>
          <w:tcPr>
            <w:tcW w:w="1105" w:type="pct"/>
            <w:tcBorders>
              <w:top w:val="nil"/>
              <w:left w:val="nil"/>
              <w:bottom w:val="nil"/>
              <w:right w:val="nil"/>
            </w:tcBorders>
            <w:shd w:val="clear" w:color="auto" w:fill="auto"/>
            <w:vAlign w:val="bottom"/>
          </w:tcPr>
          <w:p w14:paraId="326EF869"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tcPr>
          <w:p w14:paraId="663CA42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3F72DF29"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67989A05" w14:textId="77777777" w:rsidTr="00AE69B1">
        <w:tc>
          <w:tcPr>
            <w:tcW w:w="1688" w:type="pct"/>
            <w:tcBorders>
              <w:top w:val="nil"/>
              <w:bottom w:val="nil"/>
              <w:right w:val="nil"/>
            </w:tcBorders>
            <w:shd w:val="clear" w:color="auto" w:fill="auto"/>
            <w:vAlign w:val="center"/>
          </w:tcPr>
          <w:p w14:paraId="43F076F6"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VOL_COUNTY</m:t>
                </m:r>
              </m:oMath>
            </m:oMathPara>
          </w:p>
        </w:tc>
        <w:tc>
          <w:tcPr>
            <w:tcW w:w="1105" w:type="pct"/>
            <w:tcBorders>
              <w:top w:val="nil"/>
              <w:left w:val="nil"/>
              <w:bottom w:val="nil"/>
              <w:right w:val="nil"/>
            </w:tcBorders>
            <w:shd w:val="clear" w:color="auto" w:fill="auto"/>
            <w:vAlign w:val="bottom"/>
          </w:tcPr>
          <w:p w14:paraId="7B10881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1.144 (1.441)</w:t>
            </w:r>
          </w:p>
        </w:tc>
        <w:tc>
          <w:tcPr>
            <w:tcW w:w="1105" w:type="pct"/>
            <w:tcBorders>
              <w:top w:val="nil"/>
              <w:left w:val="nil"/>
              <w:bottom w:val="nil"/>
              <w:right w:val="nil"/>
            </w:tcBorders>
            <w:shd w:val="clear" w:color="auto" w:fill="auto"/>
            <w:vAlign w:val="bottom"/>
          </w:tcPr>
          <w:p w14:paraId="4441DA8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4.820** (1.466)</w:t>
            </w:r>
          </w:p>
        </w:tc>
        <w:tc>
          <w:tcPr>
            <w:tcW w:w="1102" w:type="pct"/>
            <w:tcBorders>
              <w:top w:val="nil"/>
              <w:left w:val="nil"/>
              <w:bottom w:val="nil"/>
            </w:tcBorders>
            <w:vAlign w:val="bottom"/>
          </w:tcPr>
          <w:p w14:paraId="2D6A71B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9.556*** (1.525)</w:t>
            </w:r>
          </w:p>
        </w:tc>
      </w:tr>
      <w:tr w:rsidR="00393153" w:rsidRPr="001E47AD" w14:paraId="6F5DFC4A" w14:textId="77777777" w:rsidTr="00AE69B1">
        <w:tc>
          <w:tcPr>
            <w:tcW w:w="1688" w:type="pct"/>
            <w:tcBorders>
              <w:top w:val="nil"/>
              <w:bottom w:val="nil"/>
              <w:right w:val="nil"/>
            </w:tcBorders>
            <w:shd w:val="clear" w:color="auto" w:fill="auto"/>
            <w:vAlign w:val="center"/>
          </w:tcPr>
          <w:p w14:paraId="6459A248"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VOL_STATE</m:t>
                </m:r>
              </m:oMath>
            </m:oMathPara>
          </w:p>
        </w:tc>
        <w:tc>
          <w:tcPr>
            <w:tcW w:w="1105" w:type="pct"/>
            <w:tcBorders>
              <w:top w:val="nil"/>
              <w:left w:val="nil"/>
              <w:bottom w:val="nil"/>
              <w:right w:val="nil"/>
            </w:tcBorders>
            <w:shd w:val="clear" w:color="auto" w:fill="auto"/>
            <w:vAlign w:val="bottom"/>
          </w:tcPr>
          <w:p w14:paraId="5DB396A5"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5.154*** (0.331)</w:t>
            </w:r>
          </w:p>
        </w:tc>
        <w:tc>
          <w:tcPr>
            <w:tcW w:w="1105" w:type="pct"/>
            <w:tcBorders>
              <w:top w:val="nil"/>
              <w:left w:val="nil"/>
              <w:bottom w:val="nil"/>
              <w:right w:val="nil"/>
            </w:tcBorders>
            <w:shd w:val="clear" w:color="auto" w:fill="auto"/>
            <w:vAlign w:val="bottom"/>
          </w:tcPr>
          <w:p w14:paraId="4DA726C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3.774*** (0.362)</w:t>
            </w:r>
          </w:p>
        </w:tc>
        <w:tc>
          <w:tcPr>
            <w:tcW w:w="1102" w:type="pct"/>
            <w:tcBorders>
              <w:top w:val="nil"/>
              <w:left w:val="nil"/>
              <w:bottom w:val="nil"/>
            </w:tcBorders>
            <w:vAlign w:val="bottom"/>
          </w:tcPr>
          <w:p w14:paraId="2086D31E"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2.084*** (0.340)</w:t>
            </w:r>
          </w:p>
        </w:tc>
      </w:tr>
      <w:tr w:rsidR="00393153" w:rsidRPr="001E47AD" w14:paraId="4C467D5B" w14:textId="77777777" w:rsidTr="00AE69B1">
        <w:tc>
          <w:tcPr>
            <w:tcW w:w="1688" w:type="pct"/>
            <w:tcBorders>
              <w:top w:val="nil"/>
              <w:bottom w:val="nil"/>
              <w:right w:val="nil"/>
            </w:tcBorders>
            <w:shd w:val="clear" w:color="auto" w:fill="auto"/>
            <w:vAlign w:val="center"/>
          </w:tcPr>
          <w:p w14:paraId="03A48D49"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HHI_COUNTY</m:t>
                </m:r>
              </m:oMath>
            </m:oMathPara>
          </w:p>
        </w:tc>
        <w:tc>
          <w:tcPr>
            <w:tcW w:w="1105" w:type="pct"/>
            <w:tcBorders>
              <w:top w:val="nil"/>
              <w:left w:val="nil"/>
              <w:bottom w:val="nil"/>
              <w:right w:val="nil"/>
            </w:tcBorders>
            <w:shd w:val="clear" w:color="auto" w:fill="auto"/>
            <w:vAlign w:val="bottom"/>
          </w:tcPr>
          <w:p w14:paraId="5ACCDA4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-24.555 (16.287)</w:t>
            </w:r>
          </w:p>
        </w:tc>
        <w:tc>
          <w:tcPr>
            <w:tcW w:w="1105" w:type="pct"/>
            <w:tcBorders>
              <w:top w:val="nil"/>
              <w:left w:val="nil"/>
              <w:bottom w:val="nil"/>
              <w:right w:val="nil"/>
            </w:tcBorders>
            <w:shd w:val="clear" w:color="auto" w:fill="auto"/>
            <w:vAlign w:val="bottom"/>
          </w:tcPr>
          <w:p w14:paraId="7FDF78F6"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-10.709 (15.177)</w:t>
            </w:r>
          </w:p>
        </w:tc>
        <w:tc>
          <w:tcPr>
            <w:tcW w:w="1102" w:type="pct"/>
            <w:tcBorders>
              <w:top w:val="nil"/>
              <w:left w:val="nil"/>
              <w:bottom w:val="nil"/>
            </w:tcBorders>
            <w:vAlign w:val="bottom"/>
          </w:tcPr>
          <w:p w14:paraId="3B307007"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19.235 (17.157)</w:t>
            </w:r>
          </w:p>
        </w:tc>
      </w:tr>
      <w:tr w:rsidR="00393153" w:rsidRPr="001E47AD" w14:paraId="7455DAFA" w14:textId="77777777" w:rsidTr="00AE69B1">
        <w:tc>
          <w:tcPr>
            <w:tcW w:w="1688" w:type="pct"/>
            <w:tcBorders>
              <w:top w:val="nil"/>
              <w:bottom w:val="nil"/>
              <w:right w:val="nil"/>
            </w:tcBorders>
            <w:shd w:val="clear" w:color="auto" w:fill="auto"/>
            <w:vAlign w:val="center"/>
          </w:tcPr>
          <w:p w14:paraId="4743EA78"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HHI_STATE</m:t>
                </m:r>
              </m:oMath>
            </m:oMathPara>
          </w:p>
        </w:tc>
        <w:tc>
          <w:tcPr>
            <w:tcW w:w="1105" w:type="pct"/>
            <w:tcBorders>
              <w:top w:val="nil"/>
              <w:left w:val="nil"/>
              <w:bottom w:val="nil"/>
              <w:right w:val="nil"/>
            </w:tcBorders>
            <w:shd w:val="clear" w:color="auto" w:fill="auto"/>
            <w:vAlign w:val="bottom"/>
          </w:tcPr>
          <w:p w14:paraId="1386D257" w14:textId="77777777" w:rsidR="00AE69B1" w:rsidRPr="001E47AD" w:rsidRDefault="00AE69B1" w:rsidP="00537DAE">
            <w:pPr>
              <w:spacing w:line="288" w:lineRule="auto"/>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2,908.394*** (238.989)</w:t>
            </w:r>
          </w:p>
        </w:tc>
        <w:tc>
          <w:tcPr>
            <w:tcW w:w="1105" w:type="pct"/>
            <w:tcBorders>
              <w:top w:val="nil"/>
              <w:left w:val="nil"/>
              <w:bottom w:val="nil"/>
              <w:right w:val="nil"/>
            </w:tcBorders>
            <w:shd w:val="clear" w:color="auto" w:fill="auto"/>
            <w:vAlign w:val="bottom"/>
          </w:tcPr>
          <w:p w14:paraId="364017CB" w14:textId="77777777" w:rsidR="00AE69B1" w:rsidRPr="001E47AD" w:rsidRDefault="00AE69B1" w:rsidP="00537DAE">
            <w:pPr>
              <w:spacing w:line="288" w:lineRule="auto"/>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2,684.218*** (310.251)</w:t>
            </w:r>
          </w:p>
        </w:tc>
        <w:tc>
          <w:tcPr>
            <w:tcW w:w="1102" w:type="pct"/>
            <w:tcBorders>
              <w:top w:val="nil"/>
              <w:left w:val="nil"/>
              <w:bottom w:val="nil"/>
            </w:tcBorders>
            <w:vAlign w:val="bottom"/>
          </w:tcPr>
          <w:p w14:paraId="53DD8576" w14:textId="77777777" w:rsidR="00AE69B1" w:rsidRPr="001E47AD" w:rsidRDefault="00AE69B1" w:rsidP="00537DAE">
            <w:pPr>
              <w:spacing w:line="288" w:lineRule="auto"/>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2,299.957*** (325.613)</w:t>
            </w:r>
          </w:p>
        </w:tc>
      </w:tr>
      <w:tr w:rsidR="00393153" w:rsidRPr="001E47AD" w14:paraId="5CD42F2F" w14:textId="77777777" w:rsidTr="00AE69B1">
        <w:tc>
          <w:tcPr>
            <w:tcW w:w="1688" w:type="pct"/>
            <w:tcBorders>
              <w:top w:val="nil"/>
              <w:bottom w:val="nil"/>
              <w:right w:val="nil"/>
            </w:tcBorders>
            <w:shd w:val="clear" w:color="auto" w:fill="auto"/>
            <w:vAlign w:val="center"/>
          </w:tcPr>
          <w:p w14:paraId="1CBEA43B" w14:textId="77777777" w:rsidR="00AE69B1" w:rsidRPr="001E47AD" w:rsidRDefault="00AE69B1" w:rsidP="00537DAE">
            <w:pPr>
              <w:spacing w:line="288" w:lineRule="auto"/>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Geodemographic Feature</w:t>
            </w:r>
          </w:p>
        </w:tc>
        <w:tc>
          <w:tcPr>
            <w:tcW w:w="1105" w:type="pct"/>
            <w:tcBorders>
              <w:top w:val="nil"/>
              <w:left w:val="nil"/>
              <w:bottom w:val="nil"/>
              <w:right w:val="nil"/>
            </w:tcBorders>
            <w:shd w:val="clear" w:color="auto" w:fill="auto"/>
            <w:vAlign w:val="bottom"/>
          </w:tcPr>
          <w:p w14:paraId="58AF253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5" w:type="pct"/>
            <w:tcBorders>
              <w:top w:val="nil"/>
              <w:left w:val="nil"/>
              <w:bottom w:val="nil"/>
              <w:right w:val="nil"/>
            </w:tcBorders>
            <w:shd w:val="clear" w:color="auto" w:fill="auto"/>
          </w:tcPr>
          <w:p w14:paraId="52331774"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c>
          <w:tcPr>
            <w:tcW w:w="1102" w:type="pct"/>
            <w:tcBorders>
              <w:top w:val="nil"/>
              <w:left w:val="nil"/>
              <w:bottom w:val="nil"/>
            </w:tcBorders>
          </w:tcPr>
          <w:p w14:paraId="0D1795A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p>
        </w:tc>
      </w:tr>
      <w:tr w:rsidR="00393153" w:rsidRPr="001E47AD" w14:paraId="6AC113D8" w14:textId="77777777" w:rsidTr="00AE69B1">
        <w:tc>
          <w:tcPr>
            <w:tcW w:w="1688" w:type="pct"/>
            <w:tcBorders>
              <w:top w:val="nil"/>
              <w:bottom w:val="nil"/>
              <w:right w:val="nil"/>
            </w:tcBorders>
            <w:shd w:val="clear" w:color="auto" w:fill="auto"/>
            <w:vAlign w:val="center"/>
          </w:tcPr>
          <w:p w14:paraId="5322F4EA"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POP_DEN_COUNTY</m:t>
                </m:r>
              </m:oMath>
            </m:oMathPara>
          </w:p>
        </w:tc>
        <w:tc>
          <w:tcPr>
            <w:tcW w:w="1105" w:type="pct"/>
            <w:tcBorders>
              <w:top w:val="nil"/>
              <w:left w:val="nil"/>
              <w:bottom w:val="nil"/>
              <w:right w:val="nil"/>
            </w:tcBorders>
            <w:shd w:val="clear" w:color="auto" w:fill="auto"/>
            <w:vAlign w:val="bottom"/>
          </w:tcPr>
          <w:p w14:paraId="7F1AA2D9"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-0.050 (0.056)</w:t>
            </w:r>
          </w:p>
        </w:tc>
        <w:tc>
          <w:tcPr>
            <w:tcW w:w="1105" w:type="pct"/>
            <w:tcBorders>
              <w:top w:val="nil"/>
              <w:left w:val="nil"/>
              <w:bottom w:val="nil"/>
              <w:right w:val="nil"/>
            </w:tcBorders>
            <w:shd w:val="clear" w:color="auto" w:fill="auto"/>
            <w:vAlign w:val="bottom"/>
          </w:tcPr>
          <w:p w14:paraId="3BE669F9"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-0.102** (0.038)</w:t>
            </w:r>
          </w:p>
        </w:tc>
        <w:tc>
          <w:tcPr>
            <w:tcW w:w="1102" w:type="pct"/>
            <w:tcBorders>
              <w:top w:val="nil"/>
              <w:left w:val="nil"/>
              <w:bottom w:val="nil"/>
            </w:tcBorders>
            <w:vAlign w:val="bottom"/>
          </w:tcPr>
          <w:p w14:paraId="117C5B2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-0.170*** (0.044)</w:t>
            </w:r>
          </w:p>
        </w:tc>
      </w:tr>
      <w:tr w:rsidR="00393153" w:rsidRPr="001E47AD" w14:paraId="1AAF1F13" w14:textId="77777777" w:rsidTr="00AE69B1">
        <w:tc>
          <w:tcPr>
            <w:tcW w:w="1688" w:type="pct"/>
            <w:tcBorders>
              <w:top w:val="nil"/>
              <w:bottom w:val="nil"/>
              <w:right w:val="nil"/>
            </w:tcBorders>
            <w:shd w:val="clear" w:color="auto" w:fill="auto"/>
            <w:vAlign w:val="center"/>
          </w:tcPr>
          <w:p w14:paraId="0C234646"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LAND_AREA_COUNTY</m:t>
                </m:r>
              </m:oMath>
            </m:oMathPara>
          </w:p>
        </w:tc>
        <w:tc>
          <w:tcPr>
            <w:tcW w:w="1105" w:type="pct"/>
            <w:tcBorders>
              <w:top w:val="nil"/>
              <w:left w:val="nil"/>
              <w:bottom w:val="nil"/>
              <w:right w:val="nil"/>
            </w:tcBorders>
            <w:shd w:val="clear" w:color="auto" w:fill="auto"/>
            <w:vAlign w:val="bottom"/>
          </w:tcPr>
          <w:p w14:paraId="404BA81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1.887* (0.854)</w:t>
            </w:r>
          </w:p>
        </w:tc>
        <w:tc>
          <w:tcPr>
            <w:tcW w:w="1105" w:type="pct"/>
            <w:tcBorders>
              <w:top w:val="nil"/>
              <w:left w:val="nil"/>
              <w:bottom w:val="nil"/>
              <w:right w:val="nil"/>
            </w:tcBorders>
            <w:shd w:val="clear" w:color="auto" w:fill="auto"/>
            <w:vAlign w:val="bottom"/>
          </w:tcPr>
          <w:p w14:paraId="317D8C0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2.360*** (0.514)</w:t>
            </w:r>
          </w:p>
        </w:tc>
        <w:tc>
          <w:tcPr>
            <w:tcW w:w="1102" w:type="pct"/>
            <w:tcBorders>
              <w:top w:val="nil"/>
              <w:left w:val="nil"/>
              <w:bottom w:val="nil"/>
            </w:tcBorders>
            <w:vAlign w:val="bottom"/>
          </w:tcPr>
          <w:p w14:paraId="38727995"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2.636** (0.871)</w:t>
            </w:r>
          </w:p>
        </w:tc>
      </w:tr>
      <w:tr w:rsidR="00393153" w:rsidRPr="001E47AD" w14:paraId="36F7DD8A" w14:textId="77777777" w:rsidTr="00AE69B1">
        <w:tc>
          <w:tcPr>
            <w:tcW w:w="1688" w:type="pct"/>
            <w:tcBorders>
              <w:top w:val="nil"/>
              <w:bottom w:val="nil"/>
              <w:right w:val="nil"/>
            </w:tcBorders>
            <w:shd w:val="clear" w:color="auto" w:fill="auto"/>
            <w:vAlign w:val="center"/>
          </w:tcPr>
          <w:p w14:paraId="4B47DC7D"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WATER_AREA_COUNTY</m:t>
                </m:r>
              </m:oMath>
            </m:oMathPara>
          </w:p>
        </w:tc>
        <w:tc>
          <w:tcPr>
            <w:tcW w:w="1105" w:type="pct"/>
            <w:tcBorders>
              <w:top w:val="nil"/>
              <w:left w:val="nil"/>
              <w:bottom w:val="nil"/>
              <w:right w:val="nil"/>
            </w:tcBorders>
            <w:shd w:val="clear" w:color="auto" w:fill="auto"/>
            <w:vAlign w:val="bottom"/>
          </w:tcPr>
          <w:p w14:paraId="1EE29748"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4.664*** (0.521)</w:t>
            </w:r>
          </w:p>
        </w:tc>
        <w:tc>
          <w:tcPr>
            <w:tcW w:w="1105" w:type="pct"/>
            <w:tcBorders>
              <w:top w:val="nil"/>
              <w:left w:val="nil"/>
              <w:bottom w:val="nil"/>
              <w:right w:val="nil"/>
            </w:tcBorders>
            <w:shd w:val="clear" w:color="auto" w:fill="auto"/>
            <w:vAlign w:val="bottom"/>
          </w:tcPr>
          <w:p w14:paraId="75D25FE6"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5.956*** (1.065)</w:t>
            </w:r>
          </w:p>
        </w:tc>
        <w:tc>
          <w:tcPr>
            <w:tcW w:w="1102" w:type="pct"/>
            <w:tcBorders>
              <w:top w:val="nil"/>
              <w:left w:val="nil"/>
              <w:bottom w:val="nil"/>
            </w:tcBorders>
            <w:vAlign w:val="bottom"/>
          </w:tcPr>
          <w:p w14:paraId="22B5E3FB"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7.066*** (1.362)</w:t>
            </w:r>
          </w:p>
        </w:tc>
      </w:tr>
      <w:tr w:rsidR="00393153" w:rsidRPr="001E47AD" w14:paraId="69E23924" w14:textId="77777777" w:rsidTr="00AE69B1">
        <w:tc>
          <w:tcPr>
            <w:tcW w:w="1688" w:type="pct"/>
            <w:tcBorders>
              <w:top w:val="nil"/>
              <w:bottom w:val="nil"/>
              <w:right w:val="nil"/>
            </w:tcBorders>
            <w:shd w:val="clear" w:color="auto" w:fill="auto"/>
            <w:vAlign w:val="center"/>
          </w:tcPr>
          <w:p w14:paraId="5DFACA4D"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POP_DEN_STATE</m:t>
                </m:r>
              </m:oMath>
            </m:oMathPara>
          </w:p>
        </w:tc>
        <w:tc>
          <w:tcPr>
            <w:tcW w:w="1105" w:type="pct"/>
            <w:tcBorders>
              <w:top w:val="nil"/>
              <w:left w:val="nil"/>
              <w:bottom w:val="nil"/>
              <w:right w:val="nil"/>
            </w:tcBorders>
            <w:shd w:val="clear" w:color="auto" w:fill="auto"/>
            <w:vAlign w:val="bottom"/>
          </w:tcPr>
          <w:p w14:paraId="792FDDA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-3.384*** (0.259)</w:t>
            </w:r>
          </w:p>
        </w:tc>
        <w:tc>
          <w:tcPr>
            <w:tcW w:w="1105" w:type="pct"/>
            <w:tcBorders>
              <w:top w:val="nil"/>
              <w:left w:val="nil"/>
              <w:bottom w:val="nil"/>
              <w:right w:val="nil"/>
            </w:tcBorders>
            <w:shd w:val="clear" w:color="auto" w:fill="auto"/>
            <w:vAlign w:val="bottom"/>
          </w:tcPr>
          <w:p w14:paraId="3C56A51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-4.019*** (0.505)</w:t>
            </w:r>
          </w:p>
        </w:tc>
        <w:tc>
          <w:tcPr>
            <w:tcW w:w="1102" w:type="pct"/>
            <w:tcBorders>
              <w:top w:val="nil"/>
              <w:left w:val="nil"/>
              <w:bottom w:val="nil"/>
            </w:tcBorders>
            <w:vAlign w:val="bottom"/>
          </w:tcPr>
          <w:p w14:paraId="6308F66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-4.104*** (0.468)</w:t>
            </w:r>
          </w:p>
        </w:tc>
      </w:tr>
      <w:tr w:rsidR="00393153" w:rsidRPr="001E47AD" w14:paraId="2CB31FF3" w14:textId="77777777" w:rsidTr="00AE69B1">
        <w:tc>
          <w:tcPr>
            <w:tcW w:w="1688" w:type="pct"/>
            <w:tcBorders>
              <w:top w:val="nil"/>
              <w:bottom w:val="nil"/>
              <w:right w:val="nil"/>
            </w:tcBorders>
            <w:shd w:val="clear" w:color="auto" w:fill="auto"/>
            <w:vAlign w:val="center"/>
          </w:tcPr>
          <w:p w14:paraId="26B704DA"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LAND_AREA_STATE</m:t>
                </m:r>
              </m:oMath>
            </m:oMathPara>
          </w:p>
        </w:tc>
        <w:tc>
          <w:tcPr>
            <w:tcW w:w="1105" w:type="pct"/>
            <w:tcBorders>
              <w:top w:val="nil"/>
              <w:left w:val="nil"/>
              <w:bottom w:val="nil"/>
              <w:right w:val="nil"/>
            </w:tcBorders>
            <w:shd w:val="clear" w:color="auto" w:fill="auto"/>
            <w:vAlign w:val="bottom"/>
          </w:tcPr>
          <w:p w14:paraId="5641F2D0"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-0.528*** (0.041)</w:t>
            </w:r>
          </w:p>
        </w:tc>
        <w:tc>
          <w:tcPr>
            <w:tcW w:w="1105" w:type="pct"/>
            <w:tcBorders>
              <w:top w:val="nil"/>
              <w:left w:val="nil"/>
              <w:bottom w:val="nil"/>
              <w:right w:val="nil"/>
            </w:tcBorders>
            <w:shd w:val="clear" w:color="auto" w:fill="auto"/>
            <w:vAlign w:val="bottom"/>
          </w:tcPr>
          <w:p w14:paraId="3B0D0AAD"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-0.579*** (0.034)</w:t>
            </w:r>
          </w:p>
        </w:tc>
        <w:tc>
          <w:tcPr>
            <w:tcW w:w="1102" w:type="pct"/>
            <w:tcBorders>
              <w:top w:val="nil"/>
              <w:left w:val="nil"/>
              <w:bottom w:val="nil"/>
            </w:tcBorders>
            <w:vAlign w:val="bottom"/>
          </w:tcPr>
          <w:p w14:paraId="7E5F6503"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-0.602*** (0.034)</w:t>
            </w:r>
          </w:p>
        </w:tc>
      </w:tr>
      <w:tr w:rsidR="00393153" w:rsidRPr="001E47AD" w14:paraId="234B513C" w14:textId="77777777" w:rsidTr="00AE69B1">
        <w:tc>
          <w:tcPr>
            <w:tcW w:w="1688" w:type="pct"/>
            <w:tcBorders>
              <w:top w:val="nil"/>
              <w:bottom w:val="nil"/>
              <w:right w:val="nil"/>
            </w:tcBorders>
            <w:shd w:val="clear" w:color="auto" w:fill="auto"/>
            <w:vAlign w:val="center"/>
          </w:tcPr>
          <w:p w14:paraId="6EDD6A7E"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WATER_AREA_STATE</m:t>
                </m:r>
              </m:oMath>
            </m:oMathPara>
          </w:p>
        </w:tc>
        <w:tc>
          <w:tcPr>
            <w:tcW w:w="1105" w:type="pct"/>
            <w:tcBorders>
              <w:top w:val="nil"/>
              <w:left w:val="nil"/>
              <w:bottom w:val="nil"/>
              <w:right w:val="nil"/>
            </w:tcBorders>
            <w:shd w:val="clear" w:color="auto" w:fill="auto"/>
            <w:vAlign w:val="bottom"/>
          </w:tcPr>
          <w:p w14:paraId="3F4B4CF9"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0.746*** (0.184)</w:t>
            </w:r>
          </w:p>
        </w:tc>
        <w:tc>
          <w:tcPr>
            <w:tcW w:w="1105" w:type="pct"/>
            <w:tcBorders>
              <w:top w:val="nil"/>
              <w:left w:val="nil"/>
              <w:bottom w:val="nil"/>
              <w:right w:val="nil"/>
            </w:tcBorders>
            <w:shd w:val="clear" w:color="auto" w:fill="auto"/>
            <w:vAlign w:val="bottom"/>
          </w:tcPr>
          <w:p w14:paraId="46D4C73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0.853*** (0.182)</w:t>
            </w:r>
          </w:p>
        </w:tc>
        <w:tc>
          <w:tcPr>
            <w:tcW w:w="1102" w:type="pct"/>
            <w:tcBorders>
              <w:top w:val="nil"/>
              <w:left w:val="nil"/>
              <w:bottom w:val="nil"/>
            </w:tcBorders>
            <w:vAlign w:val="bottom"/>
          </w:tcPr>
          <w:p w14:paraId="6BEAA1B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0.203 (0.133)</w:t>
            </w:r>
          </w:p>
        </w:tc>
      </w:tr>
      <w:tr w:rsidR="00393153" w:rsidRPr="001E47AD" w14:paraId="2FF5B7F5" w14:textId="77777777" w:rsidTr="00AE69B1">
        <w:tc>
          <w:tcPr>
            <w:tcW w:w="1688" w:type="pct"/>
            <w:tcBorders>
              <w:top w:val="nil"/>
              <w:bottom w:val="single" w:sz="4" w:space="0" w:color="auto"/>
              <w:right w:val="nil"/>
            </w:tcBorders>
            <w:shd w:val="clear" w:color="auto" w:fill="auto"/>
            <w:vAlign w:val="center"/>
          </w:tcPr>
          <w:p w14:paraId="1B783D98"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CONSTANT</m:t>
                </m:r>
              </m:oMath>
            </m:oMathPara>
          </w:p>
        </w:tc>
        <w:tc>
          <w:tcPr>
            <w:tcW w:w="1105" w:type="pct"/>
            <w:tcBorders>
              <w:top w:val="nil"/>
              <w:left w:val="nil"/>
              <w:bottom w:val="single" w:sz="4" w:space="0" w:color="auto"/>
              <w:right w:val="nil"/>
            </w:tcBorders>
            <w:shd w:val="clear" w:color="auto" w:fill="auto"/>
            <w:vAlign w:val="bottom"/>
          </w:tcPr>
          <w:p w14:paraId="6EDFBF0A"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-427.472*** (97.170)</w:t>
            </w:r>
          </w:p>
        </w:tc>
        <w:tc>
          <w:tcPr>
            <w:tcW w:w="1105" w:type="pct"/>
            <w:tcBorders>
              <w:top w:val="nil"/>
              <w:left w:val="nil"/>
              <w:bottom w:val="single" w:sz="4" w:space="0" w:color="auto"/>
              <w:right w:val="nil"/>
            </w:tcBorders>
            <w:shd w:val="clear" w:color="auto" w:fill="auto"/>
            <w:vAlign w:val="bottom"/>
          </w:tcPr>
          <w:p w14:paraId="18B0E622"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-274.919*** (67.448)</w:t>
            </w:r>
          </w:p>
        </w:tc>
        <w:tc>
          <w:tcPr>
            <w:tcW w:w="1102" w:type="pct"/>
            <w:tcBorders>
              <w:top w:val="nil"/>
              <w:left w:val="nil"/>
              <w:bottom w:val="single" w:sz="4" w:space="0" w:color="auto"/>
            </w:tcBorders>
            <w:vAlign w:val="bottom"/>
          </w:tcPr>
          <w:p w14:paraId="557977C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-277.159*** (76.007)</w:t>
            </w:r>
          </w:p>
        </w:tc>
      </w:tr>
      <w:tr w:rsidR="00393153" w:rsidRPr="001E47AD" w14:paraId="0AF6D7B1" w14:textId="77777777" w:rsidTr="00AE69B1">
        <w:tc>
          <w:tcPr>
            <w:tcW w:w="1688" w:type="pct"/>
            <w:tcBorders>
              <w:top w:val="single" w:sz="4" w:space="0" w:color="auto"/>
              <w:bottom w:val="single" w:sz="4" w:space="0" w:color="auto"/>
              <w:right w:val="nil"/>
            </w:tcBorders>
            <w:vAlign w:val="center"/>
          </w:tcPr>
          <w:p w14:paraId="009F0C99"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Observations</m:t>
                </m:r>
              </m:oMath>
            </m:oMathPara>
          </w:p>
        </w:tc>
        <w:tc>
          <w:tcPr>
            <w:tcW w:w="1105" w:type="pct"/>
            <w:tcBorders>
              <w:top w:val="single" w:sz="4" w:space="0" w:color="auto"/>
              <w:left w:val="nil"/>
              <w:bottom w:val="single" w:sz="4" w:space="0" w:color="auto"/>
              <w:right w:val="nil"/>
            </w:tcBorders>
            <w:shd w:val="clear" w:color="auto" w:fill="auto"/>
            <w:vAlign w:val="bottom"/>
          </w:tcPr>
          <w:p w14:paraId="70B2EDD8"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38,418</w:t>
            </w:r>
          </w:p>
        </w:tc>
        <w:tc>
          <w:tcPr>
            <w:tcW w:w="1105" w:type="pct"/>
            <w:tcBorders>
              <w:top w:val="single" w:sz="4" w:space="0" w:color="auto"/>
              <w:left w:val="nil"/>
              <w:bottom w:val="single" w:sz="4" w:space="0" w:color="auto"/>
              <w:right w:val="nil"/>
            </w:tcBorders>
            <w:shd w:val="clear" w:color="auto" w:fill="auto"/>
          </w:tcPr>
          <w:p w14:paraId="1B5B7461"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38,418</w:t>
            </w:r>
          </w:p>
        </w:tc>
        <w:tc>
          <w:tcPr>
            <w:tcW w:w="1102" w:type="pct"/>
            <w:tcBorders>
              <w:top w:val="single" w:sz="4" w:space="0" w:color="auto"/>
              <w:left w:val="nil"/>
              <w:bottom w:val="single" w:sz="4" w:space="0" w:color="auto"/>
            </w:tcBorders>
          </w:tcPr>
          <w:p w14:paraId="1E8C6476"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38,418</w:t>
            </w:r>
          </w:p>
        </w:tc>
      </w:tr>
      <w:tr w:rsidR="00393153" w:rsidRPr="001E47AD" w14:paraId="533DB1D7" w14:textId="77777777" w:rsidTr="00AE69B1">
        <w:tc>
          <w:tcPr>
            <w:tcW w:w="1688" w:type="pct"/>
            <w:tcBorders>
              <w:top w:val="single" w:sz="4" w:space="0" w:color="auto"/>
              <w:bottom w:val="single" w:sz="4" w:space="0" w:color="auto"/>
              <w:right w:val="nil"/>
            </w:tcBorders>
            <w:vAlign w:val="center"/>
          </w:tcPr>
          <w:p w14:paraId="3ABD4617" w14:textId="77777777" w:rsidR="00AE69B1" w:rsidRPr="001E47AD" w:rsidRDefault="00AE69B1" w:rsidP="00537DAE">
            <w:pPr>
              <w:spacing w:line="288" w:lineRule="auto"/>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Pseudo R2</m:t>
                </m:r>
              </m:oMath>
            </m:oMathPara>
          </w:p>
        </w:tc>
        <w:tc>
          <w:tcPr>
            <w:tcW w:w="1105" w:type="pct"/>
            <w:tcBorders>
              <w:top w:val="single" w:sz="4" w:space="0" w:color="auto"/>
              <w:left w:val="nil"/>
              <w:bottom w:val="single" w:sz="4" w:space="0" w:color="auto"/>
              <w:right w:val="nil"/>
            </w:tcBorders>
            <w:shd w:val="clear" w:color="auto" w:fill="auto"/>
            <w:vAlign w:val="bottom"/>
          </w:tcPr>
          <w:p w14:paraId="0A36C151"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0.2346</w:t>
            </w:r>
          </w:p>
        </w:tc>
        <w:tc>
          <w:tcPr>
            <w:tcW w:w="1105" w:type="pct"/>
            <w:tcBorders>
              <w:top w:val="single" w:sz="4" w:space="0" w:color="auto"/>
              <w:left w:val="nil"/>
              <w:bottom w:val="single" w:sz="4" w:space="0" w:color="auto"/>
              <w:right w:val="nil"/>
            </w:tcBorders>
            <w:shd w:val="clear" w:color="auto" w:fill="auto"/>
          </w:tcPr>
          <w:p w14:paraId="71A2F58C"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0.3161</w:t>
            </w:r>
          </w:p>
        </w:tc>
        <w:tc>
          <w:tcPr>
            <w:tcW w:w="1102" w:type="pct"/>
            <w:tcBorders>
              <w:top w:val="single" w:sz="4" w:space="0" w:color="auto"/>
              <w:left w:val="nil"/>
              <w:bottom w:val="single" w:sz="4" w:space="0" w:color="auto"/>
            </w:tcBorders>
          </w:tcPr>
          <w:p w14:paraId="13B2F3BF" w14:textId="77777777" w:rsidR="00AE69B1" w:rsidRPr="001E47AD" w:rsidRDefault="00AE69B1" w:rsidP="00537DAE">
            <w:pPr>
              <w:spacing w:line="288" w:lineRule="auto"/>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0.3693</w:t>
            </w:r>
          </w:p>
        </w:tc>
      </w:tr>
    </w:tbl>
    <w:p w14:paraId="00DC5B94" w14:textId="21031376" w:rsidR="00FB6196" w:rsidRPr="001E47AD" w:rsidRDefault="00FB6196" w:rsidP="00124569">
      <w:pPr>
        <w:jc w:val="both"/>
        <w:rPr>
          <w:lang w:eastAsia="zh-CN"/>
        </w:rPr>
      </w:pPr>
      <w:r w:rsidRPr="001E47AD">
        <w:rPr>
          <w:sz w:val="20"/>
          <w:szCs w:val="20"/>
        </w:rPr>
        <w:t xml:space="preserve">Note: </w:t>
      </w:r>
      <w:r w:rsidR="00514CB2" w:rsidRPr="001E47AD">
        <w:rPr>
          <w:sz w:val="20"/>
          <w:szCs w:val="20"/>
        </w:rPr>
        <w:t xml:space="preserve">The table shows estimated coefficients. </w:t>
      </w:r>
      <w:r w:rsidRPr="001E47AD">
        <w:rPr>
          <w:sz w:val="20"/>
          <w:szCs w:val="20"/>
        </w:rPr>
        <w:t>Bootstrap standard errors in parentheses. * p&lt;0.1, ** p&lt;0.01, *** p&lt;0.001.</w:t>
      </w:r>
    </w:p>
    <w:p w14:paraId="20B1E168" w14:textId="77777777" w:rsidR="00A2033D" w:rsidRPr="001E47AD" w:rsidRDefault="00A2033D" w:rsidP="00FB6196">
      <w:pPr>
        <w:rPr>
          <w:lang w:eastAsia="zh-CN"/>
        </w:rPr>
      </w:pPr>
    </w:p>
    <w:p w14:paraId="632125CD" w14:textId="77777777" w:rsidR="00A2033D" w:rsidRPr="001E47AD" w:rsidRDefault="00A2033D" w:rsidP="00A2033D">
      <w:pPr>
        <w:rPr>
          <w:lang w:eastAsia="zh-CN"/>
        </w:rPr>
      </w:pPr>
    </w:p>
    <w:p w14:paraId="09B418B5" w14:textId="77777777" w:rsidR="00FB6196" w:rsidRPr="001E47AD" w:rsidRDefault="00FB6196" w:rsidP="00A2033D">
      <w:pPr>
        <w:rPr>
          <w:lang w:eastAsia="zh-CN"/>
        </w:rPr>
        <w:sectPr w:rsidR="00FB6196" w:rsidRPr="001E47AD" w:rsidSect="009C01AC">
          <w:endnotePr>
            <w:numFmt w:val="decimal"/>
            <w:numRestart w:val="eachSect"/>
          </w:endnotePr>
          <w:pgSz w:w="12240" w:h="15840"/>
          <w:pgMar w:top="1440" w:right="1440" w:bottom="1440" w:left="1440" w:header="720" w:footer="720" w:gutter="0"/>
          <w:cols w:space="720"/>
          <w:docGrid w:linePitch="360"/>
        </w:sectPr>
      </w:pPr>
    </w:p>
    <w:p w14:paraId="794611E0" w14:textId="49D5EDFD" w:rsidR="009F7FF5" w:rsidRPr="001E47AD" w:rsidRDefault="009F7FF5" w:rsidP="009F7FF5">
      <w:pPr>
        <w:tabs>
          <w:tab w:val="left" w:pos="8361"/>
        </w:tabs>
        <w:spacing w:line="360" w:lineRule="auto"/>
        <w:contextualSpacing/>
        <w:rPr>
          <w:b/>
          <w:sz w:val="22"/>
          <w:szCs w:val="22"/>
        </w:rPr>
      </w:pPr>
      <w:r w:rsidRPr="001E47AD">
        <w:rPr>
          <w:sz w:val="22"/>
          <w:szCs w:val="22"/>
        </w:rPr>
        <w:lastRenderedPageBreak/>
        <w:t xml:space="preserve">Table A4: Robustness Check </w:t>
      </w:r>
      <w:r w:rsidR="00310856" w:rsidRPr="001E47AD">
        <w:rPr>
          <w:sz w:val="22"/>
          <w:szCs w:val="22"/>
        </w:rPr>
        <w:t xml:space="preserve">II </w:t>
      </w:r>
      <w:r w:rsidRPr="001E47AD">
        <w:rPr>
          <w:sz w:val="22"/>
          <w:szCs w:val="22"/>
        </w:rPr>
        <w:t>(</w:t>
      </w:r>
      <w:r w:rsidR="008509C0" w:rsidRPr="001E47AD">
        <w:rPr>
          <w:sz w:val="22"/>
          <w:szCs w:val="22"/>
        </w:rPr>
        <w:t xml:space="preserve">Second-Stage of 2SLS: </w:t>
      </w:r>
      <w:r w:rsidRPr="001E47AD">
        <w:rPr>
          <w:sz w:val="22"/>
          <w:szCs w:val="22"/>
        </w:rPr>
        <w:t>In-Store Product Availability)</w:t>
      </w:r>
      <w:r w:rsidRPr="001E47AD">
        <w:rPr>
          <w:sz w:val="22"/>
          <w:szCs w:val="22"/>
        </w:rPr>
        <w:tab/>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016"/>
        <w:gridCol w:w="1984"/>
        <w:gridCol w:w="1984"/>
        <w:gridCol w:w="1984"/>
        <w:gridCol w:w="1982"/>
      </w:tblGrid>
      <w:tr w:rsidR="009F7FF5" w:rsidRPr="001E47AD" w14:paraId="4BC74CAB" w14:textId="77777777" w:rsidTr="00F56D1C">
        <w:tc>
          <w:tcPr>
            <w:tcW w:w="1224" w:type="pct"/>
            <w:tcBorders>
              <w:top w:val="single" w:sz="4" w:space="0" w:color="auto"/>
              <w:bottom w:val="single" w:sz="4" w:space="0" w:color="auto"/>
            </w:tcBorders>
            <w:vAlign w:val="center"/>
          </w:tcPr>
          <w:p w14:paraId="1028AE65" w14:textId="77777777" w:rsidR="009F7FF5" w:rsidRPr="001E47AD" w:rsidRDefault="009F7FF5" w:rsidP="00F56D1C">
            <w:pPr>
              <w:contextualSpacing/>
              <w:rPr>
                <w:rFonts w:ascii="Times New Roman" w:hAnsi="Times New Roman" w:cs="Times New Roman"/>
                <w:sz w:val="16"/>
                <w:szCs w:val="16"/>
              </w:rPr>
            </w:pPr>
            <w:r w:rsidRPr="001E47AD">
              <w:rPr>
                <w:rFonts w:ascii="Times New Roman" w:hAnsi="Times New Roman" w:cs="Times New Roman"/>
                <w:sz w:val="16"/>
                <w:szCs w:val="16"/>
              </w:rPr>
              <w:t>Dependent Variable</w:t>
            </w:r>
          </w:p>
          <w:p w14:paraId="03B72173" w14:textId="77777777" w:rsidR="009F7FF5" w:rsidRPr="001E47AD" w:rsidRDefault="009F7FF5" w:rsidP="00F56D1C">
            <w:pPr>
              <w:contextualSpacing/>
              <w:rPr>
                <w:rFonts w:ascii="Times New Roman" w:hAnsi="Times New Roman" w:cs="Times New Roman"/>
                <w:spacing w:val="-4"/>
                <w:sz w:val="16"/>
                <w:szCs w:val="16"/>
              </w:rPr>
            </w:pPr>
            <m:oMathPara>
              <m:oMathParaPr>
                <m:jc m:val="left"/>
              </m:oMathParaPr>
              <m:oMath>
                <m:r>
                  <m:rPr>
                    <m:sty m:val="p"/>
                  </m:rPr>
                  <w:rPr>
                    <w:rFonts w:ascii="Cambria Math" w:hAnsi="Cambria Math" w:cs="Times New Roman"/>
                    <w:sz w:val="16"/>
                    <w:szCs w:val="16"/>
                  </w:rPr>
                  <m:t>LN(PRODUCT_AVAIL_LATE\_POST)×1000</m:t>
                </m:r>
              </m:oMath>
            </m:oMathPara>
          </w:p>
        </w:tc>
        <w:tc>
          <w:tcPr>
            <w:tcW w:w="765" w:type="pct"/>
            <w:tcBorders>
              <w:top w:val="single" w:sz="4" w:space="0" w:color="auto"/>
              <w:bottom w:val="single" w:sz="4" w:space="0" w:color="auto"/>
            </w:tcBorders>
            <w:vAlign w:val="center"/>
          </w:tcPr>
          <w:p w14:paraId="238AFA91"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2.1</w:t>
            </w:r>
          </w:p>
          <w:p w14:paraId="25BB5296"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LATE Week</w:t>
            </w:r>
          </w:p>
        </w:tc>
        <w:tc>
          <w:tcPr>
            <w:tcW w:w="753" w:type="pct"/>
            <w:tcBorders>
              <w:top w:val="single" w:sz="4" w:space="0" w:color="auto"/>
              <w:bottom w:val="single" w:sz="4" w:space="0" w:color="auto"/>
            </w:tcBorders>
            <w:shd w:val="clear" w:color="auto" w:fill="auto"/>
            <w:vAlign w:val="center"/>
          </w:tcPr>
          <w:p w14:paraId="1E5C0A07"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2.2</w:t>
            </w:r>
          </w:p>
          <w:p w14:paraId="4BF97799"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1</w:t>
            </w:r>
          </w:p>
        </w:tc>
        <w:tc>
          <w:tcPr>
            <w:tcW w:w="753" w:type="pct"/>
            <w:tcBorders>
              <w:top w:val="single" w:sz="4" w:space="0" w:color="auto"/>
              <w:bottom w:val="single" w:sz="4" w:space="0" w:color="auto"/>
            </w:tcBorders>
            <w:vAlign w:val="center"/>
          </w:tcPr>
          <w:p w14:paraId="3C6E063E"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2.3</w:t>
            </w:r>
          </w:p>
          <w:p w14:paraId="63F2544F"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2</w:t>
            </w:r>
          </w:p>
        </w:tc>
        <w:tc>
          <w:tcPr>
            <w:tcW w:w="753" w:type="pct"/>
            <w:tcBorders>
              <w:top w:val="single" w:sz="4" w:space="0" w:color="auto"/>
              <w:bottom w:val="single" w:sz="4" w:space="0" w:color="auto"/>
            </w:tcBorders>
            <w:vAlign w:val="center"/>
          </w:tcPr>
          <w:p w14:paraId="62994818"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2.4</w:t>
            </w:r>
          </w:p>
          <w:p w14:paraId="2D6FA20D"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3</w:t>
            </w:r>
          </w:p>
        </w:tc>
        <w:tc>
          <w:tcPr>
            <w:tcW w:w="752" w:type="pct"/>
            <w:tcBorders>
              <w:top w:val="single" w:sz="4" w:space="0" w:color="auto"/>
              <w:bottom w:val="single" w:sz="4" w:space="0" w:color="auto"/>
            </w:tcBorders>
          </w:tcPr>
          <w:p w14:paraId="2EA8A4B1"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Model 2.5</w:t>
            </w:r>
          </w:p>
          <w:p w14:paraId="16C2D738" w14:textId="77777777" w:rsidR="009F7FF5" w:rsidRPr="001E47AD" w:rsidRDefault="009F7FF5" w:rsidP="00F56D1C">
            <w:pPr>
              <w:contextualSpacing/>
              <w:jc w:val="center"/>
              <w:rPr>
                <w:rFonts w:ascii="Times New Roman" w:hAnsi="Times New Roman" w:cs="Times New Roman"/>
                <w:sz w:val="16"/>
                <w:szCs w:val="16"/>
              </w:rPr>
            </w:pPr>
            <w:r w:rsidRPr="001E47AD">
              <w:rPr>
                <w:rFonts w:ascii="Times New Roman" w:hAnsi="Times New Roman" w:cs="Times New Roman"/>
                <w:sz w:val="16"/>
                <w:szCs w:val="16"/>
              </w:rPr>
              <w:t>POST Week 4</w:t>
            </w:r>
          </w:p>
        </w:tc>
      </w:tr>
      <w:tr w:rsidR="009F7FF5" w:rsidRPr="001E47AD" w14:paraId="3D16311B" w14:textId="77777777" w:rsidTr="00F56D1C">
        <w:tc>
          <w:tcPr>
            <w:tcW w:w="1224" w:type="pct"/>
            <w:tcBorders>
              <w:top w:val="single" w:sz="4" w:space="0" w:color="auto"/>
              <w:left w:val="nil"/>
              <w:bottom w:val="single" w:sz="4" w:space="0" w:color="auto"/>
              <w:right w:val="nil"/>
            </w:tcBorders>
            <w:shd w:val="clear" w:color="auto" w:fill="auto"/>
            <w:vAlign w:val="center"/>
          </w:tcPr>
          <w:p w14:paraId="37D52758"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PREDICTED_STOCK_PROP_EARLY</m:t>
                </m:r>
              </m:oMath>
            </m:oMathPara>
          </w:p>
        </w:tc>
        <w:tc>
          <w:tcPr>
            <w:tcW w:w="765" w:type="pct"/>
            <w:tcBorders>
              <w:top w:val="single" w:sz="4" w:space="0" w:color="auto"/>
              <w:left w:val="nil"/>
              <w:bottom w:val="single" w:sz="4" w:space="0" w:color="auto"/>
              <w:right w:val="nil"/>
            </w:tcBorders>
            <w:shd w:val="clear" w:color="auto" w:fill="auto"/>
            <w:vAlign w:val="bottom"/>
          </w:tcPr>
          <w:p w14:paraId="0753320A" w14:textId="77777777" w:rsidR="009F7FF5" w:rsidRPr="001E47AD" w:rsidRDefault="009F7FF5" w:rsidP="00F56D1C">
            <w:pPr>
              <w:jc w:val="right"/>
              <w:rPr>
                <w:rFonts w:ascii="Times New Roman" w:hAnsi="Times New Roman" w:cs="Times New Roman"/>
                <w:i/>
                <w:sz w:val="16"/>
                <w:szCs w:val="16"/>
                <w:lang w:val="en-CA"/>
              </w:rPr>
            </w:pPr>
            <w:r w:rsidRPr="001E47AD">
              <w:rPr>
                <w:rFonts w:ascii="Times New Roman" w:hAnsi="Times New Roman" w:cs="Times New Roman"/>
                <w:i/>
                <w:sz w:val="16"/>
                <w:szCs w:val="16"/>
              </w:rPr>
              <w:t>-0.132*** (0.032)</w:t>
            </w:r>
          </w:p>
        </w:tc>
        <w:tc>
          <w:tcPr>
            <w:tcW w:w="753" w:type="pct"/>
            <w:tcBorders>
              <w:top w:val="single" w:sz="4" w:space="0" w:color="auto"/>
              <w:left w:val="nil"/>
              <w:bottom w:val="single" w:sz="4" w:space="0" w:color="auto"/>
              <w:right w:val="nil"/>
            </w:tcBorders>
            <w:shd w:val="clear" w:color="auto" w:fill="auto"/>
            <w:vAlign w:val="bottom"/>
          </w:tcPr>
          <w:p w14:paraId="1DB35FA9" w14:textId="77777777" w:rsidR="009F7FF5" w:rsidRPr="001E47AD" w:rsidRDefault="009F7FF5" w:rsidP="00F56D1C">
            <w:pPr>
              <w:jc w:val="right"/>
              <w:rPr>
                <w:rFonts w:ascii="Times New Roman" w:hAnsi="Times New Roman" w:cs="Times New Roman"/>
                <w:i/>
                <w:sz w:val="16"/>
                <w:szCs w:val="16"/>
              </w:rPr>
            </w:pPr>
            <w:r w:rsidRPr="001E47AD">
              <w:rPr>
                <w:rFonts w:ascii="Times New Roman" w:hAnsi="Times New Roman" w:cs="Times New Roman"/>
                <w:i/>
                <w:sz w:val="16"/>
                <w:szCs w:val="16"/>
              </w:rPr>
              <w:t>-0.104*** (0.031)</w:t>
            </w:r>
          </w:p>
        </w:tc>
        <w:tc>
          <w:tcPr>
            <w:tcW w:w="753" w:type="pct"/>
            <w:tcBorders>
              <w:top w:val="single" w:sz="4" w:space="0" w:color="auto"/>
              <w:left w:val="nil"/>
              <w:bottom w:val="single" w:sz="4" w:space="0" w:color="auto"/>
              <w:right w:val="nil"/>
            </w:tcBorders>
            <w:shd w:val="clear" w:color="auto" w:fill="auto"/>
            <w:vAlign w:val="bottom"/>
          </w:tcPr>
          <w:p w14:paraId="05698873" w14:textId="77777777" w:rsidR="009F7FF5" w:rsidRPr="001E47AD" w:rsidRDefault="009F7FF5" w:rsidP="00F56D1C">
            <w:pPr>
              <w:jc w:val="right"/>
              <w:rPr>
                <w:rFonts w:ascii="Times New Roman" w:hAnsi="Times New Roman" w:cs="Times New Roman"/>
                <w:i/>
                <w:sz w:val="16"/>
                <w:szCs w:val="16"/>
              </w:rPr>
            </w:pPr>
            <w:r w:rsidRPr="001E47AD">
              <w:rPr>
                <w:rFonts w:ascii="Times New Roman" w:hAnsi="Times New Roman" w:cs="Times New Roman"/>
                <w:i/>
                <w:sz w:val="16"/>
                <w:szCs w:val="16"/>
              </w:rPr>
              <w:t>-0.044 (0.031)</w:t>
            </w:r>
          </w:p>
        </w:tc>
        <w:tc>
          <w:tcPr>
            <w:tcW w:w="753" w:type="pct"/>
            <w:tcBorders>
              <w:top w:val="single" w:sz="4" w:space="0" w:color="auto"/>
              <w:left w:val="nil"/>
              <w:bottom w:val="single" w:sz="4" w:space="0" w:color="auto"/>
              <w:right w:val="nil"/>
            </w:tcBorders>
            <w:shd w:val="clear" w:color="auto" w:fill="auto"/>
            <w:vAlign w:val="bottom"/>
          </w:tcPr>
          <w:p w14:paraId="3CA46424" w14:textId="77777777" w:rsidR="009F7FF5" w:rsidRPr="001E47AD" w:rsidRDefault="009F7FF5" w:rsidP="00F56D1C">
            <w:pPr>
              <w:jc w:val="right"/>
              <w:rPr>
                <w:rFonts w:ascii="Times New Roman" w:hAnsi="Times New Roman" w:cs="Times New Roman"/>
                <w:i/>
                <w:sz w:val="16"/>
                <w:szCs w:val="16"/>
              </w:rPr>
            </w:pPr>
            <w:r w:rsidRPr="001E47AD">
              <w:rPr>
                <w:rFonts w:ascii="Times New Roman" w:hAnsi="Times New Roman" w:cs="Times New Roman"/>
                <w:i/>
                <w:sz w:val="16"/>
                <w:szCs w:val="16"/>
              </w:rPr>
              <w:t>-0.022 (0.031)</w:t>
            </w:r>
          </w:p>
        </w:tc>
        <w:tc>
          <w:tcPr>
            <w:tcW w:w="752" w:type="pct"/>
            <w:tcBorders>
              <w:top w:val="single" w:sz="4" w:space="0" w:color="auto"/>
              <w:left w:val="nil"/>
              <w:bottom w:val="single" w:sz="4" w:space="0" w:color="auto"/>
              <w:right w:val="nil"/>
            </w:tcBorders>
            <w:shd w:val="clear" w:color="auto" w:fill="auto"/>
            <w:vAlign w:val="bottom"/>
          </w:tcPr>
          <w:p w14:paraId="09A2940B" w14:textId="77777777" w:rsidR="009F7FF5" w:rsidRPr="001E47AD" w:rsidRDefault="009F7FF5" w:rsidP="00F56D1C">
            <w:pPr>
              <w:jc w:val="right"/>
              <w:rPr>
                <w:rFonts w:ascii="Times New Roman" w:hAnsi="Times New Roman" w:cs="Times New Roman"/>
                <w:i/>
                <w:sz w:val="16"/>
                <w:szCs w:val="16"/>
              </w:rPr>
            </w:pPr>
            <w:r w:rsidRPr="001E47AD">
              <w:rPr>
                <w:rFonts w:ascii="Times New Roman" w:hAnsi="Times New Roman" w:cs="Times New Roman"/>
                <w:i/>
                <w:sz w:val="16"/>
                <w:szCs w:val="16"/>
              </w:rPr>
              <w:t>-0.045 (0.032)</w:t>
            </w:r>
          </w:p>
        </w:tc>
      </w:tr>
      <w:tr w:rsidR="009F7FF5" w:rsidRPr="001E47AD" w14:paraId="1F63E930" w14:textId="77777777" w:rsidTr="00F56D1C">
        <w:tc>
          <w:tcPr>
            <w:tcW w:w="1224" w:type="pct"/>
            <w:tcBorders>
              <w:top w:val="single" w:sz="4" w:space="0" w:color="auto"/>
              <w:left w:val="nil"/>
              <w:bottom w:val="nil"/>
              <w:right w:val="nil"/>
            </w:tcBorders>
            <w:shd w:val="clear" w:color="auto" w:fill="auto"/>
            <w:vAlign w:val="center"/>
          </w:tcPr>
          <w:p w14:paraId="17669AC0" w14:textId="77777777" w:rsidR="009F7FF5" w:rsidRPr="001E47AD" w:rsidRDefault="009F7FF5" w:rsidP="00F56D1C">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Independent Variables</w:t>
            </w:r>
          </w:p>
        </w:tc>
        <w:tc>
          <w:tcPr>
            <w:tcW w:w="765" w:type="pct"/>
            <w:tcBorders>
              <w:top w:val="single" w:sz="4" w:space="0" w:color="auto"/>
              <w:left w:val="nil"/>
              <w:bottom w:val="nil"/>
              <w:right w:val="nil"/>
            </w:tcBorders>
            <w:shd w:val="clear" w:color="auto" w:fill="auto"/>
            <w:vAlign w:val="bottom"/>
          </w:tcPr>
          <w:p w14:paraId="564B653B" w14:textId="77777777" w:rsidR="009F7FF5" w:rsidRPr="001E47AD" w:rsidRDefault="009F7FF5" w:rsidP="00F56D1C">
            <w:pPr>
              <w:jc w:val="right"/>
              <w:rPr>
                <w:rFonts w:ascii="Times New Roman" w:hAnsi="Times New Roman" w:cs="Times New Roman"/>
                <w:sz w:val="16"/>
                <w:szCs w:val="16"/>
              </w:rPr>
            </w:pPr>
          </w:p>
        </w:tc>
        <w:tc>
          <w:tcPr>
            <w:tcW w:w="753" w:type="pct"/>
            <w:tcBorders>
              <w:top w:val="single" w:sz="4" w:space="0" w:color="auto"/>
              <w:left w:val="nil"/>
              <w:bottom w:val="nil"/>
              <w:right w:val="nil"/>
            </w:tcBorders>
            <w:shd w:val="clear" w:color="auto" w:fill="auto"/>
            <w:vAlign w:val="bottom"/>
          </w:tcPr>
          <w:p w14:paraId="25776C17" w14:textId="77777777" w:rsidR="009F7FF5" w:rsidRPr="001E47AD" w:rsidRDefault="009F7FF5" w:rsidP="00F56D1C">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717A7828" w14:textId="77777777" w:rsidR="009F7FF5" w:rsidRPr="001E47AD" w:rsidRDefault="009F7FF5" w:rsidP="00F56D1C">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02609384" w14:textId="77777777" w:rsidR="009F7FF5" w:rsidRPr="001E47AD" w:rsidRDefault="009F7FF5" w:rsidP="00F56D1C">
            <w:pPr>
              <w:jc w:val="right"/>
              <w:rPr>
                <w:rFonts w:ascii="Times New Roman" w:hAnsi="Times New Roman" w:cs="Times New Roman"/>
                <w:sz w:val="20"/>
                <w:szCs w:val="20"/>
              </w:rPr>
            </w:pPr>
          </w:p>
        </w:tc>
        <w:tc>
          <w:tcPr>
            <w:tcW w:w="752" w:type="pct"/>
            <w:tcBorders>
              <w:top w:val="single" w:sz="4" w:space="0" w:color="auto"/>
              <w:left w:val="nil"/>
              <w:bottom w:val="nil"/>
              <w:right w:val="nil"/>
            </w:tcBorders>
            <w:shd w:val="clear" w:color="auto" w:fill="auto"/>
            <w:vAlign w:val="bottom"/>
          </w:tcPr>
          <w:p w14:paraId="4E07E187" w14:textId="77777777" w:rsidR="009F7FF5" w:rsidRPr="001E47AD" w:rsidRDefault="009F7FF5" w:rsidP="00F56D1C">
            <w:pPr>
              <w:jc w:val="right"/>
              <w:rPr>
                <w:rFonts w:ascii="Times New Roman" w:hAnsi="Times New Roman" w:cs="Times New Roman"/>
                <w:sz w:val="20"/>
                <w:szCs w:val="20"/>
              </w:rPr>
            </w:pPr>
          </w:p>
        </w:tc>
      </w:tr>
      <w:tr w:rsidR="009F7FF5" w:rsidRPr="001E47AD" w14:paraId="27D2A573" w14:textId="77777777" w:rsidTr="00F56D1C">
        <w:tc>
          <w:tcPr>
            <w:tcW w:w="1224" w:type="pct"/>
            <w:tcBorders>
              <w:top w:val="nil"/>
              <w:left w:val="nil"/>
              <w:bottom w:val="nil"/>
              <w:right w:val="nil"/>
            </w:tcBorders>
            <w:shd w:val="clear" w:color="auto" w:fill="auto"/>
            <w:vAlign w:val="center"/>
          </w:tcPr>
          <w:p w14:paraId="56F5AB8E"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Supply-Side Characteristics</w:t>
            </w:r>
          </w:p>
        </w:tc>
        <w:tc>
          <w:tcPr>
            <w:tcW w:w="765" w:type="pct"/>
            <w:tcBorders>
              <w:top w:val="nil"/>
              <w:left w:val="nil"/>
              <w:bottom w:val="nil"/>
              <w:right w:val="nil"/>
            </w:tcBorders>
            <w:shd w:val="clear" w:color="auto" w:fill="auto"/>
            <w:vAlign w:val="bottom"/>
          </w:tcPr>
          <w:p w14:paraId="29C34D9D" w14:textId="77777777" w:rsidR="009F7FF5" w:rsidRPr="001E47AD" w:rsidRDefault="009F7FF5" w:rsidP="00F56D1C">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44855082"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496E6836"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2BA0C96B" w14:textId="77777777" w:rsidR="009F7FF5" w:rsidRPr="001E47AD" w:rsidRDefault="009F7FF5" w:rsidP="00F56D1C">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525BD3A1" w14:textId="77777777" w:rsidR="009F7FF5" w:rsidRPr="001E47AD" w:rsidRDefault="009F7FF5" w:rsidP="00F56D1C">
            <w:pPr>
              <w:jc w:val="right"/>
              <w:rPr>
                <w:rFonts w:ascii="Times New Roman" w:hAnsi="Times New Roman" w:cs="Times New Roman"/>
                <w:sz w:val="20"/>
                <w:szCs w:val="20"/>
              </w:rPr>
            </w:pPr>
          </w:p>
        </w:tc>
      </w:tr>
      <w:tr w:rsidR="009F7FF5" w:rsidRPr="001E47AD" w14:paraId="5C5E92FE" w14:textId="77777777" w:rsidTr="00F56D1C">
        <w:tc>
          <w:tcPr>
            <w:tcW w:w="1224" w:type="pct"/>
            <w:tcBorders>
              <w:top w:val="nil"/>
              <w:left w:val="nil"/>
              <w:bottom w:val="nil"/>
              <w:right w:val="nil"/>
            </w:tcBorders>
            <w:shd w:val="clear" w:color="auto" w:fill="auto"/>
            <w:vAlign w:val="center"/>
          </w:tcPr>
          <w:p w14:paraId="5721FE13"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INTRA_NTW_COUNTY</m:t>
                </m:r>
              </m:oMath>
            </m:oMathPara>
          </w:p>
        </w:tc>
        <w:tc>
          <w:tcPr>
            <w:tcW w:w="765" w:type="pct"/>
            <w:tcBorders>
              <w:top w:val="nil"/>
              <w:left w:val="nil"/>
              <w:bottom w:val="nil"/>
              <w:right w:val="nil"/>
            </w:tcBorders>
            <w:shd w:val="clear" w:color="auto" w:fill="auto"/>
            <w:vAlign w:val="bottom"/>
          </w:tcPr>
          <w:p w14:paraId="4E1CFBD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-17.026 (11.912)</w:t>
            </w:r>
          </w:p>
        </w:tc>
        <w:tc>
          <w:tcPr>
            <w:tcW w:w="753" w:type="pct"/>
            <w:tcBorders>
              <w:top w:val="nil"/>
              <w:left w:val="nil"/>
              <w:bottom w:val="nil"/>
              <w:right w:val="nil"/>
            </w:tcBorders>
            <w:shd w:val="clear" w:color="auto" w:fill="auto"/>
            <w:vAlign w:val="bottom"/>
          </w:tcPr>
          <w:p w14:paraId="48F53D6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11.054 (11.725)</w:t>
            </w:r>
          </w:p>
        </w:tc>
        <w:tc>
          <w:tcPr>
            <w:tcW w:w="753" w:type="pct"/>
            <w:tcBorders>
              <w:top w:val="nil"/>
              <w:left w:val="nil"/>
              <w:bottom w:val="nil"/>
              <w:right w:val="nil"/>
            </w:tcBorders>
            <w:shd w:val="clear" w:color="auto" w:fill="auto"/>
            <w:vAlign w:val="bottom"/>
          </w:tcPr>
          <w:p w14:paraId="0341159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30.064** (11.534)</w:t>
            </w:r>
          </w:p>
        </w:tc>
        <w:tc>
          <w:tcPr>
            <w:tcW w:w="753" w:type="pct"/>
            <w:tcBorders>
              <w:top w:val="nil"/>
              <w:left w:val="nil"/>
              <w:bottom w:val="nil"/>
              <w:right w:val="nil"/>
            </w:tcBorders>
            <w:shd w:val="clear" w:color="auto" w:fill="auto"/>
            <w:vAlign w:val="bottom"/>
          </w:tcPr>
          <w:p w14:paraId="72E55F9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7.982 (11.815)</w:t>
            </w:r>
          </w:p>
        </w:tc>
        <w:tc>
          <w:tcPr>
            <w:tcW w:w="752" w:type="pct"/>
            <w:tcBorders>
              <w:top w:val="nil"/>
              <w:left w:val="nil"/>
              <w:bottom w:val="nil"/>
              <w:right w:val="nil"/>
            </w:tcBorders>
            <w:shd w:val="clear" w:color="auto" w:fill="auto"/>
            <w:vAlign w:val="bottom"/>
          </w:tcPr>
          <w:p w14:paraId="649251F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-11.717 (11.879)</w:t>
            </w:r>
          </w:p>
        </w:tc>
      </w:tr>
      <w:tr w:rsidR="009F7FF5" w:rsidRPr="001E47AD" w14:paraId="24BF6BC8" w14:textId="77777777" w:rsidTr="00F56D1C">
        <w:tc>
          <w:tcPr>
            <w:tcW w:w="1224" w:type="pct"/>
            <w:tcBorders>
              <w:top w:val="nil"/>
              <w:left w:val="nil"/>
              <w:bottom w:val="nil"/>
              <w:right w:val="nil"/>
            </w:tcBorders>
            <w:shd w:val="clear" w:color="auto" w:fill="auto"/>
            <w:vAlign w:val="center"/>
          </w:tcPr>
          <w:p w14:paraId="333A118F"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(INTRA_NTW_COUNTY)</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55C07B6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7.189* (3.925)</w:t>
            </w:r>
          </w:p>
        </w:tc>
        <w:tc>
          <w:tcPr>
            <w:tcW w:w="753" w:type="pct"/>
            <w:tcBorders>
              <w:top w:val="nil"/>
              <w:left w:val="nil"/>
              <w:bottom w:val="nil"/>
              <w:right w:val="nil"/>
            </w:tcBorders>
            <w:shd w:val="clear" w:color="auto" w:fill="auto"/>
            <w:vAlign w:val="bottom"/>
          </w:tcPr>
          <w:p w14:paraId="544A2FA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0.094 (3.836)</w:t>
            </w:r>
          </w:p>
        </w:tc>
        <w:tc>
          <w:tcPr>
            <w:tcW w:w="753" w:type="pct"/>
            <w:tcBorders>
              <w:top w:val="nil"/>
              <w:left w:val="nil"/>
              <w:bottom w:val="nil"/>
              <w:right w:val="nil"/>
            </w:tcBorders>
            <w:shd w:val="clear" w:color="auto" w:fill="auto"/>
            <w:vAlign w:val="bottom"/>
          </w:tcPr>
          <w:p w14:paraId="3D13C7D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-5.011 (3.774)</w:t>
            </w:r>
          </w:p>
        </w:tc>
        <w:tc>
          <w:tcPr>
            <w:tcW w:w="753" w:type="pct"/>
            <w:tcBorders>
              <w:top w:val="nil"/>
              <w:left w:val="nil"/>
              <w:bottom w:val="nil"/>
              <w:right w:val="nil"/>
            </w:tcBorders>
            <w:shd w:val="clear" w:color="auto" w:fill="auto"/>
            <w:vAlign w:val="bottom"/>
          </w:tcPr>
          <w:p w14:paraId="3AE6E56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4.555 (3.848)</w:t>
            </w:r>
          </w:p>
        </w:tc>
        <w:tc>
          <w:tcPr>
            <w:tcW w:w="752" w:type="pct"/>
            <w:tcBorders>
              <w:top w:val="nil"/>
              <w:left w:val="nil"/>
              <w:bottom w:val="nil"/>
              <w:right w:val="nil"/>
            </w:tcBorders>
            <w:shd w:val="clear" w:color="auto" w:fill="auto"/>
            <w:vAlign w:val="bottom"/>
          </w:tcPr>
          <w:p w14:paraId="46FAF61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12.586** (3.887)</w:t>
            </w:r>
          </w:p>
        </w:tc>
      </w:tr>
      <w:tr w:rsidR="009F7FF5" w:rsidRPr="001E47AD" w14:paraId="602CE490" w14:textId="77777777" w:rsidTr="00F56D1C">
        <w:tc>
          <w:tcPr>
            <w:tcW w:w="1224" w:type="pct"/>
            <w:tcBorders>
              <w:top w:val="nil"/>
              <w:left w:val="nil"/>
              <w:bottom w:val="nil"/>
              <w:right w:val="nil"/>
            </w:tcBorders>
            <w:shd w:val="clear" w:color="auto" w:fill="auto"/>
            <w:vAlign w:val="center"/>
          </w:tcPr>
          <w:p w14:paraId="5E969D90"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INTER_NTW_COUNTRY</m:t>
                </m:r>
              </m:oMath>
            </m:oMathPara>
          </w:p>
        </w:tc>
        <w:tc>
          <w:tcPr>
            <w:tcW w:w="765" w:type="pct"/>
            <w:tcBorders>
              <w:top w:val="nil"/>
              <w:left w:val="nil"/>
              <w:bottom w:val="nil"/>
              <w:right w:val="nil"/>
            </w:tcBorders>
            <w:shd w:val="clear" w:color="auto" w:fill="auto"/>
            <w:vAlign w:val="bottom"/>
          </w:tcPr>
          <w:p w14:paraId="5327893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14.827*** (1.212)</w:t>
            </w:r>
          </w:p>
        </w:tc>
        <w:tc>
          <w:tcPr>
            <w:tcW w:w="753" w:type="pct"/>
            <w:tcBorders>
              <w:top w:val="nil"/>
              <w:left w:val="nil"/>
              <w:bottom w:val="nil"/>
              <w:right w:val="nil"/>
            </w:tcBorders>
            <w:shd w:val="clear" w:color="auto" w:fill="auto"/>
            <w:vAlign w:val="bottom"/>
          </w:tcPr>
          <w:p w14:paraId="2EC7A5A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9.470*** (1.176)</w:t>
            </w:r>
          </w:p>
        </w:tc>
        <w:tc>
          <w:tcPr>
            <w:tcW w:w="753" w:type="pct"/>
            <w:tcBorders>
              <w:top w:val="nil"/>
              <w:left w:val="nil"/>
              <w:bottom w:val="nil"/>
              <w:right w:val="nil"/>
            </w:tcBorders>
            <w:shd w:val="clear" w:color="auto" w:fill="auto"/>
            <w:vAlign w:val="bottom"/>
          </w:tcPr>
          <w:p w14:paraId="3C2B952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7.972*** (1.173)</w:t>
            </w:r>
          </w:p>
        </w:tc>
        <w:tc>
          <w:tcPr>
            <w:tcW w:w="753" w:type="pct"/>
            <w:tcBorders>
              <w:top w:val="nil"/>
              <w:left w:val="nil"/>
              <w:bottom w:val="nil"/>
              <w:right w:val="nil"/>
            </w:tcBorders>
            <w:shd w:val="clear" w:color="auto" w:fill="auto"/>
            <w:vAlign w:val="bottom"/>
          </w:tcPr>
          <w:p w14:paraId="6F05883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1.304 (1.182)</w:t>
            </w:r>
          </w:p>
        </w:tc>
        <w:tc>
          <w:tcPr>
            <w:tcW w:w="752" w:type="pct"/>
            <w:tcBorders>
              <w:top w:val="nil"/>
              <w:left w:val="nil"/>
              <w:bottom w:val="nil"/>
              <w:right w:val="nil"/>
            </w:tcBorders>
            <w:shd w:val="clear" w:color="auto" w:fill="auto"/>
            <w:vAlign w:val="bottom"/>
          </w:tcPr>
          <w:p w14:paraId="4248067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5.436*** (1.188)</w:t>
            </w:r>
          </w:p>
        </w:tc>
      </w:tr>
      <w:tr w:rsidR="009F7FF5" w:rsidRPr="001E47AD" w14:paraId="52F66A44" w14:textId="77777777" w:rsidTr="00F56D1C">
        <w:tc>
          <w:tcPr>
            <w:tcW w:w="1224" w:type="pct"/>
            <w:tcBorders>
              <w:top w:val="nil"/>
              <w:left w:val="nil"/>
              <w:bottom w:val="nil"/>
              <w:right w:val="nil"/>
            </w:tcBorders>
            <w:shd w:val="clear" w:color="auto" w:fill="auto"/>
            <w:vAlign w:val="center"/>
          </w:tcPr>
          <w:p w14:paraId="35494047"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(INTER_NTW_COUNTRY)</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5633C71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-0.100*** (0.010)</w:t>
            </w:r>
          </w:p>
        </w:tc>
        <w:tc>
          <w:tcPr>
            <w:tcW w:w="753" w:type="pct"/>
            <w:tcBorders>
              <w:top w:val="nil"/>
              <w:left w:val="nil"/>
              <w:bottom w:val="nil"/>
              <w:right w:val="nil"/>
            </w:tcBorders>
            <w:shd w:val="clear" w:color="auto" w:fill="auto"/>
            <w:vAlign w:val="bottom"/>
          </w:tcPr>
          <w:p w14:paraId="1B68F13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-0.083*** (0.010)</w:t>
            </w:r>
          </w:p>
        </w:tc>
        <w:tc>
          <w:tcPr>
            <w:tcW w:w="753" w:type="pct"/>
            <w:tcBorders>
              <w:top w:val="nil"/>
              <w:left w:val="nil"/>
              <w:bottom w:val="nil"/>
              <w:right w:val="nil"/>
            </w:tcBorders>
            <w:shd w:val="clear" w:color="auto" w:fill="auto"/>
            <w:vAlign w:val="bottom"/>
          </w:tcPr>
          <w:p w14:paraId="23FB294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-0.071*** (0.010)</w:t>
            </w:r>
          </w:p>
        </w:tc>
        <w:tc>
          <w:tcPr>
            <w:tcW w:w="753" w:type="pct"/>
            <w:tcBorders>
              <w:top w:val="nil"/>
              <w:left w:val="nil"/>
              <w:bottom w:val="nil"/>
              <w:right w:val="nil"/>
            </w:tcBorders>
            <w:shd w:val="clear" w:color="auto" w:fill="auto"/>
            <w:vAlign w:val="bottom"/>
          </w:tcPr>
          <w:p w14:paraId="756BF94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-0.017* (0.010)</w:t>
            </w:r>
          </w:p>
        </w:tc>
        <w:tc>
          <w:tcPr>
            <w:tcW w:w="752" w:type="pct"/>
            <w:tcBorders>
              <w:top w:val="nil"/>
              <w:left w:val="nil"/>
              <w:bottom w:val="nil"/>
              <w:right w:val="nil"/>
            </w:tcBorders>
            <w:shd w:val="clear" w:color="auto" w:fill="auto"/>
            <w:vAlign w:val="bottom"/>
          </w:tcPr>
          <w:p w14:paraId="4A484E7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-0.041*** (0.010)</w:t>
            </w:r>
          </w:p>
        </w:tc>
      </w:tr>
      <w:tr w:rsidR="009F7FF5" w:rsidRPr="001E47AD" w14:paraId="09429AC1" w14:textId="77777777" w:rsidTr="00F56D1C">
        <w:tc>
          <w:tcPr>
            <w:tcW w:w="1224" w:type="pct"/>
            <w:tcBorders>
              <w:top w:val="nil"/>
              <w:left w:val="nil"/>
              <w:bottom w:val="nil"/>
              <w:right w:val="nil"/>
            </w:tcBorders>
            <w:shd w:val="clear" w:color="auto" w:fill="auto"/>
            <w:vAlign w:val="center"/>
          </w:tcPr>
          <w:p w14:paraId="5257A066"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PROD_VAR_UPC</m:t>
                </m:r>
              </m:oMath>
            </m:oMathPara>
          </w:p>
        </w:tc>
        <w:tc>
          <w:tcPr>
            <w:tcW w:w="765" w:type="pct"/>
            <w:tcBorders>
              <w:top w:val="nil"/>
              <w:left w:val="nil"/>
              <w:bottom w:val="nil"/>
              <w:right w:val="nil"/>
            </w:tcBorders>
            <w:shd w:val="clear" w:color="auto" w:fill="auto"/>
            <w:vAlign w:val="bottom"/>
          </w:tcPr>
          <w:p w14:paraId="06B13FE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0.517*** (0.117)</w:t>
            </w:r>
          </w:p>
        </w:tc>
        <w:tc>
          <w:tcPr>
            <w:tcW w:w="753" w:type="pct"/>
            <w:tcBorders>
              <w:top w:val="nil"/>
              <w:left w:val="nil"/>
              <w:bottom w:val="nil"/>
              <w:right w:val="nil"/>
            </w:tcBorders>
            <w:shd w:val="clear" w:color="auto" w:fill="auto"/>
            <w:vAlign w:val="bottom"/>
          </w:tcPr>
          <w:p w14:paraId="58ED220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1.206*** (0.115)</w:t>
            </w:r>
          </w:p>
        </w:tc>
        <w:tc>
          <w:tcPr>
            <w:tcW w:w="753" w:type="pct"/>
            <w:tcBorders>
              <w:top w:val="nil"/>
              <w:left w:val="nil"/>
              <w:bottom w:val="nil"/>
              <w:right w:val="nil"/>
            </w:tcBorders>
            <w:shd w:val="clear" w:color="auto" w:fill="auto"/>
            <w:vAlign w:val="bottom"/>
          </w:tcPr>
          <w:p w14:paraId="1C3F980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1.011*** (0.114)</w:t>
            </w:r>
          </w:p>
        </w:tc>
        <w:tc>
          <w:tcPr>
            <w:tcW w:w="753" w:type="pct"/>
            <w:tcBorders>
              <w:top w:val="nil"/>
              <w:left w:val="nil"/>
              <w:bottom w:val="nil"/>
              <w:right w:val="nil"/>
            </w:tcBorders>
            <w:shd w:val="clear" w:color="auto" w:fill="auto"/>
            <w:vAlign w:val="bottom"/>
          </w:tcPr>
          <w:p w14:paraId="4EB8E9F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1.247*** (0.116)</w:t>
            </w:r>
          </w:p>
        </w:tc>
        <w:tc>
          <w:tcPr>
            <w:tcW w:w="752" w:type="pct"/>
            <w:tcBorders>
              <w:top w:val="nil"/>
              <w:left w:val="nil"/>
              <w:bottom w:val="nil"/>
              <w:right w:val="nil"/>
            </w:tcBorders>
            <w:shd w:val="clear" w:color="auto" w:fill="auto"/>
            <w:vAlign w:val="bottom"/>
          </w:tcPr>
          <w:p w14:paraId="26F467E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0.790*** (0.116)</w:t>
            </w:r>
          </w:p>
        </w:tc>
      </w:tr>
      <w:tr w:rsidR="009F7FF5" w:rsidRPr="001E47AD" w14:paraId="70DAD26B" w14:textId="77777777" w:rsidTr="00F56D1C">
        <w:tc>
          <w:tcPr>
            <w:tcW w:w="1224" w:type="pct"/>
            <w:tcBorders>
              <w:top w:val="nil"/>
              <w:left w:val="nil"/>
              <w:bottom w:val="nil"/>
              <w:right w:val="nil"/>
            </w:tcBorders>
            <w:shd w:val="clear" w:color="auto" w:fill="auto"/>
            <w:vAlign w:val="center"/>
          </w:tcPr>
          <w:p w14:paraId="5B379A6E"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(PROD_VAR_UPC)</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7F2C504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-0.001*** (0.000)</w:t>
            </w:r>
          </w:p>
        </w:tc>
        <w:tc>
          <w:tcPr>
            <w:tcW w:w="753" w:type="pct"/>
            <w:tcBorders>
              <w:top w:val="nil"/>
              <w:left w:val="nil"/>
              <w:bottom w:val="nil"/>
              <w:right w:val="nil"/>
            </w:tcBorders>
            <w:shd w:val="clear" w:color="auto" w:fill="auto"/>
            <w:vAlign w:val="bottom"/>
          </w:tcPr>
          <w:p w14:paraId="6210268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-0.003*** (0.000)</w:t>
            </w:r>
          </w:p>
        </w:tc>
        <w:tc>
          <w:tcPr>
            <w:tcW w:w="753" w:type="pct"/>
            <w:tcBorders>
              <w:top w:val="nil"/>
              <w:left w:val="nil"/>
              <w:bottom w:val="nil"/>
              <w:right w:val="nil"/>
            </w:tcBorders>
            <w:shd w:val="clear" w:color="auto" w:fill="auto"/>
            <w:vAlign w:val="bottom"/>
          </w:tcPr>
          <w:p w14:paraId="20A3038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-0.002*** (0.000)</w:t>
            </w:r>
          </w:p>
        </w:tc>
        <w:tc>
          <w:tcPr>
            <w:tcW w:w="753" w:type="pct"/>
            <w:tcBorders>
              <w:top w:val="nil"/>
              <w:left w:val="nil"/>
              <w:bottom w:val="nil"/>
              <w:right w:val="nil"/>
            </w:tcBorders>
            <w:shd w:val="clear" w:color="auto" w:fill="auto"/>
            <w:vAlign w:val="bottom"/>
          </w:tcPr>
          <w:p w14:paraId="28CC116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-0.003*** (0.000)</w:t>
            </w:r>
          </w:p>
        </w:tc>
        <w:tc>
          <w:tcPr>
            <w:tcW w:w="752" w:type="pct"/>
            <w:tcBorders>
              <w:top w:val="nil"/>
              <w:left w:val="nil"/>
              <w:bottom w:val="nil"/>
              <w:right w:val="nil"/>
            </w:tcBorders>
            <w:shd w:val="clear" w:color="auto" w:fill="auto"/>
            <w:vAlign w:val="bottom"/>
          </w:tcPr>
          <w:p w14:paraId="37C3E2A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-0.002*** (0.000)</w:t>
            </w:r>
          </w:p>
        </w:tc>
      </w:tr>
      <w:tr w:rsidR="009F7FF5" w:rsidRPr="001E47AD" w14:paraId="2CD8B91E" w14:textId="77777777" w:rsidTr="00F56D1C">
        <w:tc>
          <w:tcPr>
            <w:tcW w:w="1224" w:type="pct"/>
            <w:tcBorders>
              <w:top w:val="nil"/>
              <w:left w:val="nil"/>
              <w:bottom w:val="nil"/>
              <w:right w:val="nil"/>
            </w:tcBorders>
            <w:shd w:val="clear" w:color="auto" w:fill="auto"/>
            <w:vAlign w:val="center"/>
          </w:tcPr>
          <w:p w14:paraId="15C74417"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Demand-Side Characteristics</w:t>
            </w:r>
          </w:p>
        </w:tc>
        <w:tc>
          <w:tcPr>
            <w:tcW w:w="765" w:type="pct"/>
            <w:tcBorders>
              <w:top w:val="nil"/>
              <w:left w:val="nil"/>
              <w:bottom w:val="nil"/>
              <w:right w:val="nil"/>
            </w:tcBorders>
            <w:shd w:val="clear" w:color="auto" w:fill="auto"/>
            <w:vAlign w:val="bottom"/>
          </w:tcPr>
          <w:p w14:paraId="188BEB84" w14:textId="77777777" w:rsidR="009F7FF5" w:rsidRPr="001E47AD" w:rsidRDefault="009F7FF5" w:rsidP="00F56D1C">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4AD6F388"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3349744F"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23FFD49D" w14:textId="77777777" w:rsidR="009F7FF5" w:rsidRPr="001E47AD" w:rsidRDefault="009F7FF5" w:rsidP="00F56D1C">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288C63AD" w14:textId="77777777" w:rsidR="009F7FF5" w:rsidRPr="001E47AD" w:rsidRDefault="009F7FF5" w:rsidP="00F56D1C">
            <w:pPr>
              <w:jc w:val="right"/>
              <w:rPr>
                <w:rFonts w:ascii="Times New Roman" w:hAnsi="Times New Roman" w:cs="Times New Roman"/>
                <w:sz w:val="20"/>
                <w:szCs w:val="20"/>
              </w:rPr>
            </w:pPr>
          </w:p>
        </w:tc>
      </w:tr>
      <w:tr w:rsidR="009F7FF5" w:rsidRPr="001E47AD" w14:paraId="0F87B868" w14:textId="77777777" w:rsidTr="00F56D1C">
        <w:tc>
          <w:tcPr>
            <w:tcW w:w="1224" w:type="pct"/>
            <w:tcBorders>
              <w:top w:val="nil"/>
              <w:left w:val="nil"/>
              <w:bottom w:val="nil"/>
              <w:right w:val="nil"/>
            </w:tcBorders>
            <w:shd w:val="clear" w:color="auto" w:fill="auto"/>
            <w:vAlign w:val="center"/>
          </w:tcPr>
          <w:p w14:paraId="11428280"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HUR_EXP_STATE</m:t>
                </m:r>
              </m:oMath>
            </m:oMathPara>
          </w:p>
        </w:tc>
        <w:tc>
          <w:tcPr>
            <w:tcW w:w="765" w:type="pct"/>
            <w:tcBorders>
              <w:top w:val="nil"/>
              <w:left w:val="nil"/>
              <w:bottom w:val="nil"/>
              <w:right w:val="nil"/>
            </w:tcBorders>
            <w:shd w:val="clear" w:color="auto" w:fill="auto"/>
            <w:vAlign w:val="bottom"/>
          </w:tcPr>
          <w:p w14:paraId="3F9530B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-7.891*** (1.415)</w:t>
            </w:r>
          </w:p>
        </w:tc>
        <w:tc>
          <w:tcPr>
            <w:tcW w:w="753" w:type="pct"/>
            <w:tcBorders>
              <w:top w:val="nil"/>
              <w:left w:val="nil"/>
              <w:bottom w:val="nil"/>
              <w:right w:val="nil"/>
            </w:tcBorders>
            <w:shd w:val="clear" w:color="auto" w:fill="auto"/>
            <w:vAlign w:val="bottom"/>
          </w:tcPr>
          <w:p w14:paraId="597B53A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11.642*** (1.374)</w:t>
            </w:r>
          </w:p>
        </w:tc>
        <w:tc>
          <w:tcPr>
            <w:tcW w:w="753" w:type="pct"/>
            <w:tcBorders>
              <w:top w:val="nil"/>
              <w:left w:val="nil"/>
              <w:bottom w:val="nil"/>
              <w:right w:val="nil"/>
            </w:tcBorders>
            <w:shd w:val="clear" w:color="auto" w:fill="auto"/>
            <w:vAlign w:val="bottom"/>
          </w:tcPr>
          <w:p w14:paraId="6B45A9E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4.169** (1.353)</w:t>
            </w:r>
          </w:p>
        </w:tc>
        <w:tc>
          <w:tcPr>
            <w:tcW w:w="753" w:type="pct"/>
            <w:tcBorders>
              <w:top w:val="nil"/>
              <w:left w:val="nil"/>
              <w:bottom w:val="nil"/>
              <w:right w:val="nil"/>
            </w:tcBorders>
            <w:shd w:val="clear" w:color="auto" w:fill="auto"/>
            <w:vAlign w:val="bottom"/>
          </w:tcPr>
          <w:p w14:paraId="6A92DFA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-0.806 (1.377)</w:t>
            </w:r>
          </w:p>
        </w:tc>
        <w:tc>
          <w:tcPr>
            <w:tcW w:w="752" w:type="pct"/>
            <w:tcBorders>
              <w:top w:val="nil"/>
              <w:left w:val="nil"/>
              <w:bottom w:val="nil"/>
              <w:right w:val="nil"/>
            </w:tcBorders>
            <w:shd w:val="clear" w:color="auto" w:fill="auto"/>
            <w:vAlign w:val="bottom"/>
          </w:tcPr>
          <w:p w14:paraId="1F9AC51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2.353* (1.393)</w:t>
            </w:r>
          </w:p>
        </w:tc>
      </w:tr>
      <w:tr w:rsidR="009F7FF5" w:rsidRPr="001E47AD" w14:paraId="31471744" w14:textId="77777777" w:rsidTr="00F56D1C">
        <w:tc>
          <w:tcPr>
            <w:tcW w:w="1224" w:type="pct"/>
            <w:tcBorders>
              <w:top w:val="nil"/>
              <w:left w:val="nil"/>
              <w:bottom w:val="nil"/>
              <w:right w:val="nil"/>
            </w:tcBorders>
            <w:shd w:val="clear" w:color="auto" w:fill="auto"/>
            <w:vAlign w:val="center"/>
          </w:tcPr>
          <w:p w14:paraId="64BA3855"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(HUR_EXP_STATE)</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57100AD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0.458*** (0.116)</w:t>
            </w:r>
          </w:p>
        </w:tc>
        <w:tc>
          <w:tcPr>
            <w:tcW w:w="753" w:type="pct"/>
            <w:tcBorders>
              <w:top w:val="nil"/>
              <w:left w:val="nil"/>
              <w:bottom w:val="nil"/>
              <w:right w:val="nil"/>
            </w:tcBorders>
            <w:shd w:val="clear" w:color="auto" w:fill="auto"/>
            <w:vAlign w:val="bottom"/>
          </w:tcPr>
          <w:p w14:paraId="1D7BCA0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-0.871*** (0.112)</w:t>
            </w:r>
          </w:p>
        </w:tc>
        <w:tc>
          <w:tcPr>
            <w:tcW w:w="753" w:type="pct"/>
            <w:tcBorders>
              <w:top w:val="nil"/>
              <w:left w:val="nil"/>
              <w:bottom w:val="nil"/>
              <w:right w:val="nil"/>
            </w:tcBorders>
            <w:shd w:val="clear" w:color="auto" w:fill="auto"/>
            <w:vAlign w:val="bottom"/>
          </w:tcPr>
          <w:p w14:paraId="3101F05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-0.256* (0.110)</w:t>
            </w:r>
          </w:p>
        </w:tc>
        <w:tc>
          <w:tcPr>
            <w:tcW w:w="753" w:type="pct"/>
            <w:tcBorders>
              <w:top w:val="nil"/>
              <w:left w:val="nil"/>
              <w:bottom w:val="nil"/>
              <w:right w:val="nil"/>
            </w:tcBorders>
            <w:shd w:val="clear" w:color="auto" w:fill="auto"/>
            <w:vAlign w:val="bottom"/>
          </w:tcPr>
          <w:p w14:paraId="326E213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0.135 (0.112)</w:t>
            </w:r>
          </w:p>
        </w:tc>
        <w:tc>
          <w:tcPr>
            <w:tcW w:w="752" w:type="pct"/>
            <w:tcBorders>
              <w:top w:val="nil"/>
              <w:left w:val="nil"/>
              <w:bottom w:val="nil"/>
              <w:right w:val="nil"/>
            </w:tcBorders>
            <w:shd w:val="clear" w:color="auto" w:fill="auto"/>
            <w:vAlign w:val="bottom"/>
          </w:tcPr>
          <w:p w14:paraId="45FDB64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-0.033 (0.114)</w:t>
            </w:r>
          </w:p>
        </w:tc>
      </w:tr>
      <w:tr w:rsidR="009F7FF5" w:rsidRPr="001E47AD" w14:paraId="3CCA7AD1" w14:textId="77777777" w:rsidTr="00F56D1C">
        <w:tc>
          <w:tcPr>
            <w:tcW w:w="1224" w:type="pct"/>
            <w:tcBorders>
              <w:top w:val="nil"/>
              <w:left w:val="nil"/>
              <w:bottom w:val="nil"/>
              <w:right w:val="nil"/>
            </w:tcBorders>
            <w:shd w:val="clear" w:color="auto" w:fill="auto"/>
            <w:vAlign w:val="center"/>
          </w:tcPr>
          <w:p w14:paraId="0F545224"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PER_CAPITA_INC</m:t>
                </m:r>
              </m:oMath>
            </m:oMathPara>
          </w:p>
        </w:tc>
        <w:tc>
          <w:tcPr>
            <w:tcW w:w="765" w:type="pct"/>
            <w:tcBorders>
              <w:top w:val="nil"/>
              <w:left w:val="nil"/>
              <w:bottom w:val="nil"/>
              <w:right w:val="nil"/>
            </w:tcBorders>
            <w:shd w:val="clear" w:color="auto" w:fill="auto"/>
            <w:vAlign w:val="bottom"/>
          </w:tcPr>
          <w:p w14:paraId="30DFD8A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30.034*** (4.209)</w:t>
            </w:r>
          </w:p>
        </w:tc>
        <w:tc>
          <w:tcPr>
            <w:tcW w:w="753" w:type="pct"/>
            <w:tcBorders>
              <w:top w:val="nil"/>
              <w:left w:val="nil"/>
              <w:bottom w:val="nil"/>
              <w:right w:val="nil"/>
            </w:tcBorders>
            <w:shd w:val="clear" w:color="auto" w:fill="auto"/>
            <w:vAlign w:val="bottom"/>
          </w:tcPr>
          <w:p w14:paraId="1687C45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28.842*** (4.048)</w:t>
            </w:r>
          </w:p>
        </w:tc>
        <w:tc>
          <w:tcPr>
            <w:tcW w:w="753" w:type="pct"/>
            <w:tcBorders>
              <w:top w:val="nil"/>
              <w:left w:val="nil"/>
              <w:bottom w:val="nil"/>
              <w:right w:val="nil"/>
            </w:tcBorders>
            <w:shd w:val="clear" w:color="auto" w:fill="auto"/>
            <w:vAlign w:val="bottom"/>
          </w:tcPr>
          <w:p w14:paraId="7183AAC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25.782*** (3.968)</w:t>
            </w:r>
          </w:p>
        </w:tc>
        <w:tc>
          <w:tcPr>
            <w:tcW w:w="753" w:type="pct"/>
            <w:tcBorders>
              <w:top w:val="nil"/>
              <w:left w:val="nil"/>
              <w:bottom w:val="nil"/>
              <w:right w:val="nil"/>
            </w:tcBorders>
            <w:shd w:val="clear" w:color="auto" w:fill="auto"/>
            <w:vAlign w:val="bottom"/>
          </w:tcPr>
          <w:p w14:paraId="633C3D9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28.932*** (4.043)</w:t>
            </w:r>
          </w:p>
        </w:tc>
        <w:tc>
          <w:tcPr>
            <w:tcW w:w="752" w:type="pct"/>
            <w:tcBorders>
              <w:top w:val="nil"/>
              <w:left w:val="nil"/>
              <w:bottom w:val="nil"/>
              <w:right w:val="nil"/>
            </w:tcBorders>
            <w:shd w:val="clear" w:color="auto" w:fill="auto"/>
            <w:vAlign w:val="bottom"/>
          </w:tcPr>
          <w:p w14:paraId="191459E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32.491*** (4.089)</w:t>
            </w:r>
          </w:p>
        </w:tc>
      </w:tr>
      <w:tr w:rsidR="009F7FF5" w:rsidRPr="001E47AD" w14:paraId="2EEBFBB1" w14:textId="77777777" w:rsidTr="00F56D1C">
        <w:tc>
          <w:tcPr>
            <w:tcW w:w="1224" w:type="pct"/>
            <w:tcBorders>
              <w:top w:val="nil"/>
              <w:left w:val="nil"/>
              <w:bottom w:val="nil"/>
              <w:right w:val="nil"/>
            </w:tcBorders>
            <w:shd w:val="clear" w:color="auto" w:fill="auto"/>
            <w:vAlign w:val="center"/>
          </w:tcPr>
          <w:p w14:paraId="3ED673BA"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(PER_CAPITA_INC)</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44226B3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-1.969*** (0.273)</w:t>
            </w:r>
          </w:p>
        </w:tc>
        <w:tc>
          <w:tcPr>
            <w:tcW w:w="753" w:type="pct"/>
            <w:tcBorders>
              <w:top w:val="nil"/>
              <w:left w:val="nil"/>
              <w:bottom w:val="nil"/>
              <w:right w:val="nil"/>
            </w:tcBorders>
            <w:shd w:val="clear" w:color="auto" w:fill="auto"/>
            <w:vAlign w:val="bottom"/>
          </w:tcPr>
          <w:p w14:paraId="7777926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-1.930*** (0.263)</w:t>
            </w:r>
          </w:p>
        </w:tc>
        <w:tc>
          <w:tcPr>
            <w:tcW w:w="753" w:type="pct"/>
            <w:tcBorders>
              <w:top w:val="nil"/>
              <w:left w:val="nil"/>
              <w:bottom w:val="nil"/>
              <w:right w:val="nil"/>
            </w:tcBorders>
            <w:shd w:val="clear" w:color="auto" w:fill="auto"/>
            <w:vAlign w:val="bottom"/>
          </w:tcPr>
          <w:p w14:paraId="4138D54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-1.614*** (0.259)</w:t>
            </w:r>
          </w:p>
        </w:tc>
        <w:tc>
          <w:tcPr>
            <w:tcW w:w="753" w:type="pct"/>
            <w:tcBorders>
              <w:top w:val="nil"/>
              <w:left w:val="nil"/>
              <w:bottom w:val="nil"/>
              <w:right w:val="nil"/>
            </w:tcBorders>
            <w:shd w:val="clear" w:color="auto" w:fill="auto"/>
            <w:vAlign w:val="bottom"/>
          </w:tcPr>
          <w:p w14:paraId="3C5A1C4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-1.826*** (0.264)</w:t>
            </w:r>
          </w:p>
        </w:tc>
        <w:tc>
          <w:tcPr>
            <w:tcW w:w="752" w:type="pct"/>
            <w:tcBorders>
              <w:top w:val="nil"/>
              <w:left w:val="nil"/>
              <w:bottom w:val="nil"/>
              <w:right w:val="nil"/>
            </w:tcBorders>
            <w:shd w:val="clear" w:color="auto" w:fill="auto"/>
            <w:vAlign w:val="bottom"/>
          </w:tcPr>
          <w:p w14:paraId="67FB4DF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-1.977*** (0.266)</w:t>
            </w:r>
          </w:p>
        </w:tc>
      </w:tr>
      <w:tr w:rsidR="009F7FF5" w:rsidRPr="001E47AD" w14:paraId="5DF55090" w14:textId="77777777" w:rsidTr="00F56D1C">
        <w:tc>
          <w:tcPr>
            <w:tcW w:w="1224" w:type="pct"/>
            <w:tcBorders>
              <w:top w:val="nil"/>
              <w:left w:val="nil"/>
              <w:bottom w:val="nil"/>
              <w:right w:val="nil"/>
            </w:tcBorders>
            <w:shd w:val="clear" w:color="auto" w:fill="auto"/>
            <w:vAlign w:val="center"/>
          </w:tcPr>
          <w:p w14:paraId="2E2376CA"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Disaster Characteristics</w:t>
            </w:r>
          </w:p>
        </w:tc>
        <w:tc>
          <w:tcPr>
            <w:tcW w:w="765" w:type="pct"/>
            <w:tcBorders>
              <w:top w:val="nil"/>
              <w:left w:val="nil"/>
              <w:bottom w:val="nil"/>
              <w:right w:val="nil"/>
            </w:tcBorders>
            <w:shd w:val="clear" w:color="auto" w:fill="auto"/>
            <w:vAlign w:val="bottom"/>
          </w:tcPr>
          <w:p w14:paraId="2190F3C8" w14:textId="77777777" w:rsidR="009F7FF5" w:rsidRPr="001E47AD" w:rsidRDefault="009F7FF5" w:rsidP="00F56D1C">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50E515AC"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7F7D5567"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6423C2B" w14:textId="77777777" w:rsidR="009F7FF5" w:rsidRPr="001E47AD" w:rsidRDefault="009F7FF5" w:rsidP="00F56D1C">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360AF8BE" w14:textId="77777777" w:rsidR="009F7FF5" w:rsidRPr="001E47AD" w:rsidRDefault="009F7FF5" w:rsidP="00F56D1C">
            <w:pPr>
              <w:jc w:val="right"/>
              <w:rPr>
                <w:rFonts w:ascii="Times New Roman" w:hAnsi="Times New Roman" w:cs="Times New Roman"/>
                <w:sz w:val="20"/>
                <w:szCs w:val="20"/>
              </w:rPr>
            </w:pPr>
          </w:p>
        </w:tc>
      </w:tr>
      <w:tr w:rsidR="009F7FF5" w:rsidRPr="001E47AD" w14:paraId="3410EC66" w14:textId="77777777" w:rsidTr="00F56D1C">
        <w:tc>
          <w:tcPr>
            <w:tcW w:w="1224" w:type="pct"/>
            <w:tcBorders>
              <w:top w:val="nil"/>
              <w:left w:val="nil"/>
              <w:bottom w:val="nil"/>
              <w:right w:val="nil"/>
            </w:tcBorders>
            <w:shd w:val="clear" w:color="auto" w:fill="auto"/>
            <w:vAlign w:val="center"/>
          </w:tcPr>
          <w:p w14:paraId="27207F5A"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oMath>
            </m:oMathPara>
          </w:p>
        </w:tc>
        <w:tc>
          <w:tcPr>
            <w:tcW w:w="765" w:type="pct"/>
            <w:tcBorders>
              <w:top w:val="nil"/>
              <w:left w:val="nil"/>
              <w:bottom w:val="nil"/>
              <w:right w:val="nil"/>
            </w:tcBorders>
            <w:shd w:val="clear" w:color="auto" w:fill="auto"/>
            <w:vAlign w:val="bottom"/>
          </w:tcPr>
          <w:p w14:paraId="24C26DC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-0.164 (5.255)</w:t>
            </w:r>
          </w:p>
        </w:tc>
        <w:tc>
          <w:tcPr>
            <w:tcW w:w="753" w:type="pct"/>
            <w:tcBorders>
              <w:top w:val="nil"/>
              <w:left w:val="nil"/>
              <w:bottom w:val="nil"/>
              <w:right w:val="nil"/>
            </w:tcBorders>
            <w:shd w:val="clear" w:color="auto" w:fill="auto"/>
            <w:vAlign w:val="bottom"/>
          </w:tcPr>
          <w:p w14:paraId="51FA02B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-2.729 (5.188)</w:t>
            </w:r>
          </w:p>
        </w:tc>
        <w:tc>
          <w:tcPr>
            <w:tcW w:w="753" w:type="pct"/>
            <w:tcBorders>
              <w:top w:val="nil"/>
              <w:left w:val="nil"/>
              <w:bottom w:val="nil"/>
              <w:right w:val="nil"/>
            </w:tcBorders>
            <w:shd w:val="clear" w:color="auto" w:fill="auto"/>
            <w:vAlign w:val="bottom"/>
          </w:tcPr>
          <w:p w14:paraId="7F482D9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11.221* (5.037)</w:t>
            </w:r>
          </w:p>
        </w:tc>
        <w:tc>
          <w:tcPr>
            <w:tcW w:w="753" w:type="pct"/>
            <w:tcBorders>
              <w:top w:val="nil"/>
              <w:left w:val="nil"/>
              <w:bottom w:val="nil"/>
              <w:right w:val="nil"/>
            </w:tcBorders>
            <w:shd w:val="clear" w:color="auto" w:fill="auto"/>
            <w:vAlign w:val="bottom"/>
          </w:tcPr>
          <w:p w14:paraId="0F0A737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9.314* (5.247)</w:t>
            </w:r>
          </w:p>
        </w:tc>
        <w:tc>
          <w:tcPr>
            <w:tcW w:w="752" w:type="pct"/>
            <w:tcBorders>
              <w:top w:val="nil"/>
              <w:left w:val="nil"/>
              <w:bottom w:val="nil"/>
              <w:right w:val="nil"/>
            </w:tcBorders>
            <w:shd w:val="clear" w:color="auto" w:fill="auto"/>
            <w:vAlign w:val="bottom"/>
          </w:tcPr>
          <w:p w14:paraId="1EFB91B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1.409 (5.295)</w:t>
            </w:r>
          </w:p>
        </w:tc>
      </w:tr>
      <w:tr w:rsidR="009F7FF5" w:rsidRPr="001E47AD" w14:paraId="16A22DF7" w14:textId="77777777" w:rsidTr="00F56D1C">
        <w:tc>
          <w:tcPr>
            <w:tcW w:w="1224" w:type="pct"/>
            <w:tcBorders>
              <w:top w:val="nil"/>
              <w:left w:val="nil"/>
              <w:bottom w:val="nil"/>
              <w:right w:val="nil"/>
            </w:tcBorders>
            <w:shd w:val="clear" w:color="auto" w:fill="auto"/>
            <w:vAlign w:val="center"/>
          </w:tcPr>
          <w:p w14:paraId="0849C845"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(HUR_LANDFALL</m:t>
                    </m:r>
                    <m:r>
                      <m:rPr>
                        <m:sty m:val="p"/>
                      </m:rPr>
                      <w:rPr>
                        <w:rFonts w:ascii="Cambria Math" w:eastAsia="宋体" w:hAnsi="Cambria Math" w:cs="Times New Roman"/>
                        <w:sz w:val="16"/>
                        <w:szCs w:val="16"/>
                      </w:rPr>
                      <m:t>_DIST)</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1194AFE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-1.093*** (0.305)</w:t>
            </w:r>
          </w:p>
        </w:tc>
        <w:tc>
          <w:tcPr>
            <w:tcW w:w="753" w:type="pct"/>
            <w:tcBorders>
              <w:top w:val="nil"/>
              <w:left w:val="nil"/>
              <w:bottom w:val="nil"/>
              <w:right w:val="nil"/>
            </w:tcBorders>
            <w:shd w:val="clear" w:color="auto" w:fill="auto"/>
            <w:vAlign w:val="bottom"/>
          </w:tcPr>
          <w:p w14:paraId="102DB4B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-0.113 (0.302)</w:t>
            </w:r>
          </w:p>
        </w:tc>
        <w:tc>
          <w:tcPr>
            <w:tcW w:w="753" w:type="pct"/>
            <w:tcBorders>
              <w:top w:val="nil"/>
              <w:left w:val="nil"/>
              <w:bottom w:val="nil"/>
              <w:right w:val="nil"/>
            </w:tcBorders>
            <w:shd w:val="clear" w:color="auto" w:fill="auto"/>
            <w:vAlign w:val="bottom"/>
          </w:tcPr>
          <w:p w14:paraId="4479E0D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-1.521*** (0.293)</w:t>
            </w:r>
          </w:p>
        </w:tc>
        <w:tc>
          <w:tcPr>
            <w:tcW w:w="753" w:type="pct"/>
            <w:tcBorders>
              <w:top w:val="nil"/>
              <w:left w:val="nil"/>
              <w:bottom w:val="nil"/>
              <w:right w:val="nil"/>
            </w:tcBorders>
            <w:shd w:val="clear" w:color="auto" w:fill="auto"/>
            <w:vAlign w:val="bottom"/>
          </w:tcPr>
          <w:p w14:paraId="12B3593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-1.241*** (0.307)</w:t>
            </w:r>
          </w:p>
        </w:tc>
        <w:tc>
          <w:tcPr>
            <w:tcW w:w="752" w:type="pct"/>
            <w:tcBorders>
              <w:top w:val="nil"/>
              <w:left w:val="nil"/>
              <w:bottom w:val="nil"/>
              <w:right w:val="nil"/>
            </w:tcBorders>
            <w:shd w:val="clear" w:color="auto" w:fill="auto"/>
            <w:vAlign w:val="bottom"/>
          </w:tcPr>
          <w:p w14:paraId="05728D4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-1.051*** (0.309)</w:t>
            </w:r>
          </w:p>
        </w:tc>
      </w:tr>
      <w:tr w:rsidR="009F7FF5" w:rsidRPr="001E47AD" w14:paraId="5EF512F4" w14:textId="77777777" w:rsidTr="00F56D1C">
        <w:tc>
          <w:tcPr>
            <w:tcW w:w="1224" w:type="pct"/>
            <w:tcBorders>
              <w:top w:val="nil"/>
              <w:left w:val="nil"/>
              <w:bottom w:val="nil"/>
              <w:right w:val="nil"/>
            </w:tcBorders>
            <w:shd w:val="clear" w:color="auto" w:fill="auto"/>
            <w:vAlign w:val="center"/>
          </w:tcPr>
          <w:p w14:paraId="66CA2269"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HUR_TRACK_DIST</m:t>
                </m:r>
              </m:oMath>
            </m:oMathPara>
          </w:p>
        </w:tc>
        <w:tc>
          <w:tcPr>
            <w:tcW w:w="765" w:type="pct"/>
            <w:tcBorders>
              <w:top w:val="nil"/>
              <w:left w:val="nil"/>
              <w:bottom w:val="nil"/>
              <w:right w:val="nil"/>
            </w:tcBorders>
            <w:shd w:val="clear" w:color="auto" w:fill="auto"/>
            <w:vAlign w:val="bottom"/>
          </w:tcPr>
          <w:p w14:paraId="7397137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6.056 (6.578)</w:t>
            </w:r>
          </w:p>
        </w:tc>
        <w:tc>
          <w:tcPr>
            <w:tcW w:w="753" w:type="pct"/>
            <w:tcBorders>
              <w:top w:val="nil"/>
              <w:left w:val="nil"/>
              <w:bottom w:val="nil"/>
              <w:right w:val="nil"/>
            </w:tcBorders>
            <w:shd w:val="clear" w:color="auto" w:fill="auto"/>
            <w:vAlign w:val="bottom"/>
          </w:tcPr>
          <w:p w14:paraId="05D3EAE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-15.593* (6.474)</w:t>
            </w:r>
          </w:p>
        </w:tc>
        <w:tc>
          <w:tcPr>
            <w:tcW w:w="753" w:type="pct"/>
            <w:tcBorders>
              <w:top w:val="nil"/>
              <w:left w:val="nil"/>
              <w:bottom w:val="nil"/>
              <w:right w:val="nil"/>
            </w:tcBorders>
            <w:shd w:val="clear" w:color="auto" w:fill="auto"/>
            <w:vAlign w:val="bottom"/>
          </w:tcPr>
          <w:p w14:paraId="2DE815E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-7.381 (6.414)</w:t>
            </w:r>
          </w:p>
        </w:tc>
        <w:tc>
          <w:tcPr>
            <w:tcW w:w="753" w:type="pct"/>
            <w:tcBorders>
              <w:top w:val="nil"/>
              <w:left w:val="nil"/>
              <w:bottom w:val="nil"/>
              <w:right w:val="nil"/>
            </w:tcBorders>
            <w:shd w:val="clear" w:color="auto" w:fill="auto"/>
            <w:vAlign w:val="bottom"/>
          </w:tcPr>
          <w:p w14:paraId="3B9D4BA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-21.042** (6.456)</w:t>
            </w:r>
          </w:p>
        </w:tc>
        <w:tc>
          <w:tcPr>
            <w:tcW w:w="752" w:type="pct"/>
            <w:tcBorders>
              <w:top w:val="nil"/>
              <w:left w:val="nil"/>
              <w:bottom w:val="nil"/>
              <w:right w:val="nil"/>
            </w:tcBorders>
            <w:shd w:val="clear" w:color="auto" w:fill="auto"/>
            <w:vAlign w:val="bottom"/>
          </w:tcPr>
          <w:p w14:paraId="1C6B645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-15.460* (6.556)</w:t>
            </w:r>
          </w:p>
        </w:tc>
      </w:tr>
      <w:tr w:rsidR="009F7FF5" w:rsidRPr="001E47AD" w14:paraId="0057F236" w14:textId="77777777" w:rsidTr="00F56D1C">
        <w:tc>
          <w:tcPr>
            <w:tcW w:w="1224" w:type="pct"/>
            <w:tcBorders>
              <w:top w:val="nil"/>
              <w:left w:val="nil"/>
              <w:bottom w:val="nil"/>
              <w:right w:val="nil"/>
            </w:tcBorders>
            <w:shd w:val="clear" w:color="auto" w:fill="auto"/>
            <w:vAlign w:val="center"/>
          </w:tcPr>
          <w:p w14:paraId="7AE50110"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(HUR_TRACK_DIST)</m:t>
                    </m:r>
                  </m:e>
                  <m:sup>
                    <m:r>
                      <m:rPr>
                        <m:sty m:val="p"/>
                      </m:rPr>
                      <w:rPr>
                        <w:rFonts w:ascii="Cambria Math" w:hAnsi="Cambria Math" w:cs="Times New Roman"/>
                        <w:sz w:val="16"/>
                        <w:szCs w:val="16"/>
                      </w:rPr>
                      <m:t>2</m:t>
                    </m:r>
                  </m:sup>
                </m:sSup>
              </m:oMath>
            </m:oMathPara>
          </w:p>
        </w:tc>
        <w:tc>
          <w:tcPr>
            <w:tcW w:w="765" w:type="pct"/>
            <w:tcBorders>
              <w:top w:val="nil"/>
              <w:left w:val="nil"/>
              <w:bottom w:val="nil"/>
              <w:right w:val="nil"/>
            </w:tcBorders>
            <w:shd w:val="clear" w:color="auto" w:fill="auto"/>
            <w:vAlign w:val="bottom"/>
          </w:tcPr>
          <w:p w14:paraId="3E66CEA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-3.331** (1.056)</w:t>
            </w:r>
          </w:p>
        </w:tc>
        <w:tc>
          <w:tcPr>
            <w:tcW w:w="753" w:type="pct"/>
            <w:tcBorders>
              <w:top w:val="nil"/>
              <w:left w:val="nil"/>
              <w:bottom w:val="nil"/>
              <w:right w:val="nil"/>
            </w:tcBorders>
            <w:shd w:val="clear" w:color="auto" w:fill="auto"/>
            <w:vAlign w:val="bottom"/>
          </w:tcPr>
          <w:p w14:paraId="0911CE1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2.235* (1.048)</w:t>
            </w:r>
          </w:p>
        </w:tc>
        <w:tc>
          <w:tcPr>
            <w:tcW w:w="753" w:type="pct"/>
            <w:tcBorders>
              <w:top w:val="nil"/>
              <w:left w:val="nil"/>
              <w:bottom w:val="nil"/>
              <w:right w:val="nil"/>
            </w:tcBorders>
            <w:shd w:val="clear" w:color="auto" w:fill="auto"/>
            <w:vAlign w:val="bottom"/>
          </w:tcPr>
          <w:p w14:paraId="0B1BBC1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-0.613 (1.036)</w:t>
            </w:r>
          </w:p>
        </w:tc>
        <w:tc>
          <w:tcPr>
            <w:tcW w:w="753" w:type="pct"/>
            <w:tcBorders>
              <w:top w:val="nil"/>
              <w:left w:val="nil"/>
              <w:bottom w:val="nil"/>
              <w:right w:val="nil"/>
            </w:tcBorders>
            <w:shd w:val="clear" w:color="auto" w:fill="auto"/>
            <w:vAlign w:val="bottom"/>
          </w:tcPr>
          <w:p w14:paraId="420ABA1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3.360** (1.046)</w:t>
            </w:r>
          </w:p>
        </w:tc>
        <w:tc>
          <w:tcPr>
            <w:tcW w:w="752" w:type="pct"/>
            <w:tcBorders>
              <w:top w:val="nil"/>
              <w:left w:val="nil"/>
              <w:bottom w:val="nil"/>
              <w:right w:val="nil"/>
            </w:tcBorders>
            <w:shd w:val="clear" w:color="auto" w:fill="auto"/>
            <w:vAlign w:val="bottom"/>
          </w:tcPr>
          <w:p w14:paraId="3092872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2.339* (1.059)</w:t>
            </w:r>
          </w:p>
        </w:tc>
      </w:tr>
      <w:tr w:rsidR="009F7FF5" w:rsidRPr="001E47AD" w14:paraId="6D916AD1" w14:textId="77777777" w:rsidTr="00F56D1C">
        <w:tc>
          <w:tcPr>
            <w:tcW w:w="1224" w:type="pct"/>
            <w:tcBorders>
              <w:top w:val="nil"/>
              <w:left w:val="nil"/>
              <w:bottom w:val="nil"/>
              <w:right w:val="nil"/>
            </w:tcBorders>
            <w:shd w:val="clear" w:color="auto" w:fill="auto"/>
            <w:vAlign w:val="center"/>
          </w:tcPr>
          <w:p w14:paraId="48F3AB94"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HUR_TRACK_WIND</m:t>
                </m:r>
              </m:oMath>
            </m:oMathPara>
          </w:p>
        </w:tc>
        <w:tc>
          <w:tcPr>
            <w:tcW w:w="765" w:type="pct"/>
            <w:tcBorders>
              <w:top w:val="nil"/>
              <w:left w:val="nil"/>
              <w:bottom w:val="nil"/>
              <w:right w:val="nil"/>
            </w:tcBorders>
            <w:shd w:val="clear" w:color="auto" w:fill="auto"/>
            <w:vAlign w:val="bottom"/>
          </w:tcPr>
          <w:p w14:paraId="470A1BD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2.690** (0.931)</w:t>
            </w:r>
          </w:p>
        </w:tc>
        <w:tc>
          <w:tcPr>
            <w:tcW w:w="753" w:type="pct"/>
            <w:tcBorders>
              <w:top w:val="nil"/>
              <w:left w:val="nil"/>
              <w:bottom w:val="nil"/>
              <w:right w:val="nil"/>
            </w:tcBorders>
            <w:shd w:val="clear" w:color="auto" w:fill="auto"/>
            <w:vAlign w:val="bottom"/>
          </w:tcPr>
          <w:p w14:paraId="69D9FAF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0.323 (0.912)</w:t>
            </w:r>
          </w:p>
        </w:tc>
        <w:tc>
          <w:tcPr>
            <w:tcW w:w="753" w:type="pct"/>
            <w:tcBorders>
              <w:top w:val="nil"/>
              <w:left w:val="nil"/>
              <w:bottom w:val="nil"/>
              <w:right w:val="nil"/>
            </w:tcBorders>
            <w:shd w:val="clear" w:color="auto" w:fill="auto"/>
            <w:vAlign w:val="bottom"/>
          </w:tcPr>
          <w:p w14:paraId="6A7EA27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2.423** (0.917)</w:t>
            </w:r>
          </w:p>
        </w:tc>
        <w:tc>
          <w:tcPr>
            <w:tcW w:w="753" w:type="pct"/>
            <w:tcBorders>
              <w:top w:val="nil"/>
              <w:left w:val="nil"/>
              <w:bottom w:val="nil"/>
              <w:right w:val="nil"/>
            </w:tcBorders>
            <w:shd w:val="clear" w:color="auto" w:fill="auto"/>
            <w:vAlign w:val="bottom"/>
          </w:tcPr>
          <w:p w14:paraId="172C627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0.741 (0.914)</w:t>
            </w:r>
          </w:p>
        </w:tc>
        <w:tc>
          <w:tcPr>
            <w:tcW w:w="752" w:type="pct"/>
            <w:tcBorders>
              <w:top w:val="nil"/>
              <w:left w:val="nil"/>
              <w:bottom w:val="nil"/>
              <w:right w:val="nil"/>
            </w:tcBorders>
            <w:shd w:val="clear" w:color="auto" w:fill="auto"/>
            <w:vAlign w:val="bottom"/>
          </w:tcPr>
          <w:p w14:paraId="1CC9320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2.185* (0.925)</w:t>
            </w:r>
          </w:p>
        </w:tc>
      </w:tr>
      <w:tr w:rsidR="009F7FF5" w:rsidRPr="001E47AD" w14:paraId="33D42BE8" w14:textId="77777777" w:rsidTr="00F56D1C">
        <w:tc>
          <w:tcPr>
            <w:tcW w:w="1224" w:type="pct"/>
            <w:tcBorders>
              <w:top w:val="nil"/>
              <w:left w:val="nil"/>
              <w:bottom w:val="single" w:sz="4" w:space="0" w:color="auto"/>
              <w:right w:val="nil"/>
            </w:tcBorders>
            <w:shd w:val="clear" w:color="auto" w:fill="auto"/>
            <w:vAlign w:val="center"/>
          </w:tcPr>
          <w:p w14:paraId="7EBBD52C" w14:textId="77777777" w:rsidR="009F7FF5" w:rsidRPr="001E47AD" w:rsidRDefault="00EC5F60" w:rsidP="00F56D1C">
            <w:pPr>
              <w:contextualSpacing/>
              <w:rPr>
                <w:rFonts w:ascii="Times New Roman" w:eastAsia="宋体" w:hAnsi="Times New Roman" w:cs="Times New Roman"/>
                <w:sz w:val="16"/>
                <w:szCs w:val="16"/>
              </w:rPr>
            </w:pPr>
            <m:oMathPara>
              <m:oMathParaPr>
                <m:jc m:val="left"/>
              </m:oMathParaPr>
              <m:oMath>
                <m:sSup>
                  <m:sSupPr>
                    <m:ctrlPr>
                      <w:rPr>
                        <w:rFonts w:ascii="Cambria Math" w:hAnsi="Cambria Math" w:cs="Times New Roman"/>
                        <w:sz w:val="16"/>
                        <w:szCs w:val="16"/>
                      </w:rPr>
                    </m:ctrlPr>
                  </m:sSupPr>
                  <m:e>
                    <m:r>
                      <m:rPr>
                        <m:sty m:val="p"/>
                      </m:rPr>
                      <w:rPr>
                        <w:rFonts w:ascii="Cambria Math" w:hAnsi="Cambria Math" w:cs="Times New Roman"/>
                        <w:sz w:val="16"/>
                        <w:szCs w:val="16"/>
                      </w:rPr>
                      <m:t>(HUR_TRACK_WIND)</m:t>
                    </m:r>
                  </m:e>
                  <m:sup>
                    <m:r>
                      <m:rPr>
                        <m:sty m:val="p"/>
                      </m:rPr>
                      <w:rPr>
                        <w:rFonts w:ascii="Cambria Math" w:hAnsi="Cambria Math" w:cs="Times New Roman"/>
                        <w:sz w:val="16"/>
                        <w:szCs w:val="16"/>
                      </w:rPr>
                      <m:t>2</m:t>
                    </m:r>
                  </m:sup>
                </m:sSup>
              </m:oMath>
            </m:oMathPara>
          </w:p>
        </w:tc>
        <w:tc>
          <w:tcPr>
            <w:tcW w:w="765" w:type="pct"/>
            <w:tcBorders>
              <w:top w:val="nil"/>
              <w:left w:val="nil"/>
              <w:bottom w:val="single" w:sz="4" w:space="0" w:color="auto"/>
              <w:right w:val="nil"/>
            </w:tcBorders>
            <w:shd w:val="clear" w:color="auto" w:fill="auto"/>
            <w:vAlign w:val="bottom"/>
          </w:tcPr>
          <w:p w14:paraId="06EE05E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-0.028*** (0.008)</w:t>
            </w:r>
          </w:p>
        </w:tc>
        <w:tc>
          <w:tcPr>
            <w:tcW w:w="753" w:type="pct"/>
            <w:tcBorders>
              <w:top w:val="nil"/>
              <w:left w:val="nil"/>
              <w:bottom w:val="single" w:sz="4" w:space="0" w:color="auto"/>
              <w:right w:val="nil"/>
            </w:tcBorders>
            <w:shd w:val="clear" w:color="auto" w:fill="auto"/>
            <w:vAlign w:val="bottom"/>
          </w:tcPr>
          <w:p w14:paraId="7466223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-0.009 (0.008)</w:t>
            </w:r>
          </w:p>
        </w:tc>
        <w:tc>
          <w:tcPr>
            <w:tcW w:w="753" w:type="pct"/>
            <w:tcBorders>
              <w:top w:val="nil"/>
              <w:left w:val="nil"/>
              <w:bottom w:val="single" w:sz="4" w:space="0" w:color="auto"/>
              <w:right w:val="nil"/>
            </w:tcBorders>
            <w:shd w:val="clear" w:color="auto" w:fill="auto"/>
            <w:vAlign w:val="bottom"/>
          </w:tcPr>
          <w:p w14:paraId="0D3AD4D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-0.026*** (0.008)</w:t>
            </w:r>
          </w:p>
        </w:tc>
        <w:tc>
          <w:tcPr>
            <w:tcW w:w="753" w:type="pct"/>
            <w:tcBorders>
              <w:top w:val="nil"/>
              <w:left w:val="nil"/>
              <w:bottom w:val="single" w:sz="4" w:space="0" w:color="auto"/>
              <w:right w:val="nil"/>
            </w:tcBorders>
            <w:shd w:val="clear" w:color="auto" w:fill="auto"/>
            <w:vAlign w:val="bottom"/>
          </w:tcPr>
          <w:p w14:paraId="250445E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-0.010 (0.008)</w:t>
            </w:r>
          </w:p>
        </w:tc>
        <w:tc>
          <w:tcPr>
            <w:tcW w:w="752" w:type="pct"/>
            <w:tcBorders>
              <w:top w:val="nil"/>
              <w:left w:val="nil"/>
              <w:bottom w:val="single" w:sz="4" w:space="0" w:color="auto"/>
              <w:right w:val="nil"/>
            </w:tcBorders>
            <w:shd w:val="clear" w:color="auto" w:fill="auto"/>
            <w:vAlign w:val="bottom"/>
          </w:tcPr>
          <w:p w14:paraId="2FFA63D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-0.025** (0.008)</w:t>
            </w:r>
          </w:p>
        </w:tc>
      </w:tr>
      <w:tr w:rsidR="009F7FF5" w:rsidRPr="001E47AD" w14:paraId="14BD7D91" w14:textId="77777777" w:rsidTr="00F56D1C">
        <w:tc>
          <w:tcPr>
            <w:tcW w:w="1224" w:type="pct"/>
            <w:tcBorders>
              <w:top w:val="single" w:sz="4" w:space="0" w:color="auto"/>
              <w:left w:val="nil"/>
              <w:bottom w:val="nil"/>
              <w:right w:val="nil"/>
            </w:tcBorders>
            <w:shd w:val="clear" w:color="auto" w:fill="auto"/>
            <w:vAlign w:val="center"/>
          </w:tcPr>
          <w:p w14:paraId="6DA53B18" w14:textId="77777777" w:rsidR="009F7FF5" w:rsidRPr="001E47AD" w:rsidRDefault="009F7FF5" w:rsidP="00F56D1C">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rPr>
              <w:t>Control Variables</w:t>
            </w:r>
          </w:p>
        </w:tc>
        <w:tc>
          <w:tcPr>
            <w:tcW w:w="765" w:type="pct"/>
            <w:tcBorders>
              <w:top w:val="single" w:sz="4" w:space="0" w:color="auto"/>
              <w:left w:val="nil"/>
              <w:bottom w:val="nil"/>
              <w:right w:val="nil"/>
            </w:tcBorders>
            <w:shd w:val="clear" w:color="auto" w:fill="auto"/>
            <w:vAlign w:val="bottom"/>
          </w:tcPr>
          <w:p w14:paraId="76D9036C" w14:textId="77777777" w:rsidR="009F7FF5" w:rsidRPr="001E47AD" w:rsidRDefault="009F7FF5" w:rsidP="00F56D1C">
            <w:pPr>
              <w:jc w:val="right"/>
              <w:rPr>
                <w:rFonts w:ascii="Times New Roman" w:hAnsi="Times New Roman" w:cs="Times New Roman"/>
                <w:sz w:val="16"/>
                <w:szCs w:val="16"/>
              </w:rPr>
            </w:pPr>
          </w:p>
        </w:tc>
        <w:tc>
          <w:tcPr>
            <w:tcW w:w="753" w:type="pct"/>
            <w:tcBorders>
              <w:top w:val="single" w:sz="4" w:space="0" w:color="auto"/>
              <w:left w:val="nil"/>
              <w:bottom w:val="nil"/>
              <w:right w:val="nil"/>
            </w:tcBorders>
            <w:shd w:val="clear" w:color="auto" w:fill="auto"/>
            <w:vAlign w:val="bottom"/>
          </w:tcPr>
          <w:p w14:paraId="7E65423D" w14:textId="77777777" w:rsidR="009F7FF5" w:rsidRPr="001E47AD" w:rsidRDefault="009F7FF5" w:rsidP="00F56D1C">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0DAB0FAE" w14:textId="77777777" w:rsidR="009F7FF5" w:rsidRPr="001E47AD" w:rsidRDefault="009F7FF5" w:rsidP="00F56D1C">
            <w:pPr>
              <w:jc w:val="right"/>
              <w:rPr>
                <w:rFonts w:ascii="Times New Roman" w:hAnsi="Times New Roman" w:cs="Times New Roman"/>
                <w:sz w:val="20"/>
                <w:szCs w:val="20"/>
              </w:rPr>
            </w:pPr>
          </w:p>
        </w:tc>
        <w:tc>
          <w:tcPr>
            <w:tcW w:w="753" w:type="pct"/>
            <w:tcBorders>
              <w:top w:val="single" w:sz="4" w:space="0" w:color="auto"/>
              <w:left w:val="nil"/>
              <w:bottom w:val="nil"/>
              <w:right w:val="nil"/>
            </w:tcBorders>
            <w:shd w:val="clear" w:color="auto" w:fill="auto"/>
            <w:vAlign w:val="bottom"/>
          </w:tcPr>
          <w:p w14:paraId="768540E0" w14:textId="77777777" w:rsidR="009F7FF5" w:rsidRPr="001E47AD" w:rsidRDefault="009F7FF5" w:rsidP="00F56D1C">
            <w:pPr>
              <w:jc w:val="right"/>
              <w:rPr>
                <w:rFonts w:ascii="Times New Roman" w:hAnsi="Times New Roman" w:cs="Times New Roman"/>
                <w:sz w:val="20"/>
                <w:szCs w:val="20"/>
              </w:rPr>
            </w:pPr>
          </w:p>
        </w:tc>
        <w:tc>
          <w:tcPr>
            <w:tcW w:w="752" w:type="pct"/>
            <w:tcBorders>
              <w:top w:val="single" w:sz="4" w:space="0" w:color="auto"/>
              <w:left w:val="nil"/>
              <w:bottom w:val="nil"/>
              <w:right w:val="nil"/>
            </w:tcBorders>
            <w:shd w:val="clear" w:color="auto" w:fill="auto"/>
            <w:vAlign w:val="bottom"/>
          </w:tcPr>
          <w:p w14:paraId="7116DA31" w14:textId="77777777" w:rsidR="009F7FF5" w:rsidRPr="001E47AD" w:rsidRDefault="009F7FF5" w:rsidP="00F56D1C">
            <w:pPr>
              <w:jc w:val="right"/>
              <w:rPr>
                <w:rFonts w:ascii="Times New Roman" w:hAnsi="Times New Roman" w:cs="Times New Roman"/>
                <w:sz w:val="20"/>
                <w:szCs w:val="20"/>
              </w:rPr>
            </w:pPr>
          </w:p>
        </w:tc>
      </w:tr>
      <w:tr w:rsidR="009F7FF5" w:rsidRPr="001E47AD" w14:paraId="037D6D69" w14:textId="77777777" w:rsidTr="00F56D1C">
        <w:tc>
          <w:tcPr>
            <w:tcW w:w="1224" w:type="pct"/>
            <w:tcBorders>
              <w:top w:val="nil"/>
              <w:left w:val="nil"/>
              <w:bottom w:val="nil"/>
              <w:right w:val="nil"/>
            </w:tcBorders>
            <w:shd w:val="clear" w:color="auto" w:fill="auto"/>
            <w:vAlign w:val="center"/>
          </w:tcPr>
          <w:p w14:paraId="4486EF94"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Format</w:t>
            </w:r>
          </w:p>
        </w:tc>
        <w:tc>
          <w:tcPr>
            <w:tcW w:w="765" w:type="pct"/>
            <w:tcBorders>
              <w:top w:val="nil"/>
              <w:left w:val="nil"/>
              <w:bottom w:val="nil"/>
              <w:right w:val="nil"/>
            </w:tcBorders>
            <w:shd w:val="clear" w:color="auto" w:fill="auto"/>
            <w:vAlign w:val="bottom"/>
          </w:tcPr>
          <w:p w14:paraId="07A1DAAF" w14:textId="77777777" w:rsidR="009F7FF5" w:rsidRPr="001E47AD" w:rsidRDefault="009F7FF5" w:rsidP="00F56D1C">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674F1DD9"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61390976"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642CE8D4" w14:textId="77777777" w:rsidR="009F7FF5" w:rsidRPr="001E47AD" w:rsidRDefault="009F7FF5" w:rsidP="00F56D1C">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29ECFB9D" w14:textId="77777777" w:rsidR="009F7FF5" w:rsidRPr="001E47AD" w:rsidRDefault="009F7FF5" w:rsidP="00F56D1C">
            <w:pPr>
              <w:jc w:val="right"/>
              <w:rPr>
                <w:rFonts w:ascii="Times New Roman" w:hAnsi="Times New Roman" w:cs="Times New Roman"/>
                <w:sz w:val="20"/>
                <w:szCs w:val="20"/>
              </w:rPr>
            </w:pPr>
          </w:p>
        </w:tc>
      </w:tr>
      <w:tr w:rsidR="009F7FF5" w:rsidRPr="001E47AD" w14:paraId="59195086" w14:textId="77777777" w:rsidTr="00F56D1C">
        <w:tc>
          <w:tcPr>
            <w:tcW w:w="1224" w:type="pct"/>
            <w:tcBorders>
              <w:top w:val="nil"/>
              <w:left w:val="nil"/>
              <w:bottom w:val="nil"/>
              <w:right w:val="nil"/>
            </w:tcBorders>
            <w:shd w:val="clear" w:color="auto" w:fill="auto"/>
            <w:vAlign w:val="center"/>
          </w:tcPr>
          <w:p w14:paraId="7DDB1189"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CHAIN_GROC</m:t>
                </m:r>
              </m:oMath>
            </m:oMathPara>
          </w:p>
        </w:tc>
        <w:tc>
          <w:tcPr>
            <w:tcW w:w="765" w:type="pct"/>
            <w:tcBorders>
              <w:top w:val="nil"/>
              <w:left w:val="nil"/>
              <w:bottom w:val="nil"/>
              <w:right w:val="nil"/>
            </w:tcBorders>
            <w:shd w:val="clear" w:color="auto" w:fill="auto"/>
            <w:vAlign w:val="bottom"/>
          </w:tcPr>
          <w:p w14:paraId="583C9E0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91.300* (40.745)</w:t>
            </w:r>
          </w:p>
        </w:tc>
        <w:tc>
          <w:tcPr>
            <w:tcW w:w="753" w:type="pct"/>
            <w:tcBorders>
              <w:top w:val="nil"/>
              <w:left w:val="nil"/>
              <w:bottom w:val="nil"/>
              <w:right w:val="nil"/>
            </w:tcBorders>
            <w:shd w:val="clear" w:color="auto" w:fill="auto"/>
            <w:vAlign w:val="bottom"/>
          </w:tcPr>
          <w:p w14:paraId="2887EDC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-7.274 (39.163)</w:t>
            </w:r>
          </w:p>
        </w:tc>
        <w:tc>
          <w:tcPr>
            <w:tcW w:w="753" w:type="pct"/>
            <w:tcBorders>
              <w:top w:val="nil"/>
              <w:left w:val="nil"/>
              <w:bottom w:val="nil"/>
              <w:right w:val="nil"/>
            </w:tcBorders>
            <w:shd w:val="clear" w:color="auto" w:fill="auto"/>
            <w:vAlign w:val="bottom"/>
          </w:tcPr>
          <w:p w14:paraId="01B9C6B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34.979 (38.553)</w:t>
            </w:r>
          </w:p>
        </w:tc>
        <w:tc>
          <w:tcPr>
            <w:tcW w:w="753" w:type="pct"/>
            <w:tcBorders>
              <w:top w:val="nil"/>
              <w:left w:val="nil"/>
              <w:bottom w:val="nil"/>
              <w:right w:val="nil"/>
            </w:tcBorders>
            <w:shd w:val="clear" w:color="auto" w:fill="auto"/>
            <w:vAlign w:val="bottom"/>
          </w:tcPr>
          <w:p w14:paraId="4F08D84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-0.821 (39.231)</w:t>
            </w:r>
          </w:p>
        </w:tc>
        <w:tc>
          <w:tcPr>
            <w:tcW w:w="752" w:type="pct"/>
            <w:tcBorders>
              <w:top w:val="nil"/>
              <w:left w:val="nil"/>
              <w:bottom w:val="nil"/>
              <w:right w:val="nil"/>
            </w:tcBorders>
            <w:shd w:val="clear" w:color="auto" w:fill="auto"/>
            <w:vAlign w:val="bottom"/>
          </w:tcPr>
          <w:p w14:paraId="215F1E4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19.649 (39.735)</w:t>
            </w:r>
          </w:p>
        </w:tc>
      </w:tr>
      <w:tr w:rsidR="009F7FF5" w:rsidRPr="001E47AD" w14:paraId="7D29F82C" w14:textId="77777777" w:rsidTr="00F56D1C">
        <w:tc>
          <w:tcPr>
            <w:tcW w:w="1224" w:type="pct"/>
            <w:tcBorders>
              <w:top w:val="nil"/>
              <w:left w:val="nil"/>
              <w:bottom w:val="nil"/>
              <w:right w:val="nil"/>
            </w:tcBorders>
            <w:shd w:val="clear" w:color="auto" w:fill="auto"/>
            <w:vAlign w:val="center"/>
          </w:tcPr>
          <w:p w14:paraId="3B331081"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CHAIN_WHS</m:t>
                </m:r>
              </m:oMath>
            </m:oMathPara>
          </w:p>
        </w:tc>
        <w:tc>
          <w:tcPr>
            <w:tcW w:w="765" w:type="pct"/>
            <w:tcBorders>
              <w:top w:val="nil"/>
              <w:left w:val="nil"/>
              <w:bottom w:val="nil"/>
              <w:right w:val="nil"/>
            </w:tcBorders>
            <w:shd w:val="clear" w:color="auto" w:fill="auto"/>
            <w:vAlign w:val="bottom"/>
          </w:tcPr>
          <w:p w14:paraId="310CE6F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89.775*** (12.528)</w:t>
            </w:r>
          </w:p>
        </w:tc>
        <w:tc>
          <w:tcPr>
            <w:tcW w:w="753" w:type="pct"/>
            <w:tcBorders>
              <w:top w:val="nil"/>
              <w:left w:val="nil"/>
              <w:bottom w:val="nil"/>
              <w:right w:val="nil"/>
            </w:tcBorders>
            <w:shd w:val="clear" w:color="auto" w:fill="auto"/>
            <w:vAlign w:val="bottom"/>
          </w:tcPr>
          <w:p w14:paraId="5704DA0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77.751*** (14.102)</w:t>
            </w:r>
          </w:p>
        </w:tc>
        <w:tc>
          <w:tcPr>
            <w:tcW w:w="753" w:type="pct"/>
            <w:tcBorders>
              <w:top w:val="nil"/>
              <w:left w:val="nil"/>
              <w:bottom w:val="nil"/>
              <w:right w:val="nil"/>
            </w:tcBorders>
            <w:shd w:val="clear" w:color="auto" w:fill="auto"/>
            <w:vAlign w:val="bottom"/>
          </w:tcPr>
          <w:p w14:paraId="702E4CD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41.746** (13.561)</w:t>
            </w:r>
          </w:p>
        </w:tc>
        <w:tc>
          <w:tcPr>
            <w:tcW w:w="753" w:type="pct"/>
            <w:tcBorders>
              <w:top w:val="nil"/>
              <w:left w:val="nil"/>
              <w:bottom w:val="nil"/>
              <w:right w:val="nil"/>
            </w:tcBorders>
            <w:shd w:val="clear" w:color="auto" w:fill="auto"/>
            <w:vAlign w:val="bottom"/>
          </w:tcPr>
          <w:p w14:paraId="3B4784D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52.475*** (14.028)</w:t>
            </w:r>
          </w:p>
        </w:tc>
        <w:tc>
          <w:tcPr>
            <w:tcW w:w="752" w:type="pct"/>
            <w:tcBorders>
              <w:top w:val="nil"/>
              <w:left w:val="nil"/>
              <w:bottom w:val="nil"/>
              <w:right w:val="nil"/>
            </w:tcBorders>
            <w:shd w:val="clear" w:color="auto" w:fill="auto"/>
            <w:vAlign w:val="bottom"/>
          </w:tcPr>
          <w:p w14:paraId="41BFFBC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31.271* (13.203)</w:t>
            </w:r>
          </w:p>
        </w:tc>
      </w:tr>
      <w:tr w:rsidR="009F7FF5" w:rsidRPr="001E47AD" w14:paraId="714749E9" w14:textId="77777777" w:rsidTr="00F56D1C">
        <w:tc>
          <w:tcPr>
            <w:tcW w:w="1224" w:type="pct"/>
            <w:tcBorders>
              <w:top w:val="nil"/>
              <w:left w:val="nil"/>
              <w:bottom w:val="nil"/>
              <w:right w:val="nil"/>
            </w:tcBorders>
            <w:shd w:val="clear" w:color="auto" w:fill="auto"/>
            <w:vAlign w:val="center"/>
          </w:tcPr>
          <w:p w14:paraId="4E22A0C0"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CHAIN_DISC</m:t>
                </m:r>
              </m:oMath>
            </m:oMathPara>
          </w:p>
        </w:tc>
        <w:tc>
          <w:tcPr>
            <w:tcW w:w="765" w:type="pct"/>
            <w:tcBorders>
              <w:top w:val="nil"/>
              <w:left w:val="nil"/>
              <w:bottom w:val="nil"/>
              <w:right w:val="nil"/>
            </w:tcBorders>
            <w:shd w:val="clear" w:color="auto" w:fill="auto"/>
            <w:vAlign w:val="bottom"/>
          </w:tcPr>
          <w:p w14:paraId="217DCDD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-141.823*** (26.960)</w:t>
            </w:r>
          </w:p>
        </w:tc>
        <w:tc>
          <w:tcPr>
            <w:tcW w:w="753" w:type="pct"/>
            <w:tcBorders>
              <w:top w:val="nil"/>
              <w:left w:val="nil"/>
              <w:bottom w:val="nil"/>
              <w:right w:val="nil"/>
            </w:tcBorders>
            <w:shd w:val="clear" w:color="auto" w:fill="auto"/>
            <w:vAlign w:val="bottom"/>
          </w:tcPr>
          <w:p w14:paraId="724DFCF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-149.531*** (26.234)</w:t>
            </w:r>
          </w:p>
        </w:tc>
        <w:tc>
          <w:tcPr>
            <w:tcW w:w="753" w:type="pct"/>
            <w:tcBorders>
              <w:top w:val="nil"/>
              <w:left w:val="nil"/>
              <w:bottom w:val="nil"/>
              <w:right w:val="nil"/>
            </w:tcBorders>
            <w:shd w:val="clear" w:color="auto" w:fill="auto"/>
            <w:vAlign w:val="bottom"/>
          </w:tcPr>
          <w:p w14:paraId="34EE0CA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-256.536*** (25.857)</w:t>
            </w:r>
          </w:p>
        </w:tc>
        <w:tc>
          <w:tcPr>
            <w:tcW w:w="753" w:type="pct"/>
            <w:tcBorders>
              <w:top w:val="nil"/>
              <w:left w:val="nil"/>
              <w:bottom w:val="nil"/>
              <w:right w:val="nil"/>
            </w:tcBorders>
            <w:shd w:val="clear" w:color="auto" w:fill="auto"/>
            <w:vAlign w:val="bottom"/>
          </w:tcPr>
          <w:p w14:paraId="2B68782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-217.424*** (26.315)</w:t>
            </w:r>
          </w:p>
        </w:tc>
        <w:tc>
          <w:tcPr>
            <w:tcW w:w="752" w:type="pct"/>
            <w:tcBorders>
              <w:top w:val="nil"/>
              <w:left w:val="nil"/>
              <w:bottom w:val="nil"/>
              <w:right w:val="nil"/>
            </w:tcBorders>
            <w:shd w:val="clear" w:color="auto" w:fill="auto"/>
            <w:vAlign w:val="bottom"/>
          </w:tcPr>
          <w:p w14:paraId="61D631F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-272.537*** (26.608)</w:t>
            </w:r>
          </w:p>
        </w:tc>
      </w:tr>
      <w:tr w:rsidR="009F7FF5" w:rsidRPr="001E47AD" w14:paraId="3076DA95" w14:textId="77777777" w:rsidTr="00F56D1C">
        <w:tc>
          <w:tcPr>
            <w:tcW w:w="1224" w:type="pct"/>
            <w:tcBorders>
              <w:top w:val="nil"/>
              <w:left w:val="nil"/>
              <w:bottom w:val="nil"/>
              <w:right w:val="nil"/>
            </w:tcBorders>
            <w:shd w:val="clear" w:color="auto" w:fill="auto"/>
            <w:vAlign w:val="center"/>
          </w:tcPr>
          <w:p w14:paraId="56EB5B8A"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CHAIN_DOLLAR</m:t>
                </m:r>
              </m:oMath>
            </m:oMathPara>
          </w:p>
        </w:tc>
        <w:tc>
          <w:tcPr>
            <w:tcW w:w="765" w:type="pct"/>
            <w:tcBorders>
              <w:top w:val="nil"/>
              <w:left w:val="nil"/>
              <w:bottom w:val="nil"/>
              <w:right w:val="nil"/>
            </w:tcBorders>
            <w:shd w:val="clear" w:color="auto" w:fill="auto"/>
            <w:vAlign w:val="bottom"/>
          </w:tcPr>
          <w:p w14:paraId="1E23AC8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-561.810*** (24.795)</w:t>
            </w:r>
          </w:p>
        </w:tc>
        <w:tc>
          <w:tcPr>
            <w:tcW w:w="753" w:type="pct"/>
            <w:tcBorders>
              <w:top w:val="nil"/>
              <w:left w:val="nil"/>
              <w:bottom w:val="nil"/>
              <w:right w:val="nil"/>
            </w:tcBorders>
            <w:shd w:val="clear" w:color="auto" w:fill="auto"/>
            <w:vAlign w:val="bottom"/>
          </w:tcPr>
          <w:p w14:paraId="599F7AE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-269.544*** (24.004)</w:t>
            </w:r>
          </w:p>
        </w:tc>
        <w:tc>
          <w:tcPr>
            <w:tcW w:w="753" w:type="pct"/>
            <w:tcBorders>
              <w:top w:val="nil"/>
              <w:left w:val="nil"/>
              <w:bottom w:val="nil"/>
              <w:right w:val="nil"/>
            </w:tcBorders>
            <w:shd w:val="clear" w:color="auto" w:fill="auto"/>
            <w:vAlign w:val="bottom"/>
          </w:tcPr>
          <w:p w14:paraId="563A0BE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-253.036*** (23.843)</w:t>
            </w:r>
          </w:p>
        </w:tc>
        <w:tc>
          <w:tcPr>
            <w:tcW w:w="753" w:type="pct"/>
            <w:tcBorders>
              <w:top w:val="nil"/>
              <w:left w:val="nil"/>
              <w:bottom w:val="nil"/>
              <w:right w:val="nil"/>
            </w:tcBorders>
            <w:shd w:val="clear" w:color="auto" w:fill="auto"/>
            <w:vAlign w:val="bottom"/>
          </w:tcPr>
          <w:p w14:paraId="0BE6F0D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-95.048*** (24.082)</w:t>
            </w:r>
          </w:p>
        </w:tc>
        <w:tc>
          <w:tcPr>
            <w:tcW w:w="752" w:type="pct"/>
            <w:tcBorders>
              <w:top w:val="nil"/>
              <w:left w:val="nil"/>
              <w:bottom w:val="nil"/>
              <w:right w:val="nil"/>
            </w:tcBorders>
            <w:shd w:val="clear" w:color="auto" w:fill="auto"/>
            <w:vAlign w:val="bottom"/>
          </w:tcPr>
          <w:p w14:paraId="35B3094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-248.427*** (24.311)</w:t>
            </w:r>
          </w:p>
        </w:tc>
      </w:tr>
      <w:tr w:rsidR="009F7FF5" w:rsidRPr="001E47AD" w14:paraId="7B302BD7" w14:textId="77777777" w:rsidTr="00F56D1C">
        <w:tc>
          <w:tcPr>
            <w:tcW w:w="1224" w:type="pct"/>
            <w:tcBorders>
              <w:top w:val="nil"/>
              <w:left w:val="nil"/>
              <w:bottom w:val="nil"/>
              <w:right w:val="nil"/>
            </w:tcBorders>
            <w:shd w:val="clear" w:color="auto" w:fill="auto"/>
            <w:vAlign w:val="center"/>
          </w:tcPr>
          <w:p w14:paraId="5AAC430B"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CHAIN_DRUG</m:t>
                </m:r>
              </m:oMath>
            </m:oMathPara>
          </w:p>
        </w:tc>
        <w:tc>
          <w:tcPr>
            <w:tcW w:w="765" w:type="pct"/>
            <w:tcBorders>
              <w:top w:val="nil"/>
              <w:left w:val="nil"/>
              <w:bottom w:val="nil"/>
              <w:right w:val="nil"/>
            </w:tcBorders>
            <w:shd w:val="clear" w:color="auto" w:fill="auto"/>
            <w:vAlign w:val="bottom"/>
          </w:tcPr>
          <w:p w14:paraId="1D94F0B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10.775 (20.413)</w:t>
            </w:r>
          </w:p>
        </w:tc>
        <w:tc>
          <w:tcPr>
            <w:tcW w:w="753" w:type="pct"/>
            <w:tcBorders>
              <w:top w:val="nil"/>
              <w:left w:val="nil"/>
              <w:bottom w:val="nil"/>
              <w:right w:val="nil"/>
            </w:tcBorders>
            <w:shd w:val="clear" w:color="auto" w:fill="auto"/>
            <w:vAlign w:val="bottom"/>
          </w:tcPr>
          <w:p w14:paraId="75E254C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0.157 (19.820)</w:t>
            </w:r>
          </w:p>
        </w:tc>
        <w:tc>
          <w:tcPr>
            <w:tcW w:w="753" w:type="pct"/>
            <w:tcBorders>
              <w:top w:val="nil"/>
              <w:left w:val="nil"/>
              <w:bottom w:val="nil"/>
              <w:right w:val="nil"/>
            </w:tcBorders>
            <w:shd w:val="clear" w:color="auto" w:fill="auto"/>
            <w:vAlign w:val="bottom"/>
          </w:tcPr>
          <w:p w14:paraId="06DBED2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-53.283** (19.543)</w:t>
            </w:r>
          </w:p>
        </w:tc>
        <w:tc>
          <w:tcPr>
            <w:tcW w:w="753" w:type="pct"/>
            <w:tcBorders>
              <w:top w:val="nil"/>
              <w:left w:val="nil"/>
              <w:bottom w:val="nil"/>
              <w:right w:val="nil"/>
            </w:tcBorders>
            <w:shd w:val="clear" w:color="auto" w:fill="auto"/>
            <w:vAlign w:val="bottom"/>
          </w:tcPr>
          <w:p w14:paraId="3E26B3B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-91.725*** (19.887)</w:t>
            </w:r>
          </w:p>
        </w:tc>
        <w:tc>
          <w:tcPr>
            <w:tcW w:w="752" w:type="pct"/>
            <w:tcBorders>
              <w:top w:val="nil"/>
              <w:left w:val="nil"/>
              <w:bottom w:val="nil"/>
              <w:right w:val="nil"/>
            </w:tcBorders>
            <w:shd w:val="clear" w:color="auto" w:fill="auto"/>
            <w:vAlign w:val="bottom"/>
          </w:tcPr>
          <w:p w14:paraId="6DCA0BB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-117.116*** (20.151)</w:t>
            </w:r>
          </w:p>
        </w:tc>
      </w:tr>
      <w:tr w:rsidR="009F7FF5" w:rsidRPr="001E47AD" w14:paraId="2C77B297" w14:textId="77777777" w:rsidTr="00F56D1C">
        <w:tc>
          <w:tcPr>
            <w:tcW w:w="1224" w:type="pct"/>
            <w:tcBorders>
              <w:top w:val="nil"/>
              <w:left w:val="nil"/>
              <w:bottom w:val="nil"/>
              <w:right w:val="nil"/>
            </w:tcBorders>
            <w:shd w:val="clear" w:color="auto" w:fill="auto"/>
            <w:vAlign w:val="center"/>
          </w:tcPr>
          <w:p w14:paraId="020ED883"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CHAIN_LIQ</m:t>
                </m:r>
              </m:oMath>
            </m:oMathPara>
          </w:p>
        </w:tc>
        <w:tc>
          <w:tcPr>
            <w:tcW w:w="765" w:type="pct"/>
            <w:tcBorders>
              <w:top w:val="nil"/>
              <w:left w:val="nil"/>
              <w:bottom w:val="nil"/>
              <w:right w:val="nil"/>
            </w:tcBorders>
            <w:shd w:val="clear" w:color="auto" w:fill="auto"/>
            <w:vAlign w:val="bottom"/>
          </w:tcPr>
          <w:p w14:paraId="0E94C16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-86.986*** (22.653)</w:t>
            </w:r>
          </w:p>
        </w:tc>
        <w:tc>
          <w:tcPr>
            <w:tcW w:w="753" w:type="pct"/>
            <w:tcBorders>
              <w:top w:val="nil"/>
              <w:left w:val="nil"/>
              <w:bottom w:val="nil"/>
              <w:right w:val="nil"/>
            </w:tcBorders>
            <w:shd w:val="clear" w:color="auto" w:fill="auto"/>
            <w:vAlign w:val="bottom"/>
          </w:tcPr>
          <w:p w14:paraId="7BCB6B0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-83.414*** (22.054)</w:t>
            </w:r>
          </w:p>
        </w:tc>
        <w:tc>
          <w:tcPr>
            <w:tcW w:w="753" w:type="pct"/>
            <w:tcBorders>
              <w:top w:val="nil"/>
              <w:left w:val="nil"/>
              <w:bottom w:val="nil"/>
              <w:right w:val="nil"/>
            </w:tcBorders>
            <w:shd w:val="clear" w:color="auto" w:fill="auto"/>
            <w:vAlign w:val="bottom"/>
          </w:tcPr>
          <w:p w14:paraId="45D5AC4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-175.849*** (21.783)</w:t>
            </w:r>
          </w:p>
        </w:tc>
        <w:tc>
          <w:tcPr>
            <w:tcW w:w="753" w:type="pct"/>
            <w:tcBorders>
              <w:top w:val="nil"/>
              <w:left w:val="nil"/>
              <w:bottom w:val="nil"/>
              <w:right w:val="nil"/>
            </w:tcBorders>
            <w:shd w:val="clear" w:color="auto" w:fill="auto"/>
            <w:vAlign w:val="bottom"/>
          </w:tcPr>
          <w:p w14:paraId="313F1D9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-167.973*** (22.167)</w:t>
            </w:r>
          </w:p>
        </w:tc>
        <w:tc>
          <w:tcPr>
            <w:tcW w:w="752" w:type="pct"/>
            <w:tcBorders>
              <w:top w:val="nil"/>
              <w:left w:val="nil"/>
              <w:bottom w:val="nil"/>
              <w:right w:val="nil"/>
            </w:tcBorders>
            <w:shd w:val="clear" w:color="auto" w:fill="auto"/>
            <w:vAlign w:val="bottom"/>
          </w:tcPr>
          <w:p w14:paraId="5D5F4F7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-216.975*** (22.389)</w:t>
            </w:r>
          </w:p>
        </w:tc>
      </w:tr>
      <w:tr w:rsidR="009F7FF5" w:rsidRPr="001E47AD" w14:paraId="5FABCCF9" w14:textId="77777777" w:rsidTr="00F56D1C">
        <w:tc>
          <w:tcPr>
            <w:tcW w:w="1224" w:type="pct"/>
            <w:tcBorders>
              <w:top w:val="nil"/>
              <w:left w:val="nil"/>
              <w:bottom w:val="nil"/>
              <w:right w:val="nil"/>
            </w:tcBorders>
            <w:shd w:val="clear" w:color="auto" w:fill="auto"/>
            <w:vAlign w:val="center"/>
          </w:tcPr>
          <w:p w14:paraId="070B0D19"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Retail Chain</w:t>
            </w:r>
          </w:p>
        </w:tc>
        <w:tc>
          <w:tcPr>
            <w:tcW w:w="765" w:type="pct"/>
            <w:tcBorders>
              <w:top w:val="nil"/>
              <w:left w:val="nil"/>
              <w:bottom w:val="nil"/>
              <w:right w:val="nil"/>
            </w:tcBorders>
          </w:tcPr>
          <w:p w14:paraId="4E021B13"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vAlign w:val="bottom"/>
          </w:tcPr>
          <w:p w14:paraId="41D57B13"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35DF5335"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5387E0C9" w14:textId="77777777" w:rsidR="009F7FF5" w:rsidRPr="001E47AD" w:rsidRDefault="009F7FF5" w:rsidP="00F56D1C">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vAlign w:val="bottom"/>
          </w:tcPr>
          <w:p w14:paraId="1EC75244" w14:textId="77777777" w:rsidR="009F7FF5" w:rsidRPr="001E47AD" w:rsidRDefault="009F7FF5" w:rsidP="00F56D1C">
            <w:pPr>
              <w:contextualSpacing/>
              <w:jc w:val="right"/>
              <w:rPr>
                <w:rFonts w:ascii="Times New Roman" w:hAnsi="Times New Roman" w:cs="Times New Roman"/>
                <w:spacing w:val="-5"/>
                <w:sz w:val="16"/>
                <w:szCs w:val="16"/>
              </w:rPr>
            </w:pPr>
          </w:p>
        </w:tc>
      </w:tr>
      <w:tr w:rsidR="009F7FF5" w:rsidRPr="001E47AD" w14:paraId="24F04894" w14:textId="77777777" w:rsidTr="00F56D1C">
        <w:tc>
          <w:tcPr>
            <w:tcW w:w="1224" w:type="pct"/>
            <w:tcBorders>
              <w:top w:val="nil"/>
              <w:left w:val="nil"/>
              <w:bottom w:val="nil"/>
              <w:right w:val="nil"/>
            </w:tcBorders>
            <w:shd w:val="clear" w:color="auto" w:fill="auto"/>
            <w:vAlign w:val="center"/>
          </w:tcPr>
          <w:p w14:paraId="5CE3573A"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RETAIL_CHAIN</m:t>
                </m:r>
              </m:oMath>
            </m:oMathPara>
          </w:p>
        </w:tc>
        <w:tc>
          <w:tcPr>
            <w:tcW w:w="765" w:type="pct"/>
            <w:tcBorders>
              <w:top w:val="nil"/>
              <w:left w:val="nil"/>
              <w:bottom w:val="nil"/>
              <w:right w:val="nil"/>
            </w:tcBorders>
            <w:vAlign w:val="bottom"/>
          </w:tcPr>
          <w:p w14:paraId="1896460E"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shd w:val="clear" w:color="auto" w:fill="auto"/>
            <w:vAlign w:val="bottom"/>
          </w:tcPr>
          <w:p w14:paraId="580A55D6"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vAlign w:val="bottom"/>
          </w:tcPr>
          <w:p w14:paraId="1F8BC8E9"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3" w:type="pct"/>
            <w:tcBorders>
              <w:top w:val="nil"/>
              <w:left w:val="nil"/>
              <w:bottom w:val="nil"/>
              <w:right w:val="nil"/>
            </w:tcBorders>
            <w:vAlign w:val="bottom"/>
          </w:tcPr>
          <w:p w14:paraId="50A76823"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c>
          <w:tcPr>
            <w:tcW w:w="752" w:type="pct"/>
            <w:tcBorders>
              <w:top w:val="nil"/>
              <w:left w:val="nil"/>
              <w:bottom w:val="nil"/>
              <w:right w:val="nil"/>
            </w:tcBorders>
            <w:vAlign w:val="bottom"/>
          </w:tcPr>
          <w:p w14:paraId="4152EA38"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Included</w:t>
            </w:r>
          </w:p>
        </w:tc>
      </w:tr>
      <w:tr w:rsidR="009F7FF5" w:rsidRPr="001E47AD" w14:paraId="7ACF99A5" w14:textId="77777777" w:rsidTr="00F56D1C">
        <w:tc>
          <w:tcPr>
            <w:tcW w:w="1224" w:type="pct"/>
            <w:tcBorders>
              <w:top w:val="nil"/>
              <w:left w:val="nil"/>
              <w:bottom w:val="nil"/>
              <w:right w:val="nil"/>
            </w:tcBorders>
            <w:shd w:val="clear" w:color="auto" w:fill="auto"/>
            <w:vAlign w:val="center"/>
          </w:tcPr>
          <w:p w14:paraId="311D0E43"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Hurricane Influence</w:t>
            </w:r>
          </w:p>
        </w:tc>
        <w:tc>
          <w:tcPr>
            <w:tcW w:w="765" w:type="pct"/>
            <w:tcBorders>
              <w:top w:val="nil"/>
              <w:left w:val="nil"/>
              <w:bottom w:val="nil"/>
              <w:right w:val="nil"/>
            </w:tcBorders>
          </w:tcPr>
          <w:p w14:paraId="42B8F888"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tcPr>
          <w:p w14:paraId="4D234B3A"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tcPr>
          <w:p w14:paraId="5E09D765"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center"/>
          </w:tcPr>
          <w:p w14:paraId="3A992A0A" w14:textId="77777777" w:rsidR="009F7FF5" w:rsidRPr="001E47AD" w:rsidRDefault="009F7FF5" w:rsidP="00F56D1C">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tcPr>
          <w:p w14:paraId="20EE8E23" w14:textId="77777777" w:rsidR="009F7FF5" w:rsidRPr="001E47AD" w:rsidRDefault="009F7FF5" w:rsidP="00F56D1C">
            <w:pPr>
              <w:contextualSpacing/>
              <w:jc w:val="right"/>
              <w:rPr>
                <w:rFonts w:ascii="Times New Roman" w:hAnsi="Times New Roman" w:cs="Times New Roman"/>
                <w:spacing w:val="-5"/>
                <w:sz w:val="16"/>
                <w:szCs w:val="16"/>
              </w:rPr>
            </w:pPr>
          </w:p>
        </w:tc>
      </w:tr>
      <w:tr w:rsidR="009F7FF5" w:rsidRPr="001E47AD" w14:paraId="716E884E" w14:textId="77777777" w:rsidTr="00F56D1C">
        <w:tc>
          <w:tcPr>
            <w:tcW w:w="1224" w:type="pct"/>
            <w:tcBorders>
              <w:top w:val="nil"/>
              <w:left w:val="nil"/>
              <w:bottom w:val="nil"/>
              <w:right w:val="nil"/>
            </w:tcBorders>
            <w:shd w:val="clear" w:color="auto" w:fill="auto"/>
            <w:vAlign w:val="center"/>
          </w:tcPr>
          <w:p w14:paraId="09465358"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DAYS_BEF_INFL_EARLY</m:t>
                </m:r>
              </m:oMath>
            </m:oMathPara>
          </w:p>
        </w:tc>
        <w:tc>
          <w:tcPr>
            <w:tcW w:w="765" w:type="pct"/>
            <w:tcBorders>
              <w:top w:val="nil"/>
              <w:left w:val="nil"/>
              <w:bottom w:val="nil"/>
              <w:right w:val="nil"/>
            </w:tcBorders>
            <w:shd w:val="clear" w:color="auto" w:fill="auto"/>
            <w:vAlign w:val="bottom"/>
          </w:tcPr>
          <w:p w14:paraId="69F808F2" w14:textId="77777777" w:rsidR="009F7FF5" w:rsidRPr="001E47AD" w:rsidRDefault="009F7FF5" w:rsidP="00F56D1C">
            <w:pPr>
              <w:jc w:val="right"/>
              <w:rPr>
                <w:rFonts w:ascii="Times New Roman" w:hAnsi="Times New Roman" w:cs="Times New Roman"/>
                <w:sz w:val="16"/>
                <w:szCs w:val="16"/>
                <w:lang w:val="en-CA"/>
              </w:rPr>
            </w:pPr>
            <w:r w:rsidRPr="001E47AD">
              <w:rPr>
                <w:rFonts w:ascii="Times New Roman" w:hAnsi="Times New Roman" w:cs="Times New Roman"/>
                <w:sz w:val="16"/>
                <w:szCs w:val="16"/>
              </w:rPr>
              <w:t>-12.651*** (1.689)</w:t>
            </w:r>
          </w:p>
        </w:tc>
        <w:tc>
          <w:tcPr>
            <w:tcW w:w="753" w:type="pct"/>
            <w:tcBorders>
              <w:top w:val="nil"/>
              <w:left w:val="nil"/>
              <w:bottom w:val="nil"/>
              <w:right w:val="nil"/>
            </w:tcBorders>
            <w:shd w:val="clear" w:color="auto" w:fill="auto"/>
            <w:vAlign w:val="bottom"/>
          </w:tcPr>
          <w:p w14:paraId="6B7C0BA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-19.406*** (1.629)</w:t>
            </w:r>
          </w:p>
        </w:tc>
        <w:tc>
          <w:tcPr>
            <w:tcW w:w="753" w:type="pct"/>
            <w:tcBorders>
              <w:top w:val="nil"/>
              <w:left w:val="nil"/>
              <w:bottom w:val="nil"/>
              <w:right w:val="nil"/>
            </w:tcBorders>
            <w:shd w:val="clear" w:color="auto" w:fill="auto"/>
            <w:vAlign w:val="bottom"/>
          </w:tcPr>
          <w:p w14:paraId="10D8A49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-25.568*** (1.586)</w:t>
            </w:r>
          </w:p>
        </w:tc>
        <w:tc>
          <w:tcPr>
            <w:tcW w:w="753" w:type="pct"/>
            <w:tcBorders>
              <w:top w:val="nil"/>
              <w:left w:val="nil"/>
              <w:bottom w:val="nil"/>
              <w:right w:val="nil"/>
            </w:tcBorders>
            <w:shd w:val="clear" w:color="auto" w:fill="auto"/>
            <w:vAlign w:val="bottom"/>
          </w:tcPr>
          <w:p w14:paraId="622E3BD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-16.402*** (1.625)</w:t>
            </w:r>
          </w:p>
        </w:tc>
        <w:tc>
          <w:tcPr>
            <w:tcW w:w="752" w:type="pct"/>
            <w:tcBorders>
              <w:top w:val="nil"/>
              <w:left w:val="nil"/>
              <w:bottom w:val="nil"/>
              <w:right w:val="nil"/>
            </w:tcBorders>
            <w:shd w:val="clear" w:color="auto" w:fill="auto"/>
            <w:vAlign w:val="bottom"/>
          </w:tcPr>
          <w:p w14:paraId="22BAC04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-22.167*** (1.642)</w:t>
            </w:r>
          </w:p>
        </w:tc>
      </w:tr>
      <w:tr w:rsidR="009F7FF5" w:rsidRPr="001E47AD" w14:paraId="2EE68FC9" w14:textId="77777777" w:rsidTr="00F56D1C">
        <w:tc>
          <w:tcPr>
            <w:tcW w:w="1224" w:type="pct"/>
            <w:tcBorders>
              <w:top w:val="nil"/>
              <w:left w:val="nil"/>
              <w:bottom w:val="nil"/>
              <w:right w:val="nil"/>
            </w:tcBorders>
            <w:shd w:val="clear" w:color="auto" w:fill="auto"/>
            <w:vAlign w:val="center"/>
          </w:tcPr>
          <w:p w14:paraId="386FFA7E"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DAYS_INFL_AFT_LANDFALL</m:t>
                </m:r>
              </m:oMath>
            </m:oMathPara>
          </w:p>
        </w:tc>
        <w:tc>
          <w:tcPr>
            <w:tcW w:w="765" w:type="pct"/>
            <w:tcBorders>
              <w:top w:val="nil"/>
              <w:left w:val="nil"/>
              <w:bottom w:val="nil"/>
              <w:right w:val="nil"/>
            </w:tcBorders>
            <w:shd w:val="clear" w:color="auto" w:fill="auto"/>
            <w:vAlign w:val="bottom"/>
          </w:tcPr>
          <w:p w14:paraId="3AE98BA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-3.293* (1.527)</w:t>
            </w:r>
          </w:p>
        </w:tc>
        <w:tc>
          <w:tcPr>
            <w:tcW w:w="753" w:type="pct"/>
            <w:tcBorders>
              <w:top w:val="nil"/>
              <w:left w:val="nil"/>
              <w:bottom w:val="nil"/>
              <w:right w:val="nil"/>
            </w:tcBorders>
            <w:shd w:val="clear" w:color="auto" w:fill="auto"/>
            <w:vAlign w:val="bottom"/>
          </w:tcPr>
          <w:p w14:paraId="2C9FD51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-10.641*** (1.460)</w:t>
            </w:r>
          </w:p>
        </w:tc>
        <w:tc>
          <w:tcPr>
            <w:tcW w:w="753" w:type="pct"/>
            <w:tcBorders>
              <w:top w:val="nil"/>
              <w:left w:val="nil"/>
              <w:bottom w:val="nil"/>
              <w:right w:val="nil"/>
            </w:tcBorders>
            <w:shd w:val="clear" w:color="auto" w:fill="auto"/>
            <w:vAlign w:val="bottom"/>
          </w:tcPr>
          <w:p w14:paraId="0ABDE4F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-5.516*** (1.409)</w:t>
            </w:r>
          </w:p>
        </w:tc>
        <w:tc>
          <w:tcPr>
            <w:tcW w:w="753" w:type="pct"/>
            <w:tcBorders>
              <w:top w:val="nil"/>
              <w:left w:val="nil"/>
              <w:bottom w:val="nil"/>
              <w:right w:val="nil"/>
            </w:tcBorders>
            <w:shd w:val="clear" w:color="auto" w:fill="auto"/>
            <w:vAlign w:val="bottom"/>
          </w:tcPr>
          <w:p w14:paraId="3206826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-5.011*** (1.464)</w:t>
            </w:r>
          </w:p>
        </w:tc>
        <w:tc>
          <w:tcPr>
            <w:tcW w:w="752" w:type="pct"/>
            <w:tcBorders>
              <w:top w:val="nil"/>
              <w:left w:val="nil"/>
              <w:bottom w:val="nil"/>
              <w:right w:val="nil"/>
            </w:tcBorders>
            <w:shd w:val="clear" w:color="auto" w:fill="auto"/>
            <w:vAlign w:val="bottom"/>
          </w:tcPr>
          <w:p w14:paraId="3EC5374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-7.842*** (1.487)</w:t>
            </w:r>
          </w:p>
        </w:tc>
      </w:tr>
      <w:tr w:rsidR="009F7FF5" w:rsidRPr="001E47AD" w14:paraId="2EFDC9EF" w14:textId="77777777" w:rsidTr="00F56D1C">
        <w:tc>
          <w:tcPr>
            <w:tcW w:w="1224" w:type="pct"/>
            <w:tcBorders>
              <w:top w:val="nil"/>
              <w:left w:val="nil"/>
              <w:bottom w:val="nil"/>
              <w:right w:val="nil"/>
            </w:tcBorders>
            <w:shd w:val="clear" w:color="auto" w:fill="auto"/>
            <w:vAlign w:val="center"/>
          </w:tcPr>
          <w:p w14:paraId="5E26E88F"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Category Competition</w:t>
            </w:r>
          </w:p>
        </w:tc>
        <w:tc>
          <w:tcPr>
            <w:tcW w:w="765" w:type="pct"/>
            <w:tcBorders>
              <w:top w:val="nil"/>
              <w:left w:val="nil"/>
              <w:bottom w:val="nil"/>
              <w:right w:val="nil"/>
            </w:tcBorders>
            <w:shd w:val="clear" w:color="auto" w:fill="auto"/>
            <w:vAlign w:val="bottom"/>
          </w:tcPr>
          <w:p w14:paraId="15B4AE49" w14:textId="77777777" w:rsidR="009F7FF5" w:rsidRPr="001E47AD" w:rsidRDefault="009F7FF5" w:rsidP="00F56D1C">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4F8EF56B"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3A69EDFA"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0CDB5D13" w14:textId="77777777" w:rsidR="009F7FF5" w:rsidRPr="001E47AD" w:rsidRDefault="009F7FF5" w:rsidP="00F56D1C">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568E5FCB" w14:textId="77777777" w:rsidR="009F7FF5" w:rsidRPr="001E47AD" w:rsidRDefault="009F7FF5" w:rsidP="00F56D1C">
            <w:pPr>
              <w:jc w:val="right"/>
              <w:rPr>
                <w:rFonts w:ascii="Times New Roman" w:hAnsi="Times New Roman" w:cs="Times New Roman"/>
                <w:sz w:val="20"/>
                <w:szCs w:val="20"/>
              </w:rPr>
            </w:pPr>
          </w:p>
        </w:tc>
      </w:tr>
      <w:tr w:rsidR="009F7FF5" w:rsidRPr="001E47AD" w14:paraId="1DC21454" w14:textId="77777777" w:rsidTr="00F56D1C">
        <w:tc>
          <w:tcPr>
            <w:tcW w:w="1224" w:type="pct"/>
            <w:tcBorders>
              <w:top w:val="nil"/>
              <w:left w:val="nil"/>
              <w:bottom w:val="nil"/>
              <w:right w:val="nil"/>
            </w:tcBorders>
            <w:shd w:val="clear" w:color="auto" w:fill="auto"/>
            <w:vAlign w:val="center"/>
          </w:tcPr>
          <w:p w14:paraId="5938B1D6"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VOL_COUNTY</m:t>
                </m:r>
              </m:oMath>
            </m:oMathPara>
          </w:p>
        </w:tc>
        <w:tc>
          <w:tcPr>
            <w:tcW w:w="765" w:type="pct"/>
            <w:tcBorders>
              <w:top w:val="nil"/>
              <w:left w:val="nil"/>
              <w:bottom w:val="nil"/>
              <w:right w:val="nil"/>
            </w:tcBorders>
            <w:shd w:val="clear" w:color="auto" w:fill="auto"/>
            <w:vAlign w:val="bottom"/>
          </w:tcPr>
          <w:p w14:paraId="6F0B3AA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1.203 (0.882)</w:t>
            </w:r>
          </w:p>
        </w:tc>
        <w:tc>
          <w:tcPr>
            <w:tcW w:w="753" w:type="pct"/>
            <w:tcBorders>
              <w:top w:val="nil"/>
              <w:left w:val="nil"/>
              <w:bottom w:val="nil"/>
              <w:right w:val="nil"/>
            </w:tcBorders>
            <w:shd w:val="clear" w:color="auto" w:fill="auto"/>
            <w:vAlign w:val="bottom"/>
          </w:tcPr>
          <w:p w14:paraId="1CD6FA2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-1.178 (0.869)</w:t>
            </w:r>
          </w:p>
        </w:tc>
        <w:tc>
          <w:tcPr>
            <w:tcW w:w="753" w:type="pct"/>
            <w:tcBorders>
              <w:top w:val="nil"/>
              <w:left w:val="nil"/>
              <w:bottom w:val="nil"/>
              <w:right w:val="nil"/>
            </w:tcBorders>
            <w:shd w:val="clear" w:color="auto" w:fill="auto"/>
            <w:vAlign w:val="bottom"/>
          </w:tcPr>
          <w:p w14:paraId="7E488FC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-1.289 (0.852)</w:t>
            </w:r>
          </w:p>
        </w:tc>
        <w:tc>
          <w:tcPr>
            <w:tcW w:w="753" w:type="pct"/>
            <w:tcBorders>
              <w:top w:val="nil"/>
              <w:left w:val="nil"/>
              <w:bottom w:val="nil"/>
              <w:right w:val="nil"/>
            </w:tcBorders>
            <w:shd w:val="clear" w:color="auto" w:fill="auto"/>
            <w:vAlign w:val="bottom"/>
          </w:tcPr>
          <w:p w14:paraId="40C1843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-1.164 (0.869)</w:t>
            </w:r>
          </w:p>
        </w:tc>
        <w:tc>
          <w:tcPr>
            <w:tcW w:w="752" w:type="pct"/>
            <w:tcBorders>
              <w:top w:val="nil"/>
              <w:left w:val="nil"/>
              <w:bottom w:val="nil"/>
              <w:right w:val="nil"/>
            </w:tcBorders>
            <w:shd w:val="clear" w:color="auto" w:fill="auto"/>
            <w:vAlign w:val="bottom"/>
          </w:tcPr>
          <w:p w14:paraId="5AF901A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0.584 (0.874)</w:t>
            </w:r>
          </w:p>
        </w:tc>
      </w:tr>
      <w:tr w:rsidR="009F7FF5" w:rsidRPr="001E47AD" w14:paraId="2052F19C" w14:textId="77777777" w:rsidTr="00F56D1C">
        <w:tc>
          <w:tcPr>
            <w:tcW w:w="1224" w:type="pct"/>
            <w:tcBorders>
              <w:top w:val="nil"/>
              <w:left w:val="nil"/>
              <w:bottom w:val="nil"/>
              <w:right w:val="nil"/>
            </w:tcBorders>
            <w:shd w:val="clear" w:color="auto" w:fill="auto"/>
            <w:vAlign w:val="center"/>
          </w:tcPr>
          <w:p w14:paraId="3992A31F"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VOL_STATE</m:t>
                </m:r>
              </m:oMath>
            </m:oMathPara>
          </w:p>
        </w:tc>
        <w:tc>
          <w:tcPr>
            <w:tcW w:w="765" w:type="pct"/>
            <w:tcBorders>
              <w:top w:val="nil"/>
              <w:left w:val="nil"/>
              <w:bottom w:val="nil"/>
              <w:right w:val="nil"/>
            </w:tcBorders>
            <w:shd w:val="clear" w:color="auto" w:fill="auto"/>
            <w:vAlign w:val="bottom"/>
          </w:tcPr>
          <w:p w14:paraId="4988B67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-0.155 (0.188)</w:t>
            </w:r>
          </w:p>
        </w:tc>
        <w:tc>
          <w:tcPr>
            <w:tcW w:w="753" w:type="pct"/>
            <w:tcBorders>
              <w:top w:val="nil"/>
              <w:left w:val="nil"/>
              <w:bottom w:val="nil"/>
              <w:right w:val="nil"/>
            </w:tcBorders>
            <w:shd w:val="clear" w:color="auto" w:fill="auto"/>
            <w:vAlign w:val="bottom"/>
          </w:tcPr>
          <w:p w14:paraId="1CCD347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0.269 (0.184)</w:t>
            </w:r>
          </w:p>
        </w:tc>
        <w:tc>
          <w:tcPr>
            <w:tcW w:w="753" w:type="pct"/>
            <w:tcBorders>
              <w:top w:val="nil"/>
              <w:left w:val="nil"/>
              <w:bottom w:val="nil"/>
              <w:right w:val="nil"/>
            </w:tcBorders>
            <w:shd w:val="clear" w:color="auto" w:fill="auto"/>
            <w:vAlign w:val="bottom"/>
          </w:tcPr>
          <w:p w14:paraId="0762CAB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0.163 (0.180)</w:t>
            </w:r>
          </w:p>
        </w:tc>
        <w:tc>
          <w:tcPr>
            <w:tcW w:w="753" w:type="pct"/>
            <w:tcBorders>
              <w:top w:val="nil"/>
              <w:left w:val="nil"/>
              <w:bottom w:val="nil"/>
              <w:right w:val="nil"/>
            </w:tcBorders>
            <w:shd w:val="clear" w:color="auto" w:fill="auto"/>
            <w:vAlign w:val="bottom"/>
          </w:tcPr>
          <w:p w14:paraId="7408AB1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0.365* (0.186)</w:t>
            </w:r>
          </w:p>
        </w:tc>
        <w:tc>
          <w:tcPr>
            <w:tcW w:w="752" w:type="pct"/>
            <w:tcBorders>
              <w:top w:val="nil"/>
              <w:left w:val="nil"/>
              <w:bottom w:val="nil"/>
              <w:right w:val="nil"/>
            </w:tcBorders>
            <w:shd w:val="clear" w:color="auto" w:fill="auto"/>
            <w:vAlign w:val="bottom"/>
          </w:tcPr>
          <w:p w14:paraId="0B99A4C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0.330* (0.188)</w:t>
            </w:r>
          </w:p>
        </w:tc>
      </w:tr>
      <w:tr w:rsidR="009F7FF5" w:rsidRPr="001E47AD" w14:paraId="5AA970AC" w14:textId="77777777" w:rsidTr="00F56D1C">
        <w:tc>
          <w:tcPr>
            <w:tcW w:w="1224" w:type="pct"/>
            <w:tcBorders>
              <w:top w:val="nil"/>
              <w:left w:val="nil"/>
              <w:bottom w:val="nil"/>
              <w:right w:val="nil"/>
            </w:tcBorders>
            <w:shd w:val="clear" w:color="auto" w:fill="auto"/>
            <w:vAlign w:val="center"/>
          </w:tcPr>
          <w:p w14:paraId="290BB18F"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HHI_COUNTY</m:t>
                </m:r>
              </m:oMath>
            </m:oMathPara>
          </w:p>
        </w:tc>
        <w:tc>
          <w:tcPr>
            <w:tcW w:w="765" w:type="pct"/>
            <w:tcBorders>
              <w:top w:val="nil"/>
              <w:left w:val="nil"/>
              <w:bottom w:val="nil"/>
              <w:right w:val="nil"/>
            </w:tcBorders>
            <w:shd w:val="clear" w:color="auto" w:fill="auto"/>
            <w:vAlign w:val="bottom"/>
          </w:tcPr>
          <w:p w14:paraId="40A7842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-2.180 (6.446)</w:t>
            </w:r>
          </w:p>
        </w:tc>
        <w:tc>
          <w:tcPr>
            <w:tcW w:w="753" w:type="pct"/>
            <w:tcBorders>
              <w:top w:val="nil"/>
              <w:left w:val="nil"/>
              <w:bottom w:val="nil"/>
              <w:right w:val="nil"/>
            </w:tcBorders>
            <w:shd w:val="clear" w:color="auto" w:fill="auto"/>
            <w:vAlign w:val="bottom"/>
          </w:tcPr>
          <w:p w14:paraId="7585B7C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-23.109*** (6.263)</w:t>
            </w:r>
          </w:p>
        </w:tc>
        <w:tc>
          <w:tcPr>
            <w:tcW w:w="753" w:type="pct"/>
            <w:tcBorders>
              <w:top w:val="nil"/>
              <w:left w:val="nil"/>
              <w:bottom w:val="nil"/>
              <w:right w:val="nil"/>
            </w:tcBorders>
            <w:shd w:val="clear" w:color="auto" w:fill="auto"/>
            <w:vAlign w:val="bottom"/>
          </w:tcPr>
          <w:p w14:paraId="25E7ADC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-24.017*** (6.170)</w:t>
            </w:r>
          </w:p>
        </w:tc>
        <w:tc>
          <w:tcPr>
            <w:tcW w:w="753" w:type="pct"/>
            <w:tcBorders>
              <w:top w:val="nil"/>
              <w:left w:val="nil"/>
              <w:bottom w:val="nil"/>
              <w:right w:val="nil"/>
            </w:tcBorders>
            <w:shd w:val="clear" w:color="auto" w:fill="auto"/>
            <w:vAlign w:val="bottom"/>
          </w:tcPr>
          <w:p w14:paraId="4401669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-17.654** (6.275)</w:t>
            </w:r>
          </w:p>
        </w:tc>
        <w:tc>
          <w:tcPr>
            <w:tcW w:w="752" w:type="pct"/>
            <w:tcBorders>
              <w:top w:val="nil"/>
              <w:left w:val="nil"/>
              <w:bottom w:val="nil"/>
              <w:right w:val="nil"/>
            </w:tcBorders>
            <w:shd w:val="clear" w:color="auto" w:fill="auto"/>
            <w:vAlign w:val="bottom"/>
          </w:tcPr>
          <w:p w14:paraId="04CA299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-32.606*** (6.350)</w:t>
            </w:r>
          </w:p>
        </w:tc>
      </w:tr>
      <w:tr w:rsidR="009F7FF5" w:rsidRPr="001E47AD" w14:paraId="631D2C62" w14:textId="77777777" w:rsidTr="00F56D1C">
        <w:tc>
          <w:tcPr>
            <w:tcW w:w="1224" w:type="pct"/>
            <w:tcBorders>
              <w:top w:val="nil"/>
              <w:left w:val="nil"/>
              <w:bottom w:val="nil"/>
              <w:right w:val="nil"/>
            </w:tcBorders>
            <w:shd w:val="clear" w:color="auto" w:fill="auto"/>
            <w:vAlign w:val="center"/>
          </w:tcPr>
          <w:p w14:paraId="31545DE3"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HHI_STATE</m:t>
                </m:r>
              </m:oMath>
            </m:oMathPara>
          </w:p>
        </w:tc>
        <w:tc>
          <w:tcPr>
            <w:tcW w:w="765" w:type="pct"/>
            <w:tcBorders>
              <w:top w:val="nil"/>
              <w:left w:val="nil"/>
              <w:bottom w:val="nil"/>
              <w:right w:val="nil"/>
            </w:tcBorders>
            <w:shd w:val="clear" w:color="auto" w:fill="auto"/>
            <w:vAlign w:val="bottom"/>
          </w:tcPr>
          <w:p w14:paraId="0CA29A6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708.033*** (127.481)</w:t>
            </w:r>
          </w:p>
        </w:tc>
        <w:tc>
          <w:tcPr>
            <w:tcW w:w="753" w:type="pct"/>
            <w:tcBorders>
              <w:top w:val="nil"/>
              <w:left w:val="nil"/>
              <w:bottom w:val="nil"/>
              <w:right w:val="nil"/>
            </w:tcBorders>
            <w:shd w:val="clear" w:color="auto" w:fill="auto"/>
            <w:vAlign w:val="bottom"/>
          </w:tcPr>
          <w:p w14:paraId="550AC34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443.945*** (124.356)</w:t>
            </w:r>
          </w:p>
        </w:tc>
        <w:tc>
          <w:tcPr>
            <w:tcW w:w="753" w:type="pct"/>
            <w:tcBorders>
              <w:top w:val="nil"/>
              <w:left w:val="nil"/>
              <w:bottom w:val="nil"/>
              <w:right w:val="nil"/>
            </w:tcBorders>
            <w:shd w:val="clear" w:color="auto" w:fill="auto"/>
            <w:vAlign w:val="bottom"/>
          </w:tcPr>
          <w:p w14:paraId="18F159E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295.010* (122.438)</w:t>
            </w:r>
          </w:p>
        </w:tc>
        <w:tc>
          <w:tcPr>
            <w:tcW w:w="753" w:type="pct"/>
            <w:tcBorders>
              <w:top w:val="nil"/>
              <w:left w:val="nil"/>
              <w:bottom w:val="nil"/>
              <w:right w:val="nil"/>
            </w:tcBorders>
            <w:shd w:val="clear" w:color="auto" w:fill="auto"/>
            <w:vAlign w:val="bottom"/>
          </w:tcPr>
          <w:p w14:paraId="7E138D3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280.583* (124.662)</w:t>
            </w:r>
          </w:p>
        </w:tc>
        <w:tc>
          <w:tcPr>
            <w:tcW w:w="752" w:type="pct"/>
            <w:tcBorders>
              <w:top w:val="nil"/>
              <w:left w:val="nil"/>
              <w:bottom w:val="nil"/>
              <w:right w:val="nil"/>
            </w:tcBorders>
            <w:shd w:val="clear" w:color="auto" w:fill="auto"/>
            <w:vAlign w:val="bottom"/>
          </w:tcPr>
          <w:p w14:paraId="4F1E93E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411.135** (126.017)</w:t>
            </w:r>
          </w:p>
        </w:tc>
      </w:tr>
      <w:tr w:rsidR="009F7FF5" w:rsidRPr="001E47AD" w14:paraId="211CF507" w14:textId="77777777" w:rsidTr="00F56D1C">
        <w:tc>
          <w:tcPr>
            <w:tcW w:w="1224" w:type="pct"/>
            <w:tcBorders>
              <w:top w:val="nil"/>
              <w:left w:val="nil"/>
              <w:bottom w:val="nil"/>
              <w:right w:val="nil"/>
            </w:tcBorders>
            <w:vAlign w:val="center"/>
          </w:tcPr>
          <w:p w14:paraId="713C842A" w14:textId="77777777" w:rsidR="009F7FF5" w:rsidRPr="001E47AD" w:rsidRDefault="009F7FF5" w:rsidP="00F56D1C">
            <w:pPr>
              <w:contextualSpacing/>
              <w:rPr>
                <w:rFonts w:ascii="Times New Roman" w:eastAsia="宋体" w:hAnsi="Times New Roman" w:cs="Times New Roman"/>
                <w:sz w:val="16"/>
                <w:szCs w:val="16"/>
                <w:u w:val="single"/>
              </w:rPr>
            </w:pPr>
            <w:r w:rsidRPr="001E47AD">
              <w:rPr>
                <w:rFonts w:ascii="Times New Roman" w:eastAsia="宋体" w:hAnsi="Times New Roman" w:cs="Times New Roman"/>
                <w:sz w:val="16"/>
                <w:szCs w:val="16"/>
                <w:u w:val="single"/>
              </w:rPr>
              <w:t>Geodemographic Feature</w:t>
            </w:r>
          </w:p>
        </w:tc>
        <w:tc>
          <w:tcPr>
            <w:tcW w:w="765" w:type="pct"/>
            <w:tcBorders>
              <w:top w:val="nil"/>
              <w:left w:val="nil"/>
              <w:bottom w:val="nil"/>
              <w:right w:val="nil"/>
            </w:tcBorders>
            <w:vAlign w:val="bottom"/>
          </w:tcPr>
          <w:p w14:paraId="39A733EC"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shd w:val="clear" w:color="auto" w:fill="auto"/>
            <w:vAlign w:val="bottom"/>
          </w:tcPr>
          <w:p w14:paraId="5E7FB787"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64B0AB3B" w14:textId="77777777" w:rsidR="009F7FF5" w:rsidRPr="001E47AD" w:rsidRDefault="009F7FF5" w:rsidP="00F56D1C">
            <w:pPr>
              <w:contextualSpacing/>
              <w:jc w:val="right"/>
              <w:rPr>
                <w:rFonts w:ascii="Times New Roman" w:hAnsi="Times New Roman" w:cs="Times New Roman"/>
                <w:spacing w:val="-5"/>
                <w:sz w:val="16"/>
                <w:szCs w:val="16"/>
              </w:rPr>
            </w:pPr>
          </w:p>
        </w:tc>
        <w:tc>
          <w:tcPr>
            <w:tcW w:w="753" w:type="pct"/>
            <w:tcBorders>
              <w:top w:val="nil"/>
              <w:left w:val="nil"/>
              <w:bottom w:val="nil"/>
              <w:right w:val="nil"/>
            </w:tcBorders>
            <w:vAlign w:val="bottom"/>
          </w:tcPr>
          <w:p w14:paraId="68A5D391" w14:textId="77777777" w:rsidR="009F7FF5" w:rsidRPr="001E47AD" w:rsidRDefault="009F7FF5" w:rsidP="00F56D1C">
            <w:pPr>
              <w:contextualSpacing/>
              <w:jc w:val="right"/>
              <w:rPr>
                <w:rFonts w:ascii="Times New Roman" w:hAnsi="Times New Roman" w:cs="Times New Roman"/>
                <w:spacing w:val="-5"/>
                <w:sz w:val="16"/>
                <w:szCs w:val="16"/>
              </w:rPr>
            </w:pPr>
          </w:p>
        </w:tc>
        <w:tc>
          <w:tcPr>
            <w:tcW w:w="752" w:type="pct"/>
            <w:tcBorders>
              <w:top w:val="nil"/>
              <w:left w:val="nil"/>
              <w:bottom w:val="nil"/>
              <w:right w:val="nil"/>
            </w:tcBorders>
            <w:vAlign w:val="bottom"/>
          </w:tcPr>
          <w:p w14:paraId="3CB25969" w14:textId="77777777" w:rsidR="009F7FF5" w:rsidRPr="001E47AD" w:rsidRDefault="009F7FF5" w:rsidP="00F56D1C">
            <w:pPr>
              <w:contextualSpacing/>
              <w:jc w:val="right"/>
              <w:rPr>
                <w:rFonts w:ascii="Times New Roman" w:hAnsi="Times New Roman" w:cs="Times New Roman"/>
                <w:spacing w:val="-5"/>
                <w:sz w:val="16"/>
                <w:szCs w:val="16"/>
              </w:rPr>
            </w:pPr>
          </w:p>
        </w:tc>
      </w:tr>
      <w:tr w:rsidR="009F7FF5" w:rsidRPr="001E47AD" w14:paraId="28A89325" w14:textId="77777777" w:rsidTr="00F56D1C">
        <w:tc>
          <w:tcPr>
            <w:tcW w:w="1224" w:type="pct"/>
            <w:tcBorders>
              <w:top w:val="nil"/>
              <w:left w:val="nil"/>
              <w:bottom w:val="nil"/>
              <w:right w:val="nil"/>
            </w:tcBorders>
            <w:vAlign w:val="center"/>
          </w:tcPr>
          <w:p w14:paraId="6EF0C5E3"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POP_COUNTY</m:t>
                </m:r>
              </m:oMath>
            </m:oMathPara>
          </w:p>
        </w:tc>
        <w:tc>
          <w:tcPr>
            <w:tcW w:w="765" w:type="pct"/>
            <w:tcBorders>
              <w:top w:val="nil"/>
              <w:left w:val="nil"/>
              <w:bottom w:val="nil"/>
              <w:right w:val="nil"/>
            </w:tcBorders>
            <w:shd w:val="clear" w:color="auto" w:fill="auto"/>
            <w:vAlign w:val="bottom"/>
          </w:tcPr>
          <w:p w14:paraId="25E48616" w14:textId="77777777" w:rsidR="009F7FF5" w:rsidRPr="001E47AD" w:rsidRDefault="009F7FF5" w:rsidP="00F56D1C">
            <w:pPr>
              <w:jc w:val="right"/>
              <w:rPr>
                <w:rFonts w:ascii="Times New Roman" w:hAnsi="Times New Roman" w:cs="Times New Roman"/>
                <w:sz w:val="16"/>
                <w:szCs w:val="16"/>
                <w:lang w:val="en-CA"/>
              </w:rPr>
            </w:pPr>
            <w:r w:rsidRPr="001E47AD">
              <w:rPr>
                <w:rFonts w:ascii="Times New Roman" w:hAnsi="Times New Roman" w:cs="Times New Roman"/>
                <w:sz w:val="16"/>
                <w:szCs w:val="16"/>
              </w:rPr>
              <w:t>0.092*** (0.021)</w:t>
            </w:r>
          </w:p>
        </w:tc>
        <w:tc>
          <w:tcPr>
            <w:tcW w:w="753" w:type="pct"/>
            <w:tcBorders>
              <w:top w:val="nil"/>
              <w:left w:val="nil"/>
              <w:bottom w:val="nil"/>
              <w:right w:val="nil"/>
            </w:tcBorders>
            <w:shd w:val="clear" w:color="auto" w:fill="auto"/>
            <w:vAlign w:val="bottom"/>
          </w:tcPr>
          <w:p w14:paraId="4AF8ADC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0.134*** (0.020)</w:t>
            </w:r>
          </w:p>
        </w:tc>
        <w:tc>
          <w:tcPr>
            <w:tcW w:w="753" w:type="pct"/>
            <w:tcBorders>
              <w:top w:val="nil"/>
              <w:left w:val="nil"/>
              <w:bottom w:val="nil"/>
              <w:right w:val="nil"/>
            </w:tcBorders>
            <w:shd w:val="clear" w:color="auto" w:fill="auto"/>
            <w:vAlign w:val="bottom"/>
          </w:tcPr>
          <w:p w14:paraId="412F25C0"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0.130*** (0.020)</w:t>
            </w:r>
          </w:p>
        </w:tc>
        <w:tc>
          <w:tcPr>
            <w:tcW w:w="753" w:type="pct"/>
            <w:tcBorders>
              <w:top w:val="nil"/>
              <w:left w:val="nil"/>
              <w:bottom w:val="nil"/>
              <w:right w:val="nil"/>
            </w:tcBorders>
            <w:shd w:val="clear" w:color="auto" w:fill="auto"/>
            <w:vAlign w:val="bottom"/>
          </w:tcPr>
          <w:p w14:paraId="48C7FFA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0.150*** (0.020)</w:t>
            </w:r>
          </w:p>
        </w:tc>
        <w:tc>
          <w:tcPr>
            <w:tcW w:w="752" w:type="pct"/>
            <w:tcBorders>
              <w:top w:val="nil"/>
              <w:left w:val="nil"/>
              <w:bottom w:val="nil"/>
              <w:right w:val="nil"/>
            </w:tcBorders>
            <w:shd w:val="clear" w:color="auto" w:fill="auto"/>
            <w:vAlign w:val="bottom"/>
          </w:tcPr>
          <w:p w14:paraId="3BA79FC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0.141*** (0.020)</w:t>
            </w:r>
          </w:p>
        </w:tc>
      </w:tr>
      <w:tr w:rsidR="009F7FF5" w:rsidRPr="001E47AD" w14:paraId="205A92F7" w14:textId="77777777" w:rsidTr="00F56D1C">
        <w:tc>
          <w:tcPr>
            <w:tcW w:w="1224" w:type="pct"/>
            <w:tcBorders>
              <w:top w:val="nil"/>
              <w:left w:val="nil"/>
              <w:bottom w:val="nil"/>
              <w:right w:val="nil"/>
            </w:tcBorders>
            <w:vAlign w:val="center"/>
          </w:tcPr>
          <w:p w14:paraId="6621B8B9"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POP_STATE</m:t>
                </m:r>
              </m:oMath>
            </m:oMathPara>
          </w:p>
        </w:tc>
        <w:tc>
          <w:tcPr>
            <w:tcW w:w="765" w:type="pct"/>
            <w:tcBorders>
              <w:top w:val="nil"/>
              <w:left w:val="nil"/>
              <w:bottom w:val="nil"/>
              <w:right w:val="nil"/>
            </w:tcBorders>
            <w:shd w:val="clear" w:color="auto" w:fill="auto"/>
            <w:vAlign w:val="bottom"/>
          </w:tcPr>
          <w:p w14:paraId="36B8799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-0.275 (0.171)</w:t>
            </w:r>
          </w:p>
        </w:tc>
        <w:tc>
          <w:tcPr>
            <w:tcW w:w="753" w:type="pct"/>
            <w:tcBorders>
              <w:top w:val="nil"/>
              <w:left w:val="nil"/>
              <w:bottom w:val="nil"/>
              <w:right w:val="nil"/>
            </w:tcBorders>
            <w:shd w:val="clear" w:color="auto" w:fill="auto"/>
            <w:vAlign w:val="bottom"/>
          </w:tcPr>
          <w:p w14:paraId="5E1D23F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-0.144 (0.167)</w:t>
            </w:r>
          </w:p>
        </w:tc>
        <w:tc>
          <w:tcPr>
            <w:tcW w:w="753" w:type="pct"/>
            <w:tcBorders>
              <w:top w:val="nil"/>
              <w:left w:val="nil"/>
              <w:bottom w:val="nil"/>
              <w:right w:val="nil"/>
            </w:tcBorders>
            <w:shd w:val="clear" w:color="auto" w:fill="auto"/>
            <w:vAlign w:val="bottom"/>
          </w:tcPr>
          <w:p w14:paraId="1EF8B41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0.019 (0.163)</w:t>
            </w:r>
          </w:p>
        </w:tc>
        <w:tc>
          <w:tcPr>
            <w:tcW w:w="753" w:type="pct"/>
            <w:tcBorders>
              <w:top w:val="nil"/>
              <w:left w:val="nil"/>
              <w:bottom w:val="nil"/>
              <w:right w:val="nil"/>
            </w:tcBorders>
            <w:shd w:val="clear" w:color="auto" w:fill="auto"/>
            <w:vAlign w:val="bottom"/>
          </w:tcPr>
          <w:p w14:paraId="46217A2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0.069 (0.166)</w:t>
            </w:r>
          </w:p>
        </w:tc>
        <w:tc>
          <w:tcPr>
            <w:tcW w:w="752" w:type="pct"/>
            <w:tcBorders>
              <w:top w:val="nil"/>
              <w:left w:val="nil"/>
              <w:bottom w:val="nil"/>
              <w:right w:val="nil"/>
            </w:tcBorders>
            <w:shd w:val="clear" w:color="auto" w:fill="auto"/>
            <w:vAlign w:val="bottom"/>
          </w:tcPr>
          <w:p w14:paraId="0D58BD1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-0.097 (0.168)</w:t>
            </w:r>
          </w:p>
        </w:tc>
      </w:tr>
      <w:tr w:rsidR="009F7FF5" w:rsidRPr="001E47AD" w14:paraId="48CA2A52" w14:textId="77777777" w:rsidTr="00F56D1C">
        <w:tc>
          <w:tcPr>
            <w:tcW w:w="1224" w:type="pct"/>
            <w:tcBorders>
              <w:top w:val="nil"/>
              <w:left w:val="nil"/>
              <w:bottom w:val="nil"/>
              <w:right w:val="nil"/>
            </w:tcBorders>
            <w:vAlign w:val="center"/>
          </w:tcPr>
          <w:p w14:paraId="4DC4DA62"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LAND_AREA_COUNTY</m:t>
                </m:r>
              </m:oMath>
            </m:oMathPara>
          </w:p>
        </w:tc>
        <w:tc>
          <w:tcPr>
            <w:tcW w:w="765" w:type="pct"/>
            <w:tcBorders>
              <w:top w:val="nil"/>
              <w:left w:val="nil"/>
              <w:bottom w:val="nil"/>
              <w:right w:val="nil"/>
            </w:tcBorders>
            <w:shd w:val="clear" w:color="auto" w:fill="auto"/>
            <w:vAlign w:val="bottom"/>
          </w:tcPr>
          <w:p w14:paraId="13FAB47A"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1.544*** (0.279)</w:t>
            </w:r>
          </w:p>
        </w:tc>
        <w:tc>
          <w:tcPr>
            <w:tcW w:w="753" w:type="pct"/>
            <w:tcBorders>
              <w:top w:val="nil"/>
              <w:left w:val="nil"/>
              <w:bottom w:val="nil"/>
              <w:right w:val="nil"/>
            </w:tcBorders>
            <w:shd w:val="clear" w:color="auto" w:fill="auto"/>
            <w:vAlign w:val="bottom"/>
          </w:tcPr>
          <w:p w14:paraId="13EA5BC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0.480* (0.268)</w:t>
            </w:r>
          </w:p>
        </w:tc>
        <w:tc>
          <w:tcPr>
            <w:tcW w:w="753" w:type="pct"/>
            <w:tcBorders>
              <w:top w:val="nil"/>
              <w:left w:val="nil"/>
              <w:bottom w:val="nil"/>
              <w:right w:val="nil"/>
            </w:tcBorders>
            <w:shd w:val="clear" w:color="auto" w:fill="auto"/>
            <w:vAlign w:val="bottom"/>
          </w:tcPr>
          <w:p w14:paraId="20CEADC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0.484* (0.264)</w:t>
            </w:r>
          </w:p>
        </w:tc>
        <w:tc>
          <w:tcPr>
            <w:tcW w:w="753" w:type="pct"/>
            <w:tcBorders>
              <w:top w:val="nil"/>
              <w:left w:val="nil"/>
              <w:bottom w:val="nil"/>
              <w:right w:val="nil"/>
            </w:tcBorders>
            <w:shd w:val="clear" w:color="auto" w:fill="auto"/>
            <w:vAlign w:val="bottom"/>
          </w:tcPr>
          <w:p w14:paraId="33ED09F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0.332 (0.270)</w:t>
            </w:r>
          </w:p>
        </w:tc>
        <w:tc>
          <w:tcPr>
            <w:tcW w:w="752" w:type="pct"/>
            <w:tcBorders>
              <w:top w:val="nil"/>
              <w:left w:val="nil"/>
              <w:bottom w:val="nil"/>
              <w:right w:val="nil"/>
            </w:tcBorders>
            <w:shd w:val="clear" w:color="auto" w:fill="auto"/>
            <w:vAlign w:val="bottom"/>
          </w:tcPr>
          <w:p w14:paraId="27A38FA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0.599* (0.274)</w:t>
            </w:r>
          </w:p>
        </w:tc>
      </w:tr>
      <w:tr w:rsidR="009F7FF5" w:rsidRPr="001E47AD" w14:paraId="6C9568B3" w14:textId="77777777" w:rsidTr="00F56D1C">
        <w:tc>
          <w:tcPr>
            <w:tcW w:w="1224" w:type="pct"/>
            <w:tcBorders>
              <w:top w:val="nil"/>
              <w:left w:val="nil"/>
              <w:bottom w:val="nil"/>
              <w:right w:val="nil"/>
            </w:tcBorders>
            <w:vAlign w:val="center"/>
          </w:tcPr>
          <w:p w14:paraId="0EC657EB"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LAND_AREA_STATE</m:t>
                </m:r>
              </m:oMath>
            </m:oMathPara>
          </w:p>
        </w:tc>
        <w:tc>
          <w:tcPr>
            <w:tcW w:w="765" w:type="pct"/>
            <w:tcBorders>
              <w:top w:val="nil"/>
              <w:left w:val="nil"/>
              <w:bottom w:val="nil"/>
              <w:right w:val="nil"/>
            </w:tcBorders>
            <w:shd w:val="clear" w:color="auto" w:fill="auto"/>
            <w:vAlign w:val="bottom"/>
          </w:tcPr>
          <w:p w14:paraId="6A279AD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0.110*** (0.023)</w:t>
            </w:r>
          </w:p>
        </w:tc>
        <w:tc>
          <w:tcPr>
            <w:tcW w:w="753" w:type="pct"/>
            <w:tcBorders>
              <w:top w:val="nil"/>
              <w:left w:val="nil"/>
              <w:bottom w:val="nil"/>
              <w:right w:val="nil"/>
            </w:tcBorders>
            <w:shd w:val="clear" w:color="auto" w:fill="auto"/>
            <w:vAlign w:val="bottom"/>
          </w:tcPr>
          <w:p w14:paraId="0C6B834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-0.034 (0.023)</w:t>
            </w:r>
          </w:p>
        </w:tc>
        <w:tc>
          <w:tcPr>
            <w:tcW w:w="753" w:type="pct"/>
            <w:tcBorders>
              <w:top w:val="nil"/>
              <w:left w:val="nil"/>
              <w:bottom w:val="nil"/>
              <w:right w:val="nil"/>
            </w:tcBorders>
            <w:shd w:val="clear" w:color="auto" w:fill="auto"/>
            <w:vAlign w:val="bottom"/>
          </w:tcPr>
          <w:p w14:paraId="1398AAA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-0.039* (0.022)</w:t>
            </w:r>
          </w:p>
        </w:tc>
        <w:tc>
          <w:tcPr>
            <w:tcW w:w="753" w:type="pct"/>
            <w:tcBorders>
              <w:top w:val="nil"/>
              <w:left w:val="nil"/>
              <w:bottom w:val="nil"/>
              <w:right w:val="nil"/>
            </w:tcBorders>
            <w:shd w:val="clear" w:color="auto" w:fill="auto"/>
            <w:vAlign w:val="bottom"/>
          </w:tcPr>
          <w:p w14:paraId="62D7199C"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0.006 (0.023)</w:t>
            </w:r>
          </w:p>
        </w:tc>
        <w:tc>
          <w:tcPr>
            <w:tcW w:w="752" w:type="pct"/>
            <w:tcBorders>
              <w:top w:val="nil"/>
              <w:left w:val="nil"/>
              <w:bottom w:val="nil"/>
              <w:right w:val="nil"/>
            </w:tcBorders>
            <w:shd w:val="clear" w:color="auto" w:fill="auto"/>
            <w:vAlign w:val="bottom"/>
          </w:tcPr>
          <w:p w14:paraId="70FE732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-0.042* (0.023)</w:t>
            </w:r>
          </w:p>
        </w:tc>
      </w:tr>
      <w:tr w:rsidR="009F7FF5" w:rsidRPr="001E47AD" w14:paraId="16044261" w14:textId="77777777" w:rsidTr="00F56D1C">
        <w:tc>
          <w:tcPr>
            <w:tcW w:w="1224" w:type="pct"/>
            <w:tcBorders>
              <w:top w:val="nil"/>
              <w:left w:val="nil"/>
              <w:bottom w:val="nil"/>
              <w:right w:val="nil"/>
            </w:tcBorders>
            <w:vAlign w:val="center"/>
          </w:tcPr>
          <w:p w14:paraId="3ADE95B0"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w:lastRenderedPageBreak/>
                  <m:t>WATER_AREA_COUNTY</m:t>
                </m:r>
              </m:oMath>
            </m:oMathPara>
          </w:p>
        </w:tc>
        <w:tc>
          <w:tcPr>
            <w:tcW w:w="765" w:type="pct"/>
            <w:tcBorders>
              <w:top w:val="nil"/>
              <w:left w:val="nil"/>
              <w:bottom w:val="nil"/>
              <w:right w:val="nil"/>
            </w:tcBorders>
            <w:shd w:val="clear" w:color="auto" w:fill="auto"/>
            <w:vAlign w:val="bottom"/>
          </w:tcPr>
          <w:p w14:paraId="082141C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-2.389*** (0.490)</w:t>
            </w:r>
          </w:p>
        </w:tc>
        <w:tc>
          <w:tcPr>
            <w:tcW w:w="753" w:type="pct"/>
            <w:tcBorders>
              <w:top w:val="nil"/>
              <w:left w:val="nil"/>
              <w:bottom w:val="nil"/>
              <w:right w:val="nil"/>
            </w:tcBorders>
            <w:shd w:val="clear" w:color="auto" w:fill="auto"/>
            <w:vAlign w:val="bottom"/>
          </w:tcPr>
          <w:p w14:paraId="7EE4412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0.174 (0.476)</w:t>
            </w:r>
          </w:p>
        </w:tc>
        <w:tc>
          <w:tcPr>
            <w:tcW w:w="753" w:type="pct"/>
            <w:tcBorders>
              <w:top w:val="nil"/>
              <w:left w:val="nil"/>
              <w:bottom w:val="nil"/>
              <w:right w:val="nil"/>
            </w:tcBorders>
            <w:shd w:val="clear" w:color="auto" w:fill="auto"/>
            <w:vAlign w:val="bottom"/>
          </w:tcPr>
          <w:p w14:paraId="15A496A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-0.761 (0.469)</w:t>
            </w:r>
          </w:p>
        </w:tc>
        <w:tc>
          <w:tcPr>
            <w:tcW w:w="753" w:type="pct"/>
            <w:tcBorders>
              <w:top w:val="nil"/>
              <w:left w:val="nil"/>
              <w:bottom w:val="nil"/>
              <w:right w:val="nil"/>
            </w:tcBorders>
            <w:shd w:val="clear" w:color="auto" w:fill="auto"/>
            <w:vAlign w:val="bottom"/>
          </w:tcPr>
          <w:p w14:paraId="6633D5D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0.265 (0.477)</w:t>
            </w:r>
          </w:p>
        </w:tc>
        <w:tc>
          <w:tcPr>
            <w:tcW w:w="752" w:type="pct"/>
            <w:tcBorders>
              <w:top w:val="nil"/>
              <w:left w:val="nil"/>
              <w:bottom w:val="nil"/>
              <w:right w:val="nil"/>
            </w:tcBorders>
            <w:shd w:val="clear" w:color="auto" w:fill="auto"/>
            <w:vAlign w:val="bottom"/>
          </w:tcPr>
          <w:p w14:paraId="6D9F5EC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-0.347 (0.483)</w:t>
            </w:r>
          </w:p>
        </w:tc>
      </w:tr>
      <w:tr w:rsidR="009F7FF5" w:rsidRPr="001E47AD" w14:paraId="0DEA6708" w14:textId="77777777" w:rsidTr="00F56D1C">
        <w:tc>
          <w:tcPr>
            <w:tcW w:w="1224" w:type="pct"/>
            <w:tcBorders>
              <w:top w:val="nil"/>
              <w:left w:val="nil"/>
              <w:bottom w:val="nil"/>
              <w:right w:val="nil"/>
            </w:tcBorders>
            <w:vAlign w:val="center"/>
          </w:tcPr>
          <w:p w14:paraId="3C73325E"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WATER_AREA_STATE</m:t>
                </m:r>
              </m:oMath>
            </m:oMathPara>
          </w:p>
        </w:tc>
        <w:tc>
          <w:tcPr>
            <w:tcW w:w="765" w:type="pct"/>
            <w:tcBorders>
              <w:top w:val="nil"/>
              <w:left w:val="nil"/>
              <w:bottom w:val="nil"/>
              <w:right w:val="nil"/>
            </w:tcBorders>
            <w:shd w:val="clear" w:color="auto" w:fill="auto"/>
            <w:vAlign w:val="bottom"/>
          </w:tcPr>
          <w:p w14:paraId="2A6023A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0.151* (0.061)</w:t>
            </w:r>
          </w:p>
        </w:tc>
        <w:tc>
          <w:tcPr>
            <w:tcW w:w="753" w:type="pct"/>
            <w:tcBorders>
              <w:top w:val="nil"/>
              <w:left w:val="nil"/>
              <w:bottom w:val="nil"/>
              <w:right w:val="nil"/>
            </w:tcBorders>
            <w:shd w:val="clear" w:color="auto" w:fill="auto"/>
            <w:vAlign w:val="bottom"/>
          </w:tcPr>
          <w:p w14:paraId="45449FE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0.337*** (0.060)</w:t>
            </w:r>
          </w:p>
        </w:tc>
        <w:tc>
          <w:tcPr>
            <w:tcW w:w="753" w:type="pct"/>
            <w:tcBorders>
              <w:top w:val="nil"/>
              <w:left w:val="nil"/>
              <w:bottom w:val="nil"/>
              <w:right w:val="nil"/>
            </w:tcBorders>
            <w:shd w:val="clear" w:color="auto" w:fill="auto"/>
            <w:vAlign w:val="bottom"/>
          </w:tcPr>
          <w:p w14:paraId="74B7196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0.337*** (0.059)</w:t>
            </w:r>
          </w:p>
        </w:tc>
        <w:tc>
          <w:tcPr>
            <w:tcW w:w="753" w:type="pct"/>
            <w:tcBorders>
              <w:top w:val="nil"/>
              <w:left w:val="nil"/>
              <w:bottom w:val="nil"/>
              <w:right w:val="nil"/>
            </w:tcBorders>
            <w:shd w:val="clear" w:color="auto" w:fill="auto"/>
            <w:vAlign w:val="bottom"/>
          </w:tcPr>
          <w:p w14:paraId="2F56CFB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0.221*** (0.060)</w:t>
            </w:r>
          </w:p>
        </w:tc>
        <w:tc>
          <w:tcPr>
            <w:tcW w:w="752" w:type="pct"/>
            <w:tcBorders>
              <w:top w:val="nil"/>
              <w:left w:val="nil"/>
              <w:bottom w:val="nil"/>
              <w:right w:val="nil"/>
            </w:tcBorders>
            <w:shd w:val="clear" w:color="auto" w:fill="auto"/>
            <w:vAlign w:val="bottom"/>
          </w:tcPr>
          <w:p w14:paraId="306AD7E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0.269*** (0.060)</w:t>
            </w:r>
          </w:p>
        </w:tc>
      </w:tr>
      <w:tr w:rsidR="009F7FF5" w:rsidRPr="001E47AD" w14:paraId="2DDBB879" w14:textId="77777777" w:rsidTr="00F56D1C">
        <w:tc>
          <w:tcPr>
            <w:tcW w:w="1224" w:type="pct"/>
            <w:tcBorders>
              <w:top w:val="nil"/>
              <w:left w:val="nil"/>
              <w:bottom w:val="nil"/>
              <w:right w:val="nil"/>
            </w:tcBorders>
            <w:shd w:val="clear" w:color="auto" w:fill="auto"/>
            <w:vAlign w:val="center"/>
          </w:tcPr>
          <w:p w14:paraId="747F5FC4" w14:textId="77777777" w:rsidR="009F7FF5" w:rsidRPr="001E47AD" w:rsidRDefault="009F7FF5" w:rsidP="00F56D1C">
            <w:pPr>
              <w:contextualSpacing/>
              <w:rPr>
                <w:rFonts w:ascii="Times New Roman" w:eastAsia="宋体" w:hAnsi="Times New Roman" w:cs="Times New Roman"/>
                <w:sz w:val="16"/>
                <w:szCs w:val="16"/>
              </w:rPr>
            </w:pPr>
            <w:r w:rsidRPr="001E47AD">
              <w:rPr>
                <w:rFonts w:ascii="Times New Roman" w:eastAsia="宋体" w:hAnsi="Times New Roman" w:cs="Times New Roman"/>
                <w:sz w:val="16"/>
                <w:szCs w:val="16"/>
                <w:u w:val="single"/>
              </w:rPr>
              <w:t>Changes in Sales Volume</w:t>
            </w:r>
          </w:p>
        </w:tc>
        <w:tc>
          <w:tcPr>
            <w:tcW w:w="765" w:type="pct"/>
            <w:tcBorders>
              <w:top w:val="nil"/>
              <w:left w:val="nil"/>
              <w:bottom w:val="nil"/>
              <w:right w:val="nil"/>
            </w:tcBorders>
            <w:shd w:val="clear" w:color="auto" w:fill="auto"/>
            <w:vAlign w:val="bottom"/>
          </w:tcPr>
          <w:p w14:paraId="5589D571" w14:textId="77777777" w:rsidR="009F7FF5" w:rsidRPr="001E47AD" w:rsidRDefault="009F7FF5" w:rsidP="00F56D1C">
            <w:pPr>
              <w:jc w:val="right"/>
              <w:rPr>
                <w:rFonts w:ascii="Times New Roman" w:hAnsi="Times New Roman" w:cs="Times New Roman"/>
                <w:sz w:val="16"/>
                <w:szCs w:val="16"/>
              </w:rPr>
            </w:pPr>
          </w:p>
        </w:tc>
        <w:tc>
          <w:tcPr>
            <w:tcW w:w="753" w:type="pct"/>
            <w:tcBorders>
              <w:top w:val="nil"/>
              <w:left w:val="nil"/>
              <w:bottom w:val="nil"/>
              <w:right w:val="nil"/>
            </w:tcBorders>
            <w:shd w:val="clear" w:color="auto" w:fill="auto"/>
            <w:vAlign w:val="bottom"/>
          </w:tcPr>
          <w:p w14:paraId="23CE37D4"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39408972" w14:textId="77777777" w:rsidR="009F7FF5" w:rsidRPr="001E47AD" w:rsidRDefault="009F7FF5" w:rsidP="00F56D1C">
            <w:pPr>
              <w:jc w:val="right"/>
              <w:rPr>
                <w:rFonts w:ascii="Times New Roman" w:hAnsi="Times New Roman" w:cs="Times New Roman"/>
                <w:sz w:val="20"/>
                <w:szCs w:val="20"/>
              </w:rPr>
            </w:pPr>
          </w:p>
        </w:tc>
        <w:tc>
          <w:tcPr>
            <w:tcW w:w="753" w:type="pct"/>
            <w:tcBorders>
              <w:top w:val="nil"/>
              <w:left w:val="nil"/>
              <w:bottom w:val="nil"/>
              <w:right w:val="nil"/>
            </w:tcBorders>
            <w:shd w:val="clear" w:color="auto" w:fill="auto"/>
            <w:vAlign w:val="bottom"/>
          </w:tcPr>
          <w:p w14:paraId="7BE5B48D" w14:textId="77777777" w:rsidR="009F7FF5" w:rsidRPr="001E47AD" w:rsidRDefault="009F7FF5" w:rsidP="00F56D1C">
            <w:pPr>
              <w:jc w:val="right"/>
              <w:rPr>
                <w:rFonts w:ascii="Times New Roman" w:hAnsi="Times New Roman" w:cs="Times New Roman"/>
                <w:sz w:val="20"/>
                <w:szCs w:val="20"/>
              </w:rPr>
            </w:pPr>
          </w:p>
        </w:tc>
        <w:tc>
          <w:tcPr>
            <w:tcW w:w="752" w:type="pct"/>
            <w:tcBorders>
              <w:top w:val="nil"/>
              <w:left w:val="nil"/>
              <w:bottom w:val="nil"/>
              <w:right w:val="nil"/>
            </w:tcBorders>
            <w:shd w:val="clear" w:color="auto" w:fill="auto"/>
            <w:vAlign w:val="bottom"/>
          </w:tcPr>
          <w:p w14:paraId="364C72C5" w14:textId="77777777" w:rsidR="009F7FF5" w:rsidRPr="001E47AD" w:rsidRDefault="009F7FF5" w:rsidP="00F56D1C">
            <w:pPr>
              <w:jc w:val="right"/>
              <w:rPr>
                <w:rFonts w:ascii="Times New Roman" w:hAnsi="Times New Roman" w:cs="Times New Roman"/>
                <w:sz w:val="20"/>
                <w:szCs w:val="20"/>
              </w:rPr>
            </w:pPr>
          </w:p>
        </w:tc>
      </w:tr>
      <w:tr w:rsidR="009F7FF5" w:rsidRPr="001E47AD" w14:paraId="08482252" w14:textId="77777777" w:rsidTr="00F56D1C">
        <w:tc>
          <w:tcPr>
            <w:tcW w:w="1224" w:type="pct"/>
            <w:tcBorders>
              <w:top w:val="nil"/>
              <w:left w:val="nil"/>
              <w:bottom w:val="nil"/>
              <w:right w:val="nil"/>
            </w:tcBorders>
            <w:shd w:val="clear" w:color="auto" w:fill="auto"/>
            <w:vAlign w:val="center"/>
          </w:tcPr>
          <w:p w14:paraId="6140C9AE" w14:textId="77777777" w:rsidR="009F7FF5" w:rsidRPr="001E47AD" w:rsidRDefault="009F7FF5" w:rsidP="00F56D1C">
            <w:pPr>
              <w:contextualSpacing/>
              <w:jc w:val="both"/>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CHANGE_VOL_LATE</m:t>
                </m:r>
              </m:oMath>
            </m:oMathPara>
          </w:p>
        </w:tc>
        <w:tc>
          <w:tcPr>
            <w:tcW w:w="765" w:type="pct"/>
            <w:tcBorders>
              <w:top w:val="nil"/>
              <w:left w:val="nil"/>
              <w:bottom w:val="nil"/>
              <w:right w:val="nil"/>
            </w:tcBorders>
            <w:shd w:val="clear" w:color="auto" w:fill="auto"/>
            <w:vAlign w:val="bottom"/>
          </w:tcPr>
          <w:p w14:paraId="0D85FC3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1.155*** (0.074)</w:t>
            </w:r>
          </w:p>
        </w:tc>
        <w:tc>
          <w:tcPr>
            <w:tcW w:w="753" w:type="pct"/>
            <w:tcBorders>
              <w:top w:val="nil"/>
              <w:left w:val="nil"/>
              <w:bottom w:val="nil"/>
              <w:right w:val="nil"/>
            </w:tcBorders>
            <w:shd w:val="clear" w:color="auto" w:fill="auto"/>
            <w:vAlign w:val="bottom"/>
          </w:tcPr>
          <w:p w14:paraId="682A9CC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45CE7336"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1C26B96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14A4907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9F7FF5" w:rsidRPr="001E47AD" w14:paraId="0E7C3FFD" w14:textId="77777777" w:rsidTr="00F56D1C">
        <w:tc>
          <w:tcPr>
            <w:tcW w:w="1224" w:type="pct"/>
            <w:tcBorders>
              <w:top w:val="nil"/>
              <w:left w:val="nil"/>
              <w:bottom w:val="nil"/>
              <w:right w:val="nil"/>
            </w:tcBorders>
            <w:shd w:val="clear" w:color="auto" w:fill="auto"/>
            <w:vAlign w:val="center"/>
          </w:tcPr>
          <w:p w14:paraId="52595085"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CHANGE_VOL_POST_W1</m:t>
                </m:r>
              </m:oMath>
            </m:oMathPara>
          </w:p>
        </w:tc>
        <w:tc>
          <w:tcPr>
            <w:tcW w:w="765" w:type="pct"/>
            <w:tcBorders>
              <w:top w:val="nil"/>
              <w:left w:val="nil"/>
              <w:bottom w:val="nil"/>
              <w:right w:val="nil"/>
            </w:tcBorders>
            <w:shd w:val="clear" w:color="auto" w:fill="auto"/>
            <w:vAlign w:val="bottom"/>
          </w:tcPr>
          <w:p w14:paraId="4772E904"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1E620B1B"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1.418*** (0.162)</w:t>
            </w:r>
          </w:p>
        </w:tc>
        <w:tc>
          <w:tcPr>
            <w:tcW w:w="753" w:type="pct"/>
            <w:tcBorders>
              <w:top w:val="nil"/>
              <w:left w:val="nil"/>
              <w:bottom w:val="nil"/>
              <w:right w:val="nil"/>
            </w:tcBorders>
            <w:shd w:val="clear" w:color="auto" w:fill="auto"/>
            <w:vAlign w:val="bottom"/>
          </w:tcPr>
          <w:p w14:paraId="3250DDAE"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6355320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566C296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9F7FF5" w:rsidRPr="001E47AD" w14:paraId="77C34F59" w14:textId="77777777" w:rsidTr="00F56D1C">
        <w:tc>
          <w:tcPr>
            <w:tcW w:w="1224" w:type="pct"/>
            <w:tcBorders>
              <w:top w:val="nil"/>
              <w:left w:val="nil"/>
              <w:bottom w:val="nil"/>
              <w:right w:val="nil"/>
            </w:tcBorders>
            <w:shd w:val="clear" w:color="auto" w:fill="auto"/>
            <w:vAlign w:val="center"/>
          </w:tcPr>
          <w:p w14:paraId="4FAF86E7"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CHANGE_VOL_POST_W2</m:t>
                </m:r>
              </m:oMath>
            </m:oMathPara>
          </w:p>
        </w:tc>
        <w:tc>
          <w:tcPr>
            <w:tcW w:w="765" w:type="pct"/>
            <w:tcBorders>
              <w:top w:val="nil"/>
              <w:left w:val="nil"/>
              <w:bottom w:val="nil"/>
              <w:right w:val="nil"/>
            </w:tcBorders>
            <w:shd w:val="clear" w:color="auto" w:fill="auto"/>
            <w:vAlign w:val="bottom"/>
          </w:tcPr>
          <w:p w14:paraId="1BD73C6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2B346E1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1570572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1.122*** (0.142)</w:t>
            </w:r>
          </w:p>
        </w:tc>
        <w:tc>
          <w:tcPr>
            <w:tcW w:w="753" w:type="pct"/>
            <w:tcBorders>
              <w:top w:val="nil"/>
              <w:left w:val="nil"/>
              <w:bottom w:val="nil"/>
              <w:right w:val="nil"/>
            </w:tcBorders>
            <w:shd w:val="clear" w:color="auto" w:fill="auto"/>
            <w:vAlign w:val="bottom"/>
          </w:tcPr>
          <w:p w14:paraId="11CD25A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06294185"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9F7FF5" w:rsidRPr="001E47AD" w14:paraId="6AC383F8" w14:textId="77777777" w:rsidTr="00F56D1C">
        <w:tc>
          <w:tcPr>
            <w:tcW w:w="1224" w:type="pct"/>
            <w:tcBorders>
              <w:top w:val="nil"/>
              <w:left w:val="nil"/>
              <w:bottom w:val="nil"/>
              <w:right w:val="nil"/>
            </w:tcBorders>
            <w:shd w:val="clear" w:color="auto" w:fill="auto"/>
            <w:vAlign w:val="center"/>
          </w:tcPr>
          <w:p w14:paraId="1AC806D7"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CHANGE_VOL_POST_W3</m:t>
                </m:r>
              </m:oMath>
            </m:oMathPara>
          </w:p>
        </w:tc>
        <w:tc>
          <w:tcPr>
            <w:tcW w:w="765" w:type="pct"/>
            <w:tcBorders>
              <w:top w:val="nil"/>
              <w:left w:val="nil"/>
              <w:bottom w:val="nil"/>
              <w:right w:val="nil"/>
            </w:tcBorders>
            <w:shd w:val="clear" w:color="auto" w:fill="auto"/>
            <w:vAlign w:val="bottom"/>
          </w:tcPr>
          <w:p w14:paraId="06BB232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54412A3F"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62FE95D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5BC83D77"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1.489*** (0.112)</w:t>
            </w:r>
          </w:p>
        </w:tc>
        <w:tc>
          <w:tcPr>
            <w:tcW w:w="752" w:type="pct"/>
            <w:tcBorders>
              <w:top w:val="nil"/>
              <w:left w:val="nil"/>
              <w:bottom w:val="nil"/>
              <w:right w:val="nil"/>
            </w:tcBorders>
            <w:shd w:val="clear" w:color="auto" w:fill="auto"/>
            <w:vAlign w:val="bottom"/>
          </w:tcPr>
          <w:p w14:paraId="2BEAD393"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r>
      <w:tr w:rsidR="009F7FF5" w:rsidRPr="001E47AD" w14:paraId="498ADBBF" w14:textId="77777777" w:rsidTr="00F56D1C">
        <w:tc>
          <w:tcPr>
            <w:tcW w:w="1224" w:type="pct"/>
            <w:tcBorders>
              <w:top w:val="nil"/>
              <w:left w:val="nil"/>
              <w:bottom w:val="single" w:sz="4" w:space="0" w:color="auto"/>
              <w:right w:val="nil"/>
            </w:tcBorders>
            <w:shd w:val="clear" w:color="auto" w:fill="auto"/>
            <w:vAlign w:val="center"/>
          </w:tcPr>
          <w:p w14:paraId="69AAAB91"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hAnsi="Cambria Math" w:cs="Times New Roman"/>
                    <w:sz w:val="16"/>
                    <w:szCs w:val="16"/>
                  </w:rPr>
                  <m:t>CHANGE_VOL_POST_W4</m:t>
                </m:r>
              </m:oMath>
            </m:oMathPara>
          </w:p>
        </w:tc>
        <w:tc>
          <w:tcPr>
            <w:tcW w:w="765" w:type="pct"/>
            <w:tcBorders>
              <w:top w:val="nil"/>
              <w:left w:val="nil"/>
              <w:bottom w:val="nil"/>
              <w:right w:val="nil"/>
            </w:tcBorders>
            <w:shd w:val="clear" w:color="auto" w:fill="auto"/>
            <w:vAlign w:val="bottom"/>
          </w:tcPr>
          <w:p w14:paraId="5384B7C9"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258B7941"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72B78748"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3" w:type="pct"/>
            <w:tcBorders>
              <w:top w:val="nil"/>
              <w:left w:val="nil"/>
              <w:bottom w:val="nil"/>
              <w:right w:val="nil"/>
            </w:tcBorders>
            <w:shd w:val="clear" w:color="auto" w:fill="auto"/>
            <w:vAlign w:val="bottom"/>
          </w:tcPr>
          <w:p w14:paraId="05CDB8BD"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 xml:space="preserve"> </w:t>
            </w:r>
          </w:p>
        </w:tc>
        <w:tc>
          <w:tcPr>
            <w:tcW w:w="752" w:type="pct"/>
            <w:tcBorders>
              <w:top w:val="nil"/>
              <w:left w:val="nil"/>
              <w:bottom w:val="nil"/>
              <w:right w:val="nil"/>
            </w:tcBorders>
            <w:shd w:val="clear" w:color="auto" w:fill="auto"/>
            <w:vAlign w:val="bottom"/>
          </w:tcPr>
          <w:p w14:paraId="4034ED92" w14:textId="77777777" w:rsidR="009F7FF5" w:rsidRPr="001E47AD" w:rsidRDefault="009F7FF5" w:rsidP="00F56D1C">
            <w:pPr>
              <w:jc w:val="right"/>
              <w:rPr>
                <w:rFonts w:ascii="Times New Roman" w:hAnsi="Times New Roman" w:cs="Times New Roman"/>
                <w:sz w:val="16"/>
                <w:szCs w:val="16"/>
              </w:rPr>
            </w:pPr>
            <w:r w:rsidRPr="001E47AD">
              <w:rPr>
                <w:rFonts w:ascii="Times New Roman" w:hAnsi="Times New Roman" w:cs="Times New Roman"/>
                <w:sz w:val="16"/>
                <w:szCs w:val="16"/>
              </w:rPr>
              <w:t>1.471*** (0.094)</w:t>
            </w:r>
          </w:p>
        </w:tc>
      </w:tr>
      <w:tr w:rsidR="009F7FF5" w:rsidRPr="001E47AD" w14:paraId="7CA3EAC9" w14:textId="77777777" w:rsidTr="00F56D1C">
        <w:tc>
          <w:tcPr>
            <w:tcW w:w="1224" w:type="pct"/>
            <w:tcBorders>
              <w:top w:val="single" w:sz="4" w:space="0" w:color="auto"/>
              <w:left w:val="nil"/>
              <w:bottom w:val="single" w:sz="4" w:space="0" w:color="auto"/>
              <w:right w:val="nil"/>
            </w:tcBorders>
            <w:vAlign w:val="center"/>
          </w:tcPr>
          <w:p w14:paraId="6F1D02D4"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Observations</m:t>
                </m:r>
              </m:oMath>
            </m:oMathPara>
          </w:p>
        </w:tc>
        <w:tc>
          <w:tcPr>
            <w:tcW w:w="765" w:type="pct"/>
            <w:tcBorders>
              <w:top w:val="single" w:sz="4" w:space="0" w:color="auto"/>
              <w:left w:val="nil"/>
              <w:bottom w:val="single" w:sz="4" w:space="0" w:color="auto"/>
              <w:right w:val="nil"/>
            </w:tcBorders>
            <w:vAlign w:val="bottom"/>
          </w:tcPr>
          <w:p w14:paraId="4702740E"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38,413</w:t>
            </w:r>
          </w:p>
        </w:tc>
        <w:tc>
          <w:tcPr>
            <w:tcW w:w="753" w:type="pct"/>
            <w:tcBorders>
              <w:top w:val="single" w:sz="4" w:space="0" w:color="auto"/>
              <w:left w:val="nil"/>
              <w:bottom w:val="single" w:sz="4" w:space="0" w:color="auto"/>
              <w:right w:val="nil"/>
            </w:tcBorders>
            <w:shd w:val="clear" w:color="auto" w:fill="auto"/>
            <w:vAlign w:val="bottom"/>
          </w:tcPr>
          <w:p w14:paraId="442B0C49"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z w:val="16"/>
                <w:szCs w:val="16"/>
              </w:rPr>
              <w:t>38,413</w:t>
            </w:r>
          </w:p>
        </w:tc>
        <w:tc>
          <w:tcPr>
            <w:tcW w:w="753" w:type="pct"/>
            <w:tcBorders>
              <w:top w:val="single" w:sz="4" w:space="0" w:color="auto"/>
              <w:left w:val="nil"/>
              <w:bottom w:val="single" w:sz="4" w:space="0" w:color="auto"/>
              <w:right w:val="nil"/>
            </w:tcBorders>
            <w:vAlign w:val="bottom"/>
          </w:tcPr>
          <w:p w14:paraId="42832622" w14:textId="77777777" w:rsidR="009F7FF5" w:rsidRPr="001E47AD" w:rsidRDefault="009F7FF5" w:rsidP="00F56D1C">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38,413</w:t>
            </w:r>
          </w:p>
        </w:tc>
        <w:tc>
          <w:tcPr>
            <w:tcW w:w="753" w:type="pct"/>
            <w:tcBorders>
              <w:top w:val="single" w:sz="4" w:space="0" w:color="auto"/>
              <w:left w:val="nil"/>
              <w:bottom w:val="single" w:sz="4" w:space="0" w:color="auto"/>
              <w:right w:val="nil"/>
            </w:tcBorders>
            <w:vAlign w:val="bottom"/>
          </w:tcPr>
          <w:p w14:paraId="3C5AC97B" w14:textId="77777777" w:rsidR="009F7FF5" w:rsidRPr="001E47AD" w:rsidRDefault="009F7FF5" w:rsidP="00F56D1C">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38,413</w:t>
            </w:r>
          </w:p>
        </w:tc>
        <w:tc>
          <w:tcPr>
            <w:tcW w:w="752" w:type="pct"/>
            <w:tcBorders>
              <w:top w:val="single" w:sz="4" w:space="0" w:color="auto"/>
              <w:left w:val="nil"/>
              <w:bottom w:val="single" w:sz="4" w:space="0" w:color="auto"/>
              <w:right w:val="nil"/>
            </w:tcBorders>
            <w:vAlign w:val="bottom"/>
          </w:tcPr>
          <w:p w14:paraId="01F05971" w14:textId="77777777" w:rsidR="009F7FF5" w:rsidRPr="001E47AD" w:rsidRDefault="009F7FF5" w:rsidP="00F56D1C">
            <w:pPr>
              <w:contextualSpacing/>
              <w:jc w:val="right"/>
              <w:rPr>
                <w:rFonts w:ascii="Times New Roman" w:hAnsi="Times New Roman" w:cs="Times New Roman"/>
                <w:spacing w:val="-2"/>
                <w:sz w:val="16"/>
                <w:szCs w:val="16"/>
              </w:rPr>
            </w:pPr>
            <w:r w:rsidRPr="001E47AD">
              <w:rPr>
                <w:rFonts w:ascii="Times New Roman" w:hAnsi="Times New Roman" w:cs="Times New Roman"/>
                <w:sz w:val="16"/>
                <w:szCs w:val="16"/>
              </w:rPr>
              <w:t>38,413</w:t>
            </w:r>
          </w:p>
        </w:tc>
      </w:tr>
      <w:tr w:rsidR="009F7FF5" w:rsidRPr="001E47AD" w14:paraId="411948EC" w14:textId="77777777" w:rsidTr="00F56D1C">
        <w:tc>
          <w:tcPr>
            <w:tcW w:w="1224" w:type="pct"/>
            <w:tcBorders>
              <w:top w:val="single" w:sz="4" w:space="0" w:color="auto"/>
              <w:left w:val="nil"/>
              <w:bottom w:val="single" w:sz="4" w:space="0" w:color="auto"/>
              <w:right w:val="nil"/>
            </w:tcBorders>
            <w:vAlign w:val="center"/>
          </w:tcPr>
          <w:p w14:paraId="37731DB4" w14:textId="77777777" w:rsidR="009F7FF5" w:rsidRPr="001E47AD" w:rsidRDefault="009F7FF5" w:rsidP="00F56D1C">
            <w:pPr>
              <w:contextualSpacing/>
              <w:rPr>
                <w:rFonts w:ascii="Times New Roman" w:eastAsia="宋体" w:hAnsi="Times New Roman" w:cs="Times New Roman"/>
                <w:sz w:val="16"/>
                <w:szCs w:val="16"/>
              </w:rPr>
            </w:pPr>
            <m:oMathPara>
              <m:oMathParaPr>
                <m:jc m:val="left"/>
              </m:oMathParaPr>
              <m:oMath>
                <m:r>
                  <m:rPr>
                    <m:sty m:val="p"/>
                  </m:rPr>
                  <w:rPr>
                    <w:rFonts w:ascii="Cambria Math" w:eastAsia="宋体" w:hAnsi="Cambria Math" w:cs="Times New Roman"/>
                    <w:sz w:val="16"/>
                    <w:szCs w:val="16"/>
                  </w:rPr>
                  <m:t>F</m:t>
                </m:r>
              </m:oMath>
            </m:oMathPara>
          </w:p>
        </w:tc>
        <w:tc>
          <w:tcPr>
            <w:tcW w:w="765" w:type="pct"/>
            <w:tcBorders>
              <w:top w:val="single" w:sz="4" w:space="0" w:color="auto"/>
              <w:left w:val="nil"/>
              <w:bottom w:val="single" w:sz="4" w:space="0" w:color="auto"/>
              <w:right w:val="nil"/>
            </w:tcBorders>
          </w:tcPr>
          <w:p w14:paraId="56475662"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69.16***</w:t>
            </w:r>
          </w:p>
        </w:tc>
        <w:tc>
          <w:tcPr>
            <w:tcW w:w="753" w:type="pct"/>
            <w:tcBorders>
              <w:top w:val="single" w:sz="4" w:space="0" w:color="auto"/>
              <w:left w:val="nil"/>
              <w:bottom w:val="single" w:sz="4" w:space="0" w:color="auto"/>
              <w:right w:val="nil"/>
            </w:tcBorders>
            <w:shd w:val="clear" w:color="auto" w:fill="auto"/>
            <w:vAlign w:val="bottom"/>
          </w:tcPr>
          <w:p w14:paraId="09C9DF32"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86.86***</w:t>
            </w:r>
          </w:p>
        </w:tc>
        <w:tc>
          <w:tcPr>
            <w:tcW w:w="753" w:type="pct"/>
            <w:tcBorders>
              <w:top w:val="single" w:sz="4" w:space="0" w:color="auto"/>
              <w:left w:val="nil"/>
              <w:bottom w:val="single" w:sz="4" w:space="0" w:color="auto"/>
              <w:right w:val="nil"/>
            </w:tcBorders>
            <w:vAlign w:val="bottom"/>
          </w:tcPr>
          <w:p w14:paraId="208442BB"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78.72***</w:t>
            </w:r>
          </w:p>
        </w:tc>
        <w:tc>
          <w:tcPr>
            <w:tcW w:w="753" w:type="pct"/>
            <w:tcBorders>
              <w:top w:val="single" w:sz="4" w:space="0" w:color="auto"/>
              <w:left w:val="nil"/>
              <w:bottom w:val="single" w:sz="4" w:space="0" w:color="auto"/>
              <w:right w:val="nil"/>
            </w:tcBorders>
            <w:vAlign w:val="bottom"/>
          </w:tcPr>
          <w:p w14:paraId="0D00B0F1"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74.44***</w:t>
            </w:r>
          </w:p>
        </w:tc>
        <w:tc>
          <w:tcPr>
            <w:tcW w:w="752" w:type="pct"/>
            <w:tcBorders>
              <w:top w:val="single" w:sz="4" w:space="0" w:color="auto"/>
              <w:left w:val="nil"/>
              <w:bottom w:val="single" w:sz="4" w:space="0" w:color="auto"/>
              <w:right w:val="nil"/>
            </w:tcBorders>
            <w:vAlign w:val="bottom"/>
          </w:tcPr>
          <w:p w14:paraId="6E90B915" w14:textId="77777777" w:rsidR="009F7FF5" w:rsidRPr="001E47AD" w:rsidRDefault="009F7FF5" w:rsidP="00F56D1C">
            <w:pPr>
              <w:contextualSpacing/>
              <w:jc w:val="right"/>
              <w:rPr>
                <w:rFonts w:ascii="Times New Roman" w:hAnsi="Times New Roman" w:cs="Times New Roman"/>
                <w:spacing w:val="-5"/>
                <w:sz w:val="16"/>
                <w:szCs w:val="16"/>
              </w:rPr>
            </w:pPr>
            <w:r w:rsidRPr="001E47AD">
              <w:rPr>
                <w:rFonts w:ascii="Times New Roman" w:hAnsi="Times New Roman" w:cs="Times New Roman"/>
                <w:spacing w:val="-5"/>
                <w:sz w:val="16"/>
                <w:szCs w:val="16"/>
              </w:rPr>
              <w:t>64.08***</w:t>
            </w:r>
          </w:p>
        </w:tc>
      </w:tr>
    </w:tbl>
    <w:p w14:paraId="020F6DF7" w14:textId="77777777" w:rsidR="009F7FF5" w:rsidRPr="001E47AD" w:rsidRDefault="009F7FF5" w:rsidP="009F7FF5">
      <w:pPr>
        <w:tabs>
          <w:tab w:val="left" w:pos="1878"/>
        </w:tabs>
        <w:jc w:val="both"/>
        <w:rPr>
          <w:sz w:val="20"/>
          <w:szCs w:val="20"/>
          <w:lang w:eastAsia="zh-CN"/>
        </w:rPr>
      </w:pPr>
      <w:r w:rsidRPr="001E47AD">
        <w:rPr>
          <w:sz w:val="20"/>
          <w:szCs w:val="20"/>
        </w:rPr>
        <w:t>Note: The table shows estimated coefficients. Standard errors in parentheses. * p&lt;0.1, ** p&lt;0.01, *** p&lt;0.001.</w:t>
      </w:r>
    </w:p>
    <w:p w14:paraId="5E658FAF" w14:textId="77777777" w:rsidR="009F7FF5" w:rsidRPr="001E47AD" w:rsidRDefault="009F7FF5">
      <w:pPr>
        <w:sectPr w:rsidR="009F7FF5" w:rsidRPr="001E47AD" w:rsidSect="001D1B8C">
          <w:endnotePr>
            <w:numFmt w:val="decimal"/>
            <w:numRestart w:val="eachSect"/>
          </w:endnotePr>
          <w:pgSz w:w="15840" w:h="12240" w:orient="landscape"/>
          <w:pgMar w:top="1440" w:right="1440" w:bottom="1440" w:left="1440" w:header="720" w:footer="720" w:gutter="0"/>
          <w:cols w:space="720"/>
          <w:docGrid w:linePitch="360"/>
        </w:sectPr>
      </w:pPr>
    </w:p>
    <w:p w14:paraId="15A2E88D" w14:textId="153390DD" w:rsidR="00CF0E7B" w:rsidRPr="001E47AD" w:rsidRDefault="00CF0E7B" w:rsidP="00794273">
      <w:pPr>
        <w:pStyle w:val="Heading1"/>
        <w:numPr>
          <w:ilvl w:val="0"/>
          <w:numId w:val="0"/>
        </w:numPr>
        <w:ind w:left="360" w:hanging="360"/>
      </w:pPr>
      <w:r w:rsidRPr="001E47AD">
        <w:lastRenderedPageBreak/>
        <w:t>References</w:t>
      </w:r>
    </w:p>
    <w:p w14:paraId="63E92EE5" w14:textId="77777777" w:rsidR="00476463" w:rsidRPr="001E47AD" w:rsidRDefault="00476463" w:rsidP="00476463">
      <w:pPr>
        <w:spacing w:line="480" w:lineRule="auto"/>
        <w:rPr>
          <w:sz w:val="22"/>
          <w:szCs w:val="22"/>
        </w:rPr>
      </w:pPr>
      <w:r w:rsidRPr="001E47AD">
        <w:rPr>
          <w:sz w:val="22"/>
          <w:szCs w:val="22"/>
          <w:lang w:val="fr-LU"/>
        </w:rPr>
        <w:t>Avila, L. A.,</w:t>
      </w:r>
      <w:r w:rsidRPr="001E47AD">
        <w:rPr>
          <w:sz w:val="22"/>
          <w:szCs w:val="22"/>
          <w:lang w:val="fr-LU" w:eastAsia="zh-CN"/>
        </w:rPr>
        <w:t xml:space="preserve"> J</w:t>
      </w:r>
      <w:r w:rsidRPr="001E47AD">
        <w:rPr>
          <w:sz w:val="22"/>
          <w:szCs w:val="22"/>
          <w:lang w:val="fr-LU"/>
        </w:rPr>
        <w:t>. Cangialosi</w:t>
      </w:r>
      <w:r w:rsidRPr="001E47AD">
        <w:rPr>
          <w:sz w:val="22"/>
          <w:szCs w:val="22"/>
          <w:lang w:val="fr-LU" w:eastAsia="zh-CN"/>
        </w:rPr>
        <w:t xml:space="preserve">. </w:t>
      </w:r>
      <w:r w:rsidRPr="001E47AD">
        <w:rPr>
          <w:sz w:val="22"/>
          <w:szCs w:val="22"/>
        </w:rPr>
        <w:t xml:space="preserve">2011. </w:t>
      </w:r>
      <w:r w:rsidRPr="001E47AD">
        <w:rPr>
          <w:i/>
          <w:sz w:val="22"/>
          <w:szCs w:val="22"/>
        </w:rPr>
        <w:t>Tropical Cyclone Report: Hurricane Irene (AL092011), 21</w:t>
      </w:r>
      <w:r w:rsidRPr="001E47AD">
        <w:rPr>
          <w:rStyle w:val="StyleTimesNewRoman12pt"/>
          <w:i/>
        </w:rPr>
        <w:t>-</w:t>
      </w:r>
      <w:r w:rsidRPr="001E47AD">
        <w:rPr>
          <w:i/>
          <w:sz w:val="22"/>
          <w:szCs w:val="22"/>
        </w:rPr>
        <w:t>28 August 2011.</w:t>
      </w:r>
      <w:r w:rsidRPr="001E47AD">
        <w:rPr>
          <w:sz w:val="22"/>
          <w:szCs w:val="22"/>
        </w:rPr>
        <w:t xml:space="preserve"> National Hurricane Center. Retrieved </w:t>
      </w:r>
      <w:r w:rsidRPr="001E47AD">
        <w:rPr>
          <w:noProof/>
          <w:sz w:val="22"/>
          <w:szCs w:val="22"/>
        </w:rPr>
        <w:t xml:space="preserve">February 1, 2018, </w:t>
      </w:r>
      <w:hyperlink r:id="rId29" w:history="1">
        <w:r w:rsidRPr="001E47AD">
          <w:rPr>
            <w:rStyle w:val="Hyperlink"/>
            <w:sz w:val="22"/>
            <w:szCs w:val="22"/>
          </w:rPr>
          <w:t>https://www.nhc.noaa.gov/data/tcr/AL092011_Irene.pdf</w:t>
        </w:r>
      </w:hyperlink>
      <w:r w:rsidRPr="001E47AD">
        <w:rPr>
          <w:noProof/>
          <w:sz w:val="22"/>
          <w:szCs w:val="22"/>
        </w:rPr>
        <w:t xml:space="preserve">. </w:t>
      </w:r>
    </w:p>
    <w:p w14:paraId="03B8EDC6"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Baker, E. J. 2011. Household preparedness for the aftermath of hurricanes in Florida. </w:t>
      </w:r>
      <w:r w:rsidRPr="001E47AD">
        <w:rPr>
          <w:bCs/>
          <w:i/>
          <w:iCs/>
          <w:sz w:val="22"/>
          <w:szCs w:val="22"/>
        </w:rPr>
        <w:t>Applied Geography</w:t>
      </w:r>
      <w:r w:rsidRPr="001E47AD">
        <w:rPr>
          <w:sz w:val="22"/>
          <w:szCs w:val="22"/>
        </w:rPr>
        <w:t xml:space="preserve"> 31(1) 46</w:t>
      </w:r>
      <w:r w:rsidRPr="001E47AD">
        <w:rPr>
          <w:rStyle w:val="StyleTimesNewRoman12pt"/>
        </w:rPr>
        <w:t>-</w:t>
      </w:r>
      <w:r w:rsidRPr="001E47AD">
        <w:rPr>
          <w:sz w:val="22"/>
          <w:szCs w:val="22"/>
        </w:rPr>
        <w:t>52.</w:t>
      </w:r>
    </w:p>
    <w:p w14:paraId="68866B97" w14:textId="77777777" w:rsidR="00476463" w:rsidRPr="001E47AD" w:rsidRDefault="00476463" w:rsidP="00476463">
      <w:pPr>
        <w:spacing w:line="480" w:lineRule="auto"/>
        <w:ind w:left="720" w:hanging="720"/>
        <w:contextualSpacing/>
        <w:rPr>
          <w:sz w:val="22"/>
          <w:szCs w:val="22"/>
        </w:rPr>
      </w:pPr>
      <w:r w:rsidRPr="001E47AD">
        <w:rPr>
          <w:sz w:val="22"/>
          <w:szCs w:val="22"/>
        </w:rPr>
        <w:t>Beatty, T. K. M., J. P. Shimshack, R. J. Volpe</w:t>
      </w:r>
      <w:r w:rsidRPr="001E47AD">
        <w:rPr>
          <w:sz w:val="22"/>
          <w:szCs w:val="22"/>
          <w:lang w:eastAsia="zh-CN"/>
        </w:rPr>
        <w:t xml:space="preserve">. </w:t>
      </w:r>
      <w:r w:rsidRPr="001E47AD">
        <w:rPr>
          <w:sz w:val="22"/>
          <w:szCs w:val="22"/>
        </w:rPr>
        <w:t>201</w:t>
      </w:r>
      <w:r w:rsidRPr="001E47AD">
        <w:rPr>
          <w:sz w:val="22"/>
          <w:szCs w:val="22"/>
          <w:lang w:eastAsia="zh-CN"/>
        </w:rPr>
        <w:t>8</w:t>
      </w:r>
      <w:r w:rsidRPr="001E47AD">
        <w:rPr>
          <w:sz w:val="22"/>
          <w:szCs w:val="22"/>
        </w:rPr>
        <w:t xml:space="preserve">. Disaster preparedness and disaster response: Evidence from bottled water sales before and after </w:t>
      </w:r>
      <w:r w:rsidRPr="001E47AD">
        <w:rPr>
          <w:sz w:val="22"/>
          <w:szCs w:val="22"/>
          <w:lang w:eastAsia="zh-CN"/>
        </w:rPr>
        <w:t>hurricanes</w:t>
      </w:r>
      <w:r w:rsidRPr="001E47AD">
        <w:rPr>
          <w:sz w:val="22"/>
          <w:szCs w:val="22"/>
        </w:rPr>
        <w:t>.</w:t>
      </w:r>
      <w:r w:rsidRPr="001E47AD">
        <w:rPr>
          <w:sz w:val="22"/>
          <w:szCs w:val="22"/>
          <w:lang w:eastAsia="zh-CN"/>
        </w:rPr>
        <w:t xml:space="preserve"> </w:t>
      </w:r>
      <w:r w:rsidRPr="001E47AD">
        <w:rPr>
          <w:bCs/>
          <w:i/>
          <w:iCs/>
          <w:sz w:val="22"/>
          <w:szCs w:val="22"/>
        </w:rPr>
        <w:t>SSRN Electronic Journal</w:t>
      </w:r>
      <w:r w:rsidRPr="001E47AD">
        <w:rPr>
          <w:sz w:val="22"/>
          <w:szCs w:val="22"/>
        </w:rPr>
        <w:t>.</w:t>
      </w:r>
    </w:p>
    <w:p w14:paraId="07DA7592"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Bendoly, E., R. Croson, P. Goncalves, K. Schultz. 2010. </w:t>
      </w:r>
      <w:r w:rsidRPr="001E47AD">
        <w:rPr>
          <w:noProof/>
          <w:sz w:val="22"/>
          <w:szCs w:val="22"/>
        </w:rPr>
        <w:t>Bodies</w:t>
      </w:r>
      <w:r w:rsidRPr="001E47AD">
        <w:rPr>
          <w:sz w:val="22"/>
          <w:szCs w:val="22"/>
        </w:rPr>
        <w:t xml:space="preserve"> of knowledge for research in behavioral operations. </w:t>
      </w:r>
      <w:r w:rsidRPr="001E47AD">
        <w:rPr>
          <w:bCs/>
          <w:i/>
          <w:iCs/>
          <w:sz w:val="22"/>
          <w:szCs w:val="22"/>
        </w:rPr>
        <w:t>Production and Operations Management</w:t>
      </w:r>
      <w:r w:rsidRPr="001E47AD">
        <w:rPr>
          <w:sz w:val="22"/>
          <w:szCs w:val="22"/>
        </w:rPr>
        <w:t xml:space="preserve"> 19(4) 434-452.</w:t>
      </w:r>
    </w:p>
    <w:p w14:paraId="62DD233A" w14:textId="77777777" w:rsidR="00476463" w:rsidRPr="001E47AD" w:rsidRDefault="00476463" w:rsidP="00476463">
      <w:pPr>
        <w:spacing w:line="480" w:lineRule="auto"/>
        <w:ind w:left="720" w:hanging="720"/>
        <w:contextualSpacing/>
        <w:rPr>
          <w:sz w:val="22"/>
          <w:szCs w:val="22"/>
        </w:rPr>
      </w:pPr>
      <w:r w:rsidRPr="001E47AD">
        <w:rPr>
          <w:sz w:val="22"/>
          <w:szCs w:val="22"/>
        </w:rPr>
        <w:t xml:space="preserve">Berg, R. 2009. </w:t>
      </w:r>
      <w:r w:rsidRPr="001E47AD">
        <w:rPr>
          <w:i/>
          <w:sz w:val="22"/>
          <w:szCs w:val="22"/>
        </w:rPr>
        <w:t>Tropical Cyclone Report: Hurricane Ike (AL092008), 1</w:t>
      </w:r>
      <w:r w:rsidRPr="001E47AD">
        <w:rPr>
          <w:rStyle w:val="StyleTimesNewRoman12pt"/>
          <w:i/>
        </w:rPr>
        <w:t>-</w:t>
      </w:r>
      <w:r w:rsidRPr="001E47AD">
        <w:rPr>
          <w:i/>
          <w:sz w:val="22"/>
          <w:szCs w:val="22"/>
        </w:rPr>
        <w:t>14 September 2008.</w:t>
      </w:r>
      <w:r w:rsidRPr="001E47AD">
        <w:rPr>
          <w:sz w:val="22"/>
          <w:szCs w:val="22"/>
        </w:rPr>
        <w:t xml:space="preserve"> </w:t>
      </w:r>
      <w:r w:rsidRPr="001E47AD">
        <w:rPr>
          <w:sz w:val="22"/>
          <w:szCs w:val="22"/>
          <w:lang w:eastAsia="zh-CN"/>
        </w:rPr>
        <w:t>N</w:t>
      </w:r>
      <w:r w:rsidRPr="001E47AD">
        <w:rPr>
          <w:sz w:val="22"/>
          <w:szCs w:val="22"/>
        </w:rPr>
        <w:t xml:space="preserve">ational Hurricane Center. Retrieved </w:t>
      </w:r>
      <w:r w:rsidRPr="001E47AD">
        <w:rPr>
          <w:noProof/>
          <w:sz w:val="22"/>
          <w:szCs w:val="22"/>
        </w:rPr>
        <w:t xml:space="preserve">February 1, 2018, </w:t>
      </w:r>
      <w:hyperlink r:id="rId30" w:history="1">
        <w:r w:rsidRPr="001E47AD">
          <w:rPr>
            <w:rStyle w:val="Hyperlink"/>
            <w:sz w:val="22"/>
            <w:szCs w:val="22"/>
          </w:rPr>
          <w:t>https://www.nhc.noaa.gov/data/tcr/AL092008_Ike.pdf</w:t>
        </w:r>
      </w:hyperlink>
      <w:r w:rsidRPr="001E47AD">
        <w:rPr>
          <w:noProof/>
          <w:sz w:val="22"/>
          <w:szCs w:val="22"/>
        </w:rPr>
        <w:t>.</w:t>
      </w:r>
    </w:p>
    <w:p w14:paraId="589D42F5" w14:textId="77777777" w:rsidR="00476463" w:rsidRPr="001E47AD" w:rsidRDefault="00476463" w:rsidP="00476463">
      <w:pPr>
        <w:spacing w:line="480" w:lineRule="auto"/>
        <w:ind w:left="720" w:hanging="720"/>
        <w:contextualSpacing/>
        <w:rPr>
          <w:sz w:val="22"/>
          <w:szCs w:val="22"/>
        </w:rPr>
      </w:pPr>
      <w:r w:rsidRPr="001E47AD">
        <w:rPr>
          <w:sz w:val="22"/>
          <w:szCs w:val="22"/>
        </w:rPr>
        <w:t xml:space="preserve">Berg, R. 2015. </w:t>
      </w:r>
      <w:r w:rsidRPr="001E47AD">
        <w:rPr>
          <w:i/>
          <w:sz w:val="22"/>
          <w:szCs w:val="22"/>
        </w:rPr>
        <w:t>Tropical Cyclone Report: Hurricane Arthur (AL012014), 1-5 July 2014.</w:t>
      </w:r>
      <w:r w:rsidRPr="001E47AD">
        <w:rPr>
          <w:sz w:val="22"/>
          <w:szCs w:val="22"/>
        </w:rPr>
        <w:t xml:space="preserve"> National Hurricane Center. Retrieved </w:t>
      </w:r>
      <w:r w:rsidRPr="001E47AD">
        <w:rPr>
          <w:noProof/>
          <w:sz w:val="22"/>
          <w:szCs w:val="22"/>
        </w:rPr>
        <w:t xml:space="preserve">February 1, 2018, </w:t>
      </w:r>
      <w:hyperlink r:id="rId31" w:history="1">
        <w:r w:rsidRPr="001E47AD">
          <w:rPr>
            <w:rStyle w:val="Hyperlink"/>
            <w:sz w:val="22"/>
            <w:szCs w:val="22"/>
          </w:rPr>
          <w:t>https://www.nhc.noaa.gov/data/tcr/AL012014_Arthur.pdf</w:t>
        </w:r>
      </w:hyperlink>
      <w:r w:rsidRPr="001E47AD">
        <w:rPr>
          <w:noProof/>
          <w:sz w:val="22"/>
          <w:szCs w:val="22"/>
        </w:rPr>
        <w:t>.</w:t>
      </w:r>
    </w:p>
    <w:p w14:paraId="241E9782" w14:textId="77777777" w:rsidR="00476463" w:rsidRPr="001E47AD" w:rsidRDefault="00476463" w:rsidP="00476463">
      <w:pPr>
        <w:spacing w:line="480" w:lineRule="auto"/>
        <w:ind w:left="720" w:hanging="720"/>
        <w:contextualSpacing/>
        <w:rPr>
          <w:sz w:val="22"/>
          <w:szCs w:val="22"/>
        </w:rPr>
      </w:pPr>
      <w:r w:rsidRPr="001E47AD">
        <w:rPr>
          <w:sz w:val="22"/>
          <w:szCs w:val="22"/>
        </w:rPr>
        <w:t>Blake, E. S., T. B. Kimberlain, R. J. Berg</w:t>
      </w:r>
      <w:r w:rsidRPr="001E47AD">
        <w:rPr>
          <w:sz w:val="22"/>
          <w:szCs w:val="22"/>
          <w:lang w:eastAsia="zh-CN"/>
        </w:rPr>
        <w:t>,</w:t>
      </w:r>
      <w:r w:rsidRPr="001E47AD">
        <w:rPr>
          <w:sz w:val="22"/>
          <w:szCs w:val="22"/>
        </w:rPr>
        <w:t xml:space="preserve"> J. P. Cangialosi</w:t>
      </w:r>
      <w:r w:rsidRPr="001E47AD">
        <w:rPr>
          <w:sz w:val="22"/>
          <w:szCs w:val="22"/>
          <w:lang w:eastAsia="zh-CN"/>
        </w:rPr>
        <w:t>,</w:t>
      </w:r>
      <w:r w:rsidRPr="001E47AD">
        <w:rPr>
          <w:sz w:val="22"/>
          <w:szCs w:val="22"/>
        </w:rPr>
        <w:t xml:space="preserve"> J. L. Beven II</w:t>
      </w:r>
      <w:r w:rsidRPr="001E47AD">
        <w:rPr>
          <w:sz w:val="22"/>
          <w:szCs w:val="22"/>
          <w:lang w:eastAsia="zh-CN"/>
        </w:rPr>
        <w:t xml:space="preserve">, </w:t>
      </w:r>
      <w:r w:rsidRPr="001E47AD">
        <w:rPr>
          <w:sz w:val="22"/>
          <w:szCs w:val="22"/>
        </w:rPr>
        <w:t xml:space="preserve">2013. </w:t>
      </w:r>
      <w:r w:rsidRPr="001E47AD">
        <w:rPr>
          <w:i/>
          <w:sz w:val="22"/>
          <w:szCs w:val="22"/>
        </w:rPr>
        <w:t>Tropical Cyclone Report: Hurricane Sandy (AL182012), 22</w:t>
      </w:r>
      <w:r w:rsidRPr="001E47AD">
        <w:rPr>
          <w:rStyle w:val="StyleTimesNewRoman12pt"/>
          <w:i/>
        </w:rPr>
        <w:t>-</w:t>
      </w:r>
      <w:r w:rsidRPr="001E47AD">
        <w:rPr>
          <w:i/>
          <w:sz w:val="22"/>
          <w:szCs w:val="22"/>
        </w:rPr>
        <w:t>29 October 2012.</w:t>
      </w:r>
      <w:r w:rsidRPr="001E47AD">
        <w:rPr>
          <w:sz w:val="22"/>
          <w:szCs w:val="22"/>
        </w:rPr>
        <w:t xml:space="preserve"> National Hurricane Center.</w:t>
      </w:r>
      <w:r w:rsidRPr="001E47AD">
        <w:rPr>
          <w:i/>
          <w:sz w:val="22"/>
          <w:szCs w:val="22"/>
        </w:rPr>
        <w:t xml:space="preserve"> </w:t>
      </w:r>
      <w:r w:rsidRPr="001E47AD">
        <w:rPr>
          <w:sz w:val="22"/>
          <w:szCs w:val="22"/>
        </w:rPr>
        <w:t xml:space="preserve">Retrieved </w:t>
      </w:r>
      <w:r w:rsidRPr="001E47AD">
        <w:rPr>
          <w:noProof/>
          <w:sz w:val="22"/>
          <w:szCs w:val="22"/>
        </w:rPr>
        <w:t xml:space="preserve">February 1, 2018, </w:t>
      </w:r>
      <w:hyperlink r:id="rId32" w:history="1">
        <w:r w:rsidRPr="001E47AD">
          <w:rPr>
            <w:rStyle w:val="Hyperlink"/>
            <w:sz w:val="22"/>
            <w:szCs w:val="22"/>
          </w:rPr>
          <w:t>https://www.nhc.noaa.gov/data/tcr/AL182012_Sandy.pdf</w:t>
        </w:r>
      </w:hyperlink>
      <w:r w:rsidRPr="001E47AD">
        <w:rPr>
          <w:noProof/>
          <w:sz w:val="22"/>
          <w:szCs w:val="22"/>
        </w:rPr>
        <w:t>.</w:t>
      </w:r>
    </w:p>
    <w:p w14:paraId="44A71C49"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Bleichrodt, H., U. Schmidt, H. Zank. 2009. Additive utility in prospect theory</w:t>
      </w:r>
      <w:r w:rsidRPr="001E47AD">
        <w:rPr>
          <w:sz w:val="22"/>
          <w:szCs w:val="22"/>
          <w:lang w:eastAsia="zh-CN"/>
        </w:rPr>
        <w:t>.</w:t>
      </w:r>
      <w:r w:rsidRPr="001E47AD">
        <w:rPr>
          <w:sz w:val="22"/>
          <w:szCs w:val="22"/>
        </w:rPr>
        <w:t xml:space="preserve"> </w:t>
      </w:r>
      <w:r w:rsidRPr="001E47AD">
        <w:rPr>
          <w:bCs/>
          <w:i/>
          <w:iCs/>
          <w:sz w:val="22"/>
          <w:szCs w:val="22"/>
        </w:rPr>
        <w:t>Management Science</w:t>
      </w:r>
      <w:r w:rsidRPr="001E47AD">
        <w:rPr>
          <w:sz w:val="22"/>
          <w:szCs w:val="22"/>
        </w:rPr>
        <w:t xml:space="preserve"> 55(5) 863-873.</w:t>
      </w:r>
    </w:p>
    <w:p w14:paraId="59F4EFFD"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Boudreau, J., W. Hopp, J. O. McClain, L. J. Thomas. 2003. On the interface between operations and human resources management. </w:t>
      </w:r>
      <w:r w:rsidRPr="001E47AD">
        <w:rPr>
          <w:bCs/>
          <w:i/>
          <w:iCs/>
          <w:sz w:val="22"/>
          <w:szCs w:val="22"/>
        </w:rPr>
        <w:t>Manufacturing &amp; Service Operations Management</w:t>
      </w:r>
      <w:r w:rsidRPr="001E47AD">
        <w:rPr>
          <w:sz w:val="22"/>
          <w:szCs w:val="22"/>
        </w:rPr>
        <w:t xml:space="preserve"> 5(3) 179-202.</w:t>
      </w:r>
    </w:p>
    <w:p w14:paraId="24A7A417"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Brock, T. C. 1968. </w:t>
      </w:r>
      <w:r w:rsidRPr="001E47AD">
        <w:rPr>
          <w:i/>
          <w:noProof/>
          <w:sz w:val="22"/>
          <w:szCs w:val="22"/>
        </w:rPr>
        <w:t>Implications</w:t>
      </w:r>
      <w:r w:rsidRPr="001E47AD">
        <w:rPr>
          <w:i/>
          <w:sz w:val="22"/>
          <w:szCs w:val="22"/>
        </w:rPr>
        <w:t xml:space="preserve"> of commodity theory for value </w:t>
      </w:r>
      <w:r w:rsidRPr="001E47AD">
        <w:rPr>
          <w:bCs/>
          <w:i/>
          <w:iCs/>
          <w:sz w:val="22"/>
          <w:szCs w:val="22"/>
        </w:rPr>
        <w:t>change.</w:t>
      </w:r>
      <w:r w:rsidRPr="001E47AD">
        <w:rPr>
          <w:sz w:val="22"/>
          <w:szCs w:val="22"/>
        </w:rPr>
        <w:t xml:space="preserve"> Academic Press, New York.</w:t>
      </w:r>
    </w:p>
    <w:p w14:paraId="4E4EBE67"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lastRenderedPageBreak/>
        <w:t xml:space="preserve">Brown, S. J., J. B. Warner. 1985. Using daily stock returns: The case of event studies. </w:t>
      </w:r>
      <w:r w:rsidRPr="001E47AD">
        <w:rPr>
          <w:bCs/>
          <w:i/>
          <w:iCs/>
          <w:sz w:val="22"/>
          <w:szCs w:val="22"/>
        </w:rPr>
        <w:t>Journal of Financial Economics</w:t>
      </w:r>
      <w:r w:rsidRPr="001E47AD">
        <w:rPr>
          <w:sz w:val="22"/>
          <w:szCs w:val="22"/>
        </w:rPr>
        <w:t xml:space="preserve"> 14(1) 3-31.</w:t>
      </w:r>
    </w:p>
    <w:p w14:paraId="3DEB4A2A"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Bustos-Reyes, C. A., Ó. González-Benito. 2008. Store and store format loyalty measures based on </w:t>
      </w:r>
      <w:r w:rsidRPr="001E47AD">
        <w:rPr>
          <w:noProof/>
          <w:sz w:val="22"/>
          <w:szCs w:val="22"/>
        </w:rPr>
        <w:t>budget</w:t>
      </w:r>
      <w:r w:rsidRPr="001E47AD">
        <w:rPr>
          <w:sz w:val="22"/>
          <w:szCs w:val="22"/>
        </w:rPr>
        <w:t xml:space="preserve"> allocation. </w:t>
      </w:r>
      <w:r w:rsidRPr="001E47AD">
        <w:rPr>
          <w:bCs/>
          <w:i/>
          <w:iCs/>
          <w:sz w:val="22"/>
          <w:szCs w:val="22"/>
        </w:rPr>
        <w:t>Journal of Business Research</w:t>
      </w:r>
      <w:r w:rsidRPr="001E47AD">
        <w:rPr>
          <w:sz w:val="22"/>
          <w:szCs w:val="22"/>
        </w:rPr>
        <w:t xml:space="preserve"> 61(9) 1015-1025.</w:t>
      </w:r>
    </w:p>
    <w:p w14:paraId="0688F172"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Cachon, G. P., M. Olivares, 2010. </w:t>
      </w:r>
      <w:r w:rsidRPr="001E47AD">
        <w:rPr>
          <w:noProof/>
          <w:sz w:val="22"/>
          <w:szCs w:val="22"/>
        </w:rPr>
        <w:t>Drivers</w:t>
      </w:r>
      <w:r w:rsidRPr="001E47AD">
        <w:rPr>
          <w:sz w:val="22"/>
          <w:szCs w:val="22"/>
        </w:rPr>
        <w:t xml:space="preserve"> of finished-goods inventory in the U.S. automobile industry</w:t>
      </w:r>
      <w:r w:rsidRPr="001E47AD">
        <w:rPr>
          <w:sz w:val="22"/>
          <w:szCs w:val="22"/>
          <w:lang w:eastAsia="zh-CN"/>
        </w:rPr>
        <w:t>.</w:t>
      </w:r>
      <w:r w:rsidRPr="001E47AD">
        <w:rPr>
          <w:sz w:val="22"/>
          <w:szCs w:val="22"/>
        </w:rPr>
        <w:t xml:space="preserve"> </w:t>
      </w:r>
      <w:r w:rsidRPr="001E47AD">
        <w:rPr>
          <w:bCs/>
          <w:i/>
          <w:iCs/>
          <w:sz w:val="22"/>
          <w:szCs w:val="22"/>
        </w:rPr>
        <w:t>Management Science</w:t>
      </w:r>
      <w:r w:rsidRPr="001E47AD">
        <w:rPr>
          <w:sz w:val="22"/>
          <w:szCs w:val="22"/>
        </w:rPr>
        <w:t xml:space="preserve"> 56(1) 202-216.</w:t>
      </w:r>
    </w:p>
    <w:p w14:paraId="4EA36121"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Cangialosi, J. P., C. W. Landsea. 2016. </w:t>
      </w:r>
      <w:r w:rsidRPr="001E47AD">
        <w:rPr>
          <w:noProof/>
          <w:sz w:val="22"/>
          <w:szCs w:val="22"/>
        </w:rPr>
        <w:t>An examination</w:t>
      </w:r>
      <w:r w:rsidRPr="001E47AD">
        <w:rPr>
          <w:sz w:val="22"/>
          <w:szCs w:val="22"/>
        </w:rPr>
        <w:t xml:space="preserve"> of </w:t>
      </w:r>
      <w:r w:rsidRPr="001E47AD">
        <w:rPr>
          <w:noProof/>
          <w:sz w:val="22"/>
          <w:szCs w:val="22"/>
        </w:rPr>
        <w:t>model</w:t>
      </w:r>
      <w:r w:rsidRPr="001E47AD">
        <w:rPr>
          <w:sz w:val="22"/>
          <w:szCs w:val="22"/>
        </w:rPr>
        <w:t xml:space="preserve"> and official national hurricane center tropical cyclone size forecasts. </w:t>
      </w:r>
      <w:r w:rsidRPr="001E47AD">
        <w:rPr>
          <w:bCs/>
          <w:i/>
          <w:iCs/>
          <w:sz w:val="22"/>
          <w:szCs w:val="22"/>
        </w:rPr>
        <w:t>Weather and Forecasting</w:t>
      </w:r>
      <w:r w:rsidRPr="001E47AD">
        <w:rPr>
          <w:sz w:val="22"/>
          <w:szCs w:val="22"/>
        </w:rPr>
        <w:t xml:space="preserve"> 31(4) 1293-1300.</w:t>
      </w:r>
    </w:p>
    <w:p w14:paraId="6CD20A19"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Carrasco, C. A., C. W. Landsea, Y.-L. Lin. 2014. The influence of tropical cyclone size on its intensification. </w:t>
      </w:r>
      <w:r w:rsidRPr="001E47AD">
        <w:rPr>
          <w:bCs/>
          <w:i/>
          <w:iCs/>
          <w:sz w:val="22"/>
          <w:szCs w:val="22"/>
        </w:rPr>
        <w:t>Weather and Forecasting</w:t>
      </w:r>
      <w:r w:rsidRPr="001E47AD">
        <w:rPr>
          <w:sz w:val="22"/>
          <w:szCs w:val="22"/>
        </w:rPr>
        <w:t xml:space="preserve"> 29(3) 582-590.</w:t>
      </w:r>
    </w:p>
    <w:p w14:paraId="50DA5C7D"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lang w:val="fr-LU"/>
        </w:rPr>
        <w:t xml:space="preserve">Cavallo, A., E. Cavallo, R. Rigobon. </w:t>
      </w:r>
      <w:r w:rsidRPr="001E47AD">
        <w:rPr>
          <w:sz w:val="22"/>
          <w:szCs w:val="22"/>
        </w:rPr>
        <w:t xml:space="preserve">2014. Prices and supply disruptions during natural disasters. </w:t>
      </w:r>
      <w:r w:rsidRPr="001E47AD">
        <w:rPr>
          <w:bCs/>
          <w:i/>
          <w:iCs/>
          <w:sz w:val="22"/>
          <w:szCs w:val="22"/>
        </w:rPr>
        <w:t>Review of Income and Wealth</w:t>
      </w:r>
      <w:r w:rsidRPr="001E47AD">
        <w:rPr>
          <w:sz w:val="22"/>
          <w:szCs w:val="22"/>
        </w:rPr>
        <w:t xml:space="preserve"> 60(S2) S449-S471.</w:t>
      </w:r>
    </w:p>
    <w:p w14:paraId="641B078B"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sz w:val="22"/>
          <w:szCs w:val="22"/>
        </w:rPr>
        <w:t>Chen, L., E. L. Plambeck. 2008. Dynamic inventory management with learning about the demand distribution and substitution probability</w:t>
      </w:r>
      <w:r w:rsidRPr="001E47AD">
        <w:rPr>
          <w:sz w:val="22"/>
          <w:szCs w:val="22"/>
          <w:lang w:eastAsia="zh-CN"/>
        </w:rPr>
        <w:t>.</w:t>
      </w:r>
      <w:r w:rsidRPr="001E47AD">
        <w:rPr>
          <w:sz w:val="22"/>
          <w:szCs w:val="22"/>
        </w:rPr>
        <w:t xml:space="preserve"> </w:t>
      </w:r>
      <w:r w:rsidRPr="001E47AD">
        <w:rPr>
          <w:bCs/>
          <w:i/>
          <w:iCs/>
          <w:sz w:val="22"/>
          <w:szCs w:val="22"/>
        </w:rPr>
        <w:t>Manufacturing &amp; Service Operations Management</w:t>
      </w:r>
      <w:r w:rsidRPr="001E47AD">
        <w:rPr>
          <w:sz w:val="22"/>
          <w:szCs w:val="22"/>
        </w:rPr>
        <w:t xml:space="preserve"> 10(2) 236-256.</w:t>
      </w:r>
    </w:p>
    <w:p w14:paraId="7BFD3B0E"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Croson, R., K. Schultz, E. Siemsen, M. L. Yeo. 2013. Behavioral operations: The state of the field. </w:t>
      </w:r>
      <w:r w:rsidRPr="001E47AD">
        <w:rPr>
          <w:bCs/>
          <w:i/>
          <w:iCs/>
          <w:sz w:val="22"/>
          <w:szCs w:val="22"/>
        </w:rPr>
        <w:t>Journal of Operations Management</w:t>
      </w:r>
      <w:r w:rsidRPr="001E47AD">
        <w:rPr>
          <w:sz w:val="22"/>
          <w:szCs w:val="22"/>
        </w:rPr>
        <w:t xml:space="preserve"> 31(1-2) 1-5.</w:t>
      </w:r>
    </w:p>
    <w:p w14:paraId="3CCF86F1" w14:textId="77777777" w:rsidR="00476463" w:rsidRPr="001E47AD" w:rsidRDefault="00476463" w:rsidP="00476463">
      <w:pPr>
        <w:spacing w:line="480" w:lineRule="auto"/>
        <w:ind w:left="720" w:hanging="720"/>
        <w:contextualSpacing/>
        <w:rPr>
          <w:noProof/>
          <w:sz w:val="22"/>
          <w:szCs w:val="22"/>
          <w:lang w:eastAsia="zh-CN"/>
        </w:rPr>
      </w:pPr>
      <w:r w:rsidRPr="001E47AD">
        <w:rPr>
          <w:noProof/>
          <w:sz w:val="22"/>
          <w:szCs w:val="22"/>
        </w:rPr>
        <w:t>CSIMarket Company</w:t>
      </w:r>
      <w:r w:rsidRPr="001E47AD">
        <w:rPr>
          <w:noProof/>
          <w:sz w:val="22"/>
          <w:szCs w:val="22"/>
          <w:lang w:eastAsia="zh-CN"/>
        </w:rPr>
        <w:t xml:space="preserve">. 2012. </w:t>
      </w:r>
      <w:r w:rsidRPr="001E47AD">
        <w:rPr>
          <w:noProof/>
          <w:sz w:val="22"/>
          <w:szCs w:val="22"/>
        </w:rPr>
        <w:t xml:space="preserve">Target Inventory Turnover Ratio (COS). </w:t>
      </w:r>
      <w:r w:rsidRPr="001E47AD">
        <w:rPr>
          <w:sz w:val="22"/>
          <w:szCs w:val="22"/>
        </w:rPr>
        <w:t xml:space="preserve">Retrieved </w:t>
      </w:r>
      <w:r w:rsidRPr="001E47AD">
        <w:rPr>
          <w:noProof/>
          <w:sz w:val="22"/>
          <w:szCs w:val="22"/>
        </w:rPr>
        <w:t xml:space="preserve">February 1, 2018, </w:t>
      </w:r>
      <w:hyperlink r:id="rId33" w:history="1">
        <w:r w:rsidRPr="001E47AD">
          <w:rPr>
            <w:rStyle w:val="Hyperlink"/>
            <w:noProof/>
            <w:sz w:val="22"/>
            <w:szCs w:val="22"/>
            <w:lang w:eastAsia="zh-CN"/>
          </w:rPr>
          <w:t>https://csimarket.com/stocks/singleEfficiencyit.php?code=TGT&amp;hist=25</w:t>
        </w:r>
      </w:hyperlink>
      <w:r w:rsidRPr="001E47AD">
        <w:rPr>
          <w:noProof/>
          <w:sz w:val="22"/>
          <w:szCs w:val="22"/>
          <w:lang w:eastAsia="zh-CN"/>
        </w:rPr>
        <w:t xml:space="preserve">. </w:t>
      </w:r>
    </w:p>
    <w:p w14:paraId="007892F6" w14:textId="77777777" w:rsidR="00476463" w:rsidRPr="001E47AD" w:rsidRDefault="00476463" w:rsidP="00476463">
      <w:pPr>
        <w:spacing w:line="480" w:lineRule="auto"/>
        <w:ind w:left="720" w:hanging="720"/>
        <w:contextualSpacing/>
        <w:rPr>
          <w:noProof/>
          <w:sz w:val="22"/>
          <w:szCs w:val="22"/>
          <w:lang w:eastAsia="zh-CN"/>
        </w:rPr>
      </w:pPr>
      <w:r w:rsidRPr="001E47AD">
        <w:rPr>
          <w:noProof/>
          <w:sz w:val="22"/>
          <w:szCs w:val="22"/>
        </w:rPr>
        <w:t>CSIMarket Company</w:t>
      </w:r>
      <w:r w:rsidRPr="001E47AD">
        <w:rPr>
          <w:noProof/>
          <w:sz w:val="22"/>
          <w:szCs w:val="22"/>
          <w:lang w:eastAsia="zh-CN"/>
        </w:rPr>
        <w:t xml:space="preserve">. 2012. </w:t>
      </w:r>
      <w:r w:rsidRPr="001E47AD">
        <w:rPr>
          <w:noProof/>
          <w:sz w:val="22"/>
          <w:szCs w:val="22"/>
        </w:rPr>
        <w:t xml:space="preserve">Kroger Co Inventory Turnover Ratio (COS). </w:t>
      </w:r>
      <w:r w:rsidRPr="001E47AD">
        <w:rPr>
          <w:sz w:val="22"/>
          <w:szCs w:val="22"/>
        </w:rPr>
        <w:t xml:space="preserve">Retrieved </w:t>
      </w:r>
      <w:r w:rsidRPr="001E47AD">
        <w:rPr>
          <w:noProof/>
          <w:sz w:val="22"/>
          <w:szCs w:val="22"/>
        </w:rPr>
        <w:t xml:space="preserve">February 1, 2018, </w:t>
      </w:r>
      <w:hyperlink r:id="rId34" w:history="1">
        <w:r w:rsidRPr="001E47AD">
          <w:rPr>
            <w:rStyle w:val="Hyperlink"/>
            <w:noProof/>
            <w:sz w:val="22"/>
            <w:szCs w:val="22"/>
            <w:lang w:eastAsia="zh-CN"/>
          </w:rPr>
          <w:t>https://csimarket.com/stocks/singleEfficiencyit.php?code=KR&amp;hist=25</w:t>
        </w:r>
      </w:hyperlink>
      <w:r w:rsidRPr="001E47AD">
        <w:rPr>
          <w:noProof/>
          <w:sz w:val="22"/>
          <w:szCs w:val="22"/>
          <w:lang w:eastAsia="zh-CN"/>
        </w:rPr>
        <w:t xml:space="preserve">. </w:t>
      </w:r>
    </w:p>
    <w:p w14:paraId="2CAA9ED1" w14:textId="77777777" w:rsidR="00476463" w:rsidRPr="001E47AD" w:rsidRDefault="00476463" w:rsidP="00476463">
      <w:pPr>
        <w:spacing w:line="480" w:lineRule="auto"/>
        <w:ind w:left="720" w:hanging="720"/>
        <w:contextualSpacing/>
        <w:rPr>
          <w:noProof/>
          <w:sz w:val="22"/>
          <w:szCs w:val="22"/>
          <w:lang w:eastAsia="zh-CN"/>
        </w:rPr>
      </w:pPr>
      <w:r w:rsidRPr="001E47AD">
        <w:rPr>
          <w:noProof/>
          <w:sz w:val="22"/>
          <w:szCs w:val="22"/>
        </w:rPr>
        <w:t>CSIMarket Company</w:t>
      </w:r>
      <w:r w:rsidRPr="001E47AD">
        <w:rPr>
          <w:noProof/>
          <w:sz w:val="22"/>
          <w:szCs w:val="22"/>
          <w:lang w:eastAsia="zh-CN"/>
        </w:rPr>
        <w:t xml:space="preserve">. 2012. </w:t>
      </w:r>
      <w:r w:rsidRPr="001E47AD">
        <w:rPr>
          <w:noProof/>
          <w:sz w:val="22"/>
          <w:szCs w:val="22"/>
        </w:rPr>
        <w:t xml:space="preserve">Costco Wholesale Inventory Turnover Ratio (COS). </w:t>
      </w:r>
      <w:r w:rsidRPr="001E47AD">
        <w:rPr>
          <w:sz w:val="22"/>
          <w:szCs w:val="22"/>
        </w:rPr>
        <w:t xml:space="preserve">Retrieved </w:t>
      </w:r>
      <w:r w:rsidRPr="001E47AD">
        <w:rPr>
          <w:noProof/>
          <w:sz w:val="22"/>
          <w:szCs w:val="22"/>
        </w:rPr>
        <w:t xml:space="preserve">February 1, 2018, </w:t>
      </w:r>
      <w:hyperlink r:id="rId35" w:history="1">
        <w:r w:rsidRPr="001E47AD">
          <w:rPr>
            <w:rStyle w:val="Hyperlink"/>
            <w:noProof/>
            <w:sz w:val="22"/>
            <w:szCs w:val="22"/>
            <w:lang w:eastAsia="zh-CN"/>
          </w:rPr>
          <w:t>https://csimarket.com/stocks/singleEfficiencyit.php?code=COST&amp;hist=25</w:t>
        </w:r>
      </w:hyperlink>
      <w:r w:rsidRPr="001E47AD">
        <w:rPr>
          <w:noProof/>
          <w:sz w:val="22"/>
          <w:szCs w:val="22"/>
          <w:lang w:eastAsia="zh-CN"/>
        </w:rPr>
        <w:t xml:space="preserve">. </w:t>
      </w:r>
    </w:p>
    <w:p w14:paraId="289B7B4A" w14:textId="77777777" w:rsidR="00476463" w:rsidRPr="001E47AD" w:rsidRDefault="00476463" w:rsidP="00476463">
      <w:pPr>
        <w:spacing w:line="480" w:lineRule="auto"/>
        <w:ind w:left="720" w:hanging="720"/>
        <w:contextualSpacing/>
        <w:rPr>
          <w:noProof/>
          <w:sz w:val="22"/>
          <w:szCs w:val="22"/>
          <w:lang w:eastAsia="zh-CN"/>
        </w:rPr>
      </w:pPr>
      <w:r w:rsidRPr="001E47AD">
        <w:rPr>
          <w:noProof/>
          <w:sz w:val="22"/>
          <w:szCs w:val="22"/>
        </w:rPr>
        <w:t>CSIMarket Company</w:t>
      </w:r>
      <w:r w:rsidRPr="001E47AD">
        <w:rPr>
          <w:noProof/>
          <w:sz w:val="22"/>
          <w:szCs w:val="22"/>
          <w:lang w:eastAsia="zh-CN"/>
        </w:rPr>
        <w:t xml:space="preserve">. 2012. </w:t>
      </w:r>
      <w:r w:rsidRPr="001E47AD">
        <w:rPr>
          <w:noProof/>
          <w:sz w:val="22"/>
          <w:szCs w:val="22"/>
        </w:rPr>
        <w:t>Dollar Tree Inc Inventory Turnover Ratio (COS).</w:t>
      </w:r>
      <w:r w:rsidRPr="001E47AD">
        <w:rPr>
          <w:noProof/>
          <w:sz w:val="22"/>
          <w:szCs w:val="22"/>
          <w:lang w:eastAsia="zh-CN"/>
        </w:rPr>
        <w:t xml:space="preserve"> </w:t>
      </w:r>
      <w:r w:rsidRPr="001E47AD">
        <w:rPr>
          <w:sz w:val="22"/>
          <w:szCs w:val="22"/>
        </w:rPr>
        <w:t xml:space="preserve">Retrieved </w:t>
      </w:r>
      <w:r w:rsidRPr="001E47AD">
        <w:rPr>
          <w:noProof/>
          <w:sz w:val="22"/>
          <w:szCs w:val="22"/>
        </w:rPr>
        <w:t xml:space="preserve">February 1, 2018, </w:t>
      </w:r>
      <w:hyperlink r:id="rId36" w:history="1">
        <w:r w:rsidRPr="001E47AD">
          <w:rPr>
            <w:rStyle w:val="Hyperlink"/>
            <w:noProof/>
            <w:sz w:val="22"/>
            <w:szCs w:val="22"/>
            <w:lang w:eastAsia="zh-CN"/>
          </w:rPr>
          <w:t>https://csimarket.com/stocks/singleEfficiencyit.php?code=DLTR&amp;hist=25</w:t>
        </w:r>
      </w:hyperlink>
      <w:r w:rsidRPr="001E47AD">
        <w:rPr>
          <w:noProof/>
          <w:sz w:val="22"/>
          <w:szCs w:val="22"/>
          <w:lang w:eastAsia="zh-CN"/>
        </w:rPr>
        <w:t xml:space="preserve">. </w:t>
      </w:r>
    </w:p>
    <w:p w14:paraId="6FD5902C" w14:textId="77777777" w:rsidR="00476463" w:rsidRPr="001E47AD" w:rsidRDefault="00476463" w:rsidP="00476463">
      <w:pPr>
        <w:spacing w:line="480" w:lineRule="auto"/>
        <w:ind w:left="720" w:hanging="720"/>
        <w:contextualSpacing/>
        <w:rPr>
          <w:sz w:val="22"/>
          <w:szCs w:val="22"/>
          <w:lang w:eastAsia="zh-CN"/>
        </w:rPr>
      </w:pPr>
      <w:r w:rsidRPr="001E47AD">
        <w:rPr>
          <w:rFonts w:hint="eastAsia"/>
          <w:noProof/>
          <w:sz w:val="22"/>
          <w:szCs w:val="22"/>
          <w:lang w:val="fr-LU" w:eastAsia="zh-CN"/>
        </w:rPr>
        <w:lastRenderedPageBreak/>
        <w:t xml:space="preserve">Davis, L. B., F. Samanlioglu, X. Qu, S. Root. 2013. </w:t>
      </w:r>
      <w:r w:rsidRPr="001E47AD">
        <w:rPr>
          <w:rFonts w:hint="eastAsia"/>
          <w:noProof/>
          <w:sz w:val="22"/>
          <w:szCs w:val="22"/>
          <w:lang w:eastAsia="zh-CN"/>
        </w:rPr>
        <w:t xml:space="preserve">Inventory planning and coordination in disaster relief efforts. </w:t>
      </w:r>
      <w:r w:rsidRPr="001E47AD">
        <w:rPr>
          <w:rFonts w:hint="eastAsia"/>
          <w:i/>
          <w:noProof/>
          <w:sz w:val="22"/>
          <w:szCs w:val="22"/>
          <w:lang w:eastAsia="zh-CN"/>
        </w:rPr>
        <w:t>International Journal of Production Economics</w:t>
      </w:r>
      <w:r w:rsidRPr="001E47AD">
        <w:rPr>
          <w:rFonts w:hint="eastAsia"/>
          <w:noProof/>
          <w:sz w:val="22"/>
          <w:szCs w:val="22"/>
          <w:lang w:eastAsia="zh-CN"/>
        </w:rPr>
        <w:t xml:space="preserve"> 141(3) 561</w:t>
      </w:r>
      <w:r w:rsidRPr="001E47AD">
        <w:rPr>
          <w:sz w:val="22"/>
          <w:szCs w:val="22"/>
        </w:rPr>
        <w:t>-</w:t>
      </w:r>
      <w:r w:rsidRPr="001E47AD">
        <w:rPr>
          <w:rFonts w:hint="eastAsia"/>
          <w:noProof/>
          <w:sz w:val="22"/>
          <w:szCs w:val="22"/>
          <w:lang w:eastAsia="zh-CN"/>
        </w:rPr>
        <w:t>573.</w:t>
      </w:r>
    </w:p>
    <w:p w14:paraId="6F08D8B6"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Demuth, J. L., M. DeMaria, J. A. Knaff. 2006. </w:t>
      </w:r>
      <w:r w:rsidRPr="001E47AD">
        <w:rPr>
          <w:noProof/>
          <w:sz w:val="22"/>
          <w:szCs w:val="22"/>
        </w:rPr>
        <w:t>Improvement</w:t>
      </w:r>
      <w:r w:rsidRPr="001E47AD">
        <w:rPr>
          <w:sz w:val="22"/>
          <w:szCs w:val="22"/>
        </w:rPr>
        <w:t xml:space="preserve"> of advanced microwave sounding unit tropical cyclone intensity and size estimation algorithms. </w:t>
      </w:r>
      <w:r w:rsidRPr="001E47AD">
        <w:rPr>
          <w:bCs/>
          <w:i/>
          <w:iCs/>
          <w:sz w:val="22"/>
          <w:szCs w:val="22"/>
        </w:rPr>
        <w:t>Journal of Applied Meteorology and Climatology</w:t>
      </w:r>
      <w:r w:rsidRPr="001E47AD">
        <w:rPr>
          <w:sz w:val="22"/>
          <w:szCs w:val="22"/>
        </w:rPr>
        <w:t xml:space="preserve"> 45(11) 1573-1581.</w:t>
      </w:r>
    </w:p>
    <w:p w14:paraId="416EB5EE"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rFonts w:eastAsia="Times New Roman"/>
          <w:color w:val="000000"/>
          <w:sz w:val="22"/>
          <w:szCs w:val="22"/>
          <w:lang w:val="en-CA" w:eastAsia="zh-CN"/>
        </w:rPr>
        <w:t xml:space="preserve">Dieter, C.A., M. A. Maupin, R. R. Caldwell, M.A. Harris, T. I. Ivahnenko, J. K. Lovelace, N. L. Barber, K. S. Linsey. 2018. </w:t>
      </w:r>
      <w:r w:rsidRPr="001E47AD">
        <w:rPr>
          <w:rFonts w:eastAsia="Times New Roman"/>
          <w:iCs/>
          <w:color w:val="000000"/>
          <w:sz w:val="22"/>
          <w:szCs w:val="22"/>
          <w:lang w:val="en-CA" w:eastAsia="zh-CN"/>
        </w:rPr>
        <w:t xml:space="preserve">Estimated use of water in the United States in 2015. </w:t>
      </w:r>
      <w:r w:rsidRPr="001E47AD">
        <w:rPr>
          <w:rFonts w:eastAsia="Times New Roman"/>
          <w:i/>
          <w:color w:val="000000"/>
          <w:sz w:val="22"/>
          <w:szCs w:val="22"/>
          <w:lang w:val="en-CA" w:eastAsia="zh-CN"/>
        </w:rPr>
        <w:t>U.S. Geological Survey Circular</w:t>
      </w:r>
      <w:r w:rsidRPr="001E47AD">
        <w:rPr>
          <w:rFonts w:eastAsia="Times New Roman"/>
          <w:color w:val="000000"/>
          <w:sz w:val="22"/>
          <w:szCs w:val="22"/>
          <w:lang w:val="en-CA" w:eastAsia="zh-CN"/>
        </w:rPr>
        <w:t xml:space="preserve"> 1441.</w:t>
      </w:r>
    </w:p>
    <w:p w14:paraId="4F463005"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Dunning, T. 2012. </w:t>
      </w:r>
      <w:r w:rsidRPr="001E47AD">
        <w:rPr>
          <w:i/>
          <w:sz w:val="22"/>
          <w:szCs w:val="22"/>
        </w:rPr>
        <w:t xml:space="preserve">Natural experiments in the social sciences: a design-based </w:t>
      </w:r>
      <w:r w:rsidRPr="001E47AD">
        <w:rPr>
          <w:bCs/>
          <w:i/>
          <w:iCs/>
          <w:sz w:val="22"/>
          <w:szCs w:val="22"/>
        </w:rPr>
        <w:t>approach.</w:t>
      </w:r>
      <w:r w:rsidRPr="001E47AD">
        <w:rPr>
          <w:sz w:val="22"/>
          <w:szCs w:val="22"/>
        </w:rPr>
        <w:t xml:space="preserve"> Cambridge University Press, Cambridge.</w:t>
      </w:r>
    </w:p>
    <w:p w14:paraId="52AD115F" w14:textId="77777777" w:rsidR="00476463" w:rsidRPr="001E47AD" w:rsidRDefault="00476463" w:rsidP="00476463">
      <w:pPr>
        <w:autoSpaceDE w:val="0"/>
        <w:autoSpaceDN w:val="0"/>
        <w:adjustRightInd w:val="0"/>
        <w:spacing w:line="480" w:lineRule="auto"/>
        <w:ind w:left="720" w:hanging="720"/>
        <w:contextualSpacing/>
        <w:rPr>
          <w:noProof/>
          <w:sz w:val="22"/>
          <w:szCs w:val="22"/>
        </w:rPr>
      </w:pPr>
      <w:bookmarkStart w:id="76" w:name="_Hlk33691916"/>
      <w:r w:rsidRPr="001E47AD">
        <w:rPr>
          <w:noProof/>
          <w:sz w:val="22"/>
          <w:szCs w:val="22"/>
        </w:rPr>
        <w:t xml:space="preserve">FEMA. 2018a. 2017 hurricane season FEMA after-action report. Retrieved Feburary 20, 2020, </w:t>
      </w:r>
      <w:hyperlink r:id="rId37" w:history="1">
        <w:r w:rsidRPr="001E47AD">
          <w:rPr>
            <w:rStyle w:val="Hyperlink"/>
            <w:noProof/>
            <w:sz w:val="22"/>
            <w:szCs w:val="22"/>
          </w:rPr>
          <w:t>https://www.fema.gov/media-library/assets/documents/167249</w:t>
        </w:r>
      </w:hyperlink>
      <w:r w:rsidRPr="001E47AD">
        <w:rPr>
          <w:noProof/>
          <w:sz w:val="22"/>
          <w:szCs w:val="22"/>
        </w:rPr>
        <w:t xml:space="preserve">. </w:t>
      </w:r>
      <w:bookmarkEnd w:id="76"/>
    </w:p>
    <w:p w14:paraId="588B72B3" w14:textId="77777777" w:rsidR="0056592D" w:rsidRDefault="00476463" w:rsidP="0056592D">
      <w:pPr>
        <w:autoSpaceDE w:val="0"/>
        <w:autoSpaceDN w:val="0"/>
        <w:adjustRightInd w:val="0"/>
        <w:spacing w:line="480" w:lineRule="auto"/>
        <w:ind w:left="720" w:hanging="720"/>
        <w:contextualSpacing/>
        <w:rPr>
          <w:noProof/>
          <w:sz w:val="22"/>
          <w:szCs w:val="22"/>
        </w:rPr>
      </w:pPr>
      <w:r w:rsidRPr="001E47AD">
        <w:rPr>
          <w:noProof/>
          <w:sz w:val="22"/>
          <w:szCs w:val="22"/>
        </w:rPr>
        <w:t xml:space="preserve">FEMA. 2018b. </w:t>
      </w:r>
      <w:r w:rsidRPr="001E47AD">
        <w:rPr>
          <w:sz w:val="22"/>
          <w:szCs w:val="22"/>
          <w:shd w:val="clear" w:color="auto" w:fill="FFFFFF"/>
        </w:rPr>
        <w:t>Proper emergency kit essential to hurricane preparedness.</w:t>
      </w:r>
      <w:r w:rsidRPr="001E47AD">
        <w:rPr>
          <w:rFonts w:ascii="inherit" w:hAnsi="inherit"/>
          <w:sz w:val="51"/>
          <w:szCs w:val="51"/>
          <w:shd w:val="clear" w:color="auto" w:fill="FFFFFF"/>
        </w:rPr>
        <w:t xml:space="preserve"> </w:t>
      </w:r>
      <w:r w:rsidRPr="001E47AD">
        <w:rPr>
          <w:noProof/>
          <w:sz w:val="22"/>
          <w:szCs w:val="22"/>
        </w:rPr>
        <w:t xml:space="preserve">Retrieved Feburary 20, 2020, </w:t>
      </w:r>
      <w:hyperlink r:id="rId38" w:history="1">
        <w:r w:rsidRPr="001E47AD">
          <w:rPr>
            <w:rStyle w:val="Hyperlink"/>
            <w:noProof/>
            <w:sz w:val="22"/>
            <w:szCs w:val="22"/>
          </w:rPr>
          <w:t>https://www.fema.gov/news-release/2018/08/16/proper-emergency-kit-essential-hurricane-preparedness#</w:t>
        </w:r>
      </w:hyperlink>
      <w:r w:rsidRPr="001E47AD">
        <w:rPr>
          <w:noProof/>
          <w:sz w:val="22"/>
          <w:szCs w:val="22"/>
        </w:rPr>
        <w:t xml:space="preserve">. </w:t>
      </w:r>
    </w:p>
    <w:p w14:paraId="5A7EC484" w14:textId="10639D05" w:rsidR="00476463" w:rsidRPr="001E47AD" w:rsidRDefault="00476463" w:rsidP="0056592D">
      <w:pPr>
        <w:autoSpaceDE w:val="0"/>
        <w:autoSpaceDN w:val="0"/>
        <w:adjustRightInd w:val="0"/>
        <w:spacing w:line="480" w:lineRule="auto"/>
        <w:ind w:left="720" w:hanging="720"/>
        <w:contextualSpacing/>
        <w:rPr>
          <w:sz w:val="22"/>
          <w:szCs w:val="22"/>
        </w:rPr>
      </w:pPr>
      <w:bookmarkStart w:id="77" w:name="_GoBack"/>
      <w:bookmarkEnd w:id="77"/>
      <w:r w:rsidRPr="001E47AD">
        <w:rPr>
          <w:sz w:val="22"/>
          <w:szCs w:val="22"/>
        </w:rPr>
        <w:t xml:space="preserve">Fothergill, A., L. A. Peek. 2004. Poverty and disasters in the United States: A review of recent sociological findings. </w:t>
      </w:r>
      <w:r w:rsidRPr="001E47AD">
        <w:rPr>
          <w:bCs/>
          <w:i/>
          <w:iCs/>
          <w:sz w:val="22"/>
          <w:szCs w:val="22"/>
        </w:rPr>
        <w:t>Natural Hazards</w:t>
      </w:r>
      <w:r w:rsidRPr="001E47AD">
        <w:rPr>
          <w:sz w:val="22"/>
          <w:szCs w:val="22"/>
        </w:rPr>
        <w:t xml:space="preserve"> 32(1) 89-110.</w:t>
      </w:r>
    </w:p>
    <w:p w14:paraId="4C45F0C4" w14:textId="77777777" w:rsidR="00476463" w:rsidRPr="001E47AD" w:rsidRDefault="00476463" w:rsidP="00476463">
      <w:pPr>
        <w:spacing w:line="480" w:lineRule="auto"/>
        <w:ind w:left="720" w:hanging="720"/>
        <w:contextualSpacing/>
        <w:rPr>
          <w:sz w:val="22"/>
          <w:szCs w:val="22"/>
        </w:rPr>
      </w:pPr>
      <w:r w:rsidRPr="001E47AD">
        <w:rPr>
          <w:sz w:val="22"/>
          <w:szCs w:val="22"/>
        </w:rPr>
        <w:t>Galino, S., A. Moreno, L. Stamatopoulos.</w:t>
      </w:r>
      <w:r w:rsidRPr="001E47AD">
        <w:rPr>
          <w:rFonts w:hint="eastAsia"/>
          <w:sz w:val="22"/>
          <w:szCs w:val="22"/>
        </w:rPr>
        <w:t xml:space="preserve"> </w:t>
      </w:r>
      <w:r w:rsidRPr="001E47AD">
        <w:rPr>
          <w:sz w:val="22"/>
          <w:szCs w:val="22"/>
        </w:rPr>
        <w:t xml:space="preserve">2016. Channel integration, sales dispersion, and inventory management. </w:t>
      </w:r>
      <w:r w:rsidRPr="001E47AD">
        <w:rPr>
          <w:i/>
          <w:sz w:val="22"/>
          <w:szCs w:val="22"/>
        </w:rPr>
        <w:t>Management Science</w:t>
      </w:r>
      <w:r w:rsidRPr="001E47AD">
        <w:rPr>
          <w:sz w:val="22"/>
          <w:szCs w:val="22"/>
        </w:rPr>
        <w:t xml:space="preserve"> 63(9) 2813-2831.</w:t>
      </w:r>
    </w:p>
    <w:p w14:paraId="32326FDD"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Gaur, V., M. L. Fisher, A. Raman. 2005. </w:t>
      </w:r>
      <w:r w:rsidRPr="001E47AD">
        <w:rPr>
          <w:noProof/>
          <w:sz w:val="22"/>
          <w:szCs w:val="22"/>
        </w:rPr>
        <w:t>An econometric analysis</w:t>
      </w:r>
      <w:r w:rsidRPr="001E47AD">
        <w:rPr>
          <w:sz w:val="22"/>
          <w:szCs w:val="22"/>
        </w:rPr>
        <w:t xml:space="preserve"> of inventory turnover performance in retail services, </w:t>
      </w:r>
      <w:r w:rsidRPr="001E47AD">
        <w:rPr>
          <w:bCs/>
          <w:i/>
          <w:iCs/>
          <w:sz w:val="22"/>
          <w:szCs w:val="22"/>
        </w:rPr>
        <w:t>Management Science</w:t>
      </w:r>
      <w:r w:rsidRPr="001E47AD">
        <w:rPr>
          <w:sz w:val="22"/>
          <w:szCs w:val="22"/>
        </w:rPr>
        <w:t xml:space="preserve"> 51(2) 181-194.</w:t>
      </w:r>
    </w:p>
    <w:p w14:paraId="53FA30E6"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Gilland, W. G., H. S. Heese. 2013. Sequence matters: Shelf-space allocation under dynamic customer-driven substitution. </w:t>
      </w:r>
      <w:r w:rsidRPr="001E47AD">
        <w:rPr>
          <w:bCs/>
          <w:i/>
          <w:iCs/>
          <w:sz w:val="22"/>
          <w:szCs w:val="22"/>
        </w:rPr>
        <w:t>Production and Operations Management</w:t>
      </w:r>
      <w:r w:rsidRPr="001E47AD">
        <w:rPr>
          <w:sz w:val="22"/>
          <w:szCs w:val="22"/>
        </w:rPr>
        <w:t xml:space="preserve"> 22(4) 875-887.</w:t>
      </w:r>
    </w:p>
    <w:p w14:paraId="4032C990"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Gino, F., G. Pisano. 2008. Toward a theory of behavioral operations</w:t>
      </w:r>
      <w:r w:rsidRPr="001E47AD">
        <w:rPr>
          <w:sz w:val="22"/>
          <w:szCs w:val="22"/>
          <w:lang w:eastAsia="zh-CN"/>
        </w:rPr>
        <w:t>.</w:t>
      </w:r>
      <w:r w:rsidRPr="001E47AD">
        <w:rPr>
          <w:sz w:val="22"/>
          <w:szCs w:val="22"/>
        </w:rPr>
        <w:t xml:space="preserve"> </w:t>
      </w:r>
      <w:r w:rsidRPr="001E47AD">
        <w:rPr>
          <w:bCs/>
          <w:i/>
          <w:iCs/>
          <w:sz w:val="22"/>
          <w:szCs w:val="22"/>
        </w:rPr>
        <w:t xml:space="preserve">Manufacturing &amp; Service Operations Management </w:t>
      </w:r>
      <w:r w:rsidRPr="001E47AD">
        <w:rPr>
          <w:sz w:val="22"/>
          <w:szCs w:val="22"/>
        </w:rPr>
        <w:t>10(4) 676-691.</w:t>
      </w:r>
    </w:p>
    <w:p w14:paraId="776B6343"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lastRenderedPageBreak/>
        <w:t xml:space="preserve">González-Benito, O. S., P. A. Muñoz-Gallego, P. K. Kopalle. 2005. Asymmetric competition in retail store formats: Evaluating inter- and intra-format spatial effects. </w:t>
      </w:r>
      <w:r w:rsidRPr="001E47AD">
        <w:rPr>
          <w:bCs/>
          <w:i/>
          <w:iCs/>
          <w:sz w:val="22"/>
          <w:szCs w:val="22"/>
        </w:rPr>
        <w:t>Journal of Retailing</w:t>
      </w:r>
      <w:r w:rsidRPr="001E47AD">
        <w:rPr>
          <w:sz w:val="22"/>
          <w:szCs w:val="22"/>
        </w:rPr>
        <w:t xml:space="preserve"> 81(1) 59-73.</w:t>
      </w:r>
    </w:p>
    <w:p w14:paraId="6DCC0C41"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Gupta, S., M. K. Starr, R. Z. Farahani, N. Matinrad. 2016. Disaster management from a POM perspective: Mapping a new domain. </w:t>
      </w:r>
      <w:r w:rsidRPr="001E47AD">
        <w:rPr>
          <w:bCs/>
          <w:i/>
          <w:iCs/>
          <w:sz w:val="22"/>
          <w:szCs w:val="22"/>
        </w:rPr>
        <w:t>Production and Operations Management</w:t>
      </w:r>
      <w:r w:rsidRPr="001E47AD">
        <w:rPr>
          <w:sz w:val="22"/>
          <w:szCs w:val="22"/>
        </w:rPr>
        <w:t xml:space="preserve"> 25(10) 1611-1637.</w:t>
      </w:r>
    </w:p>
    <w:p w14:paraId="47FF10D3" w14:textId="77777777" w:rsidR="00476463" w:rsidRPr="001E47AD" w:rsidRDefault="00476463" w:rsidP="00476463">
      <w:pPr>
        <w:adjustRightInd w:val="0"/>
        <w:spacing w:line="480" w:lineRule="auto"/>
        <w:ind w:left="720" w:hanging="720"/>
        <w:contextualSpacing/>
        <w:rPr>
          <w:sz w:val="22"/>
          <w:szCs w:val="22"/>
        </w:rPr>
      </w:pPr>
      <w:r w:rsidRPr="001E47AD">
        <w:rPr>
          <w:sz w:val="22"/>
          <w:szCs w:val="22"/>
          <w:lang w:val="en-SG"/>
        </w:rPr>
        <w:t xml:space="preserve">Hendel, I., A. Nevo. 2006. </w:t>
      </w:r>
      <w:r w:rsidRPr="001E47AD">
        <w:rPr>
          <w:noProof/>
          <w:sz w:val="22"/>
          <w:szCs w:val="22"/>
        </w:rPr>
        <w:t>Measuring the implication of sales and consumer inventory behavior.</w:t>
      </w:r>
      <w:r w:rsidRPr="001E47AD">
        <w:rPr>
          <w:sz w:val="22"/>
          <w:szCs w:val="22"/>
        </w:rPr>
        <w:t xml:space="preserve"> </w:t>
      </w:r>
      <w:r w:rsidRPr="001E47AD">
        <w:rPr>
          <w:i/>
          <w:sz w:val="22"/>
          <w:szCs w:val="22"/>
        </w:rPr>
        <w:t>Econometrica</w:t>
      </w:r>
      <w:r w:rsidRPr="001E47AD">
        <w:rPr>
          <w:sz w:val="22"/>
          <w:szCs w:val="22"/>
        </w:rPr>
        <w:t xml:space="preserve"> 74(6)</w:t>
      </w:r>
      <w:r w:rsidRPr="001E47AD">
        <w:rPr>
          <w:rFonts w:hint="eastAsia"/>
          <w:sz w:val="22"/>
          <w:szCs w:val="22"/>
        </w:rPr>
        <w:t xml:space="preserve"> </w:t>
      </w:r>
      <w:r w:rsidRPr="001E47AD">
        <w:rPr>
          <w:sz w:val="22"/>
          <w:szCs w:val="22"/>
        </w:rPr>
        <w:t>1637-1673.</w:t>
      </w:r>
    </w:p>
    <w:p w14:paraId="1F354832"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Hendricks, K. B., B. Jacobs, V. R. Singhal. 2017. Stock market reaction to supply chain disruptions from the 2011 Great East Japan Earthquake. </w:t>
      </w:r>
      <w:r w:rsidRPr="001E47AD">
        <w:rPr>
          <w:bCs/>
          <w:i/>
          <w:iCs/>
          <w:sz w:val="22"/>
          <w:szCs w:val="22"/>
        </w:rPr>
        <w:t>SSRN Electronic Journal</w:t>
      </w:r>
      <w:r w:rsidRPr="001E47AD">
        <w:rPr>
          <w:sz w:val="22"/>
          <w:szCs w:val="22"/>
        </w:rPr>
        <w:t>.</w:t>
      </w:r>
    </w:p>
    <w:p w14:paraId="5A1F5BF6"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Hobfoll, S. E. 1988. </w:t>
      </w:r>
      <w:r w:rsidRPr="001E47AD">
        <w:rPr>
          <w:bCs/>
          <w:i/>
          <w:iCs/>
          <w:noProof/>
          <w:sz w:val="22"/>
          <w:szCs w:val="22"/>
        </w:rPr>
        <w:t>The ecology</w:t>
      </w:r>
      <w:r w:rsidRPr="001E47AD">
        <w:rPr>
          <w:bCs/>
          <w:i/>
          <w:iCs/>
          <w:sz w:val="22"/>
          <w:szCs w:val="22"/>
        </w:rPr>
        <w:t xml:space="preserve"> of stress.</w:t>
      </w:r>
      <w:r w:rsidRPr="001E47AD">
        <w:rPr>
          <w:sz w:val="22"/>
          <w:szCs w:val="22"/>
        </w:rPr>
        <w:t xml:space="preserve"> Hemisphere Pub. Corp, New York.</w:t>
      </w:r>
    </w:p>
    <w:p w14:paraId="0017D63F"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Hobfoll, S. E. 1989. </w:t>
      </w:r>
      <w:r w:rsidRPr="001E47AD">
        <w:rPr>
          <w:noProof/>
          <w:sz w:val="22"/>
          <w:szCs w:val="22"/>
        </w:rPr>
        <w:t>Conservation</w:t>
      </w:r>
      <w:r w:rsidRPr="001E47AD">
        <w:rPr>
          <w:sz w:val="22"/>
          <w:szCs w:val="22"/>
        </w:rPr>
        <w:t xml:space="preserve"> of resources: A new attempt at conceptualizing stress. </w:t>
      </w:r>
      <w:r w:rsidRPr="001E47AD">
        <w:rPr>
          <w:bCs/>
          <w:i/>
          <w:iCs/>
          <w:sz w:val="22"/>
          <w:szCs w:val="22"/>
        </w:rPr>
        <w:t>The American Psychologist</w:t>
      </w:r>
      <w:r w:rsidRPr="001E47AD">
        <w:rPr>
          <w:sz w:val="22"/>
          <w:szCs w:val="22"/>
        </w:rPr>
        <w:t xml:space="preserve"> 44(3) 513-524.</w:t>
      </w:r>
    </w:p>
    <w:p w14:paraId="2D82D540" w14:textId="77777777" w:rsidR="00476463" w:rsidRPr="001E47AD" w:rsidRDefault="00476463" w:rsidP="00476463">
      <w:pPr>
        <w:spacing w:line="480" w:lineRule="auto"/>
        <w:ind w:left="720" w:hanging="720"/>
        <w:contextualSpacing/>
        <w:rPr>
          <w:sz w:val="22"/>
          <w:szCs w:val="22"/>
        </w:rPr>
      </w:pPr>
      <w:r w:rsidRPr="001E47AD">
        <w:rPr>
          <w:sz w:val="22"/>
          <w:szCs w:val="22"/>
        </w:rPr>
        <w:t xml:space="preserve">Holmes, T. J. 2008. </w:t>
      </w:r>
      <w:r w:rsidRPr="001E47AD">
        <w:rPr>
          <w:noProof/>
          <w:sz w:val="22"/>
          <w:szCs w:val="22"/>
        </w:rPr>
        <w:t>The diffusion</w:t>
      </w:r>
      <w:r w:rsidRPr="001E47AD">
        <w:rPr>
          <w:sz w:val="22"/>
          <w:szCs w:val="22"/>
        </w:rPr>
        <w:t xml:space="preserve"> of Wal-Mart and economies of density. </w:t>
      </w:r>
      <w:r w:rsidRPr="001E47AD">
        <w:rPr>
          <w:bCs/>
          <w:i/>
          <w:iCs/>
          <w:sz w:val="22"/>
          <w:szCs w:val="22"/>
        </w:rPr>
        <w:t>Econometrica</w:t>
      </w:r>
      <w:r w:rsidRPr="001E47AD">
        <w:rPr>
          <w:sz w:val="22"/>
          <w:szCs w:val="22"/>
        </w:rPr>
        <w:t xml:space="preserve"> 79(1), 253-302.</w:t>
      </w:r>
    </w:p>
    <w:p w14:paraId="0F3BD218"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sz w:val="22"/>
          <w:szCs w:val="22"/>
        </w:rPr>
        <w:t xml:space="preserve">Honhon, D. D. E., S. </w:t>
      </w:r>
      <w:r w:rsidRPr="001E47AD">
        <w:rPr>
          <w:noProof/>
          <w:sz w:val="22"/>
          <w:szCs w:val="22"/>
        </w:rPr>
        <w:t>Seshardi.</w:t>
      </w:r>
      <w:r w:rsidRPr="001E47AD">
        <w:rPr>
          <w:sz w:val="22"/>
          <w:szCs w:val="22"/>
        </w:rPr>
        <w:t xml:space="preserve"> 2013. Fixed vs. random proportions demand models for the assortment planning problem under stockout-based substitution</w:t>
      </w:r>
      <w:r w:rsidRPr="001E47AD">
        <w:rPr>
          <w:noProof/>
          <w:sz w:val="22"/>
          <w:szCs w:val="22"/>
        </w:rPr>
        <w:t xml:space="preserve">. </w:t>
      </w:r>
      <w:r w:rsidRPr="001E47AD">
        <w:rPr>
          <w:bCs/>
          <w:i/>
          <w:iCs/>
          <w:noProof/>
          <w:sz w:val="22"/>
          <w:szCs w:val="22"/>
        </w:rPr>
        <w:t>Manufacturing</w:t>
      </w:r>
      <w:r w:rsidRPr="001E47AD">
        <w:rPr>
          <w:bCs/>
          <w:i/>
          <w:iCs/>
          <w:sz w:val="22"/>
          <w:szCs w:val="22"/>
        </w:rPr>
        <w:t xml:space="preserve"> &amp; Service Operations Management</w:t>
      </w:r>
      <w:r w:rsidRPr="001E47AD">
        <w:rPr>
          <w:sz w:val="22"/>
          <w:szCs w:val="22"/>
        </w:rPr>
        <w:t xml:space="preserve"> 15(3) 378-386.</w:t>
      </w:r>
    </w:p>
    <w:p w14:paraId="04F79BAB"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noProof/>
          <w:sz w:val="22"/>
          <w:szCs w:val="22"/>
        </w:rPr>
        <w:t>Hu, X., H. Gurnani, L. Wang. 2013.</w:t>
      </w:r>
      <w:r w:rsidRPr="001E47AD">
        <w:rPr>
          <w:sz w:val="22"/>
          <w:szCs w:val="22"/>
        </w:rPr>
        <w:t xml:space="preserve"> </w:t>
      </w:r>
      <w:r w:rsidRPr="001E47AD">
        <w:rPr>
          <w:noProof/>
          <w:sz w:val="22"/>
          <w:szCs w:val="22"/>
        </w:rPr>
        <w:t>Managing risk of supply disruptions: incentives for capacity restoration.</w:t>
      </w:r>
      <w:r w:rsidRPr="001E47AD">
        <w:rPr>
          <w:sz w:val="22"/>
          <w:szCs w:val="22"/>
        </w:rPr>
        <w:t xml:space="preserve"> </w:t>
      </w:r>
      <w:r w:rsidRPr="001E47AD">
        <w:rPr>
          <w:bCs/>
          <w:i/>
          <w:iCs/>
          <w:sz w:val="22"/>
          <w:szCs w:val="22"/>
        </w:rPr>
        <w:t>Production and Operations Management</w:t>
      </w:r>
      <w:r w:rsidRPr="001E47AD">
        <w:rPr>
          <w:sz w:val="22"/>
          <w:szCs w:val="22"/>
        </w:rPr>
        <w:t xml:space="preserve"> 22(1) 137-150.</w:t>
      </w:r>
    </w:p>
    <w:p w14:paraId="2A1BA466"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sz w:val="22"/>
          <w:szCs w:val="22"/>
        </w:rPr>
        <w:t>Huchzermeier, A., A. Iyer, J. Freiheit. 2002. The supply chain impact of smart customers in a promotional environment</w:t>
      </w:r>
      <w:r w:rsidRPr="001E47AD">
        <w:rPr>
          <w:sz w:val="22"/>
          <w:szCs w:val="22"/>
          <w:lang w:eastAsia="zh-CN"/>
        </w:rPr>
        <w:t>.</w:t>
      </w:r>
      <w:r w:rsidRPr="001E47AD">
        <w:rPr>
          <w:sz w:val="22"/>
          <w:szCs w:val="22"/>
        </w:rPr>
        <w:t xml:space="preserve"> </w:t>
      </w:r>
      <w:r w:rsidRPr="001E47AD">
        <w:rPr>
          <w:bCs/>
          <w:i/>
          <w:iCs/>
          <w:sz w:val="22"/>
          <w:szCs w:val="22"/>
        </w:rPr>
        <w:t>Manufacturing &amp; Service Operations Management</w:t>
      </w:r>
      <w:r w:rsidRPr="001E47AD">
        <w:rPr>
          <w:sz w:val="22"/>
          <w:szCs w:val="22"/>
        </w:rPr>
        <w:t xml:space="preserve"> 4(3) 228-240.</w:t>
      </w:r>
    </w:p>
    <w:p w14:paraId="017E9627"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Kahn, B. E. 1998. </w:t>
      </w:r>
      <w:r w:rsidRPr="001E47AD">
        <w:rPr>
          <w:noProof/>
          <w:sz w:val="22"/>
          <w:szCs w:val="22"/>
        </w:rPr>
        <w:t>Dynamic relationships</w:t>
      </w:r>
      <w:r w:rsidRPr="001E47AD">
        <w:rPr>
          <w:sz w:val="22"/>
          <w:szCs w:val="22"/>
        </w:rPr>
        <w:t xml:space="preserve"> with customers: High-variety strategies. </w:t>
      </w:r>
      <w:r w:rsidRPr="001E47AD">
        <w:rPr>
          <w:bCs/>
          <w:i/>
          <w:iCs/>
          <w:sz w:val="22"/>
          <w:szCs w:val="22"/>
        </w:rPr>
        <w:t>Journal of the Academy of Marketing Science</w:t>
      </w:r>
      <w:r w:rsidRPr="001E47AD">
        <w:rPr>
          <w:sz w:val="22"/>
          <w:szCs w:val="22"/>
        </w:rPr>
        <w:t xml:space="preserve"> 26(1) 45-53.</w:t>
      </w:r>
    </w:p>
    <w:p w14:paraId="70531960"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Kahneman, D., A. Tversky. 1979. Prospect theory: An analysis of decision under </w:t>
      </w:r>
      <w:r w:rsidRPr="001E47AD">
        <w:rPr>
          <w:sz w:val="22"/>
          <w:szCs w:val="22"/>
          <w:lang w:eastAsia="zh-CN"/>
        </w:rPr>
        <w:t>r</w:t>
      </w:r>
      <w:r w:rsidRPr="001E47AD">
        <w:rPr>
          <w:sz w:val="22"/>
          <w:szCs w:val="22"/>
        </w:rPr>
        <w:t xml:space="preserve">isk. </w:t>
      </w:r>
      <w:r w:rsidRPr="001E47AD">
        <w:rPr>
          <w:bCs/>
          <w:i/>
          <w:iCs/>
          <w:sz w:val="22"/>
          <w:szCs w:val="22"/>
        </w:rPr>
        <w:t>Econometrica</w:t>
      </w:r>
      <w:r w:rsidRPr="001E47AD">
        <w:rPr>
          <w:sz w:val="22"/>
          <w:szCs w:val="22"/>
        </w:rPr>
        <w:t xml:space="preserve"> 47(2) 263-292.</w:t>
      </w:r>
    </w:p>
    <w:p w14:paraId="3F017575"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King, D., R. Devasagayam. 2017. An endowment, commodity, and prospect theory perspective on consumer hoarding behavior. </w:t>
      </w:r>
      <w:r w:rsidRPr="001E47AD">
        <w:rPr>
          <w:bCs/>
          <w:i/>
          <w:iCs/>
          <w:sz w:val="22"/>
          <w:szCs w:val="22"/>
        </w:rPr>
        <w:t>Journal of Business Theory and Practice</w:t>
      </w:r>
      <w:r w:rsidRPr="001E47AD">
        <w:rPr>
          <w:sz w:val="22"/>
          <w:szCs w:val="22"/>
        </w:rPr>
        <w:t xml:space="preserve"> 5(2) 77-88.</w:t>
      </w:r>
    </w:p>
    <w:p w14:paraId="3603D901"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lastRenderedPageBreak/>
        <w:t xml:space="preserve">Kleindorfer, P. R., G. H. Saad. 2005. Managing disruption risks in supply chains. </w:t>
      </w:r>
      <w:r w:rsidRPr="001E47AD">
        <w:rPr>
          <w:bCs/>
          <w:i/>
          <w:iCs/>
          <w:sz w:val="22"/>
          <w:szCs w:val="22"/>
        </w:rPr>
        <w:t>Production and Operations Management</w:t>
      </w:r>
      <w:r w:rsidRPr="001E47AD">
        <w:rPr>
          <w:sz w:val="22"/>
          <w:szCs w:val="22"/>
        </w:rPr>
        <w:t xml:space="preserve"> 14(1) 53-68.</w:t>
      </w:r>
    </w:p>
    <w:p w14:paraId="4CA8CA7D"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Koenker, R., K. F. Hallock. 2001. Quantile regression. </w:t>
      </w:r>
      <w:r w:rsidRPr="001E47AD">
        <w:rPr>
          <w:i/>
          <w:sz w:val="22"/>
          <w:szCs w:val="22"/>
        </w:rPr>
        <w:t>Journal of Economic Perspectives</w:t>
      </w:r>
      <w:r w:rsidRPr="001E47AD">
        <w:rPr>
          <w:sz w:val="22"/>
          <w:szCs w:val="22"/>
        </w:rPr>
        <w:t xml:space="preserve"> 15(4) 143-156.</w:t>
      </w:r>
    </w:p>
    <w:p w14:paraId="026CF00F"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Koenker, R., G. Bassett. 1978. Regression Quantiles. </w:t>
      </w:r>
      <w:r w:rsidRPr="001E47AD">
        <w:rPr>
          <w:i/>
          <w:sz w:val="22"/>
          <w:szCs w:val="22"/>
        </w:rPr>
        <w:t>Econometrica</w:t>
      </w:r>
      <w:r w:rsidRPr="001E47AD">
        <w:rPr>
          <w:sz w:val="22"/>
          <w:szCs w:val="22"/>
        </w:rPr>
        <w:t xml:space="preserve"> 46(1) 33-50.</w:t>
      </w:r>
    </w:p>
    <w:p w14:paraId="28423057"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sz w:val="22"/>
          <w:szCs w:val="22"/>
        </w:rPr>
        <w:t xml:space="preserve">Kraiselburd, S., V. G. Narayanan, A. Raman. 2004. </w:t>
      </w:r>
      <w:r w:rsidRPr="001E47AD">
        <w:rPr>
          <w:noProof/>
          <w:sz w:val="22"/>
          <w:szCs w:val="22"/>
        </w:rPr>
        <w:t>Contracting in a supply chain with stochastic demand and substitute products.</w:t>
      </w:r>
      <w:r w:rsidRPr="001E47AD">
        <w:rPr>
          <w:sz w:val="22"/>
          <w:szCs w:val="22"/>
        </w:rPr>
        <w:t xml:space="preserve"> </w:t>
      </w:r>
      <w:r w:rsidRPr="001E47AD">
        <w:rPr>
          <w:bCs/>
          <w:i/>
          <w:iCs/>
          <w:sz w:val="22"/>
          <w:szCs w:val="22"/>
        </w:rPr>
        <w:t>Production and Operations Management</w:t>
      </w:r>
      <w:r w:rsidRPr="001E47AD">
        <w:rPr>
          <w:sz w:val="22"/>
          <w:szCs w:val="22"/>
        </w:rPr>
        <w:t xml:space="preserve"> 13(1) 46-62.</w:t>
      </w:r>
    </w:p>
    <w:p w14:paraId="0E4538A0"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sz w:val="22"/>
          <w:szCs w:val="22"/>
        </w:rPr>
        <w:t xml:space="preserve">Kunz, N., </w:t>
      </w:r>
      <w:r w:rsidRPr="001E47AD">
        <w:rPr>
          <w:sz w:val="22"/>
          <w:szCs w:val="22"/>
          <w:lang w:eastAsia="zh-CN"/>
        </w:rPr>
        <w:t xml:space="preserve">G. </w:t>
      </w:r>
      <w:r w:rsidRPr="001E47AD">
        <w:rPr>
          <w:sz w:val="22"/>
          <w:szCs w:val="22"/>
        </w:rPr>
        <w:t xml:space="preserve">Reiner, </w:t>
      </w:r>
      <w:r w:rsidRPr="001E47AD">
        <w:rPr>
          <w:sz w:val="22"/>
          <w:szCs w:val="22"/>
          <w:lang w:eastAsia="zh-CN"/>
        </w:rPr>
        <w:t xml:space="preserve">S. </w:t>
      </w:r>
      <w:r w:rsidRPr="001E47AD">
        <w:rPr>
          <w:sz w:val="22"/>
          <w:szCs w:val="22"/>
        </w:rPr>
        <w:t xml:space="preserve">Gold. 2014. Investing in disaster management capabilities versus pre-positioning inventory: A new approach to disaster preparedness. </w:t>
      </w:r>
      <w:r w:rsidRPr="001E47AD">
        <w:rPr>
          <w:rStyle w:val="Emphasis"/>
          <w:sz w:val="22"/>
          <w:szCs w:val="22"/>
        </w:rPr>
        <w:t>International Journal of Production Economics</w:t>
      </w:r>
      <w:r w:rsidRPr="001E47AD">
        <w:rPr>
          <w:sz w:val="22"/>
          <w:szCs w:val="22"/>
        </w:rPr>
        <w:t xml:space="preserve"> 157(C) 261-272.</w:t>
      </w:r>
    </w:p>
    <w:p w14:paraId="109A1364"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Lal, R., J. D. C. Little, J. M. Villas-Boas. 1996. A theory of forward buying, merchandising, and trade deals. </w:t>
      </w:r>
      <w:r w:rsidRPr="001E47AD">
        <w:rPr>
          <w:bCs/>
          <w:i/>
          <w:iCs/>
          <w:sz w:val="22"/>
          <w:szCs w:val="22"/>
        </w:rPr>
        <w:t>Marketing Science</w:t>
      </w:r>
      <w:r w:rsidRPr="001E47AD">
        <w:rPr>
          <w:sz w:val="22"/>
          <w:szCs w:val="22"/>
        </w:rPr>
        <w:t xml:space="preserve"> 15(1) 21-37.</w:t>
      </w:r>
    </w:p>
    <w:p w14:paraId="01E69ED3"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sz w:val="22"/>
          <w:szCs w:val="22"/>
          <w:lang w:eastAsia="zh-CN"/>
        </w:rPr>
        <w:t xml:space="preserve">Landsea, C. W., J. L. Franklin. 2013. Atlantic Hurricane Database Uncertainty and Presentation of a New Database Format. </w:t>
      </w:r>
      <w:r w:rsidRPr="001E47AD">
        <w:rPr>
          <w:i/>
          <w:sz w:val="22"/>
          <w:szCs w:val="22"/>
          <w:lang w:eastAsia="zh-CN"/>
        </w:rPr>
        <w:t>Monthly Weather Review</w:t>
      </w:r>
      <w:r w:rsidRPr="001E47AD">
        <w:rPr>
          <w:sz w:val="22"/>
          <w:szCs w:val="22"/>
          <w:lang w:eastAsia="zh-CN"/>
        </w:rPr>
        <w:t xml:space="preserve"> 141(10) 3576</w:t>
      </w:r>
      <w:r w:rsidRPr="001E47AD">
        <w:rPr>
          <w:sz w:val="22"/>
          <w:szCs w:val="22"/>
        </w:rPr>
        <w:t>-</w:t>
      </w:r>
      <w:r w:rsidRPr="001E47AD">
        <w:rPr>
          <w:sz w:val="22"/>
          <w:szCs w:val="22"/>
          <w:lang w:eastAsia="zh-CN"/>
        </w:rPr>
        <w:t>3592.</w:t>
      </w:r>
    </w:p>
    <w:p w14:paraId="0767C0AC"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Lim, M. K., H.-Y. Mak, Z.-J. M. Shen. 2017. Agility and proximity considerations in supply chain design</w:t>
      </w:r>
      <w:r w:rsidRPr="001E47AD">
        <w:rPr>
          <w:sz w:val="22"/>
          <w:szCs w:val="22"/>
          <w:lang w:eastAsia="zh-CN"/>
        </w:rPr>
        <w:t>.</w:t>
      </w:r>
      <w:r w:rsidRPr="001E47AD">
        <w:rPr>
          <w:sz w:val="22"/>
          <w:szCs w:val="22"/>
        </w:rPr>
        <w:t xml:space="preserve"> </w:t>
      </w:r>
      <w:r w:rsidRPr="001E47AD">
        <w:rPr>
          <w:bCs/>
          <w:i/>
          <w:iCs/>
          <w:sz w:val="22"/>
          <w:szCs w:val="22"/>
        </w:rPr>
        <w:t>Management Science</w:t>
      </w:r>
      <w:r w:rsidRPr="001E47AD">
        <w:rPr>
          <w:sz w:val="22"/>
          <w:szCs w:val="22"/>
        </w:rPr>
        <w:t xml:space="preserve"> 63(4) 1026-1041.</w:t>
      </w:r>
    </w:p>
    <w:p w14:paraId="32574CEC"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Lindell, M. K., R. W. Perry. 1992. </w:t>
      </w:r>
      <w:r w:rsidRPr="001E47AD">
        <w:rPr>
          <w:bCs/>
          <w:i/>
          <w:iCs/>
          <w:noProof/>
          <w:sz w:val="22"/>
          <w:szCs w:val="22"/>
        </w:rPr>
        <w:t>Behavioral foundations</w:t>
      </w:r>
      <w:r w:rsidRPr="001E47AD">
        <w:rPr>
          <w:bCs/>
          <w:i/>
          <w:iCs/>
          <w:sz w:val="22"/>
          <w:szCs w:val="22"/>
        </w:rPr>
        <w:t xml:space="preserve"> of community emergency planning.</w:t>
      </w:r>
      <w:r w:rsidRPr="001E47AD">
        <w:rPr>
          <w:sz w:val="22"/>
          <w:szCs w:val="22"/>
        </w:rPr>
        <w:t xml:space="preserve"> Hemisphere Pub, Washington, D.C.</w:t>
      </w:r>
    </w:p>
    <w:p w14:paraId="5A2EBA50"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Lodree, E. J., K. N. Ballard, C. H. Song. 2012. Pre-positioning hurricane supplies in a commercial supply chain. </w:t>
      </w:r>
      <w:r w:rsidRPr="001E47AD">
        <w:rPr>
          <w:bCs/>
          <w:i/>
          <w:iCs/>
          <w:sz w:val="22"/>
          <w:szCs w:val="22"/>
        </w:rPr>
        <w:t>Socio-Economic Planning Sciences</w:t>
      </w:r>
      <w:r w:rsidRPr="001E47AD">
        <w:rPr>
          <w:sz w:val="22"/>
          <w:szCs w:val="22"/>
        </w:rPr>
        <w:t xml:space="preserve"> 46(4) 291-305.</w:t>
      </w:r>
    </w:p>
    <w:p w14:paraId="4DAE6FAF"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Lodree, E. J., S. Taskin. 2009. Supply chain planning for hurricane response with wind speed information updates. </w:t>
      </w:r>
      <w:r w:rsidRPr="001E47AD">
        <w:rPr>
          <w:bCs/>
          <w:i/>
          <w:iCs/>
          <w:sz w:val="22"/>
          <w:szCs w:val="22"/>
        </w:rPr>
        <w:t>Computers and Operations Research</w:t>
      </w:r>
      <w:r w:rsidRPr="001E47AD">
        <w:rPr>
          <w:sz w:val="22"/>
          <w:szCs w:val="22"/>
        </w:rPr>
        <w:t xml:space="preserve"> 36(1) 2-15.</w:t>
      </w:r>
    </w:p>
    <w:p w14:paraId="37FF5BD9"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Lynn, M. 1991. Scarcity effects on value: A quantitative review of the commodity theory literature. </w:t>
      </w:r>
      <w:r w:rsidRPr="001E47AD">
        <w:rPr>
          <w:bCs/>
          <w:i/>
          <w:iCs/>
          <w:sz w:val="22"/>
          <w:szCs w:val="22"/>
        </w:rPr>
        <w:t>Psychology &amp; Marketing</w:t>
      </w:r>
      <w:r w:rsidRPr="001E47AD">
        <w:rPr>
          <w:sz w:val="22"/>
          <w:szCs w:val="22"/>
        </w:rPr>
        <w:t xml:space="preserve"> 8(1) 43-57.</w:t>
      </w:r>
    </w:p>
    <w:p w14:paraId="5A73746A"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McAlister, L., E. Pessemier. 1982. Variety seeking behavior: An interdisciplinary review. </w:t>
      </w:r>
      <w:r w:rsidRPr="001E47AD">
        <w:rPr>
          <w:bCs/>
          <w:i/>
          <w:iCs/>
          <w:sz w:val="22"/>
          <w:szCs w:val="22"/>
        </w:rPr>
        <w:t>Journal of Consumer Research</w:t>
      </w:r>
      <w:r w:rsidRPr="001E47AD">
        <w:rPr>
          <w:sz w:val="22"/>
          <w:szCs w:val="22"/>
        </w:rPr>
        <w:t xml:space="preserve"> 9(3) 311-322.</w:t>
      </w:r>
    </w:p>
    <w:p w14:paraId="1A45E585"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lastRenderedPageBreak/>
        <w:t xml:space="preserve">McKinnon, G., M. E. Smith, H. K. Hunt. 1985. Hoarding behavior among consumers: Conceptualization and marketing implications. </w:t>
      </w:r>
      <w:r w:rsidRPr="001E47AD">
        <w:rPr>
          <w:bCs/>
          <w:i/>
          <w:iCs/>
          <w:sz w:val="22"/>
          <w:szCs w:val="22"/>
        </w:rPr>
        <w:t>Journal of the Academy of Marketing Science</w:t>
      </w:r>
      <w:r w:rsidRPr="001E47AD">
        <w:rPr>
          <w:sz w:val="22"/>
          <w:szCs w:val="22"/>
        </w:rPr>
        <w:t xml:space="preserve"> 13(1-2) 340-351.</w:t>
      </w:r>
    </w:p>
    <w:p w14:paraId="0682DF16"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Messinger, P. R., C. Narasimhan. 1997. A model of retail formats based on consumers' economizing on shopping time</w:t>
      </w:r>
      <w:r w:rsidRPr="001E47AD">
        <w:rPr>
          <w:sz w:val="22"/>
          <w:szCs w:val="22"/>
          <w:lang w:eastAsia="zh-CN"/>
        </w:rPr>
        <w:t>.</w:t>
      </w:r>
      <w:r w:rsidRPr="001E47AD">
        <w:rPr>
          <w:sz w:val="22"/>
          <w:szCs w:val="22"/>
        </w:rPr>
        <w:t xml:space="preserve"> </w:t>
      </w:r>
      <w:r w:rsidRPr="001E47AD">
        <w:rPr>
          <w:bCs/>
          <w:i/>
          <w:iCs/>
          <w:sz w:val="22"/>
          <w:szCs w:val="22"/>
        </w:rPr>
        <w:t>Marketing Science</w:t>
      </w:r>
      <w:r w:rsidRPr="001E47AD">
        <w:rPr>
          <w:sz w:val="22"/>
          <w:szCs w:val="22"/>
        </w:rPr>
        <w:t xml:space="preserve"> 16(1) 1-23.</w:t>
      </w:r>
    </w:p>
    <w:p w14:paraId="65B4F235"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Meyer, R. J., J. Baker, K. Broad, J. Czajkowski, B. Orlove. 2014. The dynamics of hurricane risk perception: real-time evidence from the 2012 Atlantic hurricane season. </w:t>
      </w:r>
      <w:r w:rsidRPr="001E47AD">
        <w:rPr>
          <w:bCs/>
          <w:i/>
          <w:iCs/>
          <w:sz w:val="22"/>
          <w:szCs w:val="22"/>
        </w:rPr>
        <w:t>Bulletin of the American Meteorological Society</w:t>
      </w:r>
      <w:r w:rsidRPr="001E47AD">
        <w:rPr>
          <w:sz w:val="22"/>
          <w:szCs w:val="22"/>
        </w:rPr>
        <w:t xml:space="preserve"> 95(9) 1389-1404.</w:t>
      </w:r>
    </w:p>
    <w:p w14:paraId="69BCC354"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Moffatt, S., B. Hoeldke, T. Pless-Mulloli. 2003. Local environmental concerns among communities in North-East England and South Hessen, Germany: the influence of proximity to industry. </w:t>
      </w:r>
      <w:r w:rsidRPr="001E47AD">
        <w:rPr>
          <w:bCs/>
          <w:i/>
          <w:iCs/>
          <w:sz w:val="22"/>
          <w:szCs w:val="22"/>
        </w:rPr>
        <w:t>Journal of Risk Research</w:t>
      </w:r>
      <w:r w:rsidRPr="001E47AD">
        <w:rPr>
          <w:sz w:val="22"/>
          <w:szCs w:val="22"/>
        </w:rPr>
        <w:t xml:space="preserve"> 6(2) 125-144.</w:t>
      </w:r>
    </w:p>
    <w:p w14:paraId="099E52D3"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Morrice, D. J., P. Cronin, F. Tanrisever, J. C. Butler. 2016. </w:t>
      </w:r>
      <w:r w:rsidRPr="001E47AD">
        <w:rPr>
          <w:noProof/>
          <w:sz w:val="22"/>
          <w:szCs w:val="22"/>
        </w:rPr>
        <w:t>Supporting hurricane inventory management decisions with consumer demand estimates.</w:t>
      </w:r>
      <w:r w:rsidRPr="001E47AD">
        <w:rPr>
          <w:sz w:val="22"/>
          <w:szCs w:val="22"/>
        </w:rPr>
        <w:t xml:space="preserve"> </w:t>
      </w:r>
      <w:r w:rsidRPr="001E47AD">
        <w:rPr>
          <w:bCs/>
          <w:i/>
          <w:iCs/>
          <w:sz w:val="22"/>
          <w:szCs w:val="22"/>
        </w:rPr>
        <w:t>Journal of Operations Management</w:t>
      </w:r>
      <w:r w:rsidRPr="001E47AD">
        <w:rPr>
          <w:sz w:val="22"/>
          <w:szCs w:val="22"/>
        </w:rPr>
        <w:t xml:space="preserve"> 45 86-100.</w:t>
      </w:r>
    </w:p>
    <w:p w14:paraId="19DC0BF2" w14:textId="77777777" w:rsidR="00476463" w:rsidRPr="001E47AD" w:rsidRDefault="00476463" w:rsidP="00476463">
      <w:pPr>
        <w:spacing w:line="480" w:lineRule="auto"/>
        <w:ind w:left="720" w:hanging="720"/>
        <w:contextualSpacing/>
        <w:rPr>
          <w:sz w:val="22"/>
          <w:szCs w:val="22"/>
          <w:lang w:eastAsia="zh-CN"/>
        </w:rPr>
      </w:pPr>
      <w:r w:rsidRPr="001E47AD">
        <w:rPr>
          <w:rFonts w:hint="eastAsia"/>
          <w:noProof/>
          <w:sz w:val="22"/>
          <w:szCs w:val="22"/>
          <w:lang w:eastAsia="zh-CN"/>
        </w:rPr>
        <w:t>National Hurricane Center. Glossary of NHC Terms. Retrieved August 15, 2019</w:t>
      </w:r>
      <w:r w:rsidRPr="001E47AD">
        <w:rPr>
          <w:noProof/>
          <w:sz w:val="22"/>
          <w:szCs w:val="22"/>
          <w:lang w:eastAsia="zh-CN"/>
        </w:rPr>
        <w:t xml:space="preserve">, </w:t>
      </w:r>
      <w:hyperlink r:id="rId39" w:history="1">
        <w:r w:rsidRPr="001E47AD">
          <w:rPr>
            <w:rStyle w:val="Hyperlink"/>
            <w:noProof/>
            <w:sz w:val="22"/>
            <w:szCs w:val="22"/>
            <w:lang w:eastAsia="zh-CN"/>
          </w:rPr>
          <w:t>https://www.nhc.noaa.gov/aboutgloss.shtml</w:t>
        </w:r>
      </w:hyperlink>
      <w:r w:rsidRPr="001E47AD">
        <w:rPr>
          <w:rFonts w:hint="eastAsia"/>
          <w:noProof/>
          <w:sz w:val="22"/>
          <w:szCs w:val="22"/>
          <w:lang w:eastAsia="zh-CN"/>
        </w:rPr>
        <w:t>.</w:t>
      </w:r>
    </w:p>
    <w:p w14:paraId="29C30B99"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Peacock, W. G., S. D. Brody, W. Highfield. 2005. Hurricane risk perceptions among Florida's </w:t>
      </w:r>
      <w:r w:rsidRPr="001E47AD">
        <w:rPr>
          <w:noProof/>
          <w:sz w:val="22"/>
          <w:szCs w:val="22"/>
        </w:rPr>
        <w:t>single family</w:t>
      </w:r>
      <w:r w:rsidRPr="001E47AD">
        <w:rPr>
          <w:sz w:val="22"/>
          <w:szCs w:val="22"/>
        </w:rPr>
        <w:t xml:space="preserve"> homeowners. </w:t>
      </w:r>
      <w:r w:rsidRPr="001E47AD">
        <w:rPr>
          <w:bCs/>
          <w:i/>
          <w:iCs/>
          <w:sz w:val="22"/>
          <w:szCs w:val="22"/>
        </w:rPr>
        <w:t>Landscape and Urban Planning</w:t>
      </w:r>
      <w:r w:rsidRPr="001E47AD">
        <w:rPr>
          <w:sz w:val="22"/>
          <w:szCs w:val="22"/>
        </w:rPr>
        <w:t xml:space="preserve"> 73(2) 120-135.</w:t>
      </w:r>
    </w:p>
    <w:p w14:paraId="3AA0A767"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Pedraza-Martinez, A. J., L. N. Van Wassenhove. 2016. Empirically grounded research in humanitarian operations management: The way forward. </w:t>
      </w:r>
      <w:r w:rsidRPr="001E47AD">
        <w:rPr>
          <w:bCs/>
          <w:i/>
          <w:iCs/>
          <w:sz w:val="22"/>
          <w:szCs w:val="22"/>
        </w:rPr>
        <w:t>Journal of Operations Management</w:t>
      </w:r>
      <w:r w:rsidRPr="001E47AD">
        <w:rPr>
          <w:sz w:val="22"/>
          <w:szCs w:val="22"/>
        </w:rPr>
        <w:t xml:space="preserve"> 45 1-10.</w:t>
      </w:r>
    </w:p>
    <w:p w14:paraId="4042E473"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Rajagopalan, S. 2013. Impact of variety and distribution system characteristics on inventory levels at U.S. retailers. </w:t>
      </w:r>
      <w:r w:rsidRPr="001E47AD">
        <w:rPr>
          <w:bCs/>
          <w:i/>
          <w:iCs/>
          <w:sz w:val="22"/>
          <w:szCs w:val="22"/>
        </w:rPr>
        <w:t>Manufacturing &amp; Service Operations Management</w:t>
      </w:r>
      <w:r w:rsidRPr="001E47AD">
        <w:rPr>
          <w:sz w:val="22"/>
          <w:szCs w:val="22"/>
        </w:rPr>
        <w:t xml:space="preserve"> 15(2) 191-204.</w:t>
      </w:r>
    </w:p>
    <w:p w14:paraId="6142D4EF"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Rawls, C. G., M. A. Turnquist. 2010. Pre-positioning of emergency supplies for disaster response. </w:t>
      </w:r>
      <w:r w:rsidRPr="001E47AD">
        <w:rPr>
          <w:bCs/>
          <w:i/>
          <w:iCs/>
          <w:sz w:val="22"/>
          <w:szCs w:val="22"/>
        </w:rPr>
        <w:t>Transportation Research Part B</w:t>
      </w:r>
      <w:r w:rsidRPr="001E47AD">
        <w:rPr>
          <w:sz w:val="22"/>
          <w:szCs w:val="22"/>
        </w:rPr>
        <w:t xml:space="preserve"> 44(4) 521-534.</w:t>
      </w:r>
    </w:p>
    <w:p w14:paraId="5BEFC7C3"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Remler, D. K., G. G. Van Ryzin. 2011. </w:t>
      </w:r>
      <w:r w:rsidRPr="001E47AD">
        <w:rPr>
          <w:bCs/>
          <w:i/>
          <w:iCs/>
          <w:sz w:val="22"/>
          <w:szCs w:val="22"/>
        </w:rPr>
        <w:t>Research methods in practice: strategies for description and causation.</w:t>
      </w:r>
      <w:r w:rsidRPr="001E47AD">
        <w:rPr>
          <w:sz w:val="22"/>
          <w:szCs w:val="22"/>
        </w:rPr>
        <w:t xml:space="preserve"> SAGE Publications, Thousand Oaks, Calif.</w:t>
      </w:r>
    </w:p>
    <w:p w14:paraId="18CF761C"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lastRenderedPageBreak/>
        <w:t xml:space="preserve">Ren, C. R., Y. Hu, J. Hausman. 2011. Managing product variety and collocation in a competitive environment: An empirical investigation of consumer electronics retailing. </w:t>
      </w:r>
      <w:r w:rsidRPr="001E47AD">
        <w:rPr>
          <w:bCs/>
          <w:i/>
          <w:iCs/>
          <w:sz w:val="22"/>
          <w:szCs w:val="22"/>
        </w:rPr>
        <w:t>Management Science</w:t>
      </w:r>
      <w:r w:rsidRPr="001E47AD">
        <w:rPr>
          <w:sz w:val="22"/>
          <w:szCs w:val="22"/>
        </w:rPr>
        <w:t xml:space="preserve"> 57(6) 1009-1024.</w:t>
      </w:r>
    </w:p>
    <w:p w14:paraId="69F2C3B8" w14:textId="77777777" w:rsidR="00476463" w:rsidRPr="001E47AD" w:rsidRDefault="00476463" w:rsidP="00476463">
      <w:pPr>
        <w:autoSpaceDE w:val="0"/>
        <w:autoSpaceDN w:val="0"/>
        <w:adjustRightInd w:val="0"/>
        <w:spacing w:line="480" w:lineRule="auto"/>
        <w:ind w:left="720" w:hanging="720"/>
        <w:contextualSpacing/>
        <w:rPr>
          <w:sz w:val="22"/>
          <w:szCs w:val="22"/>
          <w:lang w:eastAsia="zh-CN"/>
        </w:rPr>
      </w:pPr>
      <w:r w:rsidRPr="001E47AD">
        <w:rPr>
          <w:sz w:val="22"/>
          <w:szCs w:val="22"/>
        </w:rPr>
        <w:t xml:space="preserve">Sattler, D. N., C. F. Kaiser, J. B. Hittner. 2000. Disaster preparedness: Relationships </w:t>
      </w:r>
      <w:r w:rsidRPr="001E47AD">
        <w:rPr>
          <w:noProof/>
          <w:sz w:val="22"/>
          <w:szCs w:val="22"/>
        </w:rPr>
        <w:t>among</w:t>
      </w:r>
      <w:r w:rsidRPr="001E47AD">
        <w:rPr>
          <w:sz w:val="22"/>
          <w:szCs w:val="22"/>
        </w:rPr>
        <w:t xml:space="preserve"> prior experience, personal characteristics, and distress. </w:t>
      </w:r>
      <w:r w:rsidRPr="001E47AD">
        <w:rPr>
          <w:bCs/>
          <w:i/>
          <w:iCs/>
          <w:sz w:val="22"/>
          <w:szCs w:val="22"/>
        </w:rPr>
        <w:t>Journal of Applied Social Psychology</w:t>
      </w:r>
      <w:r w:rsidRPr="001E47AD">
        <w:rPr>
          <w:sz w:val="22"/>
          <w:szCs w:val="22"/>
        </w:rPr>
        <w:t xml:space="preserve"> 30(7) 1396-1420.</w:t>
      </w:r>
    </w:p>
    <w:p w14:paraId="214B68D9"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Simon, H. A. 1969. </w:t>
      </w:r>
      <w:r w:rsidRPr="001E47AD">
        <w:rPr>
          <w:bCs/>
          <w:i/>
          <w:iCs/>
          <w:noProof/>
          <w:sz w:val="22"/>
          <w:szCs w:val="22"/>
        </w:rPr>
        <w:t>The sciences</w:t>
      </w:r>
      <w:r w:rsidRPr="001E47AD">
        <w:rPr>
          <w:bCs/>
          <w:i/>
          <w:iCs/>
          <w:sz w:val="22"/>
          <w:szCs w:val="22"/>
        </w:rPr>
        <w:t xml:space="preserve"> of the artificial.</w:t>
      </w:r>
      <w:r w:rsidRPr="001E47AD">
        <w:rPr>
          <w:sz w:val="22"/>
          <w:szCs w:val="22"/>
        </w:rPr>
        <w:t xml:space="preserve"> MIT Press, Cambridge.</w:t>
      </w:r>
    </w:p>
    <w:p w14:paraId="65022219"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Simon, H. A. 1982. </w:t>
      </w:r>
      <w:r w:rsidRPr="001E47AD">
        <w:rPr>
          <w:bCs/>
          <w:i/>
          <w:iCs/>
          <w:noProof/>
          <w:sz w:val="22"/>
          <w:szCs w:val="22"/>
        </w:rPr>
        <w:t>Models</w:t>
      </w:r>
      <w:r w:rsidRPr="001E47AD">
        <w:rPr>
          <w:bCs/>
          <w:i/>
          <w:iCs/>
          <w:sz w:val="22"/>
          <w:szCs w:val="22"/>
        </w:rPr>
        <w:t xml:space="preserve"> of bounded rationality.</w:t>
      </w:r>
      <w:r w:rsidRPr="001E47AD">
        <w:rPr>
          <w:sz w:val="22"/>
          <w:szCs w:val="22"/>
        </w:rPr>
        <w:t xml:space="preserve"> MIT Press, Cambridge.</w:t>
      </w:r>
    </w:p>
    <w:p w14:paraId="1DE30E0C"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Sterman, J. D., G. Dogan. 2015. “I’m not hoarding</w:t>
      </w:r>
      <w:r w:rsidRPr="001E47AD">
        <w:rPr>
          <w:noProof/>
          <w:sz w:val="22"/>
          <w:szCs w:val="22"/>
        </w:rPr>
        <w:t>, I’m</w:t>
      </w:r>
      <w:r w:rsidRPr="001E47AD">
        <w:rPr>
          <w:sz w:val="22"/>
          <w:szCs w:val="22"/>
        </w:rPr>
        <w:t xml:space="preserve"> just stocking up before the hoarders get here.”</w:t>
      </w:r>
      <w:r w:rsidRPr="001E47AD">
        <w:rPr>
          <w:sz w:val="22"/>
          <w:szCs w:val="22"/>
          <w:lang w:eastAsia="zh-CN"/>
        </w:rPr>
        <w:t xml:space="preserve">: </w:t>
      </w:r>
      <w:r w:rsidRPr="001E47AD">
        <w:rPr>
          <w:noProof/>
          <w:sz w:val="22"/>
          <w:szCs w:val="22"/>
        </w:rPr>
        <w:t>Behavioral causes</w:t>
      </w:r>
      <w:r w:rsidRPr="001E47AD">
        <w:rPr>
          <w:sz w:val="22"/>
          <w:szCs w:val="22"/>
        </w:rPr>
        <w:t xml:space="preserve"> of phantom ordering in supply chains. </w:t>
      </w:r>
      <w:r w:rsidRPr="001E47AD">
        <w:rPr>
          <w:bCs/>
          <w:i/>
          <w:iCs/>
          <w:sz w:val="22"/>
          <w:szCs w:val="22"/>
        </w:rPr>
        <w:t>Journal of Operations Management,</w:t>
      </w:r>
      <w:r w:rsidRPr="001E47AD">
        <w:rPr>
          <w:sz w:val="22"/>
          <w:szCs w:val="22"/>
        </w:rPr>
        <w:t xml:space="preserve"> 39-40 6-22.</w:t>
      </w:r>
    </w:p>
    <w:p w14:paraId="2A9EAA98" w14:textId="77777777" w:rsidR="00476463" w:rsidRPr="001E47AD" w:rsidRDefault="00476463" w:rsidP="00476463">
      <w:pPr>
        <w:autoSpaceDE w:val="0"/>
        <w:autoSpaceDN w:val="0"/>
        <w:adjustRightInd w:val="0"/>
        <w:spacing w:line="480" w:lineRule="auto"/>
        <w:ind w:left="720" w:hanging="720"/>
        <w:contextualSpacing/>
        <w:rPr>
          <w:noProof/>
        </w:rPr>
      </w:pPr>
      <w:bookmarkStart w:id="78" w:name="_Hlk33691878"/>
      <w:r w:rsidRPr="001E47AD">
        <w:rPr>
          <w:sz w:val="22"/>
          <w:szCs w:val="22"/>
          <w:lang w:eastAsia="zh-CN"/>
        </w:rPr>
        <w:t xml:space="preserve">Target. 2018. </w:t>
      </w:r>
      <w:r w:rsidRPr="001E47AD">
        <w:rPr>
          <w:rFonts w:hint="eastAsia"/>
          <w:sz w:val="22"/>
          <w:szCs w:val="22"/>
          <w:lang w:eastAsia="zh-CN"/>
        </w:rPr>
        <w:t>How Target t</w:t>
      </w:r>
      <w:r w:rsidRPr="001E47AD">
        <w:rPr>
          <w:sz w:val="22"/>
          <w:szCs w:val="22"/>
          <w:lang w:eastAsia="zh-CN"/>
        </w:rPr>
        <w:t xml:space="preserve">eams </w:t>
      </w:r>
      <w:r w:rsidRPr="001E47AD">
        <w:rPr>
          <w:rFonts w:hint="eastAsia"/>
          <w:sz w:val="22"/>
          <w:szCs w:val="22"/>
          <w:lang w:eastAsia="zh-CN"/>
        </w:rPr>
        <w:t xml:space="preserve">are responding to hurricane Florence. </w:t>
      </w:r>
      <w:r w:rsidRPr="001E47AD">
        <w:rPr>
          <w:sz w:val="22"/>
          <w:szCs w:val="22"/>
        </w:rPr>
        <w:t xml:space="preserve">Retrieved </w:t>
      </w:r>
      <w:r w:rsidRPr="001E47AD">
        <w:rPr>
          <w:noProof/>
          <w:sz w:val="22"/>
          <w:szCs w:val="22"/>
        </w:rPr>
        <w:t xml:space="preserve">August 15, 2019, </w:t>
      </w:r>
      <w:hyperlink r:id="rId40" w:history="1">
        <w:r w:rsidRPr="001E47AD">
          <w:rPr>
            <w:rStyle w:val="Hyperlink"/>
            <w:sz w:val="22"/>
            <w:szCs w:val="22"/>
            <w:lang w:eastAsia="zh-CN"/>
          </w:rPr>
          <w:t>https://corporate.target.com/article/2018/09/hurricane-florence-response</w:t>
        </w:r>
      </w:hyperlink>
      <w:r w:rsidRPr="001E47AD">
        <w:rPr>
          <w:rStyle w:val="Hyperlink"/>
          <w:sz w:val="22"/>
          <w:szCs w:val="22"/>
          <w:lang w:eastAsia="zh-CN"/>
        </w:rPr>
        <w:t>.</w:t>
      </w:r>
      <w:r w:rsidRPr="001E47AD">
        <w:rPr>
          <w:noProof/>
        </w:rPr>
        <w:t xml:space="preserve"> </w:t>
      </w:r>
      <w:bookmarkEnd w:id="78"/>
    </w:p>
    <w:p w14:paraId="24034098"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Taskin, S., E. J. Lodree. 2010. Inventory decisions for emergency supplies based on hurricane count predictions. </w:t>
      </w:r>
      <w:r w:rsidRPr="001E47AD">
        <w:rPr>
          <w:bCs/>
          <w:i/>
          <w:iCs/>
          <w:sz w:val="22"/>
          <w:szCs w:val="22"/>
        </w:rPr>
        <w:t>International Journal of Production Economics</w:t>
      </w:r>
      <w:r w:rsidRPr="001E47AD">
        <w:rPr>
          <w:sz w:val="22"/>
          <w:szCs w:val="22"/>
        </w:rPr>
        <w:t xml:space="preserve"> 126(1) 66-75.</w:t>
      </w:r>
    </w:p>
    <w:p w14:paraId="2BD1C39D"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Taskin, S., E. J. Lodree. 2011. A Bayesian decision model with hurricane forecast updates for emergency supplies inventory management</w:t>
      </w:r>
      <w:r w:rsidRPr="001E47AD">
        <w:rPr>
          <w:sz w:val="22"/>
          <w:szCs w:val="22"/>
          <w:lang w:eastAsia="zh-CN"/>
        </w:rPr>
        <w:t>.</w:t>
      </w:r>
      <w:r w:rsidRPr="001E47AD">
        <w:rPr>
          <w:sz w:val="22"/>
          <w:szCs w:val="22"/>
        </w:rPr>
        <w:t xml:space="preserve"> </w:t>
      </w:r>
      <w:r w:rsidRPr="001E47AD">
        <w:rPr>
          <w:bCs/>
          <w:i/>
          <w:iCs/>
          <w:sz w:val="22"/>
          <w:szCs w:val="22"/>
        </w:rPr>
        <w:t>Journal of the Operational Research Society</w:t>
      </w:r>
      <w:r w:rsidRPr="001E47AD">
        <w:rPr>
          <w:sz w:val="22"/>
          <w:szCs w:val="22"/>
        </w:rPr>
        <w:t xml:space="preserve"> 62(6) 1098-1108.</w:t>
      </w:r>
    </w:p>
    <w:p w14:paraId="294A20F3"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Ton, Z., A. Raman. 2010. The effect of product variety and inventory levels on retail store sales: A longitudinal study. </w:t>
      </w:r>
      <w:r w:rsidRPr="001E47AD">
        <w:rPr>
          <w:bCs/>
          <w:i/>
          <w:iCs/>
          <w:sz w:val="22"/>
          <w:szCs w:val="22"/>
        </w:rPr>
        <w:t>Production and Operations Management</w:t>
      </w:r>
      <w:r w:rsidRPr="001E47AD">
        <w:rPr>
          <w:sz w:val="22"/>
          <w:szCs w:val="22"/>
        </w:rPr>
        <w:t xml:space="preserve"> 19(5) 546-560.</w:t>
      </w:r>
    </w:p>
    <w:p w14:paraId="1BDEC5A0"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Trumbo, C., M. Lueck, H. Marlatt, L. Peek. 2011. The effect of proximity to hurricanes Katrina and Rita on subsequent hurricane outlook and optimistic bias. </w:t>
      </w:r>
      <w:r w:rsidRPr="001E47AD">
        <w:rPr>
          <w:bCs/>
          <w:i/>
          <w:iCs/>
          <w:sz w:val="22"/>
          <w:szCs w:val="22"/>
        </w:rPr>
        <w:t>Risk Analysis,</w:t>
      </w:r>
      <w:r w:rsidRPr="001E47AD">
        <w:rPr>
          <w:sz w:val="22"/>
          <w:szCs w:val="22"/>
        </w:rPr>
        <w:t xml:space="preserve"> 31(12) 1907-1918.</w:t>
      </w:r>
    </w:p>
    <w:p w14:paraId="4C503935" w14:textId="77777777" w:rsidR="00476463" w:rsidRPr="001E47AD" w:rsidRDefault="00476463" w:rsidP="00476463">
      <w:pPr>
        <w:autoSpaceDE w:val="0"/>
        <w:autoSpaceDN w:val="0"/>
        <w:adjustRightInd w:val="0"/>
        <w:spacing w:line="480" w:lineRule="auto"/>
        <w:ind w:left="720" w:hanging="720"/>
        <w:contextualSpacing/>
        <w:rPr>
          <w:noProof/>
          <w:sz w:val="22"/>
          <w:szCs w:val="22"/>
        </w:rPr>
      </w:pPr>
      <w:r w:rsidRPr="001E47AD">
        <w:rPr>
          <w:sz w:val="22"/>
          <w:szCs w:val="22"/>
        </w:rPr>
        <w:t xml:space="preserve">U.S. Census Bureau. 2010. U.S. Gazetteer Files [Data file]. Retrieved </w:t>
      </w:r>
      <w:r w:rsidRPr="001E47AD">
        <w:rPr>
          <w:noProof/>
          <w:sz w:val="22"/>
          <w:szCs w:val="22"/>
        </w:rPr>
        <w:t xml:space="preserve">Feburary 15, 2018, </w:t>
      </w:r>
      <w:hyperlink r:id="rId41" w:history="1">
        <w:r w:rsidRPr="001E47AD">
          <w:rPr>
            <w:rStyle w:val="Hyperlink"/>
            <w:sz w:val="22"/>
            <w:szCs w:val="22"/>
          </w:rPr>
          <w:t>https://www.census.gov/geographies/reference-files/time-series/geo/gazetteer-files.2010.html</w:t>
        </w:r>
      </w:hyperlink>
      <w:r w:rsidRPr="001E47AD">
        <w:rPr>
          <w:sz w:val="22"/>
          <w:szCs w:val="22"/>
        </w:rPr>
        <w:t xml:space="preserve">. </w:t>
      </w:r>
    </w:p>
    <w:p w14:paraId="3CAF74EE" w14:textId="77777777" w:rsidR="00476463" w:rsidRPr="001E47AD" w:rsidRDefault="00476463" w:rsidP="00476463">
      <w:pPr>
        <w:spacing w:line="480" w:lineRule="auto"/>
        <w:ind w:left="720" w:hanging="720"/>
        <w:contextualSpacing/>
        <w:rPr>
          <w:sz w:val="22"/>
          <w:szCs w:val="22"/>
        </w:rPr>
      </w:pPr>
      <w:r w:rsidRPr="001E47AD">
        <w:rPr>
          <w:sz w:val="22"/>
          <w:szCs w:val="22"/>
        </w:rPr>
        <w:t xml:space="preserve">U.S. Census Bureau. 2012. U.S. Gazetteer Files [Data file]. Retrieved </w:t>
      </w:r>
      <w:r w:rsidRPr="001E47AD">
        <w:rPr>
          <w:noProof/>
          <w:sz w:val="22"/>
          <w:szCs w:val="22"/>
        </w:rPr>
        <w:t xml:space="preserve">Feburary 15, 2018, </w:t>
      </w:r>
      <w:hyperlink r:id="rId42" w:history="1">
        <w:r w:rsidRPr="001E47AD">
          <w:rPr>
            <w:rStyle w:val="Hyperlink"/>
            <w:sz w:val="22"/>
            <w:szCs w:val="22"/>
          </w:rPr>
          <w:t>https://www.census.gov/geographies/reference-files/time-series/geo/gazetteer-files.2012.html</w:t>
        </w:r>
      </w:hyperlink>
      <w:r w:rsidRPr="001E47AD">
        <w:rPr>
          <w:sz w:val="22"/>
          <w:szCs w:val="22"/>
        </w:rPr>
        <w:t xml:space="preserve">. </w:t>
      </w:r>
    </w:p>
    <w:p w14:paraId="32259DA9" w14:textId="77777777" w:rsidR="00476463" w:rsidRPr="001E47AD" w:rsidRDefault="00476463" w:rsidP="00476463">
      <w:pPr>
        <w:spacing w:line="480" w:lineRule="auto"/>
        <w:ind w:left="720" w:hanging="720"/>
        <w:contextualSpacing/>
        <w:rPr>
          <w:sz w:val="22"/>
          <w:szCs w:val="22"/>
        </w:rPr>
      </w:pPr>
      <w:r w:rsidRPr="001E47AD">
        <w:rPr>
          <w:sz w:val="22"/>
          <w:szCs w:val="22"/>
        </w:rPr>
        <w:lastRenderedPageBreak/>
        <w:t xml:space="preserve">U.S. Census Bureau. 2014. U.S. Gazetteer Files [Data file]. Retrieved </w:t>
      </w:r>
      <w:r w:rsidRPr="001E47AD">
        <w:rPr>
          <w:noProof/>
          <w:sz w:val="22"/>
          <w:szCs w:val="22"/>
        </w:rPr>
        <w:t xml:space="preserve">Feburary 15, 2018, </w:t>
      </w:r>
      <w:hyperlink r:id="rId43" w:history="1">
        <w:r w:rsidRPr="001E47AD">
          <w:rPr>
            <w:rStyle w:val="Hyperlink"/>
            <w:sz w:val="22"/>
            <w:szCs w:val="22"/>
          </w:rPr>
          <w:t>https://www.census.gov/geographies/reference-files/time-series/geo/gazetteer-files.2014.html</w:t>
        </w:r>
      </w:hyperlink>
      <w:r w:rsidRPr="001E47AD">
        <w:rPr>
          <w:rStyle w:val="Hyperlink"/>
          <w:sz w:val="22"/>
          <w:szCs w:val="22"/>
        </w:rPr>
        <w:t>.</w:t>
      </w:r>
    </w:p>
    <w:p w14:paraId="681E3602"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rFonts w:eastAsia="Times New Roman"/>
          <w:sz w:val="22"/>
          <w:szCs w:val="22"/>
          <w:lang w:val="en-CA" w:eastAsia="zh-CN"/>
        </w:rPr>
        <w:t xml:space="preserve">U.S. Geological Survey. 2010. </w:t>
      </w:r>
      <w:r w:rsidRPr="001E47AD">
        <w:rPr>
          <w:bCs/>
          <w:sz w:val="22"/>
          <w:szCs w:val="22"/>
        </w:rPr>
        <w:t>Estimated Use of Water in the United States County-Level Data for 2010</w:t>
      </w:r>
      <w:r w:rsidRPr="001E47AD">
        <w:rPr>
          <w:sz w:val="22"/>
          <w:szCs w:val="22"/>
        </w:rPr>
        <w:t xml:space="preserve"> [Data file]. Retrieved </w:t>
      </w:r>
      <w:r w:rsidRPr="001E47AD">
        <w:rPr>
          <w:noProof/>
          <w:sz w:val="22"/>
          <w:szCs w:val="22"/>
        </w:rPr>
        <w:t xml:space="preserve">Feburary 20, 2020, </w:t>
      </w:r>
      <w:hyperlink r:id="rId44" w:history="1">
        <w:r w:rsidRPr="001E47AD">
          <w:rPr>
            <w:rStyle w:val="Hyperlink"/>
            <w:sz w:val="22"/>
            <w:szCs w:val="22"/>
          </w:rPr>
          <w:t>https://water.usgs.gov/watuse/data/2010/index.html</w:t>
        </w:r>
      </w:hyperlink>
      <w:r w:rsidRPr="001E47AD">
        <w:rPr>
          <w:rStyle w:val="Hyperlink"/>
          <w:sz w:val="22"/>
          <w:szCs w:val="22"/>
        </w:rPr>
        <w:t>.</w:t>
      </w:r>
    </w:p>
    <w:p w14:paraId="6A0ACDDB"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rFonts w:eastAsia="Times New Roman"/>
          <w:sz w:val="22"/>
          <w:szCs w:val="22"/>
          <w:lang w:val="en-CA" w:eastAsia="zh-CN"/>
        </w:rPr>
        <w:t xml:space="preserve">U.S. Geological Survey. 2015. </w:t>
      </w:r>
      <w:r w:rsidRPr="001E47AD">
        <w:rPr>
          <w:bCs/>
          <w:sz w:val="22"/>
          <w:szCs w:val="22"/>
        </w:rPr>
        <w:t>Estimated Use of Water in the United States County-Level Data for 2015</w:t>
      </w:r>
      <w:r w:rsidRPr="001E47AD">
        <w:rPr>
          <w:sz w:val="22"/>
          <w:szCs w:val="22"/>
        </w:rPr>
        <w:t xml:space="preserve"> [Data file]. Retrieved </w:t>
      </w:r>
      <w:r w:rsidRPr="001E47AD">
        <w:rPr>
          <w:noProof/>
          <w:sz w:val="22"/>
          <w:szCs w:val="22"/>
        </w:rPr>
        <w:t xml:space="preserve">Feburary 20, 2020, </w:t>
      </w:r>
      <w:hyperlink r:id="rId45" w:history="1">
        <w:r w:rsidRPr="001E47AD">
          <w:rPr>
            <w:rStyle w:val="Hyperlink"/>
            <w:sz w:val="22"/>
            <w:szCs w:val="22"/>
          </w:rPr>
          <w:t>https://www.sciencebase.gov/catalog/item/get/5af3311be4b0da30c1b245d8</w:t>
        </w:r>
      </w:hyperlink>
      <w:r w:rsidRPr="001E47AD">
        <w:rPr>
          <w:rStyle w:val="Hyperlink"/>
          <w:sz w:val="22"/>
          <w:szCs w:val="22"/>
        </w:rPr>
        <w:t>.</w:t>
      </w:r>
    </w:p>
    <w:p w14:paraId="3B883050"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Windle, M. 2018. We all want grocery stores reopened after a disaster. The “How?” is much harder. Retrieved December 1, 2018, </w:t>
      </w:r>
      <w:hyperlink r:id="rId46" w:history="1">
        <w:r w:rsidRPr="001E47AD">
          <w:rPr>
            <w:rStyle w:val="Hyperlink"/>
            <w:sz w:val="22"/>
            <w:szCs w:val="22"/>
          </w:rPr>
          <w:t>https://www.linkedin.com/pulse/we-all-want-grocery-stores-reopened-after-disaster-how-michael-windle/</w:t>
        </w:r>
      </w:hyperlink>
      <w:r w:rsidRPr="001E47AD">
        <w:rPr>
          <w:sz w:val="22"/>
          <w:szCs w:val="22"/>
        </w:rPr>
        <w:t>.</w:t>
      </w:r>
    </w:p>
    <w:p w14:paraId="72B23A29" w14:textId="77777777" w:rsidR="00476463" w:rsidRPr="001E47AD" w:rsidRDefault="00476463" w:rsidP="00476463">
      <w:pPr>
        <w:autoSpaceDE w:val="0"/>
        <w:autoSpaceDN w:val="0"/>
        <w:adjustRightInd w:val="0"/>
        <w:spacing w:line="480" w:lineRule="auto"/>
        <w:ind w:left="720" w:hanging="720"/>
        <w:contextualSpacing/>
        <w:rPr>
          <w:sz w:val="22"/>
          <w:szCs w:val="22"/>
        </w:rPr>
      </w:pPr>
      <w:r w:rsidRPr="001E47AD">
        <w:rPr>
          <w:sz w:val="22"/>
          <w:szCs w:val="22"/>
        </w:rPr>
        <w:t xml:space="preserve">Yoo, E., W. Rand, M. Eftekhar, E. Rabinovich. 2016. Evaluating information diffusion speed and its determinants in social media networks during humanitarian crises. </w:t>
      </w:r>
      <w:r w:rsidRPr="001E47AD">
        <w:rPr>
          <w:bCs/>
          <w:i/>
          <w:iCs/>
          <w:sz w:val="22"/>
          <w:szCs w:val="22"/>
        </w:rPr>
        <w:t>Journal of Operations Management</w:t>
      </w:r>
      <w:r w:rsidRPr="001E47AD">
        <w:rPr>
          <w:sz w:val="22"/>
          <w:szCs w:val="22"/>
        </w:rPr>
        <w:t xml:space="preserve"> 45 123-133.</w:t>
      </w:r>
    </w:p>
    <w:p w14:paraId="3A6E3393" w14:textId="77777777" w:rsidR="00476463" w:rsidRDefault="00476463" w:rsidP="00476463">
      <w:pPr>
        <w:autoSpaceDE w:val="0"/>
        <w:autoSpaceDN w:val="0"/>
        <w:adjustRightInd w:val="0"/>
        <w:spacing w:line="480" w:lineRule="auto"/>
        <w:ind w:left="720" w:hanging="720"/>
        <w:contextualSpacing/>
        <w:rPr>
          <w:lang w:eastAsia="zh-CN"/>
        </w:rPr>
      </w:pPr>
      <w:r w:rsidRPr="001E47AD">
        <w:rPr>
          <w:sz w:val="22"/>
          <w:szCs w:val="22"/>
        </w:rPr>
        <w:t xml:space="preserve">Zipkin, P. H. 2000. </w:t>
      </w:r>
      <w:r w:rsidRPr="001E47AD">
        <w:rPr>
          <w:bCs/>
          <w:i/>
          <w:iCs/>
          <w:noProof/>
          <w:sz w:val="22"/>
          <w:szCs w:val="22"/>
        </w:rPr>
        <w:t>Foundations</w:t>
      </w:r>
      <w:r w:rsidRPr="001E47AD">
        <w:rPr>
          <w:bCs/>
          <w:i/>
          <w:iCs/>
          <w:sz w:val="22"/>
          <w:szCs w:val="22"/>
        </w:rPr>
        <w:t xml:space="preserve"> of inventory management.</w:t>
      </w:r>
      <w:r w:rsidRPr="001E47AD">
        <w:rPr>
          <w:sz w:val="22"/>
          <w:szCs w:val="22"/>
        </w:rPr>
        <w:t xml:space="preserve"> McGraw-Hill, Boston.</w:t>
      </w:r>
    </w:p>
    <w:sectPr w:rsidR="00476463" w:rsidSect="009C01AC">
      <w:endnotePr>
        <w:numFmt w:val="decimal"/>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BF17" w14:textId="77777777" w:rsidR="00EC5F60" w:rsidRDefault="00EC5F60">
      <w:r>
        <w:separator/>
      </w:r>
    </w:p>
  </w:endnote>
  <w:endnote w:type="continuationSeparator" w:id="0">
    <w:p w14:paraId="0F8DEE64" w14:textId="77777777" w:rsidR="00EC5F60" w:rsidRDefault="00EC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dvPSPAL-I">
    <w:altName w:val="Times New Roman"/>
    <w:panose1 w:val="00000000000000000000"/>
    <w:charset w:val="00"/>
    <w:family w:val="roman"/>
    <w:notTrueType/>
    <w:pitch w:val="default"/>
  </w:font>
  <w:font w:name="Times New Roman,Italic">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A11A" w14:textId="1713039C" w:rsidR="006B6D34" w:rsidRDefault="006B6D34" w:rsidP="00374DCA">
    <w:pPr>
      <w:pStyle w:val="Footer"/>
      <w:jc w:val="right"/>
    </w:pPr>
    <w:r>
      <w:fldChar w:fldCharType="begin"/>
    </w:r>
    <w:r>
      <w:instrText xml:space="preserve"> PAGE   \* MERGEFORMAT </w:instrText>
    </w:r>
    <w:r>
      <w:fldChar w:fldCharType="separate"/>
    </w:r>
    <w:r w:rsidR="0056592D">
      <w:rPr>
        <w:noProof/>
      </w:rPr>
      <w:t>48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D9507" w14:textId="77777777" w:rsidR="00EC5F60" w:rsidRDefault="00EC5F60">
      <w:r>
        <w:separator/>
      </w:r>
    </w:p>
  </w:footnote>
  <w:footnote w:type="continuationSeparator" w:id="0">
    <w:p w14:paraId="28D2ED2E" w14:textId="77777777" w:rsidR="00EC5F60" w:rsidRDefault="00EC5F60">
      <w:r>
        <w:continuationSeparator/>
      </w:r>
    </w:p>
  </w:footnote>
  <w:footnote w:id="1">
    <w:p w14:paraId="1D430DF7" w14:textId="77DF2EFB" w:rsidR="006B6D34" w:rsidRPr="00D36086" w:rsidRDefault="006B6D34" w:rsidP="008441C9">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Various administrative functions have been studied in the context of hurricane disaster management, such as decision-making processes, evacuation procedures, humanitarian logistics, emergency prevention/mitigation, emergency restoration/recovery, and casualty management (</w:t>
      </w:r>
      <w:r w:rsidRPr="00D36086">
        <w:rPr>
          <w:rFonts w:ascii="Times New Roman" w:hAnsi="Times New Roman"/>
          <w:sz w:val="20"/>
          <w:szCs w:val="20"/>
          <w:lang w:eastAsia="zh-CN"/>
        </w:rPr>
        <w:t xml:space="preserve">see </w:t>
      </w:r>
      <w:r w:rsidRPr="00D36086">
        <w:rPr>
          <w:rFonts w:ascii="Times New Roman" w:hAnsi="Times New Roman"/>
          <w:sz w:val="20"/>
          <w:szCs w:val="20"/>
        </w:rPr>
        <w:t>Gupta et al. 2016</w:t>
      </w:r>
      <w:r w:rsidRPr="00D36086">
        <w:rPr>
          <w:rFonts w:ascii="Times New Roman" w:hAnsi="Times New Roman"/>
          <w:sz w:val="20"/>
          <w:szCs w:val="20"/>
          <w:lang w:eastAsia="zh-CN"/>
        </w:rPr>
        <w:t>, for review</w:t>
      </w:r>
      <w:r w:rsidRPr="00D36086">
        <w:rPr>
          <w:rFonts w:ascii="Times New Roman" w:hAnsi="Times New Roman"/>
          <w:sz w:val="20"/>
          <w:szCs w:val="20"/>
        </w:rPr>
        <w:t>).</w:t>
      </w:r>
    </w:p>
  </w:footnote>
  <w:footnote w:id="2">
    <w:p w14:paraId="7C7B8F3F" w14:textId="77777777" w:rsidR="006B6D34" w:rsidRPr="00D36086" w:rsidRDefault="006B6D34" w:rsidP="00A65D7B">
      <w:pPr>
        <w:jc w:val="both"/>
      </w:pPr>
      <w:r w:rsidRPr="00D36086">
        <w:rPr>
          <w:rStyle w:val="FootnoteReference"/>
        </w:rPr>
        <w:footnoteRef/>
      </w:r>
      <w:r w:rsidRPr="00D36086">
        <w:t xml:space="preserve"> </w:t>
      </w:r>
      <w:r w:rsidRPr="00D36086">
        <w:rPr>
          <w:iCs/>
          <w:color w:val="222222"/>
          <w:sz w:val="20"/>
          <w:szCs w:val="20"/>
          <w:shd w:val="clear" w:color="auto" w:fill="FFFFFF"/>
        </w:rPr>
        <w:t>Researcher(s) own analyses calculated (or derived) based in part on data from The </w:t>
      </w:r>
      <w:r w:rsidRPr="00D36086">
        <w:rPr>
          <w:rStyle w:val="il"/>
          <w:iCs/>
          <w:color w:val="222222"/>
          <w:sz w:val="20"/>
          <w:szCs w:val="20"/>
          <w:shd w:val="clear" w:color="auto" w:fill="FFFFFF"/>
        </w:rPr>
        <w:t>Nielsen</w:t>
      </w:r>
      <w:r w:rsidRPr="00D36086">
        <w:rPr>
          <w:iCs/>
          <w:color w:val="222222"/>
          <w:sz w:val="20"/>
          <w:szCs w:val="20"/>
          <w:shd w:val="clear" w:color="auto" w:fill="FFFFFF"/>
        </w:rPr>
        <w:t> Company (US), LLC, and marketing databases provided through the </w:t>
      </w:r>
      <w:r w:rsidRPr="00D36086">
        <w:rPr>
          <w:rStyle w:val="il"/>
          <w:iCs/>
          <w:color w:val="222222"/>
          <w:sz w:val="20"/>
          <w:szCs w:val="20"/>
          <w:shd w:val="clear" w:color="auto" w:fill="FFFFFF"/>
        </w:rPr>
        <w:t>Nielsen</w:t>
      </w:r>
      <w:r w:rsidRPr="00D36086">
        <w:rPr>
          <w:iCs/>
          <w:color w:val="222222"/>
          <w:sz w:val="20"/>
          <w:szCs w:val="20"/>
          <w:shd w:val="clear" w:color="auto" w:fill="FFFFFF"/>
        </w:rPr>
        <w:t> Datasets at the Kilts Center for Marketing Data Center at The University of Chicago Booth School of Business. The conclusions drawn from the </w:t>
      </w:r>
      <w:r w:rsidRPr="00D36086">
        <w:rPr>
          <w:rStyle w:val="il"/>
          <w:iCs/>
          <w:color w:val="222222"/>
          <w:sz w:val="20"/>
          <w:szCs w:val="20"/>
          <w:shd w:val="clear" w:color="auto" w:fill="FFFFFF"/>
        </w:rPr>
        <w:t>Nielsen</w:t>
      </w:r>
      <w:r w:rsidRPr="00D36086">
        <w:rPr>
          <w:iCs/>
          <w:color w:val="222222"/>
          <w:sz w:val="20"/>
          <w:szCs w:val="20"/>
          <w:shd w:val="clear" w:color="auto" w:fill="FFFFFF"/>
        </w:rPr>
        <w:t> data are those of the researcher(s) and do not reflect the views of </w:t>
      </w:r>
      <w:r w:rsidRPr="00D36086">
        <w:rPr>
          <w:rStyle w:val="il"/>
          <w:iCs/>
          <w:color w:val="222222"/>
          <w:sz w:val="20"/>
          <w:szCs w:val="20"/>
          <w:shd w:val="clear" w:color="auto" w:fill="FFFFFF"/>
        </w:rPr>
        <w:t>Nielsen</w:t>
      </w:r>
      <w:r w:rsidRPr="00D36086">
        <w:rPr>
          <w:iCs/>
          <w:color w:val="222222"/>
          <w:sz w:val="20"/>
          <w:szCs w:val="20"/>
          <w:shd w:val="clear" w:color="auto" w:fill="FFFFFF"/>
        </w:rPr>
        <w:t>. </w:t>
      </w:r>
      <w:r w:rsidRPr="00D36086">
        <w:rPr>
          <w:rStyle w:val="il"/>
          <w:iCs/>
          <w:color w:val="222222"/>
          <w:sz w:val="20"/>
          <w:szCs w:val="20"/>
          <w:shd w:val="clear" w:color="auto" w:fill="FFFFFF"/>
        </w:rPr>
        <w:t>Nielsen</w:t>
      </w:r>
      <w:r w:rsidRPr="00D36086">
        <w:rPr>
          <w:iCs/>
          <w:color w:val="222222"/>
          <w:sz w:val="20"/>
          <w:szCs w:val="20"/>
          <w:shd w:val="clear" w:color="auto" w:fill="FFFFFF"/>
        </w:rPr>
        <w:t> is not responsible for, had no role in, and was not involved in analyzing and preparing the results reported herein.</w:t>
      </w:r>
    </w:p>
  </w:footnote>
  <w:footnote w:id="3">
    <w:p w14:paraId="2CC5E586" w14:textId="77777777" w:rsidR="006B6D34" w:rsidRPr="00D36086" w:rsidRDefault="006B6D34" w:rsidP="005D5F90">
      <w:pPr>
        <w:pStyle w:val="FootnoteText"/>
        <w:jc w:val="both"/>
        <w:rPr>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The National Hurricane Center defines the ‘cone of uncertainty’ as: “</w:t>
      </w:r>
      <w:r w:rsidRPr="00D36086">
        <w:rPr>
          <w:rFonts w:ascii="Times New Roman" w:hAnsi="Times New Roman"/>
          <w:i/>
          <w:color w:val="000000"/>
          <w:sz w:val="20"/>
          <w:szCs w:val="20"/>
        </w:rPr>
        <w:t>The cone represents the probable track of the center of a tropical cyclone, and is formed by enclosing the area swept out by a set of circles (not shown) along the forecast track (at 12, 24, 36 hours, etc.). The size of each circle is set so that two-thirds of historical official forecast errors over a 5-year sample fall within the circle.</w:t>
      </w:r>
      <w:r w:rsidRPr="00D36086">
        <w:rPr>
          <w:rFonts w:ascii="Times New Roman" w:hAnsi="Times New Roman"/>
          <w:sz w:val="20"/>
          <w:szCs w:val="20"/>
        </w:rPr>
        <w:t>”</w:t>
      </w:r>
    </w:p>
  </w:footnote>
  <w:footnote w:id="4">
    <w:p w14:paraId="32140B02" w14:textId="77777777" w:rsidR="006B6D34" w:rsidRPr="00D36086" w:rsidRDefault="006B6D34" w:rsidP="00115E0A">
      <w:pPr>
        <w:pStyle w:val="FootnoteText"/>
        <w:jc w:val="both"/>
        <w:rPr>
          <w:sz w:val="20"/>
          <w:szCs w:val="20"/>
        </w:rPr>
      </w:pPr>
      <w:r w:rsidRPr="00D36086">
        <w:rPr>
          <w:rStyle w:val="FootnoteReference"/>
          <w:sz w:val="20"/>
          <w:szCs w:val="20"/>
        </w:rPr>
        <w:footnoteRef/>
      </w:r>
      <w:r w:rsidRPr="00D36086">
        <w:rPr>
          <w:sz w:val="20"/>
          <w:szCs w:val="20"/>
        </w:rPr>
        <w:t xml:space="preserve"> </w:t>
      </w:r>
      <w:r w:rsidRPr="00D36086">
        <w:rPr>
          <w:rFonts w:ascii="Times New Roman" w:hAnsi="Times New Roman"/>
          <w:sz w:val="20"/>
          <w:szCs w:val="20"/>
        </w:rPr>
        <w:t xml:space="preserve">Three parameters are usually chosen to define the </w:t>
      </w:r>
      <w:r w:rsidRPr="00D36086">
        <w:rPr>
          <w:rFonts w:ascii="Times New Roman" w:hAnsi="Times New Roman"/>
          <w:noProof/>
          <w:sz w:val="20"/>
          <w:szCs w:val="20"/>
        </w:rPr>
        <w:t>size</w:t>
      </w:r>
      <w:r w:rsidRPr="00D36086">
        <w:rPr>
          <w:rFonts w:ascii="Times New Roman" w:hAnsi="Times New Roman"/>
          <w:sz w:val="20"/>
          <w:szCs w:val="20"/>
        </w:rPr>
        <w:t xml:space="preserve"> of a tropical cyclone: the radius of maximum wind (RMW), the average 34-knot radius (AR34), and the radius of the outermost closed isobar (ROCI) (Cangialosi and Landsea 2016, Carrasco et al. 2014, Demuth et al. 2006). From a retail operations perspective, consumers may show stockpiling propensity beyond the thresholds of RMW and AR34; therefore, we utilize the most relevant parameter, ROCI, to study consumer stockpiling propensity.</w:t>
      </w:r>
    </w:p>
  </w:footnote>
  <w:footnote w:id="5">
    <w:p w14:paraId="74A690F4" w14:textId="7282EDD1" w:rsidR="006B6D34" w:rsidRPr="00D36086" w:rsidRDefault="006B6D34" w:rsidP="006C2CA9">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For this study, we define a four-week PRE event period and a four-week POST event period for all four hurricane events to keep a similar degree of demand subject to seasonality.</w:t>
      </w:r>
    </w:p>
  </w:footnote>
  <w:footnote w:id="6">
    <w:p w14:paraId="3513D11C" w14:textId="30129C0C" w:rsidR="006B6D34" w:rsidRPr="00D36086" w:rsidRDefault="006B6D34" w:rsidP="008A475E">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In the current analysis INFLUENCE date is defined as the date of the hurricane’s nearest proximity. As an alternative, we test the results when INFLUENCE date is defined as the landfall date, giving rise to similar insights. We thank the anonymous referee for suggesting the current definition of INFLEUENCE date.</w:t>
      </w:r>
    </w:p>
  </w:footnote>
  <w:footnote w:id="7">
    <w:p w14:paraId="5449EB5F" w14:textId="77777777" w:rsidR="006B6D34" w:rsidRPr="00D36086" w:rsidRDefault="006B6D34" w:rsidP="00FE7122">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For example, if the INFLUENCE date is on Thursday, Friday or Saturday, we use the week containing the INFLUENCE date as the EARLY event week, but if it is on Sunday, Monday, Tuesday, or Wednesday, we take the previous week as the EARLY event week.</w:t>
      </w:r>
    </w:p>
  </w:footnote>
  <w:footnote w:id="8">
    <w:p w14:paraId="4A329AB8" w14:textId="77777777" w:rsidR="006B6D34" w:rsidRPr="00D36086" w:rsidRDefault="006B6D34" w:rsidP="00E243D3">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The 2019 hurricane, Dorian, is an illustration of this phenomenon. The coastal area of Florida was influenced by the hurricane (September 2-4) prior to its landfall in North Carolina (September 6).</w:t>
      </w:r>
    </w:p>
  </w:footnote>
  <w:footnote w:id="9">
    <w:p w14:paraId="1266668E" w14:textId="77777777" w:rsidR="006B6D34" w:rsidRPr="00364439" w:rsidRDefault="006B6D34" w:rsidP="00E243D3">
      <w:pPr>
        <w:pStyle w:val="FootnoteText"/>
        <w:jc w:val="both"/>
        <w:rPr>
          <w:rFonts w:ascii="Times New Roman" w:hAnsi="Times New Roman"/>
          <w:sz w:val="20"/>
          <w:szCs w:val="20"/>
        </w:rPr>
      </w:pPr>
      <w:r w:rsidRPr="00F77682">
        <w:rPr>
          <w:rStyle w:val="FootnoteReference"/>
          <w:rFonts w:ascii="Times New Roman" w:hAnsi="Times New Roman"/>
          <w:sz w:val="20"/>
          <w:szCs w:val="20"/>
        </w:rPr>
        <w:footnoteRef/>
      </w:r>
      <w:r w:rsidRPr="00F77682">
        <w:rPr>
          <w:rFonts w:ascii="Times New Roman" w:hAnsi="Times New Roman"/>
          <w:sz w:val="20"/>
          <w:szCs w:val="20"/>
        </w:rPr>
        <w:t xml:space="preserve"> Some hurricanes may make multiple landfalls. For example, hurricane Irene in 2011 made landfalls in Cape Lookout, NC, at 12:00 on August 27, Brigantine Island, NJ, at 09:35 on August 28, and Coney Island, NY, at 13:00 on August 28. We use the first landfall date, while controlling for the elapsed time from the first landfall to when the hurrican</w:t>
      </w:r>
      <w:r w:rsidRPr="00364439">
        <w:rPr>
          <w:rFonts w:ascii="Times New Roman" w:hAnsi="Times New Roman"/>
          <w:sz w:val="20"/>
          <w:szCs w:val="20"/>
        </w:rPr>
        <w:t>e track is in proximity to the store in the observation.</w:t>
      </w:r>
    </w:p>
  </w:footnote>
  <w:footnote w:id="10">
    <w:p w14:paraId="7D3BE2AB" w14:textId="3B801572" w:rsidR="008B40A7" w:rsidRDefault="008B40A7" w:rsidP="0048429F">
      <w:pPr>
        <w:pStyle w:val="FootnoteText"/>
        <w:jc w:val="both"/>
      </w:pPr>
      <w:r w:rsidRPr="00364439">
        <w:rPr>
          <w:rStyle w:val="FootnoteReference"/>
        </w:rPr>
        <w:footnoteRef/>
      </w:r>
      <w:r w:rsidRPr="00364439">
        <w:t xml:space="preserve"> </w:t>
      </w:r>
      <w:r w:rsidRPr="00364439">
        <w:rPr>
          <w:rFonts w:ascii="Times New Roman" w:hAnsi="Times New Roman"/>
          <w:sz w:val="20"/>
          <w:szCs w:val="20"/>
          <w:lang w:eastAsia="zh-CN"/>
        </w:rPr>
        <w:t>The results from the first stage</w:t>
      </w:r>
      <w:r w:rsidR="009E3AAA" w:rsidRPr="00364439">
        <w:rPr>
          <w:rFonts w:ascii="Times New Roman" w:hAnsi="Times New Roman"/>
          <w:sz w:val="20"/>
          <w:szCs w:val="20"/>
          <w:lang w:eastAsia="zh-CN"/>
        </w:rPr>
        <w:t xml:space="preserve"> of this model</w:t>
      </w:r>
      <w:r w:rsidRPr="00364439">
        <w:rPr>
          <w:rFonts w:ascii="Times New Roman" w:hAnsi="Times New Roman"/>
          <w:sz w:val="20"/>
          <w:szCs w:val="20"/>
          <w:lang w:eastAsia="zh-CN"/>
        </w:rPr>
        <w:t xml:space="preserve"> </w:t>
      </w:r>
      <w:r w:rsidR="009E3AAA" w:rsidRPr="00364439">
        <w:rPr>
          <w:rFonts w:ascii="Times New Roman" w:hAnsi="Times New Roman"/>
          <w:sz w:val="20"/>
          <w:szCs w:val="20"/>
          <w:lang w:eastAsia="zh-CN"/>
        </w:rPr>
        <w:t xml:space="preserve">(which includes the instrumental variables) </w:t>
      </w:r>
      <w:r w:rsidRPr="00364439">
        <w:rPr>
          <w:rFonts w:ascii="Times New Roman" w:hAnsi="Times New Roman"/>
          <w:sz w:val="20"/>
          <w:szCs w:val="20"/>
          <w:lang w:eastAsia="zh-CN"/>
        </w:rPr>
        <w:t>are presented in Table A2 in the Appendix and are not materially different from the estimating results of Equation 1.</w:t>
      </w:r>
    </w:p>
  </w:footnote>
  <w:footnote w:id="11">
    <w:p w14:paraId="4F616BC1" w14:textId="7FDA1EB1" w:rsidR="006B6D34" w:rsidRPr="00D36086" w:rsidRDefault="006B6D34" w:rsidP="004B285F">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For each store outlet, we let </w:t>
      </w:r>
      <m:oMath>
        <m:sSub>
          <m:sSubPr>
            <m:ctrlPr>
              <w:rPr>
                <w:rFonts w:ascii="Cambria Math" w:hAnsi="Cambria Math"/>
                <w:sz w:val="20"/>
                <w:szCs w:val="20"/>
              </w:rPr>
            </m:ctrlPr>
          </m:sSubPr>
          <m:e>
            <m:r>
              <m:rPr>
                <m:sty m:val="p"/>
              </m:rPr>
              <w:rPr>
                <w:rFonts w:ascii="Cambria Math" w:hAnsi="Cambria Math"/>
                <w:sz w:val="20"/>
                <w:szCs w:val="20"/>
              </w:rPr>
              <m:t>VOL_PRE</m:t>
            </m:r>
          </m:e>
          <m:sub>
            <m:r>
              <m:rPr>
                <m:sty m:val="p"/>
              </m:rPr>
              <w:rPr>
                <w:rFonts w:ascii="Cambria Math" w:hAnsi="Cambria Math"/>
                <w:sz w:val="20"/>
                <w:szCs w:val="20"/>
              </w:rPr>
              <m:t>i</m:t>
            </m:r>
          </m:sub>
        </m:sSub>
      </m:oMath>
      <w:r w:rsidRPr="00D36086">
        <w:rPr>
          <w:rFonts w:ascii="Times New Roman" w:hAnsi="Times New Roman"/>
          <w:sz w:val="20"/>
          <w:szCs w:val="20"/>
        </w:rPr>
        <w:t xml:space="preserve"> be the sales volume for each of the four PRE event weeks and </w:t>
      </w:r>
      <m:oMath>
        <m:r>
          <m:rPr>
            <m:sty m:val="p"/>
          </m:rPr>
          <w:rPr>
            <w:rFonts w:ascii="Cambria Math" w:hAnsi="Cambria Math"/>
            <w:sz w:val="20"/>
            <w:szCs w:val="20"/>
          </w:rPr>
          <m:t>VOL_EARLY</m:t>
        </m:r>
      </m:oMath>
      <w:r w:rsidRPr="00D36086">
        <w:rPr>
          <w:rFonts w:ascii="Times New Roman" w:hAnsi="Times New Roman"/>
          <w:sz w:val="20"/>
          <w:szCs w:val="20"/>
        </w:rPr>
        <w:t xml:space="preserve"> be the sales volume for the EARLY event week. Thus, consumer stockpiling propensity in EARLY event week is </w:t>
      </w:r>
      <m:oMath>
        <m:r>
          <m:rPr>
            <m:sty m:val="p"/>
          </m:rPr>
          <w:rPr>
            <w:rFonts w:ascii="Cambria Math" w:hAnsi="Cambria Math"/>
            <w:sz w:val="20"/>
            <w:szCs w:val="20"/>
            <w:lang w:eastAsia="zh-CN"/>
          </w:rPr>
          <m:t>STOCK_PROP_EARLY=VOL_EARLY/</m:t>
        </m:r>
        <m:f>
          <m:fPr>
            <m:ctrlPr>
              <w:rPr>
                <w:rFonts w:ascii="Cambria Math" w:hAnsi="Cambria Math"/>
                <w:sz w:val="20"/>
                <w:szCs w:val="20"/>
                <w:lang w:eastAsia="zh-CN"/>
              </w:rPr>
            </m:ctrlPr>
          </m:fPr>
          <m:num>
            <m:r>
              <m:rPr>
                <m:sty m:val="p"/>
              </m:rPr>
              <w:rPr>
                <w:rFonts w:ascii="Cambria Math" w:hAnsi="Cambria Math"/>
                <w:sz w:val="20"/>
                <w:szCs w:val="20"/>
                <w:lang w:eastAsia="zh-CN"/>
              </w:rPr>
              <m:t>1</m:t>
            </m:r>
          </m:num>
          <m:den>
            <m:r>
              <m:rPr>
                <m:sty m:val="p"/>
              </m:rPr>
              <w:rPr>
                <w:rFonts w:ascii="Cambria Math" w:hAnsi="Cambria Math"/>
                <w:sz w:val="20"/>
                <w:szCs w:val="20"/>
                <w:lang w:eastAsia="zh-CN"/>
              </w:rPr>
              <m:t>4</m:t>
            </m:r>
          </m:den>
        </m:f>
        <m:nary>
          <m:naryPr>
            <m:chr m:val="∑"/>
            <m:limLoc m:val="undOvr"/>
            <m:ctrlPr>
              <w:rPr>
                <w:rFonts w:ascii="Cambria Math" w:hAnsi="Cambria Math"/>
                <w:sz w:val="20"/>
                <w:szCs w:val="20"/>
                <w:lang w:eastAsia="zh-CN"/>
              </w:rPr>
            </m:ctrlPr>
          </m:naryPr>
          <m:sub>
            <m:r>
              <m:rPr>
                <m:sty m:val="p"/>
              </m:rPr>
              <w:rPr>
                <w:rFonts w:ascii="Cambria Math" w:hAnsi="Cambria Math"/>
                <w:sz w:val="20"/>
                <w:szCs w:val="20"/>
                <w:lang w:eastAsia="zh-CN"/>
              </w:rPr>
              <m:t>i=1</m:t>
            </m:r>
          </m:sub>
          <m:sup>
            <m:r>
              <m:rPr>
                <m:sty m:val="p"/>
              </m:rPr>
              <w:rPr>
                <w:rFonts w:ascii="Cambria Math" w:hAnsi="Cambria Math"/>
                <w:sz w:val="20"/>
                <w:szCs w:val="20"/>
                <w:lang w:eastAsia="zh-CN"/>
              </w:rPr>
              <m:t>4</m:t>
            </m:r>
          </m:sup>
          <m:e>
            <m:sSub>
              <m:sSubPr>
                <m:ctrlPr>
                  <w:rPr>
                    <w:rFonts w:ascii="Cambria Math" w:hAnsi="Cambria Math"/>
                    <w:sz w:val="20"/>
                    <w:szCs w:val="20"/>
                    <w:lang w:eastAsia="zh-CN"/>
                  </w:rPr>
                </m:ctrlPr>
              </m:sSubPr>
              <m:e>
                <m:r>
                  <m:rPr>
                    <m:sty m:val="p"/>
                  </m:rPr>
                  <w:rPr>
                    <w:rFonts w:ascii="Cambria Math" w:hAnsi="Cambria Math"/>
                    <w:sz w:val="20"/>
                    <w:szCs w:val="20"/>
                    <w:lang w:eastAsia="zh-CN"/>
                  </w:rPr>
                  <m:t>VOL_PRE</m:t>
                </m:r>
              </m:e>
              <m:sub>
                <m:r>
                  <m:rPr>
                    <m:sty m:val="p"/>
                  </m:rPr>
                  <w:rPr>
                    <w:rFonts w:ascii="Cambria Math" w:hAnsi="Cambria Math"/>
                    <w:sz w:val="20"/>
                    <w:szCs w:val="20"/>
                    <w:lang w:eastAsia="zh-CN"/>
                  </w:rPr>
                  <m:t>i</m:t>
                </m:r>
              </m:sub>
            </m:sSub>
          </m:e>
        </m:nary>
      </m:oMath>
      <w:r w:rsidRPr="00D36086">
        <w:rPr>
          <w:rFonts w:ascii="Times New Roman" w:hAnsi="Times New Roman"/>
          <w:sz w:val="20"/>
          <w:szCs w:val="20"/>
          <w:lang w:eastAsia="zh-CN"/>
        </w:rPr>
        <w:t>.</w:t>
      </w:r>
    </w:p>
  </w:footnote>
  <w:footnote w:id="12">
    <w:p w14:paraId="676FB1FD" w14:textId="3B0BB98A" w:rsidR="006B6D34" w:rsidRPr="00D36086" w:rsidRDefault="006B6D34" w:rsidP="00565567">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For each store outlet observation, we let </w:t>
      </w:r>
      <m:oMath>
        <m:sSub>
          <m:sSubPr>
            <m:ctrlPr>
              <w:rPr>
                <w:rFonts w:ascii="Cambria Math" w:hAnsi="Cambria Math"/>
                <w:sz w:val="20"/>
                <w:szCs w:val="20"/>
              </w:rPr>
            </m:ctrlPr>
          </m:sSubPr>
          <m:e>
            <m:r>
              <m:rPr>
                <m:sty m:val="p"/>
              </m:rPr>
              <w:rPr>
                <w:rFonts w:ascii="Cambria Math" w:hAnsi="Cambria Math"/>
                <w:sz w:val="20"/>
                <w:szCs w:val="20"/>
              </w:rPr>
              <m:t>UPC_PRE</m:t>
            </m:r>
          </m:e>
          <m:sub>
            <m:r>
              <m:rPr>
                <m:sty m:val="p"/>
              </m:rPr>
              <w:rPr>
                <w:rFonts w:ascii="Cambria Math" w:hAnsi="Cambria Math"/>
                <w:sz w:val="20"/>
                <w:szCs w:val="20"/>
              </w:rPr>
              <m:t>i</m:t>
            </m:r>
          </m:sub>
        </m:sSub>
      </m:oMath>
      <w:r>
        <w:rPr>
          <w:rFonts w:ascii="Times New Roman" w:hAnsi="Times New Roman"/>
          <w:sz w:val="20"/>
          <w:szCs w:val="20"/>
        </w:rPr>
        <w:t xml:space="preserve"> be the number of different </w:t>
      </w:r>
      <w:r w:rsidRPr="00D36086">
        <w:rPr>
          <w:rFonts w:ascii="Times New Roman" w:hAnsi="Times New Roman"/>
          <w:sz w:val="20"/>
          <w:szCs w:val="20"/>
        </w:rPr>
        <w:t>U</w:t>
      </w:r>
      <w:r>
        <w:rPr>
          <w:rFonts w:ascii="Times New Roman" w:hAnsi="Times New Roman"/>
          <w:sz w:val="20"/>
          <w:szCs w:val="20"/>
        </w:rPr>
        <w:t>PC</w:t>
      </w:r>
      <w:r w:rsidRPr="00D36086">
        <w:rPr>
          <w:rFonts w:ascii="Times New Roman" w:hAnsi="Times New Roman"/>
          <w:sz w:val="20"/>
          <w:szCs w:val="20"/>
        </w:rPr>
        <w:t xml:space="preserve">s sold during each of the four PRE event weeks, and let </w:t>
      </w:r>
      <m:oMath>
        <m:r>
          <m:rPr>
            <m:sty m:val="p"/>
          </m:rPr>
          <w:rPr>
            <w:rFonts w:ascii="Cambria Math" w:hAnsi="Cambria Math"/>
            <w:sz w:val="20"/>
            <w:szCs w:val="20"/>
          </w:rPr>
          <m:t>UPC_LATE</m:t>
        </m:r>
      </m:oMath>
      <w:r w:rsidRPr="00D36086">
        <w:rPr>
          <w:rFonts w:ascii="Times New Roman" w:hAnsi="Times New Roman"/>
          <w:sz w:val="20"/>
          <w:szCs w:val="20"/>
        </w:rPr>
        <w:t xml:space="preserve"> d</w:t>
      </w:r>
      <w:r>
        <w:rPr>
          <w:rFonts w:ascii="Times New Roman" w:hAnsi="Times New Roman"/>
          <w:sz w:val="20"/>
          <w:szCs w:val="20"/>
        </w:rPr>
        <w:t xml:space="preserve">enote the number of different </w:t>
      </w:r>
      <w:r w:rsidRPr="00D36086">
        <w:rPr>
          <w:rFonts w:ascii="Times New Roman" w:hAnsi="Times New Roman"/>
          <w:sz w:val="20"/>
          <w:szCs w:val="20"/>
        </w:rPr>
        <w:t>U</w:t>
      </w:r>
      <w:r>
        <w:rPr>
          <w:rFonts w:ascii="Times New Roman" w:hAnsi="Times New Roman"/>
          <w:sz w:val="20"/>
          <w:szCs w:val="20"/>
        </w:rPr>
        <w:t>PC</w:t>
      </w:r>
      <w:r w:rsidRPr="00D36086">
        <w:rPr>
          <w:rFonts w:ascii="Times New Roman" w:hAnsi="Times New Roman"/>
          <w:sz w:val="20"/>
          <w:szCs w:val="20"/>
        </w:rPr>
        <w:t xml:space="preserve">s sold during the LATE event week. Thus, in-store product availability for the LATE event week is given by </w:t>
      </w:r>
      <m:oMath>
        <m:r>
          <m:rPr>
            <m:sty m:val="p"/>
          </m:rPr>
          <w:rPr>
            <w:rFonts w:ascii="Cambria Math" w:hAnsi="Cambria Math"/>
            <w:sz w:val="20"/>
            <w:szCs w:val="20"/>
            <w:lang w:eastAsia="zh-CN"/>
          </w:rPr>
          <m:t>PRODUCT_AVAIL_LATE=UPC_LATE/</m:t>
        </m:r>
        <m:f>
          <m:fPr>
            <m:ctrlPr>
              <w:rPr>
                <w:rFonts w:ascii="Cambria Math" w:hAnsi="Cambria Math"/>
                <w:sz w:val="20"/>
                <w:szCs w:val="20"/>
                <w:lang w:eastAsia="zh-CN"/>
              </w:rPr>
            </m:ctrlPr>
          </m:fPr>
          <m:num>
            <m:r>
              <m:rPr>
                <m:sty m:val="p"/>
              </m:rPr>
              <w:rPr>
                <w:rFonts w:ascii="Cambria Math" w:hAnsi="Cambria Math"/>
                <w:sz w:val="20"/>
                <w:szCs w:val="20"/>
                <w:lang w:eastAsia="zh-CN"/>
              </w:rPr>
              <m:t>1</m:t>
            </m:r>
          </m:num>
          <m:den>
            <m:r>
              <m:rPr>
                <m:sty m:val="p"/>
              </m:rPr>
              <w:rPr>
                <w:rFonts w:ascii="Cambria Math" w:hAnsi="Cambria Math"/>
                <w:sz w:val="20"/>
                <w:szCs w:val="20"/>
                <w:lang w:eastAsia="zh-CN"/>
              </w:rPr>
              <m:t>4</m:t>
            </m:r>
          </m:den>
        </m:f>
        <m:nary>
          <m:naryPr>
            <m:chr m:val="∑"/>
            <m:limLoc m:val="undOvr"/>
            <m:ctrlPr>
              <w:rPr>
                <w:rFonts w:ascii="Cambria Math" w:hAnsi="Cambria Math"/>
                <w:sz w:val="20"/>
                <w:szCs w:val="20"/>
                <w:lang w:eastAsia="zh-CN"/>
              </w:rPr>
            </m:ctrlPr>
          </m:naryPr>
          <m:sub>
            <m:r>
              <m:rPr>
                <m:sty m:val="p"/>
              </m:rPr>
              <w:rPr>
                <w:rFonts w:ascii="Cambria Math" w:hAnsi="Cambria Math"/>
                <w:sz w:val="20"/>
                <w:szCs w:val="20"/>
                <w:lang w:eastAsia="zh-CN"/>
              </w:rPr>
              <m:t>i=1</m:t>
            </m:r>
          </m:sub>
          <m:sup>
            <m:r>
              <m:rPr>
                <m:sty m:val="p"/>
              </m:rPr>
              <w:rPr>
                <w:rFonts w:ascii="Cambria Math" w:hAnsi="Cambria Math"/>
                <w:sz w:val="20"/>
                <w:szCs w:val="20"/>
                <w:lang w:eastAsia="zh-CN"/>
              </w:rPr>
              <m:t>4</m:t>
            </m:r>
          </m:sup>
          <m:e>
            <m:sSub>
              <m:sSubPr>
                <m:ctrlPr>
                  <w:rPr>
                    <w:rFonts w:ascii="Cambria Math" w:hAnsi="Cambria Math"/>
                    <w:sz w:val="20"/>
                    <w:szCs w:val="20"/>
                    <w:lang w:eastAsia="zh-CN"/>
                  </w:rPr>
                </m:ctrlPr>
              </m:sSubPr>
              <m:e>
                <m:r>
                  <m:rPr>
                    <m:sty m:val="p"/>
                  </m:rPr>
                  <w:rPr>
                    <w:rFonts w:ascii="Cambria Math" w:hAnsi="Cambria Math"/>
                    <w:sz w:val="20"/>
                    <w:szCs w:val="20"/>
                    <w:lang w:eastAsia="zh-CN"/>
                  </w:rPr>
                  <m:t>UPC_PRE</m:t>
                </m:r>
              </m:e>
              <m:sub>
                <m:r>
                  <m:rPr>
                    <m:sty m:val="p"/>
                  </m:rPr>
                  <w:rPr>
                    <w:rFonts w:ascii="Cambria Math" w:hAnsi="Cambria Math"/>
                    <w:sz w:val="20"/>
                    <w:szCs w:val="20"/>
                    <w:lang w:eastAsia="zh-CN"/>
                  </w:rPr>
                  <m:t>i</m:t>
                </m:r>
              </m:sub>
            </m:sSub>
          </m:e>
        </m:nary>
      </m:oMath>
      <w:r w:rsidRPr="00D36086">
        <w:rPr>
          <w:rFonts w:ascii="Times New Roman" w:hAnsi="Times New Roman"/>
          <w:sz w:val="20"/>
          <w:szCs w:val="20"/>
          <w:lang w:eastAsia="zh-CN"/>
        </w:rPr>
        <w:t>, with similar expressions for in-store product availability for the four POST event weeks.</w:t>
      </w:r>
    </w:p>
  </w:footnote>
  <w:footnote w:id="13">
    <w:p w14:paraId="430C1FCF" w14:textId="61ED65F2" w:rsidR="006B6D34" w:rsidRPr="00D36086" w:rsidRDefault="006B6D34" w:rsidP="004B285F">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In Section 4.3., we conduct </w:t>
      </w:r>
      <w:r w:rsidRPr="00D36086">
        <w:rPr>
          <w:rFonts w:ascii="Times New Roman" w:hAnsi="Times New Roman" w:hint="eastAsia"/>
          <w:sz w:val="20"/>
          <w:szCs w:val="20"/>
        </w:rPr>
        <w:t>another</w:t>
      </w:r>
      <w:r w:rsidRPr="00D36086">
        <w:rPr>
          <w:rFonts w:ascii="Times New Roman" w:hAnsi="Times New Roman"/>
          <w:sz w:val="20"/>
          <w:szCs w:val="20"/>
        </w:rPr>
        <w:t xml:space="preserve"> robustness check by accounting for alternative methods for estimating in-store product availability</w:t>
      </w:r>
      <w:r w:rsidRPr="00D36086">
        <w:rPr>
          <w:rFonts w:ascii="Times New Roman" w:hAnsi="Times New Roman" w:hint="eastAsia"/>
          <w:sz w:val="20"/>
          <w:szCs w:val="20"/>
        </w:rPr>
        <w:t xml:space="preserve">, in particular, </w:t>
      </w:r>
      <w:r w:rsidRPr="00D36086">
        <w:rPr>
          <w:rFonts w:ascii="Times New Roman" w:hAnsi="Times New Roman"/>
          <w:sz w:val="20"/>
          <w:szCs w:val="20"/>
        </w:rPr>
        <w:t>by setting the max</w:t>
      </w:r>
      <w:r>
        <w:rPr>
          <w:rFonts w:ascii="Times New Roman" w:hAnsi="Times New Roman"/>
          <w:sz w:val="20"/>
          <w:szCs w:val="20"/>
        </w:rPr>
        <w:t xml:space="preserve">imum weekly number of product </w:t>
      </w:r>
      <w:r w:rsidRPr="00D36086">
        <w:rPr>
          <w:rFonts w:ascii="Times New Roman" w:hAnsi="Times New Roman"/>
          <w:sz w:val="20"/>
          <w:szCs w:val="20"/>
        </w:rPr>
        <w:t>U</w:t>
      </w:r>
      <w:r>
        <w:rPr>
          <w:rFonts w:ascii="Times New Roman" w:hAnsi="Times New Roman"/>
          <w:sz w:val="20"/>
          <w:szCs w:val="20"/>
        </w:rPr>
        <w:t>PC</w:t>
      </w:r>
      <w:r w:rsidRPr="00D36086">
        <w:rPr>
          <w:rFonts w:ascii="Times New Roman" w:hAnsi="Times New Roman"/>
          <w:sz w:val="20"/>
          <w:szCs w:val="20"/>
        </w:rPr>
        <w:t>s sold during the four PRE event weeks as a benchmark. As noted therein, the results are consis</w:t>
      </w:r>
      <w:r>
        <w:rPr>
          <w:rFonts w:ascii="Times New Roman" w:hAnsi="Times New Roman"/>
          <w:sz w:val="20"/>
          <w:szCs w:val="20"/>
        </w:rPr>
        <w:t xml:space="preserve">tent with our primary findings.  </w:t>
      </w:r>
    </w:p>
  </w:footnote>
  <w:footnote w:id="14">
    <w:p w14:paraId="5FCB1E21" w14:textId="01283B15" w:rsidR="006B6D34" w:rsidRPr="00CB4155" w:rsidRDefault="006B6D34" w:rsidP="00CB4155">
      <w:pPr>
        <w:pStyle w:val="FootnoteText"/>
        <w:jc w:val="both"/>
        <w:rPr>
          <w:rFonts w:ascii="Times New Roman" w:hAnsi="Times New Roman"/>
          <w:sz w:val="20"/>
          <w:szCs w:val="20"/>
        </w:rPr>
      </w:pPr>
      <w:r w:rsidRPr="005536D5">
        <w:rPr>
          <w:rStyle w:val="FootnoteReference"/>
          <w:rFonts w:ascii="Times New Roman" w:hAnsi="Times New Roman"/>
          <w:sz w:val="20"/>
          <w:szCs w:val="20"/>
        </w:rPr>
        <w:footnoteRef/>
      </w:r>
      <w:r w:rsidRPr="005536D5">
        <w:rPr>
          <w:rFonts w:ascii="Times New Roman" w:hAnsi="Times New Roman"/>
          <w:sz w:val="20"/>
          <w:szCs w:val="20"/>
        </w:rPr>
        <w:t xml:space="preserve"> </w:t>
      </w:r>
      <w:r w:rsidRPr="005536D5">
        <w:rPr>
          <w:rFonts w:ascii="Times New Roman" w:eastAsiaTheme="minorEastAsia" w:hAnsi="Times New Roman"/>
          <w:sz w:val="20"/>
          <w:szCs w:val="20"/>
          <w:lang w:eastAsia="zh-CN"/>
        </w:rPr>
        <w:t xml:space="preserve">We also estimate models without controlling for changes in sales volume in </w:t>
      </w:r>
      <w:r w:rsidR="00524284" w:rsidRPr="005536D5">
        <w:rPr>
          <w:rFonts w:ascii="Times New Roman" w:eastAsiaTheme="minorEastAsia" w:hAnsi="Times New Roman"/>
          <w:sz w:val="20"/>
          <w:szCs w:val="20"/>
          <w:lang w:eastAsia="zh-CN"/>
        </w:rPr>
        <w:t>the 2SLS model</w:t>
      </w:r>
      <w:r w:rsidRPr="005536D5">
        <w:rPr>
          <w:rFonts w:ascii="Times New Roman" w:eastAsiaTheme="minorEastAsia" w:hAnsi="Times New Roman"/>
          <w:sz w:val="20"/>
          <w:szCs w:val="20"/>
          <w:lang w:eastAsia="zh-CN"/>
        </w:rPr>
        <w:t xml:space="preserve"> in Section 3.4. T</w:t>
      </w:r>
      <w:r w:rsidRPr="005536D5">
        <w:rPr>
          <w:rFonts w:ascii="Times New Roman" w:hAnsi="Times New Roman"/>
          <w:sz w:val="20"/>
          <w:szCs w:val="20"/>
        </w:rPr>
        <w:t>he results are consistent with our primary findings.</w:t>
      </w:r>
    </w:p>
  </w:footnote>
  <w:footnote w:id="15">
    <w:p w14:paraId="5D56B25D" w14:textId="189D2307" w:rsidR="006B6D34" w:rsidRPr="00E17ACD" w:rsidRDefault="006B6D34" w:rsidP="003F3364">
      <w:pPr>
        <w:pStyle w:val="FootnoteText"/>
        <w:jc w:val="both"/>
        <w:rPr>
          <w:rFonts w:ascii="Times New Roman" w:hAnsi="Times New Roman"/>
          <w:sz w:val="20"/>
          <w:szCs w:val="20"/>
        </w:rPr>
      </w:pPr>
      <w:r w:rsidRPr="00E17ACD">
        <w:rPr>
          <w:rStyle w:val="FootnoteReference"/>
          <w:rFonts w:ascii="Times New Roman" w:hAnsi="Times New Roman"/>
          <w:sz w:val="20"/>
          <w:szCs w:val="20"/>
        </w:rPr>
        <w:footnoteRef/>
      </w:r>
      <w:r w:rsidRPr="00E17ACD">
        <w:rPr>
          <w:rFonts w:ascii="Times New Roman" w:hAnsi="Times New Roman"/>
          <w:sz w:val="20"/>
          <w:szCs w:val="20"/>
        </w:rPr>
        <w:t xml:space="preserve"> Nielsen Retail Scanner Data captures sales of bottled water category by Universal Product Code (UPC), which is a barcode symbology widely used for tracking trade items in retail stores.</w:t>
      </w:r>
    </w:p>
  </w:footnote>
  <w:footnote w:id="16">
    <w:p w14:paraId="432D2D6D" w14:textId="56686A90" w:rsidR="006B6D34" w:rsidRPr="00D36086" w:rsidRDefault="006B6D34" w:rsidP="0069317D">
      <w:pPr>
        <w:pStyle w:val="FootnoteText"/>
        <w:jc w:val="both"/>
        <w:rPr>
          <w:rFonts w:ascii="Times New Roman" w:eastAsiaTheme="minorEastAsia" w:hAnsi="Times New Roman"/>
          <w:sz w:val="20"/>
          <w:szCs w:val="20"/>
          <w:lang w:eastAsia="zh-CN"/>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HHI is a measure of competition intensity. It ranges between 0 and 1, where the former indicates the theoretical perfectly competitive environment and whereas the latter reflects a monopolistic setting. HHI is calculated by taking into account all individual stores competing in a market, including stores of the same chain.</w:t>
      </w:r>
    </w:p>
  </w:footnote>
  <w:footnote w:id="17">
    <w:p w14:paraId="373497A6" w14:textId="77777777" w:rsidR="006B6D34" w:rsidRPr="00D36086" w:rsidRDefault="006B6D34" w:rsidP="00547B37">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For hurricane Ike in 2008 and Irene in 2011, since the 2008 and 2011 U.S. Gazetteer Files are not available online, we use data from 2010 U.S. Gazetteer Files as the closest approximation.</w:t>
      </w:r>
    </w:p>
  </w:footnote>
  <w:footnote w:id="18">
    <w:p w14:paraId="1562FEF7" w14:textId="406724DE" w:rsidR="006B6D34" w:rsidRPr="00671C31" w:rsidRDefault="006B6D34" w:rsidP="00E90927">
      <w:pPr>
        <w:pStyle w:val="FootnoteText"/>
        <w:jc w:val="both"/>
        <w:rPr>
          <w:rFonts w:ascii="Times New Roman" w:hAnsi="Times New Roman"/>
          <w:sz w:val="20"/>
          <w:szCs w:val="20"/>
        </w:rPr>
      </w:pPr>
      <w:r w:rsidRPr="00670146">
        <w:rPr>
          <w:rStyle w:val="FootnoteReference"/>
          <w:rFonts w:ascii="Times New Roman" w:hAnsi="Times New Roman"/>
          <w:sz w:val="20"/>
          <w:szCs w:val="20"/>
        </w:rPr>
        <w:footnoteRef/>
      </w:r>
      <w:r w:rsidRPr="00670146">
        <w:rPr>
          <w:rFonts w:ascii="Times New Roman" w:hAnsi="Times New Roman"/>
          <w:sz w:val="20"/>
          <w:szCs w:val="20"/>
        </w:rPr>
        <w:t xml:space="preserve"> The U.S. Geological Survey water-use data are collected and compiled every five years. For hurricane Ike in 2008 and Irene in 2011, we use data from U.S. Geological Survey 2010 as the closest approximation; for hurricane Sandy 2012 and Arthur 2014, we use data from U.S. Geological Survey 2015 as the closest approximation.</w:t>
      </w:r>
    </w:p>
  </w:footnote>
  <w:footnote w:id="19">
    <w:p w14:paraId="77AA881A" w14:textId="77777777" w:rsidR="006B6D34" w:rsidRPr="00D36086" w:rsidRDefault="006B6D34" w:rsidP="00910B92">
      <w:pPr>
        <w:pStyle w:val="FootnoteText"/>
        <w:jc w:val="both"/>
      </w:pPr>
      <w:r w:rsidRPr="00D36086">
        <w:rPr>
          <w:rStyle w:val="FootnoteReference"/>
        </w:rPr>
        <w:footnoteRef/>
      </w:r>
      <w:r w:rsidRPr="00D36086">
        <w:t xml:space="preserve"> </w:t>
      </w:r>
      <w:r w:rsidRPr="00D36086">
        <w:rPr>
          <w:rFonts w:ascii="Times New Roman" w:hAnsi="Times New Roman"/>
          <w:sz w:val="20"/>
          <w:szCs w:val="20"/>
        </w:rPr>
        <w:t xml:space="preserve">As we utilize semi log regression models, </w:t>
      </w:r>
      <w:r w:rsidRPr="00D36086">
        <w:rPr>
          <w:rFonts w:ascii="Times New Roman" w:hAnsi="Times New Roman"/>
          <w:sz w:val="20"/>
          <w:szCs w:val="20"/>
          <w:lang w:eastAsia="zh-CN"/>
        </w:rPr>
        <w:t>Figures 3, 4, and 5 reflect</w:t>
      </w:r>
      <w:r w:rsidRPr="00D36086">
        <w:rPr>
          <w:rFonts w:ascii="Times New Roman" w:hAnsi="Times New Roman"/>
          <w:sz w:val="20"/>
          <w:szCs w:val="20"/>
        </w:rPr>
        <w:t xml:space="preserve"> the effects of changes in the independent variables on dependent variable (unlogged). The interpretation of the estimated coefficient </w:t>
      </w:r>
      <m:oMath>
        <m:acc>
          <m:accPr>
            <m:ctrlPr>
              <w:rPr>
                <w:rFonts w:ascii="Cambria Math" w:hAnsi="Cambria Math"/>
                <w:i/>
                <w:sz w:val="20"/>
                <w:szCs w:val="20"/>
              </w:rPr>
            </m:ctrlPr>
          </m:accPr>
          <m:e>
            <m:r>
              <w:rPr>
                <w:rFonts w:ascii="Cambria Math" w:hAnsi="Cambria Math"/>
                <w:sz w:val="20"/>
                <w:szCs w:val="20"/>
              </w:rPr>
              <m:t>β</m:t>
            </m:r>
          </m:e>
        </m:acc>
      </m:oMath>
      <w:r w:rsidRPr="00D36086">
        <w:rPr>
          <w:rFonts w:ascii="Times New Roman" w:hAnsi="Times New Roman"/>
          <w:sz w:val="20"/>
          <w:szCs w:val="20"/>
        </w:rPr>
        <w:t xml:space="preserve"> is that a c-unit increase in the independent variable will produce an expected increase in dependent variable (unlogged) by a factor of </w:t>
      </w:r>
      <m:oMath>
        <m:sSup>
          <m:sSupPr>
            <m:ctrlPr>
              <w:rPr>
                <w:rFonts w:ascii="Cambria Math" w:hAnsi="Cambria Math"/>
                <w:i/>
                <w:sz w:val="20"/>
                <w:szCs w:val="20"/>
              </w:rPr>
            </m:ctrlPr>
          </m:sSupPr>
          <m:e>
            <m:r>
              <w:rPr>
                <w:rFonts w:ascii="Cambria Math" w:hAnsi="Cambria Math"/>
                <w:sz w:val="20"/>
                <w:szCs w:val="20"/>
              </w:rPr>
              <m:t>e</m:t>
            </m:r>
          </m:e>
          <m:sup>
            <m:acc>
              <m:accPr>
                <m:ctrlPr>
                  <w:rPr>
                    <w:rFonts w:ascii="Cambria Math" w:hAnsi="Cambria Math"/>
                    <w:i/>
                    <w:sz w:val="20"/>
                    <w:szCs w:val="20"/>
                  </w:rPr>
                </m:ctrlPr>
              </m:accPr>
              <m:e>
                <m:r>
                  <w:rPr>
                    <w:rFonts w:ascii="Cambria Math" w:hAnsi="Cambria Math"/>
                    <w:sz w:val="20"/>
                    <w:szCs w:val="20"/>
                  </w:rPr>
                  <m:t>β</m:t>
                </m:r>
              </m:e>
            </m:acc>
          </m:sup>
        </m:sSup>
      </m:oMath>
      <w:r w:rsidRPr="00D36086">
        <w:rPr>
          <w:rFonts w:ascii="Times New Roman" w:hAnsi="Times New Roman"/>
          <w:sz w:val="20"/>
          <w:szCs w:val="20"/>
        </w:rPr>
        <w:t xml:space="preserve"> (multiplied by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c</m:t>
            </m:r>
            <m:acc>
              <m:accPr>
                <m:ctrlPr>
                  <w:rPr>
                    <w:rFonts w:ascii="Cambria Math" w:hAnsi="Cambria Math"/>
                    <w:i/>
                    <w:sz w:val="20"/>
                    <w:szCs w:val="20"/>
                  </w:rPr>
                </m:ctrlPr>
              </m:accPr>
              <m:e>
                <m:r>
                  <w:rPr>
                    <w:rFonts w:ascii="Cambria Math" w:hAnsi="Cambria Math"/>
                    <w:sz w:val="20"/>
                    <w:szCs w:val="20"/>
                  </w:rPr>
                  <m:t>β</m:t>
                </m:r>
              </m:e>
            </m:acc>
          </m:sup>
        </m:sSup>
      </m:oMath>
      <w:r w:rsidRPr="00D36086">
        <w:rPr>
          <w:rFonts w:ascii="Times New Roman" w:hAnsi="Times New Roman"/>
          <w:sz w:val="20"/>
          <w:szCs w:val="20"/>
        </w:rPr>
        <w:t xml:space="preserve">). </w:t>
      </w:r>
    </w:p>
  </w:footnote>
  <w:footnote w:id="20">
    <w:p w14:paraId="6434549D" w14:textId="21F2A0C7" w:rsidR="006B6D34" w:rsidRPr="004B1EFF" w:rsidRDefault="006B6D34" w:rsidP="00282708">
      <w:pPr>
        <w:pStyle w:val="FootnoteText"/>
        <w:jc w:val="both"/>
        <w:rPr>
          <w:rFonts w:ascii="Times New Roman" w:eastAsiaTheme="minorEastAsia" w:hAnsi="Times New Roman"/>
          <w:sz w:val="20"/>
          <w:szCs w:val="20"/>
          <w:lang w:eastAsia="zh-CN"/>
        </w:rPr>
      </w:pPr>
      <w:r w:rsidRPr="00670146">
        <w:rPr>
          <w:rStyle w:val="FootnoteReference"/>
          <w:rFonts w:ascii="Times New Roman" w:hAnsi="Times New Roman"/>
          <w:sz w:val="20"/>
          <w:szCs w:val="20"/>
        </w:rPr>
        <w:footnoteRef/>
      </w:r>
      <w:r w:rsidRPr="00670146">
        <w:rPr>
          <w:rFonts w:ascii="Times New Roman" w:hAnsi="Times New Roman"/>
          <w:sz w:val="20"/>
          <w:szCs w:val="20"/>
        </w:rPr>
        <w:t xml:space="preserve"> </w:t>
      </w:r>
      <w:r w:rsidRPr="00670146">
        <w:rPr>
          <w:rFonts w:ascii="Times New Roman" w:eastAsiaTheme="minorEastAsia" w:hAnsi="Times New Roman" w:hint="eastAsia"/>
          <w:sz w:val="20"/>
          <w:szCs w:val="20"/>
          <w:lang w:eastAsia="zh-CN"/>
        </w:rPr>
        <w:t>For illustration purpose</w:t>
      </w:r>
      <w:r w:rsidRPr="00670146">
        <w:rPr>
          <w:rFonts w:ascii="Times New Roman" w:eastAsiaTheme="minorEastAsia" w:hAnsi="Times New Roman"/>
          <w:sz w:val="20"/>
          <w:szCs w:val="20"/>
          <w:lang w:eastAsia="zh-CN"/>
        </w:rPr>
        <w:t>s</w:t>
      </w:r>
      <w:r w:rsidRPr="00670146">
        <w:rPr>
          <w:rFonts w:ascii="Times New Roman" w:eastAsiaTheme="minorEastAsia" w:hAnsi="Times New Roman" w:hint="eastAsia"/>
          <w:sz w:val="20"/>
          <w:szCs w:val="20"/>
          <w:lang w:eastAsia="zh-CN"/>
        </w:rPr>
        <w:t>, w</w:t>
      </w:r>
      <w:r w:rsidRPr="00670146">
        <w:rPr>
          <w:rFonts w:ascii="Times New Roman" w:hAnsi="Times New Roman"/>
          <w:sz w:val="20"/>
          <w:szCs w:val="20"/>
        </w:rPr>
        <w:t xml:space="preserve">e truncate Figure 3(a) at 98 stores as this contains 97.5% of the </w:t>
      </w:r>
      <w:r w:rsidRPr="00670146">
        <w:rPr>
          <w:rFonts w:ascii="Times New Roman" w:eastAsiaTheme="minorEastAsia" w:hAnsi="Times New Roman" w:hint="eastAsia"/>
          <w:sz w:val="20"/>
          <w:szCs w:val="20"/>
          <w:lang w:eastAsia="zh-CN"/>
        </w:rPr>
        <w:t>observation</w:t>
      </w:r>
      <w:r w:rsidRPr="00670146">
        <w:rPr>
          <w:rFonts w:ascii="Times New Roman" w:eastAsiaTheme="minorEastAsia" w:hAnsi="Times New Roman"/>
          <w:sz w:val="20"/>
          <w:szCs w:val="20"/>
          <w:lang w:eastAsia="zh-CN"/>
        </w:rPr>
        <w:t>s</w:t>
      </w:r>
      <w:r w:rsidRPr="00670146">
        <w:rPr>
          <w:rFonts w:ascii="Times New Roman" w:eastAsiaTheme="minorEastAsia" w:hAnsi="Times New Roman" w:hint="eastAsia"/>
          <w:sz w:val="20"/>
          <w:szCs w:val="20"/>
          <w:lang w:eastAsia="zh-CN"/>
        </w:rPr>
        <w:t>.</w:t>
      </w:r>
      <w:r w:rsidRPr="00670146">
        <w:rPr>
          <w:rFonts w:ascii="Times New Roman" w:eastAsiaTheme="minorEastAsia" w:hAnsi="Times New Roman"/>
          <w:sz w:val="20"/>
          <w:szCs w:val="20"/>
          <w:lang w:eastAsia="zh-CN"/>
        </w:rPr>
        <w:t xml:space="preserve"> The full</w:t>
      </w:r>
      <w:r w:rsidRPr="00670146">
        <w:rPr>
          <w:rFonts w:ascii="Times New Roman" w:hAnsi="Times New Roman"/>
          <w:sz w:val="20"/>
          <w:szCs w:val="20"/>
        </w:rPr>
        <w:t xml:space="preserve"> intra-regional network ranges to 266 stores revealing minimum stockpiling propensity at 200 stores</w:t>
      </w:r>
      <w:r w:rsidRPr="00670146">
        <w:rPr>
          <w:rFonts w:ascii="Times New Roman" w:eastAsiaTheme="minorEastAsia" w:hAnsi="Times New Roman"/>
          <w:sz w:val="20"/>
          <w:szCs w:val="20"/>
          <w:lang w:eastAsia="zh-CN"/>
        </w:rPr>
        <w:t>. Likewise, w</w:t>
      </w:r>
      <w:r w:rsidRPr="00670146">
        <w:rPr>
          <w:rFonts w:ascii="Times New Roman" w:hAnsi="Times New Roman"/>
          <w:sz w:val="20"/>
          <w:szCs w:val="20"/>
        </w:rPr>
        <w:t>e truncate Figure 3(c) at 238 UPCs as this contains 97.5% of the observations. The full product variety ranges to 340 UPCs revealing maximum stockpiling propensity at 126 UPCs.</w:t>
      </w:r>
    </w:p>
  </w:footnote>
  <w:footnote w:id="21">
    <w:p w14:paraId="469EFEF3" w14:textId="688614FE" w:rsidR="006B6D34" w:rsidRPr="00D36086" w:rsidRDefault="006B6D34" w:rsidP="008E273D">
      <w:pPr>
        <w:pStyle w:val="FootnoteText"/>
        <w:jc w:val="both"/>
        <w:rPr>
          <w:rFonts w:ascii="Times New Roman" w:eastAsiaTheme="minorEastAsia" w:hAnsi="Times New Roman"/>
          <w:sz w:val="20"/>
          <w:szCs w:val="20"/>
          <w:lang w:eastAsia="zh-CN"/>
        </w:rPr>
      </w:pPr>
      <w:r w:rsidRPr="00D36086">
        <w:rPr>
          <w:rStyle w:val="FootnoteReference"/>
          <w:rFonts w:ascii="Times New Roman" w:hAnsi="Times New Roman"/>
          <w:color w:val="000000" w:themeColor="text1"/>
          <w:sz w:val="20"/>
          <w:szCs w:val="20"/>
        </w:rPr>
        <w:footnoteRef/>
      </w:r>
      <w:r w:rsidRPr="00D36086">
        <w:rPr>
          <w:rFonts w:ascii="Times New Roman" w:hAnsi="Times New Roman"/>
          <w:color w:val="000000" w:themeColor="text1"/>
          <w:sz w:val="20"/>
          <w:szCs w:val="20"/>
        </w:rPr>
        <w:t xml:space="preserve"> </w:t>
      </w:r>
      <w:r w:rsidRPr="00D36086">
        <w:rPr>
          <w:rFonts w:ascii="Times New Roman" w:eastAsiaTheme="minorEastAsia" w:hAnsi="Times New Roman" w:hint="eastAsia"/>
          <w:color w:val="000000" w:themeColor="text1"/>
          <w:sz w:val="20"/>
          <w:szCs w:val="20"/>
          <w:lang w:eastAsia="zh-CN"/>
        </w:rPr>
        <w:t>For illustration purpose</w:t>
      </w:r>
      <w:r w:rsidRPr="00D36086">
        <w:rPr>
          <w:rFonts w:ascii="Times New Roman" w:eastAsiaTheme="minorEastAsia" w:hAnsi="Times New Roman"/>
          <w:color w:val="000000" w:themeColor="text1"/>
          <w:sz w:val="20"/>
          <w:szCs w:val="20"/>
          <w:lang w:eastAsia="zh-CN"/>
        </w:rPr>
        <w:t>s</w:t>
      </w:r>
      <w:r w:rsidRPr="00D36086">
        <w:rPr>
          <w:rFonts w:ascii="Times New Roman" w:eastAsiaTheme="minorEastAsia" w:hAnsi="Times New Roman" w:hint="eastAsia"/>
          <w:color w:val="000000" w:themeColor="text1"/>
          <w:sz w:val="20"/>
          <w:szCs w:val="20"/>
          <w:lang w:eastAsia="zh-CN"/>
        </w:rPr>
        <w:t xml:space="preserve">, </w:t>
      </w:r>
      <w:r w:rsidRPr="00D36086">
        <w:rPr>
          <w:rFonts w:ascii="Times New Roman" w:hAnsi="Times New Roman"/>
          <w:color w:val="000000" w:themeColor="text1"/>
          <w:sz w:val="20"/>
          <w:szCs w:val="20"/>
        </w:rPr>
        <w:t>we truncate Figure 4(b) at 87,800 dollars, reflecting 97.5% of the observations.</w:t>
      </w:r>
      <w:r w:rsidRPr="00D36086">
        <w:rPr>
          <w:rFonts w:ascii="Times New Roman" w:eastAsiaTheme="minorEastAsia" w:hAnsi="Times New Roman" w:hint="eastAsia"/>
          <w:color w:val="000000" w:themeColor="text1"/>
          <w:sz w:val="20"/>
          <w:szCs w:val="20"/>
          <w:lang w:eastAsia="zh-CN"/>
        </w:rPr>
        <w:t xml:space="preserve"> </w:t>
      </w:r>
      <w:r w:rsidRPr="00D36086">
        <w:rPr>
          <w:rFonts w:ascii="Times New Roman" w:eastAsiaTheme="minorEastAsia" w:hAnsi="Times New Roman"/>
          <w:color w:val="000000" w:themeColor="text1"/>
          <w:sz w:val="20"/>
          <w:szCs w:val="20"/>
          <w:lang w:eastAsia="zh-CN"/>
        </w:rPr>
        <w:t>The full</w:t>
      </w:r>
      <w:r w:rsidRPr="00D36086">
        <w:rPr>
          <w:rFonts w:ascii="Times New Roman" w:eastAsiaTheme="minorEastAsia" w:hAnsi="Times New Roman" w:hint="eastAsia"/>
          <w:color w:val="000000" w:themeColor="text1"/>
          <w:sz w:val="20"/>
          <w:szCs w:val="20"/>
          <w:lang w:eastAsia="zh-CN"/>
        </w:rPr>
        <w:t xml:space="preserve"> per-capita inc</w:t>
      </w:r>
      <w:r w:rsidRPr="00D36086">
        <w:rPr>
          <w:rFonts w:ascii="Times New Roman" w:eastAsiaTheme="minorEastAsia" w:hAnsi="Times New Roman" w:hint="eastAsia"/>
          <w:sz w:val="20"/>
          <w:szCs w:val="20"/>
          <w:lang w:eastAsia="zh-CN"/>
        </w:rPr>
        <w:t xml:space="preserve">ome </w:t>
      </w:r>
      <w:r w:rsidRPr="00D36086">
        <w:rPr>
          <w:rFonts w:ascii="Times New Roman" w:hAnsi="Times New Roman"/>
          <w:sz w:val="20"/>
          <w:szCs w:val="20"/>
        </w:rPr>
        <w:t>range</w:t>
      </w:r>
      <w:r w:rsidRPr="00D36086">
        <w:rPr>
          <w:rFonts w:ascii="Times New Roman" w:eastAsiaTheme="minorEastAsia" w:hAnsi="Times New Roman" w:hint="eastAsia"/>
          <w:sz w:val="20"/>
          <w:szCs w:val="20"/>
          <w:lang w:eastAsia="zh-CN"/>
        </w:rPr>
        <w:t>s</w:t>
      </w:r>
      <w:r w:rsidR="000F520B">
        <w:rPr>
          <w:rFonts w:ascii="Times New Roman" w:hAnsi="Times New Roman"/>
          <w:sz w:val="20"/>
          <w:szCs w:val="20"/>
        </w:rPr>
        <w:t xml:space="preserve"> </w:t>
      </w:r>
      <w:r w:rsidRPr="00D36086">
        <w:rPr>
          <w:rFonts w:ascii="Times New Roman" w:hAnsi="Times New Roman"/>
          <w:sz w:val="20"/>
          <w:szCs w:val="20"/>
        </w:rPr>
        <w:t xml:space="preserve">to </w:t>
      </w:r>
      <w:r w:rsidRPr="00D36086">
        <w:rPr>
          <w:rFonts w:ascii="Times New Roman" w:eastAsiaTheme="minorEastAsia" w:hAnsi="Times New Roman" w:hint="eastAsia"/>
          <w:sz w:val="20"/>
          <w:szCs w:val="20"/>
          <w:lang w:eastAsia="zh-CN"/>
        </w:rPr>
        <w:t>$153,210</w:t>
      </w:r>
      <w:r w:rsidRPr="00D36086">
        <w:rPr>
          <w:rFonts w:ascii="Times New Roman" w:hAnsi="Times New Roman"/>
          <w:sz w:val="20"/>
          <w:szCs w:val="20"/>
        </w:rPr>
        <w:t xml:space="preserve"> revealing a maximum stockpiling propensity at </w:t>
      </w:r>
      <w:r w:rsidRPr="00D36086">
        <w:rPr>
          <w:rFonts w:ascii="Times New Roman" w:eastAsiaTheme="minorEastAsia" w:hAnsi="Times New Roman"/>
          <w:sz w:val="20"/>
          <w:szCs w:val="20"/>
          <w:lang w:eastAsia="zh-CN"/>
        </w:rPr>
        <w:t>$87,365.</w:t>
      </w:r>
    </w:p>
  </w:footnote>
  <w:footnote w:id="22">
    <w:p w14:paraId="6D66DB48" w14:textId="5CE4CDC8" w:rsidR="006B6D34" w:rsidRPr="00D36086" w:rsidRDefault="006B6D34" w:rsidP="008D374F">
      <w:pPr>
        <w:pStyle w:val="FootnoteText"/>
        <w:jc w:val="both"/>
        <w:rPr>
          <w:rFonts w:ascii="Times New Roman" w:eastAsiaTheme="minorEastAsia" w:hAnsi="Times New Roman"/>
          <w:sz w:val="20"/>
          <w:szCs w:val="20"/>
          <w:lang w:eastAsia="zh-CN"/>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In Figure 4 (a), th</w:t>
      </w:r>
      <w:r w:rsidRPr="00D36086">
        <w:rPr>
          <w:rFonts w:ascii="Times New Roman" w:hAnsi="Times New Roman"/>
          <w:sz w:val="20"/>
          <w:szCs w:val="20"/>
          <w:shd w:val="clear" w:color="auto" w:fill="FFFFFF"/>
        </w:rPr>
        <w:t>e number of hurricanes experienced by a state changed over time and hence we have two adjacent bars.</w:t>
      </w:r>
    </w:p>
  </w:footnote>
  <w:footnote w:id="23">
    <w:p w14:paraId="5CA78A0A" w14:textId="06FD5599" w:rsidR="006B6D34" w:rsidRPr="00D36086" w:rsidRDefault="006B6D34" w:rsidP="00AE4D44">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Note that maximum distance from the county where a store outlet is located to landfall points is 996.9 miles. This value roughly coincides with our upper limit of the distance, 1000 miles. This indicates that this minimum is simply an outcome of the sample selection. Generally, one would expect the impact to further decrease with distance, so that the relationship does not achieve an absolute minimum. </w:t>
      </w:r>
    </w:p>
  </w:footnote>
  <w:footnote w:id="24">
    <w:p w14:paraId="3A945397" w14:textId="60F2B3F3" w:rsidR="006B6D34" w:rsidRPr="001E5955" w:rsidRDefault="006B6D34" w:rsidP="00FB1312">
      <w:pPr>
        <w:pStyle w:val="FootnoteText"/>
        <w:jc w:val="both"/>
        <w:rPr>
          <w:rFonts w:ascii="Times New Roman" w:hAnsi="Times New Roman"/>
          <w:sz w:val="20"/>
          <w:szCs w:val="20"/>
        </w:rPr>
      </w:pPr>
      <w:r w:rsidRPr="001E5955">
        <w:rPr>
          <w:rStyle w:val="FootnoteReference"/>
          <w:rFonts w:ascii="Times New Roman" w:hAnsi="Times New Roman"/>
          <w:sz w:val="20"/>
          <w:szCs w:val="20"/>
        </w:rPr>
        <w:footnoteRef/>
      </w:r>
      <w:r w:rsidRPr="001E5955">
        <w:rPr>
          <w:rFonts w:ascii="Times New Roman" w:hAnsi="Times New Roman"/>
          <w:sz w:val="20"/>
          <w:szCs w:val="20"/>
        </w:rPr>
        <w:t xml:space="preserve"> We conduct two-stage least square analysis using Stata xtivreg2, which implements IV/GMM estimation of the fixed-effects and first-differences panel data models with possibly endogenous regressors. Out of a total of 38,418 obervations, five observations are not used due to singleton group problem, resulting with 38,413 observations. Moreover, Stata xtivreg2 does not report estimated constants.</w:t>
      </w:r>
    </w:p>
  </w:footnote>
  <w:footnote w:id="25">
    <w:p w14:paraId="394DC392" w14:textId="37451337" w:rsidR="006B6D34" w:rsidRPr="0069793F" w:rsidRDefault="006B6D34" w:rsidP="000C09A0">
      <w:pPr>
        <w:pStyle w:val="FootnoteText"/>
        <w:jc w:val="both"/>
        <w:rPr>
          <w:sz w:val="20"/>
          <w:szCs w:val="20"/>
        </w:rPr>
      </w:pPr>
      <w:r w:rsidRPr="009A1DBB">
        <w:rPr>
          <w:rStyle w:val="FootnoteReference"/>
          <w:rFonts w:ascii="Times New Roman" w:hAnsi="Times New Roman"/>
          <w:sz w:val="20"/>
          <w:szCs w:val="20"/>
        </w:rPr>
        <w:footnoteRef/>
      </w:r>
      <w:r w:rsidRPr="009A1DBB">
        <w:rPr>
          <w:rFonts w:ascii="Times New Roman" w:hAnsi="Times New Roman"/>
          <w:sz w:val="20"/>
          <w:szCs w:val="20"/>
        </w:rPr>
        <w:t xml:space="preserve"> We conduct a series of instrument tests using various estimation methodologies, such as IV/2SLS with SEs, IV/2SLS with robust SEs, two-step GMM with robust SEs, and LIML with robust SEs. For example, using IV/2SLS with SEs, for Model 2.1 in Table 4, Anderson canon. corr. LM Chi-sq (4) for underidentification is 168.225 (p&lt;0.001), Sargan Chi-sq (3) for overidentification is 4.148 (p&gt;0.1), and Cragg-Donald Wald F for weak identification is 42.143 (&gt; 16.85, the critical value of 5% maximal IV relative bias). Overall, the results indicate the instrument set is appropriate. The instrument tests for Models 2.2, 2.3, 2.4, and 2.5 provide similar insights.</w:t>
      </w:r>
    </w:p>
  </w:footnote>
  <w:footnote w:id="26">
    <w:p w14:paraId="0188CB07" w14:textId="77777777" w:rsidR="006B6D34" w:rsidRPr="008B2BCE" w:rsidRDefault="006B6D34" w:rsidP="00DC2332">
      <w:pPr>
        <w:jc w:val="both"/>
        <w:rPr>
          <w:color w:val="000000" w:themeColor="text1"/>
          <w:sz w:val="20"/>
          <w:szCs w:val="20"/>
          <w:lang w:eastAsia="zh-CN"/>
        </w:rPr>
      </w:pPr>
      <w:r w:rsidRPr="008B2BCE">
        <w:rPr>
          <w:rStyle w:val="FootnoteReference"/>
          <w:color w:val="000000" w:themeColor="text1"/>
          <w:sz w:val="20"/>
          <w:szCs w:val="20"/>
        </w:rPr>
        <w:footnoteRef/>
      </w:r>
      <w:r w:rsidRPr="008B2BCE">
        <w:rPr>
          <w:color w:val="000000" w:themeColor="text1"/>
          <w:sz w:val="20"/>
          <w:szCs w:val="20"/>
        </w:rPr>
        <w:t xml:space="preserve">As we utilize semi log regression models, the calculation of the “compound impact” in Table 5 is based on the estimated coefficient </w:t>
      </w:r>
      <m:oMath>
        <m:sSub>
          <m:sSubPr>
            <m:ctrlPr>
              <w:rPr>
                <w:rFonts w:ascii="Cambria Math" w:hAnsi="Cambria Math"/>
                <w:i/>
                <w:color w:val="000000" w:themeColor="text1"/>
                <w:sz w:val="20"/>
                <w:szCs w:val="20"/>
              </w:rPr>
            </m:ctrlPr>
          </m:sSubPr>
          <m:e>
            <m:acc>
              <m:accPr>
                <m:ctrlPr>
                  <w:rPr>
                    <w:rFonts w:ascii="Cambria Math" w:hAnsi="Cambria Math"/>
                    <w:i/>
                    <w:color w:val="000000" w:themeColor="text1"/>
                    <w:sz w:val="20"/>
                    <w:szCs w:val="20"/>
                  </w:rPr>
                </m:ctrlPr>
              </m:accPr>
              <m:e>
                <m:r>
                  <w:rPr>
                    <w:rFonts w:ascii="Cambria Math" w:hAnsi="Cambria Math"/>
                    <w:color w:val="000000" w:themeColor="text1"/>
                    <w:sz w:val="20"/>
                    <w:szCs w:val="20"/>
                  </w:rPr>
                  <m:t>β</m:t>
                </m:r>
              </m:e>
            </m:acc>
          </m:e>
          <m:sub>
            <m:r>
              <w:rPr>
                <w:rFonts w:ascii="Cambria Math" w:hAnsi="Cambria Math"/>
                <w:color w:val="000000" w:themeColor="text1"/>
                <w:sz w:val="20"/>
                <w:szCs w:val="20"/>
              </w:rPr>
              <m:t>i</m:t>
            </m:r>
          </m:sub>
        </m:sSub>
      </m:oMath>
      <w:r w:rsidRPr="008B2BCE">
        <w:rPr>
          <w:color w:val="000000" w:themeColor="text1"/>
          <w:sz w:val="20"/>
          <w:szCs w:val="20"/>
        </w:rPr>
        <w:t xml:space="preserve"> in Model 1.4 in Table 3. For individual i</w:t>
      </w:r>
      <w:r w:rsidRPr="008B2BCE">
        <w:rPr>
          <w:sz w:val="20"/>
          <w:szCs w:val="20"/>
        </w:rPr>
        <w:t xml:space="preserve">mpacts, a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m:t>
            </m:r>
          </m:sub>
        </m:sSub>
      </m:oMath>
      <w:r w:rsidRPr="008B2BCE">
        <w:rPr>
          <w:sz w:val="20"/>
          <w:szCs w:val="20"/>
        </w:rPr>
        <w:t xml:space="preserve"> unit increase in independent variable </w:t>
      </w:r>
      <m:oMath>
        <m:r>
          <w:rPr>
            <w:rFonts w:ascii="Cambria Math" w:hAnsi="Cambria Math"/>
            <w:sz w:val="20"/>
            <w:szCs w:val="20"/>
          </w:rPr>
          <m:t>i</m:t>
        </m:r>
      </m:oMath>
      <w:r w:rsidRPr="008B2BCE">
        <w:rPr>
          <w:sz w:val="20"/>
          <w:szCs w:val="20"/>
        </w:rPr>
        <w:t xml:space="preserve"> multiplies the expected dependent (unlogged) variable by </w:t>
      </w:r>
      <m:oMath>
        <m:sSup>
          <m:sSupPr>
            <m:ctrlPr>
              <w:rPr>
                <w:rFonts w:ascii="Cambria Math" w:hAnsi="Cambria Math"/>
                <w:i/>
                <w:sz w:val="20"/>
                <w:szCs w:val="20"/>
              </w:rPr>
            </m:ctrlPr>
          </m:sSupPr>
          <m:e>
            <m:r>
              <w:rPr>
                <w:rFonts w:ascii="Cambria Math" w:hAnsi="Cambria Math"/>
                <w:sz w:val="20"/>
                <w:szCs w:val="20"/>
              </w:rPr>
              <m:t>e</m:t>
            </m:r>
          </m:e>
          <m:sup>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m:t>
                    </m:r>
                  </m:sub>
                </m:sSub>
                <m:acc>
                  <m:accPr>
                    <m:ctrlPr>
                      <w:rPr>
                        <w:rFonts w:ascii="Cambria Math" w:hAnsi="Cambria Math"/>
                        <w:i/>
                        <w:sz w:val="20"/>
                        <w:szCs w:val="20"/>
                      </w:rPr>
                    </m:ctrlPr>
                  </m:accP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i</m:t>
                        </m:r>
                      </m:sub>
                    </m:sSub>
                  </m:e>
                </m:acc>
              </m:e>
            </m:nary>
          </m:sup>
        </m:sSup>
      </m:oMath>
      <w:r w:rsidRPr="008B2BCE">
        <w:rPr>
          <w:sz w:val="20"/>
          <w:szCs w:val="20"/>
        </w:rPr>
        <w:t xml:space="preserve">. </w:t>
      </w:r>
    </w:p>
    <w:p w14:paraId="77E17E1E" w14:textId="77777777" w:rsidR="006B6D34" w:rsidRDefault="006B6D34" w:rsidP="00DC2332">
      <w:pPr>
        <w:pStyle w:val="FootnoteText"/>
      </w:pPr>
    </w:p>
  </w:footnote>
  <w:footnote w:id="27">
    <w:p w14:paraId="2C5DFF8D" w14:textId="77777777" w:rsidR="006B6D34" w:rsidRPr="00D36086" w:rsidRDefault="006B6D34" w:rsidP="00CA1958">
      <w:pPr>
        <w:pStyle w:val="FootnoteText"/>
        <w:jc w:val="both"/>
        <w:rPr>
          <w:rFonts w:ascii="Times New Roman" w:hAnsi="Times New Roman"/>
          <w:sz w:val="20"/>
          <w:szCs w:val="20"/>
        </w:rPr>
      </w:pPr>
      <w:r w:rsidRPr="00D36086">
        <w:rPr>
          <w:rStyle w:val="FootnoteReference"/>
          <w:rFonts w:ascii="Times New Roman" w:hAnsi="Times New Roman"/>
          <w:sz w:val="20"/>
          <w:szCs w:val="20"/>
        </w:rPr>
        <w:footnoteRef/>
      </w:r>
      <w:r w:rsidRPr="00D36086">
        <w:rPr>
          <w:rFonts w:ascii="Times New Roman" w:hAnsi="Times New Roman"/>
          <w:sz w:val="20"/>
          <w:szCs w:val="20"/>
        </w:rPr>
        <w:t xml:space="preserve"> Since we use semi-log regression and the dependent variable is </w:t>
      </w:r>
      <m:oMath>
        <m:r>
          <m:rPr>
            <m:sty m:val="p"/>
          </m:rPr>
          <w:rPr>
            <w:rFonts w:ascii="Cambria Math" w:hAnsi="Cambria Math"/>
            <w:spacing w:val="-4"/>
            <w:sz w:val="20"/>
            <w:szCs w:val="20"/>
          </w:rPr>
          <m:t>LN(STOCKPILING_PROP)×1000</m:t>
        </m:r>
      </m:oMath>
      <w:r w:rsidRPr="00D36086">
        <w:rPr>
          <w:rFonts w:ascii="Times New Roman" w:hAnsi="Times New Roman"/>
          <w:spacing w:val="-4"/>
          <w:sz w:val="20"/>
          <w:szCs w:val="20"/>
        </w:rPr>
        <w:t>,</w:t>
      </w:r>
      <w:r w:rsidRPr="00D36086">
        <w:rPr>
          <w:rFonts w:ascii="Times New Roman" w:hAnsi="Times New Roman"/>
          <w:sz w:val="20"/>
          <w:szCs w:val="20"/>
        </w:rPr>
        <w:t xml:space="preserve"> the coefficient of the retail formats indicate the percentage change in stockpiling propensity relative to convenience stores (the base case retail format). For example, the coefficient for drug store is 450.413 implying consumer stockpiling propensity for drug stores is 45% higher than for convenience stores.</w:t>
      </w:r>
    </w:p>
  </w:footnote>
  <w:footnote w:id="28">
    <w:p w14:paraId="2D218A35" w14:textId="77777777" w:rsidR="006B6D34" w:rsidRPr="00B74E1C" w:rsidRDefault="006B6D34" w:rsidP="00CA1958">
      <w:pPr>
        <w:pStyle w:val="FootnoteText"/>
        <w:jc w:val="both"/>
        <w:rPr>
          <w:rFonts w:ascii="Times New Roman" w:hAnsi="Times New Roman"/>
          <w:sz w:val="20"/>
          <w:szCs w:val="20"/>
        </w:rPr>
      </w:pPr>
      <w:r w:rsidRPr="00B74E1C">
        <w:rPr>
          <w:rStyle w:val="FootnoteReference"/>
          <w:rFonts w:ascii="Times New Roman" w:hAnsi="Times New Roman"/>
          <w:sz w:val="20"/>
          <w:szCs w:val="20"/>
        </w:rPr>
        <w:footnoteRef/>
      </w:r>
      <w:r w:rsidRPr="00B74E1C">
        <w:rPr>
          <w:rFonts w:ascii="Times New Roman" w:hAnsi="Times New Roman"/>
          <w:sz w:val="20"/>
          <w:szCs w:val="20"/>
        </w:rPr>
        <w:t xml:space="preserve"> </w:t>
      </w:r>
      <w:r w:rsidRPr="00B74E1C">
        <w:rPr>
          <w:rFonts w:ascii="Times New Roman" w:hAnsi="Times New Roman"/>
          <w:color w:val="000000"/>
          <w:sz w:val="20"/>
          <w:szCs w:val="20"/>
        </w:rPr>
        <w:t>CSIMarket is an independent digital financial media company and provider of integrated financial information and analytical applications to the global investment community (https://csimarket.com).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EE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248C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EC8B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0C4C9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EEE4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C6B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5E2E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D802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B8F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E48D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E0FDA"/>
    <w:multiLevelType w:val="hybridMultilevel"/>
    <w:tmpl w:val="F552F120"/>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C72F83"/>
    <w:multiLevelType w:val="hybridMultilevel"/>
    <w:tmpl w:val="C6AE8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D83660"/>
    <w:multiLevelType w:val="hybridMultilevel"/>
    <w:tmpl w:val="3A0C2D76"/>
    <w:lvl w:ilvl="0" w:tplc="35E05E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F73663"/>
    <w:multiLevelType w:val="hybridMultilevel"/>
    <w:tmpl w:val="51243C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112C87"/>
    <w:multiLevelType w:val="hybridMultilevel"/>
    <w:tmpl w:val="D40A1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F1D52"/>
    <w:multiLevelType w:val="hybridMultilevel"/>
    <w:tmpl w:val="9EEC7260"/>
    <w:lvl w:ilvl="0" w:tplc="EDEC35AE">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50830"/>
    <w:multiLevelType w:val="hybridMultilevel"/>
    <w:tmpl w:val="A91C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64E59"/>
    <w:multiLevelType w:val="hybridMultilevel"/>
    <w:tmpl w:val="CDCA75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E18D2"/>
    <w:multiLevelType w:val="hybridMultilevel"/>
    <w:tmpl w:val="D9229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6327B"/>
    <w:multiLevelType w:val="hybridMultilevel"/>
    <w:tmpl w:val="1F1CC000"/>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A5175"/>
    <w:multiLevelType w:val="multilevel"/>
    <w:tmpl w:val="8DD22C5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A6C0E1A"/>
    <w:multiLevelType w:val="multilevel"/>
    <w:tmpl w:val="5CC0886E"/>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2" w15:restartNumberingAfterBreak="0">
    <w:nsid w:val="3BCB11C7"/>
    <w:multiLevelType w:val="multilevel"/>
    <w:tmpl w:val="159ECD26"/>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3" w15:restartNumberingAfterBreak="0">
    <w:nsid w:val="3FFC631F"/>
    <w:multiLevelType w:val="hybridMultilevel"/>
    <w:tmpl w:val="C442AF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D6C6A"/>
    <w:multiLevelType w:val="hybridMultilevel"/>
    <w:tmpl w:val="24B0ED2A"/>
    <w:lvl w:ilvl="0" w:tplc="E5A80A7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C1B5C"/>
    <w:multiLevelType w:val="hybridMultilevel"/>
    <w:tmpl w:val="ECBCA6D0"/>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7661A"/>
    <w:multiLevelType w:val="hybridMultilevel"/>
    <w:tmpl w:val="CC56BB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72BBA"/>
    <w:multiLevelType w:val="hybridMultilevel"/>
    <w:tmpl w:val="6D12B6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4E56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25908"/>
    <w:multiLevelType w:val="hybridMultilevel"/>
    <w:tmpl w:val="919453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E4E7C5F"/>
    <w:multiLevelType w:val="hybridMultilevel"/>
    <w:tmpl w:val="6FD6DACC"/>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04EE3"/>
    <w:multiLevelType w:val="hybridMultilevel"/>
    <w:tmpl w:val="9190D3C6"/>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27CF1"/>
    <w:multiLevelType w:val="hybridMultilevel"/>
    <w:tmpl w:val="33C8F97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A77F3"/>
    <w:multiLevelType w:val="hybridMultilevel"/>
    <w:tmpl w:val="64742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1"/>
  </w:num>
  <w:num w:numId="3">
    <w:abstractNumId w:val="29"/>
  </w:num>
  <w:num w:numId="4">
    <w:abstractNumId w:val="13"/>
  </w:num>
  <w:num w:numId="5">
    <w:abstractNumId w:val="10"/>
  </w:num>
  <w:num w:numId="6">
    <w:abstractNumId w:val="15"/>
  </w:num>
  <w:num w:numId="7">
    <w:abstractNumId w:val="27"/>
  </w:num>
  <w:num w:numId="8">
    <w:abstractNumId w:val="2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28"/>
  </w:num>
  <w:num w:numId="21">
    <w:abstractNumId w:val="21"/>
  </w:num>
  <w:num w:numId="22">
    <w:abstractNumId w:val="22"/>
  </w:num>
  <w:num w:numId="23">
    <w:abstractNumId w:val="20"/>
  </w:num>
  <w:num w:numId="24">
    <w:abstractNumId w:val="33"/>
  </w:num>
  <w:num w:numId="25">
    <w:abstractNumId w:val="19"/>
  </w:num>
  <w:num w:numId="26">
    <w:abstractNumId w:val="30"/>
  </w:num>
  <w:num w:numId="27">
    <w:abstractNumId w:val="26"/>
  </w:num>
  <w:num w:numId="28">
    <w:abstractNumId w:val="24"/>
  </w:num>
  <w:num w:numId="29">
    <w:abstractNumId w:val="31"/>
  </w:num>
  <w:num w:numId="30">
    <w:abstractNumId w:val="32"/>
  </w:num>
  <w:num w:numId="31">
    <w:abstractNumId w:val="18"/>
  </w:num>
  <w:num w:numId="32">
    <w:abstractNumId w:val="25"/>
  </w:num>
  <w:num w:numId="33">
    <w:abstractNumId w:val="14"/>
  </w:num>
  <w:num w:numId="3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LU" w:vendorID="64" w:dllVersion="6" w:nlCheck="1" w:checkStyle="0"/>
  <w:activeWritingStyle w:appName="MSWord" w:lang="fr-LU" w:vendorID="64" w:dllVersion="0" w:nlCheck="1" w:checkStyle="0"/>
  <w:activeWritingStyle w:appName="MSWord" w:lang="en-US" w:vendorID="64" w:dllVersion="4096" w:nlCheck="1" w:checkStyle="0"/>
  <w:activeWritingStyle w:appName="MSWord" w:lang="fr-LU" w:vendorID="64" w:dllVersion="4096" w:nlCheck="1" w:checkStyle="0"/>
  <w:activeWritingStyle w:appName="MSWord" w:lang="en-CA" w:vendorID="64" w:dllVersion="4096" w:nlCheck="1" w:checkStyle="0"/>
  <w:activeWritingStyle w:appName="MSWord" w:lang="en-SG" w:vendorID="64" w:dllVersion="6" w:nlCheck="1" w:checkStyle="1"/>
  <w:activeWritingStyle w:appName="MSWord" w:lang="en-SG" w:vendorID="64" w:dllVersion="4096" w:nlCheck="1" w:checkStyle="0"/>
  <w:activeWritingStyle w:appName="MSWord" w:lang="en-SG" w:vendorID="64" w:dllVersion="0" w:nlCheck="1" w:checkStyle="0"/>
  <w:activeWritingStyle w:appName="MSWord" w:lang="en-US" w:vendorID="64" w:dllVersion="131078" w:nlCheck="1" w:checkStyle="0"/>
  <w:activeWritingStyle w:appName="MSWord" w:lang="en-CA" w:vendorID="64" w:dllVersion="131078" w:nlCheck="1" w:checkStyle="0"/>
  <w:activeWritingStyle w:appName="MSWord" w:lang="fr-LU" w:vendorID="64" w:dllVersion="131078" w:nlCheck="1" w:checkStyle="0"/>
  <w:activeWritingStyle w:appName="MSWord" w:lang="en-SG" w:vendorID="64" w:dllVersion="131078"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xtDA0ABLGxgYGBko6SsGpxcWZ+XkgBUYGprUAz7baby4AAAA="/>
    <w:docVar w:name="EN.InstantFormat" w:val="&lt;ENInstantFormat&gt;&lt;Enabled&gt;1&lt;/Enabled&gt;&lt;ScanUnformatted&gt;0&lt;/ScanUnformatted&gt;&lt;ScanChanges&gt;0&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0F5402"/>
    <w:rsid w:val="0000002A"/>
    <w:rsid w:val="0000033D"/>
    <w:rsid w:val="000004C4"/>
    <w:rsid w:val="00000770"/>
    <w:rsid w:val="00001494"/>
    <w:rsid w:val="000019BF"/>
    <w:rsid w:val="00001C5E"/>
    <w:rsid w:val="00001E53"/>
    <w:rsid w:val="00002084"/>
    <w:rsid w:val="000022B3"/>
    <w:rsid w:val="000024C5"/>
    <w:rsid w:val="000024D6"/>
    <w:rsid w:val="000028A3"/>
    <w:rsid w:val="000029C5"/>
    <w:rsid w:val="00002E79"/>
    <w:rsid w:val="000038CF"/>
    <w:rsid w:val="00003C4A"/>
    <w:rsid w:val="00003C56"/>
    <w:rsid w:val="00003CAA"/>
    <w:rsid w:val="00003F66"/>
    <w:rsid w:val="000040C4"/>
    <w:rsid w:val="00004655"/>
    <w:rsid w:val="0000469A"/>
    <w:rsid w:val="00004989"/>
    <w:rsid w:val="00004DE5"/>
    <w:rsid w:val="00005026"/>
    <w:rsid w:val="00005357"/>
    <w:rsid w:val="0000543A"/>
    <w:rsid w:val="00005C52"/>
    <w:rsid w:val="00006038"/>
    <w:rsid w:val="0000634C"/>
    <w:rsid w:val="00006608"/>
    <w:rsid w:val="00006BA4"/>
    <w:rsid w:val="00006DFE"/>
    <w:rsid w:val="00006FB7"/>
    <w:rsid w:val="00007861"/>
    <w:rsid w:val="00007B24"/>
    <w:rsid w:val="00007BCF"/>
    <w:rsid w:val="00007CCC"/>
    <w:rsid w:val="00007E31"/>
    <w:rsid w:val="00010395"/>
    <w:rsid w:val="00010BCE"/>
    <w:rsid w:val="00012278"/>
    <w:rsid w:val="00012339"/>
    <w:rsid w:val="000123E2"/>
    <w:rsid w:val="00012BA7"/>
    <w:rsid w:val="000137AA"/>
    <w:rsid w:val="0001399E"/>
    <w:rsid w:val="00013A12"/>
    <w:rsid w:val="00013CB8"/>
    <w:rsid w:val="00014482"/>
    <w:rsid w:val="00014931"/>
    <w:rsid w:val="00014E96"/>
    <w:rsid w:val="00015120"/>
    <w:rsid w:val="0001512B"/>
    <w:rsid w:val="000152CB"/>
    <w:rsid w:val="000153D4"/>
    <w:rsid w:val="000155FC"/>
    <w:rsid w:val="00015A9A"/>
    <w:rsid w:val="00015BB9"/>
    <w:rsid w:val="0001703C"/>
    <w:rsid w:val="00017138"/>
    <w:rsid w:val="00017B43"/>
    <w:rsid w:val="000200F8"/>
    <w:rsid w:val="0002014E"/>
    <w:rsid w:val="0002034E"/>
    <w:rsid w:val="00020B1C"/>
    <w:rsid w:val="000211DF"/>
    <w:rsid w:val="0002148D"/>
    <w:rsid w:val="000217A1"/>
    <w:rsid w:val="000220B8"/>
    <w:rsid w:val="0002216A"/>
    <w:rsid w:val="00022CCB"/>
    <w:rsid w:val="00022F60"/>
    <w:rsid w:val="0002317D"/>
    <w:rsid w:val="00023184"/>
    <w:rsid w:val="0002379F"/>
    <w:rsid w:val="000237A5"/>
    <w:rsid w:val="00023969"/>
    <w:rsid w:val="00023A80"/>
    <w:rsid w:val="0002428D"/>
    <w:rsid w:val="00024C38"/>
    <w:rsid w:val="0002558F"/>
    <w:rsid w:val="00026271"/>
    <w:rsid w:val="000263C8"/>
    <w:rsid w:val="000263FE"/>
    <w:rsid w:val="00026A99"/>
    <w:rsid w:val="00026AD7"/>
    <w:rsid w:val="00026C51"/>
    <w:rsid w:val="00027042"/>
    <w:rsid w:val="00027068"/>
    <w:rsid w:val="0002764C"/>
    <w:rsid w:val="000276E2"/>
    <w:rsid w:val="00027B9B"/>
    <w:rsid w:val="000301E0"/>
    <w:rsid w:val="00030967"/>
    <w:rsid w:val="00030EAE"/>
    <w:rsid w:val="00030EBD"/>
    <w:rsid w:val="0003118A"/>
    <w:rsid w:val="000312F5"/>
    <w:rsid w:val="00031384"/>
    <w:rsid w:val="000318A2"/>
    <w:rsid w:val="0003195D"/>
    <w:rsid w:val="0003221D"/>
    <w:rsid w:val="000326B8"/>
    <w:rsid w:val="00032771"/>
    <w:rsid w:val="000329CB"/>
    <w:rsid w:val="00032D64"/>
    <w:rsid w:val="00032F36"/>
    <w:rsid w:val="0003305E"/>
    <w:rsid w:val="000330E5"/>
    <w:rsid w:val="00033339"/>
    <w:rsid w:val="000335A0"/>
    <w:rsid w:val="00033E63"/>
    <w:rsid w:val="00034A05"/>
    <w:rsid w:val="00034E80"/>
    <w:rsid w:val="00035478"/>
    <w:rsid w:val="000357E9"/>
    <w:rsid w:val="00035ED0"/>
    <w:rsid w:val="0003607C"/>
    <w:rsid w:val="0003635E"/>
    <w:rsid w:val="0003639C"/>
    <w:rsid w:val="0003662F"/>
    <w:rsid w:val="00036706"/>
    <w:rsid w:val="000367E8"/>
    <w:rsid w:val="000369BC"/>
    <w:rsid w:val="00036A93"/>
    <w:rsid w:val="00036C58"/>
    <w:rsid w:val="0003735C"/>
    <w:rsid w:val="000373AE"/>
    <w:rsid w:val="000379A4"/>
    <w:rsid w:val="00037A2C"/>
    <w:rsid w:val="00037B0B"/>
    <w:rsid w:val="0004009C"/>
    <w:rsid w:val="00040856"/>
    <w:rsid w:val="00040AD2"/>
    <w:rsid w:val="00040B2B"/>
    <w:rsid w:val="0004130B"/>
    <w:rsid w:val="000415F4"/>
    <w:rsid w:val="00041B25"/>
    <w:rsid w:val="00041C40"/>
    <w:rsid w:val="00041FA4"/>
    <w:rsid w:val="00042122"/>
    <w:rsid w:val="0004288E"/>
    <w:rsid w:val="00042994"/>
    <w:rsid w:val="00042A2D"/>
    <w:rsid w:val="00042CBE"/>
    <w:rsid w:val="0004300E"/>
    <w:rsid w:val="00043176"/>
    <w:rsid w:val="0004326E"/>
    <w:rsid w:val="00043ABE"/>
    <w:rsid w:val="00043AEC"/>
    <w:rsid w:val="00043C15"/>
    <w:rsid w:val="00043D0C"/>
    <w:rsid w:val="00043F7D"/>
    <w:rsid w:val="000442A8"/>
    <w:rsid w:val="000444D8"/>
    <w:rsid w:val="00044C36"/>
    <w:rsid w:val="0004532F"/>
    <w:rsid w:val="0004536A"/>
    <w:rsid w:val="0004591E"/>
    <w:rsid w:val="00045952"/>
    <w:rsid w:val="00045982"/>
    <w:rsid w:val="000459D4"/>
    <w:rsid w:val="00045AEB"/>
    <w:rsid w:val="000462F5"/>
    <w:rsid w:val="00046602"/>
    <w:rsid w:val="00046621"/>
    <w:rsid w:val="00046666"/>
    <w:rsid w:val="0004676F"/>
    <w:rsid w:val="00046A11"/>
    <w:rsid w:val="00046AB0"/>
    <w:rsid w:val="0004734A"/>
    <w:rsid w:val="00047965"/>
    <w:rsid w:val="00047C7A"/>
    <w:rsid w:val="00047DD6"/>
    <w:rsid w:val="000500CE"/>
    <w:rsid w:val="000501F2"/>
    <w:rsid w:val="000503BB"/>
    <w:rsid w:val="00050759"/>
    <w:rsid w:val="0005105D"/>
    <w:rsid w:val="000514BA"/>
    <w:rsid w:val="000514C7"/>
    <w:rsid w:val="00051A2F"/>
    <w:rsid w:val="000522BE"/>
    <w:rsid w:val="00052924"/>
    <w:rsid w:val="00052CB7"/>
    <w:rsid w:val="0005314E"/>
    <w:rsid w:val="000538BC"/>
    <w:rsid w:val="00053EF5"/>
    <w:rsid w:val="0005477E"/>
    <w:rsid w:val="00054BA0"/>
    <w:rsid w:val="00054D43"/>
    <w:rsid w:val="00054D91"/>
    <w:rsid w:val="0005500C"/>
    <w:rsid w:val="00055129"/>
    <w:rsid w:val="000554AF"/>
    <w:rsid w:val="0005588E"/>
    <w:rsid w:val="00055A5C"/>
    <w:rsid w:val="00055ED3"/>
    <w:rsid w:val="0005627D"/>
    <w:rsid w:val="000569CA"/>
    <w:rsid w:val="00056BA4"/>
    <w:rsid w:val="00056C42"/>
    <w:rsid w:val="000572D3"/>
    <w:rsid w:val="0005758A"/>
    <w:rsid w:val="0005759C"/>
    <w:rsid w:val="00057636"/>
    <w:rsid w:val="0005780B"/>
    <w:rsid w:val="00057A8F"/>
    <w:rsid w:val="000603FA"/>
    <w:rsid w:val="0006065D"/>
    <w:rsid w:val="00060A33"/>
    <w:rsid w:val="00061086"/>
    <w:rsid w:val="00061593"/>
    <w:rsid w:val="00061DB8"/>
    <w:rsid w:val="000626FC"/>
    <w:rsid w:val="0006273C"/>
    <w:rsid w:val="00062884"/>
    <w:rsid w:val="000631E7"/>
    <w:rsid w:val="0006322E"/>
    <w:rsid w:val="0006331E"/>
    <w:rsid w:val="0006397C"/>
    <w:rsid w:val="00063B17"/>
    <w:rsid w:val="00064061"/>
    <w:rsid w:val="00064252"/>
    <w:rsid w:val="00064AF4"/>
    <w:rsid w:val="00064B38"/>
    <w:rsid w:val="00064F02"/>
    <w:rsid w:val="000652E1"/>
    <w:rsid w:val="00065577"/>
    <w:rsid w:val="0006575D"/>
    <w:rsid w:val="000659CE"/>
    <w:rsid w:val="00065E1C"/>
    <w:rsid w:val="00065F39"/>
    <w:rsid w:val="00066117"/>
    <w:rsid w:val="0006661F"/>
    <w:rsid w:val="00067122"/>
    <w:rsid w:val="0006734A"/>
    <w:rsid w:val="0006769C"/>
    <w:rsid w:val="000677C0"/>
    <w:rsid w:val="000677CF"/>
    <w:rsid w:val="00067E75"/>
    <w:rsid w:val="00070423"/>
    <w:rsid w:val="00070683"/>
    <w:rsid w:val="00070C14"/>
    <w:rsid w:val="00070E66"/>
    <w:rsid w:val="00071014"/>
    <w:rsid w:val="000712DC"/>
    <w:rsid w:val="000713A1"/>
    <w:rsid w:val="000716A9"/>
    <w:rsid w:val="000716D2"/>
    <w:rsid w:val="00071848"/>
    <w:rsid w:val="000719A7"/>
    <w:rsid w:val="00072295"/>
    <w:rsid w:val="000722E2"/>
    <w:rsid w:val="000727B4"/>
    <w:rsid w:val="0007293D"/>
    <w:rsid w:val="00072986"/>
    <w:rsid w:val="00072A14"/>
    <w:rsid w:val="00072A15"/>
    <w:rsid w:val="00072BA4"/>
    <w:rsid w:val="00072CA2"/>
    <w:rsid w:val="00072E86"/>
    <w:rsid w:val="00072E95"/>
    <w:rsid w:val="00072F2F"/>
    <w:rsid w:val="0007301C"/>
    <w:rsid w:val="0007328F"/>
    <w:rsid w:val="000735B7"/>
    <w:rsid w:val="000737C1"/>
    <w:rsid w:val="00073D51"/>
    <w:rsid w:val="00073FB7"/>
    <w:rsid w:val="00074362"/>
    <w:rsid w:val="0007495F"/>
    <w:rsid w:val="00074A2F"/>
    <w:rsid w:val="00074A88"/>
    <w:rsid w:val="00074E78"/>
    <w:rsid w:val="000752CE"/>
    <w:rsid w:val="000755DA"/>
    <w:rsid w:val="000757DF"/>
    <w:rsid w:val="00075872"/>
    <w:rsid w:val="00075946"/>
    <w:rsid w:val="00075B6F"/>
    <w:rsid w:val="00075F43"/>
    <w:rsid w:val="000767F3"/>
    <w:rsid w:val="00076A66"/>
    <w:rsid w:val="00076CF6"/>
    <w:rsid w:val="00076D86"/>
    <w:rsid w:val="00076FA2"/>
    <w:rsid w:val="0007708A"/>
    <w:rsid w:val="00077511"/>
    <w:rsid w:val="000775B0"/>
    <w:rsid w:val="0007773E"/>
    <w:rsid w:val="00077A82"/>
    <w:rsid w:val="00077D51"/>
    <w:rsid w:val="000804FB"/>
    <w:rsid w:val="000805EA"/>
    <w:rsid w:val="00080839"/>
    <w:rsid w:val="00080B4A"/>
    <w:rsid w:val="00080F60"/>
    <w:rsid w:val="00081151"/>
    <w:rsid w:val="00081547"/>
    <w:rsid w:val="00081781"/>
    <w:rsid w:val="000817A4"/>
    <w:rsid w:val="000818F4"/>
    <w:rsid w:val="00081BB0"/>
    <w:rsid w:val="00081BBB"/>
    <w:rsid w:val="00081CCB"/>
    <w:rsid w:val="00081E10"/>
    <w:rsid w:val="00082312"/>
    <w:rsid w:val="0008256F"/>
    <w:rsid w:val="000827AE"/>
    <w:rsid w:val="000827BB"/>
    <w:rsid w:val="00082AFA"/>
    <w:rsid w:val="00082F5B"/>
    <w:rsid w:val="0008312E"/>
    <w:rsid w:val="0008340D"/>
    <w:rsid w:val="00083718"/>
    <w:rsid w:val="00083D9E"/>
    <w:rsid w:val="00083D9F"/>
    <w:rsid w:val="00084E56"/>
    <w:rsid w:val="00085058"/>
    <w:rsid w:val="000855B1"/>
    <w:rsid w:val="000856A6"/>
    <w:rsid w:val="0008589E"/>
    <w:rsid w:val="000860C7"/>
    <w:rsid w:val="0008639B"/>
    <w:rsid w:val="000866B4"/>
    <w:rsid w:val="00086EB5"/>
    <w:rsid w:val="00087199"/>
    <w:rsid w:val="0008741F"/>
    <w:rsid w:val="00087738"/>
    <w:rsid w:val="00087904"/>
    <w:rsid w:val="00087924"/>
    <w:rsid w:val="00090244"/>
    <w:rsid w:val="0009026B"/>
    <w:rsid w:val="00090644"/>
    <w:rsid w:val="00090741"/>
    <w:rsid w:val="00090858"/>
    <w:rsid w:val="00090C55"/>
    <w:rsid w:val="00090FB0"/>
    <w:rsid w:val="00091219"/>
    <w:rsid w:val="000912F8"/>
    <w:rsid w:val="00091D98"/>
    <w:rsid w:val="000927EA"/>
    <w:rsid w:val="00092AC9"/>
    <w:rsid w:val="00093318"/>
    <w:rsid w:val="000934DF"/>
    <w:rsid w:val="00093AE7"/>
    <w:rsid w:val="00093B0F"/>
    <w:rsid w:val="00093C22"/>
    <w:rsid w:val="00093D38"/>
    <w:rsid w:val="000942A2"/>
    <w:rsid w:val="00094B07"/>
    <w:rsid w:val="00094B5D"/>
    <w:rsid w:val="00094C25"/>
    <w:rsid w:val="00094E43"/>
    <w:rsid w:val="0009517D"/>
    <w:rsid w:val="00095341"/>
    <w:rsid w:val="00095BD2"/>
    <w:rsid w:val="00095F2D"/>
    <w:rsid w:val="000961A1"/>
    <w:rsid w:val="000966D4"/>
    <w:rsid w:val="000967D4"/>
    <w:rsid w:val="00096BEA"/>
    <w:rsid w:val="00096C03"/>
    <w:rsid w:val="000973BF"/>
    <w:rsid w:val="0009756B"/>
    <w:rsid w:val="00097A4E"/>
    <w:rsid w:val="00097B22"/>
    <w:rsid w:val="00097E49"/>
    <w:rsid w:val="000A00DD"/>
    <w:rsid w:val="000A030F"/>
    <w:rsid w:val="000A0689"/>
    <w:rsid w:val="000A0777"/>
    <w:rsid w:val="000A07D5"/>
    <w:rsid w:val="000A0FEA"/>
    <w:rsid w:val="000A14F1"/>
    <w:rsid w:val="000A14F5"/>
    <w:rsid w:val="000A1B91"/>
    <w:rsid w:val="000A1C7A"/>
    <w:rsid w:val="000A1D6D"/>
    <w:rsid w:val="000A28E3"/>
    <w:rsid w:val="000A2BA9"/>
    <w:rsid w:val="000A393D"/>
    <w:rsid w:val="000A3CBC"/>
    <w:rsid w:val="000A3F27"/>
    <w:rsid w:val="000A485E"/>
    <w:rsid w:val="000A4DCC"/>
    <w:rsid w:val="000A4EC1"/>
    <w:rsid w:val="000A588D"/>
    <w:rsid w:val="000A657B"/>
    <w:rsid w:val="000A6582"/>
    <w:rsid w:val="000A6909"/>
    <w:rsid w:val="000A6CA1"/>
    <w:rsid w:val="000A72C4"/>
    <w:rsid w:val="000A77C2"/>
    <w:rsid w:val="000A77E1"/>
    <w:rsid w:val="000A783A"/>
    <w:rsid w:val="000A7C3A"/>
    <w:rsid w:val="000B0551"/>
    <w:rsid w:val="000B0BF3"/>
    <w:rsid w:val="000B0E39"/>
    <w:rsid w:val="000B115A"/>
    <w:rsid w:val="000B19DA"/>
    <w:rsid w:val="000B1CF7"/>
    <w:rsid w:val="000B1E8A"/>
    <w:rsid w:val="000B1F34"/>
    <w:rsid w:val="000B20FD"/>
    <w:rsid w:val="000B2433"/>
    <w:rsid w:val="000B24A4"/>
    <w:rsid w:val="000B2593"/>
    <w:rsid w:val="000B268F"/>
    <w:rsid w:val="000B2C36"/>
    <w:rsid w:val="000B311F"/>
    <w:rsid w:val="000B33EB"/>
    <w:rsid w:val="000B382D"/>
    <w:rsid w:val="000B39B0"/>
    <w:rsid w:val="000B3C8F"/>
    <w:rsid w:val="000B4060"/>
    <w:rsid w:val="000B4271"/>
    <w:rsid w:val="000B45D1"/>
    <w:rsid w:val="000B511B"/>
    <w:rsid w:val="000B57D6"/>
    <w:rsid w:val="000B6022"/>
    <w:rsid w:val="000B60E8"/>
    <w:rsid w:val="000B6171"/>
    <w:rsid w:val="000B6530"/>
    <w:rsid w:val="000B666A"/>
    <w:rsid w:val="000B6836"/>
    <w:rsid w:val="000B6DAF"/>
    <w:rsid w:val="000B733C"/>
    <w:rsid w:val="000B73C1"/>
    <w:rsid w:val="000B78FE"/>
    <w:rsid w:val="000B7973"/>
    <w:rsid w:val="000B7D5B"/>
    <w:rsid w:val="000B7E29"/>
    <w:rsid w:val="000B7E96"/>
    <w:rsid w:val="000B7F9E"/>
    <w:rsid w:val="000C0554"/>
    <w:rsid w:val="000C062D"/>
    <w:rsid w:val="000C0682"/>
    <w:rsid w:val="000C073D"/>
    <w:rsid w:val="000C09A0"/>
    <w:rsid w:val="000C0DE1"/>
    <w:rsid w:val="000C13AF"/>
    <w:rsid w:val="000C16CC"/>
    <w:rsid w:val="000C18AE"/>
    <w:rsid w:val="000C1900"/>
    <w:rsid w:val="000C1A59"/>
    <w:rsid w:val="000C1B28"/>
    <w:rsid w:val="000C1B3E"/>
    <w:rsid w:val="000C1C18"/>
    <w:rsid w:val="000C1E32"/>
    <w:rsid w:val="000C247F"/>
    <w:rsid w:val="000C2482"/>
    <w:rsid w:val="000C298E"/>
    <w:rsid w:val="000C2A3D"/>
    <w:rsid w:val="000C31AF"/>
    <w:rsid w:val="000C34F8"/>
    <w:rsid w:val="000C3879"/>
    <w:rsid w:val="000C434B"/>
    <w:rsid w:val="000C44A0"/>
    <w:rsid w:val="000C480F"/>
    <w:rsid w:val="000C48E0"/>
    <w:rsid w:val="000C4C9C"/>
    <w:rsid w:val="000C4E99"/>
    <w:rsid w:val="000C5D8F"/>
    <w:rsid w:val="000C64DE"/>
    <w:rsid w:val="000C6A4F"/>
    <w:rsid w:val="000C6D1A"/>
    <w:rsid w:val="000C6EE9"/>
    <w:rsid w:val="000C7011"/>
    <w:rsid w:val="000C7598"/>
    <w:rsid w:val="000C7F04"/>
    <w:rsid w:val="000D045E"/>
    <w:rsid w:val="000D0549"/>
    <w:rsid w:val="000D08C4"/>
    <w:rsid w:val="000D0C27"/>
    <w:rsid w:val="000D0CE3"/>
    <w:rsid w:val="000D13DD"/>
    <w:rsid w:val="000D1478"/>
    <w:rsid w:val="000D15C2"/>
    <w:rsid w:val="000D2050"/>
    <w:rsid w:val="000D24D1"/>
    <w:rsid w:val="000D269F"/>
    <w:rsid w:val="000D27AC"/>
    <w:rsid w:val="000D2A8E"/>
    <w:rsid w:val="000D327D"/>
    <w:rsid w:val="000D37A9"/>
    <w:rsid w:val="000D39CA"/>
    <w:rsid w:val="000D4127"/>
    <w:rsid w:val="000D446A"/>
    <w:rsid w:val="000D46CF"/>
    <w:rsid w:val="000D4C2C"/>
    <w:rsid w:val="000D4D43"/>
    <w:rsid w:val="000D4F08"/>
    <w:rsid w:val="000D4F6A"/>
    <w:rsid w:val="000D4F6B"/>
    <w:rsid w:val="000D4FB3"/>
    <w:rsid w:val="000D526E"/>
    <w:rsid w:val="000D52F0"/>
    <w:rsid w:val="000D5F05"/>
    <w:rsid w:val="000D607C"/>
    <w:rsid w:val="000D65D8"/>
    <w:rsid w:val="000D6618"/>
    <w:rsid w:val="000D6E83"/>
    <w:rsid w:val="000D6EDE"/>
    <w:rsid w:val="000D6F86"/>
    <w:rsid w:val="000D7443"/>
    <w:rsid w:val="000D7548"/>
    <w:rsid w:val="000D7AA8"/>
    <w:rsid w:val="000E0489"/>
    <w:rsid w:val="000E0AFE"/>
    <w:rsid w:val="000E10FC"/>
    <w:rsid w:val="000E11D1"/>
    <w:rsid w:val="000E164A"/>
    <w:rsid w:val="000E167B"/>
    <w:rsid w:val="000E1C07"/>
    <w:rsid w:val="000E1F72"/>
    <w:rsid w:val="000E2104"/>
    <w:rsid w:val="000E2C34"/>
    <w:rsid w:val="000E2C90"/>
    <w:rsid w:val="000E3174"/>
    <w:rsid w:val="000E319B"/>
    <w:rsid w:val="000E3D8A"/>
    <w:rsid w:val="000E400B"/>
    <w:rsid w:val="000E40F9"/>
    <w:rsid w:val="000E4431"/>
    <w:rsid w:val="000E474E"/>
    <w:rsid w:val="000E4982"/>
    <w:rsid w:val="000E4C09"/>
    <w:rsid w:val="000E4F04"/>
    <w:rsid w:val="000E5488"/>
    <w:rsid w:val="000E54E4"/>
    <w:rsid w:val="000E5726"/>
    <w:rsid w:val="000E5905"/>
    <w:rsid w:val="000E596A"/>
    <w:rsid w:val="000E5A11"/>
    <w:rsid w:val="000E607B"/>
    <w:rsid w:val="000E633A"/>
    <w:rsid w:val="000E6F3C"/>
    <w:rsid w:val="000E73CB"/>
    <w:rsid w:val="000E76BD"/>
    <w:rsid w:val="000E7921"/>
    <w:rsid w:val="000E7C5F"/>
    <w:rsid w:val="000E7D75"/>
    <w:rsid w:val="000E7F4B"/>
    <w:rsid w:val="000F0693"/>
    <w:rsid w:val="000F0698"/>
    <w:rsid w:val="000F08E4"/>
    <w:rsid w:val="000F0CF8"/>
    <w:rsid w:val="000F0D03"/>
    <w:rsid w:val="000F0E14"/>
    <w:rsid w:val="000F0F40"/>
    <w:rsid w:val="000F122A"/>
    <w:rsid w:val="000F162C"/>
    <w:rsid w:val="000F1AF2"/>
    <w:rsid w:val="000F23DD"/>
    <w:rsid w:val="000F23FF"/>
    <w:rsid w:val="000F28FD"/>
    <w:rsid w:val="000F2A3A"/>
    <w:rsid w:val="000F32AA"/>
    <w:rsid w:val="000F38B0"/>
    <w:rsid w:val="000F3AA8"/>
    <w:rsid w:val="000F3AF4"/>
    <w:rsid w:val="000F3CE5"/>
    <w:rsid w:val="000F3EFD"/>
    <w:rsid w:val="000F4024"/>
    <w:rsid w:val="000F4102"/>
    <w:rsid w:val="000F4246"/>
    <w:rsid w:val="000F4A51"/>
    <w:rsid w:val="000F4B28"/>
    <w:rsid w:val="000F4F37"/>
    <w:rsid w:val="000F520B"/>
    <w:rsid w:val="000F530A"/>
    <w:rsid w:val="000F5402"/>
    <w:rsid w:val="000F542C"/>
    <w:rsid w:val="000F5494"/>
    <w:rsid w:val="000F55A8"/>
    <w:rsid w:val="000F55CA"/>
    <w:rsid w:val="000F591C"/>
    <w:rsid w:val="000F604A"/>
    <w:rsid w:val="000F679B"/>
    <w:rsid w:val="000F6FAE"/>
    <w:rsid w:val="000F70A4"/>
    <w:rsid w:val="000F723C"/>
    <w:rsid w:val="00100816"/>
    <w:rsid w:val="00100BC8"/>
    <w:rsid w:val="00100E1C"/>
    <w:rsid w:val="001011C4"/>
    <w:rsid w:val="00101392"/>
    <w:rsid w:val="001014D3"/>
    <w:rsid w:val="00101A02"/>
    <w:rsid w:val="00101BF2"/>
    <w:rsid w:val="00101C86"/>
    <w:rsid w:val="00102112"/>
    <w:rsid w:val="00102389"/>
    <w:rsid w:val="00103100"/>
    <w:rsid w:val="001033B1"/>
    <w:rsid w:val="0010387B"/>
    <w:rsid w:val="00103AF9"/>
    <w:rsid w:val="00103CC0"/>
    <w:rsid w:val="00103CC3"/>
    <w:rsid w:val="00103D5A"/>
    <w:rsid w:val="00103DA1"/>
    <w:rsid w:val="00103FD0"/>
    <w:rsid w:val="00104109"/>
    <w:rsid w:val="00104681"/>
    <w:rsid w:val="00104A33"/>
    <w:rsid w:val="00104B6D"/>
    <w:rsid w:val="00104E8C"/>
    <w:rsid w:val="0010532D"/>
    <w:rsid w:val="001053F0"/>
    <w:rsid w:val="0010559C"/>
    <w:rsid w:val="00105780"/>
    <w:rsid w:val="00105A62"/>
    <w:rsid w:val="00105A8E"/>
    <w:rsid w:val="001060FD"/>
    <w:rsid w:val="00106210"/>
    <w:rsid w:val="00106E25"/>
    <w:rsid w:val="00106EF0"/>
    <w:rsid w:val="00107025"/>
    <w:rsid w:val="001070EC"/>
    <w:rsid w:val="0010719D"/>
    <w:rsid w:val="0010743C"/>
    <w:rsid w:val="00107796"/>
    <w:rsid w:val="001079A8"/>
    <w:rsid w:val="00107A4F"/>
    <w:rsid w:val="00107BB3"/>
    <w:rsid w:val="00110067"/>
    <w:rsid w:val="001101AC"/>
    <w:rsid w:val="001105CC"/>
    <w:rsid w:val="00110EA0"/>
    <w:rsid w:val="00111172"/>
    <w:rsid w:val="001116A2"/>
    <w:rsid w:val="001117C6"/>
    <w:rsid w:val="00111826"/>
    <w:rsid w:val="00111D0B"/>
    <w:rsid w:val="00111FF8"/>
    <w:rsid w:val="00112088"/>
    <w:rsid w:val="001126C9"/>
    <w:rsid w:val="001129B8"/>
    <w:rsid w:val="00112EB5"/>
    <w:rsid w:val="00113162"/>
    <w:rsid w:val="00113197"/>
    <w:rsid w:val="001131A0"/>
    <w:rsid w:val="001136A9"/>
    <w:rsid w:val="001136C0"/>
    <w:rsid w:val="00113735"/>
    <w:rsid w:val="00113840"/>
    <w:rsid w:val="00113A20"/>
    <w:rsid w:val="00113D2A"/>
    <w:rsid w:val="001147FF"/>
    <w:rsid w:val="0011486D"/>
    <w:rsid w:val="00114B96"/>
    <w:rsid w:val="001150A2"/>
    <w:rsid w:val="00115689"/>
    <w:rsid w:val="00115740"/>
    <w:rsid w:val="00115899"/>
    <w:rsid w:val="00115A61"/>
    <w:rsid w:val="00115DA7"/>
    <w:rsid w:val="00115E0A"/>
    <w:rsid w:val="00116045"/>
    <w:rsid w:val="001165B4"/>
    <w:rsid w:val="0011661B"/>
    <w:rsid w:val="001170F4"/>
    <w:rsid w:val="0011727E"/>
    <w:rsid w:val="001175DA"/>
    <w:rsid w:val="0011789C"/>
    <w:rsid w:val="00117C30"/>
    <w:rsid w:val="00117C31"/>
    <w:rsid w:val="00117C74"/>
    <w:rsid w:val="00117F16"/>
    <w:rsid w:val="00120AA0"/>
    <w:rsid w:val="00120FC3"/>
    <w:rsid w:val="00121167"/>
    <w:rsid w:val="0012191D"/>
    <w:rsid w:val="00121BE9"/>
    <w:rsid w:val="00121CD1"/>
    <w:rsid w:val="001220E4"/>
    <w:rsid w:val="0012272B"/>
    <w:rsid w:val="00122B1D"/>
    <w:rsid w:val="00122B67"/>
    <w:rsid w:val="001230BF"/>
    <w:rsid w:val="00123173"/>
    <w:rsid w:val="0012342B"/>
    <w:rsid w:val="001234BC"/>
    <w:rsid w:val="001234C7"/>
    <w:rsid w:val="001239C3"/>
    <w:rsid w:val="00123BAD"/>
    <w:rsid w:val="00123C79"/>
    <w:rsid w:val="00124009"/>
    <w:rsid w:val="00124028"/>
    <w:rsid w:val="0012405A"/>
    <w:rsid w:val="0012414E"/>
    <w:rsid w:val="00124256"/>
    <w:rsid w:val="00124569"/>
    <w:rsid w:val="0012485E"/>
    <w:rsid w:val="001248F3"/>
    <w:rsid w:val="00124BB5"/>
    <w:rsid w:val="00124DBD"/>
    <w:rsid w:val="00125416"/>
    <w:rsid w:val="0012550E"/>
    <w:rsid w:val="00125B47"/>
    <w:rsid w:val="0012607A"/>
    <w:rsid w:val="00126292"/>
    <w:rsid w:val="0012660F"/>
    <w:rsid w:val="001266F0"/>
    <w:rsid w:val="00126E85"/>
    <w:rsid w:val="00126F44"/>
    <w:rsid w:val="001270E1"/>
    <w:rsid w:val="001274F0"/>
    <w:rsid w:val="00127619"/>
    <w:rsid w:val="00127648"/>
    <w:rsid w:val="00127754"/>
    <w:rsid w:val="00127A5F"/>
    <w:rsid w:val="00127B04"/>
    <w:rsid w:val="00127D53"/>
    <w:rsid w:val="00127F55"/>
    <w:rsid w:val="00130007"/>
    <w:rsid w:val="001300A0"/>
    <w:rsid w:val="001300DD"/>
    <w:rsid w:val="001303F1"/>
    <w:rsid w:val="00130AA8"/>
    <w:rsid w:val="00130E74"/>
    <w:rsid w:val="00131169"/>
    <w:rsid w:val="001316C8"/>
    <w:rsid w:val="0013185A"/>
    <w:rsid w:val="001318FD"/>
    <w:rsid w:val="001319B4"/>
    <w:rsid w:val="00131D47"/>
    <w:rsid w:val="0013220B"/>
    <w:rsid w:val="00132298"/>
    <w:rsid w:val="001322C9"/>
    <w:rsid w:val="00132806"/>
    <w:rsid w:val="00132894"/>
    <w:rsid w:val="0013293E"/>
    <w:rsid w:val="00132AF6"/>
    <w:rsid w:val="00132CFA"/>
    <w:rsid w:val="00133027"/>
    <w:rsid w:val="00133A88"/>
    <w:rsid w:val="00133BA4"/>
    <w:rsid w:val="00133C13"/>
    <w:rsid w:val="00134E3F"/>
    <w:rsid w:val="00134E5F"/>
    <w:rsid w:val="001351B1"/>
    <w:rsid w:val="0013582C"/>
    <w:rsid w:val="00135B4A"/>
    <w:rsid w:val="00135CF6"/>
    <w:rsid w:val="00135FB3"/>
    <w:rsid w:val="0013625F"/>
    <w:rsid w:val="001366D2"/>
    <w:rsid w:val="00136899"/>
    <w:rsid w:val="0013692B"/>
    <w:rsid w:val="00136A67"/>
    <w:rsid w:val="00136ED7"/>
    <w:rsid w:val="001378A4"/>
    <w:rsid w:val="00137B9B"/>
    <w:rsid w:val="001400F1"/>
    <w:rsid w:val="00140776"/>
    <w:rsid w:val="0014166A"/>
    <w:rsid w:val="001417BB"/>
    <w:rsid w:val="00142006"/>
    <w:rsid w:val="0014200B"/>
    <w:rsid w:val="0014219A"/>
    <w:rsid w:val="00142306"/>
    <w:rsid w:val="001424EE"/>
    <w:rsid w:val="0014261C"/>
    <w:rsid w:val="00142FF2"/>
    <w:rsid w:val="00143011"/>
    <w:rsid w:val="001437C8"/>
    <w:rsid w:val="001438BF"/>
    <w:rsid w:val="00143DE0"/>
    <w:rsid w:val="001442CD"/>
    <w:rsid w:val="001446A2"/>
    <w:rsid w:val="00144D13"/>
    <w:rsid w:val="00144D24"/>
    <w:rsid w:val="00144EF6"/>
    <w:rsid w:val="00144F75"/>
    <w:rsid w:val="00144FD3"/>
    <w:rsid w:val="00145461"/>
    <w:rsid w:val="0014582C"/>
    <w:rsid w:val="001460C7"/>
    <w:rsid w:val="001462C3"/>
    <w:rsid w:val="001468F8"/>
    <w:rsid w:val="00146B91"/>
    <w:rsid w:val="00146D80"/>
    <w:rsid w:val="00146E0F"/>
    <w:rsid w:val="00146ECE"/>
    <w:rsid w:val="00146F0F"/>
    <w:rsid w:val="00146F65"/>
    <w:rsid w:val="00147A26"/>
    <w:rsid w:val="00147A7F"/>
    <w:rsid w:val="00147C8F"/>
    <w:rsid w:val="00150332"/>
    <w:rsid w:val="00150386"/>
    <w:rsid w:val="00150443"/>
    <w:rsid w:val="00150A68"/>
    <w:rsid w:val="00150FE6"/>
    <w:rsid w:val="001514E2"/>
    <w:rsid w:val="001515AD"/>
    <w:rsid w:val="001517CE"/>
    <w:rsid w:val="001518E1"/>
    <w:rsid w:val="0015198B"/>
    <w:rsid w:val="00151A59"/>
    <w:rsid w:val="00151BC4"/>
    <w:rsid w:val="00152419"/>
    <w:rsid w:val="001528CB"/>
    <w:rsid w:val="00152D99"/>
    <w:rsid w:val="001531C2"/>
    <w:rsid w:val="0015368D"/>
    <w:rsid w:val="0015374E"/>
    <w:rsid w:val="00153E8C"/>
    <w:rsid w:val="00153FFA"/>
    <w:rsid w:val="001543E6"/>
    <w:rsid w:val="001546CC"/>
    <w:rsid w:val="0015477C"/>
    <w:rsid w:val="00154853"/>
    <w:rsid w:val="00154AAA"/>
    <w:rsid w:val="00154BFD"/>
    <w:rsid w:val="00154CB7"/>
    <w:rsid w:val="00154EC8"/>
    <w:rsid w:val="00155147"/>
    <w:rsid w:val="001554A0"/>
    <w:rsid w:val="001554EB"/>
    <w:rsid w:val="001558DA"/>
    <w:rsid w:val="00155A3D"/>
    <w:rsid w:val="00155B9E"/>
    <w:rsid w:val="00155D2B"/>
    <w:rsid w:val="001565CF"/>
    <w:rsid w:val="0015706A"/>
    <w:rsid w:val="0016000C"/>
    <w:rsid w:val="001604C5"/>
    <w:rsid w:val="0016068E"/>
    <w:rsid w:val="00160F5C"/>
    <w:rsid w:val="0016113E"/>
    <w:rsid w:val="00161519"/>
    <w:rsid w:val="001615B3"/>
    <w:rsid w:val="00161B71"/>
    <w:rsid w:val="00161F37"/>
    <w:rsid w:val="001622DF"/>
    <w:rsid w:val="001623D0"/>
    <w:rsid w:val="001623FE"/>
    <w:rsid w:val="00162584"/>
    <w:rsid w:val="001626D4"/>
    <w:rsid w:val="00162737"/>
    <w:rsid w:val="00162D0B"/>
    <w:rsid w:val="00162D45"/>
    <w:rsid w:val="001630BC"/>
    <w:rsid w:val="001640F4"/>
    <w:rsid w:val="00164500"/>
    <w:rsid w:val="0016471E"/>
    <w:rsid w:val="00164C1F"/>
    <w:rsid w:val="0016502A"/>
    <w:rsid w:val="001650E1"/>
    <w:rsid w:val="00165313"/>
    <w:rsid w:val="00165999"/>
    <w:rsid w:val="00165ABD"/>
    <w:rsid w:val="00165CEE"/>
    <w:rsid w:val="00166075"/>
    <w:rsid w:val="00166139"/>
    <w:rsid w:val="00166273"/>
    <w:rsid w:val="001662DE"/>
    <w:rsid w:val="00166478"/>
    <w:rsid w:val="0016658D"/>
    <w:rsid w:val="001665AF"/>
    <w:rsid w:val="00166696"/>
    <w:rsid w:val="00167419"/>
    <w:rsid w:val="001674AB"/>
    <w:rsid w:val="0016760B"/>
    <w:rsid w:val="00167C00"/>
    <w:rsid w:val="00170257"/>
    <w:rsid w:val="001706A4"/>
    <w:rsid w:val="00171BEB"/>
    <w:rsid w:val="0017230F"/>
    <w:rsid w:val="00172F13"/>
    <w:rsid w:val="0017319D"/>
    <w:rsid w:val="0017389A"/>
    <w:rsid w:val="00173ADC"/>
    <w:rsid w:val="001742A8"/>
    <w:rsid w:val="001742C3"/>
    <w:rsid w:val="00174A97"/>
    <w:rsid w:val="001751B1"/>
    <w:rsid w:val="001753AE"/>
    <w:rsid w:val="00175A5C"/>
    <w:rsid w:val="00175CDE"/>
    <w:rsid w:val="00175E41"/>
    <w:rsid w:val="00176086"/>
    <w:rsid w:val="00176214"/>
    <w:rsid w:val="001765B5"/>
    <w:rsid w:val="00176658"/>
    <w:rsid w:val="001766F4"/>
    <w:rsid w:val="00176917"/>
    <w:rsid w:val="00176DDD"/>
    <w:rsid w:val="00176F4A"/>
    <w:rsid w:val="00176FF3"/>
    <w:rsid w:val="00177012"/>
    <w:rsid w:val="00177137"/>
    <w:rsid w:val="00177285"/>
    <w:rsid w:val="001772A5"/>
    <w:rsid w:val="00177344"/>
    <w:rsid w:val="001774B2"/>
    <w:rsid w:val="00177A19"/>
    <w:rsid w:val="00177D33"/>
    <w:rsid w:val="001801EF"/>
    <w:rsid w:val="001802E7"/>
    <w:rsid w:val="001803F0"/>
    <w:rsid w:val="00180407"/>
    <w:rsid w:val="00180B16"/>
    <w:rsid w:val="00180E36"/>
    <w:rsid w:val="001811F1"/>
    <w:rsid w:val="001813F7"/>
    <w:rsid w:val="00182446"/>
    <w:rsid w:val="00182562"/>
    <w:rsid w:val="00182618"/>
    <w:rsid w:val="0018295F"/>
    <w:rsid w:val="00182CF3"/>
    <w:rsid w:val="001834FC"/>
    <w:rsid w:val="00183525"/>
    <w:rsid w:val="001841FA"/>
    <w:rsid w:val="00184724"/>
    <w:rsid w:val="00184A84"/>
    <w:rsid w:val="00185341"/>
    <w:rsid w:val="00185511"/>
    <w:rsid w:val="00185748"/>
    <w:rsid w:val="00185A6A"/>
    <w:rsid w:val="00185CCA"/>
    <w:rsid w:val="00185E14"/>
    <w:rsid w:val="00186054"/>
    <w:rsid w:val="00186936"/>
    <w:rsid w:val="001869DB"/>
    <w:rsid w:val="00186C9E"/>
    <w:rsid w:val="00186D8A"/>
    <w:rsid w:val="001871A0"/>
    <w:rsid w:val="00187204"/>
    <w:rsid w:val="0018726D"/>
    <w:rsid w:val="0018739B"/>
    <w:rsid w:val="00187667"/>
    <w:rsid w:val="00187B54"/>
    <w:rsid w:val="00187EDF"/>
    <w:rsid w:val="00187F10"/>
    <w:rsid w:val="00190050"/>
    <w:rsid w:val="001903D7"/>
    <w:rsid w:val="0019053E"/>
    <w:rsid w:val="001907DB"/>
    <w:rsid w:val="00190834"/>
    <w:rsid w:val="00190E58"/>
    <w:rsid w:val="00190FC5"/>
    <w:rsid w:val="001914C1"/>
    <w:rsid w:val="00191E8C"/>
    <w:rsid w:val="00191E96"/>
    <w:rsid w:val="001922DC"/>
    <w:rsid w:val="001926BF"/>
    <w:rsid w:val="00192788"/>
    <w:rsid w:val="00192AAF"/>
    <w:rsid w:val="00192CEE"/>
    <w:rsid w:val="00192D0A"/>
    <w:rsid w:val="001930CD"/>
    <w:rsid w:val="00193310"/>
    <w:rsid w:val="0019365A"/>
    <w:rsid w:val="001937DD"/>
    <w:rsid w:val="00193932"/>
    <w:rsid w:val="00194287"/>
    <w:rsid w:val="00194553"/>
    <w:rsid w:val="0019483F"/>
    <w:rsid w:val="00194950"/>
    <w:rsid w:val="00194981"/>
    <w:rsid w:val="001951CF"/>
    <w:rsid w:val="001953FE"/>
    <w:rsid w:val="00195A1D"/>
    <w:rsid w:val="00195C4A"/>
    <w:rsid w:val="0019613B"/>
    <w:rsid w:val="00196827"/>
    <w:rsid w:val="00197578"/>
    <w:rsid w:val="001A01F0"/>
    <w:rsid w:val="001A02FA"/>
    <w:rsid w:val="001A04D7"/>
    <w:rsid w:val="001A09B8"/>
    <w:rsid w:val="001A0B33"/>
    <w:rsid w:val="001A0C86"/>
    <w:rsid w:val="001A0CA3"/>
    <w:rsid w:val="001A1091"/>
    <w:rsid w:val="001A1172"/>
    <w:rsid w:val="001A13AA"/>
    <w:rsid w:val="001A1D22"/>
    <w:rsid w:val="001A1EEA"/>
    <w:rsid w:val="001A2222"/>
    <w:rsid w:val="001A23D4"/>
    <w:rsid w:val="001A2725"/>
    <w:rsid w:val="001A2FEE"/>
    <w:rsid w:val="001A3465"/>
    <w:rsid w:val="001A35B1"/>
    <w:rsid w:val="001A3786"/>
    <w:rsid w:val="001A38E4"/>
    <w:rsid w:val="001A39C9"/>
    <w:rsid w:val="001A3BEB"/>
    <w:rsid w:val="001A475E"/>
    <w:rsid w:val="001A4B15"/>
    <w:rsid w:val="001A4BC7"/>
    <w:rsid w:val="001A4E98"/>
    <w:rsid w:val="001A4FA6"/>
    <w:rsid w:val="001A5019"/>
    <w:rsid w:val="001A5275"/>
    <w:rsid w:val="001A5342"/>
    <w:rsid w:val="001A56C5"/>
    <w:rsid w:val="001A5AF4"/>
    <w:rsid w:val="001A6319"/>
    <w:rsid w:val="001A6681"/>
    <w:rsid w:val="001A6D00"/>
    <w:rsid w:val="001A6E7F"/>
    <w:rsid w:val="001A7727"/>
    <w:rsid w:val="001A7D1D"/>
    <w:rsid w:val="001A7DC9"/>
    <w:rsid w:val="001B009F"/>
    <w:rsid w:val="001B026E"/>
    <w:rsid w:val="001B04EE"/>
    <w:rsid w:val="001B073B"/>
    <w:rsid w:val="001B0EFE"/>
    <w:rsid w:val="001B10B3"/>
    <w:rsid w:val="001B1A72"/>
    <w:rsid w:val="001B22F9"/>
    <w:rsid w:val="001B26B2"/>
    <w:rsid w:val="001B2E5C"/>
    <w:rsid w:val="001B30DB"/>
    <w:rsid w:val="001B332B"/>
    <w:rsid w:val="001B3673"/>
    <w:rsid w:val="001B3793"/>
    <w:rsid w:val="001B3912"/>
    <w:rsid w:val="001B4124"/>
    <w:rsid w:val="001B4764"/>
    <w:rsid w:val="001B4766"/>
    <w:rsid w:val="001B55E9"/>
    <w:rsid w:val="001B59CF"/>
    <w:rsid w:val="001B68F5"/>
    <w:rsid w:val="001B6A71"/>
    <w:rsid w:val="001B76D3"/>
    <w:rsid w:val="001B78B2"/>
    <w:rsid w:val="001B7972"/>
    <w:rsid w:val="001B7D21"/>
    <w:rsid w:val="001C0332"/>
    <w:rsid w:val="001C0686"/>
    <w:rsid w:val="001C090A"/>
    <w:rsid w:val="001C1AB1"/>
    <w:rsid w:val="001C1C6B"/>
    <w:rsid w:val="001C22DF"/>
    <w:rsid w:val="001C2315"/>
    <w:rsid w:val="001C2325"/>
    <w:rsid w:val="001C23BD"/>
    <w:rsid w:val="001C2EEA"/>
    <w:rsid w:val="001C37D7"/>
    <w:rsid w:val="001C39DC"/>
    <w:rsid w:val="001C45EC"/>
    <w:rsid w:val="001C4686"/>
    <w:rsid w:val="001C5293"/>
    <w:rsid w:val="001C52A2"/>
    <w:rsid w:val="001C5363"/>
    <w:rsid w:val="001C55E2"/>
    <w:rsid w:val="001C5AEF"/>
    <w:rsid w:val="001C5B3A"/>
    <w:rsid w:val="001C5F46"/>
    <w:rsid w:val="001C6175"/>
    <w:rsid w:val="001C657F"/>
    <w:rsid w:val="001C69A9"/>
    <w:rsid w:val="001C69EB"/>
    <w:rsid w:val="001C6AB4"/>
    <w:rsid w:val="001C6AC4"/>
    <w:rsid w:val="001C742B"/>
    <w:rsid w:val="001C755F"/>
    <w:rsid w:val="001C7E2D"/>
    <w:rsid w:val="001C7FF3"/>
    <w:rsid w:val="001D0624"/>
    <w:rsid w:val="001D06E7"/>
    <w:rsid w:val="001D08B3"/>
    <w:rsid w:val="001D0DE3"/>
    <w:rsid w:val="001D10F1"/>
    <w:rsid w:val="001D134E"/>
    <w:rsid w:val="001D1B8C"/>
    <w:rsid w:val="001D1E7D"/>
    <w:rsid w:val="001D22CE"/>
    <w:rsid w:val="001D2313"/>
    <w:rsid w:val="001D2326"/>
    <w:rsid w:val="001D2638"/>
    <w:rsid w:val="001D2663"/>
    <w:rsid w:val="001D274B"/>
    <w:rsid w:val="001D28F9"/>
    <w:rsid w:val="001D2A9F"/>
    <w:rsid w:val="001D3239"/>
    <w:rsid w:val="001D3519"/>
    <w:rsid w:val="001D3A09"/>
    <w:rsid w:val="001D40A6"/>
    <w:rsid w:val="001D4C86"/>
    <w:rsid w:val="001D6076"/>
    <w:rsid w:val="001D608B"/>
    <w:rsid w:val="001D6197"/>
    <w:rsid w:val="001D628F"/>
    <w:rsid w:val="001D62AE"/>
    <w:rsid w:val="001D63D2"/>
    <w:rsid w:val="001D6B9D"/>
    <w:rsid w:val="001D7098"/>
    <w:rsid w:val="001D74D8"/>
    <w:rsid w:val="001D7B87"/>
    <w:rsid w:val="001D7BB0"/>
    <w:rsid w:val="001D7D66"/>
    <w:rsid w:val="001E0422"/>
    <w:rsid w:val="001E056D"/>
    <w:rsid w:val="001E0B24"/>
    <w:rsid w:val="001E1000"/>
    <w:rsid w:val="001E12FD"/>
    <w:rsid w:val="001E156C"/>
    <w:rsid w:val="001E1D5E"/>
    <w:rsid w:val="001E2096"/>
    <w:rsid w:val="001E21C0"/>
    <w:rsid w:val="001E223F"/>
    <w:rsid w:val="001E2324"/>
    <w:rsid w:val="001E2584"/>
    <w:rsid w:val="001E2901"/>
    <w:rsid w:val="001E29F1"/>
    <w:rsid w:val="001E2C71"/>
    <w:rsid w:val="001E39A5"/>
    <w:rsid w:val="001E4176"/>
    <w:rsid w:val="001E4323"/>
    <w:rsid w:val="001E435E"/>
    <w:rsid w:val="001E47AD"/>
    <w:rsid w:val="001E4BAD"/>
    <w:rsid w:val="001E4CE7"/>
    <w:rsid w:val="001E54F0"/>
    <w:rsid w:val="001E5955"/>
    <w:rsid w:val="001E5CC5"/>
    <w:rsid w:val="001E5F77"/>
    <w:rsid w:val="001E6B6B"/>
    <w:rsid w:val="001E7B5B"/>
    <w:rsid w:val="001E7B73"/>
    <w:rsid w:val="001F04CE"/>
    <w:rsid w:val="001F0579"/>
    <w:rsid w:val="001F070A"/>
    <w:rsid w:val="001F0888"/>
    <w:rsid w:val="001F08E0"/>
    <w:rsid w:val="001F09F2"/>
    <w:rsid w:val="001F0BBF"/>
    <w:rsid w:val="001F1030"/>
    <w:rsid w:val="001F11ED"/>
    <w:rsid w:val="001F15FE"/>
    <w:rsid w:val="001F1928"/>
    <w:rsid w:val="001F1BE0"/>
    <w:rsid w:val="001F2288"/>
    <w:rsid w:val="001F2456"/>
    <w:rsid w:val="001F256D"/>
    <w:rsid w:val="001F2D20"/>
    <w:rsid w:val="001F2E82"/>
    <w:rsid w:val="001F2F3C"/>
    <w:rsid w:val="001F3203"/>
    <w:rsid w:val="001F393A"/>
    <w:rsid w:val="001F46BE"/>
    <w:rsid w:val="001F4EF9"/>
    <w:rsid w:val="001F4FDE"/>
    <w:rsid w:val="001F505C"/>
    <w:rsid w:val="001F50B2"/>
    <w:rsid w:val="001F5235"/>
    <w:rsid w:val="001F5CCA"/>
    <w:rsid w:val="001F5DBC"/>
    <w:rsid w:val="001F5E0A"/>
    <w:rsid w:val="001F60D4"/>
    <w:rsid w:val="001F6478"/>
    <w:rsid w:val="001F6B54"/>
    <w:rsid w:val="001F6CF3"/>
    <w:rsid w:val="001F6D7F"/>
    <w:rsid w:val="001F6DC4"/>
    <w:rsid w:val="001F6DFE"/>
    <w:rsid w:val="001F6FB6"/>
    <w:rsid w:val="001F7063"/>
    <w:rsid w:val="001F74E8"/>
    <w:rsid w:val="001F7B84"/>
    <w:rsid w:val="001F7D8C"/>
    <w:rsid w:val="001F7ED9"/>
    <w:rsid w:val="001F7F30"/>
    <w:rsid w:val="0020019A"/>
    <w:rsid w:val="00200248"/>
    <w:rsid w:val="002003D8"/>
    <w:rsid w:val="00200717"/>
    <w:rsid w:val="002009D4"/>
    <w:rsid w:val="00200B3C"/>
    <w:rsid w:val="00200DF6"/>
    <w:rsid w:val="00200E5F"/>
    <w:rsid w:val="0020114A"/>
    <w:rsid w:val="002015AE"/>
    <w:rsid w:val="00201CA7"/>
    <w:rsid w:val="002021FE"/>
    <w:rsid w:val="002022C3"/>
    <w:rsid w:val="00202537"/>
    <w:rsid w:val="00202C6D"/>
    <w:rsid w:val="00203134"/>
    <w:rsid w:val="00203306"/>
    <w:rsid w:val="002034AE"/>
    <w:rsid w:val="00203D8E"/>
    <w:rsid w:val="00203E9A"/>
    <w:rsid w:val="002041F8"/>
    <w:rsid w:val="00204684"/>
    <w:rsid w:val="00204D31"/>
    <w:rsid w:val="00204D98"/>
    <w:rsid w:val="00205246"/>
    <w:rsid w:val="00205876"/>
    <w:rsid w:val="0020588B"/>
    <w:rsid w:val="002058EF"/>
    <w:rsid w:val="00205B43"/>
    <w:rsid w:val="00206381"/>
    <w:rsid w:val="0020659C"/>
    <w:rsid w:val="0020689B"/>
    <w:rsid w:val="002068EE"/>
    <w:rsid w:val="00206C58"/>
    <w:rsid w:val="00206D77"/>
    <w:rsid w:val="00206F28"/>
    <w:rsid w:val="00207598"/>
    <w:rsid w:val="002075F1"/>
    <w:rsid w:val="00207836"/>
    <w:rsid w:val="00207E35"/>
    <w:rsid w:val="002102A1"/>
    <w:rsid w:val="002102F3"/>
    <w:rsid w:val="00210646"/>
    <w:rsid w:val="0021097C"/>
    <w:rsid w:val="0021104C"/>
    <w:rsid w:val="00211245"/>
    <w:rsid w:val="0021165C"/>
    <w:rsid w:val="0021197E"/>
    <w:rsid w:val="00211C69"/>
    <w:rsid w:val="00211CDB"/>
    <w:rsid w:val="00211E8E"/>
    <w:rsid w:val="0021229D"/>
    <w:rsid w:val="0021272F"/>
    <w:rsid w:val="002128A9"/>
    <w:rsid w:val="00212AEB"/>
    <w:rsid w:val="002134A6"/>
    <w:rsid w:val="002135BB"/>
    <w:rsid w:val="00213E8F"/>
    <w:rsid w:val="0021418C"/>
    <w:rsid w:val="002146E4"/>
    <w:rsid w:val="00214AAB"/>
    <w:rsid w:val="00214B92"/>
    <w:rsid w:val="002153CD"/>
    <w:rsid w:val="00215852"/>
    <w:rsid w:val="00215B49"/>
    <w:rsid w:val="00215F9C"/>
    <w:rsid w:val="0021616D"/>
    <w:rsid w:val="002166A6"/>
    <w:rsid w:val="002167CA"/>
    <w:rsid w:val="00216DE1"/>
    <w:rsid w:val="00216E78"/>
    <w:rsid w:val="0021724F"/>
    <w:rsid w:val="0021748D"/>
    <w:rsid w:val="00217C61"/>
    <w:rsid w:val="002201FB"/>
    <w:rsid w:val="002203DE"/>
    <w:rsid w:val="002204F0"/>
    <w:rsid w:val="002206DA"/>
    <w:rsid w:val="00220948"/>
    <w:rsid w:val="00221380"/>
    <w:rsid w:val="002214E9"/>
    <w:rsid w:val="0022210C"/>
    <w:rsid w:val="00222264"/>
    <w:rsid w:val="0022247D"/>
    <w:rsid w:val="002228C4"/>
    <w:rsid w:val="00222F83"/>
    <w:rsid w:val="00223262"/>
    <w:rsid w:val="002237F7"/>
    <w:rsid w:val="00223AA0"/>
    <w:rsid w:val="00223DDD"/>
    <w:rsid w:val="00223DFE"/>
    <w:rsid w:val="00223F3F"/>
    <w:rsid w:val="00223F70"/>
    <w:rsid w:val="00224313"/>
    <w:rsid w:val="0022431B"/>
    <w:rsid w:val="00224399"/>
    <w:rsid w:val="00224CE2"/>
    <w:rsid w:val="002255A6"/>
    <w:rsid w:val="0022601C"/>
    <w:rsid w:val="00226162"/>
    <w:rsid w:val="00226E0F"/>
    <w:rsid w:val="0022711E"/>
    <w:rsid w:val="002277D8"/>
    <w:rsid w:val="002278D6"/>
    <w:rsid w:val="00227A65"/>
    <w:rsid w:val="00227C77"/>
    <w:rsid w:val="002300D2"/>
    <w:rsid w:val="00230756"/>
    <w:rsid w:val="002308FF"/>
    <w:rsid w:val="00230CD6"/>
    <w:rsid w:val="00231026"/>
    <w:rsid w:val="0023139E"/>
    <w:rsid w:val="002314FA"/>
    <w:rsid w:val="00231614"/>
    <w:rsid w:val="00231755"/>
    <w:rsid w:val="00231DDF"/>
    <w:rsid w:val="0023211B"/>
    <w:rsid w:val="0023247B"/>
    <w:rsid w:val="002324FC"/>
    <w:rsid w:val="00232793"/>
    <w:rsid w:val="00232803"/>
    <w:rsid w:val="00232B51"/>
    <w:rsid w:val="00232CF3"/>
    <w:rsid w:val="00232E8E"/>
    <w:rsid w:val="0023312A"/>
    <w:rsid w:val="002333EC"/>
    <w:rsid w:val="00233653"/>
    <w:rsid w:val="002337A4"/>
    <w:rsid w:val="0023386D"/>
    <w:rsid w:val="002338E6"/>
    <w:rsid w:val="0023504B"/>
    <w:rsid w:val="0023547D"/>
    <w:rsid w:val="0023568D"/>
    <w:rsid w:val="00235955"/>
    <w:rsid w:val="00235C33"/>
    <w:rsid w:val="00236054"/>
    <w:rsid w:val="0023678B"/>
    <w:rsid w:val="00236A32"/>
    <w:rsid w:val="00236ABC"/>
    <w:rsid w:val="00236BF4"/>
    <w:rsid w:val="00236D05"/>
    <w:rsid w:val="00236D4B"/>
    <w:rsid w:val="00237223"/>
    <w:rsid w:val="002374A7"/>
    <w:rsid w:val="002376C9"/>
    <w:rsid w:val="0023770D"/>
    <w:rsid w:val="00237811"/>
    <w:rsid w:val="00237B5C"/>
    <w:rsid w:val="00237C0B"/>
    <w:rsid w:val="00237C2E"/>
    <w:rsid w:val="00237F3A"/>
    <w:rsid w:val="002400D8"/>
    <w:rsid w:val="00241AC6"/>
    <w:rsid w:val="00241B8A"/>
    <w:rsid w:val="00241BDA"/>
    <w:rsid w:val="00241F41"/>
    <w:rsid w:val="002423E2"/>
    <w:rsid w:val="0024257D"/>
    <w:rsid w:val="00242CDC"/>
    <w:rsid w:val="00242D76"/>
    <w:rsid w:val="00242E37"/>
    <w:rsid w:val="00242F70"/>
    <w:rsid w:val="00243260"/>
    <w:rsid w:val="00243269"/>
    <w:rsid w:val="0024343D"/>
    <w:rsid w:val="002434F6"/>
    <w:rsid w:val="0024369F"/>
    <w:rsid w:val="00243EF3"/>
    <w:rsid w:val="00243F19"/>
    <w:rsid w:val="0024459D"/>
    <w:rsid w:val="0024464D"/>
    <w:rsid w:val="002449E8"/>
    <w:rsid w:val="00244A31"/>
    <w:rsid w:val="00245061"/>
    <w:rsid w:val="00245294"/>
    <w:rsid w:val="002459CF"/>
    <w:rsid w:val="00245A9D"/>
    <w:rsid w:val="00245AD7"/>
    <w:rsid w:val="00245F55"/>
    <w:rsid w:val="00246937"/>
    <w:rsid w:val="00246E7D"/>
    <w:rsid w:val="002501A3"/>
    <w:rsid w:val="00250A81"/>
    <w:rsid w:val="00250CF1"/>
    <w:rsid w:val="00250D01"/>
    <w:rsid w:val="002510A8"/>
    <w:rsid w:val="002511CA"/>
    <w:rsid w:val="002514D6"/>
    <w:rsid w:val="00251852"/>
    <w:rsid w:val="00251BD7"/>
    <w:rsid w:val="00251D14"/>
    <w:rsid w:val="00251F8D"/>
    <w:rsid w:val="00253AF8"/>
    <w:rsid w:val="00253D36"/>
    <w:rsid w:val="0025428C"/>
    <w:rsid w:val="002543A5"/>
    <w:rsid w:val="00254DCF"/>
    <w:rsid w:val="00255000"/>
    <w:rsid w:val="0025506D"/>
    <w:rsid w:val="0025552E"/>
    <w:rsid w:val="002558F3"/>
    <w:rsid w:val="00255AC9"/>
    <w:rsid w:val="002560FB"/>
    <w:rsid w:val="002564F2"/>
    <w:rsid w:val="00256632"/>
    <w:rsid w:val="002567B8"/>
    <w:rsid w:val="00256A02"/>
    <w:rsid w:val="0025734A"/>
    <w:rsid w:val="00257A7B"/>
    <w:rsid w:val="00257AC1"/>
    <w:rsid w:val="00257B73"/>
    <w:rsid w:val="0026008E"/>
    <w:rsid w:val="00260146"/>
    <w:rsid w:val="002604EA"/>
    <w:rsid w:val="0026062A"/>
    <w:rsid w:val="0026066F"/>
    <w:rsid w:val="00260888"/>
    <w:rsid w:val="00260DBE"/>
    <w:rsid w:val="002612B6"/>
    <w:rsid w:val="00261A31"/>
    <w:rsid w:val="00261AB3"/>
    <w:rsid w:val="00261C08"/>
    <w:rsid w:val="002621DF"/>
    <w:rsid w:val="002622FB"/>
    <w:rsid w:val="00262818"/>
    <w:rsid w:val="00262B82"/>
    <w:rsid w:val="00262CB7"/>
    <w:rsid w:val="00262FEC"/>
    <w:rsid w:val="0026336D"/>
    <w:rsid w:val="002633A7"/>
    <w:rsid w:val="002635C3"/>
    <w:rsid w:val="00264107"/>
    <w:rsid w:val="002644DC"/>
    <w:rsid w:val="00264621"/>
    <w:rsid w:val="002650E3"/>
    <w:rsid w:val="00265AC5"/>
    <w:rsid w:val="002662AF"/>
    <w:rsid w:val="00266408"/>
    <w:rsid w:val="002664B8"/>
    <w:rsid w:val="00266B03"/>
    <w:rsid w:val="00266C04"/>
    <w:rsid w:val="00266DCB"/>
    <w:rsid w:val="00267106"/>
    <w:rsid w:val="00267491"/>
    <w:rsid w:val="002675C1"/>
    <w:rsid w:val="00267E52"/>
    <w:rsid w:val="002702AF"/>
    <w:rsid w:val="002709DF"/>
    <w:rsid w:val="00270A63"/>
    <w:rsid w:val="00270B63"/>
    <w:rsid w:val="00270B82"/>
    <w:rsid w:val="00271157"/>
    <w:rsid w:val="00271AEB"/>
    <w:rsid w:val="00271BED"/>
    <w:rsid w:val="00271F05"/>
    <w:rsid w:val="002721DD"/>
    <w:rsid w:val="00272845"/>
    <w:rsid w:val="002729E2"/>
    <w:rsid w:val="00273249"/>
    <w:rsid w:val="0027348A"/>
    <w:rsid w:val="00273CB2"/>
    <w:rsid w:val="00273FA5"/>
    <w:rsid w:val="00274273"/>
    <w:rsid w:val="00274B1B"/>
    <w:rsid w:val="00274DAC"/>
    <w:rsid w:val="00274DB8"/>
    <w:rsid w:val="00275B9E"/>
    <w:rsid w:val="00275EDB"/>
    <w:rsid w:val="00275FE9"/>
    <w:rsid w:val="00276054"/>
    <w:rsid w:val="002764AE"/>
    <w:rsid w:val="002764DC"/>
    <w:rsid w:val="00276511"/>
    <w:rsid w:val="00276578"/>
    <w:rsid w:val="002768C0"/>
    <w:rsid w:val="00276C1E"/>
    <w:rsid w:val="00276CB5"/>
    <w:rsid w:val="00276CCB"/>
    <w:rsid w:val="002779B1"/>
    <w:rsid w:val="00277B7B"/>
    <w:rsid w:val="00280701"/>
    <w:rsid w:val="00280AC5"/>
    <w:rsid w:val="00281055"/>
    <w:rsid w:val="002810CA"/>
    <w:rsid w:val="00281339"/>
    <w:rsid w:val="0028172C"/>
    <w:rsid w:val="002819F0"/>
    <w:rsid w:val="00282090"/>
    <w:rsid w:val="00282490"/>
    <w:rsid w:val="0028255F"/>
    <w:rsid w:val="00282687"/>
    <w:rsid w:val="00282708"/>
    <w:rsid w:val="00282D7E"/>
    <w:rsid w:val="00282EA7"/>
    <w:rsid w:val="00283122"/>
    <w:rsid w:val="0028343B"/>
    <w:rsid w:val="002839C2"/>
    <w:rsid w:val="00283B61"/>
    <w:rsid w:val="00283C78"/>
    <w:rsid w:val="002842C7"/>
    <w:rsid w:val="00284327"/>
    <w:rsid w:val="002848E9"/>
    <w:rsid w:val="00285189"/>
    <w:rsid w:val="002856B1"/>
    <w:rsid w:val="00285F62"/>
    <w:rsid w:val="0028619A"/>
    <w:rsid w:val="002862BA"/>
    <w:rsid w:val="00286B9B"/>
    <w:rsid w:val="00286D69"/>
    <w:rsid w:val="002870AE"/>
    <w:rsid w:val="00287495"/>
    <w:rsid w:val="00287720"/>
    <w:rsid w:val="00287983"/>
    <w:rsid w:val="002879BA"/>
    <w:rsid w:val="00287C0E"/>
    <w:rsid w:val="00287EC0"/>
    <w:rsid w:val="0029004A"/>
    <w:rsid w:val="0029038F"/>
    <w:rsid w:val="00290511"/>
    <w:rsid w:val="002905A1"/>
    <w:rsid w:val="002905D4"/>
    <w:rsid w:val="00290603"/>
    <w:rsid w:val="00290BE8"/>
    <w:rsid w:val="00290CF7"/>
    <w:rsid w:val="00290F03"/>
    <w:rsid w:val="00290F5F"/>
    <w:rsid w:val="00291147"/>
    <w:rsid w:val="00291177"/>
    <w:rsid w:val="002911CF"/>
    <w:rsid w:val="00291391"/>
    <w:rsid w:val="00291B1D"/>
    <w:rsid w:val="00291E67"/>
    <w:rsid w:val="00291F93"/>
    <w:rsid w:val="00291FB2"/>
    <w:rsid w:val="002926A0"/>
    <w:rsid w:val="002928D8"/>
    <w:rsid w:val="00292925"/>
    <w:rsid w:val="00292942"/>
    <w:rsid w:val="00292B23"/>
    <w:rsid w:val="00292C56"/>
    <w:rsid w:val="00292CF9"/>
    <w:rsid w:val="00292EA6"/>
    <w:rsid w:val="00293242"/>
    <w:rsid w:val="002934B1"/>
    <w:rsid w:val="0029356F"/>
    <w:rsid w:val="00293573"/>
    <w:rsid w:val="00293AF7"/>
    <w:rsid w:val="00293BEA"/>
    <w:rsid w:val="00293CFA"/>
    <w:rsid w:val="00293D91"/>
    <w:rsid w:val="0029415D"/>
    <w:rsid w:val="00294386"/>
    <w:rsid w:val="002946B1"/>
    <w:rsid w:val="0029481A"/>
    <w:rsid w:val="00294C9F"/>
    <w:rsid w:val="00294DE2"/>
    <w:rsid w:val="00294EAD"/>
    <w:rsid w:val="00294FE6"/>
    <w:rsid w:val="002950CA"/>
    <w:rsid w:val="0029531A"/>
    <w:rsid w:val="00295621"/>
    <w:rsid w:val="00295687"/>
    <w:rsid w:val="00295A20"/>
    <w:rsid w:val="00295CA8"/>
    <w:rsid w:val="00295CCC"/>
    <w:rsid w:val="00295CEE"/>
    <w:rsid w:val="00295CFF"/>
    <w:rsid w:val="00295FDA"/>
    <w:rsid w:val="002962D8"/>
    <w:rsid w:val="00297109"/>
    <w:rsid w:val="002971CA"/>
    <w:rsid w:val="0029736C"/>
    <w:rsid w:val="0029775D"/>
    <w:rsid w:val="00297B6B"/>
    <w:rsid w:val="00297B72"/>
    <w:rsid w:val="002A09DD"/>
    <w:rsid w:val="002A0FBB"/>
    <w:rsid w:val="002A20BE"/>
    <w:rsid w:val="002A2203"/>
    <w:rsid w:val="002A248E"/>
    <w:rsid w:val="002A2F67"/>
    <w:rsid w:val="002A38B8"/>
    <w:rsid w:val="002A3F1D"/>
    <w:rsid w:val="002A4134"/>
    <w:rsid w:val="002A4146"/>
    <w:rsid w:val="002A462A"/>
    <w:rsid w:val="002A4BB3"/>
    <w:rsid w:val="002A4C93"/>
    <w:rsid w:val="002A4CA4"/>
    <w:rsid w:val="002A4D8B"/>
    <w:rsid w:val="002A4F0D"/>
    <w:rsid w:val="002A5100"/>
    <w:rsid w:val="002A52C1"/>
    <w:rsid w:val="002A5369"/>
    <w:rsid w:val="002A536D"/>
    <w:rsid w:val="002A5429"/>
    <w:rsid w:val="002A54EC"/>
    <w:rsid w:val="002A562B"/>
    <w:rsid w:val="002A5EB3"/>
    <w:rsid w:val="002A67F3"/>
    <w:rsid w:val="002A69D7"/>
    <w:rsid w:val="002A6B06"/>
    <w:rsid w:val="002A6B7F"/>
    <w:rsid w:val="002A7717"/>
    <w:rsid w:val="002A7FC9"/>
    <w:rsid w:val="002B0318"/>
    <w:rsid w:val="002B16A9"/>
    <w:rsid w:val="002B174F"/>
    <w:rsid w:val="002B1795"/>
    <w:rsid w:val="002B19FA"/>
    <w:rsid w:val="002B1B84"/>
    <w:rsid w:val="002B1D8B"/>
    <w:rsid w:val="002B219C"/>
    <w:rsid w:val="002B2254"/>
    <w:rsid w:val="002B22C6"/>
    <w:rsid w:val="002B2C95"/>
    <w:rsid w:val="002B2E6E"/>
    <w:rsid w:val="002B3043"/>
    <w:rsid w:val="002B3BAC"/>
    <w:rsid w:val="002B3CDA"/>
    <w:rsid w:val="002B3D6E"/>
    <w:rsid w:val="002B40E3"/>
    <w:rsid w:val="002B4353"/>
    <w:rsid w:val="002B47A8"/>
    <w:rsid w:val="002B4830"/>
    <w:rsid w:val="002B4B36"/>
    <w:rsid w:val="002B4F50"/>
    <w:rsid w:val="002B52C8"/>
    <w:rsid w:val="002B54C9"/>
    <w:rsid w:val="002B57B8"/>
    <w:rsid w:val="002B5B04"/>
    <w:rsid w:val="002B6031"/>
    <w:rsid w:val="002B6070"/>
    <w:rsid w:val="002B6496"/>
    <w:rsid w:val="002B6618"/>
    <w:rsid w:val="002B6877"/>
    <w:rsid w:val="002B748E"/>
    <w:rsid w:val="002B79CB"/>
    <w:rsid w:val="002B7EA8"/>
    <w:rsid w:val="002C0052"/>
    <w:rsid w:val="002C01D9"/>
    <w:rsid w:val="002C1114"/>
    <w:rsid w:val="002C1189"/>
    <w:rsid w:val="002C19AF"/>
    <w:rsid w:val="002C1BA1"/>
    <w:rsid w:val="002C1D6D"/>
    <w:rsid w:val="002C2AE5"/>
    <w:rsid w:val="002C2C95"/>
    <w:rsid w:val="002C2DA8"/>
    <w:rsid w:val="002C316B"/>
    <w:rsid w:val="002C3626"/>
    <w:rsid w:val="002C3A50"/>
    <w:rsid w:val="002C3D8E"/>
    <w:rsid w:val="002C4063"/>
    <w:rsid w:val="002C45C6"/>
    <w:rsid w:val="002C4788"/>
    <w:rsid w:val="002C4FDA"/>
    <w:rsid w:val="002C517D"/>
    <w:rsid w:val="002C54E0"/>
    <w:rsid w:val="002C5601"/>
    <w:rsid w:val="002C5D4C"/>
    <w:rsid w:val="002C626B"/>
    <w:rsid w:val="002C66AB"/>
    <w:rsid w:val="002C672C"/>
    <w:rsid w:val="002C7077"/>
    <w:rsid w:val="002C707D"/>
    <w:rsid w:val="002C70E8"/>
    <w:rsid w:val="002C712B"/>
    <w:rsid w:val="002C75A7"/>
    <w:rsid w:val="002C77DA"/>
    <w:rsid w:val="002C7B79"/>
    <w:rsid w:val="002C7BFE"/>
    <w:rsid w:val="002C7C41"/>
    <w:rsid w:val="002D0BB8"/>
    <w:rsid w:val="002D113C"/>
    <w:rsid w:val="002D16CC"/>
    <w:rsid w:val="002D1B9D"/>
    <w:rsid w:val="002D2064"/>
    <w:rsid w:val="002D27B7"/>
    <w:rsid w:val="002D280E"/>
    <w:rsid w:val="002D2841"/>
    <w:rsid w:val="002D2FE2"/>
    <w:rsid w:val="002D302B"/>
    <w:rsid w:val="002D351A"/>
    <w:rsid w:val="002D35B5"/>
    <w:rsid w:val="002D380F"/>
    <w:rsid w:val="002D3D4F"/>
    <w:rsid w:val="002D3EC0"/>
    <w:rsid w:val="002D4781"/>
    <w:rsid w:val="002D4894"/>
    <w:rsid w:val="002D4C67"/>
    <w:rsid w:val="002D4FB9"/>
    <w:rsid w:val="002D528E"/>
    <w:rsid w:val="002D5547"/>
    <w:rsid w:val="002D56C3"/>
    <w:rsid w:val="002D5B77"/>
    <w:rsid w:val="002D5EC2"/>
    <w:rsid w:val="002D5F35"/>
    <w:rsid w:val="002D62E3"/>
    <w:rsid w:val="002D62EF"/>
    <w:rsid w:val="002D630E"/>
    <w:rsid w:val="002D6A56"/>
    <w:rsid w:val="002D6B52"/>
    <w:rsid w:val="002D6F09"/>
    <w:rsid w:val="002D71F5"/>
    <w:rsid w:val="002D73B2"/>
    <w:rsid w:val="002D74B2"/>
    <w:rsid w:val="002D75D2"/>
    <w:rsid w:val="002D7745"/>
    <w:rsid w:val="002D78C1"/>
    <w:rsid w:val="002E006C"/>
    <w:rsid w:val="002E04D6"/>
    <w:rsid w:val="002E05B9"/>
    <w:rsid w:val="002E1000"/>
    <w:rsid w:val="002E12B1"/>
    <w:rsid w:val="002E1BEB"/>
    <w:rsid w:val="002E228E"/>
    <w:rsid w:val="002E23D2"/>
    <w:rsid w:val="002E296B"/>
    <w:rsid w:val="002E2A2C"/>
    <w:rsid w:val="002E3074"/>
    <w:rsid w:val="002E3262"/>
    <w:rsid w:val="002E3508"/>
    <w:rsid w:val="002E359B"/>
    <w:rsid w:val="002E3669"/>
    <w:rsid w:val="002E396A"/>
    <w:rsid w:val="002E45BA"/>
    <w:rsid w:val="002E4724"/>
    <w:rsid w:val="002E4DFC"/>
    <w:rsid w:val="002E506B"/>
    <w:rsid w:val="002E50FA"/>
    <w:rsid w:val="002E57D9"/>
    <w:rsid w:val="002E5966"/>
    <w:rsid w:val="002E5B23"/>
    <w:rsid w:val="002E5E67"/>
    <w:rsid w:val="002E5FE8"/>
    <w:rsid w:val="002E613C"/>
    <w:rsid w:val="002E6300"/>
    <w:rsid w:val="002E63FE"/>
    <w:rsid w:val="002E64D9"/>
    <w:rsid w:val="002E68F9"/>
    <w:rsid w:val="002E6B38"/>
    <w:rsid w:val="002E7818"/>
    <w:rsid w:val="002E79EC"/>
    <w:rsid w:val="002E7FB5"/>
    <w:rsid w:val="002F0091"/>
    <w:rsid w:val="002F0A7B"/>
    <w:rsid w:val="002F152A"/>
    <w:rsid w:val="002F171D"/>
    <w:rsid w:val="002F18E5"/>
    <w:rsid w:val="002F1A8A"/>
    <w:rsid w:val="002F1E4E"/>
    <w:rsid w:val="002F200C"/>
    <w:rsid w:val="002F2556"/>
    <w:rsid w:val="002F257E"/>
    <w:rsid w:val="002F28CA"/>
    <w:rsid w:val="002F2C54"/>
    <w:rsid w:val="002F2D10"/>
    <w:rsid w:val="002F307D"/>
    <w:rsid w:val="002F3AD1"/>
    <w:rsid w:val="002F3CDD"/>
    <w:rsid w:val="002F3F29"/>
    <w:rsid w:val="002F41A1"/>
    <w:rsid w:val="002F4311"/>
    <w:rsid w:val="002F4871"/>
    <w:rsid w:val="002F4D07"/>
    <w:rsid w:val="002F50D8"/>
    <w:rsid w:val="002F559E"/>
    <w:rsid w:val="002F60F6"/>
    <w:rsid w:val="002F62FB"/>
    <w:rsid w:val="002F66CC"/>
    <w:rsid w:val="002F6976"/>
    <w:rsid w:val="002F6EA2"/>
    <w:rsid w:val="002F71AA"/>
    <w:rsid w:val="002F741A"/>
    <w:rsid w:val="002F7685"/>
    <w:rsid w:val="002F7758"/>
    <w:rsid w:val="002F7B26"/>
    <w:rsid w:val="002F7E84"/>
    <w:rsid w:val="002F7EC8"/>
    <w:rsid w:val="00300239"/>
    <w:rsid w:val="0030044A"/>
    <w:rsid w:val="00300501"/>
    <w:rsid w:val="00300572"/>
    <w:rsid w:val="003005FD"/>
    <w:rsid w:val="00300738"/>
    <w:rsid w:val="00301C04"/>
    <w:rsid w:val="003020E0"/>
    <w:rsid w:val="003022F5"/>
    <w:rsid w:val="00302A38"/>
    <w:rsid w:val="00302BFD"/>
    <w:rsid w:val="00302E78"/>
    <w:rsid w:val="00302EB2"/>
    <w:rsid w:val="00302F39"/>
    <w:rsid w:val="003032C7"/>
    <w:rsid w:val="0030353E"/>
    <w:rsid w:val="00303717"/>
    <w:rsid w:val="00303C24"/>
    <w:rsid w:val="0030432F"/>
    <w:rsid w:val="0030440E"/>
    <w:rsid w:val="00304F47"/>
    <w:rsid w:val="0030516B"/>
    <w:rsid w:val="00305CF5"/>
    <w:rsid w:val="00305FCC"/>
    <w:rsid w:val="003063C7"/>
    <w:rsid w:val="003065DE"/>
    <w:rsid w:val="00306749"/>
    <w:rsid w:val="00306A89"/>
    <w:rsid w:val="00306D4B"/>
    <w:rsid w:val="00306EEE"/>
    <w:rsid w:val="00307085"/>
    <w:rsid w:val="0030728D"/>
    <w:rsid w:val="003078B9"/>
    <w:rsid w:val="003101DF"/>
    <w:rsid w:val="00310304"/>
    <w:rsid w:val="003105F4"/>
    <w:rsid w:val="00310856"/>
    <w:rsid w:val="003109D4"/>
    <w:rsid w:val="0031166F"/>
    <w:rsid w:val="0031183E"/>
    <w:rsid w:val="00311AE0"/>
    <w:rsid w:val="00312003"/>
    <w:rsid w:val="003126AB"/>
    <w:rsid w:val="00312BD0"/>
    <w:rsid w:val="00312F26"/>
    <w:rsid w:val="00313022"/>
    <w:rsid w:val="00313111"/>
    <w:rsid w:val="0031348F"/>
    <w:rsid w:val="0031360E"/>
    <w:rsid w:val="003138B0"/>
    <w:rsid w:val="00313ABB"/>
    <w:rsid w:val="00313D7A"/>
    <w:rsid w:val="00313DA2"/>
    <w:rsid w:val="00313F93"/>
    <w:rsid w:val="0031422D"/>
    <w:rsid w:val="00314D2C"/>
    <w:rsid w:val="00315147"/>
    <w:rsid w:val="00315394"/>
    <w:rsid w:val="00315496"/>
    <w:rsid w:val="003154AA"/>
    <w:rsid w:val="00315583"/>
    <w:rsid w:val="003156AB"/>
    <w:rsid w:val="003156F2"/>
    <w:rsid w:val="0031579C"/>
    <w:rsid w:val="003157C4"/>
    <w:rsid w:val="00315840"/>
    <w:rsid w:val="00316024"/>
    <w:rsid w:val="003168C8"/>
    <w:rsid w:val="00316D66"/>
    <w:rsid w:val="00316EA2"/>
    <w:rsid w:val="00316F0F"/>
    <w:rsid w:val="00320356"/>
    <w:rsid w:val="00320867"/>
    <w:rsid w:val="00320E00"/>
    <w:rsid w:val="00320E76"/>
    <w:rsid w:val="00321269"/>
    <w:rsid w:val="00321940"/>
    <w:rsid w:val="003219DD"/>
    <w:rsid w:val="00321A15"/>
    <w:rsid w:val="003224FF"/>
    <w:rsid w:val="00322584"/>
    <w:rsid w:val="0032283C"/>
    <w:rsid w:val="00322B27"/>
    <w:rsid w:val="003231FA"/>
    <w:rsid w:val="00324187"/>
    <w:rsid w:val="00324301"/>
    <w:rsid w:val="00324655"/>
    <w:rsid w:val="00324E60"/>
    <w:rsid w:val="003250C0"/>
    <w:rsid w:val="003252A6"/>
    <w:rsid w:val="0032546A"/>
    <w:rsid w:val="003256BF"/>
    <w:rsid w:val="0032586C"/>
    <w:rsid w:val="003258C0"/>
    <w:rsid w:val="00325BB6"/>
    <w:rsid w:val="00325C73"/>
    <w:rsid w:val="003261E1"/>
    <w:rsid w:val="00326824"/>
    <w:rsid w:val="003268E2"/>
    <w:rsid w:val="00326C0E"/>
    <w:rsid w:val="00326FBA"/>
    <w:rsid w:val="0032720A"/>
    <w:rsid w:val="003275FC"/>
    <w:rsid w:val="00327A8C"/>
    <w:rsid w:val="00330BC3"/>
    <w:rsid w:val="00330E1D"/>
    <w:rsid w:val="00330E9E"/>
    <w:rsid w:val="00330F18"/>
    <w:rsid w:val="0033164B"/>
    <w:rsid w:val="00331796"/>
    <w:rsid w:val="003319BD"/>
    <w:rsid w:val="00331C3C"/>
    <w:rsid w:val="00331CA5"/>
    <w:rsid w:val="0033207C"/>
    <w:rsid w:val="0033260C"/>
    <w:rsid w:val="00332979"/>
    <w:rsid w:val="00332B6B"/>
    <w:rsid w:val="00332D37"/>
    <w:rsid w:val="00332E08"/>
    <w:rsid w:val="00333241"/>
    <w:rsid w:val="0033378D"/>
    <w:rsid w:val="003338D8"/>
    <w:rsid w:val="0033390B"/>
    <w:rsid w:val="00333D03"/>
    <w:rsid w:val="00333FC5"/>
    <w:rsid w:val="00333FD9"/>
    <w:rsid w:val="00334251"/>
    <w:rsid w:val="00334275"/>
    <w:rsid w:val="00334349"/>
    <w:rsid w:val="0033456F"/>
    <w:rsid w:val="00334713"/>
    <w:rsid w:val="00334D78"/>
    <w:rsid w:val="00335513"/>
    <w:rsid w:val="003357BA"/>
    <w:rsid w:val="0033582A"/>
    <w:rsid w:val="00335FCC"/>
    <w:rsid w:val="0033629E"/>
    <w:rsid w:val="00336327"/>
    <w:rsid w:val="00336391"/>
    <w:rsid w:val="003369E1"/>
    <w:rsid w:val="00336BCC"/>
    <w:rsid w:val="00336CDE"/>
    <w:rsid w:val="00336D66"/>
    <w:rsid w:val="0033710F"/>
    <w:rsid w:val="00337145"/>
    <w:rsid w:val="00337391"/>
    <w:rsid w:val="00337791"/>
    <w:rsid w:val="00340597"/>
    <w:rsid w:val="003405A5"/>
    <w:rsid w:val="00340880"/>
    <w:rsid w:val="00340CB2"/>
    <w:rsid w:val="003414B1"/>
    <w:rsid w:val="0034186A"/>
    <w:rsid w:val="003419C9"/>
    <w:rsid w:val="003421EB"/>
    <w:rsid w:val="00342295"/>
    <w:rsid w:val="003422D0"/>
    <w:rsid w:val="00342C49"/>
    <w:rsid w:val="00342DCE"/>
    <w:rsid w:val="00343249"/>
    <w:rsid w:val="00343507"/>
    <w:rsid w:val="003435FC"/>
    <w:rsid w:val="003436EC"/>
    <w:rsid w:val="00343702"/>
    <w:rsid w:val="00343924"/>
    <w:rsid w:val="00343F11"/>
    <w:rsid w:val="00344413"/>
    <w:rsid w:val="00344598"/>
    <w:rsid w:val="00344CF9"/>
    <w:rsid w:val="00344ED3"/>
    <w:rsid w:val="0034529C"/>
    <w:rsid w:val="003453F4"/>
    <w:rsid w:val="00345A97"/>
    <w:rsid w:val="00345C68"/>
    <w:rsid w:val="003460D4"/>
    <w:rsid w:val="003462EC"/>
    <w:rsid w:val="00346500"/>
    <w:rsid w:val="00346887"/>
    <w:rsid w:val="00346A8C"/>
    <w:rsid w:val="0034710A"/>
    <w:rsid w:val="00347142"/>
    <w:rsid w:val="003474D7"/>
    <w:rsid w:val="003477DA"/>
    <w:rsid w:val="00347966"/>
    <w:rsid w:val="00347DDF"/>
    <w:rsid w:val="00347F90"/>
    <w:rsid w:val="0035005A"/>
    <w:rsid w:val="0035076E"/>
    <w:rsid w:val="00350784"/>
    <w:rsid w:val="00350858"/>
    <w:rsid w:val="00350B4A"/>
    <w:rsid w:val="00352896"/>
    <w:rsid w:val="003529BD"/>
    <w:rsid w:val="00352E2E"/>
    <w:rsid w:val="00353041"/>
    <w:rsid w:val="003531D0"/>
    <w:rsid w:val="00353504"/>
    <w:rsid w:val="003538F3"/>
    <w:rsid w:val="00353A36"/>
    <w:rsid w:val="0035418F"/>
    <w:rsid w:val="00354A39"/>
    <w:rsid w:val="00354C1F"/>
    <w:rsid w:val="00355102"/>
    <w:rsid w:val="00355210"/>
    <w:rsid w:val="003553E4"/>
    <w:rsid w:val="00355690"/>
    <w:rsid w:val="00355988"/>
    <w:rsid w:val="00355AF9"/>
    <w:rsid w:val="00356163"/>
    <w:rsid w:val="00356273"/>
    <w:rsid w:val="00356489"/>
    <w:rsid w:val="003564A1"/>
    <w:rsid w:val="00356526"/>
    <w:rsid w:val="00356989"/>
    <w:rsid w:val="00356A3F"/>
    <w:rsid w:val="00356E01"/>
    <w:rsid w:val="00356F92"/>
    <w:rsid w:val="003570CE"/>
    <w:rsid w:val="00357102"/>
    <w:rsid w:val="003602F1"/>
    <w:rsid w:val="003602FB"/>
    <w:rsid w:val="003603B2"/>
    <w:rsid w:val="003607CA"/>
    <w:rsid w:val="00360D43"/>
    <w:rsid w:val="00361151"/>
    <w:rsid w:val="0036127A"/>
    <w:rsid w:val="003615BD"/>
    <w:rsid w:val="003616BE"/>
    <w:rsid w:val="00361D67"/>
    <w:rsid w:val="003626E0"/>
    <w:rsid w:val="00362ACC"/>
    <w:rsid w:val="00362D8A"/>
    <w:rsid w:val="00362F52"/>
    <w:rsid w:val="00362FC2"/>
    <w:rsid w:val="0036317C"/>
    <w:rsid w:val="0036354F"/>
    <w:rsid w:val="00363589"/>
    <w:rsid w:val="00363B40"/>
    <w:rsid w:val="00363C07"/>
    <w:rsid w:val="00363F95"/>
    <w:rsid w:val="00364439"/>
    <w:rsid w:val="00364574"/>
    <w:rsid w:val="00364AB8"/>
    <w:rsid w:val="00364BE8"/>
    <w:rsid w:val="0036567A"/>
    <w:rsid w:val="00366054"/>
    <w:rsid w:val="003665EF"/>
    <w:rsid w:val="00366610"/>
    <w:rsid w:val="00366693"/>
    <w:rsid w:val="00366AAB"/>
    <w:rsid w:val="00366F4B"/>
    <w:rsid w:val="00367007"/>
    <w:rsid w:val="003675C2"/>
    <w:rsid w:val="00367B6C"/>
    <w:rsid w:val="003700A6"/>
    <w:rsid w:val="0037056F"/>
    <w:rsid w:val="00370BA3"/>
    <w:rsid w:val="00371370"/>
    <w:rsid w:val="003713CC"/>
    <w:rsid w:val="003714D4"/>
    <w:rsid w:val="0037153D"/>
    <w:rsid w:val="00371A46"/>
    <w:rsid w:val="00371BAF"/>
    <w:rsid w:val="003722EA"/>
    <w:rsid w:val="0037239F"/>
    <w:rsid w:val="00372A7E"/>
    <w:rsid w:val="00372BB8"/>
    <w:rsid w:val="00372DBB"/>
    <w:rsid w:val="00373334"/>
    <w:rsid w:val="00373456"/>
    <w:rsid w:val="00373586"/>
    <w:rsid w:val="003736C9"/>
    <w:rsid w:val="00373B22"/>
    <w:rsid w:val="00373B64"/>
    <w:rsid w:val="00373F1A"/>
    <w:rsid w:val="00373F7D"/>
    <w:rsid w:val="003742DC"/>
    <w:rsid w:val="003744C0"/>
    <w:rsid w:val="00374B6A"/>
    <w:rsid w:val="00374C2E"/>
    <w:rsid w:val="00374C47"/>
    <w:rsid w:val="00374DCA"/>
    <w:rsid w:val="003750EC"/>
    <w:rsid w:val="00375A80"/>
    <w:rsid w:val="00375D7E"/>
    <w:rsid w:val="00376022"/>
    <w:rsid w:val="003760EB"/>
    <w:rsid w:val="00376C69"/>
    <w:rsid w:val="00376F65"/>
    <w:rsid w:val="0037771B"/>
    <w:rsid w:val="00377937"/>
    <w:rsid w:val="00377B45"/>
    <w:rsid w:val="00377CA3"/>
    <w:rsid w:val="00377FE0"/>
    <w:rsid w:val="003807A4"/>
    <w:rsid w:val="00380A3E"/>
    <w:rsid w:val="00380C68"/>
    <w:rsid w:val="0038106C"/>
    <w:rsid w:val="00381E69"/>
    <w:rsid w:val="0038282B"/>
    <w:rsid w:val="00382B4F"/>
    <w:rsid w:val="00382FC8"/>
    <w:rsid w:val="00383159"/>
    <w:rsid w:val="003834B1"/>
    <w:rsid w:val="003847EB"/>
    <w:rsid w:val="00384D78"/>
    <w:rsid w:val="00385087"/>
    <w:rsid w:val="00385263"/>
    <w:rsid w:val="00385786"/>
    <w:rsid w:val="00385933"/>
    <w:rsid w:val="00385C7E"/>
    <w:rsid w:val="003864F5"/>
    <w:rsid w:val="00386520"/>
    <w:rsid w:val="003865F3"/>
    <w:rsid w:val="0038660F"/>
    <w:rsid w:val="0038687B"/>
    <w:rsid w:val="00386DC9"/>
    <w:rsid w:val="00387296"/>
    <w:rsid w:val="003873DD"/>
    <w:rsid w:val="00387EAC"/>
    <w:rsid w:val="0039084E"/>
    <w:rsid w:val="00390CE9"/>
    <w:rsid w:val="00390F0F"/>
    <w:rsid w:val="003912B1"/>
    <w:rsid w:val="00391936"/>
    <w:rsid w:val="00391DBF"/>
    <w:rsid w:val="003920E7"/>
    <w:rsid w:val="00392199"/>
    <w:rsid w:val="003924B0"/>
    <w:rsid w:val="003925FD"/>
    <w:rsid w:val="00392D10"/>
    <w:rsid w:val="00392E02"/>
    <w:rsid w:val="00393153"/>
    <w:rsid w:val="0039330A"/>
    <w:rsid w:val="0039333D"/>
    <w:rsid w:val="00393617"/>
    <w:rsid w:val="003938DF"/>
    <w:rsid w:val="00393D5D"/>
    <w:rsid w:val="00393DFA"/>
    <w:rsid w:val="00394244"/>
    <w:rsid w:val="003943BB"/>
    <w:rsid w:val="003943FA"/>
    <w:rsid w:val="0039452F"/>
    <w:rsid w:val="0039496E"/>
    <w:rsid w:val="00394D82"/>
    <w:rsid w:val="00394F0F"/>
    <w:rsid w:val="00395109"/>
    <w:rsid w:val="003955DC"/>
    <w:rsid w:val="0039569C"/>
    <w:rsid w:val="00395F7B"/>
    <w:rsid w:val="003961F9"/>
    <w:rsid w:val="00396417"/>
    <w:rsid w:val="00396432"/>
    <w:rsid w:val="00396ED6"/>
    <w:rsid w:val="0039721A"/>
    <w:rsid w:val="003973F0"/>
    <w:rsid w:val="0039741F"/>
    <w:rsid w:val="00397961"/>
    <w:rsid w:val="003A01B3"/>
    <w:rsid w:val="003A01F6"/>
    <w:rsid w:val="003A08BE"/>
    <w:rsid w:val="003A1511"/>
    <w:rsid w:val="003A1862"/>
    <w:rsid w:val="003A190F"/>
    <w:rsid w:val="003A1C3B"/>
    <w:rsid w:val="003A1DA5"/>
    <w:rsid w:val="003A1FE8"/>
    <w:rsid w:val="003A24A9"/>
    <w:rsid w:val="003A26D8"/>
    <w:rsid w:val="003A2E2E"/>
    <w:rsid w:val="003A2EBA"/>
    <w:rsid w:val="003A380D"/>
    <w:rsid w:val="003A3CBE"/>
    <w:rsid w:val="003A4021"/>
    <w:rsid w:val="003A44AF"/>
    <w:rsid w:val="003A45D1"/>
    <w:rsid w:val="003A5044"/>
    <w:rsid w:val="003A5258"/>
    <w:rsid w:val="003A5390"/>
    <w:rsid w:val="003A5447"/>
    <w:rsid w:val="003A6634"/>
    <w:rsid w:val="003A6785"/>
    <w:rsid w:val="003A67C0"/>
    <w:rsid w:val="003A67CE"/>
    <w:rsid w:val="003A6D99"/>
    <w:rsid w:val="003A7CAE"/>
    <w:rsid w:val="003B00AA"/>
    <w:rsid w:val="003B03E7"/>
    <w:rsid w:val="003B0588"/>
    <w:rsid w:val="003B0997"/>
    <w:rsid w:val="003B0CA8"/>
    <w:rsid w:val="003B0E0E"/>
    <w:rsid w:val="003B1352"/>
    <w:rsid w:val="003B195D"/>
    <w:rsid w:val="003B1F0B"/>
    <w:rsid w:val="003B1F49"/>
    <w:rsid w:val="003B2169"/>
    <w:rsid w:val="003B21CE"/>
    <w:rsid w:val="003B223F"/>
    <w:rsid w:val="003B2849"/>
    <w:rsid w:val="003B2A35"/>
    <w:rsid w:val="003B2AD3"/>
    <w:rsid w:val="003B301E"/>
    <w:rsid w:val="003B3EAE"/>
    <w:rsid w:val="003B43C4"/>
    <w:rsid w:val="003B4CB1"/>
    <w:rsid w:val="003B4D6F"/>
    <w:rsid w:val="003B535F"/>
    <w:rsid w:val="003B5586"/>
    <w:rsid w:val="003B58C0"/>
    <w:rsid w:val="003B597D"/>
    <w:rsid w:val="003B5C8B"/>
    <w:rsid w:val="003B5E96"/>
    <w:rsid w:val="003B64AE"/>
    <w:rsid w:val="003B6AFC"/>
    <w:rsid w:val="003B6C27"/>
    <w:rsid w:val="003B70E6"/>
    <w:rsid w:val="003B7214"/>
    <w:rsid w:val="003B7432"/>
    <w:rsid w:val="003B7C43"/>
    <w:rsid w:val="003C01F8"/>
    <w:rsid w:val="003C07BF"/>
    <w:rsid w:val="003C0C84"/>
    <w:rsid w:val="003C12B6"/>
    <w:rsid w:val="003C14B1"/>
    <w:rsid w:val="003C19BF"/>
    <w:rsid w:val="003C1BC5"/>
    <w:rsid w:val="003C1D7D"/>
    <w:rsid w:val="003C1F62"/>
    <w:rsid w:val="003C246D"/>
    <w:rsid w:val="003C325C"/>
    <w:rsid w:val="003C3635"/>
    <w:rsid w:val="003C36B3"/>
    <w:rsid w:val="003C36D9"/>
    <w:rsid w:val="003C3AD8"/>
    <w:rsid w:val="003C3C73"/>
    <w:rsid w:val="003C40D4"/>
    <w:rsid w:val="003C41D0"/>
    <w:rsid w:val="003C45D3"/>
    <w:rsid w:val="003C4734"/>
    <w:rsid w:val="003C4E7A"/>
    <w:rsid w:val="003C4EBC"/>
    <w:rsid w:val="003C511D"/>
    <w:rsid w:val="003C5251"/>
    <w:rsid w:val="003C528D"/>
    <w:rsid w:val="003C5B1C"/>
    <w:rsid w:val="003C5F97"/>
    <w:rsid w:val="003C6272"/>
    <w:rsid w:val="003C6B85"/>
    <w:rsid w:val="003C6C08"/>
    <w:rsid w:val="003C6C2E"/>
    <w:rsid w:val="003C7364"/>
    <w:rsid w:val="003C749E"/>
    <w:rsid w:val="003C764E"/>
    <w:rsid w:val="003C79C4"/>
    <w:rsid w:val="003D005B"/>
    <w:rsid w:val="003D0220"/>
    <w:rsid w:val="003D0385"/>
    <w:rsid w:val="003D0D22"/>
    <w:rsid w:val="003D1077"/>
    <w:rsid w:val="003D148D"/>
    <w:rsid w:val="003D1829"/>
    <w:rsid w:val="003D18EF"/>
    <w:rsid w:val="003D1974"/>
    <w:rsid w:val="003D1A16"/>
    <w:rsid w:val="003D1BCD"/>
    <w:rsid w:val="003D1FE8"/>
    <w:rsid w:val="003D225F"/>
    <w:rsid w:val="003D272A"/>
    <w:rsid w:val="003D2E71"/>
    <w:rsid w:val="003D3219"/>
    <w:rsid w:val="003D39F6"/>
    <w:rsid w:val="003D3FCA"/>
    <w:rsid w:val="003D4280"/>
    <w:rsid w:val="003D497C"/>
    <w:rsid w:val="003D49C1"/>
    <w:rsid w:val="003D4D3D"/>
    <w:rsid w:val="003D4EEE"/>
    <w:rsid w:val="003D5306"/>
    <w:rsid w:val="003D5559"/>
    <w:rsid w:val="003D556C"/>
    <w:rsid w:val="003D59AA"/>
    <w:rsid w:val="003D65C1"/>
    <w:rsid w:val="003D6CA7"/>
    <w:rsid w:val="003D6EB4"/>
    <w:rsid w:val="003D7126"/>
    <w:rsid w:val="003D7823"/>
    <w:rsid w:val="003D7E1F"/>
    <w:rsid w:val="003E00B7"/>
    <w:rsid w:val="003E094F"/>
    <w:rsid w:val="003E0AA8"/>
    <w:rsid w:val="003E0C2B"/>
    <w:rsid w:val="003E1A6F"/>
    <w:rsid w:val="003E1F08"/>
    <w:rsid w:val="003E1FA8"/>
    <w:rsid w:val="003E2570"/>
    <w:rsid w:val="003E276B"/>
    <w:rsid w:val="003E298E"/>
    <w:rsid w:val="003E2B6B"/>
    <w:rsid w:val="003E2C58"/>
    <w:rsid w:val="003E2C72"/>
    <w:rsid w:val="003E2CC8"/>
    <w:rsid w:val="003E2D03"/>
    <w:rsid w:val="003E2F68"/>
    <w:rsid w:val="003E3189"/>
    <w:rsid w:val="003E340A"/>
    <w:rsid w:val="003E364E"/>
    <w:rsid w:val="003E3A1F"/>
    <w:rsid w:val="003E3DB9"/>
    <w:rsid w:val="003E4763"/>
    <w:rsid w:val="003E4B15"/>
    <w:rsid w:val="003E53F6"/>
    <w:rsid w:val="003E543B"/>
    <w:rsid w:val="003E5697"/>
    <w:rsid w:val="003E57B6"/>
    <w:rsid w:val="003E5D97"/>
    <w:rsid w:val="003E6216"/>
    <w:rsid w:val="003E624D"/>
    <w:rsid w:val="003E62C3"/>
    <w:rsid w:val="003E680D"/>
    <w:rsid w:val="003E69F1"/>
    <w:rsid w:val="003E6B73"/>
    <w:rsid w:val="003E6D18"/>
    <w:rsid w:val="003E71BB"/>
    <w:rsid w:val="003E7835"/>
    <w:rsid w:val="003F16FC"/>
    <w:rsid w:val="003F1831"/>
    <w:rsid w:val="003F26EA"/>
    <w:rsid w:val="003F2C98"/>
    <w:rsid w:val="003F3062"/>
    <w:rsid w:val="003F3364"/>
    <w:rsid w:val="003F3389"/>
    <w:rsid w:val="003F34E8"/>
    <w:rsid w:val="003F3A34"/>
    <w:rsid w:val="003F3BBF"/>
    <w:rsid w:val="003F40E4"/>
    <w:rsid w:val="003F4529"/>
    <w:rsid w:val="003F4643"/>
    <w:rsid w:val="003F4A23"/>
    <w:rsid w:val="003F4F50"/>
    <w:rsid w:val="003F5C8D"/>
    <w:rsid w:val="003F5DC9"/>
    <w:rsid w:val="003F5FBA"/>
    <w:rsid w:val="003F6643"/>
    <w:rsid w:val="003F684B"/>
    <w:rsid w:val="003F68AE"/>
    <w:rsid w:val="003F6B0D"/>
    <w:rsid w:val="003F6B4E"/>
    <w:rsid w:val="003F6EB0"/>
    <w:rsid w:val="003F721E"/>
    <w:rsid w:val="003F77A0"/>
    <w:rsid w:val="003F7C06"/>
    <w:rsid w:val="003F7E7E"/>
    <w:rsid w:val="0040021F"/>
    <w:rsid w:val="00400535"/>
    <w:rsid w:val="004007D9"/>
    <w:rsid w:val="0040081C"/>
    <w:rsid w:val="004009FF"/>
    <w:rsid w:val="00400FD2"/>
    <w:rsid w:val="00401113"/>
    <w:rsid w:val="00401861"/>
    <w:rsid w:val="00401B03"/>
    <w:rsid w:val="00401DA6"/>
    <w:rsid w:val="0040213D"/>
    <w:rsid w:val="004029EE"/>
    <w:rsid w:val="00402C4F"/>
    <w:rsid w:val="00402EBD"/>
    <w:rsid w:val="00403DF9"/>
    <w:rsid w:val="00403E29"/>
    <w:rsid w:val="00404041"/>
    <w:rsid w:val="004043A9"/>
    <w:rsid w:val="00404495"/>
    <w:rsid w:val="00404DE4"/>
    <w:rsid w:val="00405720"/>
    <w:rsid w:val="00405814"/>
    <w:rsid w:val="004059C5"/>
    <w:rsid w:val="00405DB8"/>
    <w:rsid w:val="00406550"/>
    <w:rsid w:val="0040707B"/>
    <w:rsid w:val="004076B7"/>
    <w:rsid w:val="0041020B"/>
    <w:rsid w:val="004103B1"/>
    <w:rsid w:val="004107AD"/>
    <w:rsid w:val="004107AE"/>
    <w:rsid w:val="004109E3"/>
    <w:rsid w:val="00410BAA"/>
    <w:rsid w:val="00410CDF"/>
    <w:rsid w:val="00410D96"/>
    <w:rsid w:val="0041137F"/>
    <w:rsid w:val="00411611"/>
    <w:rsid w:val="004116BF"/>
    <w:rsid w:val="00411C0B"/>
    <w:rsid w:val="00411CB2"/>
    <w:rsid w:val="00411DB1"/>
    <w:rsid w:val="00412059"/>
    <w:rsid w:val="004120BF"/>
    <w:rsid w:val="004121FD"/>
    <w:rsid w:val="00412283"/>
    <w:rsid w:val="00412531"/>
    <w:rsid w:val="004127C6"/>
    <w:rsid w:val="00412EB7"/>
    <w:rsid w:val="0041302E"/>
    <w:rsid w:val="0041305A"/>
    <w:rsid w:val="00413678"/>
    <w:rsid w:val="0041367D"/>
    <w:rsid w:val="00413871"/>
    <w:rsid w:val="00413AAD"/>
    <w:rsid w:val="004140A5"/>
    <w:rsid w:val="0041443A"/>
    <w:rsid w:val="00414F4A"/>
    <w:rsid w:val="00415077"/>
    <w:rsid w:val="0041545D"/>
    <w:rsid w:val="004156A3"/>
    <w:rsid w:val="004156BD"/>
    <w:rsid w:val="0041583C"/>
    <w:rsid w:val="004167D3"/>
    <w:rsid w:val="00416F74"/>
    <w:rsid w:val="00417604"/>
    <w:rsid w:val="00417B02"/>
    <w:rsid w:val="00417F67"/>
    <w:rsid w:val="00420457"/>
    <w:rsid w:val="00420D2C"/>
    <w:rsid w:val="00420E89"/>
    <w:rsid w:val="00421329"/>
    <w:rsid w:val="0042139D"/>
    <w:rsid w:val="0042186F"/>
    <w:rsid w:val="00421AB2"/>
    <w:rsid w:val="00421B30"/>
    <w:rsid w:val="00421D30"/>
    <w:rsid w:val="00421ED3"/>
    <w:rsid w:val="0042266C"/>
    <w:rsid w:val="004229A2"/>
    <w:rsid w:val="004229F4"/>
    <w:rsid w:val="004229FE"/>
    <w:rsid w:val="00422CCE"/>
    <w:rsid w:val="00423020"/>
    <w:rsid w:val="00423481"/>
    <w:rsid w:val="004234EF"/>
    <w:rsid w:val="00423BD8"/>
    <w:rsid w:val="00423DDE"/>
    <w:rsid w:val="00423F6D"/>
    <w:rsid w:val="0042415F"/>
    <w:rsid w:val="004242AB"/>
    <w:rsid w:val="0042486D"/>
    <w:rsid w:val="0042500E"/>
    <w:rsid w:val="0042569C"/>
    <w:rsid w:val="00425ADC"/>
    <w:rsid w:val="00425F70"/>
    <w:rsid w:val="0042637F"/>
    <w:rsid w:val="00426635"/>
    <w:rsid w:val="004268F4"/>
    <w:rsid w:val="00426993"/>
    <w:rsid w:val="00426A0C"/>
    <w:rsid w:val="00426B7F"/>
    <w:rsid w:val="00426C14"/>
    <w:rsid w:val="00426DC4"/>
    <w:rsid w:val="00427278"/>
    <w:rsid w:val="004276A4"/>
    <w:rsid w:val="00427955"/>
    <w:rsid w:val="0042796B"/>
    <w:rsid w:val="00427B9E"/>
    <w:rsid w:val="00427D90"/>
    <w:rsid w:val="00427FE1"/>
    <w:rsid w:val="004302D0"/>
    <w:rsid w:val="004304D0"/>
    <w:rsid w:val="004305C6"/>
    <w:rsid w:val="00430861"/>
    <w:rsid w:val="004308A3"/>
    <w:rsid w:val="00430A5E"/>
    <w:rsid w:val="00430B39"/>
    <w:rsid w:val="004310FA"/>
    <w:rsid w:val="0043149E"/>
    <w:rsid w:val="00431CEC"/>
    <w:rsid w:val="00431D18"/>
    <w:rsid w:val="00431D73"/>
    <w:rsid w:val="00431DEE"/>
    <w:rsid w:val="00431FA0"/>
    <w:rsid w:val="00431FDF"/>
    <w:rsid w:val="00432BFD"/>
    <w:rsid w:val="00432C22"/>
    <w:rsid w:val="00432CD3"/>
    <w:rsid w:val="0043305D"/>
    <w:rsid w:val="0043334D"/>
    <w:rsid w:val="00433603"/>
    <w:rsid w:val="004339B4"/>
    <w:rsid w:val="00433CFE"/>
    <w:rsid w:val="00433FD4"/>
    <w:rsid w:val="004340CB"/>
    <w:rsid w:val="004340CF"/>
    <w:rsid w:val="00434294"/>
    <w:rsid w:val="0043441A"/>
    <w:rsid w:val="004346B8"/>
    <w:rsid w:val="004347B5"/>
    <w:rsid w:val="00434C3E"/>
    <w:rsid w:val="00434DD6"/>
    <w:rsid w:val="004352BC"/>
    <w:rsid w:val="00435E07"/>
    <w:rsid w:val="00435E13"/>
    <w:rsid w:val="00435F48"/>
    <w:rsid w:val="004366A7"/>
    <w:rsid w:val="00436818"/>
    <w:rsid w:val="00436838"/>
    <w:rsid w:val="00436D55"/>
    <w:rsid w:val="00436F83"/>
    <w:rsid w:val="004374D9"/>
    <w:rsid w:val="0043787C"/>
    <w:rsid w:val="004378E4"/>
    <w:rsid w:val="00437D4D"/>
    <w:rsid w:val="004404B5"/>
    <w:rsid w:val="0044078D"/>
    <w:rsid w:val="00440DE7"/>
    <w:rsid w:val="00441139"/>
    <w:rsid w:val="00441254"/>
    <w:rsid w:val="00441C0C"/>
    <w:rsid w:val="00441E07"/>
    <w:rsid w:val="00441F41"/>
    <w:rsid w:val="004421BC"/>
    <w:rsid w:val="004425F5"/>
    <w:rsid w:val="0044270A"/>
    <w:rsid w:val="00442845"/>
    <w:rsid w:val="00442C3E"/>
    <w:rsid w:val="00442F0D"/>
    <w:rsid w:val="0044356B"/>
    <w:rsid w:val="00443A8B"/>
    <w:rsid w:val="00444019"/>
    <w:rsid w:val="0044475A"/>
    <w:rsid w:val="00444DBF"/>
    <w:rsid w:val="00445A3C"/>
    <w:rsid w:val="00445EBB"/>
    <w:rsid w:val="004465BF"/>
    <w:rsid w:val="004465CC"/>
    <w:rsid w:val="00446846"/>
    <w:rsid w:val="0044697F"/>
    <w:rsid w:val="00446B6A"/>
    <w:rsid w:val="00446B7A"/>
    <w:rsid w:val="00447896"/>
    <w:rsid w:val="00447958"/>
    <w:rsid w:val="00450280"/>
    <w:rsid w:val="004502AE"/>
    <w:rsid w:val="004505EB"/>
    <w:rsid w:val="004506A6"/>
    <w:rsid w:val="0045096E"/>
    <w:rsid w:val="00450D81"/>
    <w:rsid w:val="00450DA3"/>
    <w:rsid w:val="00450DFC"/>
    <w:rsid w:val="004511A2"/>
    <w:rsid w:val="004511E8"/>
    <w:rsid w:val="00451551"/>
    <w:rsid w:val="00451673"/>
    <w:rsid w:val="004517DF"/>
    <w:rsid w:val="00451AF5"/>
    <w:rsid w:val="00451FCB"/>
    <w:rsid w:val="00452778"/>
    <w:rsid w:val="004527CC"/>
    <w:rsid w:val="00452D11"/>
    <w:rsid w:val="004532B8"/>
    <w:rsid w:val="004533E4"/>
    <w:rsid w:val="0045373F"/>
    <w:rsid w:val="004537EA"/>
    <w:rsid w:val="00454045"/>
    <w:rsid w:val="00454064"/>
    <w:rsid w:val="00454110"/>
    <w:rsid w:val="004542D7"/>
    <w:rsid w:val="00454400"/>
    <w:rsid w:val="00454596"/>
    <w:rsid w:val="00454A56"/>
    <w:rsid w:val="00454DA1"/>
    <w:rsid w:val="00454EF4"/>
    <w:rsid w:val="00454F29"/>
    <w:rsid w:val="004551FE"/>
    <w:rsid w:val="0045532E"/>
    <w:rsid w:val="004553A0"/>
    <w:rsid w:val="00455533"/>
    <w:rsid w:val="004556D5"/>
    <w:rsid w:val="00455E8A"/>
    <w:rsid w:val="0045652F"/>
    <w:rsid w:val="00456845"/>
    <w:rsid w:val="00456A78"/>
    <w:rsid w:val="00456F2C"/>
    <w:rsid w:val="00457038"/>
    <w:rsid w:val="00457360"/>
    <w:rsid w:val="0045767C"/>
    <w:rsid w:val="0045779B"/>
    <w:rsid w:val="00457999"/>
    <w:rsid w:val="00457C0F"/>
    <w:rsid w:val="00457DCA"/>
    <w:rsid w:val="00460269"/>
    <w:rsid w:val="0046036E"/>
    <w:rsid w:val="00460A6F"/>
    <w:rsid w:val="00460A94"/>
    <w:rsid w:val="00460BC5"/>
    <w:rsid w:val="00460CFB"/>
    <w:rsid w:val="00460D66"/>
    <w:rsid w:val="00460FA9"/>
    <w:rsid w:val="00461B31"/>
    <w:rsid w:val="00461F59"/>
    <w:rsid w:val="0046244D"/>
    <w:rsid w:val="004626F8"/>
    <w:rsid w:val="00462E3F"/>
    <w:rsid w:val="00462E70"/>
    <w:rsid w:val="00462F4D"/>
    <w:rsid w:val="004638ED"/>
    <w:rsid w:val="00463982"/>
    <w:rsid w:val="00463B45"/>
    <w:rsid w:val="00463D9D"/>
    <w:rsid w:val="004641B6"/>
    <w:rsid w:val="00464E27"/>
    <w:rsid w:val="00464E93"/>
    <w:rsid w:val="004658B6"/>
    <w:rsid w:val="00465A35"/>
    <w:rsid w:val="00465CB9"/>
    <w:rsid w:val="00465D20"/>
    <w:rsid w:val="00466518"/>
    <w:rsid w:val="004667C5"/>
    <w:rsid w:val="00467011"/>
    <w:rsid w:val="00467B19"/>
    <w:rsid w:val="004706B9"/>
    <w:rsid w:val="00470784"/>
    <w:rsid w:val="00470A24"/>
    <w:rsid w:val="00470AF6"/>
    <w:rsid w:val="00470F34"/>
    <w:rsid w:val="00471183"/>
    <w:rsid w:val="0047132B"/>
    <w:rsid w:val="004716D6"/>
    <w:rsid w:val="00471AB5"/>
    <w:rsid w:val="0047299A"/>
    <w:rsid w:val="00472BA1"/>
    <w:rsid w:val="00472E6B"/>
    <w:rsid w:val="00472FC3"/>
    <w:rsid w:val="00473073"/>
    <w:rsid w:val="00473A4D"/>
    <w:rsid w:val="00474143"/>
    <w:rsid w:val="0047426F"/>
    <w:rsid w:val="00474282"/>
    <w:rsid w:val="004745E4"/>
    <w:rsid w:val="00474FAF"/>
    <w:rsid w:val="00475062"/>
    <w:rsid w:val="0047539B"/>
    <w:rsid w:val="00475762"/>
    <w:rsid w:val="00475ABE"/>
    <w:rsid w:val="00475D8F"/>
    <w:rsid w:val="004761A7"/>
    <w:rsid w:val="00476463"/>
    <w:rsid w:val="00476493"/>
    <w:rsid w:val="0047663C"/>
    <w:rsid w:val="0047665B"/>
    <w:rsid w:val="00476BFF"/>
    <w:rsid w:val="00476C6A"/>
    <w:rsid w:val="00477010"/>
    <w:rsid w:val="004770A5"/>
    <w:rsid w:val="004770B6"/>
    <w:rsid w:val="00477115"/>
    <w:rsid w:val="00477284"/>
    <w:rsid w:val="004773E5"/>
    <w:rsid w:val="00477527"/>
    <w:rsid w:val="004778E9"/>
    <w:rsid w:val="00480955"/>
    <w:rsid w:val="00480CE5"/>
    <w:rsid w:val="00480F4B"/>
    <w:rsid w:val="0048139E"/>
    <w:rsid w:val="004816FD"/>
    <w:rsid w:val="00482BD3"/>
    <w:rsid w:val="00483409"/>
    <w:rsid w:val="00483599"/>
    <w:rsid w:val="00483928"/>
    <w:rsid w:val="00483AD2"/>
    <w:rsid w:val="00483FA1"/>
    <w:rsid w:val="0048429F"/>
    <w:rsid w:val="004844A8"/>
    <w:rsid w:val="004845AD"/>
    <w:rsid w:val="00484C7A"/>
    <w:rsid w:val="0048542A"/>
    <w:rsid w:val="004857FA"/>
    <w:rsid w:val="0048643A"/>
    <w:rsid w:val="00486896"/>
    <w:rsid w:val="004868AD"/>
    <w:rsid w:val="004868E2"/>
    <w:rsid w:val="00486989"/>
    <w:rsid w:val="00486F97"/>
    <w:rsid w:val="0048712E"/>
    <w:rsid w:val="004878EC"/>
    <w:rsid w:val="00487A91"/>
    <w:rsid w:val="004901D1"/>
    <w:rsid w:val="0049038B"/>
    <w:rsid w:val="004905BA"/>
    <w:rsid w:val="00490642"/>
    <w:rsid w:val="00490832"/>
    <w:rsid w:val="00490C19"/>
    <w:rsid w:val="0049182F"/>
    <w:rsid w:val="004925BA"/>
    <w:rsid w:val="004927B9"/>
    <w:rsid w:val="00492D43"/>
    <w:rsid w:val="00492D5A"/>
    <w:rsid w:val="00492D70"/>
    <w:rsid w:val="004930C1"/>
    <w:rsid w:val="004935F5"/>
    <w:rsid w:val="00493646"/>
    <w:rsid w:val="00493B46"/>
    <w:rsid w:val="004944FA"/>
    <w:rsid w:val="00494C32"/>
    <w:rsid w:val="00494E70"/>
    <w:rsid w:val="00495459"/>
    <w:rsid w:val="00495473"/>
    <w:rsid w:val="00495E48"/>
    <w:rsid w:val="004965D6"/>
    <w:rsid w:val="0049669B"/>
    <w:rsid w:val="004967CA"/>
    <w:rsid w:val="00496F69"/>
    <w:rsid w:val="004970A6"/>
    <w:rsid w:val="00497B04"/>
    <w:rsid w:val="004A04E8"/>
    <w:rsid w:val="004A062B"/>
    <w:rsid w:val="004A06C4"/>
    <w:rsid w:val="004A0AB9"/>
    <w:rsid w:val="004A0DCD"/>
    <w:rsid w:val="004A1063"/>
    <w:rsid w:val="004A14E2"/>
    <w:rsid w:val="004A18CE"/>
    <w:rsid w:val="004A1EAF"/>
    <w:rsid w:val="004A1F9E"/>
    <w:rsid w:val="004A2172"/>
    <w:rsid w:val="004A217A"/>
    <w:rsid w:val="004A21E2"/>
    <w:rsid w:val="004A22B7"/>
    <w:rsid w:val="004A230D"/>
    <w:rsid w:val="004A2641"/>
    <w:rsid w:val="004A26C1"/>
    <w:rsid w:val="004A2FFB"/>
    <w:rsid w:val="004A337E"/>
    <w:rsid w:val="004A34D8"/>
    <w:rsid w:val="004A3629"/>
    <w:rsid w:val="004A3822"/>
    <w:rsid w:val="004A3A44"/>
    <w:rsid w:val="004A3BB9"/>
    <w:rsid w:val="004A3C16"/>
    <w:rsid w:val="004A3C5C"/>
    <w:rsid w:val="004A3CCE"/>
    <w:rsid w:val="004A3F19"/>
    <w:rsid w:val="004A3FD0"/>
    <w:rsid w:val="004A40F9"/>
    <w:rsid w:val="004A46F5"/>
    <w:rsid w:val="004A4700"/>
    <w:rsid w:val="004A4827"/>
    <w:rsid w:val="004A55EB"/>
    <w:rsid w:val="004A58C7"/>
    <w:rsid w:val="004A5A68"/>
    <w:rsid w:val="004A6586"/>
    <w:rsid w:val="004A6695"/>
    <w:rsid w:val="004A6C78"/>
    <w:rsid w:val="004A6C7E"/>
    <w:rsid w:val="004A6EA2"/>
    <w:rsid w:val="004A6EA9"/>
    <w:rsid w:val="004A77B9"/>
    <w:rsid w:val="004B0477"/>
    <w:rsid w:val="004B0556"/>
    <w:rsid w:val="004B0646"/>
    <w:rsid w:val="004B0741"/>
    <w:rsid w:val="004B0919"/>
    <w:rsid w:val="004B0C62"/>
    <w:rsid w:val="004B0F89"/>
    <w:rsid w:val="004B125F"/>
    <w:rsid w:val="004B131D"/>
    <w:rsid w:val="004B176B"/>
    <w:rsid w:val="004B1BB9"/>
    <w:rsid w:val="004B1C37"/>
    <w:rsid w:val="004B1EFF"/>
    <w:rsid w:val="004B2752"/>
    <w:rsid w:val="004B285F"/>
    <w:rsid w:val="004B2871"/>
    <w:rsid w:val="004B30C7"/>
    <w:rsid w:val="004B325A"/>
    <w:rsid w:val="004B356F"/>
    <w:rsid w:val="004B35BA"/>
    <w:rsid w:val="004B37A3"/>
    <w:rsid w:val="004B3811"/>
    <w:rsid w:val="004B3CF2"/>
    <w:rsid w:val="004B431A"/>
    <w:rsid w:val="004B46F1"/>
    <w:rsid w:val="004B4AF6"/>
    <w:rsid w:val="004B507D"/>
    <w:rsid w:val="004B55C8"/>
    <w:rsid w:val="004B579A"/>
    <w:rsid w:val="004B59FF"/>
    <w:rsid w:val="004B5B63"/>
    <w:rsid w:val="004B6147"/>
    <w:rsid w:val="004B6204"/>
    <w:rsid w:val="004B621F"/>
    <w:rsid w:val="004B6269"/>
    <w:rsid w:val="004B637E"/>
    <w:rsid w:val="004B64D1"/>
    <w:rsid w:val="004B6532"/>
    <w:rsid w:val="004B66BD"/>
    <w:rsid w:val="004B678E"/>
    <w:rsid w:val="004B67D1"/>
    <w:rsid w:val="004B6C49"/>
    <w:rsid w:val="004B6E60"/>
    <w:rsid w:val="004B73FE"/>
    <w:rsid w:val="004B79D9"/>
    <w:rsid w:val="004B7D2D"/>
    <w:rsid w:val="004B7F7F"/>
    <w:rsid w:val="004B7FD9"/>
    <w:rsid w:val="004C0085"/>
    <w:rsid w:val="004C023C"/>
    <w:rsid w:val="004C046A"/>
    <w:rsid w:val="004C0653"/>
    <w:rsid w:val="004C0AFC"/>
    <w:rsid w:val="004C0B0D"/>
    <w:rsid w:val="004C0D69"/>
    <w:rsid w:val="004C10F8"/>
    <w:rsid w:val="004C1820"/>
    <w:rsid w:val="004C1CB8"/>
    <w:rsid w:val="004C1FE1"/>
    <w:rsid w:val="004C204C"/>
    <w:rsid w:val="004C22DD"/>
    <w:rsid w:val="004C28DD"/>
    <w:rsid w:val="004C2A6F"/>
    <w:rsid w:val="004C2BFC"/>
    <w:rsid w:val="004C2C66"/>
    <w:rsid w:val="004C2D32"/>
    <w:rsid w:val="004C3336"/>
    <w:rsid w:val="004C3FF4"/>
    <w:rsid w:val="004C4055"/>
    <w:rsid w:val="004C4130"/>
    <w:rsid w:val="004C4609"/>
    <w:rsid w:val="004C4FDD"/>
    <w:rsid w:val="004C5051"/>
    <w:rsid w:val="004C53DE"/>
    <w:rsid w:val="004C547A"/>
    <w:rsid w:val="004C5562"/>
    <w:rsid w:val="004C56E7"/>
    <w:rsid w:val="004C581E"/>
    <w:rsid w:val="004C5A05"/>
    <w:rsid w:val="004C5AB6"/>
    <w:rsid w:val="004C5E3C"/>
    <w:rsid w:val="004C5E99"/>
    <w:rsid w:val="004C6198"/>
    <w:rsid w:val="004C6389"/>
    <w:rsid w:val="004C6467"/>
    <w:rsid w:val="004C71AC"/>
    <w:rsid w:val="004C72FE"/>
    <w:rsid w:val="004C7490"/>
    <w:rsid w:val="004C7542"/>
    <w:rsid w:val="004D0883"/>
    <w:rsid w:val="004D08C2"/>
    <w:rsid w:val="004D092E"/>
    <w:rsid w:val="004D0F5E"/>
    <w:rsid w:val="004D1132"/>
    <w:rsid w:val="004D1746"/>
    <w:rsid w:val="004D1846"/>
    <w:rsid w:val="004D1ACE"/>
    <w:rsid w:val="004D2061"/>
    <w:rsid w:val="004D26AA"/>
    <w:rsid w:val="004D279E"/>
    <w:rsid w:val="004D2A1B"/>
    <w:rsid w:val="004D2CE7"/>
    <w:rsid w:val="004D2D9D"/>
    <w:rsid w:val="004D30F9"/>
    <w:rsid w:val="004D32D3"/>
    <w:rsid w:val="004D3813"/>
    <w:rsid w:val="004D392A"/>
    <w:rsid w:val="004D3DF3"/>
    <w:rsid w:val="004D4160"/>
    <w:rsid w:val="004D4D1F"/>
    <w:rsid w:val="004D5163"/>
    <w:rsid w:val="004D51CC"/>
    <w:rsid w:val="004D5481"/>
    <w:rsid w:val="004D5617"/>
    <w:rsid w:val="004D5743"/>
    <w:rsid w:val="004D5A38"/>
    <w:rsid w:val="004D5E0C"/>
    <w:rsid w:val="004D5EDA"/>
    <w:rsid w:val="004D6A48"/>
    <w:rsid w:val="004D6A49"/>
    <w:rsid w:val="004D6AF5"/>
    <w:rsid w:val="004D6BBD"/>
    <w:rsid w:val="004D761A"/>
    <w:rsid w:val="004D766A"/>
    <w:rsid w:val="004D77E3"/>
    <w:rsid w:val="004D77E9"/>
    <w:rsid w:val="004D7CD7"/>
    <w:rsid w:val="004D7D8F"/>
    <w:rsid w:val="004D7EA2"/>
    <w:rsid w:val="004E0145"/>
    <w:rsid w:val="004E06D6"/>
    <w:rsid w:val="004E077C"/>
    <w:rsid w:val="004E120D"/>
    <w:rsid w:val="004E12E5"/>
    <w:rsid w:val="004E194B"/>
    <w:rsid w:val="004E198C"/>
    <w:rsid w:val="004E1CB2"/>
    <w:rsid w:val="004E2206"/>
    <w:rsid w:val="004E2738"/>
    <w:rsid w:val="004E2770"/>
    <w:rsid w:val="004E3059"/>
    <w:rsid w:val="004E3315"/>
    <w:rsid w:val="004E3670"/>
    <w:rsid w:val="004E3A77"/>
    <w:rsid w:val="004E3F4A"/>
    <w:rsid w:val="004E42CF"/>
    <w:rsid w:val="004E43F2"/>
    <w:rsid w:val="004E456E"/>
    <w:rsid w:val="004E4631"/>
    <w:rsid w:val="004E488D"/>
    <w:rsid w:val="004E4910"/>
    <w:rsid w:val="004E4F0F"/>
    <w:rsid w:val="004E54AB"/>
    <w:rsid w:val="004E563D"/>
    <w:rsid w:val="004E587D"/>
    <w:rsid w:val="004E597C"/>
    <w:rsid w:val="004E5B48"/>
    <w:rsid w:val="004E5B79"/>
    <w:rsid w:val="004E5CED"/>
    <w:rsid w:val="004E6146"/>
    <w:rsid w:val="004E62EC"/>
    <w:rsid w:val="004E63C2"/>
    <w:rsid w:val="004E6D82"/>
    <w:rsid w:val="004E70BE"/>
    <w:rsid w:val="004E70D9"/>
    <w:rsid w:val="004E7232"/>
    <w:rsid w:val="004E7588"/>
    <w:rsid w:val="004E7DA8"/>
    <w:rsid w:val="004F02F1"/>
    <w:rsid w:val="004F039D"/>
    <w:rsid w:val="004F04C3"/>
    <w:rsid w:val="004F0AC0"/>
    <w:rsid w:val="004F0C01"/>
    <w:rsid w:val="004F0C93"/>
    <w:rsid w:val="004F10E6"/>
    <w:rsid w:val="004F116B"/>
    <w:rsid w:val="004F129D"/>
    <w:rsid w:val="004F1A84"/>
    <w:rsid w:val="004F1EE2"/>
    <w:rsid w:val="004F1F8D"/>
    <w:rsid w:val="004F3068"/>
    <w:rsid w:val="004F322D"/>
    <w:rsid w:val="004F32EC"/>
    <w:rsid w:val="004F337B"/>
    <w:rsid w:val="004F3518"/>
    <w:rsid w:val="004F3ECE"/>
    <w:rsid w:val="004F435A"/>
    <w:rsid w:val="004F445D"/>
    <w:rsid w:val="004F49D4"/>
    <w:rsid w:val="004F4E67"/>
    <w:rsid w:val="004F50D0"/>
    <w:rsid w:val="004F52F6"/>
    <w:rsid w:val="004F56C1"/>
    <w:rsid w:val="004F5728"/>
    <w:rsid w:val="004F58C9"/>
    <w:rsid w:val="004F58F9"/>
    <w:rsid w:val="004F5B42"/>
    <w:rsid w:val="004F5C7F"/>
    <w:rsid w:val="004F61D5"/>
    <w:rsid w:val="004F63A8"/>
    <w:rsid w:val="004F63AD"/>
    <w:rsid w:val="004F65D7"/>
    <w:rsid w:val="004F7193"/>
    <w:rsid w:val="004F71D7"/>
    <w:rsid w:val="004F741F"/>
    <w:rsid w:val="004F7A5B"/>
    <w:rsid w:val="004F7A9D"/>
    <w:rsid w:val="004F7D4B"/>
    <w:rsid w:val="004F7D60"/>
    <w:rsid w:val="0050011B"/>
    <w:rsid w:val="00500761"/>
    <w:rsid w:val="00500C2D"/>
    <w:rsid w:val="005010C2"/>
    <w:rsid w:val="00501246"/>
    <w:rsid w:val="00501BEC"/>
    <w:rsid w:val="005022E2"/>
    <w:rsid w:val="00502603"/>
    <w:rsid w:val="00502784"/>
    <w:rsid w:val="005029D8"/>
    <w:rsid w:val="00502AB7"/>
    <w:rsid w:val="00502DD0"/>
    <w:rsid w:val="00502E99"/>
    <w:rsid w:val="00504BC5"/>
    <w:rsid w:val="00504FF9"/>
    <w:rsid w:val="0050504E"/>
    <w:rsid w:val="00505240"/>
    <w:rsid w:val="005052D9"/>
    <w:rsid w:val="005060AF"/>
    <w:rsid w:val="005061F3"/>
    <w:rsid w:val="0050653E"/>
    <w:rsid w:val="005066E8"/>
    <w:rsid w:val="00506947"/>
    <w:rsid w:val="00506F69"/>
    <w:rsid w:val="00507074"/>
    <w:rsid w:val="00507115"/>
    <w:rsid w:val="00507147"/>
    <w:rsid w:val="005075FA"/>
    <w:rsid w:val="00507FC1"/>
    <w:rsid w:val="00507FF1"/>
    <w:rsid w:val="0051002E"/>
    <w:rsid w:val="005100BF"/>
    <w:rsid w:val="00510161"/>
    <w:rsid w:val="00510793"/>
    <w:rsid w:val="00510A9D"/>
    <w:rsid w:val="00510B9A"/>
    <w:rsid w:val="00510C6C"/>
    <w:rsid w:val="0051101D"/>
    <w:rsid w:val="00511022"/>
    <w:rsid w:val="00511179"/>
    <w:rsid w:val="005111BA"/>
    <w:rsid w:val="00511C90"/>
    <w:rsid w:val="00511E80"/>
    <w:rsid w:val="005121C0"/>
    <w:rsid w:val="005121F4"/>
    <w:rsid w:val="00512404"/>
    <w:rsid w:val="005124DB"/>
    <w:rsid w:val="005127DE"/>
    <w:rsid w:val="00512892"/>
    <w:rsid w:val="00512ABC"/>
    <w:rsid w:val="00513A46"/>
    <w:rsid w:val="00513E21"/>
    <w:rsid w:val="0051414E"/>
    <w:rsid w:val="005144A4"/>
    <w:rsid w:val="005144E8"/>
    <w:rsid w:val="00514957"/>
    <w:rsid w:val="00514A2F"/>
    <w:rsid w:val="00514B5A"/>
    <w:rsid w:val="00514CB2"/>
    <w:rsid w:val="00514CDF"/>
    <w:rsid w:val="00514EDD"/>
    <w:rsid w:val="00514FAB"/>
    <w:rsid w:val="0051501F"/>
    <w:rsid w:val="00515134"/>
    <w:rsid w:val="0051530D"/>
    <w:rsid w:val="0051535E"/>
    <w:rsid w:val="00515B68"/>
    <w:rsid w:val="00515C76"/>
    <w:rsid w:val="00516881"/>
    <w:rsid w:val="00516F7A"/>
    <w:rsid w:val="00517165"/>
    <w:rsid w:val="00517278"/>
    <w:rsid w:val="0051735E"/>
    <w:rsid w:val="0051760C"/>
    <w:rsid w:val="00517636"/>
    <w:rsid w:val="00517963"/>
    <w:rsid w:val="00517CB5"/>
    <w:rsid w:val="00517CBE"/>
    <w:rsid w:val="00520427"/>
    <w:rsid w:val="00520568"/>
    <w:rsid w:val="0052083E"/>
    <w:rsid w:val="005211B9"/>
    <w:rsid w:val="0052121E"/>
    <w:rsid w:val="0052175F"/>
    <w:rsid w:val="00521964"/>
    <w:rsid w:val="00522079"/>
    <w:rsid w:val="0052240B"/>
    <w:rsid w:val="005225B8"/>
    <w:rsid w:val="005229A1"/>
    <w:rsid w:val="00522B79"/>
    <w:rsid w:val="00522DCA"/>
    <w:rsid w:val="00523077"/>
    <w:rsid w:val="00523368"/>
    <w:rsid w:val="00523624"/>
    <w:rsid w:val="005236E5"/>
    <w:rsid w:val="00523A5C"/>
    <w:rsid w:val="00524284"/>
    <w:rsid w:val="00524344"/>
    <w:rsid w:val="00524856"/>
    <w:rsid w:val="00524C5B"/>
    <w:rsid w:val="00524EA4"/>
    <w:rsid w:val="00524F6E"/>
    <w:rsid w:val="0052526F"/>
    <w:rsid w:val="0052528E"/>
    <w:rsid w:val="005252F1"/>
    <w:rsid w:val="0052553B"/>
    <w:rsid w:val="00525564"/>
    <w:rsid w:val="00525916"/>
    <w:rsid w:val="00525A5F"/>
    <w:rsid w:val="00525C7A"/>
    <w:rsid w:val="00526352"/>
    <w:rsid w:val="00527094"/>
    <w:rsid w:val="00527284"/>
    <w:rsid w:val="00527602"/>
    <w:rsid w:val="0052792A"/>
    <w:rsid w:val="00527D17"/>
    <w:rsid w:val="0053056D"/>
    <w:rsid w:val="005307F5"/>
    <w:rsid w:val="005313B7"/>
    <w:rsid w:val="0053156E"/>
    <w:rsid w:val="00531758"/>
    <w:rsid w:val="005319E0"/>
    <w:rsid w:val="005319F7"/>
    <w:rsid w:val="00531E71"/>
    <w:rsid w:val="0053275C"/>
    <w:rsid w:val="0053280B"/>
    <w:rsid w:val="005329EE"/>
    <w:rsid w:val="00532BD9"/>
    <w:rsid w:val="00533320"/>
    <w:rsid w:val="0053372B"/>
    <w:rsid w:val="00533887"/>
    <w:rsid w:val="00533E08"/>
    <w:rsid w:val="005342C0"/>
    <w:rsid w:val="00534886"/>
    <w:rsid w:val="005349F5"/>
    <w:rsid w:val="00534B67"/>
    <w:rsid w:val="00534C7F"/>
    <w:rsid w:val="005351F4"/>
    <w:rsid w:val="005360DD"/>
    <w:rsid w:val="00536562"/>
    <w:rsid w:val="005367D1"/>
    <w:rsid w:val="00536C8F"/>
    <w:rsid w:val="00537647"/>
    <w:rsid w:val="005378DB"/>
    <w:rsid w:val="00537900"/>
    <w:rsid w:val="0053792F"/>
    <w:rsid w:val="00537DAE"/>
    <w:rsid w:val="00537E4C"/>
    <w:rsid w:val="00537F11"/>
    <w:rsid w:val="00540134"/>
    <w:rsid w:val="00540CB0"/>
    <w:rsid w:val="005415A2"/>
    <w:rsid w:val="00541705"/>
    <w:rsid w:val="00541947"/>
    <w:rsid w:val="00541A24"/>
    <w:rsid w:val="00541BC8"/>
    <w:rsid w:val="00541C64"/>
    <w:rsid w:val="0054210B"/>
    <w:rsid w:val="00542201"/>
    <w:rsid w:val="00542FAC"/>
    <w:rsid w:val="00543406"/>
    <w:rsid w:val="0054360B"/>
    <w:rsid w:val="00544002"/>
    <w:rsid w:val="00544257"/>
    <w:rsid w:val="00544273"/>
    <w:rsid w:val="00544793"/>
    <w:rsid w:val="005448FB"/>
    <w:rsid w:val="00544967"/>
    <w:rsid w:val="00544A95"/>
    <w:rsid w:val="00544EE0"/>
    <w:rsid w:val="00545203"/>
    <w:rsid w:val="00545C0B"/>
    <w:rsid w:val="00545D1B"/>
    <w:rsid w:val="00545FC9"/>
    <w:rsid w:val="005469E3"/>
    <w:rsid w:val="00546BB6"/>
    <w:rsid w:val="00546BB7"/>
    <w:rsid w:val="00546DA5"/>
    <w:rsid w:val="00547425"/>
    <w:rsid w:val="00547449"/>
    <w:rsid w:val="005477BD"/>
    <w:rsid w:val="00547A88"/>
    <w:rsid w:val="00547B37"/>
    <w:rsid w:val="00547E31"/>
    <w:rsid w:val="00547EEA"/>
    <w:rsid w:val="0055003A"/>
    <w:rsid w:val="00550460"/>
    <w:rsid w:val="00550A40"/>
    <w:rsid w:val="00550B42"/>
    <w:rsid w:val="00550BA0"/>
    <w:rsid w:val="00550CEB"/>
    <w:rsid w:val="00550D3E"/>
    <w:rsid w:val="00551185"/>
    <w:rsid w:val="005513BA"/>
    <w:rsid w:val="0055156E"/>
    <w:rsid w:val="00551B4F"/>
    <w:rsid w:val="00552330"/>
    <w:rsid w:val="00552DD7"/>
    <w:rsid w:val="00552F41"/>
    <w:rsid w:val="00553158"/>
    <w:rsid w:val="0055366F"/>
    <w:rsid w:val="0055367A"/>
    <w:rsid w:val="005536D5"/>
    <w:rsid w:val="00553D3B"/>
    <w:rsid w:val="00553DD7"/>
    <w:rsid w:val="005544FA"/>
    <w:rsid w:val="00554738"/>
    <w:rsid w:val="00554E20"/>
    <w:rsid w:val="00554EA4"/>
    <w:rsid w:val="00554F96"/>
    <w:rsid w:val="0055504E"/>
    <w:rsid w:val="00555309"/>
    <w:rsid w:val="0055553D"/>
    <w:rsid w:val="00556110"/>
    <w:rsid w:val="005567D4"/>
    <w:rsid w:val="00556E3B"/>
    <w:rsid w:val="00557181"/>
    <w:rsid w:val="0055799E"/>
    <w:rsid w:val="005579A8"/>
    <w:rsid w:val="00557B2F"/>
    <w:rsid w:val="00557C55"/>
    <w:rsid w:val="00557E90"/>
    <w:rsid w:val="00557F3E"/>
    <w:rsid w:val="00560148"/>
    <w:rsid w:val="00560207"/>
    <w:rsid w:val="00560273"/>
    <w:rsid w:val="005603D4"/>
    <w:rsid w:val="005605D5"/>
    <w:rsid w:val="0056088E"/>
    <w:rsid w:val="00560C1E"/>
    <w:rsid w:val="00560ED6"/>
    <w:rsid w:val="00561355"/>
    <w:rsid w:val="005616D2"/>
    <w:rsid w:val="0056181A"/>
    <w:rsid w:val="00561B6E"/>
    <w:rsid w:val="0056249D"/>
    <w:rsid w:val="0056298B"/>
    <w:rsid w:val="00562A60"/>
    <w:rsid w:val="00562DDC"/>
    <w:rsid w:val="00563303"/>
    <w:rsid w:val="00563A38"/>
    <w:rsid w:val="00564012"/>
    <w:rsid w:val="0056437F"/>
    <w:rsid w:val="00564D54"/>
    <w:rsid w:val="00564F45"/>
    <w:rsid w:val="005650C3"/>
    <w:rsid w:val="0056540D"/>
    <w:rsid w:val="00565567"/>
    <w:rsid w:val="0056592D"/>
    <w:rsid w:val="00565C01"/>
    <w:rsid w:val="00565C2B"/>
    <w:rsid w:val="00565EC1"/>
    <w:rsid w:val="00566518"/>
    <w:rsid w:val="0056663D"/>
    <w:rsid w:val="005666CD"/>
    <w:rsid w:val="005667EE"/>
    <w:rsid w:val="00566879"/>
    <w:rsid w:val="0056692B"/>
    <w:rsid w:val="00566998"/>
    <w:rsid w:val="00566C21"/>
    <w:rsid w:val="00566DB3"/>
    <w:rsid w:val="00566DFA"/>
    <w:rsid w:val="00566F5C"/>
    <w:rsid w:val="00566F93"/>
    <w:rsid w:val="0056700F"/>
    <w:rsid w:val="0056718C"/>
    <w:rsid w:val="005672F9"/>
    <w:rsid w:val="00567353"/>
    <w:rsid w:val="00567A7D"/>
    <w:rsid w:val="00567DB4"/>
    <w:rsid w:val="00567FA5"/>
    <w:rsid w:val="005701F7"/>
    <w:rsid w:val="00570242"/>
    <w:rsid w:val="00570496"/>
    <w:rsid w:val="0057051D"/>
    <w:rsid w:val="005707CA"/>
    <w:rsid w:val="00570A5F"/>
    <w:rsid w:val="00570D0D"/>
    <w:rsid w:val="00570F86"/>
    <w:rsid w:val="00571137"/>
    <w:rsid w:val="0057117E"/>
    <w:rsid w:val="00571513"/>
    <w:rsid w:val="00571E5D"/>
    <w:rsid w:val="005722A3"/>
    <w:rsid w:val="00572597"/>
    <w:rsid w:val="00572886"/>
    <w:rsid w:val="00572A18"/>
    <w:rsid w:val="00572FB1"/>
    <w:rsid w:val="00573197"/>
    <w:rsid w:val="005733FD"/>
    <w:rsid w:val="00573BF0"/>
    <w:rsid w:val="00573CF6"/>
    <w:rsid w:val="00573DE9"/>
    <w:rsid w:val="00574190"/>
    <w:rsid w:val="005747FA"/>
    <w:rsid w:val="005748A2"/>
    <w:rsid w:val="00574D1A"/>
    <w:rsid w:val="00574DC4"/>
    <w:rsid w:val="005753EE"/>
    <w:rsid w:val="0057563F"/>
    <w:rsid w:val="00575DE1"/>
    <w:rsid w:val="00576268"/>
    <w:rsid w:val="00576313"/>
    <w:rsid w:val="005763E1"/>
    <w:rsid w:val="00576435"/>
    <w:rsid w:val="00576562"/>
    <w:rsid w:val="00576C80"/>
    <w:rsid w:val="00576FF5"/>
    <w:rsid w:val="0057719E"/>
    <w:rsid w:val="0057771A"/>
    <w:rsid w:val="00577C28"/>
    <w:rsid w:val="00577FE7"/>
    <w:rsid w:val="0058046C"/>
    <w:rsid w:val="0058062B"/>
    <w:rsid w:val="00581975"/>
    <w:rsid w:val="00581D6B"/>
    <w:rsid w:val="005821BA"/>
    <w:rsid w:val="005824C6"/>
    <w:rsid w:val="00582858"/>
    <w:rsid w:val="005828FC"/>
    <w:rsid w:val="0058299F"/>
    <w:rsid w:val="00583075"/>
    <w:rsid w:val="005833E9"/>
    <w:rsid w:val="0058390D"/>
    <w:rsid w:val="005839B9"/>
    <w:rsid w:val="0058417F"/>
    <w:rsid w:val="00584374"/>
    <w:rsid w:val="005847A9"/>
    <w:rsid w:val="00584D51"/>
    <w:rsid w:val="00584D6E"/>
    <w:rsid w:val="005851AD"/>
    <w:rsid w:val="005851F4"/>
    <w:rsid w:val="00585290"/>
    <w:rsid w:val="00585363"/>
    <w:rsid w:val="00585BFA"/>
    <w:rsid w:val="00586BA1"/>
    <w:rsid w:val="005870FF"/>
    <w:rsid w:val="00587671"/>
    <w:rsid w:val="00587FCA"/>
    <w:rsid w:val="005907A8"/>
    <w:rsid w:val="0059199B"/>
    <w:rsid w:val="00591A5F"/>
    <w:rsid w:val="00591C85"/>
    <w:rsid w:val="00591CDB"/>
    <w:rsid w:val="005920D9"/>
    <w:rsid w:val="005921FF"/>
    <w:rsid w:val="00592632"/>
    <w:rsid w:val="0059278E"/>
    <w:rsid w:val="005929D2"/>
    <w:rsid w:val="00592A3E"/>
    <w:rsid w:val="005930FB"/>
    <w:rsid w:val="00593BB5"/>
    <w:rsid w:val="00594036"/>
    <w:rsid w:val="00594143"/>
    <w:rsid w:val="0059427E"/>
    <w:rsid w:val="005945A3"/>
    <w:rsid w:val="00594739"/>
    <w:rsid w:val="00594BE2"/>
    <w:rsid w:val="00595103"/>
    <w:rsid w:val="005956AA"/>
    <w:rsid w:val="00595770"/>
    <w:rsid w:val="00595F67"/>
    <w:rsid w:val="005965B2"/>
    <w:rsid w:val="00596805"/>
    <w:rsid w:val="00596824"/>
    <w:rsid w:val="00596A46"/>
    <w:rsid w:val="00596B8B"/>
    <w:rsid w:val="00596F39"/>
    <w:rsid w:val="00596FFB"/>
    <w:rsid w:val="005976C8"/>
    <w:rsid w:val="005A0BCD"/>
    <w:rsid w:val="005A0F3B"/>
    <w:rsid w:val="005A1058"/>
    <w:rsid w:val="005A1483"/>
    <w:rsid w:val="005A1A5B"/>
    <w:rsid w:val="005A1B30"/>
    <w:rsid w:val="005A1B76"/>
    <w:rsid w:val="005A1DD3"/>
    <w:rsid w:val="005A1ED5"/>
    <w:rsid w:val="005A1F76"/>
    <w:rsid w:val="005A2022"/>
    <w:rsid w:val="005A204A"/>
    <w:rsid w:val="005A27AD"/>
    <w:rsid w:val="005A3440"/>
    <w:rsid w:val="005A3CBD"/>
    <w:rsid w:val="005A40BA"/>
    <w:rsid w:val="005A41BD"/>
    <w:rsid w:val="005A456E"/>
    <w:rsid w:val="005A49A7"/>
    <w:rsid w:val="005A49C1"/>
    <w:rsid w:val="005A4A14"/>
    <w:rsid w:val="005A50F7"/>
    <w:rsid w:val="005A53BE"/>
    <w:rsid w:val="005A56CD"/>
    <w:rsid w:val="005A60A0"/>
    <w:rsid w:val="005A60B3"/>
    <w:rsid w:val="005A6355"/>
    <w:rsid w:val="005A6734"/>
    <w:rsid w:val="005A6CFD"/>
    <w:rsid w:val="005A6FCC"/>
    <w:rsid w:val="005A7297"/>
    <w:rsid w:val="005A7448"/>
    <w:rsid w:val="005A7624"/>
    <w:rsid w:val="005A7B2E"/>
    <w:rsid w:val="005B0494"/>
    <w:rsid w:val="005B0B0B"/>
    <w:rsid w:val="005B0E98"/>
    <w:rsid w:val="005B12B6"/>
    <w:rsid w:val="005B179A"/>
    <w:rsid w:val="005B2172"/>
    <w:rsid w:val="005B28E7"/>
    <w:rsid w:val="005B2AFB"/>
    <w:rsid w:val="005B2C1C"/>
    <w:rsid w:val="005B2C7A"/>
    <w:rsid w:val="005B3173"/>
    <w:rsid w:val="005B3DB6"/>
    <w:rsid w:val="005B3E7D"/>
    <w:rsid w:val="005B3FBD"/>
    <w:rsid w:val="005B438A"/>
    <w:rsid w:val="005B48A7"/>
    <w:rsid w:val="005B48EC"/>
    <w:rsid w:val="005B59D5"/>
    <w:rsid w:val="005B5B54"/>
    <w:rsid w:val="005B5D8D"/>
    <w:rsid w:val="005B6585"/>
    <w:rsid w:val="005B66F6"/>
    <w:rsid w:val="005B6B2E"/>
    <w:rsid w:val="005B6D3A"/>
    <w:rsid w:val="005B7242"/>
    <w:rsid w:val="005B72BE"/>
    <w:rsid w:val="005B73FC"/>
    <w:rsid w:val="005B7748"/>
    <w:rsid w:val="005B7EDD"/>
    <w:rsid w:val="005B7FDD"/>
    <w:rsid w:val="005C0056"/>
    <w:rsid w:val="005C0585"/>
    <w:rsid w:val="005C063B"/>
    <w:rsid w:val="005C0701"/>
    <w:rsid w:val="005C0FD8"/>
    <w:rsid w:val="005C10E7"/>
    <w:rsid w:val="005C1470"/>
    <w:rsid w:val="005C15C6"/>
    <w:rsid w:val="005C1A94"/>
    <w:rsid w:val="005C1C25"/>
    <w:rsid w:val="005C1C90"/>
    <w:rsid w:val="005C2FDC"/>
    <w:rsid w:val="005C300E"/>
    <w:rsid w:val="005C3343"/>
    <w:rsid w:val="005C35C4"/>
    <w:rsid w:val="005C3D71"/>
    <w:rsid w:val="005C3EAA"/>
    <w:rsid w:val="005C42C4"/>
    <w:rsid w:val="005C4718"/>
    <w:rsid w:val="005C4C4E"/>
    <w:rsid w:val="005C4DAF"/>
    <w:rsid w:val="005C5DDB"/>
    <w:rsid w:val="005C5E61"/>
    <w:rsid w:val="005C6693"/>
    <w:rsid w:val="005C6843"/>
    <w:rsid w:val="005C7167"/>
    <w:rsid w:val="005C71C2"/>
    <w:rsid w:val="005C7222"/>
    <w:rsid w:val="005C73FB"/>
    <w:rsid w:val="005C74C7"/>
    <w:rsid w:val="005C7511"/>
    <w:rsid w:val="005C768C"/>
    <w:rsid w:val="005C7BB0"/>
    <w:rsid w:val="005C7D1D"/>
    <w:rsid w:val="005D040B"/>
    <w:rsid w:val="005D04C2"/>
    <w:rsid w:val="005D0723"/>
    <w:rsid w:val="005D0C48"/>
    <w:rsid w:val="005D11E6"/>
    <w:rsid w:val="005D15DE"/>
    <w:rsid w:val="005D160D"/>
    <w:rsid w:val="005D1774"/>
    <w:rsid w:val="005D1A8C"/>
    <w:rsid w:val="005D22D3"/>
    <w:rsid w:val="005D2494"/>
    <w:rsid w:val="005D25DF"/>
    <w:rsid w:val="005D265F"/>
    <w:rsid w:val="005D2710"/>
    <w:rsid w:val="005D2E22"/>
    <w:rsid w:val="005D2E3D"/>
    <w:rsid w:val="005D30FB"/>
    <w:rsid w:val="005D4426"/>
    <w:rsid w:val="005D47DE"/>
    <w:rsid w:val="005D4AD5"/>
    <w:rsid w:val="005D515A"/>
    <w:rsid w:val="005D555B"/>
    <w:rsid w:val="005D5F90"/>
    <w:rsid w:val="005D6219"/>
    <w:rsid w:val="005D6255"/>
    <w:rsid w:val="005D629C"/>
    <w:rsid w:val="005D6BE1"/>
    <w:rsid w:val="005D6E60"/>
    <w:rsid w:val="005D7104"/>
    <w:rsid w:val="005D741A"/>
    <w:rsid w:val="005D7DEF"/>
    <w:rsid w:val="005E00DF"/>
    <w:rsid w:val="005E0623"/>
    <w:rsid w:val="005E18F6"/>
    <w:rsid w:val="005E1C30"/>
    <w:rsid w:val="005E1DFE"/>
    <w:rsid w:val="005E239C"/>
    <w:rsid w:val="005E2973"/>
    <w:rsid w:val="005E2998"/>
    <w:rsid w:val="005E2E95"/>
    <w:rsid w:val="005E3025"/>
    <w:rsid w:val="005E3589"/>
    <w:rsid w:val="005E3620"/>
    <w:rsid w:val="005E3772"/>
    <w:rsid w:val="005E4320"/>
    <w:rsid w:val="005E452C"/>
    <w:rsid w:val="005E45E0"/>
    <w:rsid w:val="005E4716"/>
    <w:rsid w:val="005E49CC"/>
    <w:rsid w:val="005E49DE"/>
    <w:rsid w:val="005E4B33"/>
    <w:rsid w:val="005E4F78"/>
    <w:rsid w:val="005E50C4"/>
    <w:rsid w:val="005E5363"/>
    <w:rsid w:val="005E58C6"/>
    <w:rsid w:val="005E59BD"/>
    <w:rsid w:val="005E5C02"/>
    <w:rsid w:val="005E5CA6"/>
    <w:rsid w:val="005E6262"/>
    <w:rsid w:val="005E6381"/>
    <w:rsid w:val="005E6689"/>
    <w:rsid w:val="005E69F6"/>
    <w:rsid w:val="005E7147"/>
    <w:rsid w:val="005E75BD"/>
    <w:rsid w:val="005E7D58"/>
    <w:rsid w:val="005E7DA2"/>
    <w:rsid w:val="005E7EC9"/>
    <w:rsid w:val="005F05FC"/>
    <w:rsid w:val="005F07A2"/>
    <w:rsid w:val="005F0A05"/>
    <w:rsid w:val="005F0DAC"/>
    <w:rsid w:val="005F18B4"/>
    <w:rsid w:val="005F1BDA"/>
    <w:rsid w:val="005F255F"/>
    <w:rsid w:val="005F2975"/>
    <w:rsid w:val="005F2AD4"/>
    <w:rsid w:val="005F30E9"/>
    <w:rsid w:val="005F3146"/>
    <w:rsid w:val="005F3E99"/>
    <w:rsid w:val="005F48E2"/>
    <w:rsid w:val="005F4B08"/>
    <w:rsid w:val="005F4DB5"/>
    <w:rsid w:val="005F523C"/>
    <w:rsid w:val="005F56F1"/>
    <w:rsid w:val="005F590F"/>
    <w:rsid w:val="005F5940"/>
    <w:rsid w:val="005F597B"/>
    <w:rsid w:val="005F5AC8"/>
    <w:rsid w:val="005F5AF5"/>
    <w:rsid w:val="005F5B70"/>
    <w:rsid w:val="005F5CCE"/>
    <w:rsid w:val="005F62F8"/>
    <w:rsid w:val="005F689C"/>
    <w:rsid w:val="005F6914"/>
    <w:rsid w:val="005F6AAA"/>
    <w:rsid w:val="005F6DBD"/>
    <w:rsid w:val="005F70CA"/>
    <w:rsid w:val="005F719C"/>
    <w:rsid w:val="005F732A"/>
    <w:rsid w:val="005F7676"/>
    <w:rsid w:val="006000BE"/>
    <w:rsid w:val="00600300"/>
    <w:rsid w:val="00600742"/>
    <w:rsid w:val="00600955"/>
    <w:rsid w:val="00600E5F"/>
    <w:rsid w:val="00600F3B"/>
    <w:rsid w:val="00601609"/>
    <w:rsid w:val="00601C5C"/>
    <w:rsid w:val="00601DB2"/>
    <w:rsid w:val="00601F92"/>
    <w:rsid w:val="00602007"/>
    <w:rsid w:val="0060271B"/>
    <w:rsid w:val="00602775"/>
    <w:rsid w:val="006027B1"/>
    <w:rsid w:val="00602E89"/>
    <w:rsid w:val="00603CF5"/>
    <w:rsid w:val="006041F7"/>
    <w:rsid w:val="006043BD"/>
    <w:rsid w:val="00604B35"/>
    <w:rsid w:val="00604BB3"/>
    <w:rsid w:val="00604D93"/>
    <w:rsid w:val="00604DAC"/>
    <w:rsid w:val="00604E07"/>
    <w:rsid w:val="00605029"/>
    <w:rsid w:val="0060550C"/>
    <w:rsid w:val="00605659"/>
    <w:rsid w:val="0060612F"/>
    <w:rsid w:val="00606561"/>
    <w:rsid w:val="00606BE2"/>
    <w:rsid w:val="006075BB"/>
    <w:rsid w:val="006075FB"/>
    <w:rsid w:val="00607655"/>
    <w:rsid w:val="00607E28"/>
    <w:rsid w:val="00610378"/>
    <w:rsid w:val="006106D3"/>
    <w:rsid w:val="00610A05"/>
    <w:rsid w:val="00610A7C"/>
    <w:rsid w:val="00610C28"/>
    <w:rsid w:val="00610C44"/>
    <w:rsid w:val="00610FBA"/>
    <w:rsid w:val="0061118E"/>
    <w:rsid w:val="0061180B"/>
    <w:rsid w:val="0061196D"/>
    <w:rsid w:val="0061225E"/>
    <w:rsid w:val="00612619"/>
    <w:rsid w:val="006127E3"/>
    <w:rsid w:val="00612923"/>
    <w:rsid w:val="006129F1"/>
    <w:rsid w:val="00612F69"/>
    <w:rsid w:val="00613108"/>
    <w:rsid w:val="006132B3"/>
    <w:rsid w:val="00613495"/>
    <w:rsid w:val="006134A4"/>
    <w:rsid w:val="00613949"/>
    <w:rsid w:val="00613AFC"/>
    <w:rsid w:val="00613C7C"/>
    <w:rsid w:val="0061404D"/>
    <w:rsid w:val="00614152"/>
    <w:rsid w:val="00614288"/>
    <w:rsid w:val="006144E2"/>
    <w:rsid w:val="006145D6"/>
    <w:rsid w:val="0061478E"/>
    <w:rsid w:val="0061486C"/>
    <w:rsid w:val="006148DF"/>
    <w:rsid w:val="006149EE"/>
    <w:rsid w:val="00614C34"/>
    <w:rsid w:val="00614F2E"/>
    <w:rsid w:val="006150C0"/>
    <w:rsid w:val="00615254"/>
    <w:rsid w:val="0061541A"/>
    <w:rsid w:val="00615C2E"/>
    <w:rsid w:val="00616889"/>
    <w:rsid w:val="00616A22"/>
    <w:rsid w:val="00616ACC"/>
    <w:rsid w:val="00616B65"/>
    <w:rsid w:val="00616D7F"/>
    <w:rsid w:val="00616FEE"/>
    <w:rsid w:val="00617120"/>
    <w:rsid w:val="00617159"/>
    <w:rsid w:val="00617186"/>
    <w:rsid w:val="006174F4"/>
    <w:rsid w:val="00617A33"/>
    <w:rsid w:val="00617BD8"/>
    <w:rsid w:val="00617CCB"/>
    <w:rsid w:val="00617D0E"/>
    <w:rsid w:val="00617E8E"/>
    <w:rsid w:val="0062025D"/>
    <w:rsid w:val="006203E7"/>
    <w:rsid w:val="0062094A"/>
    <w:rsid w:val="00621075"/>
    <w:rsid w:val="00621140"/>
    <w:rsid w:val="0062163F"/>
    <w:rsid w:val="00621966"/>
    <w:rsid w:val="00621CD4"/>
    <w:rsid w:val="0062228A"/>
    <w:rsid w:val="00622F61"/>
    <w:rsid w:val="00623557"/>
    <w:rsid w:val="00623D18"/>
    <w:rsid w:val="00623EC9"/>
    <w:rsid w:val="0062411D"/>
    <w:rsid w:val="0062429D"/>
    <w:rsid w:val="00624384"/>
    <w:rsid w:val="00624A68"/>
    <w:rsid w:val="00624B54"/>
    <w:rsid w:val="00624E5E"/>
    <w:rsid w:val="00625177"/>
    <w:rsid w:val="00625542"/>
    <w:rsid w:val="00625819"/>
    <w:rsid w:val="00625FF4"/>
    <w:rsid w:val="0062608C"/>
    <w:rsid w:val="0062619C"/>
    <w:rsid w:val="00626251"/>
    <w:rsid w:val="0062639A"/>
    <w:rsid w:val="00626425"/>
    <w:rsid w:val="00626E2D"/>
    <w:rsid w:val="006273C3"/>
    <w:rsid w:val="00627720"/>
    <w:rsid w:val="00627D3D"/>
    <w:rsid w:val="006300BB"/>
    <w:rsid w:val="006305A5"/>
    <w:rsid w:val="00630694"/>
    <w:rsid w:val="0063080C"/>
    <w:rsid w:val="00630EBF"/>
    <w:rsid w:val="0063111A"/>
    <w:rsid w:val="0063121B"/>
    <w:rsid w:val="006312A1"/>
    <w:rsid w:val="006312DC"/>
    <w:rsid w:val="00631914"/>
    <w:rsid w:val="00631A12"/>
    <w:rsid w:val="00631A84"/>
    <w:rsid w:val="00631A8C"/>
    <w:rsid w:val="00631EA5"/>
    <w:rsid w:val="006320A2"/>
    <w:rsid w:val="00633140"/>
    <w:rsid w:val="0063337F"/>
    <w:rsid w:val="006337F7"/>
    <w:rsid w:val="00633806"/>
    <w:rsid w:val="00633AB0"/>
    <w:rsid w:val="00633D56"/>
    <w:rsid w:val="00634383"/>
    <w:rsid w:val="006343DF"/>
    <w:rsid w:val="00635886"/>
    <w:rsid w:val="006358AB"/>
    <w:rsid w:val="00635C36"/>
    <w:rsid w:val="00635E7C"/>
    <w:rsid w:val="00636677"/>
    <w:rsid w:val="006367F3"/>
    <w:rsid w:val="00636A35"/>
    <w:rsid w:val="006379C4"/>
    <w:rsid w:val="00637FEF"/>
    <w:rsid w:val="006401E2"/>
    <w:rsid w:val="0064041A"/>
    <w:rsid w:val="00640491"/>
    <w:rsid w:val="00640676"/>
    <w:rsid w:val="006406FD"/>
    <w:rsid w:val="00640836"/>
    <w:rsid w:val="00640A7C"/>
    <w:rsid w:val="00640ED7"/>
    <w:rsid w:val="00640ED8"/>
    <w:rsid w:val="0064112F"/>
    <w:rsid w:val="00641541"/>
    <w:rsid w:val="006418EE"/>
    <w:rsid w:val="0064192C"/>
    <w:rsid w:val="00641A3C"/>
    <w:rsid w:val="0064202C"/>
    <w:rsid w:val="00642160"/>
    <w:rsid w:val="00642C74"/>
    <w:rsid w:val="0064344E"/>
    <w:rsid w:val="006437A1"/>
    <w:rsid w:val="00643B84"/>
    <w:rsid w:val="00644131"/>
    <w:rsid w:val="00644391"/>
    <w:rsid w:val="00644B3B"/>
    <w:rsid w:val="00644B52"/>
    <w:rsid w:val="00644CF5"/>
    <w:rsid w:val="006450DE"/>
    <w:rsid w:val="00645177"/>
    <w:rsid w:val="006452AE"/>
    <w:rsid w:val="006457E7"/>
    <w:rsid w:val="00645808"/>
    <w:rsid w:val="00645828"/>
    <w:rsid w:val="00645E28"/>
    <w:rsid w:val="00646080"/>
    <w:rsid w:val="00646AEF"/>
    <w:rsid w:val="00646B33"/>
    <w:rsid w:val="00646DC3"/>
    <w:rsid w:val="006472DE"/>
    <w:rsid w:val="0064734D"/>
    <w:rsid w:val="0064744E"/>
    <w:rsid w:val="00647B85"/>
    <w:rsid w:val="00647C09"/>
    <w:rsid w:val="00647C47"/>
    <w:rsid w:val="00647D15"/>
    <w:rsid w:val="0065062D"/>
    <w:rsid w:val="00650767"/>
    <w:rsid w:val="0065132F"/>
    <w:rsid w:val="00651641"/>
    <w:rsid w:val="00652076"/>
    <w:rsid w:val="0065219F"/>
    <w:rsid w:val="00652385"/>
    <w:rsid w:val="0065304F"/>
    <w:rsid w:val="00653401"/>
    <w:rsid w:val="00653540"/>
    <w:rsid w:val="00653BEA"/>
    <w:rsid w:val="00653C61"/>
    <w:rsid w:val="00653C63"/>
    <w:rsid w:val="00654030"/>
    <w:rsid w:val="00654570"/>
    <w:rsid w:val="00654991"/>
    <w:rsid w:val="00654C2F"/>
    <w:rsid w:val="00654D23"/>
    <w:rsid w:val="00655024"/>
    <w:rsid w:val="006550E3"/>
    <w:rsid w:val="00655205"/>
    <w:rsid w:val="006553A3"/>
    <w:rsid w:val="00655D8E"/>
    <w:rsid w:val="00655F6A"/>
    <w:rsid w:val="00656237"/>
    <w:rsid w:val="00656C5C"/>
    <w:rsid w:val="0065736C"/>
    <w:rsid w:val="00657380"/>
    <w:rsid w:val="00657F53"/>
    <w:rsid w:val="00660497"/>
    <w:rsid w:val="00660590"/>
    <w:rsid w:val="0066087C"/>
    <w:rsid w:val="006618A6"/>
    <w:rsid w:val="006618D2"/>
    <w:rsid w:val="006619DA"/>
    <w:rsid w:val="00661B0F"/>
    <w:rsid w:val="00661BED"/>
    <w:rsid w:val="006621AB"/>
    <w:rsid w:val="0066221E"/>
    <w:rsid w:val="00662278"/>
    <w:rsid w:val="006626C8"/>
    <w:rsid w:val="00662748"/>
    <w:rsid w:val="0066297A"/>
    <w:rsid w:val="00662D80"/>
    <w:rsid w:val="00662E4E"/>
    <w:rsid w:val="0066302B"/>
    <w:rsid w:val="006632D2"/>
    <w:rsid w:val="006633AB"/>
    <w:rsid w:val="00663903"/>
    <w:rsid w:val="00663E35"/>
    <w:rsid w:val="00663E48"/>
    <w:rsid w:val="00663E5C"/>
    <w:rsid w:val="00664068"/>
    <w:rsid w:val="00664977"/>
    <w:rsid w:val="006649BB"/>
    <w:rsid w:val="006651CE"/>
    <w:rsid w:val="00665311"/>
    <w:rsid w:val="00665A77"/>
    <w:rsid w:val="00665C4B"/>
    <w:rsid w:val="00665CBF"/>
    <w:rsid w:val="00665E34"/>
    <w:rsid w:val="00665F0D"/>
    <w:rsid w:val="006665D1"/>
    <w:rsid w:val="00666AAC"/>
    <w:rsid w:val="00666E86"/>
    <w:rsid w:val="00666F25"/>
    <w:rsid w:val="00667262"/>
    <w:rsid w:val="006673C6"/>
    <w:rsid w:val="006674BD"/>
    <w:rsid w:val="006678C3"/>
    <w:rsid w:val="00667FAC"/>
    <w:rsid w:val="00670146"/>
    <w:rsid w:val="0067039C"/>
    <w:rsid w:val="0067092E"/>
    <w:rsid w:val="006709F1"/>
    <w:rsid w:val="00670CF4"/>
    <w:rsid w:val="00671082"/>
    <w:rsid w:val="00671163"/>
    <w:rsid w:val="006712AB"/>
    <w:rsid w:val="00671343"/>
    <w:rsid w:val="00671C31"/>
    <w:rsid w:val="00671C8B"/>
    <w:rsid w:val="00671EDD"/>
    <w:rsid w:val="00672214"/>
    <w:rsid w:val="00672282"/>
    <w:rsid w:val="00672526"/>
    <w:rsid w:val="0067256C"/>
    <w:rsid w:val="00672B48"/>
    <w:rsid w:val="00672E8A"/>
    <w:rsid w:val="006730CF"/>
    <w:rsid w:val="00673334"/>
    <w:rsid w:val="00673811"/>
    <w:rsid w:val="006738C6"/>
    <w:rsid w:val="006738F9"/>
    <w:rsid w:val="00673977"/>
    <w:rsid w:val="00673AE5"/>
    <w:rsid w:val="00673C03"/>
    <w:rsid w:val="00673FF4"/>
    <w:rsid w:val="006742CD"/>
    <w:rsid w:val="00674964"/>
    <w:rsid w:val="00674ABE"/>
    <w:rsid w:val="00674AEA"/>
    <w:rsid w:val="00674F8E"/>
    <w:rsid w:val="00675063"/>
    <w:rsid w:val="0067551C"/>
    <w:rsid w:val="0067559F"/>
    <w:rsid w:val="00675A88"/>
    <w:rsid w:val="00675BD0"/>
    <w:rsid w:val="00676335"/>
    <w:rsid w:val="00676445"/>
    <w:rsid w:val="0067685B"/>
    <w:rsid w:val="006769AB"/>
    <w:rsid w:val="00676C2E"/>
    <w:rsid w:val="00676D26"/>
    <w:rsid w:val="00676E4E"/>
    <w:rsid w:val="006771BE"/>
    <w:rsid w:val="006778F9"/>
    <w:rsid w:val="00677B8B"/>
    <w:rsid w:val="0068050B"/>
    <w:rsid w:val="00680550"/>
    <w:rsid w:val="00680B5D"/>
    <w:rsid w:val="00680D36"/>
    <w:rsid w:val="00681250"/>
    <w:rsid w:val="00681A15"/>
    <w:rsid w:val="00681AF1"/>
    <w:rsid w:val="00681CAD"/>
    <w:rsid w:val="00681F22"/>
    <w:rsid w:val="00681F51"/>
    <w:rsid w:val="006821F6"/>
    <w:rsid w:val="00682314"/>
    <w:rsid w:val="006823C6"/>
    <w:rsid w:val="0068275C"/>
    <w:rsid w:val="00682877"/>
    <w:rsid w:val="00682A01"/>
    <w:rsid w:val="00682A04"/>
    <w:rsid w:val="00682A6E"/>
    <w:rsid w:val="00683078"/>
    <w:rsid w:val="00683663"/>
    <w:rsid w:val="0068388F"/>
    <w:rsid w:val="006838CF"/>
    <w:rsid w:val="00683BC2"/>
    <w:rsid w:val="00683C2C"/>
    <w:rsid w:val="006849F7"/>
    <w:rsid w:val="00684A87"/>
    <w:rsid w:val="00684BE9"/>
    <w:rsid w:val="00684C0A"/>
    <w:rsid w:val="006857DD"/>
    <w:rsid w:val="00685A6D"/>
    <w:rsid w:val="00686045"/>
    <w:rsid w:val="006861A2"/>
    <w:rsid w:val="006861F3"/>
    <w:rsid w:val="006863D8"/>
    <w:rsid w:val="0068644E"/>
    <w:rsid w:val="0068660C"/>
    <w:rsid w:val="006866F9"/>
    <w:rsid w:val="0068678F"/>
    <w:rsid w:val="006870A1"/>
    <w:rsid w:val="00687205"/>
    <w:rsid w:val="0069032A"/>
    <w:rsid w:val="0069043B"/>
    <w:rsid w:val="00690E76"/>
    <w:rsid w:val="006911DB"/>
    <w:rsid w:val="0069126B"/>
    <w:rsid w:val="006914E8"/>
    <w:rsid w:val="006916BA"/>
    <w:rsid w:val="0069187A"/>
    <w:rsid w:val="0069197D"/>
    <w:rsid w:val="00691AB7"/>
    <w:rsid w:val="0069248F"/>
    <w:rsid w:val="00692D60"/>
    <w:rsid w:val="0069317D"/>
    <w:rsid w:val="006940A0"/>
    <w:rsid w:val="006940EA"/>
    <w:rsid w:val="0069416C"/>
    <w:rsid w:val="006944B2"/>
    <w:rsid w:val="00694528"/>
    <w:rsid w:val="006946B2"/>
    <w:rsid w:val="00694D92"/>
    <w:rsid w:val="0069500C"/>
    <w:rsid w:val="00695071"/>
    <w:rsid w:val="0069558C"/>
    <w:rsid w:val="00695BB8"/>
    <w:rsid w:val="00695BD0"/>
    <w:rsid w:val="00695D16"/>
    <w:rsid w:val="00695D5D"/>
    <w:rsid w:val="00695FD1"/>
    <w:rsid w:val="00695FDA"/>
    <w:rsid w:val="00696230"/>
    <w:rsid w:val="006963EA"/>
    <w:rsid w:val="00696848"/>
    <w:rsid w:val="00696EB9"/>
    <w:rsid w:val="00696FCA"/>
    <w:rsid w:val="00697444"/>
    <w:rsid w:val="00697540"/>
    <w:rsid w:val="006975E8"/>
    <w:rsid w:val="0069769A"/>
    <w:rsid w:val="0069793F"/>
    <w:rsid w:val="00697B49"/>
    <w:rsid w:val="006A00AF"/>
    <w:rsid w:val="006A034A"/>
    <w:rsid w:val="006A0A23"/>
    <w:rsid w:val="006A0A4D"/>
    <w:rsid w:val="006A0C89"/>
    <w:rsid w:val="006A117F"/>
    <w:rsid w:val="006A16CF"/>
    <w:rsid w:val="006A1AF2"/>
    <w:rsid w:val="006A1F17"/>
    <w:rsid w:val="006A23CE"/>
    <w:rsid w:val="006A27E5"/>
    <w:rsid w:val="006A2909"/>
    <w:rsid w:val="006A2D1C"/>
    <w:rsid w:val="006A30F4"/>
    <w:rsid w:val="006A351D"/>
    <w:rsid w:val="006A36BB"/>
    <w:rsid w:val="006A3A4C"/>
    <w:rsid w:val="006A3F6F"/>
    <w:rsid w:val="006A416E"/>
    <w:rsid w:val="006A439A"/>
    <w:rsid w:val="006A451A"/>
    <w:rsid w:val="006A485D"/>
    <w:rsid w:val="006A4879"/>
    <w:rsid w:val="006A4B35"/>
    <w:rsid w:val="006A5193"/>
    <w:rsid w:val="006A5261"/>
    <w:rsid w:val="006A5372"/>
    <w:rsid w:val="006A5504"/>
    <w:rsid w:val="006A58D4"/>
    <w:rsid w:val="006A592B"/>
    <w:rsid w:val="006A5951"/>
    <w:rsid w:val="006A60C9"/>
    <w:rsid w:val="006A6ACF"/>
    <w:rsid w:val="006A6EC6"/>
    <w:rsid w:val="006A7B07"/>
    <w:rsid w:val="006A7FCD"/>
    <w:rsid w:val="006B0228"/>
    <w:rsid w:val="006B032F"/>
    <w:rsid w:val="006B042F"/>
    <w:rsid w:val="006B060D"/>
    <w:rsid w:val="006B0B09"/>
    <w:rsid w:val="006B0EF4"/>
    <w:rsid w:val="006B1880"/>
    <w:rsid w:val="006B1AFF"/>
    <w:rsid w:val="006B1D29"/>
    <w:rsid w:val="006B29A3"/>
    <w:rsid w:val="006B2B61"/>
    <w:rsid w:val="006B2DCD"/>
    <w:rsid w:val="006B2E61"/>
    <w:rsid w:val="006B2F3D"/>
    <w:rsid w:val="006B3B4F"/>
    <w:rsid w:val="006B402B"/>
    <w:rsid w:val="006B40D1"/>
    <w:rsid w:val="006B44A4"/>
    <w:rsid w:val="006B46B4"/>
    <w:rsid w:val="006B474D"/>
    <w:rsid w:val="006B4E9A"/>
    <w:rsid w:val="006B54DB"/>
    <w:rsid w:val="006B57EB"/>
    <w:rsid w:val="006B5885"/>
    <w:rsid w:val="006B5987"/>
    <w:rsid w:val="006B5AD4"/>
    <w:rsid w:val="006B5B84"/>
    <w:rsid w:val="006B5D07"/>
    <w:rsid w:val="006B616A"/>
    <w:rsid w:val="006B68B2"/>
    <w:rsid w:val="006B68C9"/>
    <w:rsid w:val="006B6BC0"/>
    <w:rsid w:val="006B6C88"/>
    <w:rsid w:val="006B6D34"/>
    <w:rsid w:val="006B715C"/>
    <w:rsid w:val="006B7359"/>
    <w:rsid w:val="006B73A7"/>
    <w:rsid w:val="006B775E"/>
    <w:rsid w:val="006B7A01"/>
    <w:rsid w:val="006B7A02"/>
    <w:rsid w:val="006B7EFD"/>
    <w:rsid w:val="006C01D4"/>
    <w:rsid w:val="006C0643"/>
    <w:rsid w:val="006C06A4"/>
    <w:rsid w:val="006C0DA4"/>
    <w:rsid w:val="006C0E5B"/>
    <w:rsid w:val="006C11F9"/>
    <w:rsid w:val="006C146E"/>
    <w:rsid w:val="006C14FE"/>
    <w:rsid w:val="006C1587"/>
    <w:rsid w:val="006C199A"/>
    <w:rsid w:val="006C1D6A"/>
    <w:rsid w:val="006C1F0F"/>
    <w:rsid w:val="006C2120"/>
    <w:rsid w:val="006C22ED"/>
    <w:rsid w:val="006C2374"/>
    <w:rsid w:val="006C2445"/>
    <w:rsid w:val="006C2603"/>
    <w:rsid w:val="006C29CF"/>
    <w:rsid w:val="006C2C06"/>
    <w:rsid w:val="006C2CA9"/>
    <w:rsid w:val="006C2F70"/>
    <w:rsid w:val="006C31EF"/>
    <w:rsid w:val="006C483F"/>
    <w:rsid w:val="006C4DBB"/>
    <w:rsid w:val="006C4E86"/>
    <w:rsid w:val="006C4F4F"/>
    <w:rsid w:val="006C4FC7"/>
    <w:rsid w:val="006C5CD2"/>
    <w:rsid w:val="006C5EE9"/>
    <w:rsid w:val="006C6370"/>
    <w:rsid w:val="006C6494"/>
    <w:rsid w:val="006C64FD"/>
    <w:rsid w:val="006C6E9F"/>
    <w:rsid w:val="006C7009"/>
    <w:rsid w:val="006C75AE"/>
    <w:rsid w:val="006C77EE"/>
    <w:rsid w:val="006C796B"/>
    <w:rsid w:val="006C7D5E"/>
    <w:rsid w:val="006C7D89"/>
    <w:rsid w:val="006D0BDB"/>
    <w:rsid w:val="006D1F52"/>
    <w:rsid w:val="006D1F62"/>
    <w:rsid w:val="006D1FF0"/>
    <w:rsid w:val="006D2004"/>
    <w:rsid w:val="006D206F"/>
    <w:rsid w:val="006D2192"/>
    <w:rsid w:val="006D289F"/>
    <w:rsid w:val="006D29FA"/>
    <w:rsid w:val="006D2F24"/>
    <w:rsid w:val="006D308D"/>
    <w:rsid w:val="006D329F"/>
    <w:rsid w:val="006D36C4"/>
    <w:rsid w:val="006D3825"/>
    <w:rsid w:val="006D39A9"/>
    <w:rsid w:val="006D3A37"/>
    <w:rsid w:val="006D4165"/>
    <w:rsid w:val="006D447A"/>
    <w:rsid w:val="006D4707"/>
    <w:rsid w:val="006D48F3"/>
    <w:rsid w:val="006D4A86"/>
    <w:rsid w:val="006D4B02"/>
    <w:rsid w:val="006D4EA3"/>
    <w:rsid w:val="006D50EF"/>
    <w:rsid w:val="006D526F"/>
    <w:rsid w:val="006D5616"/>
    <w:rsid w:val="006D564C"/>
    <w:rsid w:val="006D5A79"/>
    <w:rsid w:val="006D61CF"/>
    <w:rsid w:val="006D6236"/>
    <w:rsid w:val="006D62D5"/>
    <w:rsid w:val="006D6B17"/>
    <w:rsid w:val="006D72B6"/>
    <w:rsid w:val="006D73F3"/>
    <w:rsid w:val="006D7478"/>
    <w:rsid w:val="006D78B3"/>
    <w:rsid w:val="006D7913"/>
    <w:rsid w:val="006D7B77"/>
    <w:rsid w:val="006D7B8E"/>
    <w:rsid w:val="006E0123"/>
    <w:rsid w:val="006E03FB"/>
    <w:rsid w:val="006E04B3"/>
    <w:rsid w:val="006E08CF"/>
    <w:rsid w:val="006E0EC5"/>
    <w:rsid w:val="006E100B"/>
    <w:rsid w:val="006E1248"/>
    <w:rsid w:val="006E1543"/>
    <w:rsid w:val="006E164B"/>
    <w:rsid w:val="006E1C48"/>
    <w:rsid w:val="006E2047"/>
    <w:rsid w:val="006E2149"/>
    <w:rsid w:val="006E217D"/>
    <w:rsid w:val="006E2347"/>
    <w:rsid w:val="006E2438"/>
    <w:rsid w:val="006E2C1C"/>
    <w:rsid w:val="006E2D22"/>
    <w:rsid w:val="006E37FE"/>
    <w:rsid w:val="006E385C"/>
    <w:rsid w:val="006E3A35"/>
    <w:rsid w:val="006E46C9"/>
    <w:rsid w:val="006E48AE"/>
    <w:rsid w:val="006E48DB"/>
    <w:rsid w:val="006E4AC1"/>
    <w:rsid w:val="006E4F57"/>
    <w:rsid w:val="006E4FC1"/>
    <w:rsid w:val="006E5091"/>
    <w:rsid w:val="006E513D"/>
    <w:rsid w:val="006E5311"/>
    <w:rsid w:val="006E5767"/>
    <w:rsid w:val="006E5D02"/>
    <w:rsid w:val="006E63E2"/>
    <w:rsid w:val="006E6CF6"/>
    <w:rsid w:val="006E6F6E"/>
    <w:rsid w:val="006E6F8E"/>
    <w:rsid w:val="006E7406"/>
    <w:rsid w:val="006E7465"/>
    <w:rsid w:val="006E74C9"/>
    <w:rsid w:val="006E74D1"/>
    <w:rsid w:val="006E74F6"/>
    <w:rsid w:val="006E79C1"/>
    <w:rsid w:val="006E7DBD"/>
    <w:rsid w:val="006F0378"/>
    <w:rsid w:val="006F04CA"/>
    <w:rsid w:val="006F05A0"/>
    <w:rsid w:val="006F09B8"/>
    <w:rsid w:val="006F0D5F"/>
    <w:rsid w:val="006F0EA7"/>
    <w:rsid w:val="006F11B2"/>
    <w:rsid w:val="006F19E5"/>
    <w:rsid w:val="006F1BA9"/>
    <w:rsid w:val="006F1D7E"/>
    <w:rsid w:val="006F1E02"/>
    <w:rsid w:val="006F24CD"/>
    <w:rsid w:val="006F2613"/>
    <w:rsid w:val="006F2AAC"/>
    <w:rsid w:val="006F2DB5"/>
    <w:rsid w:val="006F2E03"/>
    <w:rsid w:val="006F31E5"/>
    <w:rsid w:val="006F3495"/>
    <w:rsid w:val="006F3E42"/>
    <w:rsid w:val="006F3FC6"/>
    <w:rsid w:val="006F43B0"/>
    <w:rsid w:val="006F4BB8"/>
    <w:rsid w:val="006F4D1F"/>
    <w:rsid w:val="006F50F2"/>
    <w:rsid w:val="006F563C"/>
    <w:rsid w:val="006F59C4"/>
    <w:rsid w:val="006F621E"/>
    <w:rsid w:val="006F644C"/>
    <w:rsid w:val="006F65A2"/>
    <w:rsid w:val="006F75A1"/>
    <w:rsid w:val="006F75E4"/>
    <w:rsid w:val="006F76D4"/>
    <w:rsid w:val="006F79C7"/>
    <w:rsid w:val="006F79FB"/>
    <w:rsid w:val="00700041"/>
    <w:rsid w:val="00700475"/>
    <w:rsid w:val="00700734"/>
    <w:rsid w:val="00700A02"/>
    <w:rsid w:val="00700CCC"/>
    <w:rsid w:val="00700E21"/>
    <w:rsid w:val="00700F21"/>
    <w:rsid w:val="007013AB"/>
    <w:rsid w:val="00701FD1"/>
    <w:rsid w:val="00702042"/>
    <w:rsid w:val="0070232A"/>
    <w:rsid w:val="007025B6"/>
    <w:rsid w:val="0070279D"/>
    <w:rsid w:val="00702AEC"/>
    <w:rsid w:val="00702C68"/>
    <w:rsid w:val="00702E26"/>
    <w:rsid w:val="007037D3"/>
    <w:rsid w:val="00703A2F"/>
    <w:rsid w:val="00704266"/>
    <w:rsid w:val="00704A05"/>
    <w:rsid w:val="00705190"/>
    <w:rsid w:val="00705420"/>
    <w:rsid w:val="00705861"/>
    <w:rsid w:val="00705972"/>
    <w:rsid w:val="00705DA1"/>
    <w:rsid w:val="00705F1F"/>
    <w:rsid w:val="0070669E"/>
    <w:rsid w:val="00706774"/>
    <w:rsid w:val="00706F91"/>
    <w:rsid w:val="0070720E"/>
    <w:rsid w:val="0070738F"/>
    <w:rsid w:val="0070742F"/>
    <w:rsid w:val="007074D6"/>
    <w:rsid w:val="00707534"/>
    <w:rsid w:val="00707558"/>
    <w:rsid w:val="00707A4C"/>
    <w:rsid w:val="00707B02"/>
    <w:rsid w:val="00707E3E"/>
    <w:rsid w:val="007102DA"/>
    <w:rsid w:val="00710AB8"/>
    <w:rsid w:val="00710B57"/>
    <w:rsid w:val="00710D22"/>
    <w:rsid w:val="00710E7C"/>
    <w:rsid w:val="00711281"/>
    <w:rsid w:val="007112B3"/>
    <w:rsid w:val="007116E2"/>
    <w:rsid w:val="007118D3"/>
    <w:rsid w:val="00711A34"/>
    <w:rsid w:val="00711F90"/>
    <w:rsid w:val="007125AC"/>
    <w:rsid w:val="007129FC"/>
    <w:rsid w:val="00712B57"/>
    <w:rsid w:val="00712C2C"/>
    <w:rsid w:val="00712DC5"/>
    <w:rsid w:val="00712F48"/>
    <w:rsid w:val="007130DA"/>
    <w:rsid w:val="00713117"/>
    <w:rsid w:val="007134D1"/>
    <w:rsid w:val="007135BF"/>
    <w:rsid w:val="007137CD"/>
    <w:rsid w:val="00713845"/>
    <w:rsid w:val="007138AF"/>
    <w:rsid w:val="00713AE5"/>
    <w:rsid w:val="00713B5E"/>
    <w:rsid w:val="00713E50"/>
    <w:rsid w:val="00713F78"/>
    <w:rsid w:val="007141C3"/>
    <w:rsid w:val="00714C56"/>
    <w:rsid w:val="00715098"/>
    <w:rsid w:val="0071517C"/>
    <w:rsid w:val="0071525F"/>
    <w:rsid w:val="0071536B"/>
    <w:rsid w:val="00715549"/>
    <w:rsid w:val="00715877"/>
    <w:rsid w:val="00715A87"/>
    <w:rsid w:val="0071607A"/>
    <w:rsid w:val="007162F9"/>
    <w:rsid w:val="00716A43"/>
    <w:rsid w:val="00716C35"/>
    <w:rsid w:val="00717C56"/>
    <w:rsid w:val="00717FB5"/>
    <w:rsid w:val="0072032F"/>
    <w:rsid w:val="00720671"/>
    <w:rsid w:val="00720D06"/>
    <w:rsid w:val="0072134C"/>
    <w:rsid w:val="007213D6"/>
    <w:rsid w:val="00721436"/>
    <w:rsid w:val="00721DC3"/>
    <w:rsid w:val="00721F2A"/>
    <w:rsid w:val="00722291"/>
    <w:rsid w:val="007225E0"/>
    <w:rsid w:val="00722AAE"/>
    <w:rsid w:val="00722BA6"/>
    <w:rsid w:val="007231CE"/>
    <w:rsid w:val="007234CF"/>
    <w:rsid w:val="007236C5"/>
    <w:rsid w:val="00723A1C"/>
    <w:rsid w:val="00723BAA"/>
    <w:rsid w:val="00723F64"/>
    <w:rsid w:val="00724467"/>
    <w:rsid w:val="007244B0"/>
    <w:rsid w:val="00724753"/>
    <w:rsid w:val="00724894"/>
    <w:rsid w:val="007248EB"/>
    <w:rsid w:val="007248EE"/>
    <w:rsid w:val="00724ABF"/>
    <w:rsid w:val="00724AE5"/>
    <w:rsid w:val="00724D5F"/>
    <w:rsid w:val="00724EDA"/>
    <w:rsid w:val="007257FC"/>
    <w:rsid w:val="00725B78"/>
    <w:rsid w:val="00725D62"/>
    <w:rsid w:val="00725D97"/>
    <w:rsid w:val="00725D9E"/>
    <w:rsid w:val="007264A6"/>
    <w:rsid w:val="0072688E"/>
    <w:rsid w:val="007269E3"/>
    <w:rsid w:val="00726A03"/>
    <w:rsid w:val="007274D4"/>
    <w:rsid w:val="00727DC7"/>
    <w:rsid w:val="00727EA4"/>
    <w:rsid w:val="007302CB"/>
    <w:rsid w:val="007302F5"/>
    <w:rsid w:val="00730717"/>
    <w:rsid w:val="00730B76"/>
    <w:rsid w:val="007319AF"/>
    <w:rsid w:val="00731B8B"/>
    <w:rsid w:val="00731CEA"/>
    <w:rsid w:val="007326C1"/>
    <w:rsid w:val="00732E68"/>
    <w:rsid w:val="00733495"/>
    <w:rsid w:val="007336DA"/>
    <w:rsid w:val="00733828"/>
    <w:rsid w:val="0073397A"/>
    <w:rsid w:val="007339CF"/>
    <w:rsid w:val="00733D50"/>
    <w:rsid w:val="00733DF9"/>
    <w:rsid w:val="00733F41"/>
    <w:rsid w:val="00734237"/>
    <w:rsid w:val="00734385"/>
    <w:rsid w:val="00734524"/>
    <w:rsid w:val="00734A84"/>
    <w:rsid w:val="00734BEE"/>
    <w:rsid w:val="00734D46"/>
    <w:rsid w:val="00734EE4"/>
    <w:rsid w:val="00735520"/>
    <w:rsid w:val="00735601"/>
    <w:rsid w:val="00735A03"/>
    <w:rsid w:val="00735C0D"/>
    <w:rsid w:val="00736186"/>
    <w:rsid w:val="007366EB"/>
    <w:rsid w:val="00736C07"/>
    <w:rsid w:val="00736F9E"/>
    <w:rsid w:val="00737345"/>
    <w:rsid w:val="00737A2A"/>
    <w:rsid w:val="00737CD6"/>
    <w:rsid w:val="00740588"/>
    <w:rsid w:val="00740756"/>
    <w:rsid w:val="00740ED9"/>
    <w:rsid w:val="0074104F"/>
    <w:rsid w:val="00741072"/>
    <w:rsid w:val="0074126D"/>
    <w:rsid w:val="007416C6"/>
    <w:rsid w:val="00741876"/>
    <w:rsid w:val="00741A39"/>
    <w:rsid w:val="00741CAD"/>
    <w:rsid w:val="00741F46"/>
    <w:rsid w:val="00742054"/>
    <w:rsid w:val="007425CF"/>
    <w:rsid w:val="0074293A"/>
    <w:rsid w:val="007429E5"/>
    <w:rsid w:val="00742B2F"/>
    <w:rsid w:val="00742FE2"/>
    <w:rsid w:val="00743346"/>
    <w:rsid w:val="00743526"/>
    <w:rsid w:val="00743663"/>
    <w:rsid w:val="007440AF"/>
    <w:rsid w:val="0074412D"/>
    <w:rsid w:val="00744605"/>
    <w:rsid w:val="00744A46"/>
    <w:rsid w:val="00745153"/>
    <w:rsid w:val="00745217"/>
    <w:rsid w:val="00745245"/>
    <w:rsid w:val="007453B9"/>
    <w:rsid w:val="00745512"/>
    <w:rsid w:val="00745757"/>
    <w:rsid w:val="00745815"/>
    <w:rsid w:val="007462B9"/>
    <w:rsid w:val="007466B5"/>
    <w:rsid w:val="00746B68"/>
    <w:rsid w:val="00746C09"/>
    <w:rsid w:val="00746F51"/>
    <w:rsid w:val="00747472"/>
    <w:rsid w:val="0074760C"/>
    <w:rsid w:val="00747643"/>
    <w:rsid w:val="00747CF9"/>
    <w:rsid w:val="00750035"/>
    <w:rsid w:val="00750211"/>
    <w:rsid w:val="007504CC"/>
    <w:rsid w:val="00750564"/>
    <w:rsid w:val="00750EEE"/>
    <w:rsid w:val="00750F54"/>
    <w:rsid w:val="00751042"/>
    <w:rsid w:val="0075184D"/>
    <w:rsid w:val="00751EBF"/>
    <w:rsid w:val="007528C6"/>
    <w:rsid w:val="007529D9"/>
    <w:rsid w:val="00752B5F"/>
    <w:rsid w:val="00752D3E"/>
    <w:rsid w:val="00752DBC"/>
    <w:rsid w:val="00752FED"/>
    <w:rsid w:val="0075308D"/>
    <w:rsid w:val="00753265"/>
    <w:rsid w:val="00753342"/>
    <w:rsid w:val="00753D7A"/>
    <w:rsid w:val="00753D8A"/>
    <w:rsid w:val="00754054"/>
    <w:rsid w:val="007547E8"/>
    <w:rsid w:val="00754815"/>
    <w:rsid w:val="007548A7"/>
    <w:rsid w:val="00754A93"/>
    <w:rsid w:val="00754DB7"/>
    <w:rsid w:val="00754DBF"/>
    <w:rsid w:val="00754E41"/>
    <w:rsid w:val="00754E59"/>
    <w:rsid w:val="00755135"/>
    <w:rsid w:val="007553DF"/>
    <w:rsid w:val="00755DE1"/>
    <w:rsid w:val="007561B2"/>
    <w:rsid w:val="00756624"/>
    <w:rsid w:val="0075668C"/>
    <w:rsid w:val="0075671B"/>
    <w:rsid w:val="0075679E"/>
    <w:rsid w:val="0075696F"/>
    <w:rsid w:val="00756CE8"/>
    <w:rsid w:val="007572B3"/>
    <w:rsid w:val="00757453"/>
    <w:rsid w:val="0075778D"/>
    <w:rsid w:val="00757828"/>
    <w:rsid w:val="00757D4E"/>
    <w:rsid w:val="00760CE8"/>
    <w:rsid w:val="00760E3D"/>
    <w:rsid w:val="00760F72"/>
    <w:rsid w:val="00761A21"/>
    <w:rsid w:val="00761AB4"/>
    <w:rsid w:val="00761DD2"/>
    <w:rsid w:val="0076220E"/>
    <w:rsid w:val="00762364"/>
    <w:rsid w:val="00762564"/>
    <w:rsid w:val="007627E4"/>
    <w:rsid w:val="00762E3F"/>
    <w:rsid w:val="00762F09"/>
    <w:rsid w:val="00763078"/>
    <w:rsid w:val="007639B9"/>
    <w:rsid w:val="00763A4F"/>
    <w:rsid w:val="00763F96"/>
    <w:rsid w:val="0076406C"/>
    <w:rsid w:val="007642F7"/>
    <w:rsid w:val="00764508"/>
    <w:rsid w:val="007649A8"/>
    <w:rsid w:val="00764AAD"/>
    <w:rsid w:val="00764AE6"/>
    <w:rsid w:val="007650D9"/>
    <w:rsid w:val="007653CE"/>
    <w:rsid w:val="007654FB"/>
    <w:rsid w:val="0076565D"/>
    <w:rsid w:val="00765D4C"/>
    <w:rsid w:val="00765ECC"/>
    <w:rsid w:val="00765F80"/>
    <w:rsid w:val="00766323"/>
    <w:rsid w:val="00766597"/>
    <w:rsid w:val="0076663A"/>
    <w:rsid w:val="00766869"/>
    <w:rsid w:val="00766928"/>
    <w:rsid w:val="007669B3"/>
    <w:rsid w:val="00766AED"/>
    <w:rsid w:val="00766C89"/>
    <w:rsid w:val="0076745C"/>
    <w:rsid w:val="007678A0"/>
    <w:rsid w:val="00767936"/>
    <w:rsid w:val="00767B0A"/>
    <w:rsid w:val="00767B10"/>
    <w:rsid w:val="00767E7B"/>
    <w:rsid w:val="00767EFB"/>
    <w:rsid w:val="0077003A"/>
    <w:rsid w:val="00770221"/>
    <w:rsid w:val="00770411"/>
    <w:rsid w:val="00770633"/>
    <w:rsid w:val="00771121"/>
    <w:rsid w:val="007715C5"/>
    <w:rsid w:val="00771676"/>
    <w:rsid w:val="0077204C"/>
    <w:rsid w:val="007720AE"/>
    <w:rsid w:val="007726CD"/>
    <w:rsid w:val="007728B7"/>
    <w:rsid w:val="00772C39"/>
    <w:rsid w:val="00772D2C"/>
    <w:rsid w:val="00772E8D"/>
    <w:rsid w:val="0077340F"/>
    <w:rsid w:val="0077358E"/>
    <w:rsid w:val="007739BB"/>
    <w:rsid w:val="00773F20"/>
    <w:rsid w:val="007742E7"/>
    <w:rsid w:val="0077474C"/>
    <w:rsid w:val="00774EC2"/>
    <w:rsid w:val="007752F0"/>
    <w:rsid w:val="0077563A"/>
    <w:rsid w:val="00775926"/>
    <w:rsid w:val="00775B0F"/>
    <w:rsid w:val="00775F54"/>
    <w:rsid w:val="00775F55"/>
    <w:rsid w:val="00775FE3"/>
    <w:rsid w:val="0077681E"/>
    <w:rsid w:val="00776D3E"/>
    <w:rsid w:val="00776F19"/>
    <w:rsid w:val="007771A9"/>
    <w:rsid w:val="00777406"/>
    <w:rsid w:val="0077745D"/>
    <w:rsid w:val="0077755C"/>
    <w:rsid w:val="00777751"/>
    <w:rsid w:val="00777D26"/>
    <w:rsid w:val="00780117"/>
    <w:rsid w:val="0078026E"/>
    <w:rsid w:val="007804C4"/>
    <w:rsid w:val="00780608"/>
    <w:rsid w:val="007806D4"/>
    <w:rsid w:val="00780CFB"/>
    <w:rsid w:val="00780DD2"/>
    <w:rsid w:val="0078121B"/>
    <w:rsid w:val="007816EF"/>
    <w:rsid w:val="00781F81"/>
    <w:rsid w:val="00782044"/>
    <w:rsid w:val="00782153"/>
    <w:rsid w:val="0078257D"/>
    <w:rsid w:val="0078286B"/>
    <w:rsid w:val="00782B65"/>
    <w:rsid w:val="00782C72"/>
    <w:rsid w:val="00782C7E"/>
    <w:rsid w:val="00783667"/>
    <w:rsid w:val="00783C1C"/>
    <w:rsid w:val="00783D14"/>
    <w:rsid w:val="0078441A"/>
    <w:rsid w:val="0078469C"/>
    <w:rsid w:val="0078498A"/>
    <w:rsid w:val="007849DE"/>
    <w:rsid w:val="00784B64"/>
    <w:rsid w:val="00784B7D"/>
    <w:rsid w:val="00784BB6"/>
    <w:rsid w:val="00784E7F"/>
    <w:rsid w:val="00785132"/>
    <w:rsid w:val="007852D5"/>
    <w:rsid w:val="007854D9"/>
    <w:rsid w:val="00785816"/>
    <w:rsid w:val="007859E9"/>
    <w:rsid w:val="007868EA"/>
    <w:rsid w:val="00786DD6"/>
    <w:rsid w:val="00786DF8"/>
    <w:rsid w:val="00786E3F"/>
    <w:rsid w:val="00787025"/>
    <w:rsid w:val="007870EF"/>
    <w:rsid w:val="007873DD"/>
    <w:rsid w:val="007873F1"/>
    <w:rsid w:val="0078754E"/>
    <w:rsid w:val="007876D8"/>
    <w:rsid w:val="007876F2"/>
    <w:rsid w:val="00787841"/>
    <w:rsid w:val="007879C6"/>
    <w:rsid w:val="00787CD0"/>
    <w:rsid w:val="00787F21"/>
    <w:rsid w:val="00790720"/>
    <w:rsid w:val="00790747"/>
    <w:rsid w:val="00790866"/>
    <w:rsid w:val="00790C9D"/>
    <w:rsid w:val="00790D05"/>
    <w:rsid w:val="00790DBD"/>
    <w:rsid w:val="00790F06"/>
    <w:rsid w:val="00790F50"/>
    <w:rsid w:val="00791702"/>
    <w:rsid w:val="00791B89"/>
    <w:rsid w:val="00791BE1"/>
    <w:rsid w:val="00791C07"/>
    <w:rsid w:val="00791C91"/>
    <w:rsid w:val="00791FB0"/>
    <w:rsid w:val="007922C1"/>
    <w:rsid w:val="00792383"/>
    <w:rsid w:val="007932F8"/>
    <w:rsid w:val="0079344C"/>
    <w:rsid w:val="00794273"/>
    <w:rsid w:val="0079428F"/>
    <w:rsid w:val="0079437D"/>
    <w:rsid w:val="0079438A"/>
    <w:rsid w:val="007949BD"/>
    <w:rsid w:val="00794F43"/>
    <w:rsid w:val="00795275"/>
    <w:rsid w:val="00795B7E"/>
    <w:rsid w:val="00796095"/>
    <w:rsid w:val="00796566"/>
    <w:rsid w:val="00796837"/>
    <w:rsid w:val="0079731D"/>
    <w:rsid w:val="0079787E"/>
    <w:rsid w:val="00797B6B"/>
    <w:rsid w:val="00797BFF"/>
    <w:rsid w:val="00797C02"/>
    <w:rsid w:val="007A0511"/>
    <w:rsid w:val="007A0922"/>
    <w:rsid w:val="007A0D09"/>
    <w:rsid w:val="007A0E1B"/>
    <w:rsid w:val="007A0E76"/>
    <w:rsid w:val="007A0F76"/>
    <w:rsid w:val="007A1099"/>
    <w:rsid w:val="007A1106"/>
    <w:rsid w:val="007A1238"/>
    <w:rsid w:val="007A1245"/>
    <w:rsid w:val="007A1476"/>
    <w:rsid w:val="007A18A1"/>
    <w:rsid w:val="007A1A4A"/>
    <w:rsid w:val="007A1C02"/>
    <w:rsid w:val="007A1CE7"/>
    <w:rsid w:val="007A2821"/>
    <w:rsid w:val="007A2C41"/>
    <w:rsid w:val="007A2D25"/>
    <w:rsid w:val="007A2FBF"/>
    <w:rsid w:val="007A32BC"/>
    <w:rsid w:val="007A3474"/>
    <w:rsid w:val="007A3B54"/>
    <w:rsid w:val="007A3CD0"/>
    <w:rsid w:val="007A44B5"/>
    <w:rsid w:val="007A477B"/>
    <w:rsid w:val="007A49BE"/>
    <w:rsid w:val="007A4C5E"/>
    <w:rsid w:val="007A4D88"/>
    <w:rsid w:val="007A554D"/>
    <w:rsid w:val="007A5D93"/>
    <w:rsid w:val="007A5E4E"/>
    <w:rsid w:val="007A668B"/>
    <w:rsid w:val="007A6A22"/>
    <w:rsid w:val="007A71B7"/>
    <w:rsid w:val="007A75E5"/>
    <w:rsid w:val="007A790A"/>
    <w:rsid w:val="007A7AEC"/>
    <w:rsid w:val="007B017B"/>
    <w:rsid w:val="007B03DB"/>
    <w:rsid w:val="007B041B"/>
    <w:rsid w:val="007B050C"/>
    <w:rsid w:val="007B06D4"/>
    <w:rsid w:val="007B0C3A"/>
    <w:rsid w:val="007B1488"/>
    <w:rsid w:val="007B1572"/>
    <w:rsid w:val="007B160C"/>
    <w:rsid w:val="007B1AA0"/>
    <w:rsid w:val="007B1D4B"/>
    <w:rsid w:val="007B1E17"/>
    <w:rsid w:val="007B1E96"/>
    <w:rsid w:val="007B249E"/>
    <w:rsid w:val="007B2618"/>
    <w:rsid w:val="007B2DCC"/>
    <w:rsid w:val="007B2E8B"/>
    <w:rsid w:val="007B2FD5"/>
    <w:rsid w:val="007B3244"/>
    <w:rsid w:val="007B3320"/>
    <w:rsid w:val="007B3352"/>
    <w:rsid w:val="007B3384"/>
    <w:rsid w:val="007B366F"/>
    <w:rsid w:val="007B3B23"/>
    <w:rsid w:val="007B3D86"/>
    <w:rsid w:val="007B3EB8"/>
    <w:rsid w:val="007B3F92"/>
    <w:rsid w:val="007B44E7"/>
    <w:rsid w:val="007B450E"/>
    <w:rsid w:val="007B4961"/>
    <w:rsid w:val="007B4ECD"/>
    <w:rsid w:val="007B5008"/>
    <w:rsid w:val="007B53C7"/>
    <w:rsid w:val="007B54B7"/>
    <w:rsid w:val="007B54BA"/>
    <w:rsid w:val="007B5515"/>
    <w:rsid w:val="007B5798"/>
    <w:rsid w:val="007B59D1"/>
    <w:rsid w:val="007B5DCB"/>
    <w:rsid w:val="007B6454"/>
    <w:rsid w:val="007B6D07"/>
    <w:rsid w:val="007B6EF3"/>
    <w:rsid w:val="007B6FAA"/>
    <w:rsid w:val="007B72BD"/>
    <w:rsid w:val="007B73F6"/>
    <w:rsid w:val="007B78DF"/>
    <w:rsid w:val="007B7AD2"/>
    <w:rsid w:val="007B7C06"/>
    <w:rsid w:val="007B7DA0"/>
    <w:rsid w:val="007B7E90"/>
    <w:rsid w:val="007C0507"/>
    <w:rsid w:val="007C0902"/>
    <w:rsid w:val="007C0A27"/>
    <w:rsid w:val="007C0CC8"/>
    <w:rsid w:val="007C0ED3"/>
    <w:rsid w:val="007C117C"/>
    <w:rsid w:val="007C1F1B"/>
    <w:rsid w:val="007C236D"/>
    <w:rsid w:val="007C2AD0"/>
    <w:rsid w:val="007C3244"/>
    <w:rsid w:val="007C32E3"/>
    <w:rsid w:val="007C331D"/>
    <w:rsid w:val="007C3393"/>
    <w:rsid w:val="007C3590"/>
    <w:rsid w:val="007C3F63"/>
    <w:rsid w:val="007C40D9"/>
    <w:rsid w:val="007C438F"/>
    <w:rsid w:val="007C45F7"/>
    <w:rsid w:val="007C48B5"/>
    <w:rsid w:val="007C4CB5"/>
    <w:rsid w:val="007C51B0"/>
    <w:rsid w:val="007C5450"/>
    <w:rsid w:val="007C5809"/>
    <w:rsid w:val="007C5A44"/>
    <w:rsid w:val="007C5CFC"/>
    <w:rsid w:val="007C5D37"/>
    <w:rsid w:val="007C5F21"/>
    <w:rsid w:val="007C65FB"/>
    <w:rsid w:val="007C6606"/>
    <w:rsid w:val="007C6EF7"/>
    <w:rsid w:val="007C7253"/>
    <w:rsid w:val="007C7356"/>
    <w:rsid w:val="007C7827"/>
    <w:rsid w:val="007C7C4C"/>
    <w:rsid w:val="007D01A1"/>
    <w:rsid w:val="007D0618"/>
    <w:rsid w:val="007D0950"/>
    <w:rsid w:val="007D0B41"/>
    <w:rsid w:val="007D0C9B"/>
    <w:rsid w:val="007D1350"/>
    <w:rsid w:val="007D1B58"/>
    <w:rsid w:val="007D1C9E"/>
    <w:rsid w:val="007D1CD8"/>
    <w:rsid w:val="007D2391"/>
    <w:rsid w:val="007D24BB"/>
    <w:rsid w:val="007D253E"/>
    <w:rsid w:val="007D25AA"/>
    <w:rsid w:val="007D27CD"/>
    <w:rsid w:val="007D29D4"/>
    <w:rsid w:val="007D2AE2"/>
    <w:rsid w:val="007D3437"/>
    <w:rsid w:val="007D34BD"/>
    <w:rsid w:val="007D3523"/>
    <w:rsid w:val="007D366A"/>
    <w:rsid w:val="007D37EE"/>
    <w:rsid w:val="007D3F3F"/>
    <w:rsid w:val="007D4065"/>
    <w:rsid w:val="007D4F22"/>
    <w:rsid w:val="007D529D"/>
    <w:rsid w:val="007D569D"/>
    <w:rsid w:val="007D5C24"/>
    <w:rsid w:val="007D5E0D"/>
    <w:rsid w:val="007D5F45"/>
    <w:rsid w:val="007D6053"/>
    <w:rsid w:val="007D60B6"/>
    <w:rsid w:val="007D618E"/>
    <w:rsid w:val="007D65E9"/>
    <w:rsid w:val="007D66CB"/>
    <w:rsid w:val="007D66FA"/>
    <w:rsid w:val="007D6879"/>
    <w:rsid w:val="007D6ABA"/>
    <w:rsid w:val="007D6C39"/>
    <w:rsid w:val="007D6E70"/>
    <w:rsid w:val="007D76FC"/>
    <w:rsid w:val="007D7961"/>
    <w:rsid w:val="007D7AFA"/>
    <w:rsid w:val="007D7B3B"/>
    <w:rsid w:val="007D7CB0"/>
    <w:rsid w:val="007D7D54"/>
    <w:rsid w:val="007D7E38"/>
    <w:rsid w:val="007E03F4"/>
    <w:rsid w:val="007E058C"/>
    <w:rsid w:val="007E093B"/>
    <w:rsid w:val="007E0CF0"/>
    <w:rsid w:val="007E0E19"/>
    <w:rsid w:val="007E0FEA"/>
    <w:rsid w:val="007E13AD"/>
    <w:rsid w:val="007E176A"/>
    <w:rsid w:val="007E17B4"/>
    <w:rsid w:val="007E1FEB"/>
    <w:rsid w:val="007E2377"/>
    <w:rsid w:val="007E262A"/>
    <w:rsid w:val="007E2675"/>
    <w:rsid w:val="007E2A06"/>
    <w:rsid w:val="007E2DB1"/>
    <w:rsid w:val="007E31F4"/>
    <w:rsid w:val="007E39B1"/>
    <w:rsid w:val="007E3EE1"/>
    <w:rsid w:val="007E440A"/>
    <w:rsid w:val="007E48C2"/>
    <w:rsid w:val="007E4C67"/>
    <w:rsid w:val="007E4DAF"/>
    <w:rsid w:val="007E51C3"/>
    <w:rsid w:val="007E5909"/>
    <w:rsid w:val="007E5C56"/>
    <w:rsid w:val="007E6067"/>
    <w:rsid w:val="007E626D"/>
    <w:rsid w:val="007E63A2"/>
    <w:rsid w:val="007E6546"/>
    <w:rsid w:val="007E654E"/>
    <w:rsid w:val="007E66E6"/>
    <w:rsid w:val="007E674E"/>
    <w:rsid w:val="007E69DB"/>
    <w:rsid w:val="007E6BEC"/>
    <w:rsid w:val="007E7202"/>
    <w:rsid w:val="007E7291"/>
    <w:rsid w:val="007E72A1"/>
    <w:rsid w:val="007E73F9"/>
    <w:rsid w:val="007E7BF2"/>
    <w:rsid w:val="007F023D"/>
    <w:rsid w:val="007F0247"/>
    <w:rsid w:val="007F03A5"/>
    <w:rsid w:val="007F088A"/>
    <w:rsid w:val="007F0A72"/>
    <w:rsid w:val="007F0C47"/>
    <w:rsid w:val="007F0CDD"/>
    <w:rsid w:val="007F0D98"/>
    <w:rsid w:val="007F0E30"/>
    <w:rsid w:val="007F1B88"/>
    <w:rsid w:val="007F1C10"/>
    <w:rsid w:val="007F257A"/>
    <w:rsid w:val="007F273C"/>
    <w:rsid w:val="007F2A77"/>
    <w:rsid w:val="007F2A96"/>
    <w:rsid w:val="007F2B76"/>
    <w:rsid w:val="007F2C5E"/>
    <w:rsid w:val="007F2DB0"/>
    <w:rsid w:val="007F2DBF"/>
    <w:rsid w:val="007F2F43"/>
    <w:rsid w:val="007F3083"/>
    <w:rsid w:val="007F3198"/>
    <w:rsid w:val="007F323C"/>
    <w:rsid w:val="007F3DC3"/>
    <w:rsid w:val="007F3F9D"/>
    <w:rsid w:val="007F477C"/>
    <w:rsid w:val="007F4AE7"/>
    <w:rsid w:val="007F4C06"/>
    <w:rsid w:val="007F4E8F"/>
    <w:rsid w:val="007F50C4"/>
    <w:rsid w:val="007F543E"/>
    <w:rsid w:val="007F5D9E"/>
    <w:rsid w:val="007F601C"/>
    <w:rsid w:val="007F6206"/>
    <w:rsid w:val="007F63C5"/>
    <w:rsid w:val="007F70B0"/>
    <w:rsid w:val="007F7151"/>
    <w:rsid w:val="007F7290"/>
    <w:rsid w:val="007F7AD8"/>
    <w:rsid w:val="007F7F86"/>
    <w:rsid w:val="00800405"/>
    <w:rsid w:val="0080081B"/>
    <w:rsid w:val="00800F85"/>
    <w:rsid w:val="0080120B"/>
    <w:rsid w:val="00801674"/>
    <w:rsid w:val="00801921"/>
    <w:rsid w:val="00801E6F"/>
    <w:rsid w:val="00801F99"/>
    <w:rsid w:val="00801FB5"/>
    <w:rsid w:val="00802352"/>
    <w:rsid w:val="0080267A"/>
    <w:rsid w:val="00802D33"/>
    <w:rsid w:val="00803102"/>
    <w:rsid w:val="008032CD"/>
    <w:rsid w:val="00803766"/>
    <w:rsid w:val="00803805"/>
    <w:rsid w:val="008038B8"/>
    <w:rsid w:val="00803DF7"/>
    <w:rsid w:val="00804047"/>
    <w:rsid w:val="00804396"/>
    <w:rsid w:val="00804A1E"/>
    <w:rsid w:val="00804BC4"/>
    <w:rsid w:val="00804C76"/>
    <w:rsid w:val="0080517C"/>
    <w:rsid w:val="008057F1"/>
    <w:rsid w:val="00805939"/>
    <w:rsid w:val="00805D10"/>
    <w:rsid w:val="00805DDA"/>
    <w:rsid w:val="00806327"/>
    <w:rsid w:val="00806536"/>
    <w:rsid w:val="008066C1"/>
    <w:rsid w:val="00806778"/>
    <w:rsid w:val="00806C43"/>
    <w:rsid w:val="0080742D"/>
    <w:rsid w:val="00807D28"/>
    <w:rsid w:val="00807D84"/>
    <w:rsid w:val="008106DF"/>
    <w:rsid w:val="00810701"/>
    <w:rsid w:val="00810ADE"/>
    <w:rsid w:val="00810DF7"/>
    <w:rsid w:val="00811119"/>
    <w:rsid w:val="008111A3"/>
    <w:rsid w:val="00811975"/>
    <w:rsid w:val="00811988"/>
    <w:rsid w:val="008123A5"/>
    <w:rsid w:val="00812EC7"/>
    <w:rsid w:val="00812F9B"/>
    <w:rsid w:val="00813220"/>
    <w:rsid w:val="00813370"/>
    <w:rsid w:val="00813712"/>
    <w:rsid w:val="00813CF3"/>
    <w:rsid w:val="0081414B"/>
    <w:rsid w:val="00814548"/>
    <w:rsid w:val="00814C4C"/>
    <w:rsid w:val="00814F26"/>
    <w:rsid w:val="00814F88"/>
    <w:rsid w:val="00815252"/>
    <w:rsid w:val="00815954"/>
    <w:rsid w:val="00815C80"/>
    <w:rsid w:val="00815D1A"/>
    <w:rsid w:val="00815E22"/>
    <w:rsid w:val="0081639B"/>
    <w:rsid w:val="00816549"/>
    <w:rsid w:val="008167F2"/>
    <w:rsid w:val="00816D97"/>
    <w:rsid w:val="0081713C"/>
    <w:rsid w:val="008175EB"/>
    <w:rsid w:val="008175FC"/>
    <w:rsid w:val="008200AE"/>
    <w:rsid w:val="00820ABF"/>
    <w:rsid w:val="00821170"/>
    <w:rsid w:val="00821278"/>
    <w:rsid w:val="00821340"/>
    <w:rsid w:val="008214AA"/>
    <w:rsid w:val="00821552"/>
    <w:rsid w:val="008216F1"/>
    <w:rsid w:val="00821BE9"/>
    <w:rsid w:val="00821D10"/>
    <w:rsid w:val="00821E01"/>
    <w:rsid w:val="00821E8C"/>
    <w:rsid w:val="0082222F"/>
    <w:rsid w:val="0082248F"/>
    <w:rsid w:val="008224FA"/>
    <w:rsid w:val="008227CA"/>
    <w:rsid w:val="00822867"/>
    <w:rsid w:val="0082394A"/>
    <w:rsid w:val="00823A28"/>
    <w:rsid w:val="00823EA0"/>
    <w:rsid w:val="00823F2A"/>
    <w:rsid w:val="0082421D"/>
    <w:rsid w:val="0082427C"/>
    <w:rsid w:val="00824450"/>
    <w:rsid w:val="0082467F"/>
    <w:rsid w:val="00824D94"/>
    <w:rsid w:val="008253E7"/>
    <w:rsid w:val="008254BD"/>
    <w:rsid w:val="008259D2"/>
    <w:rsid w:val="00825A08"/>
    <w:rsid w:val="00825F89"/>
    <w:rsid w:val="00825FB0"/>
    <w:rsid w:val="008260C0"/>
    <w:rsid w:val="00826168"/>
    <w:rsid w:val="00826629"/>
    <w:rsid w:val="008267A1"/>
    <w:rsid w:val="00826896"/>
    <w:rsid w:val="00826969"/>
    <w:rsid w:val="00826E93"/>
    <w:rsid w:val="00826F50"/>
    <w:rsid w:val="008271AD"/>
    <w:rsid w:val="008272D1"/>
    <w:rsid w:val="008273CB"/>
    <w:rsid w:val="008276BB"/>
    <w:rsid w:val="00827833"/>
    <w:rsid w:val="00827898"/>
    <w:rsid w:val="00827A39"/>
    <w:rsid w:val="00827AA5"/>
    <w:rsid w:val="00827B11"/>
    <w:rsid w:val="00830224"/>
    <w:rsid w:val="00830A82"/>
    <w:rsid w:val="00830C6D"/>
    <w:rsid w:val="00830D09"/>
    <w:rsid w:val="008310BC"/>
    <w:rsid w:val="00831928"/>
    <w:rsid w:val="00831B47"/>
    <w:rsid w:val="008323B7"/>
    <w:rsid w:val="008323C2"/>
    <w:rsid w:val="008324DF"/>
    <w:rsid w:val="00832545"/>
    <w:rsid w:val="00832891"/>
    <w:rsid w:val="00832B3E"/>
    <w:rsid w:val="008331B6"/>
    <w:rsid w:val="00833282"/>
    <w:rsid w:val="008335A9"/>
    <w:rsid w:val="00833A8E"/>
    <w:rsid w:val="008340C1"/>
    <w:rsid w:val="008340E4"/>
    <w:rsid w:val="00834337"/>
    <w:rsid w:val="0083460F"/>
    <w:rsid w:val="00834706"/>
    <w:rsid w:val="00834986"/>
    <w:rsid w:val="00834BFB"/>
    <w:rsid w:val="00834E88"/>
    <w:rsid w:val="008359AA"/>
    <w:rsid w:val="00835A4A"/>
    <w:rsid w:val="00835A55"/>
    <w:rsid w:val="00835B9F"/>
    <w:rsid w:val="00835E1D"/>
    <w:rsid w:val="00836D17"/>
    <w:rsid w:val="00836EF8"/>
    <w:rsid w:val="008370CD"/>
    <w:rsid w:val="0083745B"/>
    <w:rsid w:val="00837C82"/>
    <w:rsid w:val="00837E52"/>
    <w:rsid w:val="008402F1"/>
    <w:rsid w:val="00840537"/>
    <w:rsid w:val="00840C63"/>
    <w:rsid w:val="00841093"/>
    <w:rsid w:val="0084135A"/>
    <w:rsid w:val="0084159F"/>
    <w:rsid w:val="008415BB"/>
    <w:rsid w:val="00841676"/>
    <w:rsid w:val="00841F7E"/>
    <w:rsid w:val="0084202A"/>
    <w:rsid w:val="0084207E"/>
    <w:rsid w:val="008424CA"/>
    <w:rsid w:val="00842A63"/>
    <w:rsid w:val="00842BFF"/>
    <w:rsid w:val="00842DA8"/>
    <w:rsid w:val="00843001"/>
    <w:rsid w:val="00843314"/>
    <w:rsid w:val="00843431"/>
    <w:rsid w:val="008441C9"/>
    <w:rsid w:val="008442ED"/>
    <w:rsid w:val="00844502"/>
    <w:rsid w:val="008448D1"/>
    <w:rsid w:val="00844921"/>
    <w:rsid w:val="00844C43"/>
    <w:rsid w:val="0084523B"/>
    <w:rsid w:val="00845282"/>
    <w:rsid w:val="0084532A"/>
    <w:rsid w:val="008453A1"/>
    <w:rsid w:val="008457D7"/>
    <w:rsid w:val="00845BF6"/>
    <w:rsid w:val="00845D43"/>
    <w:rsid w:val="00845EA5"/>
    <w:rsid w:val="008460F7"/>
    <w:rsid w:val="0084615E"/>
    <w:rsid w:val="00846257"/>
    <w:rsid w:val="008464AF"/>
    <w:rsid w:val="00846794"/>
    <w:rsid w:val="00846B3D"/>
    <w:rsid w:val="00846BFE"/>
    <w:rsid w:val="00846DFB"/>
    <w:rsid w:val="00847168"/>
    <w:rsid w:val="0084768F"/>
    <w:rsid w:val="00847814"/>
    <w:rsid w:val="0084797E"/>
    <w:rsid w:val="00847C6B"/>
    <w:rsid w:val="00847F83"/>
    <w:rsid w:val="008503A4"/>
    <w:rsid w:val="008505A3"/>
    <w:rsid w:val="008508FB"/>
    <w:rsid w:val="008509C0"/>
    <w:rsid w:val="00850AA6"/>
    <w:rsid w:val="00850BB6"/>
    <w:rsid w:val="00850FE7"/>
    <w:rsid w:val="0085148A"/>
    <w:rsid w:val="00851523"/>
    <w:rsid w:val="00851E1A"/>
    <w:rsid w:val="00851E79"/>
    <w:rsid w:val="00851F17"/>
    <w:rsid w:val="00852287"/>
    <w:rsid w:val="008526E4"/>
    <w:rsid w:val="00852885"/>
    <w:rsid w:val="00852994"/>
    <w:rsid w:val="00852A60"/>
    <w:rsid w:val="00852C7C"/>
    <w:rsid w:val="008530AF"/>
    <w:rsid w:val="0085337A"/>
    <w:rsid w:val="00853659"/>
    <w:rsid w:val="00853F9A"/>
    <w:rsid w:val="008542F2"/>
    <w:rsid w:val="008547FC"/>
    <w:rsid w:val="0085490B"/>
    <w:rsid w:val="0085497F"/>
    <w:rsid w:val="0085502F"/>
    <w:rsid w:val="00855089"/>
    <w:rsid w:val="00855225"/>
    <w:rsid w:val="008553BD"/>
    <w:rsid w:val="00855489"/>
    <w:rsid w:val="008558A8"/>
    <w:rsid w:val="00855FB5"/>
    <w:rsid w:val="00856161"/>
    <w:rsid w:val="00856288"/>
    <w:rsid w:val="008563AC"/>
    <w:rsid w:val="008563C1"/>
    <w:rsid w:val="00856593"/>
    <w:rsid w:val="00856732"/>
    <w:rsid w:val="00856982"/>
    <w:rsid w:val="00856AD0"/>
    <w:rsid w:val="00856C5F"/>
    <w:rsid w:val="00856F22"/>
    <w:rsid w:val="00856F80"/>
    <w:rsid w:val="008570AD"/>
    <w:rsid w:val="00857477"/>
    <w:rsid w:val="008575EC"/>
    <w:rsid w:val="00857996"/>
    <w:rsid w:val="008579DD"/>
    <w:rsid w:val="00860429"/>
    <w:rsid w:val="008605C6"/>
    <w:rsid w:val="0086063A"/>
    <w:rsid w:val="008606A9"/>
    <w:rsid w:val="008608CE"/>
    <w:rsid w:val="0086104C"/>
    <w:rsid w:val="0086188F"/>
    <w:rsid w:val="00861966"/>
    <w:rsid w:val="008619C7"/>
    <w:rsid w:val="00861DD4"/>
    <w:rsid w:val="0086223B"/>
    <w:rsid w:val="008626DD"/>
    <w:rsid w:val="008626F0"/>
    <w:rsid w:val="00862CD5"/>
    <w:rsid w:val="00863453"/>
    <w:rsid w:val="008635E2"/>
    <w:rsid w:val="00863667"/>
    <w:rsid w:val="00863B95"/>
    <w:rsid w:val="00863C8F"/>
    <w:rsid w:val="00863CA8"/>
    <w:rsid w:val="0086462F"/>
    <w:rsid w:val="008650AC"/>
    <w:rsid w:val="008656BC"/>
    <w:rsid w:val="0086576F"/>
    <w:rsid w:val="00865D24"/>
    <w:rsid w:val="00865DE9"/>
    <w:rsid w:val="00866374"/>
    <w:rsid w:val="008664AD"/>
    <w:rsid w:val="008669BC"/>
    <w:rsid w:val="00866C70"/>
    <w:rsid w:val="00866D2F"/>
    <w:rsid w:val="00867205"/>
    <w:rsid w:val="008677EA"/>
    <w:rsid w:val="00867DB4"/>
    <w:rsid w:val="00867FD7"/>
    <w:rsid w:val="00870055"/>
    <w:rsid w:val="008705A3"/>
    <w:rsid w:val="008705DA"/>
    <w:rsid w:val="008707A4"/>
    <w:rsid w:val="00870B8D"/>
    <w:rsid w:val="00870CCD"/>
    <w:rsid w:val="00870E95"/>
    <w:rsid w:val="0087131C"/>
    <w:rsid w:val="00871736"/>
    <w:rsid w:val="008717F6"/>
    <w:rsid w:val="00871970"/>
    <w:rsid w:val="00871CA8"/>
    <w:rsid w:val="00872273"/>
    <w:rsid w:val="008729A7"/>
    <w:rsid w:val="00872CB6"/>
    <w:rsid w:val="0087301C"/>
    <w:rsid w:val="008733AB"/>
    <w:rsid w:val="008733E8"/>
    <w:rsid w:val="008734D0"/>
    <w:rsid w:val="00873BD5"/>
    <w:rsid w:val="00874245"/>
    <w:rsid w:val="00874B3B"/>
    <w:rsid w:val="00874C29"/>
    <w:rsid w:val="0087510F"/>
    <w:rsid w:val="008752BB"/>
    <w:rsid w:val="0087558C"/>
    <w:rsid w:val="008755FF"/>
    <w:rsid w:val="00875858"/>
    <w:rsid w:val="008760EA"/>
    <w:rsid w:val="00876128"/>
    <w:rsid w:val="008762B0"/>
    <w:rsid w:val="0087664F"/>
    <w:rsid w:val="0087675F"/>
    <w:rsid w:val="00876B23"/>
    <w:rsid w:val="00876BC8"/>
    <w:rsid w:val="00876D8A"/>
    <w:rsid w:val="00877332"/>
    <w:rsid w:val="00877364"/>
    <w:rsid w:val="008779F6"/>
    <w:rsid w:val="00877A0F"/>
    <w:rsid w:val="0088006C"/>
    <w:rsid w:val="008800ED"/>
    <w:rsid w:val="008803D9"/>
    <w:rsid w:val="008804CE"/>
    <w:rsid w:val="0088064A"/>
    <w:rsid w:val="008808AE"/>
    <w:rsid w:val="0088093A"/>
    <w:rsid w:val="00880A10"/>
    <w:rsid w:val="00880BB2"/>
    <w:rsid w:val="00880CA3"/>
    <w:rsid w:val="0088174F"/>
    <w:rsid w:val="0088189A"/>
    <w:rsid w:val="00881B3D"/>
    <w:rsid w:val="00881F52"/>
    <w:rsid w:val="00881FA5"/>
    <w:rsid w:val="008828C1"/>
    <w:rsid w:val="00882C83"/>
    <w:rsid w:val="008837BF"/>
    <w:rsid w:val="0088398D"/>
    <w:rsid w:val="00884262"/>
    <w:rsid w:val="00884675"/>
    <w:rsid w:val="008847CF"/>
    <w:rsid w:val="00884BC2"/>
    <w:rsid w:val="00885737"/>
    <w:rsid w:val="00885860"/>
    <w:rsid w:val="00885E2D"/>
    <w:rsid w:val="00885FA6"/>
    <w:rsid w:val="0088678B"/>
    <w:rsid w:val="00886A67"/>
    <w:rsid w:val="00886BBA"/>
    <w:rsid w:val="00887139"/>
    <w:rsid w:val="008874F3"/>
    <w:rsid w:val="00887CBE"/>
    <w:rsid w:val="00887D90"/>
    <w:rsid w:val="008903DC"/>
    <w:rsid w:val="00890798"/>
    <w:rsid w:val="00890C85"/>
    <w:rsid w:val="00890CFD"/>
    <w:rsid w:val="00890F79"/>
    <w:rsid w:val="00891714"/>
    <w:rsid w:val="00891B10"/>
    <w:rsid w:val="00891C17"/>
    <w:rsid w:val="008927D9"/>
    <w:rsid w:val="00892A34"/>
    <w:rsid w:val="00892E91"/>
    <w:rsid w:val="00893528"/>
    <w:rsid w:val="0089379E"/>
    <w:rsid w:val="008938D0"/>
    <w:rsid w:val="00893A1D"/>
    <w:rsid w:val="00893D21"/>
    <w:rsid w:val="00893D89"/>
    <w:rsid w:val="00893F55"/>
    <w:rsid w:val="00894247"/>
    <w:rsid w:val="0089479E"/>
    <w:rsid w:val="008947C5"/>
    <w:rsid w:val="00894A58"/>
    <w:rsid w:val="00894CEB"/>
    <w:rsid w:val="00895054"/>
    <w:rsid w:val="00895142"/>
    <w:rsid w:val="008952F6"/>
    <w:rsid w:val="0089568D"/>
    <w:rsid w:val="00895C4C"/>
    <w:rsid w:val="00895CB2"/>
    <w:rsid w:val="00895E29"/>
    <w:rsid w:val="0089601D"/>
    <w:rsid w:val="00896163"/>
    <w:rsid w:val="0089663E"/>
    <w:rsid w:val="008966DC"/>
    <w:rsid w:val="0089684C"/>
    <w:rsid w:val="00896A5D"/>
    <w:rsid w:val="00897192"/>
    <w:rsid w:val="008974A0"/>
    <w:rsid w:val="00897A1B"/>
    <w:rsid w:val="00897C5A"/>
    <w:rsid w:val="008A00E5"/>
    <w:rsid w:val="008A0516"/>
    <w:rsid w:val="008A070A"/>
    <w:rsid w:val="008A0866"/>
    <w:rsid w:val="008A0B8C"/>
    <w:rsid w:val="008A109E"/>
    <w:rsid w:val="008A19D9"/>
    <w:rsid w:val="008A1D1C"/>
    <w:rsid w:val="008A24CF"/>
    <w:rsid w:val="008A25FE"/>
    <w:rsid w:val="008A2702"/>
    <w:rsid w:val="008A2747"/>
    <w:rsid w:val="008A2755"/>
    <w:rsid w:val="008A2DB9"/>
    <w:rsid w:val="008A3494"/>
    <w:rsid w:val="008A357E"/>
    <w:rsid w:val="008A35D3"/>
    <w:rsid w:val="008A3661"/>
    <w:rsid w:val="008A3C22"/>
    <w:rsid w:val="008A3CFC"/>
    <w:rsid w:val="008A3E78"/>
    <w:rsid w:val="008A4325"/>
    <w:rsid w:val="008A43C1"/>
    <w:rsid w:val="008A43CC"/>
    <w:rsid w:val="008A46F6"/>
    <w:rsid w:val="008A475E"/>
    <w:rsid w:val="008A4987"/>
    <w:rsid w:val="008A5148"/>
    <w:rsid w:val="008A5501"/>
    <w:rsid w:val="008A5543"/>
    <w:rsid w:val="008A56D9"/>
    <w:rsid w:val="008A57C2"/>
    <w:rsid w:val="008A5CE5"/>
    <w:rsid w:val="008A5FBE"/>
    <w:rsid w:val="008A6080"/>
    <w:rsid w:val="008A60BA"/>
    <w:rsid w:val="008A65A5"/>
    <w:rsid w:val="008A6AE4"/>
    <w:rsid w:val="008A6E1A"/>
    <w:rsid w:val="008A6EC1"/>
    <w:rsid w:val="008A7167"/>
    <w:rsid w:val="008A7266"/>
    <w:rsid w:val="008A727B"/>
    <w:rsid w:val="008A7628"/>
    <w:rsid w:val="008A7BA8"/>
    <w:rsid w:val="008B07DA"/>
    <w:rsid w:val="008B18F4"/>
    <w:rsid w:val="008B1BD7"/>
    <w:rsid w:val="008B2470"/>
    <w:rsid w:val="008B255F"/>
    <w:rsid w:val="008B2B42"/>
    <w:rsid w:val="008B2B7D"/>
    <w:rsid w:val="008B2BCE"/>
    <w:rsid w:val="008B2F15"/>
    <w:rsid w:val="008B31F1"/>
    <w:rsid w:val="008B38A8"/>
    <w:rsid w:val="008B3A43"/>
    <w:rsid w:val="008B3A92"/>
    <w:rsid w:val="008B3F93"/>
    <w:rsid w:val="008B40A7"/>
    <w:rsid w:val="008B4199"/>
    <w:rsid w:val="008B4497"/>
    <w:rsid w:val="008B457B"/>
    <w:rsid w:val="008B499F"/>
    <w:rsid w:val="008B513D"/>
    <w:rsid w:val="008B5F26"/>
    <w:rsid w:val="008B61E0"/>
    <w:rsid w:val="008B6278"/>
    <w:rsid w:val="008B65F3"/>
    <w:rsid w:val="008B6AAB"/>
    <w:rsid w:val="008B71DB"/>
    <w:rsid w:val="008B7414"/>
    <w:rsid w:val="008B78E3"/>
    <w:rsid w:val="008B7A39"/>
    <w:rsid w:val="008B7C55"/>
    <w:rsid w:val="008B7C6D"/>
    <w:rsid w:val="008C018E"/>
    <w:rsid w:val="008C0677"/>
    <w:rsid w:val="008C0CBB"/>
    <w:rsid w:val="008C0D7D"/>
    <w:rsid w:val="008C12E1"/>
    <w:rsid w:val="008C1513"/>
    <w:rsid w:val="008C16AD"/>
    <w:rsid w:val="008C19E7"/>
    <w:rsid w:val="008C221A"/>
    <w:rsid w:val="008C29C7"/>
    <w:rsid w:val="008C2C77"/>
    <w:rsid w:val="008C2D39"/>
    <w:rsid w:val="008C2D47"/>
    <w:rsid w:val="008C30CD"/>
    <w:rsid w:val="008C317E"/>
    <w:rsid w:val="008C3213"/>
    <w:rsid w:val="008C32E9"/>
    <w:rsid w:val="008C3554"/>
    <w:rsid w:val="008C3690"/>
    <w:rsid w:val="008C3CE6"/>
    <w:rsid w:val="008C3ECC"/>
    <w:rsid w:val="008C3FBD"/>
    <w:rsid w:val="008C3FE3"/>
    <w:rsid w:val="008C400E"/>
    <w:rsid w:val="008C469D"/>
    <w:rsid w:val="008C46DA"/>
    <w:rsid w:val="008C4841"/>
    <w:rsid w:val="008C4E52"/>
    <w:rsid w:val="008C4E83"/>
    <w:rsid w:val="008C4F01"/>
    <w:rsid w:val="008C5064"/>
    <w:rsid w:val="008C539E"/>
    <w:rsid w:val="008C53BF"/>
    <w:rsid w:val="008C564D"/>
    <w:rsid w:val="008C5741"/>
    <w:rsid w:val="008C58C9"/>
    <w:rsid w:val="008C5CCE"/>
    <w:rsid w:val="008C5DBC"/>
    <w:rsid w:val="008C603B"/>
    <w:rsid w:val="008C6063"/>
    <w:rsid w:val="008C62D4"/>
    <w:rsid w:val="008C6489"/>
    <w:rsid w:val="008C6D67"/>
    <w:rsid w:val="008C7232"/>
    <w:rsid w:val="008C7368"/>
    <w:rsid w:val="008C748F"/>
    <w:rsid w:val="008C77EB"/>
    <w:rsid w:val="008C7B94"/>
    <w:rsid w:val="008C7EE1"/>
    <w:rsid w:val="008D0489"/>
    <w:rsid w:val="008D05C1"/>
    <w:rsid w:val="008D0633"/>
    <w:rsid w:val="008D0A8B"/>
    <w:rsid w:val="008D0F1C"/>
    <w:rsid w:val="008D1930"/>
    <w:rsid w:val="008D19C3"/>
    <w:rsid w:val="008D1F75"/>
    <w:rsid w:val="008D21CA"/>
    <w:rsid w:val="008D28C1"/>
    <w:rsid w:val="008D2CD1"/>
    <w:rsid w:val="008D34D2"/>
    <w:rsid w:val="008D3567"/>
    <w:rsid w:val="008D35E0"/>
    <w:rsid w:val="008D374F"/>
    <w:rsid w:val="008D3F9C"/>
    <w:rsid w:val="008D4077"/>
    <w:rsid w:val="008D44CC"/>
    <w:rsid w:val="008D46A5"/>
    <w:rsid w:val="008D48D5"/>
    <w:rsid w:val="008D4E21"/>
    <w:rsid w:val="008D5373"/>
    <w:rsid w:val="008D591B"/>
    <w:rsid w:val="008D5F43"/>
    <w:rsid w:val="008D5F61"/>
    <w:rsid w:val="008D6294"/>
    <w:rsid w:val="008D6958"/>
    <w:rsid w:val="008D6C49"/>
    <w:rsid w:val="008D6D1E"/>
    <w:rsid w:val="008D6E6E"/>
    <w:rsid w:val="008D6ED6"/>
    <w:rsid w:val="008D6F82"/>
    <w:rsid w:val="008D7050"/>
    <w:rsid w:val="008D71EE"/>
    <w:rsid w:val="008D7238"/>
    <w:rsid w:val="008D7323"/>
    <w:rsid w:val="008D74EC"/>
    <w:rsid w:val="008D7955"/>
    <w:rsid w:val="008D7ECF"/>
    <w:rsid w:val="008D7FAD"/>
    <w:rsid w:val="008E0BF0"/>
    <w:rsid w:val="008E0D64"/>
    <w:rsid w:val="008E0D9A"/>
    <w:rsid w:val="008E118C"/>
    <w:rsid w:val="008E1306"/>
    <w:rsid w:val="008E18FA"/>
    <w:rsid w:val="008E196C"/>
    <w:rsid w:val="008E1B13"/>
    <w:rsid w:val="008E1B47"/>
    <w:rsid w:val="008E1BF3"/>
    <w:rsid w:val="008E1D2A"/>
    <w:rsid w:val="008E1EC3"/>
    <w:rsid w:val="008E1FD5"/>
    <w:rsid w:val="008E2128"/>
    <w:rsid w:val="008E2477"/>
    <w:rsid w:val="008E26FD"/>
    <w:rsid w:val="008E273D"/>
    <w:rsid w:val="008E2D37"/>
    <w:rsid w:val="008E302B"/>
    <w:rsid w:val="008E3717"/>
    <w:rsid w:val="008E3804"/>
    <w:rsid w:val="008E39D9"/>
    <w:rsid w:val="008E3E34"/>
    <w:rsid w:val="008E3F63"/>
    <w:rsid w:val="008E4242"/>
    <w:rsid w:val="008E484F"/>
    <w:rsid w:val="008E4CA1"/>
    <w:rsid w:val="008E50D7"/>
    <w:rsid w:val="008E54A6"/>
    <w:rsid w:val="008E54F4"/>
    <w:rsid w:val="008E57FF"/>
    <w:rsid w:val="008E583D"/>
    <w:rsid w:val="008E5980"/>
    <w:rsid w:val="008E5F92"/>
    <w:rsid w:val="008E60A2"/>
    <w:rsid w:val="008E7039"/>
    <w:rsid w:val="008E72C2"/>
    <w:rsid w:val="008E7405"/>
    <w:rsid w:val="008E7A5A"/>
    <w:rsid w:val="008E7E57"/>
    <w:rsid w:val="008F0005"/>
    <w:rsid w:val="008F0060"/>
    <w:rsid w:val="008F01F4"/>
    <w:rsid w:val="008F036C"/>
    <w:rsid w:val="008F0C81"/>
    <w:rsid w:val="008F0D14"/>
    <w:rsid w:val="008F0D38"/>
    <w:rsid w:val="008F0DF1"/>
    <w:rsid w:val="008F1C60"/>
    <w:rsid w:val="008F1FAC"/>
    <w:rsid w:val="008F2518"/>
    <w:rsid w:val="008F28EC"/>
    <w:rsid w:val="008F2CF0"/>
    <w:rsid w:val="008F307F"/>
    <w:rsid w:val="008F3338"/>
    <w:rsid w:val="008F349F"/>
    <w:rsid w:val="008F3C51"/>
    <w:rsid w:val="008F3EEA"/>
    <w:rsid w:val="008F4A10"/>
    <w:rsid w:val="008F4D3F"/>
    <w:rsid w:val="008F4FE9"/>
    <w:rsid w:val="008F51B2"/>
    <w:rsid w:val="008F523D"/>
    <w:rsid w:val="008F566F"/>
    <w:rsid w:val="008F5A1A"/>
    <w:rsid w:val="008F5B9A"/>
    <w:rsid w:val="008F5CF3"/>
    <w:rsid w:val="008F5ED8"/>
    <w:rsid w:val="008F641F"/>
    <w:rsid w:val="008F6543"/>
    <w:rsid w:val="008F66F5"/>
    <w:rsid w:val="008F6AC8"/>
    <w:rsid w:val="008F6D41"/>
    <w:rsid w:val="008F6FD3"/>
    <w:rsid w:val="008F7237"/>
    <w:rsid w:val="008F728C"/>
    <w:rsid w:val="008F78EA"/>
    <w:rsid w:val="0090007B"/>
    <w:rsid w:val="00900298"/>
    <w:rsid w:val="009004D6"/>
    <w:rsid w:val="00900B93"/>
    <w:rsid w:val="00900BB6"/>
    <w:rsid w:val="009012ED"/>
    <w:rsid w:val="00901634"/>
    <w:rsid w:val="00901904"/>
    <w:rsid w:val="009019A7"/>
    <w:rsid w:val="0090218E"/>
    <w:rsid w:val="00902348"/>
    <w:rsid w:val="00902D82"/>
    <w:rsid w:val="00902F88"/>
    <w:rsid w:val="0090385A"/>
    <w:rsid w:val="00903940"/>
    <w:rsid w:val="00903F56"/>
    <w:rsid w:val="009049B1"/>
    <w:rsid w:val="00905080"/>
    <w:rsid w:val="0090520E"/>
    <w:rsid w:val="00905329"/>
    <w:rsid w:val="009056E4"/>
    <w:rsid w:val="009057AF"/>
    <w:rsid w:val="00905957"/>
    <w:rsid w:val="009062C7"/>
    <w:rsid w:val="0090637D"/>
    <w:rsid w:val="009067DF"/>
    <w:rsid w:val="009069CA"/>
    <w:rsid w:val="00906D45"/>
    <w:rsid w:val="00906DF9"/>
    <w:rsid w:val="009078D9"/>
    <w:rsid w:val="00907D0B"/>
    <w:rsid w:val="00910034"/>
    <w:rsid w:val="00910195"/>
    <w:rsid w:val="00910358"/>
    <w:rsid w:val="009104A8"/>
    <w:rsid w:val="0091099C"/>
    <w:rsid w:val="00910B92"/>
    <w:rsid w:val="00911015"/>
    <w:rsid w:val="009113EE"/>
    <w:rsid w:val="00911565"/>
    <w:rsid w:val="00911E90"/>
    <w:rsid w:val="009120D8"/>
    <w:rsid w:val="009127F7"/>
    <w:rsid w:val="009137D7"/>
    <w:rsid w:val="009144C2"/>
    <w:rsid w:val="00914943"/>
    <w:rsid w:val="00914DA4"/>
    <w:rsid w:val="00914F89"/>
    <w:rsid w:val="00915137"/>
    <w:rsid w:val="009157E7"/>
    <w:rsid w:val="009158AC"/>
    <w:rsid w:val="00916F33"/>
    <w:rsid w:val="00917236"/>
    <w:rsid w:val="0091757F"/>
    <w:rsid w:val="00917699"/>
    <w:rsid w:val="00917ABE"/>
    <w:rsid w:val="0092038A"/>
    <w:rsid w:val="00920C89"/>
    <w:rsid w:val="00920D23"/>
    <w:rsid w:val="00921122"/>
    <w:rsid w:val="009211E3"/>
    <w:rsid w:val="00921557"/>
    <w:rsid w:val="0092196C"/>
    <w:rsid w:val="00921A46"/>
    <w:rsid w:val="00921A95"/>
    <w:rsid w:val="00921C1F"/>
    <w:rsid w:val="00922220"/>
    <w:rsid w:val="00922670"/>
    <w:rsid w:val="00922A13"/>
    <w:rsid w:val="00922DA4"/>
    <w:rsid w:val="009231CD"/>
    <w:rsid w:val="009238CB"/>
    <w:rsid w:val="00923ADD"/>
    <w:rsid w:val="00923BF6"/>
    <w:rsid w:val="00923F1C"/>
    <w:rsid w:val="00924006"/>
    <w:rsid w:val="009243CD"/>
    <w:rsid w:val="009249FF"/>
    <w:rsid w:val="00924A22"/>
    <w:rsid w:val="00924ADE"/>
    <w:rsid w:val="00925147"/>
    <w:rsid w:val="00925463"/>
    <w:rsid w:val="009255E2"/>
    <w:rsid w:val="009255FB"/>
    <w:rsid w:val="0092583A"/>
    <w:rsid w:val="00925B82"/>
    <w:rsid w:val="00925E2B"/>
    <w:rsid w:val="00926051"/>
    <w:rsid w:val="00926088"/>
    <w:rsid w:val="00926808"/>
    <w:rsid w:val="00926D0F"/>
    <w:rsid w:val="00926E3B"/>
    <w:rsid w:val="00927309"/>
    <w:rsid w:val="00927CA2"/>
    <w:rsid w:val="0093012E"/>
    <w:rsid w:val="0093021B"/>
    <w:rsid w:val="0093081F"/>
    <w:rsid w:val="00930990"/>
    <w:rsid w:val="00931258"/>
    <w:rsid w:val="009312A2"/>
    <w:rsid w:val="00931366"/>
    <w:rsid w:val="009316B1"/>
    <w:rsid w:val="00931A01"/>
    <w:rsid w:val="00931A95"/>
    <w:rsid w:val="00931E07"/>
    <w:rsid w:val="0093282B"/>
    <w:rsid w:val="00932F8F"/>
    <w:rsid w:val="00933387"/>
    <w:rsid w:val="009337DF"/>
    <w:rsid w:val="00933AFC"/>
    <w:rsid w:val="009344F7"/>
    <w:rsid w:val="0093461F"/>
    <w:rsid w:val="009346BE"/>
    <w:rsid w:val="0093487F"/>
    <w:rsid w:val="0093495F"/>
    <w:rsid w:val="00934B23"/>
    <w:rsid w:val="00934D95"/>
    <w:rsid w:val="009355FC"/>
    <w:rsid w:val="00935B02"/>
    <w:rsid w:val="00935FA5"/>
    <w:rsid w:val="00936507"/>
    <w:rsid w:val="0093654E"/>
    <w:rsid w:val="00937190"/>
    <w:rsid w:val="009374CD"/>
    <w:rsid w:val="00937A6C"/>
    <w:rsid w:val="00937CA7"/>
    <w:rsid w:val="00937DE8"/>
    <w:rsid w:val="00937E2E"/>
    <w:rsid w:val="00937EB4"/>
    <w:rsid w:val="00940039"/>
    <w:rsid w:val="00940177"/>
    <w:rsid w:val="00940389"/>
    <w:rsid w:val="00940511"/>
    <w:rsid w:val="00940520"/>
    <w:rsid w:val="009406D3"/>
    <w:rsid w:val="00940BBD"/>
    <w:rsid w:val="00940F54"/>
    <w:rsid w:val="009413D5"/>
    <w:rsid w:val="00941698"/>
    <w:rsid w:val="009423CE"/>
    <w:rsid w:val="009424D3"/>
    <w:rsid w:val="009424F7"/>
    <w:rsid w:val="00942848"/>
    <w:rsid w:val="00942E69"/>
    <w:rsid w:val="00942F0D"/>
    <w:rsid w:val="00943008"/>
    <w:rsid w:val="009430E0"/>
    <w:rsid w:val="009437FD"/>
    <w:rsid w:val="00943822"/>
    <w:rsid w:val="00943D95"/>
    <w:rsid w:val="00943F2C"/>
    <w:rsid w:val="00944103"/>
    <w:rsid w:val="009441FC"/>
    <w:rsid w:val="00944655"/>
    <w:rsid w:val="00944C91"/>
    <w:rsid w:val="009451C2"/>
    <w:rsid w:val="00945827"/>
    <w:rsid w:val="009458A9"/>
    <w:rsid w:val="00945BBC"/>
    <w:rsid w:val="00945F92"/>
    <w:rsid w:val="009465D6"/>
    <w:rsid w:val="009470B9"/>
    <w:rsid w:val="00947238"/>
    <w:rsid w:val="009473ED"/>
    <w:rsid w:val="00947C09"/>
    <w:rsid w:val="00947D6B"/>
    <w:rsid w:val="009504E2"/>
    <w:rsid w:val="00950E9C"/>
    <w:rsid w:val="00951037"/>
    <w:rsid w:val="0095142E"/>
    <w:rsid w:val="009516B0"/>
    <w:rsid w:val="00951A13"/>
    <w:rsid w:val="00951E19"/>
    <w:rsid w:val="00951F52"/>
    <w:rsid w:val="009522A5"/>
    <w:rsid w:val="0095239D"/>
    <w:rsid w:val="009524CE"/>
    <w:rsid w:val="009525F1"/>
    <w:rsid w:val="009531E6"/>
    <w:rsid w:val="009538E7"/>
    <w:rsid w:val="00953B97"/>
    <w:rsid w:val="00953D51"/>
    <w:rsid w:val="00953F75"/>
    <w:rsid w:val="0095409A"/>
    <w:rsid w:val="0095422F"/>
    <w:rsid w:val="009542E6"/>
    <w:rsid w:val="0095489F"/>
    <w:rsid w:val="0095514E"/>
    <w:rsid w:val="00955423"/>
    <w:rsid w:val="00955932"/>
    <w:rsid w:val="00955B5E"/>
    <w:rsid w:val="00955BA0"/>
    <w:rsid w:val="00955C51"/>
    <w:rsid w:val="00955DD1"/>
    <w:rsid w:val="00956744"/>
    <w:rsid w:val="009569A4"/>
    <w:rsid w:val="00956E1B"/>
    <w:rsid w:val="009573F2"/>
    <w:rsid w:val="00960791"/>
    <w:rsid w:val="00961049"/>
    <w:rsid w:val="00961389"/>
    <w:rsid w:val="009617A3"/>
    <w:rsid w:val="009617BC"/>
    <w:rsid w:val="0096184A"/>
    <w:rsid w:val="009622FC"/>
    <w:rsid w:val="009626EF"/>
    <w:rsid w:val="00962B24"/>
    <w:rsid w:val="00962BC8"/>
    <w:rsid w:val="00962F6D"/>
    <w:rsid w:val="00963203"/>
    <w:rsid w:val="009637A9"/>
    <w:rsid w:val="00963CED"/>
    <w:rsid w:val="009644F5"/>
    <w:rsid w:val="00964C1C"/>
    <w:rsid w:val="00965E42"/>
    <w:rsid w:val="0096600B"/>
    <w:rsid w:val="0096632C"/>
    <w:rsid w:val="00966AC6"/>
    <w:rsid w:val="009673D8"/>
    <w:rsid w:val="0096787B"/>
    <w:rsid w:val="00967C0A"/>
    <w:rsid w:val="00967D62"/>
    <w:rsid w:val="00967D8F"/>
    <w:rsid w:val="00967DD1"/>
    <w:rsid w:val="009700D9"/>
    <w:rsid w:val="00970658"/>
    <w:rsid w:val="0097091A"/>
    <w:rsid w:val="00970A42"/>
    <w:rsid w:val="00970C29"/>
    <w:rsid w:val="00971746"/>
    <w:rsid w:val="00971A7F"/>
    <w:rsid w:val="00971B44"/>
    <w:rsid w:val="00971FAD"/>
    <w:rsid w:val="0097207F"/>
    <w:rsid w:val="0097226E"/>
    <w:rsid w:val="0097227C"/>
    <w:rsid w:val="0097232F"/>
    <w:rsid w:val="00972580"/>
    <w:rsid w:val="00972750"/>
    <w:rsid w:val="0097281F"/>
    <w:rsid w:val="0097284A"/>
    <w:rsid w:val="009728F6"/>
    <w:rsid w:val="00972DCD"/>
    <w:rsid w:val="00973089"/>
    <w:rsid w:val="00973393"/>
    <w:rsid w:val="0097384D"/>
    <w:rsid w:val="009738B5"/>
    <w:rsid w:val="00973B33"/>
    <w:rsid w:val="00973C21"/>
    <w:rsid w:val="00973F13"/>
    <w:rsid w:val="0097411A"/>
    <w:rsid w:val="00974138"/>
    <w:rsid w:val="009741D2"/>
    <w:rsid w:val="00974AA6"/>
    <w:rsid w:val="00974B7B"/>
    <w:rsid w:val="00975542"/>
    <w:rsid w:val="00976462"/>
    <w:rsid w:val="009766A7"/>
    <w:rsid w:val="0097677F"/>
    <w:rsid w:val="00976BD1"/>
    <w:rsid w:val="00976FD9"/>
    <w:rsid w:val="00977193"/>
    <w:rsid w:val="0097720F"/>
    <w:rsid w:val="0097726A"/>
    <w:rsid w:val="00977475"/>
    <w:rsid w:val="0097749C"/>
    <w:rsid w:val="00977C02"/>
    <w:rsid w:val="009800C9"/>
    <w:rsid w:val="00980B57"/>
    <w:rsid w:val="00980BAB"/>
    <w:rsid w:val="00980D0F"/>
    <w:rsid w:val="00981393"/>
    <w:rsid w:val="009814A8"/>
    <w:rsid w:val="0098167A"/>
    <w:rsid w:val="00981AF9"/>
    <w:rsid w:val="00981C1A"/>
    <w:rsid w:val="009823FE"/>
    <w:rsid w:val="0098241F"/>
    <w:rsid w:val="00982D21"/>
    <w:rsid w:val="00982DAC"/>
    <w:rsid w:val="00982DCC"/>
    <w:rsid w:val="00983125"/>
    <w:rsid w:val="00983A17"/>
    <w:rsid w:val="00983DB2"/>
    <w:rsid w:val="00984CB2"/>
    <w:rsid w:val="00984FE6"/>
    <w:rsid w:val="009853AE"/>
    <w:rsid w:val="0098592B"/>
    <w:rsid w:val="00985B78"/>
    <w:rsid w:val="00985E02"/>
    <w:rsid w:val="00986229"/>
    <w:rsid w:val="00986441"/>
    <w:rsid w:val="00986655"/>
    <w:rsid w:val="00986710"/>
    <w:rsid w:val="0098790E"/>
    <w:rsid w:val="00987A92"/>
    <w:rsid w:val="00987AD5"/>
    <w:rsid w:val="009900BD"/>
    <w:rsid w:val="009900FC"/>
    <w:rsid w:val="00990380"/>
    <w:rsid w:val="00990808"/>
    <w:rsid w:val="00990970"/>
    <w:rsid w:val="00990F8D"/>
    <w:rsid w:val="0099183B"/>
    <w:rsid w:val="009918EA"/>
    <w:rsid w:val="00991C03"/>
    <w:rsid w:val="00991CC1"/>
    <w:rsid w:val="00991FD9"/>
    <w:rsid w:val="00992016"/>
    <w:rsid w:val="0099233E"/>
    <w:rsid w:val="00992993"/>
    <w:rsid w:val="00992A5E"/>
    <w:rsid w:val="00992B1A"/>
    <w:rsid w:val="00992FF2"/>
    <w:rsid w:val="009932CB"/>
    <w:rsid w:val="00993483"/>
    <w:rsid w:val="009938C6"/>
    <w:rsid w:val="00993B3C"/>
    <w:rsid w:val="00993C39"/>
    <w:rsid w:val="00993F22"/>
    <w:rsid w:val="0099450B"/>
    <w:rsid w:val="009949A4"/>
    <w:rsid w:val="00994CF1"/>
    <w:rsid w:val="00994EC8"/>
    <w:rsid w:val="00995080"/>
    <w:rsid w:val="009954EA"/>
    <w:rsid w:val="00995BCD"/>
    <w:rsid w:val="00995CBA"/>
    <w:rsid w:val="009963B9"/>
    <w:rsid w:val="009964B4"/>
    <w:rsid w:val="00996A47"/>
    <w:rsid w:val="00996C28"/>
    <w:rsid w:val="00996D90"/>
    <w:rsid w:val="0099716E"/>
    <w:rsid w:val="0099723E"/>
    <w:rsid w:val="009974CF"/>
    <w:rsid w:val="009A02EE"/>
    <w:rsid w:val="009A08CE"/>
    <w:rsid w:val="009A0BA7"/>
    <w:rsid w:val="009A11D1"/>
    <w:rsid w:val="009A14A1"/>
    <w:rsid w:val="009A1891"/>
    <w:rsid w:val="009A1DBB"/>
    <w:rsid w:val="009A2335"/>
    <w:rsid w:val="009A25E0"/>
    <w:rsid w:val="009A29CF"/>
    <w:rsid w:val="009A2B83"/>
    <w:rsid w:val="009A2CAD"/>
    <w:rsid w:val="009A2E47"/>
    <w:rsid w:val="009A2F65"/>
    <w:rsid w:val="009A3308"/>
    <w:rsid w:val="009A339A"/>
    <w:rsid w:val="009A3A41"/>
    <w:rsid w:val="009A3D4D"/>
    <w:rsid w:val="009A3D81"/>
    <w:rsid w:val="009A42F7"/>
    <w:rsid w:val="009A4713"/>
    <w:rsid w:val="009A54F3"/>
    <w:rsid w:val="009A592F"/>
    <w:rsid w:val="009A5A83"/>
    <w:rsid w:val="009A5E76"/>
    <w:rsid w:val="009A6165"/>
    <w:rsid w:val="009A747B"/>
    <w:rsid w:val="009A75E7"/>
    <w:rsid w:val="009A784E"/>
    <w:rsid w:val="009A795F"/>
    <w:rsid w:val="009B01E9"/>
    <w:rsid w:val="009B04C1"/>
    <w:rsid w:val="009B0CC1"/>
    <w:rsid w:val="009B1828"/>
    <w:rsid w:val="009B1855"/>
    <w:rsid w:val="009B217C"/>
    <w:rsid w:val="009B22E3"/>
    <w:rsid w:val="009B28A4"/>
    <w:rsid w:val="009B2A4C"/>
    <w:rsid w:val="009B2EAE"/>
    <w:rsid w:val="009B3696"/>
    <w:rsid w:val="009B3BBD"/>
    <w:rsid w:val="009B3C64"/>
    <w:rsid w:val="009B407E"/>
    <w:rsid w:val="009B436B"/>
    <w:rsid w:val="009B43A8"/>
    <w:rsid w:val="009B4FED"/>
    <w:rsid w:val="009B5180"/>
    <w:rsid w:val="009B55E6"/>
    <w:rsid w:val="009B5AE3"/>
    <w:rsid w:val="009B5B04"/>
    <w:rsid w:val="009B5F95"/>
    <w:rsid w:val="009B6484"/>
    <w:rsid w:val="009B64B2"/>
    <w:rsid w:val="009B6A13"/>
    <w:rsid w:val="009B6AD0"/>
    <w:rsid w:val="009B6FF1"/>
    <w:rsid w:val="009B712B"/>
    <w:rsid w:val="009C0131"/>
    <w:rsid w:val="009C01AC"/>
    <w:rsid w:val="009C02E7"/>
    <w:rsid w:val="009C0377"/>
    <w:rsid w:val="009C0469"/>
    <w:rsid w:val="009C050B"/>
    <w:rsid w:val="009C11F8"/>
    <w:rsid w:val="009C15BC"/>
    <w:rsid w:val="009C1755"/>
    <w:rsid w:val="009C1913"/>
    <w:rsid w:val="009C1972"/>
    <w:rsid w:val="009C1EC8"/>
    <w:rsid w:val="009C2404"/>
    <w:rsid w:val="009C2D11"/>
    <w:rsid w:val="009C3133"/>
    <w:rsid w:val="009C3CC3"/>
    <w:rsid w:val="009C4165"/>
    <w:rsid w:val="009C442F"/>
    <w:rsid w:val="009C45E3"/>
    <w:rsid w:val="009C460E"/>
    <w:rsid w:val="009C4755"/>
    <w:rsid w:val="009C486B"/>
    <w:rsid w:val="009C4B7C"/>
    <w:rsid w:val="009C4EF2"/>
    <w:rsid w:val="009C520F"/>
    <w:rsid w:val="009C5556"/>
    <w:rsid w:val="009C58EF"/>
    <w:rsid w:val="009C5BFE"/>
    <w:rsid w:val="009C5C23"/>
    <w:rsid w:val="009C5FB9"/>
    <w:rsid w:val="009C60D8"/>
    <w:rsid w:val="009C6863"/>
    <w:rsid w:val="009C6F21"/>
    <w:rsid w:val="009C70CC"/>
    <w:rsid w:val="009C7224"/>
    <w:rsid w:val="009C7289"/>
    <w:rsid w:val="009C7688"/>
    <w:rsid w:val="009C7CD8"/>
    <w:rsid w:val="009C7D21"/>
    <w:rsid w:val="009C7E7D"/>
    <w:rsid w:val="009D00A8"/>
    <w:rsid w:val="009D023E"/>
    <w:rsid w:val="009D0B98"/>
    <w:rsid w:val="009D1282"/>
    <w:rsid w:val="009D16FC"/>
    <w:rsid w:val="009D1CC4"/>
    <w:rsid w:val="009D1EE7"/>
    <w:rsid w:val="009D2090"/>
    <w:rsid w:val="009D20D4"/>
    <w:rsid w:val="009D2128"/>
    <w:rsid w:val="009D2137"/>
    <w:rsid w:val="009D240F"/>
    <w:rsid w:val="009D2B12"/>
    <w:rsid w:val="009D2DF6"/>
    <w:rsid w:val="009D378F"/>
    <w:rsid w:val="009D3E8A"/>
    <w:rsid w:val="009D403F"/>
    <w:rsid w:val="009D44E5"/>
    <w:rsid w:val="009D4644"/>
    <w:rsid w:val="009D4A79"/>
    <w:rsid w:val="009D4C98"/>
    <w:rsid w:val="009D4FE1"/>
    <w:rsid w:val="009D518D"/>
    <w:rsid w:val="009D52AE"/>
    <w:rsid w:val="009D56DD"/>
    <w:rsid w:val="009D591F"/>
    <w:rsid w:val="009D5BEB"/>
    <w:rsid w:val="009D5C4D"/>
    <w:rsid w:val="009D5DDC"/>
    <w:rsid w:val="009D6765"/>
    <w:rsid w:val="009D6A2D"/>
    <w:rsid w:val="009D6AC7"/>
    <w:rsid w:val="009D6FFB"/>
    <w:rsid w:val="009D72C4"/>
    <w:rsid w:val="009D72DC"/>
    <w:rsid w:val="009D731F"/>
    <w:rsid w:val="009D78AF"/>
    <w:rsid w:val="009D7B1C"/>
    <w:rsid w:val="009D7BF7"/>
    <w:rsid w:val="009D7D0D"/>
    <w:rsid w:val="009E034F"/>
    <w:rsid w:val="009E056C"/>
    <w:rsid w:val="009E0616"/>
    <w:rsid w:val="009E0736"/>
    <w:rsid w:val="009E0C71"/>
    <w:rsid w:val="009E0CB2"/>
    <w:rsid w:val="009E0D42"/>
    <w:rsid w:val="009E14DC"/>
    <w:rsid w:val="009E18B4"/>
    <w:rsid w:val="009E19CA"/>
    <w:rsid w:val="009E1BAA"/>
    <w:rsid w:val="009E1C74"/>
    <w:rsid w:val="009E1D75"/>
    <w:rsid w:val="009E319B"/>
    <w:rsid w:val="009E3263"/>
    <w:rsid w:val="009E3444"/>
    <w:rsid w:val="009E375A"/>
    <w:rsid w:val="009E3AAA"/>
    <w:rsid w:val="009E3E28"/>
    <w:rsid w:val="009E425B"/>
    <w:rsid w:val="009E43A1"/>
    <w:rsid w:val="009E453C"/>
    <w:rsid w:val="009E459C"/>
    <w:rsid w:val="009E4602"/>
    <w:rsid w:val="009E5A6B"/>
    <w:rsid w:val="009E5EF5"/>
    <w:rsid w:val="009E6EB9"/>
    <w:rsid w:val="009E70EB"/>
    <w:rsid w:val="009E72D3"/>
    <w:rsid w:val="009E7686"/>
    <w:rsid w:val="009E785F"/>
    <w:rsid w:val="009E78D6"/>
    <w:rsid w:val="009E7A32"/>
    <w:rsid w:val="009E7D03"/>
    <w:rsid w:val="009E7D1F"/>
    <w:rsid w:val="009E7E00"/>
    <w:rsid w:val="009F00F4"/>
    <w:rsid w:val="009F0AD8"/>
    <w:rsid w:val="009F167F"/>
    <w:rsid w:val="009F17E2"/>
    <w:rsid w:val="009F1800"/>
    <w:rsid w:val="009F199D"/>
    <w:rsid w:val="009F1C50"/>
    <w:rsid w:val="009F2216"/>
    <w:rsid w:val="009F2275"/>
    <w:rsid w:val="009F2732"/>
    <w:rsid w:val="009F2D74"/>
    <w:rsid w:val="009F31CB"/>
    <w:rsid w:val="009F32D3"/>
    <w:rsid w:val="009F3616"/>
    <w:rsid w:val="009F3622"/>
    <w:rsid w:val="009F365E"/>
    <w:rsid w:val="009F36B3"/>
    <w:rsid w:val="009F3D08"/>
    <w:rsid w:val="009F3F4F"/>
    <w:rsid w:val="009F41CB"/>
    <w:rsid w:val="009F427B"/>
    <w:rsid w:val="009F43C5"/>
    <w:rsid w:val="009F4F26"/>
    <w:rsid w:val="009F52AA"/>
    <w:rsid w:val="009F56D4"/>
    <w:rsid w:val="009F57A1"/>
    <w:rsid w:val="009F57EF"/>
    <w:rsid w:val="009F660D"/>
    <w:rsid w:val="009F6813"/>
    <w:rsid w:val="009F68A9"/>
    <w:rsid w:val="009F699E"/>
    <w:rsid w:val="009F6F41"/>
    <w:rsid w:val="009F75EF"/>
    <w:rsid w:val="009F7995"/>
    <w:rsid w:val="009F79AB"/>
    <w:rsid w:val="009F7B00"/>
    <w:rsid w:val="009F7D19"/>
    <w:rsid w:val="009F7FE4"/>
    <w:rsid w:val="009F7FF5"/>
    <w:rsid w:val="00A004A6"/>
    <w:rsid w:val="00A005E2"/>
    <w:rsid w:val="00A00880"/>
    <w:rsid w:val="00A00DE6"/>
    <w:rsid w:val="00A00FB3"/>
    <w:rsid w:val="00A010A7"/>
    <w:rsid w:val="00A01B09"/>
    <w:rsid w:val="00A02283"/>
    <w:rsid w:val="00A023CF"/>
    <w:rsid w:val="00A02C38"/>
    <w:rsid w:val="00A030BF"/>
    <w:rsid w:val="00A0347B"/>
    <w:rsid w:val="00A03481"/>
    <w:rsid w:val="00A035E3"/>
    <w:rsid w:val="00A03876"/>
    <w:rsid w:val="00A038D2"/>
    <w:rsid w:val="00A0391B"/>
    <w:rsid w:val="00A039FB"/>
    <w:rsid w:val="00A03ABE"/>
    <w:rsid w:val="00A03C85"/>
    <w:rsid w:val="00A03E32"/>
    <w:rsid w:val="00A03F6F"/>
    <w:rsid w:val="00A040FB"/>
    <w:rsid w:val="00A04154"/>
    <w:rsid w:val="00A04C06"/>
    <w:rsid w:val="00A05380"/>
    <w:rsid w:val="00A053E3"/>
    <w:rsid w:val="00A05DCC"/>
    <w:rsid w:val="00A05FF7"/>
    <w:rsid w:val="00A06392"/>
    <w:rsid w:val="00A06415"/>
    <w:rsid w:val="00A067AF"/>
    <w:rsid w:val="00A06D77"/>
    <w:rsid w:val="00A06D9B"/>
    <w:rsid w:val="00A0735C"/>
    <w:rsid w:val="00A07A56"/>
    <w:rsid w:val="00A07F01"/>
    <w:rsid w:val="00A1055E"/>
    <w:rsid w:val="00A108F4"/>
    <w:rsid w:val="00A10DE0"/>
    <w:rsid w:val="00A11451"/>
    <w:rsid w:val="00A11B84"/>
    <w:rsid w:val="00A120BD"/>
    <w:rsid w:val="00A12320"/>
    <w:rsid w:val="00A125CF"/>
    <w:rsid w:val="00A126C8"/>
    <w:rsid w:val="00A127E0"/>
    <w:rsid w:val="00A12894"/>
    <w:rsid w:val="00A12D02"/>
    <w:rsid w:val="00A12D68"/>
    <w:rsid w:val="00A13235"/>
    <w:rsid w:val="00A13647"/>
    <w:rsid w:val="00A1445D"/>
    <w:rsid w:val="00A14645"/>
    <w:rsid w:val="00A149A3"/>
    <w:rsid w:val="00A14FA9"/>
    <w:rsid w:val="00A14FB9"/>
    <w:rsid w:val="00A152EF"/>
    <w:rsid w:val="00A1558E"/>
    <w:rsid w:val="00A15761"/>
    <w:rsid w:val="00A158D8"/>
    <w:rsid w:val="00A15E65"/>
    <w:rsid w:val="00A15F33"/>
    <w:rsid w:val="00A16370"/>
    <w:rsid w:val="00A166A7"/>
    <w:rsid w:val="00A1678F"/>
    <w:rsid w:val="00A167DC"/>
    <w:rsid w:val="00A17011"/>
    <w:rsid w:val="00A170D1"/>
    <w:rsid w:val="00A170F1"/>
    <w:rsid w:val="00A17491"/>
    <w:rsid w:val="00A174F3"/>
    <w:rsid w:val="00A17BC6"/>
    <w:rsid w:val="00A2033D"/>
    <w:rsid w:val="00A20D58"/>
    <w:rsid w:val="00A20F24"/>
    <w:rsid w:val="00A212DB"/>
    <w:rsid w:val="00A21FDE"/>
    <w:rsid w:val="00A2258E"/>
    <w:rsid w:val="00A22597"/>
    <w:rsid w:val="00A22B9B"/>
    <w:rsid w:val="00A22C64"/>
    <w:rsid w:val="00A22F40"/>
    <w:rsid w:val="00A23734"/>
    <w:rsid w:val="00A237A1"/>
    <w:rsid w:val="00A24393"/>
    <w:rsid w:val="00A2482C"/>
    <w:rsid w:val="00A248D4"/>
    <w:rsid w:val="00A24EB4"/>
    <w:rsid w:val="00A252DC"/>
    <w:rsid w:val="00A25465"/>
    <w:rsid w:val="00A25528"/>
    <w:rsid w:val="00A25C83"/>
    <w:rsid w:val="00A25DA0"/>
    <w:rsid w:val="00A2614C"/>
    <w:rsid w:val="00A26332"/>
    <w:rsid w:val="00A263CC"/>
    <w:rsid w:val="00A264E5"/>
    <w:rsid w:val="00A267B5"/>
    <w:rsid w:val="00A27115"/>
    <w:rsid w:val="00A27623"/>
    <w:rsid w:val="00A27A72"/>
    <w:rsid w:val="00A27B51"/>
    <w:rsid w:val="00A27B93"/>
    <w:rsid w:val="00A30425"/>
    <w:rsid w:val="00A31E9F"/>
    <w:rsid w:val="00A32D2E"/>
    <w:rsid w:val="00A32DE3"/>
    <w:rsid w:val="00A330EE"/>
    <w:rsid w:val="00A3362E"/>
    <w:rsid w:val="00A33675"/>
    <w:rsid w:val="00A34136"/>
    <w:rsid w:val="00A3445F"/>
    <w:rsid w:val="00A3482E"/>
    <w:rsid w:val="00A34E8D"/>
    <w:rsid w:val="00A34F92"/>
    <w:rsid w:val="00A3501C"/>
    <w:rsid w:val="00A3568D"/>
    <w:rsid w:val="00A35933"/>
    <w:rsid w:val="00A3597B"/>
    <w:rsid w:val="00A35997"/>
    <w:rsid w:val="00A35B32"/>
    <w:rsid w:val="00A35D0F"/>
    <w:rsid w:val="00A36726"/>
    <w:rsid w:val="00A36A1E"/>
    <w:rsid w:val="00A36B3D"/>
    <w:rsid w:val="00A36D11"/>
    <w:rsid w:val="00A36E85"/>
    <w:rsid w:val="00A37670"/>
    <w:rsid w:val="00A37D26"/>
    <w:rsid w:val="00A4065B"/>
    <w:rsid w:val="00A40994"/>
    <w:rsid w:val="00A40C18"/>
    <w:rsid w:val="00A40CC8"/>
    <w:rsid w:val="00A410F9"/>
    <w:rsid w:val="00A41B5D"/>
    <w:rsid w:val="00A42155"/>
    <w:rsid w:val="00A422B0"/>
    <w:rsid w:val="00A425D8"/>
    <w:rsid w:val="00A42636"/>
    <w:rsid w:val="00A42753"/>
    <w:rsid w:val="00A42C34"/>
    <w:rsid w:val="00A42E80"/>
    <w:rsid w:val="00A43375"/>
    <w:rsid w:val="00A433A4"/>
    <w:rsid w:val="00A43A6F"/>
    <w:rsid w:val="00A44FFE"/>
    <w:rsid w:val="00A45026"/>
    <w:rsid w:val="00A453B3"/>
    <w:rsid w:val="00A45772"/>
    <w:rsid w:val="00A4638C"/>
    <w:rsid w:val="00A46434"/>
    <w:rsid w:val="00A464C7"/>
    <w:rsid w:val="00A473EB"/>
    <w:rsid w:val="00A47874"/>
    <w:rsid w:val="00A47AB8"/>
    <w:rsid w:val="00A47AF6"/>
    <w:rsid w:val="00A47F0F"/>
    <w:rsid w:val="00A500E8"/>
    <w:rsid w:val="00A500ED"/>
    <w:rsid w:val="00A50640"/>
    <w:rsid w:val="00A50838"/>
    <w:rsid w:val="00A50D89"/>
    <w:rsid w:val="00A50F36"/>
    <w:rsid w:val="00A5124E"/>
    <w:rsid w:val="00A51BCD"/>
    <w:rsid w:val="00A51C4F"/>
    <w:rsid w:val="00A51F9F"/>
    <w:rsid w:val="00A52F33"/>
    <w:rsid w:val="00A5335F"/>
    <w:rsid w:val="00A53493"/>
    <w:rsid w:val="00A5394D"/>
    <w:rsid w:val="00A53AC5"/>
    <w:rsid w:val="00A53C61"/>
    <w:rsid w:val="00A54F17"/>
    <w:rsid w:val="00A5528D"/>
    <w:rsid w:val="00A56086"/>
    <w:rsid w:val="00A565C8"/>
    <w:rsid w:val="00A569F0"/>
    <w:rsid w:val="00A56B9A"/>
    <w:rsid w:val="00A56BA7"/>
    <w:rsid w:val="00A57527"/>
    <w:rsid w:val="00A5783A"/>
    <w:rsid w:val="00A57AA3"/>
    <w:rsid w:val="00A60283"/>
    <w:rsid w:val="00A60943"/>
    <w:rsid w:val="00A60A02"/>
    <w:rsid w:val="00A6103A"/>
    <w:rsid w:val="00A619CD"/>
    <w:rsid w:val="00A61B97"/>
    <w:rsid w:val="00A61C1A"/>
    <w:rsid w:val="00A63325"/>
    <w:rsid w:val="00A63486"/>
    <w:rsid w:val="00A63914"/>
    <w:rsid w:val="00A63A1D"/>
    <w:rsid w:val="00A6448B"/>
    <w:rsid w:val="00A645F8"/>
    <w:rsid w:val="00A6474C"/>
    <w:rsid w:val="00A649AE"/>
    <w:rsid w:val="00A64A31"/>
    <w:rsid w:val="00A64D7A"/>
    <w:rsid w:val="00A65429"/>
    <w:rsid w:val="00A655C3"/>
    <w:rsid w:val="00A6560E"/>
    <w:rsid w:val="00A65D7B"/>
    <w:rsid w:val="00A667B9"/>
    <w:rsid w:val="00A668AC"/>
    <w:rsid w:val="00A66BC3"/>
    <w:rsid w:val="00A66D26"/>
    <w:rsid w:val="00A67400"/>
    <w:rsid w:val="00A67488"/>
    <w:rsid w:val="00A6755E"/>
    <w:rsid w:val="00A67AA5"/>
    <w:rsid w:val="00A67C9E"/>
    <w:rsid w:val="00A7008A"/>
    <w:rsid w:val="00A70302"/>
    <w:rsid w:val="00A7087A"/>
    <w:rsid w:val="00A709BD"/>
    <w:rsid w:val="00A70D0C"/>
    <w:rsid w:val="00A70E7F"/>
    <w:rsid w:val="00A7148F"/>
    <w:rsid w:val="00A71EC8"/>
    <w:rsid w:val="00A7239D"/>
    <w:rsid w:val="00A737AD"/>
    <w:rsid w:val="00A739B3"/>
    <w:rsid w:val="00A74021"/>
    <w:rsid w:val="00A7464D"/>
    <w:rsid w:val="00A749CA"/>
    <w:rsid w:val="00A74BD2"/>
    <w:rsid w:val="00A74C04"/>
    <w:rsid w:val="00A74D17"/>
    <w:rsid w:val="00A74D95"/>
    <w:rsid w:val="00A753FF"/>
    <w:rsid w:val="00A75472"/>
    <w:rsid w:val="00A755AF"/>
    <w:rsid w:val="00A7589F"/>
    <w:rsid w:val="00A75D57"/>
    <w:rsid w:val="00A763BE"/>
    <w:rsid w:val="00A768E2"/>
    <w:rsid w:val="00A7693C"/>
    <w:rsid w:val="00A76989"/>
    <w:rsid w:val="00A76B07"/>
    <w:rsid w:val="00A76F9A"/>
    <w:rsid w:val="00A7720E"/>
    <w:rsid w:val="00A7751B"/>
    <w:rsid w:val="00A776B6"/>
    <w:rsid w:val="00A778E2"/>
    <w:rsid w:val="00A808A0"/>
    <w:rsid w:val="00A80C1C"/>
    <w:rsid w:val="00A81873"/>
    <w:rsid w:val="00A81BFF"/>
    <w:rsid w:val="00A81C94"/>
    <w:rsid w:val="00A81CE5"/>
    <w:rsid w:val="00A82170"/>
    <w:rsid w:val="00A82255"/>
    <w:rsid w:val="00A82821"/>
    <w:rsid w:val="00A8294A"/>
    <w:rsid w:val="00A82965"/>
    <w:rsid w:val="00A831F8"/>
    <w:rsid w:val="00A83473"/>
    <w:rsid w:val="00A839CC"/>
    <w:rsid w:val="00A83AEF"/>
    <w:rsid w:val="00A83B86"/>
    <w:rsid w:val="00A83C6E"/>
    <w:rsid w:val="00A83D24"/>
    <w:rsid w:val="00A83EFF"/>
    <w:rsid w:val="00A83F33"/>
    <w:rsid w:val="00A8407B"/>
    <w:rsid w:val="00A8478B"/>
    <w:rsid w:val="00A84C31"/>
    <w:rsid w:val="00A85159"/>
    <w:rsid w:val="00A858EF"/>
    <w:rsid w:val="00A859F9"/>
    <w:rsid w:val="00A85A04"/>
    <w:rsid w:val="00A86A05"/>
    <w:rsid w:val="00A87004"/>
    <w:rsid w:val="00A870B2"/>
    <w:rsid w:val="00A900BB"/>
    <w:rsid w:val="00A9063C"/>
    <w:rsid w:val="00A90A71"/>
    <w:rsid w:val="00A90D51"/>
    <w:rsid w:val="00A910ED"/>
    <w:rsid w:val="00A91204"/>
    <w:rsid w:val="00A912BF"/>
    <w:rsid w:val="00A912E0"/>
    <w:rsid w:val="00A91803"/>
    <w:rsid w:val="00A91CFA"/>
    <w:rsid w:val="00A923A4"/>
    <w:rsid w:val="00A92439"/>
    <w:rsid w:val="00A9244C"/>
    <w:rsid w:val="00A92966"/>
    <w:rsid w:val="00A92996"/>
    <w:rsid w:val="00A92B3E"/>
    <w:rsid w:val="00A92E30"/>
    <w:rsid w:val="00A92F01"/>
    <w:rsid w:val="00A92F1E"/>
    <w:rsid w:val="00A93310"/>
    <w:rsid w:val="00A935E1"/>
    <w:rsid w:val="00A9370D"/>
    <w:rsid w:val="00A937B3"/>
    <w:rsid w:val="00A93A4D"/>
    <w:rsid w:val="00A9426D"/>
    <w:rsid w:val="00A942C0"/>
    <w:rsid w:val="00A9439B"/>
    <w:rsid w:val="00A9466D"/>
    <w:rsid w:val="00A94C11"/>
    <w:rsid w:val="00A94CFC"/>
    <w:rsid w:val="00A94E12"/>
    <w:rsid w:val="00A95866"/>
    <w:rsid w:val="00A95A60"/>
    <w:rsid w:val="00A96652"/>
    <w:rsid w:val="00A97144"/>
    <w:rsid w:val="00A972E8"/>
    <w:rsid w:val="00A97ED0"/>
    <w:rsid w:val="00AA00DC"/>
    <w:rsid w:val="00AA01A3"/>
    <w:rsid w:val="00AA0357"/>
    <w:rsid w:val="00AA06F3"/>
    <w:rsid w:val="00AA0948"/>
    <w:rsid w:val="00AA0C4E"/>
    <w:rsid w:val="00AA1137"/>
    <w:rsid w:val="00AA1B54"/>
    <w:rsid w:val="00AA2426"/>
    <w:rsid w:val="00AA2442"/>
    <w:rsid w:val="00AA28D4"/>
    <w:rsid w:val="00AA2BE3"/>
    <w:rsid w:val="00AA2D21"/>
    <w:rsid w:val="00AA2D36"/>
    <w:rsid w:val="00AA2DA5"/>
    <w:rsid w:val="00AA32E2"/>
    <w:rsid w:val="00AA348D"/>
    <w:rsid w:val="00AA3919"/>
    <w:rsid w:val="00AA4144"/>
    <w:rsid w:val="00AA4AB8"/>
    <w:rsid w:val="00AA4EEB"/>
    <w:rsid w:val="00AA5129"/>
    <w:rsid w:val="00AA5151"/>
    <w:rsid w:val="00AA54DD"/>
    <w:rsid w:val="00AA5983"/>
    <w:rsid w:val="00AA5FDD"/>
    <w:rsid w:val="00AA68EC"/>
    <w:rsid w:val="00AA6F75"/>
    <w:rsid w:val="00AA6F90"/>
    <w:rsid w:val="00AA701B"/>
    <w:rsid w:val="00AA70A6"/>
    <w:rsid w:val="00AA7217"/>
    <w:rsid w:val="00AA74D3"/>
    <w:rsid w:val="00AA76F8"/>
    <w:rsid w:val="00AA77F7"/>
    <w:rsid w:val="00AA796E"/>
    <w:rsid w:val="00AA7EF2"/>
    <w:rsid w:val="00AA7EF9"/>
    <w:rsid w:val="00AB0095"/>
    <w:rsid w:val="00AB00CE"/>
    <w:rsid w:val="00AB013D"/>
    <w:rsid w:val="00AB02FD"/>
    <w:rsid w:val="00AB0E5C"/>
    <w:rsid w:val="00AB11D6"/>
    <w:rsid w:val="00AB13FD"/>
    <w:rsid w:val="00AB1600"/>
    <w:rsid w:val="00AB182F"/>
    <w:rsid w:val="00AB1CAB"/>
    <w:rsid w:val="00AB2443"/>
    <w:rsid w:val="00AB2953"/>
    <w:rsid w:val="00AB299A"/>
    <w:rsid w:val="00AB2F48"/>
    <w:rsid w:val="00AB2FBF"/>
    <w:rsid w:val="00AB3019"/>
    <w:rsid w:val="00AB32CA"/>
    <w:rsid w:val="00AB33E7"/>
    <w:rsid w:val="00AB3724"/>
    <w:rsid w:val="00AB3B81"/>
    <w:rsid w:val="00AB40CE"/>
    <w:rsid w:val="00AB4223"/>
    <w:rsid w:val="00AB4861"/>
    <w:rsid w:val="00AB4DF5"/>
    <w:rsid w:val="00AB5663"/>
    <w:rsid w:val="00AB5DC0"/>
    <w:rsid w:val="00AB5E1B"/>
    <w:rsid w:val="00AB6303"/>
    <w:rsid w:val="00AB669C"/>
    <w:rsid w:val="00AB66FD"/>
    <w:rsid w:val="00AB678B"/>
    <w:rsid w:val="00AB6AC5"/>
    <w:rsid w:val="00AB7673"/>
    <w:rsid w:val="00AB7A2C"/>
    <w:rsid w:val="00AB7A69"/>
    <w:rsid w:val="00AB7B6F"/>
    <w:rsid w:val="00AC00C7"/>
    <w:rsid w:val="00AC037B"/>
    <w:rsid w:val="00AC039A"/>
    <w:rsid w:val="00AC0BAA"/>
    <w:rsid w:val="00AC11E5"/>
    <w:rsid w:val="00AC14C5"/>
    <w:rsid w:val="00AC1710"/>
    <w:rsid w:val="00AC1DF3"/>
    <w:rsid w:val="00AC2073"/>
    <w:rsid w:val="00AC269D"/>
    <w:rsid w:val="00AC291B"/>
    <w:rsid w:val="00AC2C51"/>
    <w:rsid w:val="00AC359C"/>
    <w:rsid w:val="00AC4473"/>
    <w:rsid w:val="00AC47A0"/>
    <w:rsid w:val="00AC5191"/>
    <w:rsid w:val="00AC5452"/>
    <w:rsid w:val="00AC55FB"/>
    <w:rsid w:val="00AC5648"/>
    <w:rsid w:val="00AC59DE"/>
    <w:rsid w:val="00AC59F8"/>
    <w:rsid w:val="00AC5CD4"/>
    <w:rsid w:val="00AC5D40"/>
    <w:rsid w:val="00AC5D7E"/>
    <w:rsid w:val="00AC6034"/>
    <w:rsid w:val="00AC63D6"/>
    <w:rsid w:val="00AC6445"/>
    <w:rsid w:val="00AC6601"/>
    <w:rsid w:val="00AC6615"/>
    <w:rsid w:val="00AC6793"/>
    <w:rsid w:val="00AC6B22"/>
    <w:rsid w:val="00AC6BC5"/>
    <w:rsid w:val="00AC6BE2"/>
    <w:rsid w:val="00AC6E52"/>
    <w:rsid w:val="00AC7119"/>
    <w:rsid w:val="00AC7419"/>
    <w:rsid w:val="00AC76AE"/>
    <w:rsid w:val="00AD022A"/>
    <w:rsid w:val="00AD039F"/>
    <w:rsid w:val="00AD05D6"/>
    <w:rsid w:val="00AD0D02"/>
    <w:rsid w:val="00AD14CC"/>
    <w:rsid w:val="00AD1592"/>
    <w:rsid w:val="00AD1699"/>
    <w:rsid w:val="00AD1731"/>
    <w:rsid w:val="00AD1817"/>
    <w:rsid w:val="00AD190F"/>
    <w:rsid w:val="00AD1E5E"/>
    <w:rsid w:val="00AD2189"/>
    <w:rsid w:val="00AD2990"/>
    <w:rsid w:val="00AD2C46"/>
    <w:rsid w:val="00AD314B"/>
    <w:rsid w:val="00AD3859"/>
    <w:rsid w:val="00AD3A6A"/>
    <w:rsid w:val="00AD3D17"/>
    <w:rsid w:val="00AD4041"/>
    <w:rsid w:val="00AD417A"/>
    <w:rsid w:val="00AD45FF"/>
    <w:rsid w:val="00AD4C5C"/>
    <w:rsid w:val="00AD4D5D"/>
    <w:rsid w:val="00AD4EFE"/>
    <w:rsid w:val="00AD4FEB"/>
    <w:rsid w:val="00AD507D"/>
    <w:rsid w:val="00AD50CF"/>
    <w:rsid w:val="00AD54C1"/>
    <w:rsid w:val="00AD56CF"/>
    <w:rsid w:val="00AD5984"/>
    <w:rsid w:val="00AD5D1C"/>
    <w:rsid w:val="00AD5D6E"/>
    <w:rsid w:val="00AD5F1C"/>
    <w:rsid w:val="00AD6812"/>
    <w:rsid w:val="00AD6C59"/>
    <w:rsid w:val="00AD6DAC"/>
    <w:rsid w:val="00AD7122"/>
    <w:rsid w:val="00AD75BE"/>
    <w:rsid w:val="00AD76F0"/>
    <w:rsid w:val="00AD779D"/>
    <w:rsid w:val="00AD77F5"/>
    <w:rsid w:val="00AD78AE"/>
    <w:rsid w:val="00AD7B36"/>
    <w:rsid w:val="00AD7B87"/>
    <w:rsid w:val="00AD7DD9"/>
    <w:rsid w:val="00AE00FB"/>
    <w:rsid w:val="00AE0B12"/>
    <w:rsid w:val="00AE1676"/>
    <w:rsid w:val="00AE1D5F"/>
    <w:rsid w:val="00AE2210"/>
    <w:rsid w:val="00AE22BD"/>
    <w:rsid w:val="00AE25C9"/>
    <w:rsid w:val="00AE2601"/>
    <w:rsid w:val="00AE2BC7"/>
    <w:rsid w:val="00AE2D1B"/>
    <w:rsid w:val="00AE3436"/>
    <w:rsid w:val="00AE3718"/>
    <w:rsid w:val="00AE3D33"/>
    <w:rsid w:val="00AE3F59"/>
    <w:rsid w:val="00AE3FAB"/>
    <w:rsid w:val="00AE43BB"/>
    <w:rsid w:val="00AE43F2"/>
    <w:rsid w:val="00AE4459"/>
    <w:rsid w:val="00AE4740"/>
    <w:rsid w:val="00AE49CC"/>
    <w:rsid w:val="00AE4CA6"/>
    <w:rsid w:val="00AE4D44"/>
    <w:rsid w:val="00AE5BA2"/>
    <w:rsid w:val="00AE5D54"/>
    <w:rsid w:val="00AE5D66"/>
    <w:rsid w:val="00AE5F64"/>
    <w:rsid w:val="00AE6001"/>
    <w:rsid w:val="00AE62A9"/>
    <w:rsid w:val="00AE6543"/>
    <w:rsid w:val="00AE672B"/>
    <w:rsid w:val="00AE6801"/>
    <w:rsid w:val="00AE6874"/>
    <w:rsid w:val="00AE69B1"/>
    <w:rsid w:val="00AE6C91"/>
    <w:rsid w:val="00AE6D4E"/>
    <w:rsid w:val="00AE6DB1"/>
    <w:rsid w:val="00AE6F2F"/>
    <w:rsid w:val="00AE737A"/>
    <w:rsid w:val="00AE7F1C"/>
    <w:rsid w:val="00AF02C6"/>
    <w:rsid w:val="00AF03F0"/>
    <w:rsid w:val="00AF0466"/>
    <w:rsid w:val="00AF04F3"/>
    <w:rsid w:val="00AF062B"/>
    <w:rsid w:val="00AF0CE5"/>
    <w:rsid w:val="00AF1771"/>
    <w:rsid w:val="00AF20CF"/>
    <w:rsid w:val="00AF28BA"/>
    <w:rsid w:val="00AF310B"/>
    <w:rsid w:val="00AF31E6"/>
    <w:rsid w:val="00AF34D2"/>
    <w:rsid w:val="00AF3D8B"/>
    <w:rsid w:val="00AF3DC8"/>
    <w:rsid w:val="00AF4D7B"/>
    <w:rsid w:val="00AF4F86"/>
    <w:rsid w:val="00AF5167"/>
    <w:rsid w:val="00AF60DA"/>
    <w:rsid w:val="00AF67AB"/>
    <w:rsid w:val="00AF686F"/>
    <w:rsid w:val="00AF695A"/>
    <w:rsid w:val="00AF6DE7"/>
    <w:rsid w:val="00AF7129"/>
    <w:rsid w:val="00AF7345"/>
    <w:rsid w:val="00AF7514"/>
    <w:rsid w:val="00AF7526"/>
    <w:rsid w:val="00AF77B4"/>
    <w:rsid w:val="00AF7ACF"/>
    <w:rsid w:val="00AF7D27"/>
    <w:rsid w:val="00AF7DEB"/>
    <w:rsid w:val="00B00BA2"/>
    <w:rsid w:val="00B00D67"/>
    <w:rsid w:val="00B011AB"/>
    <w:rsid w:val="00B0134A"/>
    <w:rsid w:val="00B01472"/>
    <w:rsid w:val="00B016D9"/>
    <w:rsid w:val="00B01770"/>
    <w:rsid w:val="00B017E1"/>
    <w:rsid w:val="00B01870"/>
    <w:rsid w:val="00B01D0E"/>
    <w:rsid w:val="00B01F1A"/>
    <w:rsid w:val="00B01F83"/>
    <w:rsid w:val="00B020C9"/>
    <w:rsid w:val="00B02622"/>
    <w:rsid w:val="00B029C9"/>
    <w:rsid w:val="00B02AD4"/>
    <w:rsid w:val="00B02BFC"/>
    <w:rsid w:val="00B02E79"/>
    <w:rsid w:val="00B02FF1"/>
    <w:rsid w:val="00B03361"/>
    <w:rsid w:val="00B0363A"/>
    <w:rsid w:val="00B03699"/>
    <w:rsid w:val="00B0369E"/>
    <w:rsid w:val="00B041C2"/>
    <w:rsid w:val="00B04496"/>
    <w:rsid w:val="00B04597"/>
    <w:rsid w:val="00B0488E"/>
    <w:rsid w:val="00B04D56"/>
    <w:rsid w:val="00B04D67"/>
    <w:rsid w:val="00B04E83"/>
    <w:rsid w:val="00B0510A"/>
    <w:rsid w:val="00B05571"/>
    <w:rsid w:val="00B05635"/>
    <w:rsid w:val="00B056CF"/>
    <w:rsid w:val="00B05E75"/>
    <w:rsid w:val="00B06870"/>
    <w:rsid w:val="00B06E05"/>
    <w:rsid w:val="00B0741F"/>
    <w:rsid w:val="00B0752B"/>
    <w:rsid w:val="00B0775A"/>
    <w:rsid w:val="00B07C94"/>
    <w:rsid w:val="00B07D58"/>
    <w:rsid w:val="00B07FC0"/>
    <w:rsid w:val="00B100EA"/>
    <w:rsid w:val="00B1033B"/>
    <w:rsid w:val="00B105D8"/>
    <w:rsid w:val="00B1119C"/>
    <w:rsid w:val="00B11238"/>
    <w:rsid w:val="00B11357"/>
    <w:rsid w:val="00B113FC"/>
    <w:rsid w:val="00B11595"/>
    <w:rsid w:val="00B1376F"/>
    <w:rsid w:val="00B139C1"/>
    <w:rsid w:val="00B13C70"/>
    <w:rsid w:val="00B13C80"/>
    <w:rsid w:val="00B13FE3"/>
    <w:rsid w:val="00B143DB"/>
    <w:rsid w:val="00B1487B"/>
    <w:rsid w:val="00B14975"/>
    <w:rsid w:val="00B14B2A"/>
    <w:rsid w:val="00B15676"/>
    <w:rsid w:val="00B15B13"/>
    <w:rsid w:val="00B15C65"/>
    <w:rsid w:val="00B1617F"/>
    <w:rsid w:val="00B16755"/>
    <w:rsid w:val="00B16B08"/>
    <w:rsid w:val="00B1708D"/>
    <w:rsid w:val="00B17289"/>
    <w:rsid w:val="00B17378"/>
    <w:rsid w:val="00B173A8"/>
    <w:rsid w:val="00B17460"/>
    <w:rsid w:val="00B17921"/>
    <w:rsid w:val="00B202D9"/>
    <w:rsid w:val="00B20447"/>
    <w:rsid w:val="00B20495"/>
    <w:rsid w:val="00B20510"/>
    <w:rsid w:val="00B20A31"/>
    <w:rsid w:val="00B2181B"/>
    <w:rsid w:val="00B21842"/>
    <w:rsid w:val="00B21BC1"/>
    <w:rsid w:val="00B21C4A"/>
    <w:rsid w:val="00B21E91"/>
    <w:rsid w:val="00B2286D"/>
    <w:rsid w:val="00B22AF1"/>
    <w:rsid w:val="00B22CE4"/>
    <w:rsid w:val="00B2312A"/>
    <w:rsid w:val="00B23BD2"/>
    <w:rsid w:val="00B23E60"/>
    <w:rsid w:val="00B23E79"/>
    <w:rsid w:val="00B23F42"/>
    <w:rsid w:val="00B24027"/>
    <w:rsid w:val="00B2477B"/>
    <w:rsid w:val="00B24EEA"/>
    <w:rsid w:val="00B2593E"/>
    <w:rsid w:val="00B259E5"/>
    <w:rsid w:val="00B25F5B"/>
    <w:rsid w:val="00B26E47"/>
    <w:rsid w:val="00B272C1"/>
    <w:rsid w:val="00B27376"/>
    <w:rsid w:val="00B2747A"/>
    <w:rsid w:val="00B274B3"/>
    <w:rsid w:val="00B27B24"/>
    <w:rsid w:val="00B27B55"/>
    <w:rsid w:val="00B27CD6"/>
    <w:rsid w:val="00B30004"/>
    <w:rsid w:val="00B3014F"/>
    <w:rsid w:val="00B30732"/>
    <w:rsid w:val="00B3078F"/>
    <w:rsid w:val="00B30888"/>
    <w:rsid w:val="00B309D5"/>
    <w:rsid w:val="00B30E1A"/>
    <w:rsid w:val="00B30E6A"/>
    <w:rsid w:val="00B30F7C"/>
    <w:rsid w:val="00B31018"/>
    <w:rsid w:val="00B314A5"/>
    <w:rsid w:val="00B317D5"/>
    <w:rsid w:val="00B31C06"/>
    <w:rsid w:val="00B31E1D"/>
    <w:rsid w:val="00B31F23"/>
    <w:rsid w:val="00B32120"/>
    <w:rsid w:val="00B3259E"/>
    <w:rsid w:val="00B325A8"/>
    <w:rsid w:val="00B32CB6"/>
    <w:rsid w:val="00B32D33"/>
    <w:rsid w:val="00B336A6"/>
    <w:rsid w:val="00B33C9F"/>
    <w:rsid w:val="00B33F6B"/>
    <w:rsid w:val="00B34208"/>
    <w:rsid w:val="00B344E0"/>
    <w:rsid w:val="00B34A4A"/>
    <w:rsid w:val="00B34AEF"/>
    <w:rsid w:val="00B34D29"/>
    <w:rsid w:val="00B34FA1"/>
    <w:rsid w:val="00B35330"/>
    <w:rsid w:val="00B357B5"/>
    <w:rsid w:val="00B35C02"/>
    <w:rsid w:val="00B361B9"/>
    <w:rsid w:val="00B36560"/>
    <w:rsid w:val="00B3673B"/>
    <w:rsid w:val="00B3690A"/>
    <w:rsid w:val="00B3698E"/>
    <w:rsid w:val="00B36CAC"/>
    <w:rsid w:val="00B376E6"/>
    <w:rsid w:val="00B376EE"/>
    <w:rsid w:val="00B37837"/>
    <w:rsid w:val="00B37864"/>
    <w:rsid w:val="00B37CB6"/>
    <w:rsid w:val="00B37FE0"/>
    <w:rsid w:val="00B40A2F"/>
    <w:rsid w:val="00B40AAC"/>
    <w:rsid w:val="00B40C17"/>
    <w:rsid w:val="00B40C22"/>
    <w:rsid w:val="00B40DB6"/>
    <w:rsid w:val="00B40F70"/>
    <w:rsid w:val="00B4130B"/>
    <w:rsid w:val="00B4149A"/>
    <w:rsid w:val="00B418A2"/>
    <w:rsid w:val="00B4195A"/>
    <w:rsid w:val="00B41BCF"/>
    <w:rsid w:val="00B423B2"/>
    <w:rsid w:val="00B425C8"/>
    <w:rsid w:val="00B429D6"/>
    <w:rsid w:val="00B4311B"/>
    <w:rsid w:val="00B4320E"/>
    <w:rsid w:val="00B43813"/>
    <w:rsid w:val="00B43C89"/>
    <w:rsid w:val="00B4420D"/>
    <w:rsid w:val="00B444B4"/>
    <w:rsid w:val="00B444F4"/>
    <w:rsid w:val="00B44725"/>
    <w:rsid w:val="00B44753"/>
    <w:rsid w:val="00B44CE2"/>
    <w:rsid w:val="00B44DB4"/>
    <w:rsid w:val="00B44F43"/>
    <w:rsid w:val="00B45026"/>
    <w:rsid w:val="00B4506A"/>
    <w:rsid w:val="00B45315"/>
    <w:rsid w:val="00B457DC"/>
    <w:rsid w:val="00B45D01"/>
    <w:rsid w:val="00B46181"/>
    <w:rsid w:val="00B46287"/>
    <w:rsid w:val="00B46357"/>
    <w:rsid w:val="00B465C6"/>
    <w:rsid w:val="00B46695"/>
    <w:rsid w:val="00B46823"/>
    <w:rsid w:val="00B46990"/>
    <w:rsid w:val="00B46AC9"/>
    <w:rsid w:val="00B47054"/>
    <w:rsid w:val="00B47349"/>
    <w:rsid w:val="00B4783C"/>
    <w:rsid w:val="00B500F7"/>
    <w:rsid w:val="00B50986"/>
    <w:rsid w:val="00B50DB3"/>
    <w:rsid w:val="00B51107"/>
    <w:rsid w:val="00B51429"/>
    <w:rsid w:val="00B5144A"/>
    <w:rsid w:val="00B515FE"/>
    <w:rsid w:val="00B51D35"/>
    <w:rsid w:val="00B52151"/>
    <w:rsid w:val="00B52289"/>
    <w:rsid w:val="00B522DC"/>
    <w:rsid w:val="00B523EA"/>
    <w:rsid w:val="00B52499"/>
    <w:rsid w:val="00B52801"/>
    <w:rsid w:val="00B528B7"/>
    <w:rsid w:val="00B5294B"/>
    <w:rsid w:val="00B52ADF"/>
    <w:rsid w:val="00B52E53"/>
    <w:rsid w:val="00B53065"/>
    <w:rsid w:val="00B53245"/>
    <w:rsid w:val="00B53617"/>
    <w:rsid w:val="00B53840"/>
    <w:rsid w:val="00B539B1"/>
    <w:rsid w:val="00B53A47"/>
    <w:rsid w:val="00B54061"/>
    <w:rsid w:val="00B54085"/>
    <w:rsid w:val="00B54C1B"/>
    <w:rsid w:val="00B54F9A"/>
    <w:rsid w:val="00B55492"/>
    <w:rsid w:val="00B55C7D"/>
    <w:rsid w:val="00B55D59"/>
    <w:rsid w:val="00B55DB6"/>
    <w:rsid w:val="00B55E03"/>
    <w:rsid w:val="00B5609D"/>
    <w:rsid w:val="00B5615B"/>
    <w:rsid w:val="00B5657E"/>
    <w:rsid w:val="00B5659B"/>
    <w:rsid w:val="00B567B8"/>
    <w:rsid w:val="00B567CC"/>
    <w:rsid w:val="00B56C0C"/>
    <w:rsid w:val="00B60273"/>
    <w:rsid w:val="00B603FB"/>
    <w:rsid w:val="00B60491"/>
    <w:rsid w:val="00B60551"/>
    <w:rsid w:val="00B60990"/>
    <w:rsid w:val="00B60B84"/>
    <w:rsid w:val="00B60CD9"/>
    <w:rsid w:val="00B618EA"/>
    <w:rsid w:val="00B61BFE"/>
    <w:rsid w:val="00B62237"/>
    <w:rsid w:val="00B62609"/>
    <w:rsid w:val="00B63216"/>
    <w:rsid w:val="00B632D9"/>
    <w:rsid w:val="00B63479"/>
    <w:rsid w:val="00B63613"/>
    <w:rsid w:val="00B63983"/>
    <w:rsid w:val="00B63DD2"/>
    <w:rsid w:val="00B64162"/>
    <w:rsid w:val="00B64298"/>
    <w:rsid w:val="00B643C0"/>
    <w:rsid w:val="00B643D1"/>
    <w:rsid w:val="00B64C7F"/>
    <w:rsid w:val="00B64D56"/>
    <w:rsid w:val="00B64DB9"/>
    <w:rsid w:val="00B64E49"/>
    <w:rsid w:val="00B654DA"/>
    <w:rsid w:val="00B656BD"/>
    <w:rsid w:val="00B6570B"/>
    <w:rsid w:val="00B6579D"/>
    <w:rsid w:val="00B65E54"/>
    <w:rsid w:val="00B65F07"/>
    <w:rsid w:val="00B66092"/>
    <w:rsid w:val="00B6686D"/>
    <w:rsid w:val="00B668B2"/>
    <w:rsid w:val="00B66CBB"/>
    <w:rsid w:val="00B66D27"/>
    <w:rsid w:val="00B6720C"/>
    <w:rsid w:val="00B672E7"/>
    <w:rsid w:val="00B673F6"/>
    <w:rsid w:val="00B6746F"/>
    <w:rsid w:val="00B6759F"/>
    <w:rsid w:val="00B678C6"/>
    <w:rsid w:val="00B70612"/>
    <w:rsid w:val="00B716B5"/>
    <w:rsid w:val="00B71784"/>
    <w:rsid w:val="00B71946"/>
    <w:rsid w:val="00B71BB4"/>
    <w:rsid w:val="00B71E22"/>
    <w:rsid w:val="00B71F75"/>
    <w:rsid w:val="00B7260F"/>
    <w:rsid w:val="00B72AEE"/>
    <w:rsid w:val="00B72EBC"/>
    <w:rsid w:val="00B72F7C"/>
    <w:rsid w:val="00B733BF"/>
    <w:rsid w:val="00B7340B"/>
    <w:rsid w:val="00B7346F"/>
    <w:rsid w:val="00B736A2"/>
    <w:rsid w:val="00B7394A"/>
    <w:rsid w:val="00B73F99"/>
    <w:rsid w:val="00B741DA"/>
    <w:rsid w:val="00B742AB"/>
    <w:rsid w:val="00B74445"/>
    <w:rsid w:val="00B7492F"/>
    <w:rsid w:val="00B74E1C"/>
    <w:rsid w:val="00B75047"/>
    <w:rsid w:val="00B752D2"/>
    <w:rsid w:val="00B75B3B"/>
    <w:rsid w:val="00B75FD5"/>
    <w:rsid w:val="00B76118"/>
    <w:rsid w:val="00B7634E"/>
    <w:rsid w:val="00B7643F"/>
    <w:rsid w:val="00B766C4"/>
    <w:rsid w:val="00B76A35"/>
    <w:rsid w:val="00B7730F"/>
    <w:rsid w:val="00B7760F"/>
    <w:rsid w:val="00B80013"/>
    <w:rsid w:val="00B80019"/>
    <w:rsid w:val="00B8004F"/>
    <w:rsid w:val="00B8024C"/>
    <w:rsid w:val="00B80324"/>
    <w:rsid w:val="00B805DA"/>
    <w:rsid w:val="00B80B05"/>
    <w:rsid w:val="00B80C5A"/>
    <w:rsid w:val="00B80DD7"/>
    <w:rsid w:val="00B80E59"/>
    <w:rsid w:val="00B80FD6"/>
    <w:rsid w:val="00B817C3"/>
    <w:rsid w:val="00B81C64"/>
    <w:rsid w:val="00B81DC4"/>
    <w:rsid w:val="00B82049"/>
    <w:rsid w:val="00B82111"/>
    <w:rsid w:val="00B822EE"/>
    <w:rsid w:val="00B82D16"/>
    <w:rsid w:val="00B82FB3"/>
    <w:rsid w:val="00B83243"/>
    <w:rsid w:val="00B8358D"/>
    <w:rsid w:val="00B83B74"/>
    <w:rsid w:val="00B841B7"/>
    <w:rsid w:val="00B84481"/>
    <w:rsid w:val="00B846B5"/>
    <w:rsid w:val="00B8474C"/>
    <w:rsid w:val="00B84BD7"/>
    <w:rsid w:val="00B84D16"/>
    <w:rsid w:val="00B850C5"/>
    <w:rsid w:val="00B854E4"/>
    <w:rsid w:val="00B85893"/>
    <w:rsid w:val="00B85B16"/>
    <w:rsid w:val="00B85B23"/>
    <w:rsid w:val="00B8676E"/>
    <w:rsid w:val="00B86890"/>
    <w:rsid w:val="00B86CC9"/>
    <w:rsid w:val="00B86DA2"/>
    <w:rsid w:val="00B86E28"/>
    <w:rsid w:val="00B87098"/>
    <w:rsid w:val="00B8749C"/>
    <w:rsid w:val="00B876CB"/>
    <w:rsid w:val="00B87D87"/>
    <w:rsid w:val="00B900BF"/>
    <w:rsid w:val="00B902AD"/>
    <w:rsid w:val="00B903DF"/>
    <w:rsid w:val="00B905A4"/>
    <w:rsid w:val="00B90800"/>
    <w:rsid w:val="00B90EF3"/>
    <w:rsid w:val="00B9148B"/>
    <w:rsid w:val="00B91891"/>
    <w:rsid w:val="00B91A9D"/>
    <w:rsid w:val="00B91CEF"/>
    <w:rsid w:val="00B91D81"/>
    <w:rsid w:val="00B91E8F"/>
    <w:rsid w:val="00B91F06"/>
    <w:rsid w:val="00B91FE2"/>
    <w:rsid w:val="00B92416"/>
    <w:rsid w:val="00B92A89"/>
    <w:rsid w:val="00B92EED"/>
    <w:rsid w:val="00B92F10"/>
    <w:rsid w:val="00B93085"/>
    <w:rsid w:val="00B93275"/>
    <w:rsid w:val="00B93294"/>
    <w:rsid w:val="00B933BB"/>
    <w:rsid w:val="00B93436"/>
    <w:rsid w:val="00B93651"/>
    <w:rsid w:val="00B938E9"/>
    <w:rsid w:val="00B93B90"/>
    <w:rsid w:val="00B944E4"/>
    <w:rsid w:val="00B9465E"/>
    <w:rsid w:val="00B94A22"/>
    <w:rsid w:val="00B94E7A"/>
    <w:rsid w:val="00B951D5"/>
    <w:rsid w:val="00B9527B"/>
    <w:rsid w:val="00B95840"/>
    <w:rsid w:val="00B95A8F"/>
    <w:rsid w:val="00B95B8B"/>
    <w:rsid w:val="00B95E10"/>
    <w:rsid w:val="00B95EE3"/>
    <w:rsid w:val="00B962D3"/>
    <w:rsid w:val="00B96415"/>
    <w:rsid w:val="00B96F3E"/>
    <w:rsid w:val="00B9794D"/>
    <w:rsid w:val="00B97A97"/>
    <w:rsid w:val="00B97AA9"/>
    <w:rsid w:val="00B97F86"/>
    <w:rsid w:val="00B97FA2"/>
    <w:rsid w:val="00B97FDB"/>
    <w:rsid w:val="00BA04FA"/>
    <w:rsid w:val="00BA05C4"/>
    <w:rsid w:val="00BA0705"/>
    <w:rsid w:val="00BA0907"/>
    <w:rsid w:val="00BA0A11"/>
    <w:rsid w:val="00BA11AA"/>
    <w:rsid w:val="00BA1738"/>
    <w:rsid w:val="00BA1A63"/>
    <w:rsid w:val="00BA1AA4"/>
    <w:rsid w:val="00BA1FF5"/>
    <w:rsid w:val="00BA2074"/>
    <w:rsid w:val="00BA208A"/>
    <w:rsid w:val="00BA212C"/>
    <w:rsid w:val="00BA2423"/>
    <w:rsid w:val="00BA2605"/>
    <w:rsid w:val="00BA26D5"/>
    <w:rsid w:val="00BA2FCE"/>
    <w:rsid w:val="00BA3141"/>
    <w:rsid w:val="00BA3EA4"/>
    <w:rsid w:val="00BA3FD4"/>
    <w:rsid w:val="00BA44AE"/>
    <w:rsid w:val="00BA44F6"/>
    <w:rsid w:val="00BA4C3F"/>
    <w:rsid w:val="00BA5142"/>
    <w:rsid w:val="00BA5526"/>
    <w:rsid w:val="00BA57D5"/>
    <w:rsid w:val="00BA59B7"/>
    <w:rsid w:val="00BA5A63"/>
    <w:rsid w:val="00BA6ACF"/>
    <w:rsid w:val="00BA6C75"/>
    <w:rsid w:val="00BA6D75"/>
    <w:rsid w:val="00BA6E6A"/>
    <w:rsid w:val="00BA70D5"/>
    <w:rsid w:val="00BA73AA"/>
    <w:rsid w:val="00BA73AB"/>
    <w:rsid w:val="00BA7808"/>
    <w:rsid w:val="00BA7940"/>
    <w:rsid w:val="00BA7B4D"/>
    <w:rsid w:val="00BB04B3"/>
    <w:rsid w:val="00BB05A7"/>
    <w:rsid w:val="00BB0821"/>
    <w:rsid w:val="00BB0C76"/>
    <w:rsid w:val="00BB0CF7"/>
    <w:rsid w:val="00BB0E62"/>
    <w:rsid w:val="00BB0F9B"/>
    <w:rsid w:val="00BB12EA"/>
    <w:rsid w:val="00BB1689"/>
    <w:rsid w:val="00BB18C7"/>
    <w:rsid w:val="00BB195A"/>
    <w:rsid w:val="00BB1D26"/>
    <w:rsid w:val="00BB1EA3"/>
    <w:rsid w:val="00BB22E4"/>
    <w:rsid w:val="00BB2887"/>
    <w:rsid w:val="00BB2A4E"/>
    <w:rsid w:val="00BB30EA"/>
    <w:rsid w:val="00BB3305"/>
    <w:rsid w:val="00BB3426"/>
    <w:rsid w:val="00BB37F8"/>
    <w:rsid w:val="00BB3C79"/>
    <w:rsid w:val="00BB3D0F"/>
    <w:rsid w:val="00BB3FBE"/>
    <w:rsid w:val="00BB4145"/>
    <w:rsid w:val="00BB41B3"/>
    <w:rsid w:val="00BB4BEA"/>
    <w:rsid w:val="00BB4C11"/>
    <w:rsid w:val="00BB4D8A"/>
    <w:rsid w:val="00BB53E7"/>
    <w:rsid w:val="00BB5746"/>
    <w:rsid w:val="00BB5A05"/>
    <w:rsid w:val="00BB5ABB"/>
    <w:rsid w:val="00BB5B2C"/>
    <w:rsid w:val="00BB5D76"/>
    <w:rsid w:val="00BB5DEE"/>
    <w:rsid w:val="00BB5F02"/>
    <w:rsid w:val="00BB5F3D"/>
    <w:rsid w:val="00BB6095"/>
    <w:rsid w:val="00BB64BF"/>
    <w:rsid w:val="00BB666D"/>
    <w:rsid w:val="00BB6FD3"/>
    <w:rsid w:val="00BB732A"/>
    <w:rsid w:val="00BB7403"/>
    <w:rsid w:val="00BB74B3"/>
    <w:rsid w:val="00BB75CC"/>
    <w:rsid w:val="00BB776E"/>
    <w:rsid w:val="00BB78C4"/>
    <w:rsid w:val="00BB7982"/>
    <w:rsid w:val="00BB7CD5"/>
    <w:rsid w:val="00BB7D55"/>
    <w:rsid w:val="00BC0228"/>
    <w:rsid w:val="00BC03AE"/>
    <w:rsid w:val="00BC066B"/>
    <w:rsid w:val="00BC07A1"/>
    <w:rsid w:val="00BC0927"/>
    <w:rsid w:val="00BC0A96"/>
    <w:rsid w:val="00BC0AD6"/>
    <w:rsid w:val="00BC1275"/>
    <w:rsid w:val="00BC1621"/>
    <w:rsid w:val="00BC17D7"/>
    <w:rsid w:val="00BC1B9C"/>
    <w:rsid w:val="00BC20AF"/>
    <w:rsid w:val="00BC2317"/>
    <w:rsid w:val="00BC28D9"/>
    <w:rsid w:val="00BC2AF6"/>
    <w:rsid w:val="00BC2CDE"/>
    <w:rsid w:val="00BC2D8D"/>
    <w:rsid w:val="00BC3586"/>
    <w:rsid w:val="00BC36D4"/>
    <w:rsid w:val="00BC3E8C"/>
    <w:rsid w:val="00BC3EC5"/>
    <w:rsid w:val="00BC3F5A"/>
    <w:rsid w:val="00BC41DF"/>
    <w:rsid w:val="00BC428D"/>
    <w:rsid w:val="00BC4989"/>
    <w:rsid w:val="00BC58F4"/>
    <w:rsid w:val="00BC5A33"/>
    <w:rsid w:val="00BC60AC"/>
    <w:rsid w:val="00BC62DD"/>
    <w:rsid w:val="00BC653B"/>
    <w:rsid w:val="00BC6D97"/>
    <w:rsid w:val="00BC7355"/>
    <w:rsid w:val="00BC7C0B"/>
    <w:rsid w:val="00BC7C1F"/>
    <w:rsid w:val="00BC7F9C"/>
    <w:rsid w:val="00BD0389"/>
    <w:rsid w:val="00BD03B4"/>
    <w:rsid w:val="00BD0606"/>
    <w:rsid w:val="00BD0AEA"/>
    <w:rsid w:val="00BD0C33"/>
    <w:rsid w:val="00BD0F9D"/>
    <w:rsid w:val="00BD1170"/>
    <w:rsid w:val="00BD131F"/>
    <w:rsid w:val="00BD1766"/>
    <w:rsid w:val="00BD1797"/>
    <w:rsid w:val="00BD1806"/>
    <w:rsid w:val="00BD1914"/>
    <w:rsid w:val="00BD1A50"/>
    <w:rsid w:val="00BD1CB7"/>
    <w:rsid w:val="00BD2A72"/>
    <w:rsid w:val="00BD2F25"/>
    <w:rsid w:val="00BD30C4"/>
    <w:rsid w:val="00BD3705"/>
    <w:rsid w:val="00BD390F"/>
    <w:rsid w:val="00BD3F6B"/>
    <w:rsid w:val="00BD45A3"/>
    <w:rsid w:val="00BD4D3E"/>
    <w:rsid w:val="00BD5356"/>
    <w:rsid w:val="00BD546F"/>
    <w:rsid w:val="00BD560A"/>
    <w:rsid w:val="00BD59A6"/>
    <w:rsid w:val="00BD5A80"/>
    <w:rsid w:val="00BD5C01"/>
    <w:rsid w:val="00BD60CC"/>
    <w:rsid w:val="00BD60DD"/>
    <w:rsid w:val="00BD635A"/>
    <w:rsid w:val="00BD640E"/>
    <w:rsid w:val="00BD67AE"/>
    <w:rsid w:val="00BD6B69"/>
    <w:rsid w:val="00BD6ECE"/>
    <w:rsid w:val="00BD724D"/>
    <w:rsid w:val="00BD765F"/>
    <w:rsid w:val="00BD76A0"/>
    <w:rsid w:val="00BD7AA8"/>
    <w:rsid w:val="00BD7BAC"/>
    <w:rsid w:val="00BD7EC8"/>
    <w:rsid w:val="00BD7F4F"/>
    <w:rsid w:val="00BE03EA"/>
    <w:rsid w:val="00BE04D6"/>
    <w:rsid w:val="00BE0621"/>
    <w:rsid w:val="00BE0A2F"/>
    <w:rsid w:val="00BE0A77"/>
    <w:rsid w:val="00BE10A3"/>
    <w:rsid w:val="00BE13B8"/>
    <w:rsid w:val="00BE147D"/>
    <w:rsid w:val="00BE14F9"/>
    <w:rsid w:val="00BE186D"/>
    <w:rsid w:val="00BE1960"/>
    <w:rsid w:val="00BE235B"/>
    <w:rsid w:val="00BE2447"/>
    <w:rsid w:val="00BE247F"/>
    <w:rsid w:val="00BE2B1F"/>
    <w:rsid w:val="00BE2B8D"/>
    <w:rsid w:val="00BE2DD8"/>
    <w:rsid w:val="00BE2F91"/>
    <w:rsid w:val="00BE3045"/>
    <w:rsid w:val="00BE38C0"/>
    <w:rsid w:val="00BE3C5C"/>
    <w:rsid w:val="00BE3C76"/>
    <w:rsid w:val="00BE406C"/>
    <w:rsid w:val="00BE42FA"/>
    <w:rsid w:val="00BE45D5"/>
    <w:rsid w:val="00BE4872"/>
    <w:rsid w:val="00BE4981"/>
    <w:rsid w:val="00BE4D8A"/>
    <w:rsid w:val="00BE5216"/>
    <w:rsid w:val="00BE5BAE"/>
    <w:rsid w:val="00BE6099"/>
    <w:rsid w:val="00BE6CB2"/>
    <w:rsid w:val="00BE6F11"/>
    <w:rsid w:val="00BE7040"/>
    <w:rsid w:val="00BE75AE"/>
    <w:rsid w:val="00BE793D"/>
    <w:rsid w:val="00BF0208"/>
    <w:rsid w:val="00BF03EF"/>
    <w:rsid w:val="00BF0C3B"/>
    <w:rsid w:val="00BF0F8A"/>
    <w:rsid w:val="00BF15A7"/>
    <w:rsid w:val="00BF1763"/>
    <w:rsid w:val="00BF1BCC"/>
    <w:rsid w:val="00BF21C4"/>
    <w:rsid w:val="00BF2309"/>
    <w:rsid w:val="00BF2382"/>
    <w:rsid w:val="00BF259E"/>
    <w:rsid w:val="00BF351A"/>
    <w:rsid w:val="00BF35D0"/>
    <w:rsid w:val="00BF37E9"/>
    <w:rsid w:val="00BF37F6"/>
    <w:rsid w:val="00BF4159"/>
    <w:rsid w:val="00BF4787"/>
    <w:rsid w:val="00BF4A18"/>
    <w:rsid w:val="00BF4C03"/>
    <w:rsid w:val="00BF4E4C"/>
    <w:rsid w:val="00BF516A"/>
    <w:rsid w:val="00BF53FB"/>
    <w:rsid w:val="00BF5A3B"/>
    <w:rsid w:val="00BF5AAF"/>
    <w:rsid w:val="00BF5DB4"/>
    <w:rsid w:val="00BF5DE7"/>
    <w:rsid w:val="00BF6089"/>
    <w:rsid w:val="00BF6145"/>
    <w:rsid w:val="00BF631D"/>
    <w:rsid w:val="00BF659D"/>
    <w:rsid w:val="00BF65BC"/>
    <w:rsid w:val="00BF6A62"/>
    <w:rsid w:val="00BF7019"/>
    <w:rsid w:val="00BF71CC"/>
    <w:rsid w:val="00BF758E"/>
    <w:rsid w:val="00BF76B1"/>
    <w:rsid w:val="00BF7F9F"/>
    <w:rsid w:val="00C00C9B"/>
    <w:rsid w:val="00C00FEF"/>
    <w:rsid w:val="00C01054"/>
    <w:rsid w:val="00C01226"/>
    <w:rsid w:val="00C01565"/>
    <w:rsid w:val="00C0161E"/>
    <w:rsid w:val="00C017AF"/>
    <w:rsid w:val="00C018E1"/>
    <w:rsid w:val="00C01D76"/>
    <w:rsid w:val="00C020F2"/>
    <w:rsid w:val="00C02411"/>
    <w:rsid w:val="00C024CF"/>
    <w:rsid w:val="00C02745"/>
    <w:rsid w:val="00C027C9"/>
    <w:rsid w:val="00C02960"/>
    <w:rsid w:val="00C02B51"/>
    <w:rsid w:val="00C02CF8"/>
    <w:rsid w:val="00C02EE1"/>
    <w:rsid w:val="00C031A6"/>
    <w:rsid w:val="00C03C9F"/>
    <w:rsid w:val="00C03EED"/>
    <w:rsid w:val="00C04989"/>
    <w:rsid w:val="00C04CBE"/>
    <w:rsid w:val="00C04E4A"/>
    <w:rsid w:val="00C05073"/>
    <w:rsid w:val="00C05129"/>
    <w:rsid w:val="00C054DC"/>
    <w:rsid w:val="00C0564F"/>
    <w:rsid w:val="00C056AA"/>
    <w:rsid w:val="00C05F73"/>
    <w:rsid w:val="00C05FEA"/>
    <w:rsid w:val="00C061BB"/>
    <w:rsid w:val="00C066BB"/>
    <w:rsid w:val="00C067E3"/>
    <w:rsid w:val="00C07824"/>
    <w:rsid w:val="00C079F6"/>
    <w:rsid w:val="00C07A8C"/>
    <w:rsid w:val="00C07BF9"/>
    <w:rsid w:val="00C107D5"/>
    <w:rsid w:val="00C109B7"/>
    <w:rsid w:val="00C10A31"/>
    <w:rsid w:val="00C115A2"/>
    <w:rsid w:val="00C11E27"/>
    <w:rsid w:val="00C1208E"/>
    <w:rsid w:val="00C122AB"/>
    <w:rsid w:val="00C1235D"/>
    <w:rsid w:val="00C123FA"/>
    <w:rsid w:val="00C12913"/>
    <w:rsid w:val="00C12943"/>
    <w:rsid w:val="00C12A75"/>
    <w:rsid w:val="00C12E5E"/>
    <w:rsid w:val="00C12E91"/>
    <w:rsid w:val="00C1329E"/>
    <w:rsid w:val="00C13390"/>
    <w:rsid w:val="00C133AC"/>
    <w:rsid w:val="00C137E8"/>
    <w:rsid w:val="00C1386B"/>
    <w:rsid w:val="00C141F4"/>
    <w:rsid w:val="00C14268"/>
    <w:rsid w:val="00C1454B"/>
    <w:rsid w:val="00C14FA7"/>
    <w:rsid w:val="00C15C8D"/>
    <w:rsid w:val="00C15ED7"/>
    <w:rsid w:val="00C15F20"/>
    <w:rsid w:val="00C161F4"/>
    <w:rsid w:val="00C16237"/>
    <w:rsid w:val="00C164A5"/>
    <w:rsid w:val="00C16510"/>
    <w:rsid w:val="00C165A9"/>
    <w:rsid w:val="00C165D2"/>
    <w:rsid w:val="00C1680E"/>
    <w:rsid w:val="00C16C65"/>
    <w:rsid w:val="00C16D0F"/>
    <w:rsid w:val="00C1716E"/>
    <w:rsid w:val="00C17888"/>
    <w:rsid w:val="00C178D1"/>
    <w:rsid w:val="00C208FB"/>
    <w:rsid w:val="00C21325"/>
    <w:rsid w:val="00C213FD"/>
    <w:rsid w:val="00C21567"/>
    <w:rsid w:val="00C21DF2"/>
    <w:rsid w:val="00C22145"/>
    <w:rsid w:val="00C224EE"/>
    <w:rsid w:val="00C22550"/>
    <w:rsid w:val="00C2269A"/>
    <w:rsid w:val="00C22710"/>
    <w:rsid w:val="00C22923"/>
    <w:rsid w:val="00C22DEA"/>
    <w:rsid w:val="00C2343B"/>
    <w:rsid w:val="00C235A1"/>
    <w:rsid w:val="00C2379F"/>
    <w:rsid w:val="00C2387D"/>
    <w:rsid w:val="00C239D2"/>
    <w:rsid w:val="00C23CBA"/>
    <w:rsid w:val="00C23DD5"/>
    <w:rsid w:val="00C23E30"/>
    <w:rsid w:val="00C241E5"/>
    <w:rsid w:val="00C246CA"/>
    <w:rsid w:val="00C24A4E"/>
    <w:rsid w:val="00C24BD1"/>
    <w:rsid w:val="00C24D72"/>
    <w:rsid w:val="00C24E8F"/>
    <w:rsid w:val="00C24F0C"/>
    <w:rsid w:val="00C24F3B"/>
    <w:rsid w:val="00C25801"/>
    <w:rsid w:val="00C25973"/>
    <w:rsid w:val="00C25992"/>
    <w:rsid w:val="00C25A33"/>
    <w:rsid w:val="00C25B91"/>
    <w:rsid w:val="00C25D80"/>
    <w:rsid w:val="00C25E32"/>
    <w:rsid w:val="00C268AD"/>
    <w:rsid w:val="00C26B41"/>
    <w:rsid w:val="00C26B91"/>
    <w:rsid w:val="00C26CE2"/>
    <w:rsid w:val="00C26D60"/>
    <w:rsid w:val="00C2716D"/>
    <w:rsid w:val="00C27568"/>
    <w:rsid w:val="00C275B6"/>
    <w:rsid w:val="00C2773B"/>
    <w:rsid w:val="00C3010E"/>
    <w:rsid w:val="00C302EE"/>
    <w:rsid w:val="00C30333"/>
    <w:rsid w:val="00C303C7"/>
    <w:rsid w:val="00C3061B"/>
    <w:rsid w:val="00C30B1D"/>
    <w:rsid w:val="00C30C6B"/>
    <w:rsid w:val="00C31013"/>
    <w:rsid w:val="00C31597"/>
    <w:rsid w:val="00C317A0"/>
    <w:rsid w:val="00C31E3F"/>
    <w:rsid w:val="00C326D8"/>
    <w:rsid w:val="00C328AA"/>
    <w:rsid w:val="00C32C5A"/>
    <w:rsid w:val="00C33122"/>
    <w:rsid w:val="00C333A1"/>
    <w:rsid w:val="00C33AE1"/>
    <w:rsid w:val="00C340E0"/>
    <w:rsid w:val="00C34157"/>
    <w:rsid w:val="00C3423A"/>
    <w:rsid w:val="00C34916"/>
    <w:rsid w:val="00C34922"/>
    <w:rsid w:val="00C349B9"/>
    <w:rsid w:val="00C34C66"/>
    <w:rsid w:val="00C352FC"/>
    <w:rsid w:val="00C35301"/>
    <w:rsid w:val="00C3536E"/>
    <w:rsid w:val="00C35610"/>
    <w:rsid w:val="00C35B48"/>
    <w:rsid w:val="00C35BCB"/>
    <w:rsid w:val="00C36453"/>
    <w:rsid w:val="00C3665A"/>
    <w:rsid w:val="00C3668A"/>
    <w:rsid w:val="00C3688B"/>
    <w:rsid w:val="00C36ABE"/>
    <w:rsid w:val="00C36EAD"/>
    <w:rsid w:val="00C3763D"/>
    <w:rsid w:val="00C37D15"/>
    <w:rsid w:val="00C40838"/>
    <w:rsid w:val="00C40A41"/>
    <w:rsid w:val="00C40A50"/>
    <w:rsid w:val="00C41202"/>
    <w:rsid w:val="00C416BC"/>
    <w:rsid w:val="00C417BA"/>
    <w:rsid w:val="00C423F1"/>
    <w:rsid w:val="00C42914"/>
    <w:rsid w:val="00C4314A"/>
    <w:rsid w:val="00C43194"/>
    <w:rsid w:val="00C433B1"/>
    <w:rsid w:val="00C43BCC"/>
    <w:rsid w:val="00C43DDA"/>
    <w:rsid w:val="00C43FBF"/>
    <w:rsid w:val="00C44341"/>
    <w:rsid w:val="00C44572"/>
    <w:rsid w:val="00C44700"/>
    <w:rsid w:val="00C448E1"/>
    <w:rsid w:val="00C44B1E"/>
    <w:rsid w:val="00C44EC2"/>
    <w:rsid w:val="00C45131"/>
    <w:rsid w:val="00C451D6"/>
    <w:rsid w:val="00C4520B"/>
    <w:rsid w:val="00C4525B"/>
    <w:rsid w:val="00C455F5"/>
    <w:rsid w:val="00C45CC9"/>
    <w:rsid w:val="00C46392"/>
    <w:rsid w:val="00C4673B"/>
    <w:rsid w:val="00C4678E"/>
    <w:rsid w:val="00C46816"/>
    <w:rsid w:val="00C469F8"/>
    <w:rsid w:val="00C47236"/>
    <w:rsid w:val="00C472B7"/>
    <w:rsid w:val="00C473D0"/>
    <w:rsid w:val="00C47444"/>
    <w:rsid w:val="00C476FC"/>
    <w:rsid w:val="00C4773B"/>
    <w:rsid w:val="00C4792C"/>
    <w:rsid w:val="00C4792F"/>
    <w:rsid w:val="00C50395"/>
    <w:rsid w:val="00C50642"/>
    <w:rsid w:val="00C50BE1"/>
    <w:rsid w:val="00C514F4"/>
    <w:rsid w:val="00C5195B"/>
    <w:rsid w:val="00C523AB"/>
    <w:rsid w:val="00C52C52"/>
    <w:rsid w:val="00C52CA7"/>
    <w:rsid w:val="00C52CCD"/>
    <w:rsid w:val="00C534AB"/>
    <w:rsid w:val="00C53532"/>
    <w:rsid w:val="00C53562"/>
    <w:rsid w:val="00C5382E"/>
    <w:rsid w:val="00C53CF0"/>
    <w:rsid w:val="00C53DF8"/>
    <w:rsid w:val="00C53E7F"/>
    <w:rsid w:val="00C54382"/>
    <w:rsid w:val="00C546C8"/>
    <w:rsid w:val="00C54C67"/>
    <w:rsid w:val="00C54DB3"/>
    <w:rsid w:val="00C54EE8"/>
    <w:rsid w:val="00C55156"/>
    <w:rsid w:val="00C551C5"/>
    <w:rsid w:val="00C55412"/>
    <w:rsid w:val="00C5557D"/>
    <w:rsid w:val="00C5560C"/>
    <w:rsid w:val="00C55B2F"/>
    <w:rsid w:val="00C55EF3"/>
    <w:rsid w:val="00C5639F"/>
    <w:rsid w:val="00C569ED"/>
    <w:rsid w:val="00C56BA9"/>
    <w:rsid w:val="00C56CB9"/>
    <w:rsid w:val="00C57394"/>
    <w:rsid w:val="00C57492"/>
    <w:rsid w:val="00C5756F"/>
    <w:rsid w:val="00C57F7E"/>
    <w:rsid w:val="00C60288"/>
    <w:rsid w:val="00C6045F"/>
    <w:rsid w:val="00C60746"/>
    <w:rsid w:val="00C60858"/>
    <w:rsid w:val="00C60BF3"/>
    <w:rsid w:val="00C6102F"/>
    <w:rsid w:val="00C61072"/>
    <w:rsid w:val="00C61114"/>
    <w:rsid w:val="00C61224"/>
    <w:rsid w:val="00C616E3"/>
    <w:rsid w:val="00C6171C"/>
    <w:rsid w:val="00C617E0"/>
    <w:rsid w:val="00C61DC5"/>
    <w:rsid w:val="00C6253F"/>
    <w:rsid w:val="00C62773"/>
    <w:rsid w:val="00C630D9"/>
    <w:rsid w:val="00C630E3"/>
    <w:rsid w:val="00C63861"/>
    <w:rsid w:val="00C638F8"/>
    <w:rsid w:val="00C63C46"/>
    <w:rsid w:val="00C63E41"/>
    <w:rsid w:val="00C63FC6"/>
    <w:rsid w:val="00C64499"/>
    <w:rsid w:val="00C6492C"/>
    <w:rsid w:val="00C649B0"/>
    <w:rsid w:val="00C64E8E"/>
    <w:rsid w:val="00C65018"/>
    <w:rsid w:val="00C6566E"/>
    <w:rsid w:val="00C659DA"/>
    <w:rsid w:val="00C65A76"/>
    <w:rsid w:val="00C65D79"/>
    <w:rsid w:val="00C65EDE"/>
    <w:rsid w:val="00C65FEB"/>
    <w:rsid w:val="00C66062"/>
    <w:rsid w:val="00C660F9"/>
    <w:rsid w:val="00C66B80"/>
    <w:rsid w:val="00C66D18"/>
    <w:rsid w:val="00C66D9A"/>
    <w:rsid w:val="00C66FBF"/>
    <w:rsid w:val="00C67173"/>
    <w:rsid w:val="00C67250"/>
    <w:rsid w:val="00C67A24"/>
    <w:rsid w:val="00C67BA2"/>
    <w:rsid w:val="00C67F37"/>
    <w:rsid w:val="00C70237"/>
    <w:rsid w:val="00C706CD"/>
    <w:rsid w:val="00C706CE"/>
    <w:rsid w:val="00C70D14"/>
    <w:rsid w:val="00C7162A"/>
    <w:rsid w:val="00C719DA"/>
    <w:rsid w:val="00C72244"/>
    <w:rsid w:val="00C72991"/>
    <w:rsid w:val="00C72B63"/>
    <w:rsid w:val="00C730E8"/>
    <w:rsid w:val="00C73581"/>
    <w:rsid w:val="00C7395B"/>
    <w:rsid w:val="00C739F5"/>
    <w:rsid w:val="00C73ECD"/>
    <w:rsid w:val="00C75373"/>
    <w:rsid w:val="00C75CAB"/>
    <w:rsid w:val="00C75D5F"/>
    <w:rsid w:val="00C75DEB"/>
    <w:rsid w:val="00C768E6"/>
    <w:rsid w:val="00C76FD5"/>
    <w:rsid w:val="00C77100"/>
    <w:rsid w:val="00C7727B"/>
    <w:rsid w:val="00C77BAE"/>
    <w:rsid w:val="00C77E1D"/>
    <w:rsid w:val="00C77E6F"/>
    <w:rsid w:val="00C77F05"/>
    <w:rsid w:val="00C8014E"/>
    <w:rsid w:val="00C80170"/>
    <w:rsid w:val="00C80650"/>
    <w:rsid w:val="00C80D70"/>
    <w:rsid w:val="00C81920"/>
    <w:rsid w:val="00C820E4"/>
    <w:rsid w:val="00C8210C"/>
    <w:rsid w:val="00C82131"/>
    <w:rsid w:val="00C821AC"/>
    <w:rsid w:val="00C823B1"/>
    <w:rsid w:val="00C826BD"/>
    <w:rsid w:val="00C82DB9"/>
    <w:rsid w:val="00C8305C"/>
    <w:rsid w:val="00C83202"/>
    <w:rsid w:val="00C83484"/>
    <w:rsid w:val="00C83BFE"/>
    <w:rsid w:val="00C8422C"/>
    <w:rsid w:val="00C84423"/>
    <w:rsid w:val="00C84AF4"/>
    <w:rsid w:val="00C8500C"/>
    <w:rsid w:val="00C852C7"/>
    <w:rsid w:val="00C8545C"/>
    <w:rsid w:val="00C854D1"/>
    <w:rsid w:val="00C8557B"/>
    <w:rsid w:val="00C86812"/>
    <w:rsid w:val="00C868D8"/>
    <w:rsid w:val="00C86E0A"/>
    <w:rsid w:val="00C86E53"/>
    <w:rsid w:val="00C86ECD"/>
    <w:rsid w:val="00C86EE6"/>
    <w:rsid w:val="00C86EF4"/>
    <w:rsid w:val="00C87229"/>
    <w:rsid w:val="00C8727D"/>
    <w:rsid w:val="00C87398"/>
    <w:rsid w:val="00C87627"/>
    <w:rsid w:val="00C877AD"/>
    <w:rsid w:val="00C87E44"/>
    <w:rsid w:val="00C90226"/>
    <w:rsid w:val="00C90296"/>
    <w:rsid w:val="00C90404"/>
    <w:rsid w:val="00C90C45"/>
    <w:rsid w:val="00C90D40"/>
    <w:rsid w:val="00C90E45"/>
    <w:rsid w:val="00C911EC"/>
    <w:rsid w:val="00C914E8"/>
    <w:rsid w:val="00C914FC"/>
    <w:rsid w:val="00C916D6"/>
    <w:rsid w:val="00C91A1E"/>
    <w:rsid w:val="00C91D72"/>
    <w:rsid w:val="00C92166"/>
    <w:rsid w:val="00C92366"/>
    <w:rsid w:val="00C92D3C"/>
    <w:rsid w:val="00C92F58"/>
    <w:rsid w:val="00C93126"/>
    <w:rsid w:val="00C9319D"/>
    <w:rsid w:val="00C931B8"/>
    <w:rsid w:val="00C9335A"/>
    <w:rsid w:val="00C933D2"/>
    <w:rsid w:val="00C933D9"/>
    <w:rsid w:val="00C9390A"/>
    <w:rsid w:val="00C93AEA"/>
    <w:rsid w:val="00C93CCD"/>
    <w:rsid w:val="00C9404D"/>
    <w:rsid w:val="00C9417A"/>
    <w:rsid w:val="00C94698"/>
    <w:rsid w:val="00C9474A"/>
    <w:rsid w:val="00C94BAE"/>
    <w:rsid w:val="00C94E64"/>
    <w:rsid w:val="00C9535B"/>
    <w:rsid w:val="00C95DEA"/>
    <w:rsid w:val="00C96271"/>
    <w:rsid w:val="00C964D5"/>
    <w:rsid w:val="00C96B1C"/>
    <w:rsid w:val="00C9702D"/>
    <w:rsid w:val="00C972D1"/>
    <w:rsid w:val="00C97877"/>
    <w:rsid w:val="00C97E6F"/>
    <w:rsid w:val="00CA036E"/>
    <w:rsid w:val="00CA0416"/>
    <w:rsid w:val="00CA0466"/>
    <w:rsid w:val="00CA0572"/>
    <w:rsid w:val="00CA0772"/>
    <w:rsid w:val="00CA0920"/>
    <w:rsid w:val="00CA0A2F"/>
    <w:rsid w:val="00CA0B1B"/>
    <w:rsid w:val="00CA0BEC"/>
    <w:rsid w:val="00CA0D94"/>
    <w:rsid w:val="00CA130C"/>
    <w:rsid w:val="00CA1497"/>
    <w:rsid w:val="00CA1609"/>
    <w:rsid w:val="00CA1958"/>
    <w:rsid w:val="00CA1CDD"/>
    <w:rsid w:val="00CA1EED"/>
    <w:rsid w:val="00CA22F8"/>
    <w:rsid w:val="00CA2B72"/>
    <w:rsid w:val="00CA2BA5"/>
    <w:rsid w:val="00CA2C92"/>
    <w:rsid w:val="00CA2D29"/>
    <w:rsid w:val="00CA3399"/>
    <w:rsid w:val="00CA3700"/>
    <w:rsid w:val="00CA39A8"/>
    <w:rsid w:val="00CA3CB2"/>
    <w:rsid w:val="00CA3DA1"/>
    <w:rsid w:val="00CA4593"/>
    <w:rsid w:val="00CA47CF"/>
    <w:rsid w:val="00CA4B38"/>
    <w:rsid w:val="00CA4FA2"/>
    <w:rsid w:val="00CA51A7"/>
    <w:rsid w:val="00CA5698"/>
    <w:rsid w:val="00CA5A65"/>
    <w:rsid w:val="00CA5B1F"/>
    <w:rsid w:val="00CA604C"/>
    <w:rsid w:val="00CA616F"/>
    <w:rsid w:val="00CA683E"/>
    <w:rsid w:val="00CA69DD"/>
    <w:rsid w:val="00CA6DD6"/>
    <w:rsid w:val="00CA7460"/>
    <w:rsid w:val="00CA7D6A"/>
    <w:rsid w:val="00CB0084"/>
    <w:rsid w:val="00CB057E"/>
    <w:rsid w:val="00CB05FD"/>
    <w:rsid w:val="00CB06A3"/>
    <w:rsid w:val="00CB0EE0"/>
    <w:rsid w:val="00CB1842"/>
    <w:rsid w:val="00CB1953"/>
    <w:rsid w:val="00CB1A40"/>
    <w:rsid w:val="00CB1AEB"/>
    <w:rsid w:val="00CB1C2B"/>
    <w:rsid w:val="00CB22FD"/>
    <w:rsid w:val="00CB24F8"/>
    <w:rsid w:val="00CB29F2"/>
    <w:rsid w:val="00CB2A5D"/>
    <w:rsid w:val="00CB2ADD"/>
    <w:rsid w:val="00CB303D"/>
    <w:rsid w:val="00CB332B"/>
    <w:rsid w:val="00CB364D"/>
    <w:rsid w:val="00CB3A69"/>
    <w:rsid w:val="00CB3E64"/>
    <w:rsid w:val="00CB3E7E"/>
    <w:rsid w:val="00CB4155"/>
    <w:rsid w:val="00CB4EFC"/>
    <w:rsid w:val="00CB5007"/>
    <w:rsid w:val="00CB5273"/>
    <w:rsid w:val="00CB52CB"/>
    <w:rsid w:val="00CB5320"/>
    <w:rsid w:val="00CB53C6"/>
    <w:rsid w:val="00CB5A49"/>
    <w:rsid w:val="00CB620F"/>
    <w:rsid w:val="00CB633C"/>
    <w:rsid w:val="00CB63B8"/>
    <w:rsid w:val="00CB6775"/>
    <w:rsid w:val="00CB6818"/>
    <w:rsid w:val="00CB681F"/>
    <w:rsid w:val="00CB69E7"/>
    <w:rsid w:val="00CB6E08"/>
    <w:rsid w:val="00CB6F26"/>
    <w:rsid w:val="00CB702A"/>
    <w:rsid w:val="00CB7065"/>
    <w:rsid w:val="00CB73D4"/>
    <w:rsid w:val="00CB7505"/>
    <w:rsid w:val="00CB7668"/>
    <w:rsid w:val="00CB7CA6"/>
    <w:rsid w:val="00CB7D98"/>
    <w:rsid w:val="00CB7E0D"/>
    <w:rsid w:val="00CB7F79"/>
    <w:rsid w:val="00CC0028"/>
    <w:rsid w:val="00CC00D8"/>
    <w:rsid w:val="00CC06F9"/>
    <w:rsid w:val="00CC074F"/>
    <w:rsid w:val="00CC0B98"/>
    <w:rsid w:val="00CC11DD"/>
    <w:rsid w:val="00CC1864"/>
    <w:rsid w:val="00CC1C5A"/>
    <w:rsid w:val="00CC1CD0"/>
    <w:rsid w:val="00CC21BC"/>
    <w:rsid w:val="00CC21D1"/>
    <w:rsid w:val="00CC24CA"/>
    <w:rsid w:val="00CC25FB"/>
    <w:rsid w:val="00CC28E9"/>
    <w:rsid w:val="00CC2A3D"/>
    <w:rsid w:val="00CC2A6D"/>
    <w:rsid w:val="00CC2AD5"/>
    <w:rsid w:val="00CC2B2C"/>
    <w:rsid w:val="00CC375B"/>
    <w:rsid w:val="00CC3934"/>
    <w:rsid w:val="00CC39C9"/>
    <w:rsid w:val="00CC3B45"/>
    <w:rsid w:val="00CC3E7F"/>
    <w:rsid w:val="00CC3ED3"/>
    <w:rsid w:val="00CC4B66"/>
    <w:rsid w:val="00CC4C9A"/>
    <w:rsid w:val="00CC4E07"/>
    <w:rsid w:val="00CC58F5"/>
    <w:rsid w:val="00CC5B38"/>
    <w:rsid w:val="00CC6589"/>
    <w:rsid w:val="00CC665E"/>
    <w:rsid w:val="00CC68E8"/>
    <w:rsid w:val="00CC6BD1"/>
    <w:rsid w:val="00CC7234"/>
    <w:rsid w:val="00CC72DD"/>
    <w:rsid w:val="00CC751C"/>
    <w:rsid w:val="00CC77E0"/>
    <w:rsid w:val="00CC78F1"/>
    <w:rsid w:val="00CC7A3E"/>
    <w:rsid w:val="00CD016F"/>
    <w:rsid w:val="00CD046B"/>
    <w:rsid w:val="00CD06A1"/>
    <w:rsid w:val="00CD0A08"/>
    <w:rsid w:val="00CD0EFE"/>
    <w:rsid w:val="00CD11E7"/>
    <w:rsid w:val="00CD14B3"/>
    <w:rsid w:val="00CD1625"/>
    <w:rsid w:val="00CD1637"/>
    <w:rsid w:val="00CD18B9"/>
    <w:rsid w:val="00CD35ED"/>
    <w:rsid w:val="00CD3B19"/>
    <w:rsid w:val="00CD3C69"/>
    <w:rsid w:val="00CD414C"/>
    <w:rsid w:val="00CD41C4"/>
    <w:rsid w:val="00CD44D2"/>
    <w:rsid w:val="00CD465F"/>
    <w:rsid w:val="00CD4B78"/>
    <w:rsid w:val="00CD4D12"/>
    <w:rsid w:val="00CD4D95"/>
    <w:rsid w:val="00CD51C5"/>
    <w:rsid w:val="00CD566C"/>
    <w:rsid w:val="00CD6194"/>
    <w:rsid w:val="00CD6E07"/>
    <w:rsid w:val="00CD7022"/>
    <w:rsid w:val="00CD7167"/>
    <w:rsid w:val="00CD756B"/>
    <w:rsid w:val="00CE0021"/>
    <w:rsid w:val="00CE0288"/>
    <w:rsid w:val="00CE06B5"/>
    <w:rsid w:val="00CE0EFA"/>
    <w:rsid w:val="00CE10F6"/>
    <w:rsid w:val="00CE1140"/>
    <w:rsid w:val="00CE172A"/>
    <w:rsid w:val="00CE1C6A"/>
    <w:rsid w:val="00CE2255"/>
    <w:rsid w:val="00CE258B"/>
    <w:rsid w:val="00CE30C3"/>
    <w:rsid w:val="00CE353B"/>
    <w:rsid w:val="00CE36E8"/>
    <w:rsid w:val="00CE3A5C"/>
    <w:rsid w:val="00CE3BA1"/>
    <w:rsid w:val="00CE44E0"/>
    <w:rsid w:val="00CE4534"/>
    <w:rsid w:val="00CE49FD"/>
    <w:rsid w:val="00CE4A98"/>
    <w:rsid w:val="00CE5173"/>
    <w:rsid w:val="00CE53DA"/>
    <w:rsid w:val="00CE5402"/>
    <w:rsid w:val="00CE560C"/>
    <w:rsid w:val="00CE572C"/>
    <w:rsid w:val="00CE6A25"/>
    <w:rsid w:val="00CE6A5D"/>
    <w:rsid w:val="00CE6CF3"/>
    <w:rsid w:val="00CE70B4"/>
    <w:rsid w:val="00CE7152"/>
    <w:rsid w:val="00CE7294"/>
    <w:rsid w:val="00CE7420"/>
    <w:rsid w:val="00CE7537"/>
    <w:rsid w:val="00CE7578"/>
    <w:rsid w:val="00CE7641"/>
    <w:rsid w:val="00CE77E8"/>
    <w:rsid w:val="00CE78B6"/>
    <w:rsid w:val="00CE7DDD"/>
    <w:rsid w:val="00CE7FEC"/>
    <w:rsid w:val="00CF0196"/>
    <w:rsid w:val="00CF0454"/>
    <w:rsid w:val="00CF0753"/>
    <w:rsid w:val="00CF0A5E"/>
    <w:rsid w:val="00CF0E7B"/>
    <w:rsid w:val="00CF119D"/>
    <w:rsid w:val="00CF163C"/>
    <w:rsid w:val="00CF1855"/>
    <w:rsid w:val="00CF1C49"/>
    <w:rsid w:val="00CF1DC4"/>
    <w:rsid w:val="00CF2039"/>
    <w:rsid w:val="00CF2233"/>
    <w:rsid w:val="00CF2445"/>
    <w:rsid w:val="00CF272C"/>
    <w:rsid w:val="00CF377A"/>
    <w:rsid w:val="00CF3861"/>
    <w:rsid w:val="00CF39AB"/>
    <w:rsid w:val="00CF3B58"/>
    <w:rsid w:val="00CF3D16"/>
    <w:rsid w:val="00CF4BCA"/>
    <w:rsid w:val="00CF6EB3"/>
    <w:rsid w:val="00CF6F94"/>
    <w:rsid w:val="00CF754B"/>
    <w:rsid w:val="00CF780A"/>
    <w:rsid w:val="00CF7821"/>
    <w:rsid w:val="00CF7A6B"/>
    <w:rsid w:val="00CF7B8D"/>
    <w:rsid w:val="00D00BAD"/>
    <w:rsid w:val="00D00FCF"/>
    <w:rsid w:val="00D01096"/>
    <w:rsid w:val="00D0153A"/>
    <w:rsid w:val="00D016F9"/>
    <w:rsid w:val="00D017B6"/>
    <w:rsid w:val="00D017CD"/>
    <w:rsid w:val="00D01E10"/>
    <w:rsid w:val="00D01EA6"/>
    <w:rsid w:val="00D02091"/>
    <w:rsid w:val="00D024B1"/>
    <w:rsid w:val="00D025AF"/>
    <w:rsid w:val="00D025C8"/>
    <w:rsid w:val="00D02894"/>
    <w:rsid w:val="00D02939"/>
    <w:rsid w:val="00D029E6"/>
    <w:rsid w:val="00D02BB7"/>
    <w:rsid w:val="00D03403"/>
    <w:rsid w:val="00D03A53"/>
    <w:rsid w:val="00D03DBE"/>
    <w:rsid w:val="00D0404B"/>
    <w:rsid w:val="00D042EA"/>
    <w:rsid w:val="00D04DCB"/>
    <w:rsid w:val="00D050FB"/>
    <w:rsid w:val="00D055BA"/>
    <w:rsid w:val="00D05615"/>
    <w:rsid w:val="00D05AB1"/>
    <w:rsid w:val="00D0604E"/>
    <w:rsid w:val="00D06309"/>
    <w:rsid w:val="00D068CD"/>
    <w:rsid w:val="00D06998"/>
    <w:rsid w:val="00D06D7D"/>
    <w:rsid w:val="00D06E10"/>
    <w:rsid w:val="00D06F25"/>
    <w:rsid w:val="00D07DD1"/>
    <w:rsid w:val="00D07F4F"/>
    <w:rsid w:val="00D10166"/>
    <w:rsid w:val="00D1031E"/>
    <w:rsid w:val="00D103A2"/>
    <w:rsid w:val="00D1048B"/>
    <w:rsid w:val="00D10856"/>
    <w:rsid w:val="00D108BA"/>
    <w:rsid w:val="00D10A76"/>
    <w:rsid w:val="00D115A4"/>
    <w:rsid w:val="00D116CF"/>
    <w:rsid w:val="00D11A79"/>
    <w:rsid w:val="00D11DA2"/>
    <w:rsid w:val="00D11F56"/>
    <w:rsid w:val="00D120C4"/>
    <w:rsid w:val="00D124E4"/>
    <w:rsid w:val="00D12898"/>
    <w:rsid w:val="00D136DF"/>
    <w:rsid w:val="00D13BBD"/>
    <w:rsid w:val="00D13CFA"/>
    <w:rsid w:val="00D14350"/>
    <w:rsid w:val="00D14A90"/>
    <w:rsid w:val="00D14DC9"/>
    <w:rsid w:val="00D14DE3"/>
    <w:rsid w:val="00D15474"/>
    <w:rsid w:val="00D157F8"/>
    <w:rsid w:val="00D15912"/>
    <w:rsid w:val="00D15E14"/>
    <w:rsid w:val="00D16772"/>
    <w:rsid w:val="00D16AFC"/>
    <w:rsid w:val="00D16BC9"/>
    <w:rsid w:val="00D16D7B"/>
    <w:rsid w:val="00D16F33"/>
    <w:rsid w:val="00D176A2"/>
    <w:rsid w:val="00D17AFA"/>
    <w:rsid w:val="00D17C59"/>
    <w:rsid w:val="00D17D10"/>
    <w:rsid w:val="00D206B3"/>
    <w:rsid w:val="00D2084D"/>
    <w:rsid w:val="00D209B3"/>
    <w:rsid w:val="00D20DC1"/>
    <w:rsid w:val="00D20EDF"/>
    <w:rsid w:val="00D21157"/>
    <w:rsid w:val="00D21CDF"/>
    <w:rsid w:val="00D21EA3"/>
    <w:rsid w:val="00D22327"/>
    <w:rsid w:val="00D227D0"/>
    <w:rsid w:val="00D22B41"/>
    <w:rsid w:val="00D22D84"/>
    <w:rsid w:val="00D22DD9"/>
    <w:rsid w:val="00D2303F"/>
    <w:rsid w:val="00D2355D"/>
    <w:rsid w:val="00D23711"/>
    <w:rsid w:val="00D23802"/>
    <w:rsid w:val="00D23B66"/>
    <w:rsid w:val="00D23C29"/>
    <w:rsid w:val="00D23E64"/>
    <w:rsid w:val="00D24193"/>
    <w:rsid w:val="00D2431E"/>
    <w:rsid w:val="00D24885"/>
    <w:rsid w:val="00D249C0"/>
    <w:rsid w:val="00D24F85"/>
    <w:rsid w:val="00D2501E"/>
    <w:rsid w:val="00D25096"/>
    <w:rsid w:val="00D25112"/>
    <w:rsid w:val="00D25310"/>
    <w:rsid w:val="00D255CF"/>
    <w:rsid w:val="00D256F4"/>
    <w:rsid w:val="00D25D26"/>
    <w:rsid w:val="00D25E30"/>
    <w:rsid w:val="00D26011"/>
    <w:rsid w:val="00D261D3"/>
    <w:rsid w:val="00D2638C"/>
    <w:rsid w:val="00D263CB"/>
    <w:rsid w:val="00D266D7"/>
    <w:rsid w:val="00D26A73"/>
    <w:rsid w:val="00D27108"/>
    <w:rsid w:val="00D271EC"/>
    <w:rsid w:val="00D27224"/>
    <w:rsid w:val="00D27304"/>
    <w:rsid w:val="00D27793"/>
    <w:rsid w:val="00D27C0A"/>
    <w:rsid w:val="00D27C9B"/>
    <w:rsid w:val="00D3024B"/>
    <w:rsid w:val="00D307E0"/>
    <w:rsid w:val="00D30E9B"/>
    <w:rsid w:val="00D30FEA"/>
    <w:rsid w:val="00D311BC"/>
    <w:rsid w:val="00D314DF"/>
    <w:rsid w:val="00D315C3"/>
    <w:rsid w:val="00D31A2E"/>
    <w:rsid w:val="00D31C60"/>
    <w:rsid w:val="00D31FEE"/>
    <w:rsid w:val="00D33601"/>
    <w:rsid w:val="00D33833"/>
    <w:rsid w:val="00D33988"/>
    <w:rsid w:val="00D33D01"/>
    <w:rsid w:val="00D33D4A"/>
    <w:rsid w:val="00D3474F"/>
    <w:rsid w:val="00D3488C"/>
    <w:rsid w:val="00D34A08"/>
    <w:rsid w:val="00D35345"/>
    <w:rsid w:val="00D354C1"/>
    <w:rsid w:val="00D35880"/>
    <w:rsid w:val="00D35900"/>
    <w:rsid w:val="00D35D46"/>
    <w:rsid w:val="00D35D65"/>
    <w:rsid w:val="00D35E78"/>
    <w:rsid w:val="00D35F3E"/>
    <w:rsid w:val="00D35F7E"/>
    <w:rsid w:val="00D35FC7"/>
    <w:rsid w:val="00D36086"/>
    <w:rsid w:val="00D3681B"/>
    <w:rsid w:val="00D376EB"/>
    <w:rsid w:val="00D378C3"/>
    <w:rsid w:val="00D37963"/>
    <w:rsid w:val="00D37B8E"/>
    <w:rsid w:val="00D37FB1"/>
    <w:rsid w:val="00D40403"/>
    <w:rsid w:val="00D40D30"/>
    <w:rsid w:val="00D40DB4"/>
    <w:rsid w:val="00D41484"/>
    <w:rsid w:val="00D41A49"/>
    <w:rsid w:val="00D41B20"/>
    <w:rsid w:val="00D41D8D"/>
    <w:rsid w:val="00D42447"/>
    <w:rsid w:val="00D42703"/>
    <w:rsid w:val="00D42B5C"/>
    <w:rsid w:val="00D42D62"/>
    <w:rsid w:val="00D43298"/>
    <w:rsid w:val="00D4330B"/>
    <w:rsid w:val="00D435C0"/>
    <w:rsid w:val="00D436BF"/>
    <w:rsid w:val="00D4399C"/>
    <w:rsid w:val="00D43E52"/>
    <w:rsid w:val="00D441C9"/>
    <w:rsid w:val="00D44541"/>
    <w:rsid w:val="00D44CE7"/>
    <w:rsid w:val="00D44EE3"/>
    <w:rsid w:val="00D45343"/>
    <w:rsid w:val="00D45457"/>
    <w:rsid w:val="00D454A2"/>
    <w:rsid w:val="00D45543"/>
    <w:rsid w:val="00D45C69"/>
    <w:rsid w:val="00D46014"/>
    <w:rsid w:val="00D46026"/>
    <w:rsid w:val="00D46115"/>
    <w:rsid w:val="00D46500"/>
    <w:rsid w:val="00D46C6F"/>
    <w:rsid w:val="00D46D21"/>
    <w:rsid w:val="00D46DF8"/>
    <w:rsid w:val="00D46E09"/>
    <w:rsid w:val="00D47254"/>
    <w:rsid w:val="00D474C5"/>
    <w:rsid w:val="00D474D4"/>
    <w:rsid w:val="00D50284"/>
    <w:rsid w:val="00D5046D"/>
    <w:rsid w:val="00D5078E"/>
    <w:rsid w:val="00D5131C"/>
    <w:rsid w:val="00D514D2"/>
    <w:rsid w:val="00D51510"/>
    <w:rsid w:val="00D51829"/>
    <w:rsid w:val="00D51CC2"/>
    <w:rsid w:val="00D51D6F"/>
    <w:rsid w:val="00D51E5F"/>
    <w:rsid w:val="00D51F14"/>
    <w:rsid w:val="00D52194"/>
    <w:rsid w:val="00D52277"/>
    <w:rsid w:val="00D5242D"/>
    <w:rsid w:val="00D52885"/>
    <w:rsid w:val="00D52C75"/>
    <w:rsid w:val="00D53353"/>
    <w:rsid w:val="00D5358D"/>
    <w:rsid w:val="00D53A4C"/>
    <w:rsid w:val="00D54269"/>
    <w:rsid w:val="00D54370"/>
    <w:rsid w:val="00D54941"/>
    <w:rsid w:val="00D54A2B"/>
    <w:rsid w:val="00D54B2B"/>
    <w:rsid w:val="00D54FE2"/>
    <w:rsid w:val="00D55370"/>
    <w:rsid w:val="00D555EA"/>
    <w:rsid w:val="00D5563B"/>
    <w:rsid w:val="00D55671"/>
    <w:rsid w:val="00D558AC"/>
    <w:rsid w:val="00D559AD"/>
    <w:rsid w:val="00D55A75"/>
    <w:rsid w:val="00D56000"/>
    <w:rsid w:val="00D56001"/>
    <w:rsid w:val="00D56016"/>
    <w:rsid w:val="00D56657"/>
    <w:rsid w:val="00D5685B"/>
    <w:rsid w:val="00D56A7C"/>
    <w:rsid w:val="00D56E4A"/>
    <w:rsid w:val="00D56EA4"/>
    <w:rsid w:val="00D56F2B"/>
    <w:rsid w:val="00D572BD"/>
    <w:rsid w:val="00D5769A"/>
    <w:rsid w:val="00D577A0"/>
    <w:rsid w:val="00D579E1"/>
    <w:rsid w:val="00D57E81"/>
    <w:rsid w:val="00D57F4C"/>
    <w:rsid w:val="00D57F74"/>
    <w:rsid w:val="00D6030C"/>
    <w:rsid w:val="00D60553"/>
    <w:rsid w:val="00D60A65"/>
    <w:rsid w:val="00D61250"/>
    <w:rsid w:val="00D612D9"/>
    <w:rsid w:val="00D61428"/>
    <w:rsid w:val="00D615BB"/>
    <w:rsid w:val="00D617C2"/>
    <w:rsid w:val="00D61AF5"/>
    <w:rsid w:val="00D61CE8"/>
    <w:rsid w:val="00D61D95"/>
    <w:rsid w:val="00D61D96"/>
    <w:rsid w:val="00D61F52"/>
    <w:rsid w:val="00D6253D"/>
    <w:rsid w:val="00D62D91"/>
    <w:rsid w:val="00D62DAF"/>
    <w:rsid w:val="00D62E16"/>
    <w:rsid w:val="00D6309E"/>
    <w:rsid w:val="00D63168"/>
    <w:rsid w:val="00D639EF"/>
    <w:rsid w:val="00D63FFF"/>
    <w:rsid w:val="00D642DA"/>
    <w:rsid w:val="00D6453A"/>
    <w:rsid w:val="00D646FE"/>
    <w:rsid w:val="00D6484D"/>
    <w:rsid w:val="00D64893"/>
    <w:rsid w:val="00D649A1"/>
    <w:rsid w:val="00D65076"/>
    <w:rsid w:val="00D652B6"/>
    <w:rsid w:val="00D65364"/>
    <w:rsid w:val="00D653FA"/>
    <w:rsid w:val="00D65437"/>
    <w:rsid w:val="00D656E2"/>
    <w:rsid w:val="00D6579E"/>
    <w:rsid w:val="00D65A08"/>
    <w:rsid w:val="00D65C8B"/>
    <w:rsid w:val="00D65D86"/>
    <w:rsid w:val="00D65F4F"/>
    <w:rsid w:val="00D65F8F"/>
    <w:rsid w:val="00D667DA"/>
    <w:rsid w:val="00D6681F"/>
    <w:rsid w:val="00D66862"/>
    <w:rsid w:val="00D66935"/>
    <w:rsid w:val="00D66D53"/>
    <w:rsid w:val="00D6767C"/>
    <w:rsid w:val="00D6767F"/>
    <w:rsid w:val="00D6768D"/>
    <w:rsid w:val="00D67750"/>
    <w:rsid w:val="00D679AC"/>
    <w:rsid w:val="00D703DB"/>
    <w:rsid w:val="00D7060E"/>
    <w:rsid w:val="00D70668"/>
    <w:rsid w:val="00D70B9B"/>
    <w:rsid w:val="00D710F7"/>
    <w:rsid w:val="00D7202C"/>
    <w:rsid w:val="00D72039"/>
    <w:rsid w:val="00D721D1"/>
    <w:rsid w:val="00D721F6"/>
    <w:rsid w:val="00D72945"/>
    <w:rsid w:val="00D72F36"/>
    <w:rsid w:val="00D73248"/>
    <w:rsid w:val="00D7361F"/>
    <w:rsid w:val="00D73B6E"/>
    <w:rsid w:val="00D73E19"/>
    <w:rsid w:val="00D74784"/>
    <w:rsid w:val="00D74A76"/>
    <w:rsid w:val="00D74AE6"/>
    <w:rsid w:val="00D74F96"/>
    <w:rsid w:val="00D75240"/>
    <w:rsid w:val="00D756D4"/>
    <w:rsid w:val="00D75868"/>
    <w:rsid w:val="00D75B7B"/>
    <w:rsid w:val="00D75F2C"/>
    <w:rsid w:val="00D75F36"/>
    <w:rsid w:val="00D762E8"/>
    <w:rsid w:val="00D7635B"/>
    <w:rsid w:val="00D766D8"/>
    <w:rsid w:val="00D76B7D"/>
    <w:rsid w:val="00D76EDE"/>
    <w:rsid w:val="00D7712E"/>
    <w:rsid w:val="00D775FE"/>
    <w:rsid w:val="00D801A7"/>
    <w:rsid w:val="00D804F1"/>
    <w:rsid w:val="00D80686"/>
    <w:rsid w:val="00D80939"/>
    <w:rsid w:val="00D80A5C"/>
    <w:rsid w:val="00D80CED"/>
    <w:rsid w:val="00D80FBD"/>
    <w:rsid w:val="00D81268"/>
    <w:rsid w:val="00D812C1"/>
    <w:rsid w:val="00D81696"/>
    <w:rsid w:val="00D816EE"/>
    <w:rsid w:val="00D8174C"/>
    <w:rsid w:val="00D81960"/>
    <w:rsid w:val="00D81C6C"/>
    <w:rsid w:val="00D81F06"/>
    <w:rsid w:val="00D81F2D"/>
    <w:rsid w:val="00D82110"/>
    <w:rsid w:val="00D82713"/>
    <w:rsid w:val="00D82809"/>
    <w:rsid w:val="00D828F0"/>
    <w:rsid w:val="00D82ABD"/>
    <w:rsid w:val="00D82AD1"/>
    <w:rsid w:val="00D82E96"/>
    <w:rsid w:val="00D83328"/>
    <w:rsid w:val="00D83EEE"/>
    <w:rsid w:val="00D847E6"/>
    <w:rsid w:val="00D8480C"/>
    <w:rsid w:val="00D848C5"/>
    <w:rsid w:val="00D84C32"/>
    <w:rsid w:val="00D84CEF"/>
    <w:rsid w:val="00D84F6A"/>
    <w:rsid w:val="00D8519C"/>
    <w:rsid w:val="00D8531A"/>
    <w:rsid w:val="00D8557B"/>
    <w:rsid w:val="00D85BEE"/>
    <w:rsid w:val="00D85FC0"/>
    <w:rsid w:val="00D860A6"/>
    <w:rsid w:val="00D86179"/>
    <w:rsid w:val="00D863A6"/>
    <w:rsid w:val="00D8654F"/>
    <w:rsid w:val="00D867DC"/>
    <w:rsid w:val="00D86D3C"/>
    <w:rsid w:val="00D871F3"/>
    <w:rsid w:val="00D8738C"/>
    <w:rsid w:val="00D878B3"/>
    <w:rsid w:val="00D87990"/>
    <w:rsid w:val="00D87A6B"/>
    <w:rsid w:val="00D87D0A"/>
    <w:rsid w:val="00D87E35"/>
    <w:rsid w:val="00D87F5B"/>
    <w:rsid w:val="00D90921"/>
    <w:rsid w:val="00D90BFB"/>
    <w:rsid w:val="00D90C38"/>
    <w:rsid w:val="00D90D2F"/>
    <w:rsid w:val="00D90F4C"/>
    <w:rsid w:val="00D90F6A"/>
    <w:rsid w:val="00D91982"/>
    <w:rsid w:val="00D919BC"/>
    <w:rsid w:val="00D91BF6"/>
    <w:rsid w:val="00D927C8"/>
    <w:rsid w:val="00D9288C"/>
    <w:rsid w:val="00D92E76"/>
    <w:rsid w:val="00D930EC"/>
    <w:rsid w:val="00D931D3"/>
    <w:rsid w:val="00D93399"/>
    <w:rsid w:val="00D936D1"/>
    <w:rsid w:val="00D93899"/>
    <w:rsid w:val="00D93CE9"/>
    <w:rsid w:val="00D94267"/>
    <w:rsid w:val="00D94431"/>
    <w:rsid w:val="00D94589"/>
    <w:rsid w:val="00D9476F"/>
    <w:rsid w:val="00D94B9A"/>
    <w:rsid w:val="00D94C64"/>
    <w:rsid w:val="00D94F7A"/>
    <w:rsid w:val="00D953D3"/>
    <w:rsid w:val="00D957C5"/>
    <w:rsid w:val="00D95FA3"/>
    <w:rsid w:val="00D966B3"/>
    <w:rsid w:val="00D966FB"/>
    <w:rsid w:val="00D96E7D"/>
    <w:rsid w:val="00D975A8"/>
    <w:rsid w:val="00D976C5"/>
    <w:rsid w:val="00D97A76"/>
    <w:rsid w:val="00D97B2D"/>
    <w:rsid w:val="00D97B39"/>
    <w:rsid w:val="00D97DD3"/>
    <w:rsid w:val="00DA0250"/>
    <w:rsid w:val="00DA0C9F"/>
    <w:rsid w:val="00DA0D60"/>
    <w:rsid w:val="00DA0E58"/>
    <w:rsid w:val="00DA15D0"/>
    <w:rsid w:val="00DA1639"/>
    <w:rsid w:val="00DA1839"/>
    <w:rsid w:val="00DA1DB9"/>
    <w:rsid w:val="00DA1DF0"/>
    <w:rsid w:val="00DA1E41"/>
    <w:rsid w:val="00DA2328"/>
    <w:rsid w:val="00DA282E"/>
    <w:rsid w:val="00DA2B84"/>
    <w:rsid w:val="00DA2D9C"/>
    <w:rsid w:val="00DA31DA"/>
    <w:rsid w:val="00DA33EF"/>
    <w:rsid w:val="00DA3432"/>
    <w:rsid w:val="00DA3A15"/>
    <w:rsid w:val="00DA3CF4"/>
    <w:rsid w:val="00DA3D13"/>
    <w:rsid w:val="00DA47A6"/>
    <w:rsid w:val="00DA4B35"/>
    <w:rsid w:val="00DA4D9D"/>
    <w:rsid w:val="00DA5515"/>
    <w:rsid w:val="00DA577D"/>
    <w:rsid w:val="00DA5869"/>
    <w:rsid w:val="00DA5E15"/>
    <w:rsid w:val="00DA5E61"/>
    <w:rsid w:val="00DA6477"/>
    <w:rsid w:val="00DA67D3"/>
    <w:rsid w:val="00DA699A"/>
    <w:rsid w:val="00DA69A0"/>
    <w:rsid w:val="00DA6A1C"/>
    <w:rsid w:val="00DA6A3A"/>
    <w:rsid w:val="00DA6B18"/>
    <w:rsid w:val="00DA6E66"/>
    <w:rsid w:val="00DA7007"/>
    <w:rsid w:val="00DB01FF"/>
    <w:rsid w:val="00DB022A"/>
    <w:rsid w:val="00DB048C"/>
    <w:rsid w:val="00DB12DA"/>
    <w:rsid w:val="00DB1B3F"/>
    <w:rsid w:val="00DB25BB"/>
    <w:rsid w:val="00DB25EA"/>
    <w:rsid w:val="00DB2A50"/>
    <w:rsid w:val="00DB2B52"/>
    <w:rsid w:val="00DB30CB"/>
    <w:rsid w:val="00DB33FA"/>
    <w:rsid w:val="00DB388F"/>
    <w:rsid w:val="00DB3D21"/>
    <w:rsid w:val="00DB3FDE"/>
    <w:rsid w:val="00DB4100"/>
    <w:rsid w:val="00DB419B"/>
    <w:rsid w:val="00DB41F5"/>
    <w:rsid w:val="00DB42A8"/>
    <w:rsid w:val="00DB4465"/>
    <w:rsid w:val="00DB44C4"/>
    <w:rsid w:val="00DB4693"/>
    <w:rsid w:val="00DB4AF5"/>
    <w:rsid w:val="00DB4F10"/>
    <w:rsid w:val="00DB52D6"/>
    <w:rsid w:val="00DB54F7"/>
    <w:rsid w:val="00DB5511"/>
    <w:rsid w:val="00DB557D"/>
    <w:rsid w:val="00DB5C47"/>
    <w:rsid w:val="00DB6565"/>
    <w:rsid w:val="00DB6D50"/>
    <w:rsid w:val="00DB72C3"/>
    <w:rsid w:val="00DB73B6"/>
    <w:rsid w:val="00DB7496"/>
    <w:rsid w:val="00DB7B30"/>
    <w:rsid w:val="00DC022F"/>
    <w:rsid w:val="00DC04F8"/>
    <w:rsid w:val="00DC0549"/>
    <w:rsid w:val="00DC0A03"/>
    <w:rsid w:val="00DC0EBA"/>
    <w:rsid w:val="00DC1070"/>
    <w:rsid w:val="00DC1228"/>
    <w:rsid w:val="00DC1F03"/>
    <w:rsid w:val="00DC2332"/>
    <w:rsid w:val="00DC2BD6"/>
    <w:rsid w:val="00DC2C32"/>
    <w:rsid w:val="00DC2EDF"/>
    <w:rsid w:val="00DC32CE"/>
    <w:rsid w:val="00DC36B9"/>
    <w:rsid w:val="00DC37B6"/>
    <w:rsid w:val="00DC3D6D"/>
    <w:rsid w:val="00DC4030"/>
    <w:rsid w:val="00DC403A"/>
    <w:rsid w:val="00DC46D3"/>
    <w:rsid w:val="00DC46E7"/>
    <w:rsid w:val="00DC4F8E"/>
    <w:rsid w:val="00DC57AF"/>
    <w:rsid w:val="00DC58B7"/>
    <w:rsid w:val="00DC5AEB"/>
    <w:rsid w:val="00DC5B45"/>
    <w:rsid w:val="00DC5E0E"/>
    <w:rsid w:val="00DC67A6"/>
    <w:rsid w:val="00DC765B"/>
    <w:rsid w:val="00DC7837"/>
    <w:rsid w:val="00DC7AF6"/>
    <w:rsid w:val="00DC7C2F"/>
    <w:rsid w:val="00DC7D9B"/>
    <w:rsid w:val="00DD0E68"/>
    <w:rsid w:val="00DD0FDE"/>
    <w:rsid w:val="00DD11F9"/>
    <w:rsid w:val="00DD13A3"/>
    <w:rsid w:val="00DD15AE"/>
    <w:rsid w:val="00DD246D"/>
    <w:rsid w:val="00DD273F"/>
    <w:rsid w:val="00DD2963"/>
    <w:rsid w:val="00DD2A36"/>
    <w:rsid w:val="00DD2AF1"/>
    <w:rsid w:val="00DD2BA2"/>
    <w:rsid w:val="00DD2BE3"/>
    <w:rsid w:val="00DD2D39"/>
    <w:rsid w:val="00DD329C"/>
    <w:rsid w:val="00DD3715"/>
    <w:rsid w:val="00DD3A68"/>
    <w:rsid w:val="00DD3CF2"/>
    <w:rsid w:val="00DD424A"/>
    <w:rsid w:val="00DD43B9"/>
    <w:rsid w:val="00DD45E6"/>
    <w:rsid w:val="00DD46D9"/>
    <w:rsid w:val="00DD492E"/>
    <w:rsid w:val="00DD4D33"/>
    <w:rsid w:val="00DD5032"/>
    <w:rsid w:val="00DD5573"/>
    <w:rsid w:val="00DD5B27"/>
    <w:rsid w:val="00DD5C1B"/>
    <w:rsid w:val="00DD63E1"/>
    <w:rsid w:val="00DD644C"/>
    <w:rsid w:val="00DD6508"/>
    <w:rsid w:val="00DD667C"/>
    <w:rsid w:val="00DD6761"/>
    <w:rsid w:val="00DD72F7"/>
    <w:rsid w:val="00DD74A3"/>
    <w:rsid w:val="00DD7820"/>
    <w:rsid w:val="00DD7BE2"/>
    <w:rsid w:val="00DD7C5F"/>
    <w:rsid w:val="00DD7CC1"/>
    <w:rsid w:val="00DD7D32"/>
    <w:rsid w:val="00DD7EBB"/>
    <w:rsid w:val="00DD7FE6"/>
    <w:rsid w:val="00DE0C23"/>
    <w:rsid w:val="00DE0C6E"/>
    <w:rsid w:val="00DE0CAC"/>
    <w:rsid w:val="00DE0E08"/>
    <w:rsid w:val="00DE1267"/>
    <w:rsid w:val="00DE1736"/>
    <w:rsid w:val="00DE1A83"/>
    <w:rsid w:val="00DE1CBE"/>
    <w:rsid w:val="00DE2A89"/>
    <w:rsid w:val="00DE2CC5"/>
    <w:rsid w:val="00DE2D33"/>
    <w:rsid w:val="00DE2EA3"/>
    <w:rsid w:val="00DE3695"/>
    <w:rsid w:val="00DE36A0"/>
    <w:rsid w:val="00DE3B0A"/>
    <w:rsid w:val="00DE3DE6"/>
    <w:rsid w:val="00DE4B1C"/>
    <w:rsid w:val="00DE4DA9"/>
    <w:rsid w:val="00DE4F76"/>
    <w:rsid w:val="00DE510F"/>
    <w:rsid w:val="00DE5606"/>
    <w:rsid w:val="00DE5912"/>
    <w:rsid w:val="00DE6634"/>
    <w:rsid w:val="00DE685D"/>
    <w:rsid w:val="00DE6AEC"/>
    <w:rsid w:val="00DE6CC1"/>
    <w:rsid w:val="00DE731B"/>
    <w:rsid w:val="00DE787E"/>
    <w:rsid w:val="00DE7D84"/>
    <w:rsid w:val="00DF02A3"/>
    <w:rsid w:val="00DF0978"/>
    <w:rsid w:val="00DF0BB6"/>
    <w:rsid w:val="00DF0DC9"/>
    <w:rsid w:val="00DF10DB"/>
    <w:rsid w:val="00DF114D"/>
    <w:rsid w:val="00DF11D5"/>
    <w:rsid w:val="00DF1C15"/>
    <w:rsid w:val="00DF1CF3"/>
    <w:rsid w:val="00DF1F62"/>
    <w:rsid w:val="00DF1FBD"/>
    <w:rsid w:val="00DF2236"/>
    <w:rsid w:val="00DF278B"/>
    <w:rsid w:val="00DF2CAD"/>
    <w:rsid w:val="00DF2E1F"/>
    <w:rsid w:val="00DF3123"/>
    <w:rsid w:val="00DF31A9"/>
    <w:rsid w:val="00DF38AB"/>
    <w:rsid w:val="00DF3A75"/>
    <w:rsid w:val="00DF4981"/>
    <w:rsid w:val="00DF4F3C"/>
    <w:rsid w:val="00DF530A"/>
    <w:rsid w:val="00DF580B"/>
    <w:rsid w:val="00DF5E15"/>
    <w:rsid w:val="00DF5EB3"/>
    <w:rsid w:val="00DF5EE3"/>
    <w:rsid w:val="00DF6110"/>
    <w:rsid w:val="00DF6160"/>
    <w:rsid w:val="00DF63AE"/>
    <w:rsid w:val="00DF6657"/>
    <w:rsid w:val="00DF676A"/>
    <w:rsid w:val="00DF6964"/>
    <w:rsid w:val="00DF6B3C"/>
    <w:rsid w:val="00DF6DA5"/>
    <w:rsid w:val="00DF6E9A"/>
    <w:rsid w:val="00DF70BE"/>
    <w:rsid w:val="00DF76CD"/>
    <w:rsid w:val="00DF7842"/>
    <w:rsid w:val="00DF7B13"/>
    <w:rsid w:val="00DF7CEE"/>
    <w:rsid w:val="00DF7E33"/>
    <w:rsid w:val="00DF7E56"/>
    <w:rsid w:val="00E00A2E"/>
    <w:rsid w:val="00E0103A"/>
    <w:rsid w:val="00E01047"/>
    <w:rsid w:val="00E01051"/>
    <w:rsid w:val="00E01451"/>
    <w:rsid w:val="00E01452"/>
    <w:rsid w:val="00E0196E"/>
    <w:rsid w:val="00E01F3F"/>
    <w:rsid w:val="00E02040"/>
    <w:rsid w:val="00E020B2"/>
    <w:rsid w:val="00E0227C"/>
    <w:rsid w:val="00E023A4"/>
    <w:rsid w:val="00E0299C"/>
    <w:rsid w:val="00E0305C"/>
    <w:rsid w:val="00E033A8"/>
    <w:rsid w:val="00E03D5B"/>
    <w:rsid w:val="00E040D8"/>
    <w:rsid w:val="00E04447"/>
    <w:rsid w:val="00E04794"/>
    <w:rsid w:val="00E04AEF"/>
    <w:rsid w:val="00E04B63"/>
    <w:rsid w:val="00E04E4E"/>
    <w:rsid w:val="00E05347"/>
    <w:rsid w:val="00E05549"/>
    <w:rsid w:val="00E05618"/>
    <w:rsid w:val="00E057ED"/>
    <w:rsid w:val="00E06388"/>
    <w:rsid w:val="00E06955"/>
    <w:rsid w:val="00E06E22"/>
    <w:rsid w:val="00E070BF"/>
    <w:rsid w:val="00E07892"/>
    <w:rsid w:val="00E07987"/>
    <w:rsid w:val="00E07F70"/>
    <w:rsid w:val="00E105FA"/>
    <w:rsid w:val="00E10652"/>
    <w:rsid w:val="00E10751"/>
    <w:rsid w:val="00E10CF6"/>
    <w:rsid w:val="00E110A4"/>
    <w:rsid w:val="00E112A1"/>
    <w:rsid w:val="00E11D2B"/>
    <w:rsid w:val="00E125CB"/>
    <w:rsid w:val="00E126A8"/>
    <w:rsid w:val="00E13265"/>
    <w:rsid w:val="00E1334C"/>
    <w:rsid w:val="00E13451"/>
    <w:rsid w:val="00E141A4"/>
    <w:rsid w:val="00E14B0C"/>
    <w:rsid w:val="00E14CDD"/>
    <w:rsid w:val="00E15060"/>
    <w:rsid w:val="00E15201"/>
    <w:rsid w:val="00E15562"/>
    <w:rsid w:val="00E15626"/>
    <w:rsid w:val="00E16271"/>
    <w:rsid w:val="00E16D7E"/>
    <w:rsid w:val="00E1704A"/>
    <w:rsid w:val="00E17118"/>
    <w:rsid w:val="00E17399"/>
    <w:rsid w:val="00E17468"/>
    <w:rsid w:val="00E174DF"/>
    <w:rsid w:val="00E17ACD"/>
    <w:rsid w:val="00E17BAB"/>
    <w:rsid w:val="00E2028F"/>
    <w:rsid w:val="00E202B6"/>
    <w:rsid w:val="00E205AB"/>
    <w:rsid w:val="00E20E2D"/>
    <w:rsid w:val="00E20FC6"/>
    <w:rsid w:val="00E21397"/>
    <w:rsid w:val="00E21B6A"/>
    <w:rsid w:val="00E21FBF"/>
    <w:rsid w:val="00E227EE"/>
    <w:rsid w:val="00E2302A"/>
    <w:rsid w:val="00E2304B"/>
    <w:rsid w:val="00E23215"/>
    <w:rsid w:val="00E233AE"/>
    <w:rsid w:val="00E23E90"/>
    <w:rsid w:val="00E23F6B"/>
    <w:rsid w:val="00E24170"/>
    <w:rsid w:val="00E242F7"/>
    <w:rsid w:val="00E243D3"/>
    <w:rsid w:val="00E2443C"/>
    <w:rsid w:val="00E24840"/>
    <w:rsid w:val="00E25377"/>
    <w:rsid w:val="00E25751"/>
    <w:rsid w:val="00E25A3C"/>
    <w:rsid w:val="00E25B91"/>
    <w:rsid w:val="00E2661C"/>
    <w:rsid w:val="00E26CB8"/>
    <w:rsid w:val="00E26CD9"/>
    <w:rsid w:val="00E26EB8"/>
    <w:rsid w:val="00E27758"/>
    <w:rsid w:val="00E278BA"/>
    <w:rsid w:val="00E27B95"/>
    <w:rsid w:val="00E27E6E"/>
    <w:rsid w:val="00E27F6F"/>
    <w:rsid w:val="00E307B6"/>
    <w:rsid w:val="00E307F4"/>
    <w:rsid w:val="00E30C68"/>
    <w:rsid w:val="00E30D2F"/>
    <w:rsid w:val="00E30D65"/>
    <w:rsid w:val="00E30F74"/>
    <w:rsid w:val="00E310A7"/>
    <w:rsid w:val="00E31111"/>
    <w:rsid w:val="00E3129B"/>
    <w:rsid w:val="00E3137A"/>
    <w:rsid w:val="00E316C7"/>
    <w:rsid w:val="00E319F8"/>
    <w:rsid w:val="00E320CF"/>
    <w:rsid w:val="00E322C7"/>
    <w:rsid w:val="00E32413"/>
    <w:rsid w:val="00E3291A"/>
    <w:rsid w:val="00E32A88"/>
    <w:rsid w:val="00E32BB1"/>
    <w:rsid w:val="00E32BD8"/>
    <w:rsid w:val="00E32C18"/>
    <w:rsid w:val="00E32CE7"/>
    <w:rsid w:val="00E32CF8"/>
    <w:rsid w:val="00E32D12"/>
    <w:rsid w:val="00E333B6"/>
    <w:rsid w:val="00E33632"/>
    <w:rsid w:val="00E3366C"/>
    <w:rsid w:val="00E33C3A"/>
    <w:rsid w:val="00E341B6"/>
    <w:rsid w:val="00E34786"/>
    <w:rsid w:val="00E34807"/>
    <w:rsid w:val="00E348B1"/>
    <w:rsid w:val="00E3500D"/>
    <w:rsid w:val="00E356F8"/>
    <w:rsid w:val="00E35738"/>
    <w:rsid w:val="00E359B0"/>
    <w:rsid w:val="00E36CAB"/>
    <w:rsid w:val="00E36E8F"/>
    <w:rsid w:val="00E36EB8"/>
    <w:rsid w:val="00E36F0D"/>
    <w:rsid w:val="00E37757"/>
    <w:rsid w:val="00E401C3"/>
    <w:rsid w:val="00E40896"/>
    <w:rsid w:val="00E40A26"/>
    <w:rsid w:val="00E40CF5"/>
    <w:rsid w:val="00E40E13"/>
    <w:rsid w:val="00E41112"/>
    <w:rsid w:val="00E4117A"/>
    <w:rsid w:val="00E4145F"/>
    <w:rsid w:val="00E414FF"/>
    <w:rsid w:val="00E417CB"/>
    <w:rsid w:val="00E4187E"/>
    <w:rsid w:val="00E41D11"/>
    <w:rsid w:val="00E41EC0"/>
    <w:rsid w:val="00E42251"/>
    <w:rsid w:val="00E42899"/>
    <w:rsid w:val="00E42E94"/>
    <w:rsid w:val="00E42F23"/>
    <w:rsid w:val="00E4362C"/>
    <w:rsid w:val="00E437A2"/>
    <w:rsid w:val="00E43B80"/>
    <w:rsid w:val="00E44B19"/>
    <w:rsid w:val="00E44E0E"/>
    <w:rsid w:val="00E44EC2"/>
    <w:rsid w:val="00E453AE"/>
    <w:rsid w:val="00E45C72"/>
    <w:rsid w:val="00E45CC3"/>
    <w:rsid w:val="00E45E18"/>
    <w:rsid w:val="00E46145"/>
    <w:rsid w:val="00E4639A"/>
    <w:rsid w:val="00E46CA2"/>
    <w:rsid w:val="00E47166"/>
    <w:rsid w:val="00E47821"/>
    <w:rsid w:val="00E47A6E"/>
    <w:rsid w:val="00E47C29"/>
    <w:rsid w:val="00E51088"/>
    <w:rsid w:val="00E511A0"/>
    <w:rsid w:val="00E512EA"/>
    <w:rsid w:val="00E5189D"/>
    <w:rsid w:val="00E51B1D"/>
    <w:rsid w:val="00E51B20"/>
    <w:rsid w:val="00E51D55"/>
    <w:rsid w:val="00E5230A"/>
    <w:rsid w:val="00E523AA"/>
    <w:rsid w:val="00E52500"/>
    <w:rsid w:val="00E52A69"/>
    <w:rsid w:val="00E52A84"/>
    <w:rsid w:val="00E52B60"/>
    <w:rsid w:val="00E52C88"/>
    <w:rsid w:val="00E53298"/>
    <w:rsid w:val="00E53546"/>
    <w:rsid w:val="00E536C7"/>
    <w:rsid w:val="00E53843"/>
    <w:rsid w:val="00E53B84"/>
    <w:rsid w:val="00E5482E"/>
    <w:rsid w:val="00E54A24"/>
    <w:rsid w:val="00E54BAA"/>
    <w:rsid w:val="00E54C9C"/>
    <w:rsid w:val="00E54D43"/>
    <w:rsid w:val="00E54F01"/>
    <w:rsid w:val="00E55190"/>
    <w:rsid w:val="00E556A4"/>
    <w:rsid w:val="00E5571E"/>
    <w:rsid w:val="00E558C8"/>
    <w:rsid w:val="00E55E72"/>
    <w:rsid w:val="00E560CC"/>
    <w:rsid w:val="00E563CF"/>
    <w:rsid w:val="00E56A50"/>
    <w:rsid w:val="00E56B67"/>
    <w:rsid w:val="00E56C24"/>
    <w:rsid w:val="00E5700A"/>
    <w:rsid w:val="00E57201"/>
    <w:rsid w:val="00E5727A"/>
    <w:rsid w:val="00E57307"/>
    <w:rsid w:val="00E573ED"/>
    <w:rsid w:val="00E60083"/>
    <w:rsid w:val="00E602C8"/>
    <w:rsid w:val="00E6056C"/>
    <w:rsid w:val="00E60B7D"/>
    <w:rsid w:val="00E60C57"/>
    <w:rsid w:val="00E61096"/>
    <w:rsid w:val="00E611B2"/>
    <w:rsid w:val="00E61725"/>
    <w:rsid w:val="00E61841"/>
    <w:rsid w:val="00E619CE"/>
    <w:rsid w:val="00E61AC3"/>
    <w:rsid w:val="00E61F3A"/>
    <w:rsid w:val="00E622D9"/>
    <w:rsid w:val="00E6260E"/>
    <w:rsid w:val="00E62924"/>
    <w:rsid w:val="00E635BD"/>
    <w:rsid w:val="00E6377E"/>
    <w:rsid w:val="00E63801"/>
    <w:rsid w:val="00E647D9"/>
    <w:rsid w:val="00E649D8"/>
    <w:rsid w:val="00E64AAE"/>
    <w:rsid w:val="00E64DD4"/>
    <w:rsid w:val="00E64F8E"/>
    <w:rsid w:val="00E650AF"/>
    <w:rsid w:val="00E650EE"/>
    <w:rsid w:val="00E65335"/>
    <w:rsid w:val="00E654A2"/>
    <w:rsid w:val="00E6570B"/>
    <w:rsid w:val="00E66104"/>
    <w:rsid w:val="00E669BB"/>
    <w:rsid w:val="00E66C7A"/>
    <w:rsid w:val="00E66CD8"/>
    <w:rsid w:val="00E675E9"/>
    <w:rsid w:val="00E67CB8"/>
    <w:rsid w:val="00E7072E"/>
    <w:rsid w:val="00E717DF"/>
    <w:rsid w:val="00E71914"/>
    <w:rsid w:val="00E720D3"/>
    <w:rsid w:val="00E72497"/>
    <w:rsid w:val="00E729FD"/>
    <w:rsid w:val="00E72ECD"/>
    <w:rsid w:val="00E72FD2"/>
    <w:rsid w:val="00E73436"/>
    <w:rsid w:val="00E7357C"/>
    <w:rsid w:val="00E73765"/>
    <w:rsid w:val="00E73B7E"/>
    <w:rsid w:val="00E73BD9"/>
    <w:rsid w:val="00E7424D"/>
    <w:rsid w:val="00E7427C"/>
    <w:rsid w:val="00E74292"/>
    <w:rsid w:val="00E744F2"/>
    <w:rsid w:val="00E74941"/>
    <w:rsid w:val="00E74977"/>
    <w:rsid w:val="00E74F1A"/>
    <w:rsid w:val="00E756AE"/>
    <w:rsid w:val="00E75A48"/>
    <w:rsid w:val="00E75CAC"/>
    <w:rsid w:val="00E75DE1"/>
    <w:rsid w:val="00E75EDE"/>
    <w:rsid w:val="00E75F52"/>
    <w:rsid w:val="00E76042"/>
    <w:rsid w:val="00E7632E"/>
    <w:rsid w:val="00E76832"/>
    <w:rsid w:val="00E76D74"/>
    <w:rsid w:val="00E77E28"/>
    <w:rsid w:val="00E77FEC"/>
    <w:rsid w:val="00E80017"/>
    <w:rsid w:val="00E80222"/>
    <w:rsid w:val="00E80B83"/>
    <w:rsid w:val="00E80FE9"/>
    <w:rsid w:val="00E81018"/>
    <w:rsid w:val="00E81810"/>
    <w:rsid w:val="00E8197D"/>
    <w:rsid w:val="00E81C25"/>
    <w:rsid w:val="00E82192"/>
    <w:rsid w:val="00E82409"/>
    <w:rsid w:val="00E8246C"/>
    <w:rsid w:val="00E8281C"/>
    <w:rsid w:val="00E8293E"/>
    <w:rsid w:val="00E83205"/>
    <w:rsid w:val="00E837D6"/>
    <w:rsid w:val="00E83F81"/>
    <w:rsid w:val="00E84550"/>
    <w:rsid w:val="00E84575"/>
    <w:rsid w:val="00E84C90"/>
    <w:rsid w:val="00E84D02"/>
    <w:rsid w:val="00E85049"/>
    <w:rsid w:val="00E853CB"/>
    <w:rsid w:val="00E85449"/>
    <w:rsid w:val="00E866EE"/>
    <w:rsid w:val="00E86EE4"/>
    <w:rsid w:val="00E87013"/>
    <w:rsid w:val="00E87393"/>
    <w:rsid w:val="00E87591"/>
    <w:rsid w:val="00E87CEA"/>
    <w:rsid w:val="00E90467"/>
    <w:rsid w:val="00E90701"/>
    <w:rsid w:val="00E90927"/>
    <w:rsid w:val="00E916E2"/>
    <w:rsid w:val="00E918C1"/>
    <w:rsid w:val="00E91917"/>
    <w:rsid w:val="00E91AAE"/>
    <w:rsid w:val="00E9224B"/>
    <w:rsid w:val="00E9233D"/>
    <w:rsid w:val="00E9267F"/>
    <w:rsid w:val="00E92D36"/>
    <w:rsid w:val="00E92DC8"/>
    <w:rsid w:val="00E930D9"/>
    <w:rsid w:val="00E933A0"/>
    <w:rsid w:val="00E9357F"/>
    <w:rsid w:val="00E937CC"/>
    <w:rsid w:val="00E937D5"/>
    <w:rsid w:val="00E937ED"/>
    <w:rsid w:val="00E93A6E"/>
    <w:rsid w:val="00E93AAE"/>
    <w:rsid w:val="00E93B4F"/>
    <w:rsid w:val="00E93B77"/>
    <w:rsid w:val="00E9492F"/>
    <w:rsid w:val="00E94A1C"/>
    <w:rsid w:val="00E94A9B"/>
    <w:rsid w:val="00E94C61"/>
    <w:rsid w:val="00E94F5C"/>
    <w:rsid w:val="00E95081"/>
    <w:rsid w:val="00E955D0"/>
    <w:rsid w:val="00E95645"/>
    <w:rsid w:val="00E956E8"/>
    <w:rsid w:val="00E95762"/>
    <w:rsid w:val="00E9590B"/>
    <w:rsid w:val="00E95990"/>
    <w:rsid w:val="00E962F8"/>
    <w:rsid w:val="00E96CA7"/>
    <w:rsid w:val="00E96E8C"/>
    <w:rsid w:val="00E97447"/>
    <w:rsid w:val="00E97B61"/>
    <w:rsid w:val="00E97C20"/>
    <w:rsid w:val="00E97CB5"/>
    <w:rsid w:val="00E97EE9"/>
    <w:rsid w:val="00EA01BF"/>
    <w:rsid w:val="00EA07B2"/>
    <w:rsid w:val="00EA0DAE"/>
    <w:rsid w:val="00EA0EE4"/>
    <w:rsid w:val="00EA0F17"/>
    <w:rsid w:val="00EA0FE3"/>
    <w:rsid w:val="00EA11F0"/>
    <w:rsid w:val="00EA1C6C"/>
    <w:rsid w:val="00EA1D8E"/>
    <w:rsid w:val="00EA1F07"/>
    <w:rsid w:val="00EA2078"/>
    <w:rsid w:val="00EA21F2"/>
    <w:rsid w:val="00EA2357"/>
    <w:rsid w:val="00EA269C"/>
    <w:rsid w:val="00EA27FB"/>
    <w:rsid w:val="00EA2F2B"/>
    <w:rsid w:val="00EA39A8"/>
    <w:rsid w:val="00EA3BAB"/>
    <w:rsid w:val="00EA3D7D"/>
    <w:rsid w:val="00EA4209"/>
    <w:rsid w:val="00EA445D"/>
    <w:rsid w:val="00EA44A6"/>
    <w:rsid w:val="00EA4692"/>
    <w:rsid w:val="00EA48E9"/>
    <w:rsid w:val="00EA4C25"/>
    <w:rsid w:val="00EA501A"/>
    <w:rsid w:val="00EA503F"/>
    <w:rsid w:val="00EA5375"/>
    <w:rsid w:val="00EA570A"/>
    <w:rsid w:val="00EA59B6"/>
    <w:rsid w:val="00EA5D32"/>
    <w:rsid w:val="00EA5E99"/>
    <w:rsid w:val="00EA67F4"/>
    <w:rsid w:val="00EA6956"/>
    <w:rsid w:val="00EA6BC9"/>
    <w:rsid w:val="00EA713D"/>
    <w:rsid w:val="00EA73F6"/>
    <w:rsid w:val="00EB062D"/>
    <w:rsid w:val="00EB09F1"/>
    <w:rsid w:val="00EB0D5D"/>
    <w:rsid w:val="00EB0EF9"/>
    <w:rsid w:val="00EB11A2"/>
    <w:rsid w:val="00EB13BC"/>
    <w:rsid w:val="00EB13E4"/>
    <w:rsid w:val="00EB16DF"/>
    <w:rsid w:val="00EB172D"/>
    <w:rsid w:val="00EB1A16"/>
    <w:rsid w:val="00EB202B"/>
    <w:rsid w:val="00EB22CD"/>
    <w:rsid w:val="00EB239D"/>
    <w:rsid w:val="00EB23EB"/>
    <w:rsid w:val="00EB2B2B"/>
    <w:rsid w:val="00EB2CF8"/>
    <w:rsid w:val="00EB2F7D"/>
    <w:rsid w:val="00EB34FA"/>
    <w:rsid w:val="00EB3C34"/>
    <w:rsid w:val="00EB3C5F"/>
    <w:rsid w:val="00EB3C80"/>
    <w:rsid w:val="00EB4365"/>
    <w:rsid w:val="00EB4BEF"/>
    <w:rsid w:val="00EB52AA"/>
    <w:rsid w:val="00EB5477"/>
    <w:rsid w:val="00EB555F"/>
    <w:rsid w:val="00EB573F"/>
    <w:rsid w:val="00EB57D1"/>
    <w:rsid w:val="00EB594A"/>
    <w:rsid w:val="00EB5CA0"/>
    <w:rsid w:val="00EB6C9F"/>
    <w:rsid w:val="00EB6D53"/>
    <w:rsid w:val="00EB6DB3"/>
    <w:rsid w:val="00EB6EB0"/>
    <w:rsid w:val="00EB7C7B"/>
    <w:rsid w:val="00EB7EB3"/>
    <w:rsid w:val="00EC047D"/>
    <w:rsid w:val="00EC0C7C"/>
    <w:rsid w:val="00EC1751"/>
    <w:rsid w:val="00EC1E22"/>
    <w:rsid w:val="00EC22FB"/>
    <w:rsid w:val="00EC24FC"/>
    <w:rsid w:val="00EC2CDF"/>
    <w:rsid w:val="00EC2E4E"/>
    <w:rsid w:val="00EC2E62"/>
    <w:rsid w:val="00EC38E5"/>
    <w:rsid w:val="00EC3A0B"/>
    <w:rsid w:val="00EC3AAA"/>
    <w:rsid w:val="00EC4001"/>
    <w:rsid w:val="00EC42B9"/>
    <w:rsid w:val="00EC4331"/>
    <w:rsid w:val="00EC451E"/>
    <w:rsid w:val="00EC4DE5"/>
    <w:rsid w:val="00EC51A2"/>
    <w:rsid w:val="00EC5298"/>
    <w:rsid w:val="00EC5C86"/>
    <w:rsid w:val="00EC5F60"/>
    <w:rsid w:val="00EC6024"/>
    <w:rsid w:val="00EC65A4"/>
    <w:rsid w:val="00EC6EB2"/>
    <w:rsid w:val="00EC7079"/>
    <w:rsid w:val="00EC7439"/>
    <w:rsid w:val="00EC7C97"/>
    <w:rsid w:val="00ED010F"/>
    <w:rsid w:val="00ED0BD4"/>
    <w:rsid w:val="00ED0DD1"/>
    <w:rsid w:val="00ED0F10"/>
    <w:rsid w:val="00ED12A1"/>
    <w:rsid w:val="00ED136A"/>
    <w:rsid w:val="00ED158B"/>
    <w:rsid w:val="00ED168C"/>
    <w:rsid w:val="00ED16C1"/>
    <w:rsid w:val="00ED18F8"/>
    <w:rsid w:val="00ED1942"/>
    <w:rsid w:val="00ED1B07"/>
    <w:rsid w:val="00ED1BD9"/>
    <w:rsid w:val="00ED1E0A"/>
    <w:rsid w:val="00ED23BB"/>
    <w:rsid w:val="00ED2676"/>
    <w:rsid w:val="00ED28F0"/>
    <w:rsid w:val="00ED2DB7"/>
    <w:rsid w:val="00ED31E4"/>
    <w:rsid w:val="00ED3C27"/>
    <w:rsid w:val="00ED40D6"/>
    <w:rsid w:val="00ED4618"/>
    <w:rsid w:val="00ED4843"/>
    <w:rsid w:val="00ED4A5B"/>
    <w:rsid w:val="00ED5138"/>
    <w:rsid w:val="00ED5297"/>
    <w:rsid w:val="00ED53AA"/>
    <w:rsid w:val="00ED5EFC"/>
    <w:rsid w:val="00ED619E"/>
    <w:rsid w:val="00ED638D"/>
    <w:rsid w:val="00ED67C8"/>
    <w:rsid w:val="00ED6DC2"/>
    <w:rsid w:val="00ED6E94"/>
    <w:rsid w:val="00ED71C6"/>
    <w:rsid w:val="00ED74FA"/>
    <w:rsid w:val="00ED761A"/>
    <w:rsid w:val="00ED79E2"/>
    <w:rsid w:val="00ED7C17"/>
    <w:rsid w:val="00ED7F01"/>
    <w:rsid w:val="00ED7F49"/>
    <w:rsid w:val="00EE0500"/>
    <w:rsid w:val="00EE094D"/>
    <w:rsid w:val="00EE09F1"/>
    <w:rsid w:val="00EE0A7F"/>
    <w:rsid w:val="00EE0B06"/>
    <w:rsid w:val="00EE0C54"/>
    <w:rsid w:val="00EE1829"/>
    <w:rsid w:val="00EE1D02"/>
    <w:rsid w:val="00EE1D96"/>
    <w:rsid w:val="00EE1EF0"/>
    <w:rsid w:val="00EE214B"/>
    <w:rsid w:val="00EE2865"/>
    <w:rsid w:val="00EE2CB8"/>
    <w:rsid w:val="00EE2FC0"/>
    <w:rsid w:val="00EE320E"/>
    <w:rsid w:val="00EE3819"/>
    <w:rsid w:val="00EE39EB"/>
    <w:rsid w:val="00EE3B34"/>
    <w:rsid w:val="00EE3D1B"/>
    <w:rsid w:val="00EE3FD7"/>
    <w:rsid w:val="00EE427F"/>
    <w:rsid w:val="00EE43C2"/>
    <w:rsid w:val="00EE43EC"/>
    <w:rsid w:val="00EE469F"/>
    <w:rsid w:val="00EE4C87"/>
    <w:rsid w:val="00EE51DB"/>
    <w:rsid w:val="00EE5233"/>
    <w:rsid w:val="00EE545A"/>
    <w:rsid w:val="00EE5670"/>
    <w:rsid w:val="00EE5ACE"/>
    <w:rsid w:val="00EE73C2"/>
    <w:rsid w:val="00EE77B7"/>
    <w:rsid w:val="00EE7854"/>
    <w:rsid w:val="00EF06AE"/>
    <w:rsid w:val="00EF07B3"/>
    <w:rsid w:val="00EF089D"/>
    <w:rsid w:val="00EF09E2"/>
    <w:rsid w:val="00EF0B03"/>
    <w:rsid w:val="00EF10F6"/>
    <w:rsid w:val="00EF1AE1"/>
    <w:rsid w:val="00EF1DB3"/>
    <w:rsid w:val="00EF21B5"/>
    <w:rsid w:val="00EF29E0"/>
    <w:rsid w:val="00EF3066"/>
    <w:rsid w:val="00EF3895"/>
    <w:rsid w:val="00EF3C5C"/>
    <w:rsid w:val="00EF3DB0"/>
    <w:rsid w:val="00EF3E18"/>
    <w:rsid w:val="00EF41A2"/>
    <w:rsid w:val="00EF42FA"/>
    <w:rsid w:val="00EF4724"/>
    <w:rsid w:val="00EF485C"/>
    <w:rsid w:val="00EF4A14"/>
    <w:rsid w:val="00EF4F7C"/>
    <w:rsid w:val="00EF52B6"/>
    <w:rsid w:val="00EF5468"/>
    <w:rsid w:val="00EF55DC"/>
    <w:rsid w:val="00EF5BEE"/>
    <w:rsid w:val="00EF5E6C"/>
    <w:rsid w:val="00EF698F"/>
    <w:rsid w:val="00EF6B3D"/>
    <w:rsid w:val="00EF7003"/>
    <w:rsid w:val="00EF706A"/>
    <w:rsid w:val="00EF7B76"/>
    <w:rsid w:val="00EF7BD2"/>
    <w:rsid w:val="00EF7D5D"/>
    <w:rsid w:val="00F0033E"/>
    <w:rsid w:val="00F003E1"/>
    <w:rsid w:val="00F00801"/>
    <w:rsid w:val="00F0081E"/>
    <w:rsid w:val="00F00A07"/>
    <w:rsid w:val="00F01707"/>
    <w:rsid w:val="00F01834"/>
    <w:rsid w:val="00F01F38"/>
    <w:rsid w:val="00F0223B"/>
    <w:rsid w:val="00F0230C"/>
    <w:rsid w:val="00F03019"/>
    <w:rsid w:val="00F03469"/>
    <w:rsid w:val="00F03799"/>
    <w:rsid w:val="00F0380E"/>
    <w:rsid w:val="00F03908"/>
    <w:rsid w:val="00F0390D"/>
    <w:rsid w:val="00F03ABF"/>
    <w:rsid w:val="00F04A1A"/>
    <w:rsid w:val="00F04D76"/>
    <w:rsid w:val="00F04DF6"/>
    <w:rsid w:val="00F0500E"/>
    <w:rsid w:val="00F05221"/>
    <w:rsid w:val="00F068D0"/>
    <w:rsid w:val="00F06CC7"/>
    <w:rsid w:val="00F06DF1"/>
    <w:rsid w:val="00F074D8"/>
    <w:rsid w:val="00F07735"/>
    <w:rsid w:val="00F07C72"/>
    <w:rsid w:val="00F10B7F"/>
    <w:rsid w:val="00F10BC0"/>
    <w:rsid w:val="00F1159B"/>
    <w:rsid w:val="00F11862"/>
    <w:rsid w:val="00F118BC"/>
    <w:rsid w:val="00F12378"/>
    <w:rsid w:val="00F13137"/>
    <w:rsid w:val="00F132D7"/>
    <w:rsid w:val="00F134F7"/>
    <w:rsid w:val="00F1369C"/>
    <w:rsid w:val="00F138CC"/>
    <w:rsid w:val="00F139A8"/>
    <w:rsid w:val="00F13C2A"/>
    <w:rsid w:val="00F14713"/>
    <w:rsid w:val="00F1472C"/>
    <w:rsid w:val="00F1499D"/>
    <w:rsid w:val="00F14A08"/>
    <w:rsid w:val="00F14FC6"/>
    <w:rsid w:val="00F153AE"/>
    <w:rsid w:val="00F15858"/>
    <w:rsid w:val="00F1594F"/>
    <w:rsid w:val="00F15AA6"/>
    <w:rsid w:val="00F15AF8"/>
    <w:rsid w:val="00F15CA5"/>
    <w:rsid w:val="00F16391"/>
    <w:rsid w:val="00F16644"/>
    <w:rsid w:val="00F167C6"/>
    <w:rsid w:val="00F175F1"/>
    <w:rsid w:val="00F17605"/>
    <w:rsid w:val="00F17843"/>
    <w:rsid w:val="00F17970"/>
    <w:rsid w:val="00F17BF4"/>
    <w:rsid w:val="00F17D77"/>
    <w:rsid w:val="00F20454"/>
    <w:rsid w:val="00F20461"/>
    <w:rsid w:val="00F2087B"/>
    <w:rsid w:val="00F208D7"/>
    <w:rsid w:val="00F20990"/>
    <w:rsid w:val="00F20A50"/>
    <w:rsid w:val="00F20A79"/>
    <w:rsid w:val="00F20BEE"/>
    <w:rsid w:val="00F20CA1"/>
    <w:rsid w:val="00F20D50"/>
    <w:rsid w:val="00F212DF"/>
    <w:rsid w:val="00F21AA1"/>
    <w:rsid w:val="00F21B02"/>
    <w:rsid w:val="00F21FE3"/>
    <w:rsid w:val="00F222A3"/>
    <w:rsid w:val="00F22596"/>
    <w:rsid w:val="00F228D5"/>
    <w:rsid w:val="00F228FB"/>
    <w:rsid w:val="00F2332C"/>
    <w:rsid w:val="00F2345F"/>
    <w:rsid w:val="00F234CE"/>
    <w:rsid w:val="00F237E4"/>
    <w:rsid w:val="00F23868"/>
    <w:rsid w:val="00F23D57"/>
    <w:rsid w:val="00F23D79"/>
    <w:rsid w:val="00F24251"/>
    <w:rsid w:val="00F24377"/>
    <w:rsid w:val="00F24AD8"/>
    <w:rsid w:val="00F25121"/>
    <w:rsid w:val="00F25A73"/>
    <w:rsid w:val="00F25C3E"/>
    <w:rsid w:val="00F26604"/>
    <w:rsid w:val="00F26934"/>
    <w:rsid w:val="00F26CC1"/>
    <w:rsid w:val="00F3067B"/>
    <w:rsid w:val="00F307A0"/>
    <w:rsid w:val="00F30BC5"/>
    <w:rsid w:val="00F30FCF"/>
    <w:rsid w:val="00F31D0E"/>
    <w:rsid w:val="00F323C2"/>
    <w:rsid w:val="00F32817"/>
    <w:rsid w:val="00F3290B"/>
    <w:rsid w:val="00F32C89"/>
    <w:rsid w:val="00F339DC"/>
    <w:rsid w:val="00F33B4A"/>
    <w:rsid w:val="00F33DFE"/>
    <w:rsid w:val="00F3454A"/>
    <w:rsid w:val="00F34B91"/>
    <w:rsid w:val="00F34F79"/>
    <w:rsid w:val="00F35C59"/>
    <w:rsid w:val="00F35D06"/>
    <w:rsid w:val="00F36084"/>
    <w:rsid w:val="00F3624B"/>
    <w:rsid w:val="00F36661"/>
    <w:rsid w:val="00F36749"/>
    <w:rsid w:val="00F36F9B"/>
    <w:rsid w:val="00F3753C"/>
    <w:rsid w:val="00F37704"/>
    <w:rsid w:val="00F37A6C"/>
    <w:rsid w:val="00F37CA6"/>
    <w:rsid w:val="00F37EC5"/>
    <w:rsid w:val="00F407D1"/>
    <w:rsid w:val="00F40B33"/>
    <w:rsid w:val="00F40D22"/>
    <w:rsid w:val="00F40DAB"/>
    <w:rsid w:val="00F41872"/>
    <w:rsid w:val="00F418B3"/>
    <w:rsid w:val="00F41A04"/>
    <w:rsid w:val="00F41CEC"/>
    <w:rsid w:val="00F42204"/>
    <w:rsid w:val="00F42AE9"/>
    <w:rsid w:val="00F42B43"/>
    <w:rsid w:val="00F42E70"/>
    <w:rsid w:val="00F43402"/>
    <w:rsid w:val="00F435A1"/>
    <w:rsid w:val="00F4399B"/>
    <w:rsid w:val="00F43EA7"/>
    <w:rsid w:val="00F44787"/>
    <w:rsid w:val="00F44D3B"/>
    <w:rsid w:val="00F44E31"/>
    <w:rsid w:val="00F451AE"/>
    <w:rsid w:val="00F455D6"/>
    <w:rsid w:val="00F4620C"/>
    <w:rsid w:val="00F46277"/>
    <w:rsid w:val="00F462FB"/>
    <w:rsid w:val="00F46384"/>
    <w:rsid w:val="00F4664F"/>
    <w:rsid w:val="00F46CE4"/>
    <w:rsid w:val="00F46CF4"/>
    <w:rsid w:val="00F46D01"/>
    <w:rsid w:val="00F46FD3"/>
    <w:rsid w:val="00F47758"/>
    <w:rsid w:val="00F500E1"/>
    <w:rsid w:val="00F505E9"/>
    <w:rsid w:val="00F507C9"/>
    <w:rsid w:val="00F50B64"/>
    <w:rsid w:val="00F50CDB"/>
    <w:rsid w:val="00F50D8B"/>
    <w:rsid w:val="00F50E58"/>
    <w:rsid w:val="00F51002"/>
    <w:rsid w:val="00F51444"/>
    <w:rsid w:val="00F51579"/>
    <w:rsid w:val="00F5177C"/>
    <w:rsid w:val="00F51A4E"/>
    <w:rsid w:val="00F528E6"/>
    <w:rsid w:val="00F52D44"/>
    <w:rsid w:val="00F53353"/>
    <w:rsid w:val="00F53460"/>
    <w:rsid w:val="00F536B1"/>
    <w:rsid w:val="00F5379D"/>
    <w:rsid w:val="00F54047"/>
    <w:rsid w:val="00F5433B"/>
    <w:rsid w:val="00F54763"/>
    <w:rsid w:val="00F55498"/>
    <w:rsid w:val="00F55BB1"/>
    <w:rsid w:val="00F55EFC"/>
    <w:rsid w:val="00F55F01"/>
    <w:rsid w:val="00F5630B"/>
    <w:rsid w:val="00F565DA"/>
    <w:rsid w:val="00F565E4"/>
    <w:rsid w:val="00F56750"/>
    <w:rsid w:val="00F567B2"/>
    <w:rsid w:val="00F568CA"/>
    <w:rsid w:val="00F56987"/>
    <w:rsid w:val="00F56BC3"/>
    <w:rsid w:val="00F56D1C"/>
    <w:rsid w:val="00F571C9"/>
    <w:rsid w:val="00F573F2"/>
    <w:rsid w:val="00F5774B"/>
    <w:rsid w:val="00F57C0F"/>
    <w:rsid w:val="00F57FB4"/>
    <w:rsid w:val="00F6011D"/>
    <w:rsid w:val="00F603D8"/>
    <w:rsid w:val="00F605CB"/>
    <w:rsid w:val="00F606E2"/>
    <w:rsid w:val="00F60DBB"/>
    <w:rsid w:val="00F60FBB"/>
    <w:rsid w:val="00F61005"/>
    <w:rsid w:val="00F611FA"/>
    <w:rsid w:val="00F613FA"/>
    <w:rsid w:val="00F619C4"/>
    <w:rsid w:val="00F61B20"/>
    <w:rsid w:val="00F61E75"/>
    <w:rsid w:val="00F61F6E"/>
    <w:rsid w:val="00F61FFF"/>
    <w:rsid w:val="00F620B6"/>
    <w:rsid w:val="00F62480"/>
    <w:rsid w:val="00F62604"/>
    <w:rsid w:val="00F628B5"/>
    <w:rsid w:val="00F63017"/>
    <w:rsid w:val="00F63018"/>
    <w:rsid w:val="00F634EA"/>
    <w:rsid w:val="00F6355D"/>
    <w:rsid w:val="00F63950"/>
    <w:rsid w:val="00F63AEB"/>
    <w:rsid w:val="00F63D64"/>
    <w:rsid w:val="00F63E51"/>
    <w:rsid w:val="00F64403"/>
    <w:rsid w:val="00F649D1"/>
    <w:rsid w:val="00F64A2B"/>
    <w:rsid w:val="00F64C10"/>
    <w:rsid w:val="00F6503E"/>
    <w:rsid w:val="00F6563C"/>
    <w:rsid w:val="00F65883"/>
    <w:rsid w:val="00F6669C"/>
    <w:rsid w:val="00F66DC3"/>
    <w:rsid w:val="00F67185"/>
    <w:rsid w:val="00F6740D"/>
    <w:rsid w:val="00F706AB"/>
    <w:rsid w:val="00F70774"/>
    <w:rsid w:val="00F7080E"/>
    <w:rsid w:val="00F70AC5"/>
    <w:rsid w:val="00F70F32"/>
    <w:rsid w:val="00F7124B"/>
    <w:rsid w:val="00F71990"/>
    <w:rsid w:val="00F71C63"/>
    <w:rsid w:val="00F71F83"/>
    <w:rsid w:val="00F721AC"/>
    <w:rsid w:val="00F722A8"/>
    <w:rsid w:val="00F724B5"/>
    <w:rsid w:val="00F726E8"/>
    <w:rsid w:val="00F7292B"/>
    <w:rsid w:val="00F72CDC"/>
    <w:rsid w:val="00F72F65"/>
    <w:rsid w:val="00F730F6"/>
    <w:rsid w:val="00F7312E"/>
    <w:rsid w:val="00F7350E"/>
    <w:rsid w:val="00F73D76"/>
    <w:rsid w:val="00F73DD4"/>
    <w:rsid w:val="00F74659"/>
    <w:rsid w:val="00F74798"/>
    <w:rsid w:val="00F74DCC"/>
    <w:rsid w:val="00F74DF6"/>
    <w:rsid w:val="00F75201"/>
    <w:rsid w:val="00F75273"/>
    <w:rsid w:val="00F75FBA"/>
    <w:rsid w:val="00F762F9"/>
    <w:rsid w:val="00F76DB5"/>
    <w:rsid w:val="00F76E74"/>
    <w:rsid w:val="00F76FE3"/>
    <w:rsid w:val="00F77682"/>
    <w:rsid w:val="00F77767"/>
    <w:rsid w:val="00F777BD"/>
    <w:rsid w:val="00F77960"/>
    <w:rsid w:val="00F77DA3"/>
    <w:rsid w:val="00F77DF2"/>
    <w:rsid w:val="00F77F43"/>
    <w:rsid w:val="00F80B36"/>
    <w:rsid w:val="00F812A4"/>
    <w:rsid w:val="00F814CD"/>
    <w:rsid w:val="00F81821"/>
    <w:rsid w:val="00F818F0"/>
    <w:rsid w:val="00F818F4"/>
    <w:rsid w:val="00F819DF"/>
    <w:rsid w:val="00F81BD4"/>
    <w:rsid w:val="00F81F8B"/>
    <w:rsid w:val="00F82513"/>
    <w:rsid w:val="00F82AAF"/>
    <w:rsid w:val="00F83310"/>
    <w:rsid w:val="00F83632"/>
    <w:rsid w:val="00F837D5"/>
    <w:rsid w:val="00F83CA7"/>
    <w:rsid w:val="00F83EF6"/>
    <w:rsid w:val="00F83F71"/>
    <w:rsid w:val="00F83FC6"/>
    <w:rsid w:val="00F8406F"/>
    <w:rsid w:val="00F84E17"/>
    <w:rsid w:val="00F852C6"/>
    <w:rsid w:val="00F8582C"/>
    <w:rsid w:val="00F85A1D"/>
    <w:rsid w:val="00F85B66"/>
    <w:rsid w:val="00F85F87"/>
    <w:rsid w:val="00F8601E"/>
    <w:rsid w:val="00F861C2"/>
    <w:rsid w:val="00F86939"/>
    <w:rsid w:val="00F86AB6"/>
    <w:rsid w:val="00F86F6F"/>
    <w:rsid w:val="00F87183"/>
    <w:rsid w:val="00F8727F"/>
    <w:rsid w:val="00F8784E"/>
    <w:rsid w:val="00F906D0"/>
    <w:rsid w:val="00F906D5"/>
    <w:rsid w:val="00F90AB2"/>
    <w:rsid w:val="00F90CAD"/>
    <w:rsid w:val="00F90D56"/>
    <w:rsid w:val="00F90F8F"/>
    <w:rsid w:val="00F9104C"/>
    <w:rsid w:val="00F91087"/>
    <w:rsid w:val="00F913E5"/>
    <w:rsid w:val="00F9158C"/>
    <w:rsid w:val="00F91695"/>
    <w:rsid w:val="00F91931"/>
    <w:rsid w:val="00F91B0A"/>
    <w:rsid w:val="00F91D31"/>
    <w:rsid w:val="00F922A9"/>
    <w:rsid w:val="00F922BE"/>
    <w:rsid w:val="00F92508"/>
    <w:rsid w:val="00F92702"/>
    <w:rsid w:val="00F929FB"/>
    <w:rsid w:val="00F92AA8"/>
    <w:rsid w:val="00F92D31"/>
    <w:rsid w:val="00F92D9D"/>
    <w:rsid w:val="00F9315D"/>
    <w:rsid w:val="00F9368F"/>
    <w:rsid w:val="00F939D6"/>
    <w:rsid w:val="00F93EF0"/>
    <w:rsid w:val="00F93F2D"/>
    <w:rsid w:val="00F93FB2"/>
    <w:rsid w:val="00F94089"/>
    <w:rsid w:val="00F9420D"/>
    <w:rsid w:val="00F94502"/>
    <w:rsid w:val="00F94721"/>
    <w:rsid w:val="00F949BB"/>
    <w:rsid w:val="00F94DA7"/>
    <w:rsid w:val="00F951E1"/>
    <w:rsid w:val="00F95601"/>
    <w:rsid w:val="00F958FB"/>
    <w:rsid w:val="00F95951"/>
    <w:rsid w:val="00F95F7D"/>
    <w:rsid w:val="00F963CB"/>
    <w:rsid w:val="00F96606"/>
    <w:rsid w:val="00F96617"/>
    <w:rsid w:val="00F97306"/>
    <w:rsid w:val="00F973DE"/>
    <w:rsid w:val="00F97750"/>
    <w:rsid w:val="00F97A11"/>
    <w:rsid w:val="00FA00BD"/>
    <w:rsid w:val="00FA00FB"/>
    <w:rsid w:val="00FA02A9"/>
    <w:rsid w:val="00FA0603"/>
    <w:rsid w:val="00FA07B2"/>
    <w:rsid w:val="00FA086C"/>
    <w:rsid w:val="00FA0A6A"/>
    <w:rsid w:val="00FA0C4B"/>
    <w:rsid w:val="00FA0EAC"/>
    <w:rsid w:val="00FA0FFB"/>
    <w:rsid w:val="00FA1369"/>
    <w:rsid w:val="00FA1534"/>
    <w:rsid w:val="00FA15DB"/>
    <w:rsid w:val="00FA19BC"/>
    <w:rsid w:val="00FA1EAB"/>
    <w:rsid w:val="00FA2B08"/>
    <w:rsid w:val="00FA2B44"/>
    <w:rsid w:val="00FA2E39"/>
    <w:rsid w:val="00FA2FDD"/>
    <w:rsid w:val="00FA304F"/>
    <w:rsid w:val="00FA326B"/>
    <w:rsid w:val="00FA3AF2"/>
    <w:rsid w:val="00FA3B7A"/>
    <w:rsid w:val="00FA406C"/>
    <w:rsid w:val="00FA4220"/>
    <w:rsid w:val="00FA47C3"/>
    <w:rsid w:val="00FA4FB2"/>
    <w:rsid w:val="00FA4FF5"/>
    <w:rsid w:val="00FA60DF"/>
    <w:rsid w:val="00FA6106"/>
    <w:rsid w:val="00FA6426"/>
    <w:rsid w:val="00FA6491"/>
    <w:rsid w:val="00FA66A7"/>
    <w:rsid w:val="00FA6700"/>
    <w:rsid w:val="00FA6807"/>
    <w:rsid w:val="00FA73A0"/>
    <w:rsid w:val="00FA7564"/>
    <w:rsid w:val="00FA77E6"/>
    <w:rsid w:val="00FB00AC"/>
    <w:rsid w:val="00FB0636"/>
    <w:rsid w:val="00FB06BE"/>
    <w:rsid w:val="00FB094B"/>
    <w:rsid w:val="00FB0F8E"/>
    <w:rsid w:val="00FB1312"/>
    <w:rsid w:val="00FB145E"/>
    <w:rsid w:val="00FB1483"/>
    <w:rsid w:val="00FB1B13"/>
    <w:rsid w:val="00FB1BDE"/>
    <w:rsid w:val="00FB1C13"/>
    <w:rsid w:val="00FB2233"/>
    <w:rsid w:val="00FB2268"/>
    <w:rsid w:val="00FB241A"/>
    <w:rsid w:val="00FB2527"/>
    <w:rsid w:val="00FB25F0"/>
    <w:rsid w:val="00FB27CF"/>
    <w:rsid w:val="00FB2FF0"/>
    <w:rsid w:val="00FB3377"/>
    <w:rsid w:val="00FB33A0"/>
    <w:rsid w:val="00FB3643"/>
    <w:rsid w:val="00FB3CC0"/>
    <w:rsid w:val="00FB4631"/>
    <w:rsid w:val="00FB48C7"/>
    <w:rsid w:val="00FB4B52"/>
    <w:rsid w:val="00FB50A4"/>
    <w:rsid w:val="00FB5365"/>
    <w:rsid w:val="00FB5BB4"/>
    <w:rsid w:val="00FB5C19"/>
    <w:rsid w:val="00FB5CC5"/>
    <w:rsid w:val="00FB5CC8"/>
    <w:rsid w:val="00FB606A"/>
    <w:rsid w:val="00FB6196"/>
    <w:rsid w:val="00FB6EEA"/>
    <w:rsid w:val="00FB7183"/>
    <w:rsid w:val="00FB7431"/>
    <w:rsid w:val="00FB76C9"/>
    <w:rsid w:val="00FB7986"/>
    <w:rsid w:val="00FB7C14"/>
    <w:rsid w:val="00FC011D"/>
    <w:rsid w:val="00FC0709"/>
    <w:rsid w:val="00FC1078"/>
    <w:rsid w:val="00FC1A90"/>
    <w:rsid w:val="00FC1C0C"/>
    <w:rsid w:val="00FC1EB3"/>
    <w:rsid w:val="00FC234D"/>
    <w:rsid w:val="00FC23B5"/>
    <w:rsid w:val="00FC2401"/>
    <w:rsid w:val="00FC251F"/>
    <w:rsid w:val="00FC27E9"/>
    <w:rsid w:val="00FC2917"/>
    <w:rsid w:val="00FC2941"/>
    <w:rsid w:val="00FC2BE1"/>
    <w:rsid w:val="00FC2E5B"/>
    <w:rsid w:val="00FC3023"/>
    <w:rsid w:val="00FC31F3"/>
    <w:rsid w:val="00FC37DA"/>
    <w:rsid w:val="00FC3D76"/>
    <w:rsid w:val="00FC3EDE"/>
    <w:rsid w:val="00FC4230"/>
    <w:rsid w:val="00FC4344"/>
    <w:rsid w:val="00FC43D7"/>
    <w:rsid w:val="00FC49B1"/>
    <w:rsid w:val="00FC4EE1"/>
    <w:rsid w:val="00FC4F21"/>
    <w:rsid w:val="00FC5157"/>
    <w:rsid w:val="00FC517A"/>
    <w:rsid w:val="00FC519E"/>
    <w:rsid w:val="00FC584B"/>
    <w:rsid w:val="00FC586B"/>
    <w:rsid w:val="00FC59F5"/>
    <w:rsid w:val="00FC5CA2"/>
    <w:rsid w:val="00FC5DC7"/>
    <w:rsid w:val="00FC5EBF"/>
    <w:rsid w:val="00FC5F64"/>
    <w:rsid w:val="00FC6581"/>
    <w:rsid w:val="00FC69A2"/>
    <w:rsid w:val="00FC6C04"/>
    <w:rsid w:val="00FC6C1F"/>
    <w:rsid w:val="00FC74E4"/>
    <w:rsid w:val="00FC7609"/>
    <w:rsid w:val="00FC7CEC"/>
    <w:rsid w:val="00FC7E06"/>
    <w:rsid w:val="00FC7E9E"/>
    <w:rsid w:val="00FD04C8"/>
    <w:rsid w:val="00FD063F"/>
    <w:rsid w:val="00FD08FD"/>
    <w:rsid w:val="00FD0B95"/>
    <w:rsid w:val="00FD0CED"/>
    <w:rsid w:val="00FD120F"/>
    <w:rsid w:val="00FD1283"/>
    <w:rsid w:val="00FD1FFD"/>
    <w:rsid w:val="00FD2088"/>
    <w:rsid w:val="00FD244A"/>
    <w:rsid w:val="00FD2A0B"/>
    <w:rsid w:val="00FD2B1E"/>
    <w:rsid w:val="00FD2C5F"/>
    <w:rsid w:val="00FD382C"/>
    <w:rsid w:val="00FD3DA0"/>
    <w:rsid w:val="00FD3DEF"/>
    <w:rsid w:val="00FD3E2E"/>
    <w:rsid w:val="00FD3E42"/>
    <w:rsid w:val="00FD445F"/>
    <w:rsid w:val="00FD449E"/>
    <w:rsid w:val="00FD4975"/>
    <w:rsid w:val="00FD5343"/>
    <w:rsid w:val="00FD537E"/>
    <w:rsid w:val="00FD5581"/>
    <w:rsid w:val="00FD5810"/>
    <w:rsid w:val="00FD59CE"/>
    <w:rsid w:val="00FD61C0"/>
    <w:rsid w:val="00FD634A"/>
    <w:rsid w:val="00FD6379"/>
    <w:rsid w:val="00FD6CB1"/>
    <w:rsid w:val="00FD6F71"/>
    <w:rsid w:val="00FD7018"/>
    <w:rsid w:val="00FD767B"/>
    <w:rsid w:val="00FD7809"/>
    <w:rsid w:val="00FE0016"/>
    <w:rsid w:val="00FE0345"/>
    <w:rsid w:val="00FE083F"/>
    <w:rsid w:val="00FE087C"/>
    <w:rsid w:val="00FE0AD1"/>
    <w:rsid w:val="00FE0AFD"/>
    <w:rsid w:val="00FE0C01"/>
    <w:rsid w:val="00FE0C4C"/>
    <w:rsid w:val="00FE1306"/>
    <w:rsid w:val="00FE1691"/>
    <w:rsid w:val="00FE1942"/>
    <w:rsid w:val="00FE19D3"/>
    <w:rsid w:val="00FE1B98"/>
    <w:rsid w:val="00FE1F07"/>
    <w:rsid w:val="00FE2368"/>
    <w:rsid w:val="00FE26E9"/>
    <w:rsid w:val="00FE27C8"/>
    <w:rsid w:val="00FE27DA"/>
    <w:rsid w:val="00FE2D52"/>
    <w:rsid w:val="00FE33B5"/>
    <w:rsid w:val="00FE34D5"/>
    <w:rsid w:val="00FE386D"/>
    <w:rsid w:val="00FE3896"/>
    <w:rsid w:val="00FE392B"/>
    <w:rsid w:val="00FE39FD"/>
    <w:rsid w:val="00FE3F88"/>
    <w:rsid w:val="00FE427A"/>
    <w:rsid w:val="00FE427C"/>
    <w:rsid w:val="00FE49EE"/>
    <w:rsid w:val="00FE4A47"/>
    <w:rsid w:val="00FE4B3A"/>
    <w:rsid w:val="00FE4DD7"/>
    <w:rsid w:val="00FE4E1A"/>
    <w:rsid w:val="00FE50EB"/>
    <w:rsid w:val="00FE5198"/>
    <w:rsid w:val="00FE5B40"/>
    <w:rsid w:val="00FE5ED5"/>
    <w:rsid w:val="00FE6345"/>
    <w:rsid w:val="00FE66D0"/>
    <w:rsid w:val="00FE6C52"/>
    <w:rsid w:val="00FE6C6D"/>
    <w:rsid w:val="00FE705C"/>
    <w:rsid w:val="00FE7122"/>
    <w:rsid w:val="00FE729D"/>
    <w:rsid w:val="00FE763A"/>
    <w:rsid w:val="00FE7D50"/>
    <w:rsid w:val="00FE7F1A"/>
    <w:rsid w:val="00FF0044"/>
    <w:rsid w:val="00FF04D8"/>
    <w:rsid w:val="00FF06CE"/>
    <w:rsid w:val="00FF06EA"/>
    <w:rsid w:val="00FF0905"/>
    <w:rsid w:val="00FF0FC0"/>
    <w:rsid w:val="00FF11B9"/>
    <w:rsid w:val="00FF14C7"/>
    <w:rsid w:val="00FF168A"/>
    <w:rsid w:val="00FF1792"/>
    <w:rsid w:val="00FF1FE3"/>
    <w:rsid w:val="00FF244D"/>
    <w:rsid w:val="00FF257A"/>
    <w:rsid w:val="00FF2923"/>
    <w:rsid w:val="00FF29DF"/>
    <w:rsid w:val="00FF2EE2"/>
    <w:rsid w:val="00FF312E"/>
    <w:rsid w:val="00FF345B"/>
    <w:rsid w:val="00FF3756"/>
    <w:rsid w:val="00FF37CE"/>
    <w:rsid w:val="00FF37ED"/>
    <w:rsid w:val="00FF38D1"/>
    <w:rsid w:val="00FF3D86"/>
    <w:rsid w:val="00FF44CD"/>
    <w:rsid w:val="00FF4B0E"/>
    <w:rsid w:val="00FF4E19"/>
    <w:rsid w:val="00FF5639"/>
    <w:rsid w:val="00FF576E"/>
    <w:rsid w:val="00FF59B3"/>
    <w:rsid w:val="00FF5A30"/>
    <w:rsid w:val="00FF6241"/>
    <w:rsid w:val="00FF67CD"/>
    <w:rsid w:val="00FF6C14"/>
    <w:rsid w:val="00FF6E76"/>
    <w:rsid w:val="00FF747C"/>
    <w:rsid w:val="00FF7BD6"/>
    <w:rsid w:val="00FF7D4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6AAA1"/>
  <w15:docId w15:val="{C83AFC1F-A0E0-4550-9220-06D950CE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DB1"/>
    <w:rPr>
      <w:sz w:val="24"/>
      <w:szCs w:val="24"/>
    </w:rPr>
  </w:style>
  <w:style w:type="paragraph" w:styleId="Heading1">
    <w:name w:val="heading 1"/>
    <w:basedOn w:val="Normal"/>
    <w:next w:val="Normal"/>
    <w:link w:val="Heading1Char"/>
    <w:autoRedefine/>
    <w:uiPriority w:val="9"/>
    <w:qFormat/>
    <w:rsid w:val="00E319F8"/>
    <w:pPr>
      <w:keepNext/>
      <w:numPr>
        <w:numId w:val="23"/>
      </w:numPr>
      <w:spacing w:before="120" w:after="120" w:line="360" w:lineRule="auto"/>
      <w:contextualSpacing/>
      <w:outlineLvl w:val="0"/>
    </w:pPr>
    <w:rPr>
      <w:b/>
      <w:bCs/>
      <w:noProof/>
      <w:kern w:val="32"/>
      <w:sz w:val="22"/>
      <w:szCs w:val="22"/>
      <w:lang w:eastAsia="zh-CN"/>
    </w:rPr>
  </w:style>
  <w:style w:type="paragraph" w:styleId="Heading2">
    <w:name w:val="heading 2"/>
    <w:basedOn w:val="Normal"/>
    <w:next w:val="Normal"/>
    <w:link w:val="Heading2Char"/>
    <w:autoRedefine/>
    <w:qFormat/>
    <w:rsid w:val="00596F39"/>
    <w:pPr>
      <w:keepNext/>
      <w:numPr>
        <w:ilvl w:val="1"/>
        <w:numId w:val="23"/>
      </w:numPr>
      <w:spacing w:before="120" w:after="120" w:line="480" w:lineRule="auto"/>
      <w:contextualSpacing/>
      <w:outlineLvl w:val="1"/>
    </w:pPr>
    <w:rPr>
      <w:b/>
      <w:bCs/>
      <w:iCs/>
      <w:sz w:val="22"/>
      <w:szCs w:val="22"/>
    </w:rPr>
  </w:style>
  <w:style w:type="paragraph" w:styleId="Heading3">
    <w:name w:val="heading 3"/>
    <w:basedOn w:val="Normal"/>
    <w:next w:val="Normal"/>
    <w:link w:val="Heading3Char"/>
    <w:autoRedefine/>
    <w:uiPriority w:val="9"/>
    <w:qFormat/>
    <w:rsid w:val="00216E78"/>
    <w:pPr>
      <w:keepNext/>
      <w:numPr>
        <w:ilvl w:val="2"/>
        <w:numId w:val="22"/>
      </w:numPr>
      <w:spacing w:before="240" w:after="60" w:line="480" w:lineRule="auto"/>
      <w:outlineLvl w:val="2"/>
    </w:pPr>
    <w:rPr>
      <w:b/>
      <w:szCs w:val="32"/>
    </w:rPr>
  </w:style>
  <w:style w:type="paragraph" w:styleId="Heading4">
    <w:name w:val="heading 4"/>
    <w:basedOn w:val="Normal"/>
    <w:next w:val="Normal"/>
    <w:link w:val="Heading4Char"/>
    <w:autoRedefine/>
    <w:uiPriority w:val="9"/>
    <w:qFormat/>
    <w:rsid w:val="00E44E0E"/>
    <w:pPr>
      <w:keepNext/>
      <w:numPr>
        <w:ilvl w:val="3"/>
        <w:numId w:val="22"/>
      </w:numPr>
      <w:spacing w:line="480" w:lineRule="auto"/>
      <w:outlineLvl w:val="3"/>
    </w:pPr>
    <w:rPr>
      <w:b/>
      <w:lang w:eastAsia="zh-CN"/>
    </w:rPr>
  </w:style>
  <w:style w:type="paragraph" w:styleId="Heading5">
    <w:name w:val="heading 5"/>
    <w:basedOn w:val="Normal"/>
    <w:next w:val="Normal"/>
    <w:link w:val="Heading5Char"/>
    <w:uiPriority w:val="9"/>
    <w:semiHidden/>
    <w:unhideWhenUsed/>
    <w:qFormat/>
    <w:rsid w:val="002D6F09"/>
    <w:pPr>
      <w:keepNext/>
      <w:keepLines/>
      <w:numPr>
        <w:ilvl w:val="4"/>
        <w:numId w:val="22"/>
      </w:numPr>
      <w:spacing w:before="200" w:line="276" w:lineRule="auto"/>
      <w:outlineLvl w:val="4"/>
    </w:pPr>
    <w:rPr>
      <w:rFonts w:asciiTheme="majorHAnsi" w:eastAsiaTheme="majorEastAsia" w:hAnsiTheme="majorHAnsi" w:cstheme="majorBidi"/>
      <w:color w:val="1F4D78" w:themeColor="accent1" w:themeShade="7F"/>
      <w:sz w:val="22"/>
      <w:szCs w:val="22"/>
      <w:lang w:eastAsia="zh-CN"/>
    </w:rPr>
  </w:style>
  <w:style w:type="paragraph" w:styleId="Heading6">
    <w:name w:val="heading 6"/>
    <w:basedOn w:val="Normal"/>
    <w:next w:val="Normal"/>
    <w:link w:val="Heading6Char"/>
    <w:uiPriority w:val="9"/>
    <w:semiHidden/>
    <w:unhideWhenUsed/>
    <w:qFormat/>
    <w:rsid w:val="002D6F09"/>
    <w:pPr>
      <w:keepNext/>
      <w:keepLines/>
      <w:numPr>
        <w:ilvl w:val="5"/>
        <w:numId w:val="22"/>
      </w:numPr>
      <w:spacing w:before="200" w:line="276" w:lineRule="auto"/>
      <w:outlineLvl w:val="5"/>
    </w:pPr>
    <w:rPr>
      <w:rFonts w:asciiTheme="majorHAnsi" w:eastAsiaTheme="majorEastAsia" w:hAnsiTheme="majorHAnsi" w:cstheme="majorBidi"/>
      <w:i/>
      <w:iCs/>
      <w:color w:val="1F4D78" w:themeColor="accent1" w:themeShade="7F"/>
      <w:sz w:val="22"/>
      <w:szCs w:val="22"/>
      <w:lang w:eastAsia="zh-CN"/>
    </w:rPr>
  </w:style>
  <w:style w:type="paragraph" w:styleId="Heading7">
    <w:name w:val="heading 7"/>
    <w:basedOn w:val="Normal"/>
    <w:next w:val="Normal"/>
    <w:link w:val="Heading7Char"/>
    <w:uiPriority w:val="9"/>
    <w:semiHidden/>
    <w:unhideWhenUsed/>
    <w:qFormat/>
    <w:rsid w:val="002D6F09"/>
    <w:pPr>
      <w:keepNext/>
      <w:keepLines/>
      <w:numPr>
        <w:ilvl w:val="6"/>
        <w:numId w:val="22"/>
      </w:numPr>
      <w:spacing w:before="200" w:line="276" w:lineRule="auto"/>
      <w:outlineLvl w:val="6"/>
    </w:pPr>
    <w:rPr>
      <w:rFonts w:asciiTheme="majorHAnsi" w:eastAsiaTheme="majorEastAsia" w:hAnsiTheme="majorHAnsi" w:cstheme="majorBidi"/>
      <w:i/>
      <w:iCs/>
      <w:color w:val="404040" w:themeColor="text1" w:themeTint="BF"/>
      <w:sz w:val="22"/>
      <w:szCs w:val="22"/>
      <w:lang w:eastAsia="zh-CN"/>
    </w:rPr>
  </w:style>
  <w:style w:type="paragraph" w:styleId="Heading8">
    <w:name w:val="heading 8"/>
    <w:basedOn w:val="Normal"/>
    <w:next w:val="Normal"/>
    <w:link w:val="Heading8Char"/>
    <w:uiPriority w:val="9"/>
    <w:semiHidden/>
    <w:unhideWhenUsed/>
    <w:qFormat/>
    <w:rsid w:val="002D6F09"/>
    <w:pPr>
      <w:keepNext/>
      <w:keepLines/>
      <w:numPr>
        <w:ilvl w:val="7"/>
        <w:numId w:val="22"/>
      </w:numPr>
      <w:spacing w:before="200" w:line="276" w:lineRule="auto"/>
      <w:outlineLvl w:val="7"/>
    </w:pPr>
    <w:rPr>
      <w:rFonts w:asciiTheme="majorHAnsi" w:eastAsiaTheme="majorEastAsia" w:hAnsiTheme="majorHAnsi" w:cstheme="majorBidi"/>
      <w:color w:val="404040" w:themeColor="text1" w:themeTint="BF"/>
      <w:sz w:val="20"/>
      <w:szCs w:val="20"/>
      <w:lang w:eastAsia="zh-CN"/>
    </w:rPr>
  </w:style>
  <w:style w:type="paragraph" w:styleId="Heading9">
    <w:name w:val="heading 9"/>
    <w:basedOn w:val="Normal"/>
    <w:next w:val="Normal"/>
    <w:link w:val="Heading9Char"/>
    <w:uiPriority w:val="9"/>
    <w:semiHidden/>
    <w:unhideWhenUsed/>
    <w:qFormat/>
    <w:rsid w:val="002D6F09"/>
    <w:pPr>
      <w:keepNext/>
      <w:keepLines/>
      <w:numPr>
        <w:ilvl w:val="8"/>
        <w:numId w:val="22"/>
      </w:numPr>
      <w:spacing w:before="200" w:line="276" w:lineRule="auto"/>
      <w:outlineLvl w:val="8"/>
    </w:pPr>
    <w:rPr>
      <w:rFonts w:asciiTheme="majorHAnsi" w:eastAsiaTheme="majorEastAsia" w:hAnsiTheme="majorHAnsi" w:cstheme="majorBidi"/>
      <w:i/>
      <w:iCs/>
      <w:color w:val="404040" w:themeColor="text1" w:themeTint="BF"/>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EndnoteText">
    <w:name w:val="endnote text"/>
    <w:basedOn w:val="Normal"/>
    <w:link w:val="EndnoteTextChar"/>
    <w:uiPriority w:val="99"/>
    <w:semiHidden/>
    <w:rPr>
      <w:sz w:val="20"/>
      <w:szCs w:val="20"/>
    </w:rPr>
  </w:style>
  <w:style w:type="character" w:styleId="EndnoteReference">
    <w:name w:val="endnote reference"/>
    <w:uiPriority w:val="99"/>
    <w:semiHidden/>
    <w:rPr>
      <w:vertAlign w:val="superscript"/>
    </w:rPr>
  </w:style>
  <w:style w:type="character" w:customStyle="1" w:styleId="Heading4Char">
    <w:name w:val="Heading 4 Char"/>
    <w:link w:val="Heading4"/>
    <w:uiPriority w:val="9"/>
    <w:rsid w:val="00E44E0E"/>
    <w:rPr>
      <w:b/>
      <w:sz w:val="24"/>
      <w:szCs w:val="24"/>
      <w:lang w:eastAsia="zh-CN"/>
    </w:rPr>
  </w:style>
  <w:style w:type="character" w:styleId="CommentReference">
    <w:name w:val="annotation reference"/>
    <w:uiPriority w:val="99"/>
    <w:unhideWhenUsed/>
    <w:rsid w:val="003065DE"/>
    <w:rPr>
      <w:sz w:val="16"/>
      <w:szCs w:val="16"/>
    </w:rPr>
  </w:style>
  <w:style w:type="paragraph" w:styleId="CommentText">
    <w:name w:val="annotation text"/>
    <w:basedOn w:val="Normal"/>
    <w:link w:val="CommentTextChar"/>
    <w:uiPriority w:val="99"/>
    <w:unhideWhenUsed/>
    <w:rsid w:val="003065DE"/>
    <w:pPr>
      <w:spacing w:after="200"/>
    </w:pPr>
    <w:rPr>
      <w:rFonts w:ascii="Calibri" w:eastAsia="Calibri" w:hAnsi="Calibri"/>
      <w:sz w:val="20"/>
      <w:szCs w:val="20"/>
    </w:rPr>
  </w:style>
  <w:style w:type="character" w:customStyle="1" w:styleId="CommentTextChar">
    <w:name w:val="Comment Text Char"/>
    <w:link w:val="CommentText"/>
    <w:uiPriority w:val="99"/>
    <w:rsid w:val="003065DE"/>
    <w:rPr>
      <w:rFonts w:ascii="Calibri" w:eastAsia="Calibri" w:hAnsi="Calibri"/>
    </w:rPr>
  </w:style>
  <w:style w:type="paragraph" w:styleId="BalloonText">
    <w:name w:val="Balloon Text"/>
    <w:basedOn w:val="Normal"/>
    <w:link w:val="BalloonTextChar"/>
    <w:uiPriority w:val="99"/>
    <w:rsid w:val="003065DE"/>
    <w:rPr>
      <w:rFonts w:ascii="Tahoma" w:hAnsi="Tahoma" w:cs="Tahoma"/>
      <w:sz w:val="16"/>
      <w:szCs w:val="16"/>
    </w:rPr>
  </w:style>
  <w:style w:type="character" w:customStyle="1" w:styleId="BalloonTextChar">
    <w:name w:val="Balloon Text Char"/>
    <w:link w:val="BalloonText"/>
    <w:uiPriority w:val="99"/>
    <w:rsid w:val="003065DE"/>
    <w:rPr>
      <w:rFonts w:ascii="Tahoma" w:hAnsi="Tahoma" w:cs="Tahoma"/>
      <w:sz w:val="16"/>
      <w:szCs w:val="16"/>
    </w:rPr>
  </w:style>
  <w:style w:type="paragraph" w:styleId="ListParagraph">
    <w:name w:val="List Paragraph"/>
    <w:basedOn w:val="Normal"/>
    <w:uiPriority w:val="34"/>
    <w:qFormat/>
    <w:rsid w:val="003065DE"/>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rsid w:val="003065DE"/>
    <w:pPr>
      <w:spacing w:after="0"/>
    </w:pPr>
    <w:rPr>
      <w:rFonts w:ascii="Times New Roman" w:eastAsia="Times New Roman" w:hAnsi="Times New Roman"/>
      <w:b/>
      <w:bCs/>
    </w:rPr>
  </w:style>
  <w:style w:type="character" w:customStyle="1" w:styleId="CommentSubjectChar">
    <w:name w:val="Comment Subject Char"/>
    <w:link w:val="CommentSubject"/>
    <w:uiPriority w:val="99"/>
    <w:rsid w:val="003065DE"/>
    <w:rPr>
      <w:rFonts w:ascii="Calibri" w:eastAsia="Calibri" w:hAnsi="Calibri"/>
      <w:b/>
      <w:bCs/>
    </w:rPr>
  </w:style>
  <w:style w:type="paragraph" w:customStyle="1" w:styleId="EndNoteBibliography">
    <w:name w:val="EndNote Bibliography"/>
    <w:basedOn w:val="Normal"/>
    <w:link w:val="EndNoteBibliographyChar"/>
    <w:rsid w:val="003065DE"/>
    <w:pPr>
      <w:spacing w:after="200"/>
      <w:jc w:val="center"/>
    </w:pPr>
    <w:rPr>
      <w:rFonts w:ascii="Calibri" w:eastAsia="Calibri" w:hAnsi="Calibri" w:cs="Calibri"/>
      <w:noProof/>
      <w:sz w:val="22"/>
      <w:szCs w:val="22"/>
    </w:rPr>
  </w:style>
  <w:style w:type="character" w:customStyle="1" w:styleId="EndNoteBibliographyChar">
    <w:name w:val="EndNote Bibliography Char"/>
    <w:link w:val="EndNoteBibliography"/>
    <w:rsid w:val="003065DE"/>
    <w:rPr>
      <w:rFonts w:ascii="Calibri" w:eastAsia="Calibri" w:hAnsi="Calibri" w:cs="Calibri"/>
      <w:noProof/>
      <w:sz w:val="22"/>
      <w:szCs w:val="22"/>
    </w:rPr>
  </w:style>
  <w:style w:type="paragraph" w:styleId="FootnoteText">
    <w:name w:val="footnote text"/>
    <w:basedOn w:val="Normal"/>
    <w:link w:val="FootnoteTextChar"/>
    <w:uiPriority w:val="99"/>
    <w:unhideWhenUsed/>
    <w:rsid w:val="003065DE"/>
    <w:rPr>
      <w:rFonts w:ascii="Calibri" w:eastAsia="Calibri" w:hAnsi="Calibri"/>
    </w:rPr>
  </w:style>
  <w:style w:type="character" w:customStyle="1" w:styleId="FootnoteTextChar">
    <w:name w:val="Footnote Text Char"/>
    <w:link w:val="FootnoteText"/>
    <w:uiPriority w:val="99"/>
    <w:rsid w:val="003065DE"/>
    <w:rPr>
      <w:rFonts w:ascii="Calibri" w:eastAsia="Calibri" w:hAnsi="Calibri"/>
      <w:sz w:val="24"/>
      <w:szCs w:val="24"/>
    </w:rPr>
  </w:style>
  <w:style w:type="character" w:styleId="FootnoteReference">
    <w:name w:val="footnote reference"/>
    <w:uiPriority w:val="99"/>
    <w:unhideWhenUsed/>
    <w:rsid w:val="003065DE"/>
    <w:rPr>
      <w:vertAlign w:val="superscript"/>
    </w:rPr>
  </w:style>
  <w:style w:type="character" w:customStyle="1" w:styleId="HeaderChar">
    <w:name w:val="Header Char"/>
    <w:link w:val="Header"/>
    <w:uiPriority w:val="99"/>
    <w:rsid w:val="003065DE"/>
    <w:rPr>
      <w:sz w:val="24"/>
      <w:szCs w:val="24"/>
    </w:rPr>
  </w:style>
  <w:style w:type="character" w:customStyle="1" w:styleId="FooterChar">
    <w:name w:val="Footer Char"/>
    <w:link w:val="Footer"/>
    <w:uiPriority w:val="99"/>
    <w:rsid w:val="003065DE"/>
    <w:rPr>
      <w:sz w:val="24"/>
      <w:szCs w:val="24"/>
    </w:rPr>
  </w:style>
  <w:style w:type="paragraph" w:styleId="NormalWeb">
    <w:name w:val="Normal (Web)"/>
    <w:basedOn w:val="Normal"/>
    <w:uiPriority w:val="99"/>
    <w:unhideWhenUsed/>
    <w:rsid w:val="003065DE"/>
    <w:pPr>
      <w:spacing w:before="100" w:beforeAutospacing="1" w:after="100" w:afterAutospacing="1"/>
    </w:pPr>
  </w:style>
  <w:style w:type="paragraph" w:customStyle="1" w:styleId="EndNoteBibliographyTitle">
    <w:name w:val="EndNote Bibliography Title"/>
    <w:basedOn w:val="Normal"/>
    <w:link w:val="EndNoteBibliographyTitleChar"/>
    <w:rsid w:val="003065DE"/>
    <w:pPr>
      <w:jc w:val="center"/>
    </w:pPr>
    <w:rPr>
      <w:rFonts w:ascii="Calibri" w:hAnsi="Calibri" w:cs="Calibri"/>
      <w:noProof/>
      <w:sz w:val="22"/>
    </w:rPr>
  </w:style>
  <w:style w:type="character" w:customStyle="1" w:styleId="EndNoteBibliographyTitleChar">
    <w:name w:val="EndNote Bibliography Title Char"/>
    <w:link w:val="EndNoteBibliographyTitle"/>
    <w:rsid w:val="003065DE"/>
    <w:rPr>
      <w:rFonts w:ascii="Calibri" w:hAnsi="Calibri" w:cs="Calibri"/>
      <w:noProof/>
      <w:sz w:val="22"/>
      <w:szCs w:val="24"/>
    </w:rPr>
  </w:style>
  <w:style w:type="character" w:customStyle="1" w:styleId="selectable">
    <w:name w:val="selectable"/>
    <w:rsid w:val="003065DE"/>
  </w:style>
  <w:style w:type="character" w:customStyle="1" w:styleId="apple-converted-space">
    <w:name w:val="apple-converted-space"/>
    <w:rsid w:val="003065DE"/>
  </w:style>
  <w:style w:type="character" w:styleId="Emphasis">
    <w:name w:val="Emphasis"/>
    <w:uiPriority w:val="20"/>
    <w:qFormat/>
    <w:rsid w:val="003065DE"/>
    <w:rPr>
      <w:i/>
      <w:iCs/>
    </w:rPr>
  </w:style>
  <w:style w:type="paragraph" w:styleId="TOCHeading">
    <w:name w:val="TOC Heading"/>
    <w:basedOn w:val="Heading1"/>
    <w:next w:val="Normal"/>
    <w:uiPriority w:val="39"/>
    <w:unhideWhenUsed/>
    <w:qFormat/>
    <w:rsid w:val="00DB5511"/>
  </w:style>
  <w:style w:type="paragraph" w:styleId="Caption">
    <w:name w:val="caption"/>
    <w:basedOn w:val="Normal"/>
    <w:next w:val="Normal"/>
    <w:autoRedefine/>
    <w:uiPriority w:val="35"/>
    <w:unhideWhenUsed/>
    <w:qFormat/>
    <w:rsid w:val="009451C2"/>
    <w:pPr>
      <w:keepNext/>
      <w:spacing w:before="120" w:after="120" w:line="360" w:lineRule="auto"/>
      <w:jc w:val="center"/>
    </w:pPr>
    <w:rPr>
      <w:bCs/>
      <w:noProof/>
      <w:sz w:val="22"/>
      <w:szCs w:val="22"/>
    </w:rPr>
  </w:style>
  <w:style w:type="paragraph" w:styleId="TableofFigures">
    <w:name w:val="table of figures"/>
    <w:basedOn w:val="Normal"/>
    <w:next w:val="Normal"/>
    <w:uiPriority w:val="99"/>
    <w:unhideWhenUsed/>
    <w:rsid w:val="003065DE"/>
  </w:style>
  <w:style w:type="paragraph" w:styleId="Index1">
    <w:name w:val="index 1"/>
    <w:basedOn w:val="Normal"/>
    <w:next w:val="Normal"/>
    <w:autoRedefine/>
    <w:uiPriority w:val="99"/>
    <w:unhideWhenUsed/>
    <w:rsid w:val="003065DE"/>
    <w:pPr>
      <w:ind w:left="240" w:hanging="240"/>
    </w:pPr>
  </w:style>
  <w:style w:type="paragraph" w:customStyle="1" w:styleId="Default">
    <w:name w:val="Default"/>
    <w:rsid w:val="008F0D14"/>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HeaderFooter">
    <w:name w:val="Header &amp; Footer"/>
    <w:rsid w:val="008F0D1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styleId="PlaceholderText">
    <w:name w:val="Placeholder Text"/>
    <w:basedOn w:val="DefaultParagraphFont"/>
    <w:uiPriority w:val="99"/>
    <w:semiHidden/>
    <w:rsid w:val="00E01451"/>
    <w:rPr>
      <w:color w:val="808080"/>
    </w:rPr>
  </w:style>
  <w:style w:type="table" w:styleId="TableGrid">
    <w:name w:val="Table Grid"/>
    <w:basedOn w:val="TableNormal"/>
    <w:uiPriority w:val="59"/>
    <w:rsid w:val="006F11B2"/>
    <w:rPr>
      <w:rFonts w:asciiTheme="minorHAnsi"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64112F"/>
  </w:style>
  <w:style w:type="character" w:customStyle="1" w:styleId="fontstyle01">
    <w:name w:val="fontstyle01"/>
    <w:rsid w:val="00D46DF8"/>
    <w:rPr>
      <w:rFonts w:ascii="Verdana" w:hAnsi="Verdana" w:hint="default"/>
      <w:b w:val="0"/>
      <w:bCs w:val="0"/>
      <w:i w:val="0"/>
      <w:iCs w:val="0"/>
      <w:color w:val="000000"/>
      <w:sz w:val="18"/>
      <w:szCs w:val="18"/>
    </w:rPr>
  </w:style>
  <w:style w:type="character" w:customStyle="1" w:styleId="Heading5Char">
    <w:name w:val="Heading 5 Char"/>
    <w:basedOn w:val="DefaultParagraphFont"/>
    <w:link w:val="Heading5"/>
    <w:uiPriority w:val="9"/>
    <w:semiHidden/>
    <w:rsid w:val="002D6F09"/>
    <w:rPr>
      <w:rFonts w:asciiTheme="majorHAnsi" w:eastAsiaTheme="majorEastAsia" w:hAnsiTheme="majorHAnsi" w:cstheme="majorBidi"/>
      <w:color w:val="1F4D78" w:themeColor="accent1" w:themeShade="7F"/>
      <w:sz w:val="22"/>
      <w:szCs w:val="22"/>
      <w:lang w:eastAsia="zh-CN"/>
    </w:rPr>
  </w:style>
  <w:style w:type="character" w:customStyle="1" w:styleId="Heading6Char">
    <w:name w:val="Heading 6 Char"/>
    <w:basedOn w:val="DefaultParagraphFont"/>
    <w:link w:val="Heading6"/>
    <w:uiPriority w:val="9"/>
    <w:semiHidden/>
    <w:rsid w:val="002D6F09"/>
    <w:rPr>
      <w:rFonts w:asciiTheme="majorHAnsi" w:eastAsiaTheme="majorEastAsia" w:hAnsiTheme="majorHAnsi" w:cstheme="majorBidi"/>
      <w:i/>
      <w:iCs/>
      <w:color w:val="1F4D78" w:themeColor="accent1" w:themeShade="7F"/>
      <w:sz w:val="22"/>
      <w:szCs w:val="22"/>
      <w:lang w:eastAsia="zh-CN"/>
    </w:rPr>
  </w:style>
  <w:style w:type="character" w:customStyle="1" w:styleId="Heading7Char">
    <w:name w:val="Heading 7 Char"/>
    <w:basedOn w:val="DefaultParagraphFont"/>
    <w:link w:val="Heading7"/>
    <w:uiPriority w:val="9"/>
    <w:semiHidden/>
    <w:rsid w:val="002D6F09"/>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semiHidden/>
    <w:rsid w:val="002D6F0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uiPriority w:val="9"/>
    <w:semiHidden/>
    <w:rsid w:val="002D6F09"/>
    <w:rPr>
      <w:rFonts w:asciiTheme="majorHAnsi" w:eastAsiaTheme="majorEastAsia" w:hAnsiTheme="majorHAnsi" w:cstheme="majorBidi"/>
      <w:i/>
      <w:iCs/>
      <w:color w:val="404040" w:themeColor="text1" w:themeTint="BF"/>
      <w:lang w:eastAsia="zh-CN"/>
    </w:rPr>
  </w:style>
  <w:style w:type="table" w:customStyle="1" w:styleId="TableGrid1">
    <w:name w:val="Table Grid1"/>
    <w:basedOn w:val="TableNormal"/>
    <w:next w:val="TableGrid"/>
    <w:uiPriority w:val="59"/>
    <w:rsid w:val="002D6F09"/>
    <w:rPr>
      <w:rFonts w:asciiTheme="minorHAnsi"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2D6F09"/>
    <w:rPr>
      <w:color w:val="954F72" w:themeColor="followedHyperlink"/>
      <w:u w:val="single"/>
    </w:rPr>
  </w:style>
  <w:style w:type="character" w:customStyle="1" w:styleId="st1">
    <w:name w:val="st1"/>
    <w:basedOn w:val="DefaultParagraphFont"/>
    <w:rsid w:val="002D6F09"/>
  </w:style>
  <w:style w:type="character" w:customStyle="1" w:styleId="EndnoteTextChar">
    <w:name w:val="Endnote Text Char"/>
    <w:basedOn w:val="DefaultParagraphFont"/>
    <w:link w:val="EndnoteText"/>
    <w:uiPriority w:val="99"/>
    <w:semiHidden/>
    <w:rsid w:val="002D6F09"/>
  </w:style>
  <w:style w:type="paragraph" w:styleId="Revision">
    <w:name w:val="Revision"/>
    <w:hidden/>
    <w:uiPriority w:val="99"/>
    <w:semiHidden/>
    <w:rsid w:val="002D6F09"/>
    <w:rPr>
      <w:rFonts w:asciiTheme="minorHAnsi" w:hAnsiTheme="minorHAnsi" w:cstheme="minorBidi"/>
      <w:sz w:val="22"/>
      <w:szCs w:val="22"/>
      <w:lang w:eastAsia="zh-CN"/>
    </w:rPr>
  </w:style>
  <w:style w:type="character" w:customStyle="1" w:styleId="Heading1Char">
    <w:name w:val="Heading 1 Char"/>
    <w:basedOn w:val="DefaultParagraphFont"/>
    <w:link w:val="Heading1"/>
    <w:uiPriority w:val="9"/>
    <w:rsid w:val="00E319F8"/>
    <w:rPr>
      <w:b/>
      <w:bCs/>
      <w:noProof/>
      <w:kern w:val="32"/>
      <w:sz w:val="22"/>
      <w:szCs w:val="22"/>
      <w:lang w:eastAsia="zh-CN"/>
    </w:rPr>
  </w:style>
  <w:style w:type="character" w:styleId="Strong">
    <w:name w:val="Strong"/>
    <w:basedOn w:val="DefaultParagraphFont"/>
    <w:uiPriority w:val="22"/>
    <w:qFormat/>
    <w:rsid w:val="002D6F09"/>
    <w:rPr>
      <w:b/>
      <w:bCs/>
    </w:rPr>
  </w:style>
  <w:style w:type="character" w:customStyle="1" w:styleId="Heading2Char">
    <w:name w:val="Heading 2 Char"/>
    <w:basedOn w:val="DefaultParagraphFont"/>
    <w:link w:val="Heading2"/>
    <w:rsid w:val="00596F39"/>
    <w:rPr>
      <w:b/>
      <w:bCs/>
      <w:iCs/>
      <w:sz w:val="22"/>
      <w:szCs w:val="22"/>
    </w:rPr>
  </w:style>
  <w:style w:type="character" w:customStyle="1" w:styleId="Heading3Char">
    <w:name w:val="Heading 3 Char"/>
    <w:basedOn w:val="DefaultParagraphFont"/>
    <w:link w:val="Heading3"/>
    <w:uiPriority w:val="9"/>
    <w:rsid w:val="00216E78"/>
    <w:rPr>
      <w:b/>
      <w:sz w:val="24"/>
      <w:szCs w:val="32"/>
    </w:rPr>
  </w:style>
  <w:style w:type="paragraph" w:customStyle="1" w:styleId="sectionhead">
    <w:name w:val="section head"/>
    <w:basedOn w:val="Normal"/>
    <w:rsid w:val="002D6F09"/>
    <w:pPr>
      <w:keepNext/>
      <w:spacing w:before="360" w:line="360" w:lineRule="auto"/>
      <w:jc w:val="both"/>
    </w:pPr>
    <w:rPr>
      <w:rFonts w:eastAsia="Times New Roman"/>
      <w:b/>
      <w:sz w:val="36"/>
      <w:szCs w:val="20"/>
    </w:rPr>
  </w:style>
  <w:style w:type="character" w:customStyle="1" w:styleId="fontstyle21">
    <w:name w:val="fontstyle21"/>
    <w:basedOn w:val="DefaultParagraphFont"/>
    <w:rsid w:val="002D6F09"/>
    <w:rPr>
      <w:rFonts w:ascii="AdvPSPAL-I" w:hAnsi="AdvPSPAL-I" w:hint="default"/>
      <w:b w:val="0"/>
      <w:bCs w:val="0"/>
      <w:i w:val="0"/>
      <w:iCs w:val="0"/>
      <w:color w:val="231F20"/>
      <w:sz w:val="20"/>
      <w:szCs w:val="20"/>
    </w:rPr>
  </w:style>
  <w:style w:type="character" w:customStyle="1" w:styleId="mw-headline">
    <w:name w:val="mw-headline"/>
    <w:basedOn w:val="DefaultParagraphFont"/>
    <w:rsid w:val="002D6F09"/>
  </w:style>
  <w:style w:type="table" w:customStyle="1" w:styleId="TableGrid2">
    <w:name w:val="Table Grid2"/>
    <w:basedOn w:val="TableNormal"/>
    <w:next w:val="TableGrid"/>
    <w:uiPriority w:val="59"/>
    <w:rsid w:val="002D6F09"/>
    <w:rPr>
      <w:rFonts w:asciiTheme="minorHAnsi"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D5F90"/>
  </w:style>
  <w:style w:type="character" w:customStyle="1" w:styleId="med1">
    <w:name w:val="med1"/>
    <w:basedOn w:val="DefaultParagraphFont"/>
    <w:rsid w:val="00C66B80"/>
  </w:style>
  <w:style w:type="character" w:customStyle="1" w:styleId="UnresolvedMention1">
    <w:name w:val="Unresolved Mention1"/>
    <w:basedOn w:val="DefaultParagraphFont"/>
    <w:uiPriority w:val="99"/>
    <w:semiHidden/>
    <w:unhideWhenUsed/>
    <w:rsid w:val="004537EA"/>
    <w:rPr>
      <w:color w:val="605E5C"/>
      <w:shd w:val="clear" w:color="auto" w:fill="E1DFDD"/>
    </w:rPr>
  </w:style>
  <w:style w:type="character" w:customStyle="1" w:styleId="fontstyle31">
    <w:name w:val="fontstyle31"/>
    <w:basedOn w:val="DefaultParagraphFont"/>
    <w:rsid w:val="00572886"/>
    <w:rPr>
      <w:rFonts w:ascii="AdvPSPAL-I" w:hAnsi="AdvPSPAL-I" w:hint="default"/>
      <w:b w:val="0"/>
      <w:bCs w:val="0"/>
      <w:i w:val="0"/>
      <w:iCs w:val="0"/>
      <w:color w:val="231F20"/>
      <w:sz w:val="16"/>
      <w:szCs w:val="16"/>
    </w:rPr>
  </w:style>
  <w:style w:type="paragraph" w:customStyle="1" w:styleId="Body">
    <w:name w:val="Body"/>
    <w:rsid w:val="0047663C"/>
    <w:pPr>
      <w:pBdr>
        <w:top w:val="nil"/>
        <w:left w:val="nil"/>
        <w:bottom w:val="nil"/>
        <w:right w:val="nil"/>
        <w:between w:val="nil"/>
        <w:bar w:val="nil"/>
      </w:pBdr>
    </w:pPr>
    <w:rPr>
      <w:rFonts w:eastAsia="Arial Unicode MS" w:cs="Arial Unicode MS"/>
      <w:color w:val="000000"/>
      <w:sz w:val="24"/>
      <w:szCs w:val="24"/>
      <w:u w:color="000000"/>
      <w:bdr w:val="nil"/>
      <w:lang w:eastAsia="zh-CN"/>
    </w:rPr>
  </w:style>
  <w:style w:type="character" w:customStyle="1" w:styleId="StyleTimesNewRoman12pt">
    <w:name w:val="Style Times New Roman 12 pt"/>
    <w:rsid w:val="00476463"/>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2578">
      <w:bodyDiv w:val="1"/>
      <w:marLeft w:val="0"/>
      <w:marRight w:val="0"/>
      <w:marTop w:val="0"/>
      <w:marBottom w:val="0"/>
      <w:divBdr>
        <w:top w:val="none" w:sz="0" w:space="0" w:color="auto"/>
        <w:left w:val="none" w:sz="0" w:space="0" w:color="auto"/>
        <w:bottom w:val="none" w:sz="0" w:space="0" w:color="auto"/>
        <w:right w:val="none" w:sz="0" w:space="0" w:color="auto"/>
      </w:divBdr>
    </w:div>
    <w:div w:id="326910171">
      <w:bodyDiv w:val="1"/>
      <w:marLeft w:val="0"/>
      <w:marRight w:val="0"/>
      <w:marTop w:val="0"/>
      <w:marBottom w:val="0"/>
      <w:divBdr>
        <w:top w:val="none" w:sz="0" w:space="0" w:color="auto"/>
        <w:left w:val="none" w:sz="0" w:space="0" w:color="auto"/>
        <w:bottom w:val="none" w:sz="0" w:space="0" w:color="auto"/>
        <w:right w:val="none" w:sz="0" w:space="0" w:color="auto"/>
      </w:divBdr>
    </w:div>
    <w:div w:id="465243243">
      <w:bodyDiv w:val="1"/>
      <w:marLeft w:val="0"/>
      <w:marRight w:val="0"/>
      <w:marTop w:val="0"/>
      <w:marBottom w:val="0"/>
      <w:divBdr>
        <w:top w:val="none" w:sz="0" w:space="0" w:color="auto"/>
        <w:left w:val="none" w:sz="0" w:space="0" w:color="auto"/>
        <w:bottom w:val="none" w:sz="0" w:space="0" w:color="auto"/>
        <w:right w:val="none" w:sz="0" w:space="0" w:color="auto"/>
      </w:divBdr>
    </w:div>
    <w:div w:id="865487722">
      <w:bodyDiv w:val="1"/>
      <w:marLeft w:val="0"/>
      <w:marRight w:val="0"/>
      <w:marTop w:val="0"/>
      <w:marBottom w:val="0"/>
      <w:divBdr>
        <w:top w:val="none" w:sz="0" w:space="0" w:color="auto"/>
        <w:left w:val="none" w:sz="0" w:space="0" w:color="auto"/>
        <w:bottom w:val="none" w:sz="0" w:space="0" w:color="auto"/>
        <w:right w:val="none" w:sz="0" w:space="0" w:color="auto"/>
      </w:divBdr>
    </w:div>
    <w:div w:id="885916720">
      <w:bodyDiv w:val="1"/>
      <w:marLeft w:val="0"/>
      <w:marRight w:val="0"/>
      <w:marTop w:val="0"/>
      <w:marBottom w:val="0"/>
      <w:divBdr>
        <w:top w:val="none" w:sz="0" w:space="0" w:color="auto"/>
        <w:left w:val="none" w:sz="0" w:space="0" w:color="auto"/>
        <w:bottom w:val="none" w:sz="0" w:space="0" w:color="auto"/>
        <w:right w:val="none" w:sz="0" w:space="0" w:color="auto"/>
      </w:divBdr>
    </w:div>
    <w:div w:id="1308626643">
      <w:bodyDiv w:val="1"/>
      <w:marLeft w:val="0"/>
      <w:marRight w:val="0"/>
      <w:marTop w:val="0"/>
      <w:marBottom w:val="0"/>
      <w:divBdr>
        <w:top w:val="none" w:sz="0" w:space="0" w:color="auto"/>
        <w:left w:val="none" w:sz="0" w:space="0" w:color="auto"/>
        <w:bottom w:val="none" w:sz="0" w:space="0" w:color="auto"/>
        <w:right w:val="none" w:sz="0" w:space="0" w:color="auto"/>
      </w:divBdr>
    </w:div>
    <w:div w:id="1600333692">
      <w:bodyDiv w:val="1"/>
      <w:marLeft w:val="0"/>
      <w:marRight w:val="0"/>
      <w:marTop w:val="0"/>
      <w:marBottom w:val="0"/>
      <w:divBdr>
        <w:top w:val="none" w:sz="0" w:space="0" w:color="auto"/>
        <w:left w:val="none" w:sz="0" w:space="0" w:color="auto"/>
        <w:bottom w:val="none" w:sz="0" w:space="0" w:color="auto"/>
        <w:right w:val="none" w:sz="0" w:space="0" w:color="auto"/>
      </w:divBdr>
    </w:div>
    <w:div w:id="1884902648">
      <w:bodyDiv w:val="1"/>
      <w:marLeft w:val="0"/>
      <w:marRight w:val="0"/>
      <w:marTop w:val="0"/>
      <w:marBottom w:val="0"/>
      <w:divBdr>
        <w:top w:val="none" w:sz="0" w:space="0" w:color="auto"/>
        <w:left w:val="none" w:sz="0" w:space="0" w:color="auto"/>
        <w:bottom w:val="none" w:sz="0" w:space="0" w:color="auto"/>
        <w:right w:val="none" w:sz="0" w:space="0" w:color="auto"/>
      </w:divBdr>
    </w:div>
    <w:div w:id="19971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hyperlink" Target="https://www.nhc.noaa.gov/aboutgloss.shtml" TargetMode="External"/><Relationship Id="rId21" Type="http://schemas.openxmlformats.org/officeDocument/2006/relationships/image" Target="media/image12.emf"/><Relationship Id="rId34" Type="http://schemas.openxmlformats.org/officeDocument/2006/relationships/hyperlink" Target="https://csimarket.com/stocks/singleEfficiencyit.php?code=KR&amp;hist=25" TargetMode="External"/><Relationship Id="rId42" Type="http://schemas.openxmlformats.org/officeDocument/2006/relationships/hyperlink" Target="https://www.census.gov/geographies/reference-files/time-series/geo/gazetteer-files.2012.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hyperlink" Target="https://www.nhc.noaa.gov/data/tcr/AL092011_Iren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hyperlink" Target="https://www.nhc.noaa.gov/data/tcr/AL182012_Sandy.pdf" TargetMode="External"/><Relationship Id="rId37" Type="http://schemas.openxmlformats.org/officeDocument/2006/relationships/hyperlink" Target="https://www.fema.gov/media-library/assets/documents/167249" TargetMode="External"/><Relationship Id="rId40" Type="http://schemas.openxmlformats.org/officeDocument/2006/relationships/hyperlink" Target="https://corporate.target.com/article/2018/09/hurricane-florence-response" TargetMode="External"/><Relationship Id="rId45" Type="http://schemas.openxmlformats.org/officeDocument/2006/relationships/hyperlink" Target="https://www.sciencebase.gov/catalog/item/get/5af3311be4b0da30c1b245d8"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png"/><Relationship Id="rId36" Type="http://schemas.openxmlformats.org/officeDocument/2006/relationships/hyperlink" Target="https://csimarket.com/stocks/singleEfficiencyit.php?code=DLTR&amp;hist=25" TargetMode="External"/><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hyperlink" Target="https://www.nhc.noaa.gov/data/tcr/AL012014_Arthur.pdf" TargetMode="External"/><Relationship Id="rId44" Type="http://schemas.openxmlformats.org/officeDocument/2006/relationships/hyperlink" Target="https://water.usgs.gov/watuse/data/2010/index.html" TargetMode="External"/><Relationship Id="rId4" Type="http://schemas.openxmlformats.org/officeDocument/2006/relationships/settings" Target="settings.xml"/><Relationship Id="rId9" Type="http://schemas.openxmlformats.org/officeDocument/2006/relationships/hyperlink" Target="https://www.nhc.noaa.gov/aboutgloss.shtml"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hyperlink" Target="https://www.nhc.noaa.gov/data/tcr/AL092008_Ike.pdf" TargetMode="External"/><Relationship Id="rId35" Type="http://schemas.openxmlformats.org/officeDocument/2006/relationships/hyperlink" Target="https://csimarket.com/stocks/singleEfficiencyit.php?code=COST&amp;hist=25" TargetMode="External"/><Relationship Id="rId43" Type="http://schemas.openxmlformats.org/officeDocument/2006/relationships/hyperlink" Target="https://www.census.gov/geographies/reference-files/time-series/geo/gazetteer-files.2014.html"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hyperlink" Target="https://csimarket.com/stocks/singleEfficiencyit.php?code=TGT&amp;hist=25" TargetMode="External"/><Relationship Id="rId38" Type="http://schemas.openxmlformats.org/officeDocument/2006/relationships/hyperlink" Target="https://www.fema.gov/news-release/2018/08/16/proper-emergency-kit-essential-hurricane-preparedness" TargetMode="External"/><Relationship Id="rId46" Type="http://schemas.openxmlformats.org/officeDocument/2006/relationships/hyperlink" Target="https://www.linkedin.com/pulse/we-all-want-grocery-stores-reopened-after-disaster-how-michael-windle/" TargetMode="External"/><Relationship Id="rId20" Type="http://schemas.openxmlformats.org/officeDocument/2006/relationships/image" Target="media/image11.emf"/><Relationship Id="rId41" Type="http://schemas.openxmlformats.org/officeDocument/2006/relationships/hyperlink" Target="https://www.census.gov/geographies/reference-files/time-series/geo/gazetteer-files.20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n\Desktop\Manuscript_20191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D12-7601-40FC-AEE9-C3B6FF4D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Manuscript_20191001</Template>
  <TotalTime>189</TotalTime>
  <Pages>1</Pages>
  <Words>17139</Words>
  <Characters>97696</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ABSTRACT</vt:lpstr>
    </vt:vector>
  </TitlesOfParts>
  <Company>UMCP</Company>
  <LinksUpToDate>false</LinksUpToDate>
  <CharactersWithSpaces>114606</CharactersWithSpaces>
  <SharedDoc>false</SharedDoc>
  <HLinks>
    <vt:vector size="432" baseType="variant">
      <vt:variant>
        <vt:i4>1703993</vt:i4>
      </vt:variant>
      <vt:variant>
        <vt:i4>434</vt:i4>
      </vt:variant>
      <vt:variant>
        <vt:i4>0</vt:i4>
      </vt:variant>
      <vt:variant>
        <vt:i4>5</vt:i4>
      </vt:variant>
      <vt:variant>
        <vt:lpwstr/>
      </vt:variant>
      <vt:variant>
        <vt:lpwstr>_Toc478102593</vt:lpwstr>
      </vt:variant>
      <vt:variant>
        <vt:i4>1703993</vt:i4>
      </vt:variant>
      <vt:variant>
        <vt:i4>428</vt:i4>
      </vt:variant>
      <vt:variant>
        <vt:i4>0</vt:i4>
      </vt:variant>
      <vt:variant>
        <vt:i4>5</vt:i4>
      </vt:variant>
      <vt:variant>
        <vt:lpwstr/>
      </vt:variant>
      <vt:variant>
        <vt:lpwstr>_Toc478102592</vt:lpwstr>
      </vt:variant>
      <vt:variant>
        <vt:i4>1703993</vt:i4>
      </vt:variant>
      <vt:variant>
        <vt:i4>422</vt:i4>
      </vt:variant>
      <vt:variant>
        <vt:i4>0</vt:i4>
      </vt:variant>
      <vt:variant>
        <vt:i4>5</vt:i4>
      </vt:variant>
      <vt:variant>
        <vt:lpwstr/>
      </vt:variant>
      <vt:variant>
        <vt:lpwstr>_Toc478102591</vt:lpwstr>
      </vt:variant>
      <vt:variant>
        <vt:i4>1703993</vt:i4>
      </vt:variant>
      <vt:variant>
        <vt:i4>413</vt:i4>
      </vt:variant>
      <vt:variant>
        <vt:i4>0</vt:i4>
      </vt:variant>
      <vt:variant>
        <vt:i4>5</vt:i4>
      </vt:variant>
      <vt:variant>
        <vt:lpwstr/>
      </vt:variant>
      <vt:variant>
        <vt:lpwstr>_Toc478102590</vt:lpwstr>
      </vt:variant>
      <vt:variant>
        <vt:i4>1769529</vt:i4>
      </vt:variant>
      <vt:variant>
        <vt:i4>407</vt:i4>
      </vt:variant>
      <vt:variant>
        <vt:i4>0</vt:i4>
      </vt:variant>
      <vt:variant>
        <vt:i4>5</vt:i4>
      </vt:variant>
      <vt:variant>
        <vt:lpwstr/>
      </vt:variant>
      <vt:variant>
        <vt:lpwstr>_Toc478102589</vt:lpwstr>
      </vt:variant>
      <vt:variant>
        <vt:i4>1769529</vt:i4>
      </vt:variant>
      <vt:variant>
        <vt:i4>401</vt:i4>
      </vt:variant>
      <vt:variant>
        <vt:i4>0</vt:i4>
      </vt:variant>
      <vt:variant>
        <vt:i4>5</vt:i4>
      </vt:variant>
      <vt:variant>
        <vt:lpwstr/>
      </vt:variant>
      <vt:variant>
        <vt:lpwstr>_Toc478102588</vt:lpwstr>
      </vt:variant>
      <vt:variant>
        <vt:i4>1769529</vt:i4>
      </vt:variant>
      <vt:variant>
        <vt:i4>395</vt:i4>
      </vt:variant>
      <vt:variant>
        <vt:i4>0</vt:i4>
      </vt:variant>
      <vt:variant>
        <vt:i4>5</vt:i4>
      </vt:variant>
      <vt:variant>
        <vt:lpwstr/>
      </vt:variant>
      <vt:variant>
        <vt:lpwstr>_Toc478102587</vt:lpwstr>
      </vt:variant>
      <vt:variant>
        <vt:i4>1769529</vt:i4>
      </vt:variant>
      <vt:variant>
        <vt:i4>389</vt:i4>
      </vt:variant>
      <vt:variant>
        <vt:i4>0</vt:i4>
      </vt:variant>
      <vt:variant>
        <vt:i4>5</vt:i4>
      </vt:variant>
      <vt:variant>
        <vt:lpwstr/>
      </vt:variant>
      <vt:variant>
        <vt:lpwstr>_Toc478102586</vt:lpwstr>
      </vt:variant>
      <vt:variant>
        <vt:i4>1769529</vt:i4>
      </vt:variant>
      <vt:variant>
        <vt:i4>383</vt:i4>
      </vt:variant>
      <vt:variant>
        <vt:i4>0</vt:i4>
      </vt:variant>
      <vt:variant>
        <vt:i4>5</vt:i4>
      </vt:variant>
      <vt:variant>
        <vt:lpwstr/>
      </vt:variant>
      <vt:variant>
        <vt:lpwstr>_Toc478102585</vt:lpwstr>
      </vt:variant>
      <vt:variant>
        <vt:i4>1769529</vt:i4>
      </vt:variant>
      <vt:variant>
        <vt:i4>377</vt:i4>
      </vt:variant>
      <vt:variant>
        <vt:i4>0</vt:i4>
      </vt:variant>
      <vt:variant>
        <vt:i4>5</vt:i4>
      </vt:variant>
      <vt:variant>
        <vt:lpwstr/>
      </vt:variant>
      <vt:variant>
        <vt:lpwstr>_Toc478102584</vt:lpwstr>
      </vt:variant>
      <vt:variant>
        <vt:i4>1769529</vt:i4>
      </vt:variant>
      <vt:variant>
        <vt:i4>371</vt:i4>
      </vt:variant>
      <vt:variant>
        <vt:i4>0</vt:i4>
      </vt:variant>
      <vt:variant>
        <vt:i4>5</vt:i4>
      </vt:variant>
      <vt:variant>
        <vt:lpwstr/>
      </vt:variant>
      <vt:variant>
        <vt:lpwstr>_Toc478102583</vt:lpwstr>
      </vt:variant>
      <vt:variant>
        <vt:i4>1769529</vt:i4>
      </vt:variant>
      <vt:variant>
        <vt:i4>365</vt:i4>
      </vt:variant>
      <vt:variant>
        <vt:i4>0</vt:i4>
      </vt:variant>
      <vt:variant>
        <vt:i4>5</vt:i4>
      </vt:variant>
      <vt:variant>
        <vt:lpwstr/>
      </vt:variant>
      <vt:variant>
        <vt:lpwstr>_Toc478102582</vt:lpwstr>
      </vt:variant>
      <vt:variant>
        <vt:i4>1769529</vt:i4>
      </vt:variant>
      <vt:variant>
        <vt:i4>359</vt:i4>
      </vt:variant>
      <vt:variant>
        <vt:i4>0</vt:i4>
      </vt:variant>
      <vt:variant>
        <vt:i4>5</vt:i4>
      </vt:variant>
      <vt:variant>
        <vt:lpwstr/>
      </vt:variant>
      <vt:variant>
        <vt:lpwstr>_Toc478102581</vt:lpwstr>
      </vt:variant>
      <vt:variant>
        <vt:i4>1769529</vt:i4>
      </vt:variant>
      <vt:variant>
        <vt:i4>353</vt:i4>
      </vt:variant>
      <vt:variant>
        <vt:i4>0</vt:i4>
      </vt:variant>
      <vt:variant>
        <vt:i4>5</vt:i4>
      </vt:variant>
      <vt:variant>
        <vt:lpwstr/>
      </vt:variant>
      <vt:variant>
        <vt:lpwstr>_Toc478102580</vt:lpwstr>
      </vt:variant>
      <vt:variant>
        <vt:i4>1310777</vt:i4>
      </vt:variant>
      <vt:variant>
        <vt:i4>347</vt:i4>
      </vt:variant>
      <vt:variant>
        <vt:i4>0</vt:i4>
      </vt:variant>
      <vt:variant>
        <vt:i4>5</vt:i4>
      </vt:variant>
      <vt:variant>
        <vt:lpwstr/>
      </vt:variant>
      <vt:variant>
        <vt:lpwstr>_Toc478102579</vt:lpwstr>
      </vt:variant>
      <vt:variant>
        <vt:i4>1310777</vt:i4>
      </vt:variant>
      <vt:variant>
        <vt:i4>338</vt:i4>
      </vt:variant>
      <vt:variant>
        <vt:i4>0</vt:i4>
      </vt:variant>
      <vt:variant>
        <vt:i4>5</vt:i4>
      </vt:variant>
      <vt:variant>
        <vt:lpwstr/>
      </vt:variant>
      <vt:variant>
        <vt:lpwstr>_Toc478102578</vt:lpwstr>
      </vt:variant>
      <vt:variant>
        <vt:i4>1310777</vt:i4>
      </vt:variant>
      <vt:variant>
        <vt:i4>332</vt:i4>
      </vt:variant>
      <vt:variant>
        <vt:i4>0</vt:i4>
      </vt:variant>
      <vt:variant>
        <vt:i4>5</vt:i4>
      </vt:variant>
      <vt:variant>
        <vt:lpwstr/>
      </vt:variant>
      <vt:variant>
        <vt:lpwstr>_Toc478102577</vt:lpwstr>
      </vt:variant>
      <vt:variant>
        <vt:i4>1310777</vt:i4>
      </vt:variant>
      <vt:variant>
        <vt:i4>326</vt:i4>
      </vt:variant>
      <vt:variant>
        <vt:i4>0</vt:i4>
      </vt:variant>
      <vt:variant>
        <vt:i4>5</vt:i4>
      </vt:variant>
      <vt:variant>
        <vt:lpwstr/>
      </vt:variant>
      <vt:variant>
        <vt:lpwstr>_Toc478102576</vt:lpwstr>
      </vt:variant>
      <vt:variant>
        <vt:i4>1310777</vt:i4>
      </vt:variant>
      <vt:variant>
        <vt:i4>320</vt:i4>
      </vt:variant>
      <vt:variant>
        <vt:i4>0</vt:i4>
      </vt:variant>
      <vt:variant>
        <vt:i4>5</vt:i4>
      </vt:variant>
      <vt:variant>
        <vt:lpwstr/>
      </vt:variant>
      <vt:variant>
        <vt:lpwstr>_Toc478102575</vt:lpwstr>
      </vt:variant>
      <vt:variant>
        <vt:i4>1310777</vt:i4>
      </vt:variant>
      <vt:variant>
        <vt:i4>314</vt:i4>
      </vt:variant>
      <vt:variant>
        <vt:i4>0</vt:i4>
      </vt:variant>
      <vt:variant>
        <vt:i4>5</vt:i4>
      </vt:variant>
      <vt:variant>
        <vt:lpwstr/>
      </vt:variant>
      <vt:variant>
        <vt:lpwstr>_Toc478102574</vt:lpwstr>
      </vt:variant>
      <vt:variant>
        <vt:i4>1310777</vt:i4>
      </vt:variant>
      <vt:variant>
        <vt:i4>308</vt:i4>
      </vt:variant>
      <vt:variant>
        <vt:i4>0</vt:i4>
      </vt:variant>
      <vt:variant>
        <vt:i4>5</vt:i4>
      </vt:variant>
      <vt:variant>
        <vt:lpwstr/>
      </vt:variant>
      <vt:variant>
        <vt:lpwstr>_Toc478102573</vt:lpwstr>
      </vt:variant>
      <vt:variant>
        <vt:i4>1310777</vt:i4>
      </vt:variant>
      <vt:variant>
        <vt:i4>302</vt:i4>
      </vt:variant>
      <vt:variant>
        <vt:i4>0</vt:i4>
      </vt:variant>
      <vt:variant>
        <vt:i4>5</vt:i4>
      </vt:variant>
      <vt:variant>
        <vt:lpwstr/>
      </vt:variant>
      <vt:variant>
        <vt:lpwstr>_Toc478102572</vt:lpwstr>
      </vt:variant>
      <vt:variant>
        <vt:i4>1310777</vt:i4>
      </vt:variant>
      <vt:variant>
        <vt:i4>296</vt:i4>
      </vt:variant>
      <vt:variant>
        <vt:i4>0</vt:i4>
      </vt:variant>
      <vt:variant>
        <vt:i4>5</vt:i4>
      </vt:variant>
      <vt:variant>
        <vt:lpwstr/>
      </vt:variant>
      <vt:variant>
        <vt:lpwstr>_Toc478102571</vt:lpwstr>
      </vt:variant>
      <vt:variant>
        <vt:i4>1310777</vt:i4>
      </vt:variant>
      <vt:variant>
        <vt:i4>290</vt:i4>
      </vt:variant>
      <vt:variant>
        <vt:i4>0</vt:i4>
      </vt:variant>
      <vt:variant>
        <vt:i4>5</vt:i4>
      </vt:variant>
      <vt:variant>
        <vt:lpwstr/>
      </vt:variant>
      <vt:variant>
        <vt:lpwstr>_Toc478102570</vt:lpwstr>
      </vt:variant>
      <vt:variant>
        <vt:i4>1376313</vt:i4>
      </vt:variant>
      <vt:variant>
        <vt:i4>284</vt:i4>
      </vt:variant>
      <vt:variant>
        <vt:i4>0</vt:i4>
      </vt:variant>
      <vt:variant>
        <vt:i4>5</vt:i4>
      </vt:variant>
      <vt:variant>
        <vt:lpwstr/>
      </vt:variant>
      <vt:variant>
        <vt:lpwstr>_Toc478102569</vt:lpwstr>
      </vt:variant>
      <vt:variant>
        <vt:i4>1376313</vt:i4>
      </vt:variant>
      <vt:variant>
        <vt:i4>278</vt:i4>
      </vt:variant>
      <vt:variant>
        <vt:i4>0</vt:i4>
      </vt:variant>
      <vt:variant>
        <vt:i4>5</vt:i4>
      </vt:variant>
      <vt:variant>
        <vt:lpwstr/>
      </vt:variant>
      <vt:variant>
        <vt:lpwstr>_Toc478102568</vt:lpwstr>
      </vt:variant>
      <vt:variant>
        <vt:i4>1376313</vt:i4>
      </vt:variant>
      <vt:variant>
        <vt:i4>272</vt:i4>
      </vt:variant>
      <vt:variant>
        <vt:i4>0</vt:i4>
      </vt:variant>
      <vt:variant>
        <vt:i4>5</vt:i4>
      </vt:variant>
      <vt:variant>
        <vt:lpwstr/>
      </vt:variant>
      <vt:variant>
        <vt:lpwstr>_Toc478102567</vt:lpwstr>
      </vt:variant>
      <vt:variant>
        <vt:i4>1376313</vt:i4>
      </vt:variant>
      <vt:variant>
        <vt:i4>266</vt:i4>
      </vt:variant>
      <vt:variant>
        <vt:i4>0</vt:i4>
      </vt:variant>
      <vt:variant>
        <vt:i4>5</vt:i4>
      </vt:variant>
      <vt:variant>
        <vt:lpwstr/>
      </vt:variant>
      <vt:variant>
        <vt:lpwstr>_Toc478102566</vt:lpwstr>
      </vt:variant>
      <vt:variant>
        <vt:i4>1376313</vt:i4>
      </vt:variant>
      <vt:variant>
        <vt:i4>260</vt:i4>
      </vt:variant>
      <vt:variant>
        <vt:i4>0</vt:i4>
      </vt:variant>
      <vt:variant>
        <vt:i4>5</vt:i4>
      </vt:variant>
      <vt:variant>
        <vt:lpwstr/>
      </vt:variant>
      <vt:variant>
        <vt:lpwstr>_Toc478102565</vt:lpwstr>
      </vt:variant>
      <vt:variant>
        <vt:i4>1376313</vt:i4>
      </vt:variant>
      <vt:variant>
        <vt:i4>254</vt:i4>
      </vt:variant>
      <vt:variant>
        <vt:i4>0</vt:i4>
      </vt:variant>
      <vt:variant>
        <vt:i4>5</vt:i4>
      </vt:variant>
      <vt:variant>
        <vt:lpwstr/>
      </vt:variant>
      <vt:variant>
        <vt:lpwstr>_Toc478102564</vt:lpwstr>
      </vt:variant>
      <vt:variant>
        <vt:i4>1376313</vt:i4>
      </vt:variant>
      <vt:variant>
        <vt:i4>248</vt:i4>
      </vt:variant>
      <vt:variant>
        <vt:i4>0</vt:i4>
      </vt:variant>
      <vt:variant>
        <vt:i4>5</vt:i4>
      </vt:variant>
      <vt:variant>
        <vt:lpwstr/>
      </vt:variant>
      <vt:variant>
        <vt:lpwstr>_Toc478102563</vt:lpwstr>
      </vt:variant>
      <vt:variant>
        <vt:i4>1376313</vt:i4>
      </vt:variant>
      <vt:variant>
        <vt:i4>242</vt:i4>
      </vt:variant>
      <vt:variant>
        <vt:i4>0</vt:i4>
      </vt:variant>
      <vt:variant>
        <vt:i4>5</vt:i4>
      </vt:variant>
      <vt:variant>
        <vt:lpwstr/>
      </vt:variant>
      <vt:variant>
        <vt:lpwstr>_Toc478102562</vt:lpwstr>
      </vt:variant>
      <vt:variant>
        <vt:i4>1376313</vt:i4>
      </vt:variant>
      <vt:variant>
        <vt:i4>236</vt:i4>
      </vt:variant>
      <vt:variant>
        <vt:i4>0</vt:i4>
      </vt:variant>
      <vt:variant>
        <vt:i4>5</vt:i4>
      </vt:variant>
      <vt:variant>
        <vt:lpwstr/>
      </vt:variant>
      <vt:variant>
        <vt:lpwstr>_Toc478102561</vt:lpwstr>
      </vt:variant>
      <vt:variant>
        <vt:i4>1376313</vt:i4>
      </vt:variant>
      <vt:variant>
        <vt:i4>230</vt:i4>
      </vt:variant>
      <vt:variant>
        <vt:i4>0</vt:i4>
      </vt:variant>
      <vt:variant>
        <vt:i4>5</vt:i4>
      </vt:variant>
      <vt:variant>
        <vt:lpwstr/>
      </vt:variant>
      <vt:variant>
        <vt:lpwstr>_Toc478102560</vt:lpwstr>
      </vt:variant>
      <vt:variant>
        <vt:i4>1441849</vt:i4>
      </vt:variant>
      <vt:variant>
        <vt:i4>224</vt:i4>
      </vt:variant>
      <vt:variant>
        <vt:i4>0</vt:i4>
      </vt:variant>
      <vt:variant>
        <vt:i4>5</vt:i4>
      </vt:variant>
      <vt:variant>
        <vt:lpwstr/>
      </vt:variant>
      <vt:variant>
        <vt:lpwstr>_Toc478102559</vt:lpwstr>
      </vt:variant>
      <vt:variant>
        <vt:i4>1441849</vt:i4>
      </vt:variant>
      <vt:variant>
        <vt:i4>218</vt:i4>
      </vt:variant>
      <vt:variant>
        <vt:i4>0</vt:i4>
      </vt:variant>
      <vt:variant>
        <vt:i4>5</vt:i4>
      </vt:variant>
      <vt:variant>
        <vt:lpwstr/>
      </vt:variant>
      <vt:variant>
        <vt:lpwstr>_Toc478102558</vt:lpwstr>
      </vt:variant>
      <vt:variant>
        <vt:i4>1441849</vt:i4>
      </vt:variant>
      <vt:variant>
        <vt:i4>212</vt:i4>
      </vt:variant>
      <vt:variant>
        <vt:i4>0</vt:i4>
      </vt:variant>
      <vt:variant>
        <vt:i4>5</vt:i4>
      </vt:variant>
      <vt:variant>
        <vt:lpwstr/>
      </vt:variant>
      <vt:variant>
        <vt:lpwstr>_Toc478102557</vt:lpwstr>
      </vt:variant>
      <vt:variant>
        <vt:i4>1441849</vt:i4>
      </vt:variant>
      <vt:variant>
        <vt:i4>206</vt:i4>
      </vt:variant>
      <vt:variant>
        <vt:i4>0</vt:i4>
      </vt:variant>
      <vt:variant>
        <vt:i4>5</vt:i4>
      </vt:variant>
      <vt:variant>
        <vt:lpwstr/>
      </vt:variant>
      <vt:variant>
        <vt:lpwstr>_Toc478102556</vt:lpwstr>
      </vt:variant>
      <vt:variant>
        <vt:i4>1441849</vt:i4>
      </vt:variant>
      <vt:variant>
        <vt:i4>200</vt:i4>
      </vt:variant>
      <vt:variant>
        <vt:i4>0</vt:i4>
      </vt:variant>
      <vt:variant>
        <vt:i4>5</vt:i4>
      </vt:variant>
      <vt:variant>
        <vt:lpwstr/>
      </vt:variant>
      <vt:variant>
        <vt:lpwstr>_Toc478102555</vt:lpwstr>
      </vt:variant>
      <vt:variant>
        <vt:i4>1441849</vt:i4>
      </vt:variant>
      <vt:variant>
        <vt:i4>194</vt:i4>
      </vt:variant>
      <vt:variant>
        <vt:i4>0</vt:i4>
      </vt:variant>
      <vt:variant>
        <vt:i4>5</vt:i4>
      </vt:variant>
      <vt:variant>
        <vt:lpwstr/>
      </vt:variant>
      <vt:variant>
        <vt:lpwstr>_Toc478102554</vt:lpwstr>
      </vt:variant>
      <vt:variant>
        <vt:i4>1441849</vt:i4>
      </vt:variant>
      <vt:variant>
        <vt:i4>188</vt:i4>
      </vt:variant>
      <vt:variant>
        <vt:i4>0</vt:i4>
      </vt:variant>
      <vt:variant>
        <vt:i4>5</vt:i4>
      </vt:variant>
      <vt:variant>
        <vt:lpwstr/>
      </vt:variant>
      <vt:variant>
        <vt:lpwstr>_Toc478102553</vt:lpwstr>
      </vt:variant>
      <vt:variant>
        <vt:i4>1441849</vt:i4>
      </vt:variant>
      <vt:variant>
        <vt:i4>182</vt:i4>
      </vt:variant>
      <vt:variant>
        <vt:i4>0</vt:i4>
      </vt:variant>
      <vt:variant>
        <vt:i4>5</vt:i4>
      </vt:variant>
      <vt:variant>
        <vt:lpwstr/>
      </vt:variant>
      <vt:variant>
        <vt:lpwstr>_Toc478102552</vt:lpwstr>
      </vt:variant>
      <vt:variant>
        <vt:i4>1441849</vt:i4>
      </vt:variant>
      <vt:variant>
        <vt:i4>176</vt:i4>
      </vt:variant>
      <vt:variant>
        <vt:i4>0</vt:i4>
      </vt:variant>
      <vt:variant>
        <vt:i4>5</vt:i4>
      </vt:variant>
      <vt:variant>
        <vt:lpwstr/>
      </vt:variant>
      <vt:variant>
        <vt:lpwstr>_Toc478102551</vt:lpwstr>
      </vt:variant>
      <vt:variant>
        <vt:i4>1441849</vt:i4>
      </vt:variant>
      <vt:variant>
        <vt:i4>170</vt:i4>
      </vt:variant>
      <vt:variant>
        <vt:i4>0</vt:i4>
      </vt:variant>
      <vt:variant>
        <vt:i4>5</vt:i4>
      </vt:variant>
      <vt:variant>
        <vt:lpwstr/>
      </vt:variant>
      <vt:variant>
        <vt:lpwstr>_Toc478102550</vt:lpwstr>
      </vt:variant>
      <vt:variant>
        <vt:i4>1507385</vt:i4>
      </vt:variant>
      <vt:variant>
        <vt:i4>164</vt:i4>
      </vt:variant>
      <vt:variant>
        <vt:i4>0</vt:i4>
      </vt:variant>
      <vt:variant>
        <vt:i4>5</vt:i4>
      </vt:variant>
      <vt:variant>
        <vt:lpwstr/>
      </vt:variant>
      <vt:variant>
        <vt:lpwstr>_Toc478102549</vt:lpwstr>
      </vt:variant>
      <vt:variant>
        <vt:i4>1507385</vt:i4>
      </vt:variant>
      <vt:variant>
        <vt:i4>158</vt:i4>
      </vt:variant>
      <vt:variant>
        <vt:i4>0</vt:i4>
      </vt:variant>
      <vt:variant>
        <vt:i4>5</vt:i4>
      </vt:variant>
      <vt:variant>
        <vt:lpwstr/>
      </vt:variant>
      <vt:variant>
        <vt:lpwstr>_Toc478102548</vt:lpwstr>
      </vt:variant>
      <vt:variant>
        <vt:i4>1507385</vt:i4>
      </vt:variant>
      <vt:variant>
        <vt:i4>152</vt:i4>
      </vt:variant>
      <vt:variant>
        <vt:i4>0</vt:i4>
      </vt:variant>
      <vt:variant>
        <vt:i4>5</vt:i4>
      </vt:variant>
      <vt:variant>
        <vt:lpwstr/>
      </vt:variant>
      <vt:variant>
        <vt:lpwstr>_Toc478102547</vt:lpwstr>
      </vt:variant>
      <vt:variant>
        <vt:i4>1507385</vt:i4>
      </vt:variant>
      <vt:variant>
        <vt:i4>146</vt:i4>
      </vt:variant>
      <vt:variant>
        <vt:i4>0</vt:i4>
      </vt:variant>
      <vt:variant>
        <vt:i4>5</vt:i4>
      </vt:variant>
      <vt:variant>
        <vt:lpwstr/>
      </vt:variant>
      <vt:variant>
        <vt:lpwstr>_Toc478102546</vt:lpwstr>
      </vt:variant>
      <vt:variant>
        <vt:i4>1507385</vt:i4>
      </vt:variant>
      <vt:variant>
        <vt:i4>140</vt:i4>
      </vt:variant>
      <vt:variant>
        <vt:i4>0</vt:i4>
      </vt:variant>
      <vt:variant>
        <vt:i4>5</vt:i4>
      </vt:variant>
      <vt:variant>
        <vt:lpwstr/>
      </vt:variant>
      <vt:variant>
        <vt:lpwstr>_Toc478102545</vt:lpwstr>
      </vt:variant>
      <vt:variant>
        <vt:i4>1507385</vt:i4>
      </vt:variant>
      <vt:variant>
        <vt:i4>134</vt:i4>
      </vt:variant>
      <vt:variant>
        <vt:i4>0</vt:i4>
      </vt:variant>
      <vt:variant>
        <vt:i4>5</vt:i4>
      </vt:variant>
      <vt:variant>
        <vt:lpwstr/>
      </vt:variant>
      <vt:variant>
        <vt:lpwstr>_Toc478102544</vt:lpwstr>
      </vt:variant>
      <vt:variant>
        <vt:i4>1507385</vt:i4>
      </vt:variant>
      <vt:variant>
        <vt:i4>128</vt:i4>
      </vt:variant>
      <vt:variant>
        <vt:i4>0</vt:i4>
      </vt:variant>
      <vt:variant>
        <vt:i4>5</vt:i4>
      </vt:variant>
      <vt:variant>
        <vt:lpwstr/>
      </vt:variant>
      <vt:variant>
        <vt:lpwstr>_Toc478102543</vt:lpwstr>
      </vt:variant>
      <vt:variant>
        <vt:i4>1507385</vt:i4>
      </vt:variant>
      <vt:variant>
        <vt:i4>122</vt:i4>
      </vt:variant>
      <vt:variant>
        <vt:i4>0</vt:i4>
      </vt:variant>
      <vt:variant>
        <vt:i4>5</vt:i4>
      </vt:variant>
      <vt:variant>
        <vt:lpwstr/>
      </vt:variant>
      <vt:variant>
        <vt:lpwstr>_Toc478102542</vt:lpwstr>
      </vt:variant>
      <vt:variant>
        <vt:i4>1507385</vt:i4>
      </vt:variant>
      <vt:variant>
        <vt:i4>116</vt:i4>
      </vt:variant>
      <vt:variant>
        <vt:i4>0</vt:i4>
      </vt:variant>
      <vt:variant>
        <vt:i4>5</vt:i4>
      </vt:variant>
      <vt:variant>
        <vt:lpwstr/>
      </vt:variant>
      <vt:variant>
        <vt:lpwstr>_Toc478102541</vt:lpwstr>
      </vt:variant>
      <vt:variant>
        <vt:i4>1507385</vt:i4>
      </vt:variant>
      <vt:variant>
        <vt:i4>110</vt:i4>
      </vt:variant>
      <vt:variant>
        <vt:i4>0</vt:i4>
      </vt:variant>
      <vt:variant>
        <vt:i4>5</vt:i4>
      </vt:variant>
      <vt:variant>
        <vt:lpwstr/>
      </vt:variant>
      <vt:variant>
        <vt:lpwstr>_Toc478102540</vt:lpwstr>
      </vt:variant>
      <vt:variant>
        <vt:i4>1048633</vt:i4>
      </vt:variant>
      <vt:variant>
        <vt:i4>104</vt:i4>
      </vt:variant>
      <vt:variant>
        <vt:i4>0</vt:i4>
      </vt:variant>
      <vt:variant>
        <vt:i4>5</vt:i4>
      </vt:variant>
      <vt:variant>
        <vt:lpwstr/>
      </vt:variant>
      <vt:variant>
        <vt:lpwstr>_Toc478102539</vt:lpwstr>
      </vt:variant>
      <vt:variant>
        <vt:i4>1048633</vt:i4>
      </vt:variant>
      <vt:variant>
        <vt:i4>98</vt:i4>
      </vt:variant>
      <vt:variant>
        <vt:i4>0</vt:i4>
      </vt:variant>
      <vt:variant>
        <vt:i4>5</vt:i4>
      </vt:variant>
      <vt:variant>
        <vt:lpwstr/>
      </vt:variant>
      <vt:variant>
        <vt:lpwstr>_Toc478102538</vt:lpwstr>
      </vt:variant>
      <vt:variant>
        <vt:i4>1048633</vt:i4>
      </vt:variant>
      <vt:variant>
        <vt:i4>92</vt:i4>
      </vt:variant>
      <vt:variant>
        <vt:i4>0</vt:i4>
      </vt:variant>
      <vt:variant>
        <vt:i4>5</vt:i4>
      </vt:variant>
      <vt:variant>
        <vt:lpwstr/>
      </vt:variant>
      <vt:variant>
        <vt:lpwstr>_Toc478102537</vt:lpwstr>
      </vt:variant>
      <vt:variant>
        <vt:i4>1048633</vt:i4>
      </vt:variant>
      <vt:variant>
        <vt:i4>86</vt:i4>
      </vt:variant>
      <vt:variant>
        <vt:i4>0</vt:i4>
      </vt:variant>
      <vt:variant>
        <vt:i4>5</vt:i4>
      </vt:variant>
      <vt:variant>
        <vt:lpwstr/>
      </vt:variant>
      <vt:variant>
        <vt:lpwstr>_Toc478102536</vt:lpwstr>
      </vt:variant>
      <vt:variant>
        <vt:i4>1048633</vt:i4>
      </vt:variant>
      <vt:variant>
        <vt:i4>80</vt:i4>
      </vt:variant>
      <vt:variant>
        <vt:i4>0</vt:i4>
      </vt:variant>
      <vt:variant>
        <vt:i4>5</vt:i4>
      </vt:variant>
      <vt:variant>
        <vt:lpwstr/>
      </vt:variant>
      <vt:variant>
        <vt:lpwstr>_Toc478102535</vt:lpwstr>
      </vt:variant>
      <vt:variant>
        <vt:i4>1048633</vt:i4>
      </vt:variant>
      <vt:variant>
        <vt:i4>74</vt:i4>
      </vt:variant>
      <vt:variant>
        <vt:i4>0</vt:i4>
      </vt:variant>
      <vt:variant>
        <vt:i4>5</vt:i4>
      </vt:variant>
      <vt:variant>
        <vt:lpwstr/>
      </vt:variant>
      <vt:variant>
        <vt:lpwstr>_Toc478102534</vt:lpwstr>
      </vt:variant>
      <vt:variant>
        <vt:i4>1048633</vt:i4>
      </vt:variant>
      <vt:variant>
        <vt:i4>68</vt:i4>
      </vt:variant>
      <vt:variant>
        <vt:i4>0</vt:i4>
      </vt:variant>
      <vt:variant>
        <vt:i4>5</vt:i4>
      </vt:variant>
      <vt:variant>
        <vt:lpwstr/>
      </vt:variant>
      <vt:variant>
        <vt:lpwstr>_Toc478102533</vt:lpwstr>
      </vt:variant>
      <vt:variant>
        <vt:i4>1048633</vt:i4>
      </vt:variant>
      <vt:variant>
        <vt:i4>62</vt:i4>
      </vt:variant>
      <vt:variant>
        <vt:i4>0</vt:i4>
      </vt:variant>
      <vt:variant>
        <vt:i4>5</vt:i4>
      </vt:variant>
      <vt:variant>
        <vt:lpwstr/>
      </vt:variant>
      <vt:variant>
        <vt:lpwstr>_Toc478102532</vt:lpwstr>
      </vt:variant>
      <vt:variant>
        <vt:i4>1048633</vt:i4>
      </vt:variant>
      <vt:variant>
        <vt:i4>56</vt:i4>
      </vt:variant>
      <vt:variant>
        <vt:i4>0</vt:i4>
      </vt:variant>
      <vt:variant>
        <vt:i4>5</vt:i4>
      </vt:variant>
      <vt:variant>
        <vt:lpwstr/>
      </vt:variant>
      <vt:variant>
        <vt:lpwstr>_Toc478102531</vt:lpwstr>
      </vt:variant>
      <vt:variant>
        <vt:i4>1048633</vt:i4>
      </vt:variant>
      <vt:variant>
        <vt:i4>50</vt:i4>
      </vt:variant>
      <vt:variant>
        <vt:i4>0</vt:i4>
      </vt:variant>
      <vt:variant>
        <vt:i4>5</vt:i4>
      </vt:variant>
      <vt:variant>
        <vt:lpwstr/>
      </vt:variant>
      <vt:variant>
        <vt:lpwstr>_Toc478102530</vt:lpwstr>
      </vt:variant>
      <vt:variant>
        <vt:i4>1114169</vt:i4>
      </vt:variant>
      <vt:variant>
        <vt:i4>44</vt:i4>
      </vt:variant>
      <vt:variant>
        <vt:i4>0</vt:i4>
      </vt:variant>
      <vt:variant>
        <vt:i4>5</vt:i4>
      </vt:variant>
      <vt:variant>
        <vt:lpwstr/>
      </vt:variant>
      <vt:variant>
        <vt:lpwstr>_Toc478102529</vt:lpwstr>
      </vt:variant>
      <vt:variant>
        <vt:i4>1114169</vt:i4>
      </vt:variant>
      <vt:variant>
        <vt:i4>38</vt:i4>
      </vt:variant>
      <vt:variant>
        <vt:i4>0</vt:i4>
      </vt:variant>
      <vt:variant>
        <vt:i4>5</vt:i4>
      </vt:variant>
      <vt:variant>
        <vt:lpwstr/>
      </vt:variant>
      <vt:variant>
        <vt:lpwstr>_Toc478102528</vt:lpwstr>
      </vt:variant>
      <vt:variant>
        <vt:i4>1114169</vt:i4>
      </vt:variant>
      <vt:variant>
        <vt:i4>32</vt:i4>
      </vt:variant>
      <vt:variant>
        <vt:i4>0</vt:i4>
      </vt:variant>
      <vt:variant>
        <vt:i4>5</vt:i4>
      </vt:variant>
      <vt:variant>
        <vt:lpwstr/>
      </vt:variant>
      <vt:variant>
        <vt:lpwstr>_Toc478102527</vt:lpwstr>
      </vt:variant>
      <vt:variant>
        <vt:i4>1114169</vt:i4>
      </vt:variant>
      <vt:variant>
        <vt:i4>26</vt:i4>
      </vt:variant>
      <vt:variant>
        <vt:i4>0</vt:i4>
      </vt:variant>
      <vt:variant>
        <vt:i4>5</vt:i4>
      </vt:variant>
      <vt:variant>
        <vt:lpwstr/>
      </vt:variant>
      <vt:variant>
        <vt:lpwstr>_Toc478102526</vt:lpwstr>
      </vt:variant>
      <vt:variant>
        <vt:i4>1114169</vt:i4>
      </vt:variant>
      <vt:variant>
        <vt:i4>20</vt:i4>
      </vt:variant>
      <vt:variant>
        <vt:i4>0</vt:i4>
      </vt:variant>
      <vt:variant>
        <vt:i4>5</vt:i4>
      </vt:variant>
      <vt:variant>
        <vt:lpwstr/>
      </vt:variant>
      <vt:variant>
        <vt:lpwstr>_Toc478102525</vt:lpwstr>
      </vt:variant>
      <vt:variant>
        <vt:i4>1114169</vt:i4>
      </vt:variant>
      <vt:variant>
        <vt:i4>14</vt:i4>
      </vt:variant>
      <vt:variant>
        <vt:i4>0</vt:i4>
      </vt:variant>
      <vt:variant>
        <vt:i4>5</vt:i4>
      </vt:variant>
      <vt:variant>
        <vt:lpwstr/>
      </vt:variant>
      <vt:variant>
        <vt:lpwstr>_Toc478102524</vt:lpwstr>
      </vt:variant>
      <vt:variant>
        <vt:i4>1114169</vt:i4>
      </vt:variant>
      <vt:variant>
        <vt:i4>8</vt:i4>
      </vt:variant>
      <vt:variant>
        <vt:i4>0</vt:i4>
      </vt:variant>
      <vt:variant>
        <vt:i4>5</vt:i4>
      </vt:variant>
      <vt:variant>
        <vt:lpwstr/>
      </vt:variant>
      <vt:variant>
        <vt:lpwstr>_Toc478102523</vt:lpwstr>
      </vt:variant>
      <vt:variant>
        <vt:i4>1114169</vt:i4>
      </vt:variant>
      <vt:variant>
        <vt:i4>2</vt:i4>
      </vt:variant>
      <vt:variant>
        <vt:i4>0</vt:i4>
      </vt:variant>
      <vt:variant>
        <vt:i4>5</vt:i4>
      </vt:variant>
      <vt:variant>
        <vt:lpwstr/>
      </vt:variant>
      <vt:variant>
        <vt:lpwstr>_Toc478102522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Apan</dc:creator>
  <cp:lastModifiedBy>Xiaodan</cp:lastModifiedBy>
  <cp:revision>147</cp:revision>
  <cp:lastPrinted>2020-03-25T21:16:00Z</cp:lastPrinted>
  <dcterms:created xsi:type="dcterms:W3CDTF">2020-03-24T21:10:00Z</dcterms:created>
  <dcterms:modified xsi:type="dcterms:W3CDTF">2020-05-24T05:03:00Z</dcterms:modified>
</cp:coreProperties>
</file>