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7A" w:rsidRPr="00F76350" w:rsidRDefault="002D027A" w:rsidP="009F2004">
      <w:pPr>
        <w:ind w:right="284" w:firstLine="284"/>
        <w:jc w:val="right"/>
        <w:rPr>
          <w:color w:val="000000"/>
          <w:sz w:val="22"/>
          <w:szCs w:val="22"/>
        </w:rPr>
      </w:pPr>
      <w:bookmarkStart w:id="0" w:name="_GoBack"/>
      <w:bookmarkEnd w:id="0"/>
      <w:r w:rsidRPr="00F76350">
        <w:rPr>
          <w:color w:val="000000"/>
          <w:sz w:val="22"/>
          <w:szCs w:val="22"/>
        </w:rPr>
        <w:t>Vers une politique du nudge : l’instrument au service de l’incitation</w:t>
      </w:r>
    </w:p>
    <w:p w:rsidR="009F2004" w:rsidRPr="009F2004" w:rsidRDefault="009F2004" w:rsidP="009F2004">
      <w:pPr>
        <w:ind w:right="284" w:firstLine="284"/>
        <w:jc w:val="right"/>
        <w:rPr>
          <w:b/>
          <w:i/>
          <w:color w:val="000000"/>
          <w:sz w:val="22"/>
          <w:szCs w:val="22"/>
        </w:rPr>
      </w:pPr>
    </w:p>
    <w:p w:rsidR="009F2004" w:rsidRPr="009F2004" w:rsidRDefault="002D027A" w:rsidP="009F2004">
      <w:pPr>
        <w:ind w:right="284" w:firstLine="284"/>
        <w:jc w:val="right"/>
        <w:rPr>
          <w:color w:val="000000"/>
          <w:sz w:val="22"/>
          <w:szCs w:val="22"/>
        </w:rPr>
      </w:pPr>
      <w:r w:rsidRPr="009F2004">
        <w:rPr>
          <w:color w:val="000000"/>
          <w:sz w:val="22"/>
          <w:szCs w:val="22"/>
        </w:rPr>
        <w:t xml:space="preserve">Marion Colas-Blaise </w:t>
      </w:r>
    </w:p>
    <w:p w:rsidR="002D027A" w:rsidRPr="009F2004" w:rsidRDefault="002D027A" w:rsidP="009F2004">
      <w:pPr>
        <w:ind w:right="284" w:firstLine="284"/>
        <w:jc w:val="right"/>
        <w:rPr>
          <w:color w:val="000000"/>
          <w:sz w:val="22"/>
          <w:szCs w:val="22"/>
        </w:rPr>
      </w:pPr>
      <w:r w:rsidRPr="009F2004">
        <w:rPr>
          <w:color w:val="000000"/>
          <w:sz w:val="22"/>
          <w:szCs w:val="22"/>
        </w:rPr>
        <w:t>Université du Luxembourg</w:t>
      </w:r>
    </w:p>
    <w:p w:rsidR="002D027A" w:rsidRPr="00B82D4F" w:rsidRDefault="002D027A" w:rsidP="009F2004">
      <w:pPr>
        <w:ind w:right="284" w:firstLine="284"/>
        <w:jc w:val="both"/>
        <w:rPr>
          <w:color w:val="000000"/>
          <w:sz w:val="16"/>
          <w:szCs w:val="16"/>
        </w:rPr>
      </w:pPr>
    </w:p>
    <w:p w:rsidR="006823D7" w:rsidRDefault="006823D7" w:rsidP="009F2004">
      <w:pPr>
        <w:ind w:right="284"/>
        <w:jc w:val="both"/>
        <w:rPr>
          <w:color w:val="000000"/>
          <w:sz w:val="16"/>
          <w:szCs w:val="16"/>
        </w:rPr>
      </w:pPr>
    </w:p>
    <w:p w:rsidR="009F2004" w:rsidRPr="00F76350" w:rsidRDefault="009F2004" w:rsidP="009F2004">
      <w:pPr>
        <w:ind w:right="284"/>
        <w:jc w:val="both"/>
        <w:rPr>
          <w:color w:val="000000"/>
          <w:sz w:val="18"/>
          <w:szCs w:val="16"/>
        </w:rPr>
      </w:pPr>
      <w:r w:rsidRPr="00F76350">
        <w:rPr>
          <w:color w:val="000000"/>
          <w:sz w:val="18"/>
          <w:szCs w:val="16"/>
        </w:rPr>
        <w:t>Mot</w:t>
      </w:r>
      <w:r w:rsidR="00B04FCC" w:rsidRPr="00F76350">
        <w:rPr>
          <w:color w:val="000000"/>
          <w:sz w:val="18"/>
          <w:szCs w:val="16"/>
        </w:rPr>
        <w:t>s</w:t>
      </w:r>
      <w:r w:rsidRPr="00F76350">
        <w:rPr>
          <w:color w:val="000000"/>
          <w:sz w:val="18"/>
          <w:szCs w:val="16"/>
        </w:rPr>
        <w:t xml:space="preserve"> clés : nudge, incitation, </w:t>
      </w:r>
      <w:r w:rsidR="00AE7455" w:rsidRPr="00F76350">
        <w:rPr>
          <w:color w:val="000000"/>
          <w:sz w:val="18"/>
          <w:szCs w:val="16"/>
        </w:rPr>
        <w:t xml:space="preserve">modalités, </w:t>
      </w:r>
      <w:r w:rsidRPr="00F76350">
        <w:rPr>
          <w:color w:val="000000"/>
          <w:sz w:val="18"/>
          <w:szCs w:val="16"/>
        </w:rPr>
        <w:t>régimes, pro-position, ex-position, im-position, éviden</w:t>
      </w:r>
      <w:r w:rsidR="00AE7455" w:rsidRPr="00F76350">
        <w:rPr>
          <w:color w:val="000000"/>
          <w:sz w:val="18"/>
          <w:szCs w:val="16"/>
        </w:rPr>
        <w:t>ce et évidentia</w:t>
      </w:r>
      <w:r w:rsidRPr="00F76350">
        <w:rPr>
          <w:color w:val="000000"/>
          <w:sz w:val="18"/>
          <w:szCs w:val="16"/>
        </w:rPr>
        <w:t xml:space="preserve">lité, </w:t>
      </w:r>
      <w:r w:rsidR="00AE7455" w:rsidRPr="00F76350">
        <w:rPr>
          <w:color w:val="000000"/>
          <w:sz w:val="18"/>
          <w:szCs w:val="16"/>
        </w:rPr>
        <w:t>programme</w:t>
      </w:r>
      <w:r w:rsidR="00AF669A" w:rsidRPr="00F76350">
        <w:rPr>
          <w:color w:val="000000"/>
          <w:sz w:val="18"/>
          <w:szCs w:val="16"/>
        </w:rPr>
        <w:t xml:space="preserve"> </w:t>
      </w:r>
      <w:r w:rsidR="00AE7455" w:rsidRPr="00F76350">
        <w:rPr>
          <w:color w:val="000000"/>
          <w:sz w:val="18"/>
          <w:szCs w:val="16"/>
        </w:rPr>
        <w:t>/</w:t>
      </w:r>
      <w:r w:rsidR="00AF669A" w:rsidRPr="00F76350">
        <w:rPr>
          <w:color w:val="000000"/>
          <w:sz w:val="18"/>
          <w:szCs w:val="16"/>
        </w:rPr>
        <w:t xml:space="preserve"> </w:t>
      </w:r>
      <w:r w:rsidR="00AE7455" w:rsidRPr="00F76350">
        <w:rPr>
          <w:color w:val="000000"/>
          <w:sz w:val="18"/>
          <w:szCs w:val="16"/>
        </w:rPr>
        <w:t xml:space="preserve">contre-programme, </w:t>
      </w:r>
      <w:r w:rsidRPr="00F76350">
        <w:rPr>
          <w:color w:val="000000"/>
          <w:sz w:val="18"/>
          <w:szCs w:val="16"/>
        </w:rPr>
        <w:t>instrument-outil</w:t>
      </w:r>
      <w:r w:rsidR="00AF669A" w:rsidRPr="00F76350">
        <w:rPr>
          <w:color w:val="000000"/>
          <w:sz w:val="18"/>
          <w:szCs w:val="16"/>
        </w:rPr>
        <w:t xml:space="preserve">, instrumentation / instrumentalisation </w:t>
      </w:r>
    </w:p>
    <w:p w:rsidR="009F2004" w:rsidRPr="00F76350" w:rsidRDefault="00AE7455" w:rsidP="00246E08">
      <w:pPr>
        <w:ind w:right="284"/>
        <w:jc w:val="both"/>
        <w:rPr>
          <w:color w:val="000000"/>
          <w:sz w:val="18"/>
          <w:szCs w:val="16"/>
        </w:rPr>
      </w:pPr>
      <w:r w:rsidRPr="00F76350">
        <w:rPr>
          <w:color w:val="000000"/>
          <w:sz w:val="18"/>
          <w:szCs w:val="16"/>
        </w:rPr>
        <w:t xml:space="preserve">Auteurs cités : </w:t>
      </w:r>
      <w:r w:rsidR="00246E08" w:rsidRPr="00F76350">
        <w:rPr>
          <w:color w:val="000000"/>
          <w:sz w:val="18"/>
          <w:szCs w:val="16"/>
        </w:rPr>
        <w:t xml:space="preserve">Madeleine AKRICH, Adelaïde AMELOT, Bruno BACHIMONT, Annabelle BOUTET-DIÉYE, Michel CALLON, </w:t>
      </w:r>
      <w:r w:rsidR="00B82D4F" w:rsidRPr="00F76350">
        <w:rPr>
          <w:color w:val="000000"/>
          <w:sz w:val="18"/>
          <w:szCs w:val="16"/>
        </w:rPr>
        <w:t xml:space="preserve">Christine CHAUVIN, </w:t>
      </w:r>
      <w:r w:rsidR="00246E08" w:rsidRPr="00F76350">
        <w:rPr>
          <w:color w:val="000000"/>
          <w:sz w:val="18"/>
          <w:szCs w:val="16"/>
        </w:rPr>
        <w:t xml:space="preserve">Joseph COURTÉS, Jean-Pierre DESCLÉS, Jacques FONTANILLE, </w:t>
      </w:r>
      <w:r w:rsidRPr="00F76350">
        <w:rPr>
          <w:color w:val="000000"/>
          <w:sz w:val="18"/>
          <w:szCs w:val="16"/>
        </w:rPr>
        <w:t xml:space="preserve">Algirdas J. </w:t>
      </w:r>
      <w:r w:rsidR="00246E08" w:rsidRPr="00F76350">
        <w:rPr>
          <w:color w:val="000000"/>
          <w:sz w:val="18"/>
          <w:szCs w:val="16"/>
        </w:rPr>
        <w:t>GREIMAS</w:t>
      </w:r>
      <w:r w:rsidRPr="00F76350">
        <w:rPr>
          <w:color w:val="000000"/>
          <w:sz w:val="18"/>
          <w:szCs w:val="16"/>
        </w:rPr>
        <w:t xml:space="preserve">, </w:t>
      </w:r>
      <w:r w:rsidR="00246E08" w:rsidRPr="00F76350">
        <w:rPr>
          <w:color w:val="000000"/>
          <w:sz w:val="18"/>
          <w:szCs w:val="16"/>
        </w:rPr>
        <w:t>GROUPE µ</w:t>
      </w:r>
      <w:r w:rsidRPr="00F76350">
        <w:rPr>
          <w:color w:val="000000"/>
          <w:sz w:val="18"/>
          <w:szCs w:val="16"/>
        </w:rPr>
        <w:t xml:space="preserve">, </w:t>
      </w:r>
      <w:r w:rsidR="00246E08" w:rsidRPr="00F76350">
        <w:rPr>
          <w:color w:val="000000"/>
          <w:sz w:val="18"/>
          <w:szCs w:val="16"/>
        </w:rPr>
        <w:t xml:space="preserve">Zlatka GUENTCHÉVA, </w:t>
      </w:r>
      <w:r w:rsidR="00353B25" w:rsidRPr="00F76350">
        <w:rPr>
          <w:sz w:val="18"/>
          <w:szCs w:val="16"/>
        </w:rPr>
        <w:t>É</w:t>
      </w:r>
      <w:r w:rsidR="00353B25" w:rsidRPr="00F76350">
        <w:rPr>
          <w:color w:val="000000"/>
          <w:sz w:val="18"/>
          <w:szCs w:val="16"/>
        </w:rPr>
        <w:t xml:space="preserve">ric LANDOWSKI, </w:t>
      </w:r>
      <w:r w:rsidR="00B82D4F" w:rsidRPr="00F76350">
        <w:rPr>
          <w:color w:val="000000"/>
          <w:sz w:val="18"/>
          <w:szCs w:val="16"/>
        </w:rPr>
        <w:t xml:space="preserve">Frédéric LANDRAGIN, </w:t>
      </w:r>
      <w:r w:rsidR="00246E08" w:rsidRPr="00F76350">
        <w:rPr>
          <w:color w:val="000000"/>
          <w:sz w:val="18"/>
          <w:szCs w:val="16"/>
        </w:rPr>
        <w:t xml:space="preserve">Julie </w:t>
      </w:r>
      <w:r w:rsidR="00B82D4F" w:rsidRPr="00F76350">
        <w:rPr>
          <w:color w:val="000000"/>
          <w:sz w:val="18"/>
          <w:szCs w:val="16"/>
        </w:rPr>
        <w:t xml:space="preserve">LASSALLE, </w:t>
      </w:r>
      <w:r w:rsidR="00246E08" w:rsidRPr="00F76350">
        <w:rPr>
          <w:color w:val="000000"/>
          <w:sz w:val="18"/>
          <w:szCs w:val="16"/>
        </w:rPr>
        <w:t>Bruno LATOUR</w:t>
      </w:r>
      <w:r w:rsidRPr="00F76350">
        <w:rPr>
          <w:color w:val="000000"/>
          <w:sz w:val="18"/>
          <w:szCs w:val="16"/>
        </w:rPr>
        <w:t>,</w:t>
      </w:r>
      <w:r w:rsidR="00B82D4F" w:rsidRPr="00F76350">
        <w:rPr>
          <w:color w:val="000000"/>
          <w:sz w:val="18"/>
          <w:szCs w:val="16"/>
        </w:rPr>
        <w:t xml:space="preserve"> Pierre RABARDEL, </w:t>
      </w:r>
      <w:r w:rsidRPr="00F76350">
        <w:rPr>
          <w:color w:val="000000"/>
          <w:sz w:val="18"/>
          <w:szCs w:val="16"/>
        </w:rPr>
        <w:t xml:space="preserve">Paul </w:t>
      </w:r>
      <w:r w:rsidR="00246E08" w:rsidRPr="00F76350">
        <w:rPr>
          <w:color w:val="000000"/>
          <w:sz w:val="18"/>
          <w:szCs w:val="16"/>
        </w:rPr>
        <w:t xml:space="preserve">RICOEUR, </w:t>
      </w:r>
      <w:r w:rsidR="00B82D4F" w:rsidRPr="00F76350">
        <w:rPr>
          <w:color w:val="000000"/>
          <w:sz w:val="18"/>
          <w:szCs w:val="16"/>
        </w:rPr>
        <w:t xml:space="preserve">Cass R. </w:t>
      </w:r>
      <w:r w:rsidR="00246E08" w:rsidRPr="00F76350">
        <w:rPr>
          <w:color w:val="000000"/>
          <w:sz w:val="18"/>
          <w:szCs w:val="16"/>
        </w:rPr>
        <w:t>SUNSTEIN,</w:t>
      </w:r>
      <w:r w:rsidR="00B82D4F" w:rsidRPr="00F76350">
        <w:rPr>
          <w:color w:val="000000"/>
          <w:sz w:val="18"/>
          <w:szCs w:val="16"/>
        </w:rPr>
        <w:t xml:space="preserve"> Richard H. THALER, </w:t>
      </w:r>
      <w:r w:rsidR="00365BFE" w:rsidRPr="00F76350">
        <w:rPr>
          <w:color w:val="000000"/>
          <w:sz w:val="18"/>
          <w:szCs w:val="16"/>
        </w:rPr>
        <w:t>C</w:t>
      </w:r>
      <w:r w:rsidR="00B82D4F" w:rsidRPr="00F76350">
        <w:rPr>
          <w:color w:val="000000"/>
          <w:sz w:val="18"/>
          <w:szCs w:val="16"/>
        </w:rPr>
        <w:t>arl VETTERS</w:t>
      </w:r>
    </w:p>
    <w:p w:rsidR="00B82D4F" w:rsidRPr="00B82D4F" w:rsidRDefault="00B82D4F" w:rsidP="00B82D4F">
      <w:pPr>
        <w:ind w:right="284"/>
        <w:jc w:val="both"/>
        <w:rPr>
          <w:color w:val="000000"/>
          <w:sz w:val="16"/>
          <w:szCs w:val="16"/>
        </w:rPr>
      </w:pPr>
    </w:p>
    <w:p w:rsidR="006823D7" w:rsidRDefault="006823D7" w:rsidP="00B82D4F">
      <w:pPr>
        <w:ind w:right="284"/>
        <w:jc w:val="both"/>
        <w:rPr>
          <w:color w:val="000000"/>
          <w:sz w:val="16"/>
          <w:szCs w:val="16"/>
        </w:rPr>
      </w:pPr>
    </w:p>
    <w:p w:rsidR="00B82D4F" w:rsidRPr="00F76350" w:rsidRDefault="00B82D4F" w:rsidP="00174224">
      <w:pPr>
        <w:tabs>
          <w:tab w:val="left" w:pos="1848"/>
        </w:tabs>
        <w:ind w:right="284"/>
        <w:jc w:val="both"/>
        <w:rPr>
          <w:color w:val="000000"/>
          <w:sz w:val="18"/>
          <w:szCs w:val="16"/>
        </w:rPr>
      </w:pPr>
      <w:r w:rsidRPr="00F76350">
        <w:rPr>
          <w:color w:val="000000"/>
          <w:sz w:val="18"/>
          <w:szCs w:val="16"/>
        </w:rPr>
        <w:t>Plan</w:t>
      </w:r>
      <w:r w:rsidR="00F76350">
        <w:rPr>
          <w:color w:val="000000"/>
          <w:sz w:val="18"/>
          <w:szCs w:val="16"/>
        </w:rPr>
        <w:tab/>
      </w:r>
    </w:p>
    <w:p w:rsidR="00B82D4F" w:rsidRPr="00F76350" w:rsidRDefault="00B82D4F" w:rsidP="00B82D4F">
      <w:pPr>
        <w:ind w:right="284"/>
        <w:jc w:val="both"/>
        <w:rPr>
          <w:color w:val="000000"/>
          <w:sz w:val="18"/>
          <w:szCs w:val="16"/>
        </w:rPr>
      </w:pPr>
      <w:r w:rsidRPr="00F76350">
        <w:rPr>
          <w:color w:val="000000"/>
          <w:sz w:val="18"/>
          <w:szCs w:val="16"/>
        </w:rPr>
        <w:t>1. Introduction</w:t>
      </w:r>
    </w:p>
    <w:p w:rsidR="00B82D4F" w:rsidRPr="00F76350" w:rsidRDefault="00B82D4F" w:rsidP="00B82D4F">
      <w:pPr>
        <w:ind w:right="284"/>
        <w:jc w:val="both"/>
        <w:rPr>
          <w:color w:val="000000"/>
          <w:sz w:val="18"/>
          <w:szCs w:val="16"/>
        </w:rPr>
      </w:pPr>
      <w:r w:rsidRPr="00F76350">
        <w:rPr>
          <w:color w:val="000000"/>
          <w:sz w:val="18"/>
          <w:szCs w:val="16"/>
        </w:rPr>
        <w:t>2. Les ramifications modales : l’incitation et les opérations connexes</w:t>
      </w:r>
    </w:p>
    <w:p w:rsidR="00B82D4F" w:rsidRPr="00F76350" w:rsidRDefault="00B82D4F" w:rsidP="00B82D4F">
      <w:pPr>
        <w:ind w:right="284"/>
        <w:jc w:val="both"/>
        <w:rPr>
          <w:color w:val="000000"/>
          <w:sz w:val="18"/>
          <w:szCs w:val="16"/>
        </w:rPr>
      </w:pPr>
      <w:r w:rsidRPr="00F76350">
        <w:rPr>
          <w:color w:val="000000"/>
          <w:sz w:val="18"/>
          <w:szCs w:val="16"/>
        </w:rPr>
        <w:t>3. La méthode douce : l’incitation et ses régimes</w:t>
      </w:r>
    </w:p>
    <w:p w:rsidR="00B82D4F" w:rsidRPr="00F76350" w:rsidRDefault="00B82D4F" w:rsidP="00B82D4F">
      <w:pPr>
        <w:ind w:right="284"/>
        <w:jc w:val="both"/>
        <w:rPr>
          <w:color w:val="000000"/>
          <w:sz w:val="18"/>
          <w:szCs w:val="16"/>
        </w:rPr>
      </w:pPr>
      <w:r w:rsidRPr="00F76350">
        <w:rPr>
          <w:color w:val="000000"/>
          <w:sz w:val="18"/>
          <w:szCs w:val="16"/>
        </w:rPr>
        <w:t>4. Le savoir-faire et l’instrument au service du nudge</w:t>
      </w:r>
    </w:p>
    <w:p w:rsidR="00B82D4F" w:rsidRPr="00F76350" w:rsidRDefault="00B82D4F" w:rsidP="00B82D4F">
      <w:pPr>
        <w:ind w:right="284"/>
        <w:jc w:val="both"/>
        <w:rPr>
          <w:color w:val="000000"/>
          <w:sz w:val="18"/>
          <w:szCs w:val="16"/>
        </w:rPr>
      </w:pPr>
      <w:r w:rsidRPr="00F76350">
        <w:rPr>
          <w:color w:val="000000"/>
          <w:sz w:val="18"/>
          <w:szCs w:val="16"/>
        </w:rPr>
        <w:t>5. Conclusion</w:t>
      </w:r>
    </w:p>
    <w:p w:rsidR="00B82D4F" w:rsidRDefault="00B82D4F" w:rsidP="00B82D4F">
      <w:pPr>
        <w:ind w:right="284"/>
        <w:jc w:val="both"/>
        <w:rPr>
          <w:b/>
          <w:color w:val="000000"/>
          <w:sz w:val="22"/>
          <w:szCs w:val="22"/>
        </w:rPr>
      </w:pPr>
    </w:p>
    <w:p w:rsidR="00B82D4F" w:rsidRDefault="00B82D4F" w:rsidP="00B82D4F">
      <w:pPr>
        <w:ind w:right="284"/>
        <w:jc w:val="both"/>
        <w:rPr>
          <w:b/>
          <w:color w:val="000000"/>
          <w:sz w:val="22"/>
          <w:szCs w:val="22"/>
        </w:rPr>
      </w:pPr>
    </w:p>
    <w:p w:rsidR="00B82D4F" w:rsidRPr="00174224" w:rsidRDefault="00B82D4F" w:rsidP="00B82D4F">
      <w:pPr>
        <w:ind w:right="284"/>
        <w:jc w:val="both"/>
        <w:rPr>
          <w:b/>
          <w:color w:val="C00000"/>
          <w:sz w:val="22"/>
          <w:szCs w:val="22"/>
        </w:rPr>
      </w:pPr>
      <w:r w:rsidRPr="00174224">
        <w:rPr>
          <w:b/>
          <w:color w:val="C00000"/>
          <w:sz w:val="22"/>
          <w:szCs w:val="22"/>
        </w:rPr>
        <w:t xml:space="preserve">1. Introduction </w:t>
      </w:r>
    </w:p>
    <w:p w:rsidR="002D027A" w:rsidRPr="009F2004" w:rsidRDefault="002D027A" w:rsidP="002136B5">
      <w:pPr>
        <w:ind w:right="284" w:firstLine="284"/>
        <w:jc w:val="both"/>
        <w:rPr>
          <w:color w:val="000000"/>
          <w:sz w:val="22"/>
          <w:szCs w:val="22"/>
        </w:rPr>
      </w:pPr>
      <w:r w:rsidRPr="009F2004">
        <w:rPr>
          <w:color w:val="000000"/>
          <w:sz w:val="22"/>
          <w:szCs w:val="22"/>
        </w:rPr>
        <w:t>Le point de départ de cette réflexion est fourni par la théorie greimassienne de la manipulation, en vertu de laquelle le destinataire-sujet manipulé est poussé vers une position de manque de liberté (</w:t>
      </w:r>
      <w:r w:rsidR="002D34BA">
        <w:rPr>
          <w:color w:val="000000"/>
          <w:sz w:val="22"/>
          <w:szCs w:val="22"/>
        </w:rPr>
        <w:t xml:space="preserve">devoir faire, </w:t>
      </w:r>
      <w:r w:rsidRPr="009F2004">
        <w:rPr>
          <w:color w:val="000000"/>
          <w:sz w:val="22"/>
          <w:szCs w:val="22"/>
        </w:rPr>
        <w:t>ne pas pouvoir ne pas faire) (Greimas &amp; Courtés 1979 : 220)</w:t>
      </w:r>
      <w:r w:rsidR="00365BFE">
        <w:rPr>
          <w:color w:val="000000"/>
          <w:sz w:val="22"/>
          <w:szCs w:val="22"/>
        </w:rPr>
        <w:t xml:space="preserve">, </w:t>
      </w:r>
      <w:r w:rsidRPr="009F2004">
        <w:rPr>
          <w:color w:val="000000"/>
          <w:sz w:val="22"/>
          <w:szCs w:val="22"/>
        </w:rPr>
        <w:t>et par la théorie des interactions développée par Éric Landowski (not. 2007), quand il considère la manipulation comme un régime d’interaction fondé sur l’intentionnalité (compétence modale), en vertu de la stratégie du vouloir</w:t>
      </w:r>
      <w:r w:rsidR="002136B5">
        <w:rPr>
          <w:color w:val="000000"/>
          <w:sz w:val="22"/>
          <w:szCs w:val="22"/>
        </w:rPr>
        <w:t xml:space="preserve"> </w:t>
      </w:r>
      <w:r w:rsidRPr="009F2004">
        <w:rPr>
          <w:color w:val="000000"/>
          <w:sz w:val="22"/>
          <w:szCs w:val="22"/>
        </w:rPr>
        <w:t>faire, et l’ajustement comme un régime d’interaction fondé sur la sensibilité (compétence esthésique), le faire</w:t>
      </w:r>
      <w:r w:rsidR="002136B5">
        <w:rPr>
          <w:color w:val="000000"/>
          <w:sz w:val="22"/>
          <w:szCs w:val="22"/>
        </w:rPr>
        <w:t xml:space="preserve"> </w:t>
      </w:r>
      <w:r w:rsidRPr="009F2004">
        <w:rPr>
          <w:color w:val="000000"/>
          <w:sz w:val="22"/>
          <w:szCs w:val="22"/>
        </w:rPr>
        <w:t>faire prenant alors la forme du faire sentir.</w:t>
      </w:r>
    </w:p>
    <w:p w:rsidR="002D027A" w:rsidRPr="009F2004" w:rsidRDefault="002D027A" w:rsidP="009F2004">
      <w:pPr>
        <w:ind w:right="284" w:firstLine="284"/>
        <w:jc w:val="both"/>
        <w:rPr>
          <w:color w:val="000000"/>
          <w:sz w:val="22"/>
          <w:szCs w:val="22"/>
        </w:rPr>
      </w:pPr>
      <w:r w:rsidRPr="009F2004">
        <w:rPr>
          <w:color w:val="000000"/>
          <w:sz w:val="22"/>
          <w:szCs w:val="22"/>
        </w:rPr>
        <w:t>C’est à l’entrecroisement</w:t>
      </w:r>
      <w:r w:rsidR="00B143D2" w:rsidRPr="009F2004">
        <w:rPr>
          <w:color w:val="000000"/>
          <w:sz w:val="22"/>
          <w:szCs w:val="22"/>
        </w:rPr>
        <w:t xml:space="preserve"> de ces deux modèles</w:t>
      </w:r>
      <w:r w:rsidR="006344B1" w:rsidRPr="009F2004">
        <w:rPr>
          <w:color w:val="000000"/>
          <w:sz w:val="22"/>
          <w:szCs w:val="22"/>
        </w:rPr>
        <w:t xml:space="preserve">, mais aussi à travers leur dépassement </w:t>
      </w:r>
      <w:r w:rsidRPr="009F2004">
        <w:rPr>
          <w:color w:val="000000"/>
          <w:sz w:val="22"/>
          <w:szCs w:val="22"/>
        </w:rPr>
        <w:t xml:space="preserve">qu’il est possible de penser la politique du nudge par l’incitation. L’on cerne d’emblée un des enjeux de la réflexion : l’incitation se distinguerait de la manipulation au sens étroit </w:t>
      </w:r>
      <w:r w:rsidR="002136B5">
        <w:rPr>
          <w:color w:val="000000"/>
          <w:sz w:val="22"/>
          <w:szCs w:val="22"/>
        </w:rPr>
        <w:t xml:space="preserve">du terme </w:t>
      </w:r>
      <w:r w:rsidRPr="009F2004">
        <w:rPr>
          <w:color w:val="000000"/>
          <w:sz w:val="22"/>
          <w:szCs w:val="22"/>
        </w:rPr>
        <w:t xml:space="preserve">par la part réservée au sentir et à la sensibilité d’une instance </w:t>
      </w:r>
      <w:r w:rsidR="00B143D2" w:rsidRPr="009F2004">
        <w:rPr>
          <w:color w:val="000000"/>
          <w:sz w:val="22"/>
          <w:szCs w:val="22"/>
        </w:rPr>
        <w:t>à la fois agissante et agie</w:t>
      </w:r>
      <w:r w:rsidR="002136B5">
        <w:rPr>
          <w:color w:val="000000"/>
          <w:sz w:val="22"/>
          <w:szCs w:val="22"/>
        </w:rPr>
        <w:t xml:space="preserve"> (mue), </w:t>
      </w:r>
      <w:r w:rsidRPr="009F2004">
        <w:rPr>
          <w:color w:val="000000"/>
          <w:sz w:val="22"/>
          <w:szCs w:val="22"/>
        </w:rPr>
        <w:t xml:space="preserve">qui </w:t>
      </w:r>
      <w:r w:rsidR="006344B1" w:rsidRPr="009F2004">
        <w:rPr>
          <w:color w:val="000000"/>
          <w:sz w:val="22"/>
          <w:szCs w:val="22"/>
        </w:rPr>
        <w:t xml:space="preserve">– tel est du moins l’imaginaire associé à la politique du nudge décrite par </w:t>
      </w:r>
      <w:r w:rsidR="00365BFE">
        <w:rPr>
          <w:color w:val="000000"/>
          <w:sz w:val="22"/>
          <w:szCs w:val="22"/>
        </w:rPr>
        <w:t>R</w:t>
      </w:r>
      <w:r w:rsidR="002136B5">
        <w:rPr>
          <w:color w:val="000000"/>
          <w:sz w:val="22"/>
          <w:szCs w:val="22"/>
        </w:rPr>
        <w:t xml:space="preserve">ichard H. </w:t>
      </w:r>
      <w:r w:rsidR="006344B1" w:rsidRPr="009F2004">
        <w:rPr>
          <w:color w:val="000000"/>
          <w:sz w:val="22"/>
          <w:szCs w:val="22"/>
        </w:rPr>
        <w:t xml:space="preserve">Thaler et </w:t>
      </w:r>
      <w:r w:rsidR="002136B5">
        <w:rPr>
          <w:color w:val="000000"/>
          <w:sz w:val="22"/>
          <w:szCs w:val="22"/>
        </w:rPr>
        <w:t xml:space="preserve">Cass R. </w:t>
      </w:r>
      <w:r w:rsidR="006344B1" w:rsidRPr="009F2004">
        <w:rPr>
          <w:color w:val="000000"/>
          <w:sz w:val="22"/>
          <w:szCs w:val="22"/>
        </w:rPr>
        <w:t xml:space="preserve">Sunstein (2010 [2008]) – </w:t>
      </w:r>
      <w:r w:rsidR="00B143D2" w:rsidRPr="009F2004">
        <w:rPr>
          <w:color w:val="000000"/>
          <w:sz w:val="22"/>
          <w:szCs w:val="22"/>
        </w:rPr>
        <w:t>échappe à tout rapport de coercition</w:t>
      </w:r>
      <w:r w:rsidR="00FC4E9C" w:rsidRPr="009F2004">
        <w:rPr>
          <w:color w:val="000000"/>
          <w:sz w:val="22"/>
          <w:szCs w:val="22"/>
        </w:rPr>
        <w:t>.</w:t>
      </w:r>
    </w:p>
    <w:p w:rsidR="002D027A" w:rsidRPr="009F2004" w:rsidRDefault="002D027A" w:rsidP="009F2004">
      <w:pPr>
        <w:ind w:right="284" w:firstLine="284"/>
        <w:jc w:val="both"/>
        <w:rPr>
          <w:color w:val="000000"/>
          <w:sz w:val="22"/>
          <w:szCs w:val="22"/>
        </w:rPr>
      </w:pPr>
      <w:r w:rsidRPr="009F2004">
        <w:rPr>
          <w:color w:val="000000"/>
          <w:sz w:val="22"/>
          <w:szCs w:val="22"/>
        </w:rPr>
        <w:t xml:space="preserve">D’autres filiations théoriques sont possibles. </w:t>
      </w:r>
      <w:r w:rsidR="00477C77" w:rsidRPr="009F2004">
        <w:rPr>
          <w:color w:val="000000"/>
          <w:sz w:val="22"/>
          <w:szCs w:val="22"/>
        </w:rPr>
        <w:t xml:space="preserve">Paul </w:t>
      </w:r>
      <w:r w:rsidRPr="009F2004">
        <w:rPr>
          <w:color w:val="000000"/>
          <w:sz w:val="22"/>
          <w:szCs w:val="22"/>
        </w:rPr>
        <w:t>Ricoeur</w:t>
      </w:r>
      <w:r w:rsidR="00CF18C7" w:rsidRPr="009F2004">
        <w:rPr>
          <w:color w:val="000000"/>
          <w:sz w:val="22"/>
          <w:szCs w:val="22"/>
        </w:rPr>
        <w:t xml:space="preserve"> </w:t>
      </w:r>
      <w:r w:rsidRPr="009F2004">
        <w:rPr>
          <w:color w:val="000000"/>
          <w:sz w:val="22"/>
          <w:szCs w:val="22"/>
        </w:rPr>
        <w:t>définit l’incitation en ces termes : « L</w:t>
      </w:r>
      <w:r w:rsidRPr="009F2004">
        <w:rPr>
          <w:i/>
          <w:color w:val="000000"/>
          <w:sz w:val="22"/>
          <w:szCs w:val="22"/>
        </w:rPr>
        <w:t>'</w:t>
      </w:r>
      <w:r w:rsidRPr="009F2004">
        <w:rPr>
          <w:bCs/>
          <w:i/>
          <w:color w:val="000000"/>
          <w:sz w:val="22"/>
          <w:szCs w:val="22"/>
        </w:rPr>
        <w:t>incitation </w:t>
      </w:r>
      <w:r w:rsidRPr="009F2004">
        <w:rPr>
          <w:color w:val="000000"/>
          <w:sz w:val="22"/>
          <w:szCs w:val="22"/>
        </w:rPr>
        <w:t>est en moi en tant qu'être de manque et d'élan et peut se composer avec l'</w:t>
      </w:r>
      <w:r w:rsidRPr="009F2004">
        <w:rPr>
          <w:bCs/>
          <w:color w:val="000000"/>
          <w:sz w:val="22"/>
          <w:szCs w:val="22"/>
        </w:rPr>
        <w:t>incitation </w:t>
      </w:r>
      <w:r w:rsidRPr="009F2004">
        <w:rPr>
          <w:color w:val="000000"/>
          <w:sz w:val="22"/>
          <w:szCs w:val="22"/>
        </w:rPr>
        <w:t>du vouloir ; le lien involontaire du savoir-faire au signal concerne non l'</w:t>
      </w:r>
      <w:r w:rsidRPr="009F2004">
        <w:rPr>
          <w:bCs/>
          <w:color w:val="000000"/>
          <w:sz w:val="22"/>
          <w:szCs w:val="22"/>
        </w:rPr>
        <w:t>incitation</w:t>
      </w:r>
      <w:r w:rsidRPr="009F2004">
        <w:rPr>
          <w:color w:val="000000"/>
          <w:sz w:val="22"/>
          <w:szCs w:val="22"/>
        </w:rPr>
        <w:t>, le déclenchement, mais la </w:t>
      </w:r>
      <w:r w:rsidRPr="009F2004">
        <w:rPr>
          <w:i/>
          <w:iCs/>
          <w:color w:val="000000"/>
          <w:sz w:val="22"/>
          <w:szCs w:val="22"/>
        </w:rPr>
        <w:t>forme de déroulement </w:t>
      </w:r>
      <w:r w:rsidRPr="009F2004">
        <w:rPr>
          <w:color w:val="000000"/>
          <w:sz w:val="22"/>
          <w:szCs w:val="22"/>
        </w:rPr>
        <w:t>du mouvement</w:t>
      </w:r>
      <w:r w:rsidR="00FC4E9C" w:rsidRPr="009F2004">
        <w:rPr>
          <w:color w:val="000000"/>
          <w:sz w:val="22"/>
          <w:szCs w:val="22"/>
        </w:rPr>
        <w:t> »</w:t>
      </w:r>
      <w:r w:rsidRPr="009F2004">
        <w:rPr>
          <w:color w:val="000000"/>
          <w:sz w:val="22"/>
          <w:szCs w:val="22"/>
        </w:rPr>
        <w:t xml:space="preserve"> (</w:t>
      </w:r>
      <w:r w:rsidR="007A60FC" w:rsidRPr="009F2004">
        <w:rPr>
          <w:color w:val="000000"/>
          <w:sz w:val="22"/>
          <w:szCs w:val="22"/>
        </w:rPr>
        <w:t>1988 [</w:t>
      </w:r>
      <w:r w:rsidRPr="009F2004">
        <w:rPr>
          <w:color w:val="000000"/>
          <w:sz w:val="22"/>
          <w:szCs w:val="22"/>
        </w:rPr>
        <w:t>19</w:t>
      </w:r>
      <w:r w:rsidR="007A60FC" w:rsidRPr="009F2004">
        <w:rPr>
          <w:color w:val="000000"/>
          <w:sz w:val="22"/>
          <w:szCs w:val="22"/>
        </w:rPr>
        <w:t>50]</w:t>
      </w:r>
      <w:r w:rsidRPr="009F2004">
        <w:rPr>
          <w:color w:val="000000"/>
          <w:sz w:val="22"/>
          <w:szCs w:val="22"/>
        </w:rPr>
        <w:t xml:space="preserve"> : 227). </w:t>
      </w:r>
      <w:r w:rsidR="00FC4E9C" w:rsidRPr="009F2004">
        <w:rPr>
          <w:color w:val="000000"/>
          <w:sz w:val="22"/>
          <w:szCs w:val="22"/>
        </w:rPr>
        <w:t xml:space="preserve">Dans la foulée, on avancera, </w:t>
      </w:r>
      <w:r w:rsidR="006344B1" w:rsidRPr="009F2004">
        <w:rPr>
          <w:color w:val="000000"/>
          <w:sz w:val="22"/>
          <w:szCs w:val="22"/>
        </w:rPr>
        <w:t xml:space="preserve">toujours </w:t>
      </w:r>
      <w:r w:rsidR="00FC4E9C" w:rsidRPr="009F2004">
        <w:rPr>
          <w:color w:val="000000"/>
          <w:sz w:val="22"/>
          <w:szCs w:val="22"/>
        </w:rPr>
        <w:t xml:space="preserve">en guise de préliminaire, </w:t>
      </w:r>
      <w:r w:rsidRPr="009F2004">
        <w:rPr>
          <w:color w:val="000000"/>
          <w:sz w:val="22"/>
          <w:szCs w:val="22"/>
        </w:rPr>
        <w:t xml:space="preserve">que l’incitation ne présuppose pas seulement le manque, au fondement du modèle narratif, mais encore qu’elle est liée à un élan, un emportement, une intensification dans l’instant (moment inchoatif), dont la sémiotique tensive peut proposer une modélisation. Dès lors, il ne suffira pas de rappeler que le schéma narratif est tendu entre le manque et le comblement du manque et que l’incitation échappe au </w:t>
      </w:r>
      <w:r w:rsidR="006344B1" w:rsidRPr="009F2004">
        <w:rPr>
          <w:color w:val="000000"/>
          <w:sz w:val="22"/>
          <w:szCs w:val="22"/>
        </w:rPr>
        <w:t>devoir</w:t>
      </w:r>
      <w:r w:rsidR="002136B5">
        <w:rPr>
          <w:color w:val="000000"/>
          <w:sz w:val="22"/>
          <w:szCs w:val="22"/>
        </w:rPr>
        <w:t xml:space="preserve"> </w:t>
      </w:r>
      <w:r w:rsidR="006344B1" w:rsidRPr="009F2004">
        <w:rPr>
          <w:color w:val="000000"/>
          <w:sz w:val="22"/>
          <w:szCs w:val="22"/>
        </w:rPr>
        <w:t>faire</w:t>
      </w:r>
      <w:r w:rsidRPr="009F2004">
        <w:rPr>
          <w:color w:val="000000"/>
          <w:sz w:val="22"/>
          <w:szCs w:val="22"/>
        </w:rPr>
        <w:t xml:space="preserve">. </w:t>
      </w:r>
    </w:p>
    <w:p w:rsidR="002D027A" w:rsidRPr="009F2004" w:rsidRDefault="00FA1144" w:rsidP="009F2004">
      <w:pPr>
        <w:ind w:right="284" w:firstLine="284"/>
        <w:jc w:val="both"/>
        <w:rPr>
          <w:color w:val="000000"/>
          <w:sz w:val="22"/>
          <w:szCs w:val="22"/>
        </w:rPr>
      </w:pPr>
      <w:r w:rsidRPr="009F2004">
        <w:rPr>
          <w:color w:val="000000"/>
          <w:sz w:val="22"/>
          <w:szCs w:val="22"/>
        </w:rPr>
        <w:t>En même temps, l’incitation a-t-elle partie liée avec la séduction ? En quoi celle-ci complexifie-t-elle la donne en faisant entrer dans l</w:t>
      </w:r>
      <w:r w:rsidR="0056083C" w:rsidRPr="009F2004">
        <w:rPr>
          <w:color w:val="000000"/>
          <w:sz w:val="22"/>
          <w:szCs w:val="22"/>
        </w:rPr>
        <w:t>a</w:t>
      </w:r>
      <w:r w:rsidRPr="009F2004">
        <w:rPr>
          <w:color w:val="000000"/>
          <w:sz w:val="22"/>
          <w:szCs w:val="22"/>
        </w:rPr>
        <w:t xml:space="preserve"> syntagm</w:t>
      </w:r>
      <w:r w:rsidR="0056083C" w:rsidRPr="009F2004">
        <w:rPr>
          <w:color w:val="000000"/>
          <w:sz w:val="22"/>
          <w:szCs w:val="22"/>
        </w:rPr>
        <w:t>atique</w:t>
      </w:r>
      <w:r w:rsidRPr="009F2004">
        <w:rPr>
          <w:color w:val="000000"/>
          <w:sz w:val="22"/>
          <w:szCs w:val="22"/>
        </w:rPr>
        <w:t xml:space="preserve"> de l’incitation les modalités du pouvoir et du savoir ? Tant il est vrai</w:t>
      </w:r>
      <w:r w:rsidR="002D027A" w:rsidRPr="009F2004">
        <w:rPr>
          <w:color w:val="000000"/>
          <w:sz w:val="22"/>
          <w:szCs w:val="22"/>
        </w:rPr>
        <w:t xml:space="preserve"> que Greimas et Courtés font de la séduction une des variantes possibles de la manipulation : « tu es capable de… », manifestant un jugement positif, relève de la manipulation selon le savoir (1979 : 221)</w:t>
      </w:r>
      <w:r w:rsidRPr="009F2004">
        <w:rPr>
          <w:color w:val="000000"/>
          <w:sz w:val="22"/>
          <w:szCs w:val="22"/>
        </w:rPr>
        <w:t xml:space="preserve">, qui </w:t>
      </w:r>
      <w:r w:rsidR="002D027A" w:rsidRPr="009F2004">
        <w:rPr>
          <w:color w:val="000000"/>
          <w:sz w:val="22"/>
          <w:szCs w:val="22"/>
        </w:rPr>
        <w:t xml:space="preserve">entre dans la définition du faire persuasif appuyé sur la modalité du pouvoir. </w:t>
      </w:r>
    </w:p>
    <w:p w:rsidR="002D027A" w:rsidRPr="009F2004" w:rsidRDefault="00FA1144" w:rsidP="009F2004">
      <w:pPr>
        <w:ind w:right="284" w:firstLine="284"/>
        <w:jc w:val="both"/>
        <w:rPr>
          <w:color w:val="000000"/>
          <w:sz w:val="22"/>
          <w:szCs w:val="22"/>
        </w:rPr>
      </w:pPr>
      <w:r w:rsidRPr="009F2004">
        <w:rPr>
          <w:color w:val="000000"/>
          <w:sz w:val="22"/>
          <w:szCs w:val="22"/>
        </w:rPr>
        <w:t xml:space="preserve">D’où l’idée que la politique du nudge par l’incitation mobilise, d’entrée, un </w:t>
      </w:r>
      <w:r w:rsidR="0056083C" w:rsidRPr="009F2004">
        <w:rPr>
          <w:color w:val="000000"/>
          <w:sz w:val="22"/>
          <w:szCs w:val="22"/>
        </w:rPr>
        <w:t>syncrétisme</w:t>
      </w:r>
      <w:r w:rsidRPr="009F2004">
        <w:rPr>
          <w:color w:val="000000"/>
          <w:sz w:val="22"/>
          <w:szCs w:val="22"/>
        </w:rPr>
        <w:t xml:space="preserve"> modal</w:t>
      </w:r>
      <w:r w:rsidR="0056083C" w:rsidRPr="009F2004">
        <w:rPr>
          <w:color w:val="000000"/>
          <w:sz w:val="22"/>
          <w:szCs w:val="22"/>
        </w:rPr>
        <w:t xml:space="preserve">, qui peut être déplié sous la forme d’une séquence, dont l’incitation </w:t>
      </w:r>
      <w:r w:rsidR="00CF18C7" w:rsidRPr="009F2004">
        <w:rPr>
          <w:color w:val="000000"/>
          <w:sz w:val="22"/>
          <w:szCs w:val="22"/>
        </w:rPr>
        <w:t xml:space="preserve">proprement dite </w:t>
      </w:r>
      <w:r w:rsidR="0056083C" w:rsidRPr="009F2004">
        <w:rPr>
          <w:color w:val="000000"/>
          <w:sz w:val="22"/>
          <w:szCs w:val="22"/>
        </w:rPr>
        <w:t>constituerait, selon Ricoeur, la phase initiale</w:t>
      </w:r>
      <w:r w:rsidRPr="009F2004">
        <w:rPr>
          <w:color w:val="000000"/>
          <w:sz w:val="22"/>
          <w:szCs w:val="22"/>
        </w:rPr>
        <w:t xml:space="preserve">. </w:t>
      </w:r>
      <w:r w:rsidR="002D027A" w:rsidRPr="009F2004">
        <w:rPr>
          <w:color w:val="000000"/>
          <w:sz w:val="22"/>
          <w:szCs w:val="22"/>
        </w:rPr>
        <w:t>Vouloir</w:t>
      </w:r>
      <w:r w:rsidR="002136B5">
        <w:rPr>
          <w:color w:val="000000"/>
          <w:sz w:val="22"/>
          <w:szCs w:val="22"/>
        </w:rPr>
        <w:t>, savoir</w:t>
      </w:r>
      <w:r w:rsidR="000E64EE">
        <w:rPr>
          <w:color w:val="000000"/>
          <w:sz w:val="22"/>
          <w:szCs w:val="22"/>
        </w:rPr>
        <w:t>, pouvoir</w:t>
      </w:r>
      <w:r w:rsidR="002D027A" w:rsidRPr="009F2004">
        <w:rPr>
          <w:color w:val="000000"/>
          <w:sz w:val="22"/>
          <w:szCs w:val="22"/>
        </w:rPr>
        <w:t>… : le deuxième enjeu</w:t>
      </w:r>
      <w:r w:rsidR="00CF18C7" w:rsidRPr="009F2004">
        <w:rPr>
          <w:color w:val="000000"/>
          <w:sz w:val="22"/>
          <w:szCs w:val="22"/>
        </w:rPr>
        <w:t>, d’ordre modal,</w:t>
      </w:r>
      <w:r w:rsidRPr="009F2004">
        <w:rPr>
          <w:color w:val="000000"/>
          <w:sz w:val="22"/>
          <w:szCs w:val="22"/>
        </w:rPr>
        <w:t xml:space="preserve"> </w:t>
      </w:r>
      <w:r w:rsidR="00477C77" w:rsidRPr="009F2004">
        <w:rPr>
          <w:color w:val="000000"/>
          <w:sz w:val="22"/>
          <w:szCs w:val="22"/>
        </w:rPr>
        <w:t>nous conduit</w:t>
      </w:r>
      <w:r w:rsidR="0056083C" w:rsidRPr="009F2004">
        <w:rPr>
          <w:color w:val="000000"/>
          <w:sz w:val="22"/>
          <w:szCs w:val="22"/>
        </w:rPr>
        <w:t xml:space="preserve"> </w:t>
      </w:r>
      <w:r w:rsidR="002D027A" w:rsidRPr="009F2004">
        <w:rPr>
          <w:color w:val="000000"/>
          <w:sz w:val="22"/>
          <w:szCs w:val="22"/>
        </w:rPr>
        <w:t xml:space="preserve">à émettre deux hypothèses : </w:t>
      </w:r>
    </w:p>
    <w:p w:rsidR="00477C77" w:rsidRPr="009F2004" w:rsidRDefault="0056083C" w:rsidP="009F2004">
      <w:pPr>
        <w:ind w:right="284" w:firstLine="284"/>
        <w:jc w:val="both"/>
        <w:rPr>
          <w:color w:val="000000"/>
          <w:sz w:val="22"/>
          <w:szCs w:val="22"/>
        </w:rPr>
      </w:pPr>
      <w:r w:rsidRPr="009F2004">
        <w:rPr>
          <w:color w:val="000000"/>
          <w:sz w:val="22"/>
          <w:szCs w:val="22"/>
        </w:rPr>
        <w:t xml:space="preserve">(1) </w:t>
      </w:r>
      <w:r w:rsidR="00EF4B5B" w:rsidRPr="009F2004">
        <w:rPr>
          <w:color w:val="000000"/>
          <w:sz w:val="22"/>
          <w:szCs w:val="22"/>
        </w:rPr>
        <w:t>toute réflexion sur la politique du nudge par l’incitation nous demande d’attribuer une place</w:t>
      </w:r>
      <w:r w:rsidR="00477C77" w:rsidRPr="009F2004">
        <w:rPr>
          <w:color w:val="000000"/>
          <w:sz w:val="22"/>
          <w:szCs w:val="22"/>
        </w:rPr>
        <w:t xml:space="preserve"> au savoir</w:t>
      </w:r>
      <w:r w:rsidR="002136B5">
        <w:rPr>
          <w:color w:val="000000"/>
          <w:sz w:val="22"/>
          <w:szCs w:val="22"/>
        </w:rPr>
        <w:t xml:space="preserve"> </w:t>
      </w:r>
      <w:r w:rsidR="00477C77" w:rsidRPr="009F2004">
        <w:rPr>
          <w:color w:val="000000"/>
          <w:sz w:val="22"/>
          <w:szCs w:val="22"/>
        </w:rPr>
        <w:t>faire</w:t>
      </w:r>
      <w:r w:rsidR="00EF4B5B" w:rsidRPr="009F2004">
        <w:rPr>
          <w:color w:val="000000"/>
          <w:sz w:val="22"/>
          <w:szCs w:val="22"/>
        </w:rPr>
        <w:t>, ce dernier concernant alors les modalités du déroulement du mouvement enclenché par l’incitation.</w:t>
      </w:r>
      <w:r w:rsidR="00477C77" w:rsidRPr="009F2004">
        <w:rPr>
          <w:color w:val="000000"/>
          <w:sz w:val="22"/>
          <w:szCs w:val="22"/>
        </w:rPr>
        <w:t xml:space="preserve"> </w:t>
      </w:r>
      <w:r w:rsidR="00EF4B5B" w:rsidRPr="009F2004">
        <w:rPr>
          <w:color w:val="000000"/>
          <w:sz w:val="22"/>
          <w:szCs w:val="22"/>
        </w:rPr>
        <w:t>Quelle est</w:t>
      </w:r>
      <w:r w:rsidR="00477C77" w:rsidRPr="009F2004">
        <w:rPr>
          <w:color w:val="000000"/>
          <w:sz w:val="22"/>
          <w:szCs w:val="22"/>
        </w:rPr>
        <w:t xml:space="preserve"> la part prise par les informations communiquées, mais aussi par les </w:t>
      </w:r>
      <w:r w:rsidR="00477C77" w:rsidRPr="009F2004">
        <w:rPr>
          <w:i/>
          <w:color w:val="000000"/>
          <w:sz w:val="22"/>
          <w:szCs w:val="22"/>
        </w:rPr>
        <w:lastRenderedPageBreak/>
        <w:t>instruments</w:t>
      </w:r>
      <w:r w:rsidR="00477C77" w:rsidRPr="009F2004">
        <w:rPr>
          <w:color w:val="000000"/>
          <w:sz w:val="22"/>
          <w:szCs w:val="22"/>
        </w:rPr>
        <w:t xml:space="preserve"> qui modalisent le futur sujet selon le savoir</w:t>
      </w:r>
      <w:r w:rsidR="002136B5">
        <w:rPr>
          <w:color w:val="000000"/>
          <w:sz w:val="22"/>
          <w:szCs w:val="22"/>
        </w:rPr>
        <w:t xml:space="preserve"> </w:t>
      </w:r>
      <w:r w:rsidR="00477C77" w:rsidRPr="009F2004">
        <w:rPr>
          <w:color w:val="000000"/>
          <w:sz w:val="22"/>
          <w:szCs w:val="22"/>
        </w:rPr>
        <w:t>faire,</w:t>
      </w:r>
      <w:r w:rsidR="00477C77" w:rsidRPr="009F2004">
        <w:rPr>
          <w:i/>
          <w:color w:val="000000"/>
          <w:sz w:val="22"/>
          <w:szCs w:val="22"/>
        </w:rPr>
        <w:t xml:space="preserve"> </w:t>
      </w:r>
      <w:r w:rsidR="00477C77" w:rsidRPr="009F2004">
        <w:rPr>
          <w:color w:val="000000"/>
          <w:sz w:val="22"/>
          <w:szCs w:val="22"/>
        </w:rPr>
        <w:t xml:space="preserve">par exemple les interfaces numériques dédiées aux technologies </w:t>
      </w:r>
      <w:r w:rsidR="00547E26" w:rsidRPr="00547E26">
        <w:rPr>
          <w:i/>
          <w:color w:val="000000"/>
          <w:sz w:val="22"/>
          <w:szCs w:val="22"/>
        </w:rPr>
        <w:t>S</w:t>
      </w:r>
      <w:r w:rsidR="00477C77" w:rsidRPr="00547E26">
        <w:rPr>
          <w:i/>
          <w:color w:val="000000"/>
          <w:sz w:val="22"/>
          <w:szCs w:val="22"/>
        </w:rPr>
        <w:t>mart-</w:t>
      </w:r>
      <w:r w:rsidR="00547E26" w:rsidRPr="00547E26">
        <w:rPr>
          <w:i/>
          <w:color w:val="000000"/>
          <w:sz w:val="22"/>
          <w:szCs w:val="22"/>
        </w:rPr>
        <w:t>G</w:t>
      </w:r>
      <w:r w:rsidR="00477C77" w:rsidRPr="00547E26">
        <w:rPr>
          <w:i/>
          <w:color w:val="000000"/>
          <w:sz w:val="22"/>
          <w:szCs w:val="22"/>
        </w:rPr>
        <w:t>rids</w:t>
      </w:r>
      <w:r w:rsidR="00477C77" w:rsidRPr="009F2004">
        <w:rPr>
          <w:color w:val="000000"/>
          <w:sz w:val="22"/>
          <w:szCs w:val="22"/>
        </w:rPr>
        <w:t xml:space="preserve"> ou réseaux électriques communicants (Lassalle, Amelot, Chauvin, Boutet-Diéye 2016)</w:t>
      </w:r>
      <w:r w:rsidR="00EF4B5B" w:rsidRPr="009F2004">
        <w:rPr>
          <w:color w:val="000000"/>
          <w:sz w:val="22"/>
          <w:szCs w:val="22"/>
        </w:rPr>
        <w:t> ?</w:t>
      </w:r>
      <w:r w:rsidR="00477C77" w:rsidRPr="009F2004">
        <w:rPr>
          <w:color w:val="000000"/>
          <w:sz w:val="22"/>
          <w:szCs w:val="22"/>
        </w:rPr>
        <w:t xml:space="preserve"> Il faudra se demander comment une politique du nudge, qui cherche, selon Thaler et Sunstein (2010 [2008]), à faire l’économie du devoir</w:t>
      </w:r>
      <w:r w:rsidR="002136B5">
        <w:rPr>
          <w:color w:val="000000"/>
          <w:sz w:val="22"/>
          <w:szCs w:val="22"/>
        </w:rPr>
        <w:t xml:space="preserve"> </w:t>
      </w:r>
      <w:r w:rsidR="00477C77" w:rsidRPr="009F2004">
        <w:rPr>
          <w:color w:val="000000"/>
          <w:sz w:val="22"/>
          <w:szCs w:val="22"/>
        </w:rPr>
        <w:t xml:space="preserve">faire, rend possible une interaction entre l’instance sujet et l’instrument qui soit efficiente et </w:t>
      </w:r>
      <w:r w:rsidR="003E305F" w:rsidRPr="009F2004">
        <w:rPr>
          <w:color w:val="000000"/>
          <w:sz w:val="22"/>
          <w:szCs w:val="22"/>
        </w:rPr>
        <w:t xml:space="preserve">aide à </w:t>
      </w:r>
      <w:r w:rsidR="00477C77" w:rsidRPr="009F2004">
        <w:rPr>
          <w:color w:val="000000"/>
          <w:sz w:val="22"/>
          <w:szCs w:val="22"/>
        </w:rPr>
        <w:t xml:space="preserve">atteindre l’objectif visé (par exemple </w:t>
      </w:r>
      <w:r w:rsidR="00365BFE">
        <w:rPr>
          <w:color w:val="000000"/>
          <w:sz w:val="22"/>
          <w:szCs w:val="22"/>
        </w:rPr>
        <w:t xml:space="preserve">la protection des ressources naturelles, </w:t>
      </w:r>
      <w:r w:rsidR="00477C77" w:rsidRPr="009F2004">
        <w:rPr>
          <w:color w:val="000000"/>
          <w:sz w:val="22"/>
          <w:szCs w:val="22"/>
        </w:rPr>
        <w:t>une alimentation saine</w:t>
      </w:r>
      <w:r w:rsidR="005D342A" w:rsidRPr="009F2004">
        <w:rPr>
          <w:color w:val="000000"/>
          <w:sz w:val="22"/>
          <w:szCs w:val="22"/>
        </w:rPr>
        <w:t>, une vie activ</w:t>
      </w:r>
      <w:r w:rsidR="00185F00" w:rsidRPr="009F2004">
        <w:rPr>
          <w:color w:val="000000"/>
          <w:sz w:val="22"/>
          <w:szCs w:val="22"/>
        </w:rPr>
        <w:t>e</w:t>
      </w:r>
      <w:r w:rsidR="00365BFE">
        <w:rPr>
          <w:color w:val="000000"/>
          <w:sz w:val="22"/>
          <w:szCs w:val="22"/>
        </w:rPr>
        <w:t xml:space="preserve"> ou</w:t>
      </w:r>
      <w:r w:rsidR="00E944B6">
        <w:rPr>
          <w:color w:val="000000"/>
          <w:sz w:val="22"/>
          <w:szCs w:val="22"/>
        </w:rPr>
        <w:t xml:space="preserve"> </w:t>
      </w:r>
      <w:r w:rsidR="00185F00" w:rsidRPr="009F2004">
        <w:rPr>
          <w:color w:val="000000"/>
          <w:sz w:val="22"/>
          <w:szCs w:val="22"/>
        </w:rPr>
        <w:t>un comportement citoyen</w:t>
      </w:r>
      <w:r w:rsidR="00477C77" w:rsidRPr="009F2004">
        <w:rPr>
          <w:color w:val="000000"/>
          <w:sz w:val="22"/>
          <w:szCs w:val="22"/>
        </w:rPr>
        <w:t xml:space="preserve">). Nous nous interrogerons sur les modalités qui font que l’interaction constitue un double processus d’instrumentation (de l’objet vers le sujet : </w:t>
      </w:r>
      <w:r w:rsidR="002136B5">
        <w:rPr>
          <w:color w:val="000000"/>
          <w:sz w:val="22"/>
          <w:szCs w:val="22"/>
        </w:rPr>
        <w:t xml:space="preserve">créativité et </w:t>
      </w:r>
      <w:r w:rsidR="00477C77" w:rsidRPr="009F2004">
        <w:rPr>
          <w:color w:val="000000"/>
          <w:sz w:val="22"/>
          <w:szCs w:val="22"/>
        </w:rPr>
        <w:t xml:space="preserve">émergence de schèmes d’utilisation) et d’instrumentalisation (du sujet vers l’objet : reconfiguration et </w:t>
      </w:r>
      <w:r w:rsidR="002136B5">
        <w:rPr>
          <w:color w:val="000000"/>
          <w:sz w:val="22"/>
          <w:szCs w:val="22"/>
        </w:rPr>
        <w:t>ré</w:t>
      </w:r>
      <w:r w:rsidR="00477C77" w:rsidRPr="009F2004">
        <w:rPr>
          <w:color w:val="000000"/>
          <w:sz w:val="22"/>
          <w:szCs w:val="22"/>
        </w:rPr>
        <w:t>invention) (</w:t>
      </w:r>
      <w:r w:rsidR="00487FEC">
        <w:rPr>
          <w:color w:val="000000"/>
          <w:sz w:val="22"/>
          <w:szCs w:val="22"/>
        </w:rPr>
        <w:t xml:space="preserve">Rabardel 1995 ; </w:t>
      </w:r>
      <w:r w:rsidR="00477C77" w:rsidRPr="009F2004">
        <w:rPr>
          <w:color w:val="000000"/>
          <w:sz w:val="22"/>
          <w:szCs w:val="22"/>
        </w:rPr>
        <w:t xml:space="preserve">Lassalle, Amelot, Chauvin, Boutet-Diéye 2016). Cela en vertu de l’idée que la politique du nudge, pour être couronnée de succès, doit mettre en place des instruments qui permettent à l’usager de les réinventer. </w:t>
      </w:r>
    </w:p>
    <w:p w:rsidR="006B3322" w:rsidRPr="009F2004" w:rsidRDefault="00EF4B5B" w:rsidP="009F2004">
      <w:pPr>
        <w:ind w:right="284" w:firstLine="284"/>
        <w:jc w:val="both"/>
        <w:rPr>
          <w:color w:val="000000"/>
          <w:sz w:val="22"/>
          <w:szCs w:val="22"/>
        </w:rPr>
      </w:pPr>
      <w:r w:rsidRPr="009F2004">
        <w:rPr>
          <w:color w:val="000000"/>
          <w:sz w:val="22"/>
          <w:szCs w:val="22"/>
        </w:rPr>
        <w:t>(2) Mais une deuxième hypothèse s’ajoute, elle-même redoutable :  il est possible/pertinent de parler</w:t>
      </w:r>
      <w:r w:rsidR="00477C77" w:rsidRPr="009F2004">
        <w:rPr>
          <w:color w:val="000000"/>
          <w:sz w:val="22"/>
          <w:szCs w:val="22"/>
        </w:rPr>
        <w:t xml:space="preserve"> d’une préséance du savoir</w:t>
      </w:r>
      <w:r w:rsidR="002136B5">
        <w:rPr>
          <w:color w:val="000000"/>
          <w:sz w:val="22"/>
          <w:szCs w:val="22"/>
        </w:rPr>
        <w:t xml:space="preserve"> </w:t>
      </w:r>
      <w:r w:rsidR="00477C77" w:rsidRPr="009F2004">
        <w:rPr>
          <w:color w:val="000000"/>
          <w:sz w:val="22"/>
          <w:szCs w:val="22"/>
        </w:rPr>
        <w:t xml:space="preserve">faire sur la modalité du </w:t>
      </w:r>
      <w:r w:rsidR="00477C77" w:rsidRPr="009F2004">
        <w:rPr>
          <w:i/>
          <w:color w:val="000000"/>
          <w:sz w:val="22"/>
          <w:szCs w:val="22"/>
        </w:rPr>
        <w:t>vouloir</w:t>
      </w:r>
      <w:r w:rsidR="002136B5">
        <w:rPr>
          <w:i/>
          <w:color w:val="000000"/>
          <w:sz w:val="22"/>
          <w:szCs w:val="22"/>
        </w:rPr>
        <w:t xml:space="preserve"> </w:t>
      </w:r>
      <w:r w:rsidR="00477C77" w:rsidRPr="009F2004">
        <w:rPr>
          <w:i/>
          <w:color w:val="000000"/>
          <w:sz w:val="22"/>
          <w:szCs w:val="22"/>
        </w:rPr>
        <w:t>faire</w:t>
      </w:r>
      <w:r w:rsidRPr="009F2004">
        <w:rPr>
          <w:color w:val="000000"/>
          <w:sz w:val="22"/>
          <w:szCs w:val="22"/>
        </w:rPr>
        <w:t>. Ou encore</w:t>
      </w:r>
      <w:r w:rsidR="003E305F" w:rsidRPr="009F2004">
        <w:rPr>
          <w:color w:val="000000"/>
          <w:sz w:val="22"/>
          <w:szCs w:val="22"/>
        </w:rPr>
        <w:t xml:space="preserve"> </w:t>
      </w:r>
      <w:r w:rsidRPr="009F2004">
        <w:rPr>
          <w:color w:val="000000"/>
          <w:sz w:val="22"/>
          <w:szCs w:val="22"/>
        </w:rPr>
        <w:t>: d</w:t>
      </w:r>
      <w:r w:rsidR="002D027A" w:rsidRPr="009F2004">
        <w:rPr>
          <w:color w:val="000000"/>
          <w:sz w:val="22"/>
          <w:szCs w:val="22"/>
        </w:rPr>
        <w:t>ans quelle mesure une conjoncture favorable, à la base d’un pouvoir</w:t>
      </w:r>
      <w:r w:rsidR="002136B5">
        <w:rPr>
          <w:color w:val="000000"/>
          <w:sz w:val="22"/>
          <w:szCs w:val="22"/>
        </w:rPr>
        <w:t xml:space="preserve"> </w:t>
      </w:r>
      <w:r w:rsidR="002D027A" w:rsidRPr="009F2004">
        <w:rPr>
          <w:color w:val="000000"/>
          <w:sz w:val="22"/>
          <w:szCs w:val="22"/>
        </w:rPr>
        <w:t>faire, et la modalisation selon le savoir</w:t>
      </w:r>
      <w:r w:rsidR="002136B5">
        <w:rPr>
          <w:color w:val="000000"/>
          <w:sz w:val="22"/>
          <w:szCs w:val="22"/>
        </w:rPr>
        <w:t xml:space="preserve"> </w:t>
      </w:r>
      <w:r w:rsidR="002D027A" w:rsidRPr="009F2004">
        <w:rPr>
          <w:color w:val="000000"/>
          <w:sz w:val="22"/>
          <w:szCs w:val="22"/>
        </w:rPr>
        <w:t xml:space="preserve">faire peuvent-elles agir sur, voire </w:t>
      </w:r>
      <w:r w:rsidR="002D027A" w:rsidRPr="009F2004">
        <w:rPr>
          <w:i/>
          <w:color w:val="000000"/>
          <w:sz w:val="22"/>
          <w:szCs w:val="22"/>
        </w:rPr>
        <w:t>susciter</w:t>
      </w:r>
      <w:r w:rsidR="002D027A" w:rsidRPr="009F2004">
        <w:rPr>
          <w:color w:val="000000"/>
          <w:sz w:val="22"/>
          <w:szCs w:val="22"/>
        </w:rPr>
        <w:t xml:space="preserve"> le vouloir</w:t>
      </w:r>
      <w:r w:rsidR="002136B5">
        <w:rPr>
          <w:color w:val="000000"/>
          <w:sz w:val="22"/>
          <w:szCs w:val="22"/>
        </w:rPr>
        <w:t xml:space="preserve"> </w:t>
      </w:r>
      <w:r w:rsidR="002D027A" w:rsidRPr="009F2004">
        <w:rPr>
          <w:color w:val="000000"/>
          <w:sz w:val="22"/>
          <w:szCs w:val="22"/>
        </w:rPr>
        <w:t xml:space="preserve">faire ? </w:t>
      </w:r>
      <w:r w:rsidR="006B3322" w:rsidRPr="009F2004">
        <w:rPr>
          <w:color w:val="000000"/>
          <w:sz w:val="22"/>
          <w:szCs w:val="22"/>
        </w:rPr>
        <w:t xml:space="preserve">Ainsi, la « motivation » singulière ne serait pas nécessairement antérieure ; elle pourrait être la </w:t>
      </w:r>
      <w:r w:rsidR="006B3322" w:rsidRPr="009F2004">
        <w:rPr>
          <w:i/>
          <w:color w:val="000000"/>
          <w:sz w:val="22"/>
          <w:szCs w:val="22"/>
        </w:rPr>
        <w:t>conséquence</w:t>
      </w:r>
      <w:r w:rsidR="006B3322" w:rsidRPr="009F2004">
        <w:rPr>
          <w:color w:val="000000"/>
          <w:sz w:val="22"/>
          <w:szCs w:val="22"/>
        </w:rPr>
        <w:t xml:space="preserve"> d’un pouvoir</w:t>
      </w:r>
      <w:r w:rsidR="002136B5">
        <w:rPr>
          <w:color w:val="000000"/>
          <w:sz w:val="22"/>
          <w:szCs w:val="22"/>
        </w:rPr>
        <w:t xml:space="preserve"> </w:t>
      </w:r>
      <w:r w:rsidR="006B3322" w:rsidRPr="009F2004">
        <w:rPr>
          <w:color w:val="000000"/>
          <w:sz w:val="22"/>
          <w:szCs w:val="22"/>
        </w:rPr>
        <w:t>faire et d’un savoir</w:t>
      </w:r>
      <w:r w:rsidR="002136B5">
        <w:rPr>
          <w:color w:val="000000"/>
          <w:sz w:val="22"/>
          <w:szCs w:val="22"/>
        </w:rPr>
        <w:t xml:space="preserve"> </w:t>
      </w:r>
      <w:r w:rsidR="006B3322" w:rsidRPr="009F2004">
        <w:rPr>
          <w:color w:val="000000"/>
          <w:sz w:val="22"/>
          <w:szCs w:val="22"/>
        </w:rPr>
        <w:t>faire</w:t>
      </w:r>
      <w:r w:rsidR="00961A87">
        <w:rPr>
          <w:color w:val="000000"/>
          <w:sz w:val="22"/>
          <w:szCs w:val="22"/>
        </w:rPr>
        <w:t xml:space="preserve">, </w:t>
      </w:r>
      <w:r w:rsidR="00185F00" w:rsidRPr="009F2004">
        <w:rPr>
          <w:color w:val="000000"/>
          <w:sz w:val="22"/>
          <w:szCs w:val="22"/>
        </w:rPr>
        <w:t>en particulier</w:t>
      </w:r>
      <w:r w:rsidR="006B3322" w:rsidRPr="009F2004">
        <w:rPr>
          <w:color w:val="000000"/>
          <w:sz w:val="22"/>
          <w:szCs w:val="22"/>
        </w:rPr>
        <w:t xml:space="preserve"> </w:t>
      </w:r>
      <w:r w:rsidR="00961A87">
        <w:rPr>
          <w:color w:val="000000"/>
          <w:sz w:val="22"/>
          <w:szCs w:val="22"/>
        </w:rPr>
        <w:t xml:space="preserve">s’ils sont </w:t>
      </w:r>
      <w:r w:rsidR="006B3322" w:rsidRPr="009F2004">
        <w:rPr>
          <w:color w:val="000000"/>
          <w:sz w:val="22"/>
          <w:szCs w:val="22"/>
        </w:rPr>
        <w:t xml:space="preserve">collectifs, </w:t>
      </w:r>
      <w:r w:rsidR="00185F00" w:rsidRPr="009F2004">
        <w:rPr>
          <w:color w:val="000000"/>
          <w:sz w:val="22"/>
          <w:szCs w:val="22"/>
        </w:rPr>
        <w:t xml:space="preserve">c’est-à-dire </w:t>
      </w:r>
      <w:r w:rsidR="006B3322" w:rsidRPr="009F2004">
        <w:rPr>
          <w:color w:val="000000"/>
          <w:sz w:val="22"/>
          <w:szCs w:val="22"/>
        </w:rPr>
        <w:t>témoign</w:t>
      </w:r>
      <w:r w:rsidR="00961A87">
        <w:rPr>
          <w:color w:val="000000"/>
          <w:sz w:val="22"/>
          <w:szCs w:val="22"/>
        </w:rPr>
        <w:t>e</w:t>
      </w:r>
      <w:r w:rsidR="006B3322" w:rsidRPr="009F2004">
        <w:rPr>
          <w:color w:val="000000"/>
          <w:sz w:val="22"/>
          <w:szCs w:val="22"/>
        </w:rPr>
        <w:t xml:space="preserve">nt d’un certain cadrage social. </w:t>
      </w:r>
    </w:p>
    <w:p w:rsidR="00066409" w:rsidRDefault="00CF18C7" w:rsidP="009F2004">
      <w:pPr>
        <w:ind w:right="284" w:firstLine="284"/>
        <w:jc w:val="both"/>
        <w:rPr>
          <w:color w:val="000000"/>
          <w:sz w:val="22"/>
          <w:szCs w:val="22"/>
        </w:rPr>
      </w:pPr>
      <w:r w:rsidRPr="009F2004">
        <w:rPr>
          <w:color w:val="000000"/>
          <w:sz w:val="22"/>
          <w:szCs w:val="22"/>
        </w:rPr>
        <w:t>Dans ce cas, est-ce s’inscrire en faux contre les propositions de Ricoeur ? Pas nécessairement, si l’on distingue, toujours à la suite de Ricoeur, le vouloir</w:t>
      </w:r>
      <w:r w:rsidR="00477C77" w:rsidRPr="009F2004">
        <w:rPr>
          <w:color w:val="000000"/>
          <w:sz w:val="22"/>
          <w:szCs w:val="22"/>
        </w:rPr>
        <w:t xml:space="preserve"> </w:t>
      </w:r>
      <w:r w:rsidR="002136B5">
        <w:rPr>
          <w:color w:val="000000"/>
          <w:sz w:val="22"/>
          <w:szCs w:val="22"/>
        </w:rPr>
        <w:t>« </w:t>
      </w:r>
      <w:r w:rsidR="005D342A" w:rsidRPr="009F2004">
        <w:rPr>
          <w:color w:val="000000"/>
          <w:sz w:val="22"/>
          <w:szCs w:val="22"/>
        </w:rPr>
        <w:t>in</w:t>
      </w:r>
      <w:r w:rsidR="00477C77" w:rsidRPr="009F2004">
        <w:rPr>
          <w:color w:val="000000"/>
          <w:sz w:val="22"/>
          <w:szCs w:val="22"/>
        </w:rPr>
        <w:t>volontaire</w:t>
      </w:r>
      <w:r w:rsidR="002136B5">
        <w:rPr>
          <w:color w:val="000000"/>
          <w:sz w:val="22"/>
          <w:szCs w:val="22"/>
        </w:rPr>
        <w:t> »</w:t>
      </w:r>
      <w:r w:rsidR="00477C77" w:rsidRPr="009F2004">
        <w:rPr>
          <w:color w:val="000000"/>
          <w:sz w:val="22"/>
          <w:szCs w:val="22"/>
        </w:rPr>
        <w:t xml:space="preserve"> du vouloir </w:t>
      </w:r>
      <w:r w:rsidR="002136B5">
        <w:rPr>
          <w:color w:val="000000"/>
          <w:sz w:val="22"/>
          <w:szCs w:val="22"/>
        </w:rPr>
        <w:t>« </w:t>
      </w:r>
      <w:r w:rsidR="00477C77" w:rsidRPr="009F2004">
        <w:rPr>
          <w:color w:val="000000"/>
          <w:sz w:val="22"/>
          <w:szCs w:val="22"/>
        </w:rPr>
        <w:t>volontaire</w:t>
      </w:r>
      <w:r w:rsidR="002136B5">
        <w:rPr>
          <w:color w:val="000000"/>
          <w:sz w:val="22"/>
          <w:szCs w:val="22"/>
        </w:rPr>
        <w:t> »</w:t>
      </w:r>
      <w:r w:rsidR="00477C77" w:rsidRPr="009F2004">
        <w:rPr>
          <w:color w:val="000000"/>
          <w:sz w:val="22"/>
          <w:szCs w:val="22"/>
        </w:rPr>
        <w:t xml:space="preserve">. Ricoeur note ceci dans </w:t>
      </w:r>
      <w:r w:rsidR="00477C77" w:rsidRPr="009F2004">
        <w:rPr>
          <w:i/>
          <w:color w:val="000000"/>
          <w:sz w:val="22"/>
          <w:szCs w:val="22"/>
        </w:rPr>
        <w:t>Philosophie de la volonté</w:t>
      </w:r>
      <w:r w:rsidR="00477C77" w:rsidRPr="009F2004">
        <w:rPr>
          <w:color w:val="000000"/>
          <w:sz w:val="22"/>
          <w:szCs w:val="22"/>
        </w:rPr>
        <w:t xml:space="preserve"> : </w:t>
      </w:r>
    </w:p>
    <w:p w:rsidR="002136B5" w:rsidRPr="009F2004" w:rsidRDefault="002136B5" w:rsidP="009F2004">
      <w:pPr>
        <w:ind w:right="284" w:firstLine="284"/>
        <w:jc w:val="both"/>
        <w:rPr>
          <w:rFonts w:eastAsia="Code2000"/>
          <w:sz w:val="22"/>
          <w:szCs w:val="22"/>
        </w:rPr>
      </w:pPr>
    </w:p>
    <w:p w:rsidR="00066409" w:rsidRPr="002136B5" w:rsidRDefault="00477C77" w:rsidP="002136B5">
      <w:pPr>
        <w:ind w:left="680" w:right="284" w:firstLine="284"/>
        <w:jc w:val="both"/>
        <w:rPr>
          <w:rFonts w:eastAsia="Code2000"/>
          <w:sz w:val="20"/>
          <w:szCs w:val="20"/>
        </w:rPr>
      </w:pPr>
      <w:r w:rsidRPr="002136B5">
        <w:rPr>
          <w:rFonts w:eastAsia="Code2000"/>
          <w:sz w:val="20"/>
          <w:szCs w:val="20"/>
        </w:rPr>
        <w:t>Ce cercle, à son tour, s'enracine dans la plus élémentaire des réciprocités, celle de l'involontaire et du volontaire, l'involontaire corporel étant la source existentielle de la première couche des valeurs et le résonateur affectif de toutes les valeurs même les plus fines (1988 [1950] : 75).</w:t>
      </w:r>
    </w:p>
    <w:p w:rsidR="002136B5" w:rsidRPr="002136B5" w:rsidRDefault="002136B5" w:rsidP="002136B5">
      <w:pPr>
        <w:ind w:left="680" w:right="284" w:firstLine="284"/>
        <w:jc w:val="both"/>
        <w:rPr>
          <w:rFonts w:eastAsia="Code2000"/>
          <w:sz w:val="20"/>
          <w:szCs w:val="20"/>
        </w:rPr>
      </w:pPr>
    </w:p>
    <w:p w:rsidR="003E305F" w:rsidRPr="009F2004" w:rsidRDefault="003E305F" w:rsidP="009F2004">
      <w:pPr>
        <w:ind w:right="284" w:firstLine="284"/>
        <w:jc w:val="both"/>
        <w:rPr>
          <w:color w:val="000000"/>
          <w:sz w:val="22"/>
          <w:szCs w:val="22"/>
        </w:rPr>
      </w:pPr>
      <w:r w:rsidRPr="009F2004">
        <w:rPr>
          <w:rFonts w:eastAsia="Code2000"/>
          <w:sz w:val="22"/>
          <w:szCs w:val="22"/>
        </w:rPr>
        <w:t xml:space="preserve">C’est conférer à l’incitation la base sensible (corporalisée) qu’elle réclame. L’hypothèse à vérifier est qu’il est possible d’organiser en séquence les phases de la sollicitation/attraction, de la captation de l’attention, de l’intéressement et de la production du désir/besoin. </w:t>
      </w:r>
    </w:p>
    <w:p w:rsidR="003E305F" w:rsidRPr="009F2004" w:rsidRDefault="003E305F" w:rsidP="009F2004">
      <w:pPr>
        <w:ind w:right="284" w:firstLine="284"/>
        <w:jc w:val="both"/>
        <w:rPr>
          <w:color w:val="000000"/>
          <w:sz w:val="22"/>
          <w:szCs w:val="22"/>
        </w:rPr>
      </w:pPr>
      <w:r w:rsidRPr="009F2004">
        <w:rPr>
          <w:color w:val="000000"/>
          <w:sz w:val="22"/>
          <w:szCs w:val="22"/>
        </w:rPr>
        <w:t>Sur ces bases, la réflexion se développera en trois temps.</w:t>
      </w:r>
      <w:r w:rsidR="00D27B29" w:rsidRPr="009F2004">
        <w:rPr>
          <w:color w:val="000000"/>
          <w:sz w:val="22"/>
          <w:szCs w:val="22"/>
        </w:rPr>
        <w:t xml:space="preserve"> </w:t>
      </w:r>
      <w:r w:rsidRPr="009F2004">
        <w:rPr>
          <w:color w:val="000000"/>
          <w:sz w:val="22"/>
          <w:szCs w:val="22"/>
        </w:rPr>
        <w:t xml:space="preserve">Tout d’abord, </w:t>
      </w:r>
      <w:r w:rsidR="002D027A" w:rsidRPr="009F2004">
        <w:rPr>
          <w:color w:val="000000"/>
          <w:sz w:val="22"/>
          <w:szCs w:val="22"/>
        </w:rPr>
        <w:t xml:space="preserve">dégageant les ramifications modales, </w:t>
      </w:r>
      <w:r w:rsidRPr="009F2004">
        <w:rPr>
          <w:color w:val="000000"/>
          <w:sz w:val="22"/>
          <w:szCs w:val="22"/>
        </w:rPr>
        <w:t>nous viserons à</w:t>
      </w:r>
      <w:r w:rsidR="002D027A" w:rsidRPr="009F2004">
        <w:rPr>
          <w:color w:val="000000"/>
          <w:sz w:val="22"/>
          <w:szCs w:val="22"/>
        </w:rPr>
        <w:t xml:space="preserve"> articuler les unes avec les autres l’incitation</w:t>
      </w:r>
      <w:r w:rsidR="007A60FC" w:rsidRPr="009F2004">
        <w:rPr>
          <w:color w:val="000000"/>
          <w:sz w:val="22"/>
          <w:szCs w:val="22"/>
        </w:rPr>
        <w:t xml:space="preserve"> selon Thaler et Sunstein</w:t>
      </w:r>
      <w:r w:rsidR="002D027A" w:rsidRPr="009F2004">
        <w:rPr>
          <w:color w:val="000000"/>
          <w:sz w:val="22"/>
          <w:szCs w:val="22"/>
        </w:rPr>
        <w:t xml:space="preserve">, la manipulation (au sens étroit du terme), la pression, l’influence et, enfin, la détermination, qui constituent autant de tactiques coiffées par la manipulation </w:t>
      </w:r>
      <w:r w:rsidR="007A60FC" w:rsidRPr="009F2004">
        <w:rPr>
          <w:color w:val="000000"/>
          <w:sz w:val="22"/>
          <w:szCs w:val="22"/>
        </w:rPr>
        <w:t>(au sens large)</w:t>
      </w:r>
      <w:r w:rsidR="00D43739">
        <w:rPr>
          <w:rStyle w:val="Appelnotedebasdep"/>
          <w:color w:val="000000"/>
          <w:sz w:val="22"/>
          <w:szCs w:val="22"/>
        </w:rPr>
        <w:footnoteReference w:id="1"/>
      </w:r>
      <w:r w:rsidR="007A60FC" w:rsidRPr="009F2004">
        <w:rPr>
          <w:color w:val="000000"/>
          <w:sz w:val="22"/>
          <w:szCs w:val="22"/>
        </w:rPr>
        <w:t xml:space="preserve"> </w:t>
      </w:r>
      <w:r w:rsidR="002D027A" w:rsidRPr="009F2004">
        <w:rPr>
          <w:color w:val="000000"/>
          <w:sz w:val="22"/>
          <w:szCs w:val="22"/>
        </w:rPr>
        <w:t xml:space="preserve">comme stratégie mettant en œuvre un programme d’action. </w:t>
      </w:r>
    </w:p>
    <w:p w:rsidR="005D342A" w:rsidRPr="009F2004" w:rsidRDefault="00D27B29" w:rsidP="009F2004">
      <w:pPr>
        <w:ind w:right="284" w:firstLine="284"/>
        <w:jc w:val="both"/>
        <w:rPr>
          <w:color w:val="000000"/>
          <w:sz w:val="22"/>
          <w:szCs w:val="22"/>
        </w:rPr>
      </w:pPr>
      <w:r w:rsidRPr="009F2004">
        <w:rPr>
          <w:color w:val="000000"/>
          <w:sz w:val="22"/>
          <w:szCs w:val="22"/>
        </w:rPr>
        <w:t xml:space="preserve">Une deuxième partie cherchera à distinguer </w:t>
      </w:r>
      <w:r w:rsidR="002D027A" w:rsidRPr="009F2004">
        <w:rPr>
          <w:color w:val="000000"/>
          <w:sz w:val="22"/>
          <w:szCs w:val="22"/>
        </w:rPr>
        <w:t>deux régimes</w:t>
      </w:r>
      <w:r w:rsidRPr="009F2004">
        <w:rPr>
          <w:color w:val="000000"/>
          <w:sz w:val="22"/>
          <w:szCs w:val="22"/>
        </w:rPr>
        <w:t xml:space="preserve"> </w:t>
      </w:r>
      <w:r w:rsidR="002D027A" w:rsidRPr="009F2004">
        <w:rPr>
          <w:color w:val="000000"/>
          <w:sz w:val="22"/>
          <w:szCs w:val="22"/>
        </w:rPr>
        <w:t>de l’incitation</w:t>
      </w:r>
      <w:r w:rsidRPr="009F2004">
        <w:rPr>
          <w:color w:val="000000"/>
          <w:sz w:val="22"/>
          <w:szCs w:val="22"/>
        </w:rPr>
        <w:t xml:space="preserve"> susceptibles de s’organiser à l’intérieur d’une séquence qui obéisse aux impératifs d’un programme</w:t>
      </w:r>
      <w:r w:rsidR="003469E6">
        <w:rPr>
          <w:color w:val="000000"/>
          <w:sz w:val="22"/>
          <w:szCs w:val="22"/>
        </w:rPr>
        <w:t xml:space="preserve">. </w:t>
      </w:r>
      <w:r w:rsidR="005D342A" w:rsidRPr="009F2004">
        <w:rPr>
          <w:color w:val="000000"/>
          <w:sz w:val="22"/>
          <w:szCs w:val="22"/>
        </w:rPr>
        <w:t>L</w:t>
      </w:r>
      <w:r w:rsidRPr="009F2004">
        <w:rPr>
          <w:color w:val="000000"/>
          <w:sz w:val="22"/>
          <w:szCs w:val="22"/>
        </w:rPr>
        <w:t>e développement se cristallis</w:t>
      </w:r>
      <w:r w:rsidR="005D342A" w:rsidRPr="009F2004">
        <w:rPr>
          <w:color w:val="000000"/>
          <w:sz w:val="22"/>
          <w:szCs w:val="22"/>
        </w:rPr>
        <w:t>era</w:t>
      </w:r>
      <w:r w:rsidRPr="009F2004">
        <w:rPr>
          <w:color w:val="000000"/>
          <w:sz w:val="22"/>
          <w:szCs w:val="22"/>
        </w:rPr>
        <w:t xml:space="preserve"> autour des </w:t>
      </w:r>
      <w:r w:rsidR="002D027A" w:rsidRPr="009F2004">
        <w:rPr>
          <w:color w:val="000000"/>
          <w:sz w:val="22"/>
          <w:szCs w:val="22"/>
        </w:rPr>
        <w:t>notions d’option</w:t>
      </w:r>
      <w:r w:rsidR="005D342A" w:rsidRPr="009F2004">
        <w:rPr>
          <w:color w:val="000000"/>
          <w:sz w:val="22"/>
          <w:szCs w:val="22"/>
        </w:rPr>
        <w:t xml:space="preserve"> – retenir une option </w:t>
      </w:r>
      <w:r w:rsidR="00D85D27">
        <w:rPr>
          <w:color w:val="000000"/>
          <w:sz w:val="22"/>
          <w:szCs w:val="22"/>
        </w:rPr>
        <w:t xml:space="preserve">et </w:t>
      </w:r>
      <w:r w:rsidR="005D342A" w:rsidRPr="009F2004">
        <w:rPr>
          <w:color w:val="000000"/>
          <w:sz w:val="22"/>
          <w:szCs w:val="22"/>
        </w:rPr>
        <w:t xml:space="preserve">prendre une option sur la suite </w:t>
      </w:r>
      <w:r w:rsidR="00D85D27" w:rsidRPr="009F2004">
        <w:rPr>
          <w:color w:val="000000"/>
          <w:sz w:val="22"/>
          <w:szCs w:val="22"/>
        </w:rPr>
        <w:t>–</w:t>
      </w:r>
      <w:r w:rsidR="002D027A" w:rsidRPr="009F2004">
        <w:rPr>
          <w:color w:val="000000"/>
          <w:sz w:val="22"/>
          <w:szCs w:val="22"/>
        </w:rPr>
        <w:t>, mais aussi de saillance et d’évidence sensible</w:t>
      </w:r>
      <w:r w:rsidRPr="009F2004">
        <w:rPr>
          <w:color w:val="000000"/>
          <w:sz w:val="22"/>
          <w:szCs w:val="22"/>
        </w:rPr>
        <w:t xml:space="preserve">. </w:t>
      </w:r>
    </w:p>
    <w:p w:rsidR="002D027A" w:rsidRDefault="002D027A" w:rsidP="009F2004">
      <w:pPr>
        <w:ind w:right="284" w:firstLine="284"/>
        <w:jc w:val="both"/>
        <w:rPr>
          <w:color w:val="000000"/>
          <w:sz w:val="22"/>
          <w:szCs w:val="22"/>
        </w:rPr>
      </w:pPr>
      <w:r w:rsidRPr="009F2004">
        <w:rPr>
          <w:color w:val="000000"/>
          <w:sz w:val="22"/>
          <w:szCs w:val="22"/>
        </w:rPr>
        <w:t xml:space="preserve">Enfin, dans la troisième partie, </w:t>
      </w:r>
      <w:r w:rsidR="005D342A" w:rsidRPr="009F2004">
        <w:rPr>
          <w:color w:val="000000"/>
          <w:sz w:val="22"/>
          <w:szCs w:val="22"/>
        </w:rPr>
        <w:t>nous nous attarderons</w:t>
      </w:r>
      <w:r w:rsidRPr="009F2004">
        <w:rPr>
          <w:color w:val="000000"/>
          <w:sz w:val="22"/>
          <w:szCs w:val="22"/>
        </w:rPr>
        <w:t xml:space="preserve"> sur le rôle joué par l’instrument qui, en créant les conditions de félicité ou de réussite du programme, contribue à pourvoir une instance sensible et cognitive du savoir</w:t>
      </w:r>
      <w:r w:rsidR="00D85D27">
        <w:rPr>
          <w:color w:val="000000"/>
          <w:sz w:val="22"/>
          <w:szCs w:val="22"/>
        </w:rPr>
        <w:t xml:space="preserve"> </w:t>
      </w:r>
      <w:r w:rsidRPr="009F2004">
        <w:rPr>
          <w:color w:val="000000"/>
          <w:sz w:val="22"/>
          <w:szCs w:val="22"/>
        </w:rPr>
        <w:t xml:space="preserve">faire nécessaire. Nous verrons en quoi le double processus d’instrumentation et d’instrumentalisation peut comporter une composante ludique. </w:t>
      </w:r>
    </w:p>
    <w:p w:rsidR="00B82D4F" w:rsidRPr="009F2004" w:rsidRDefault="00B82D4F" w:rsidP="009F2004">
      <w:pPr>
        <w:ind w:right="284" w:firstLine="284"/>
        <w:jc w:val="both"/>
        <w:rPr>
          <w:color w:val="000000"/>
          <w:sz w:val="22"/>
          <w:szCs w:val="22"/>
        </w:rPr>
      </w:pPr>
    </w:p>
    <w:p w:rsidR="002D027A" w:rsidRPr="00174224" w:rsidRDefault="00B82D4F" w:rsidP="00B82D4F">
      <w:pPr>
        <w:ind w:right="284"/>
        <w:jc w:val="both"/>
        <w:rPr>
          <w:b/>
          <w:color w:val="C00000"/>
          <w:sz w:val="22"/>
          <w:szCs w:val="22"/>
        </w:rPr>
      </w:pPr>
      <w:r w:rsidRPr="00174224">
        <w:rPr>
          <w:b/>
          <w:color w:val="C00000"/>
          <w:sz w:val="22"/>
          <w:szCs w:val="22"/>
        </w:rPr>
        <w:t>2</w:t>
      </w:r>
      <w:r w:rsidR="002D027A" w:rsidRPr="00174224">
        <w:rPr>
          <w:b/>
          <w:color w:val="C00000"/>
          <w:sz w:val="22"/>
          <w:szCs w:val="22"/>
        </w:rPr>
        <w:t>.</w:t>
      </w:r>
      <w:r w:rsidRPr="00174224">
        <w:rPr>
          <w:b/>
          <w:color w:val="C00000"/>
          <w:sz w:val="22"/>
          <w:szCs w:val="22"/>
        </w:rPr>
        <w:t xml:space="preserve"> </w:t>
      </w:r>
      <w:r w:rsidR="002D027A" w:rsidRPr="00174224">
        <w:rPr>
          <w:b/>
          <w:color w:val="C00000"/>
          <w:sz w:val="22"/>
          <w:szCs w:val="22"/>
        </w:rPr>
        <w:t>Les ramifications modales : l’incitation et les opérations connexes</w:t>
      </w:r>
    </w:p>
    <w:p w:rsidR="00B82D4F" w:rsidRDefault="002D027A" w:rsidP="00984645">
      <w:pPr>
        <w:ind w:right="284" w:firstLine="284"/>
        <w:jc w:val="both"/>
        <w:rPr>
          <w:color w:val="000000"/>
          <w:sz w:val="22"/>
          <w:szCs w:val="22"/>
        </w:rPr>
      </w:pPr>
      <w:r w:rsidRPr="009F2004">
        <w:rPr>
          <w:color w:val="000000"/>
          <w:sz w:val="22"/>
          <w:szCs w:val="22"/>
        </w:rPr>
        <w:t xml:space="preserve">Partons de la modélisation tensive </w:t>
      </w:r>
      <w:r w:rsidR="00E944B6">
        <w:rPr>
          <w:color w:val="000000"/>
          <w:sz w:val="22"/>
          <w:szCs w:val="22"/>
        </w:rPr>
        <w:t xml:space="preserve">(Fontanille &amp; Zilberberg 1998) </w:t>
      </w:r>
      <w:r w:rsidRPr="009F2004">
        <w:rPr>
          <w:color w:val="000000"/>
          <w:sz w:val="22"/>
          <w:szCs w:val="22"/>
        </w:rPr>
        <w:t>suivante, qui réactive l’architecture modale d’inspiration greimassienne</w:t>
      </w:r>
      <w:r w:rsidR="00D43739">
        <w:rPr>
          <w:color w:val="000000"/>
          <w:sz w:val="22"/>
          <w:szCs w:val="22"/>
        </w:rPr>
        <w:t xml:space="preserve"> </w:t>
      </w:r>
      <w:r w:rsidRPr="009F2004">
        <w:rPr>
          <w:color w:val="000000"/>
          <w:sz w:val="22"/>
          <w:szCs w:val="22"/>
        </w:rPr>
        <w:t xml:space="preserve">en mettant en avant la gradualité des degrés de l’intensification sensible et de l’occupation intelligible de l’espace et du temps : </w:t>
      </w:r>
      <w:r w:rsidRPr="009F2004">
        <w:rPr>
          <w:color w:val="222222"/>
          <w:sz w:val="22"/>
          <w:szCs w:val="22"/>
        </w:rPr>
        <w:tab/>
      </w:r>
      <w:r w:rsidRPr="009F2004">
        <w:rPr>
          <w:color w:val="222222"/>
          <w:sz w:val="22"/>
          <w:szCs w:val="22"/>
        </w:rPr>
        <w:tab/>
      </w:r>
      <w:r w:rsidRPr="009F2004">
        <w:rPr>
          <w:color w:val="222222"/>
          <w:sz w:val="22"/>
          <w:szCs w:val="22"/>
        </w:rPr>
        <w:tab/>
      </w:r>
      <w:r w:rsidRPr="009F2004">
        <w:rPr>
          <w:color w:val="222222"/>
          <w:sz w:val="22"/>
          <w:szCs w:val="22"/>
        </w:rPr>
        <w:tab/>
      </w:r>
      <w:r w:rsidRPr="009F2004">
        <w:rPr>
          <w:color w:val="222222"/>
          <w:sz w:val="22"/>
          <w:szCs w:val="22"/>
        </w:rPr>
        <w:tab/>
        <w:t xml:space="preserve">  </w:t>
      </w:r>
    </w:p>
    <w:p w:rsidR="00984645" w:rsidRDefault="00984645" w:rsidP="00984645">
      <w:pPr>
        <w:ind w:right="284" w:firstLine="284"/>
        <w:jc w:val="both"/>
        <w:rPr>
          <w:color w:val="000000"/>
          <w:sz w:val="22"/>
          <w:szCs w:val="22"/>
        </w:rPr>
      </w:pPr>
    </w:p>
    <w:p w:rsidR="00174224" w:rsidRDefault="00174224" w:rsidP="00984645">
      <w:pPr>
        <w:ind w:right="284" w:firstLine="284"/>
        <w:jc w:val="both"/>
        <w:rPr>
          <w:color w:val="000000"/>
          <w:sz w:val="22"/>
          <w:szCs w:val="22"/>
        </w:rPr>
      </w:pPr>
    </w:p>
    <w:p w:rsidR="00174224" w:rsidRDefault="00174224" w:rsidP="00984645">
      <w:pPr>
        <w:ind w:right="284" w:firstLine="284"/>
        <w:jc w:val="both"/>
        <w:rPr>
          <w:color w:val="000000"/>
          <w:sz w:val="22"/>
          <w:szCs w:val="22"/>
        </w:rPr>
      </w:pPr>
    </w:p>
    <w:p w:rsidR="00AE7455" w:rsidRDefault="00174224" w:rsidP="00F76350">
      <w:pPr>
        <w:shd w:val="clear" w:color="auto" w:fill="FFFFFF"/>
        <w:spacing w:after="120" w:line="224" w:lineRule="atLeast"/>
        <w:jc w:val="both"/>
        <w:rPr>
          <w:rFonts w:ascii="Arial" w:hAnsi="Arial" w:cs="Arial"/>
          <w:color w:val="000000"/>
        </w:rPr>
      </w:pPr>
      <w:r>
        <w:rPr>
          <w:noProof/>
          <w:sz w:val="17"/>
          <w:szCs w:val="17"/>
          <w:lang w:val="fr-FR"/>
        </w:rPr>
        <w:lastRenderedPageBreak/>
        <mc:AlternateContent>
          <mc:Choice Requires="wps">
            <w:drawing>
              <wp:anchor distT="0" distB="0" distL="114300" distR="114300" simplePos="0" relativeHeight="251661312" behindDoc="0" locked="0" layoutInCell="1" allowOverlap="1" wp14:anchorId="2C36978E" wp14:editId="4560E63F">
                <wp:simplePos x="0" y="0"/>
                <wp:positionH relativeFrom="column">
                  <wp:posOffset>1136015</wp:posOffset>
                </wp:positionH>
                <wp:positionV relativeFrom="paragraph">
                  <wp:posOffset>-1556385</wp:posOffset>
                </wp:positionV>
                <wp:extent cx="6036310" cy="3863975"/>
                <wp:effectExtent l="0" t="0" r="0" b="22225"/>
                <wp:wrapNone/>
                <wp:docPr id="15" name="Arc 15"/>
                <wp:cNvGraphicFramePr/>
                <a:graphic xmlns:a="http://schemas.openxmlformats.org/drawingml/2006/main">
                  <a:graphicData uri="http://schemas.microsoft.com/office/word/2010/wordprocessingShape">
                    <wps:wsp>
                      <wps:cNvSpPr/>
                      <wps:spPr>
                        <a:xfrm rot="10800000">
                          <a:off x="0" y="0"/>
                          <a:ext cx="6036310" cy="3863975"/>
                        </a:xfrm>
                        <a:prstGeom prst="arc">
                          <a:avLst>
                            <a:gd name="adj1" fmla="val 16199999"/>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15" o:spid="_x0000_s1026" style="position:absolute;margin-left:89.45pt;margin-top:-122.55pt;width:475.3pt;height:304.2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36310,386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" path="m3018154,nsc3594901,,4159572,105781,4645323,304820v866688,355131,1390988,968453,1390988,1627168l3018155,1931988v,-643996,-1,-1287992,-1,-1931988xem3018154,nfc3594901,,4159572,105781,4645323,304820v866688,355131,1390988,968453,1390988,1627168e" filled="f" strokecolor="black [3213]" strokeweight="1pt">
                <v:stroke joinstyle="miter"/>
                <v:path arrowok="t" o:connecttype="custom" o:connectlocs="3018154,0;4645323,304820;6036311,1931988" o:connectangles="0,0,0"/>
              </v:shape>
            </w:pict>
          </mc:Fallback>
        </mc:AlternateContent>
      </w:r>
      <w:r w:rsidR="00D85D27">
        <w:rPr>
          <w:noProof/>
          <w:sz w:val="17"/>
          <w:szCs w:val="17"/>
          <w:lang w:val="fr-FR"/>
        </w:rPr>
        <mc:AlternateContent>
          <mc:Choice Requires="wps">
            <w:drawing>
              <wp:anchor distT="0" distB="0" distL="114300" distR="114300" simplePos="0" relativeHeight="251662336" behindDoc="0" locked="0" layoutInCell="1" allowOverlap="1" wp14:anchorId="316DD98D" wp14:editId="5E3FC7D1">
                <wp:simplePos x="0" y="0"/>
                <wp:positionH relativeFrom="column">
                  <wp:posOffset>-846137</wp:posOffset>
                </wp:positionH>
                <wp:positionV relativeFrom="paragraph">
                  <wp:posOffset>-2897187</wp:posOffset>
                </wp:positionV>
                <wp:extent cx="4182745" cy="6233160"/>
                <wp:effectExtent l="0" t="0" r="11747" b="11748"/>
                <wp:wrapNone/>
                <wp:docPr id="16" name="Arc 16"/>
                <wp:cNvGraphicFramePr/>
                <a:graphic xmlns:a="http://schemas.openxmlformats.org/drawingml/2006/main">
                  <a:graphicData uri="http://schemas.microsoft.com/office/word/2010/wordprocessingShape">
                    <wps:wsp>
                      <wps:cNvSpPr/>
                      <wps:spPr>
                        <a:xfrm rot="5400000">
                          <a:off x="0" y="0"/>
                          <a:ext cx="4182745" cy="6233160"/>
                        </a:xfrm>
                        <a:prstGeom prst="arc">
                          <a:avLst>
                            <a:gd name="adj1" fmla="val 16373348"/>
                            <a:gd name="adj2" fmla="val 1275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6" o:spid="_x0000_s1026" style="position:absolute;margin-left:-66.6pt;margin-top:-228.1pt;width:329.35pt;height:490.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2745,623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" path="m2248216,8777nsc3359359,133308,4209854,1534220,4182096,3194216l2091373,3116580,2248216,8777xem2248216,8777nfc3359359,133308,4209854,1534220,4182096,3194216e" filled="f" strokecolor="black [3213]" strokeweight="1pt">
                <v:stroke joinstyle="miter"/>
                <v:path arrowok="t" o:connecttype="custom" o:connectlocs="2248216,8777;4182096,3194216" o:connectangles="0,0"/>
              </v:shape>
            </w:pict>
          </mc:Fallback>
        </mc:AlternateContent>
      </w:r>
    </w:p>
    <w:p w:rsidR="00AE7455" w:rsidRPr="00AE7455" w:rsidRDefault="00AE7455" w:rsidP="00AE7455">
      <w:pPr>
        <w:shd w:val="clear" w:color="auto" w:fill="FFFFFF"/>
        <w:spacing w:after="120" w:line="224" w:lineRule="atLeast"/>
        <w:rPr>
          <w:color w:val="000000"/>
          <w:sz w:val="22"/>
          <w:szCs w:val="22"/>
        </w:rPr>
      </w:pPr>
      <w:r w:rsidRPr="00AE7455">
        <w:rPr>
          <w:noProof/>
          <w:sz w:val="22"/>
          <w:szCs w:val="22"/>
          <w:lang w:val="fr-FR"/>
        </w:rPr>
        <w:drawing>
          <wp:anchor distT="0" distB="0" distL="114300" distR="114300" simplePos="0" relativeHeight="251659264" behindDoc="0" locked="0" layoutInCell="1" allowOverlap="1" wp14:anchorId="4FE195B6" wp14:editId="1C393977">
            <wp:simplePos x="0" y="0"/>
            <wp:positionH relativeFrom="column">
              <wp:posOffset>1079500</wp:posOffset>
            </wp:positionH>
            <wp:positionV relativeFrom="paragraph">
              <wp:posOffset>102553</wp:posOffset>
            </wp:positionV>
            <wp:extent cx="101600" cy="2019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necteur droit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2019300"/>
                    </a:xfrm>
                    <a:prstGeom prst="rect">
                      <a:avLst/>
                    </a:prstGeom>
                    <a:noFill/>
                  </pic:spPr>
                </pic:pic>
              </a:graphicData>
            </a:graphic>
            <wp14:sizeRelH relativeFrom="page">
              <wp14:pctWidth>0</wp14:pctWidth>
            </wp14:sizeRelH>
            <wp14:sizeRelV relativeFrom="page">
              <wp14:pctHeight>0</wp14:pctHeight>
            </wp14:sizeRelV>
          </wp:anchor>
        </w:drawing>
      </w:r>
      <w:r w:rsidRPr="00AE7455">
        <w:rPr>
          <w:color w:val="000000"/>
          <w:sz w:val="22"/>
          <w:szCs w:val="22"/>
        </w:rPr>
        <w:tab/>
      </w:r>
      <w:r w:rsidRPr="00AE7455">
        <w:rPr>
          <w:color w:val="000000"/>
          <w:sz w:val="22"/>
          <w:szCs w:val="22"/>
        </w:rPr>
        <w:tab/>
        <w:t>+</w:t>
      </w:r>
    </w:p>
    <w:p w:rsidR="00AE7455" w:rsidRPr="00AE7455" w:rsidRDefault="00AE7455" w:rsidP="00174224">
      <w:pPr>
        <w:shd w:val="clear" w:color="auto" w:fill="FFFFFF"/>
        <w:spacing w:line="224" w:lineRule="atLeast"/>
        <w:jc w:val="center"/>
        <w:rPr>
          <w:color w:val="222222"/>
          <w:sz w:val="22"/>
          <w:szCs w:val="22"/>
        </w:rPr>
      </w:pPr>
      <w:r w:rsidRPr="00AE7455">
        <w:rPr>
          <w:b/>
          <w:color w:val="000000"/>
          <w:sz w:val="22"/>
          <w:szCs w:val="22"/>
        </w:rPr>
        <w:t>Incitation  </w:t>
      </w:r>
      <w:r w:rsidRPr="00AE7455">
        <w:rPr>
          <w:color w:val="000000"/>
          <w:sz w:val="22"/>
          <w:szCs w:val="22"/>
        </w:rPr>
        <w:t>                                 </w:t>
      </w:r>
      <w:r w:rsidRPr="00AE7455">
        <w:rPr>
          <w:b/>
          <w:color w:val="000000"/>
          <w:sz w:val="22"/>
          <w:szCs w:val="22"/>
        </w:rPr>
        <w:t>Détermination</w:t>
      </w:r>
    </w:p>
    <w:p w:rsidR="00AE7455" w:rsidRPr="00AE7455" w:rsidRDefault="00AE7455" w:rsidP="00174224">
      <w:pPr>
        <w:shd w:val="clear" w:color="auto" w:fill="FFFFFF"/>
        <w:spacing w:line="224" w:lineRule="atLeast"/>
        <w:jc w:val="center"/>
        <w:rPr>
          <w:color w:val="222222"/>
          <w:sz w:val="22"/>
          <w:szCs w:val="22"/>
        </w:rPr>
      </w:pPr>
      <w:r w:rsidRPr="00AE7455">
        <w:rPr>
          <w:color w:val="000000"/>
          <w:sz w:val="22"/>
          <w:szCs w:val="22"/>
        </w:rPr>
        <w:t>Pouvoir-faire                             vouloir-faire</w:t>
      </w:r>
    </w:p>
    <w:p w:rsidR="00AE7455" w:rsidRPr="00AE7455" w:rsidRDefault="00AE7455" w:rsidP="00174224">
      <w:pPr>
        <w:shd w:val="clear" w:color="auto" w:fill="FFFFFF"/>
        <w:spacing w:line="224" w:lineRule="atLeast"/>
        <w:jc w:val="center"/>
        <w:rPr>
          <w:color w:val="000000"/>
          <w:sz w:val="22"/>
          <w:szCs w:val="22"/>
        </w:rPr>
      </w:pPr>
    </w:p>
    <w:p w:rsidR="00AE7455" w:rsidRPr="00AE7455" w:rsidRDefault="00AE7455" w:rsidP="00174224">
      <w:pPr>
        <w:shd w:val="clear" w:color="auto" w:fill="FFFFFF"/>
        <w:spacing w:line="224" w:lineRule="atLeast"/>
        <w:ind w:firstLine="708"/>
        <w:rPr>
          <w:b/>
          <w:color w:val="222222"/>
          <w:sz w:val="22"/>
          <w:szCs w:val="22"/>
        </w:rPr>
      </w:pPr>
      <w:r w:rsidRPr="00AE7455">
        <w:rPr>
          <w:color w:val="000000"/>
          <w:sz w:val="22"/>
          <w:szCs w:val="22"/>
        </w:rPr>
        <w:t>Intensité</w:t>
      </w:r>
      <w:r w:rsidRPr="00AE7455">
        <w:rPr>
          <w:b/>
          <w:color w:val="000000"/>
          <w:sz w:val="22"/>
          <w:szCs w:val="22"/>
        </w:rPr>
        <w:tab/>
      </w:r>
      <w:r w:rsidRPr="00AE7455">
        <w:rPr>
          <w:b/>
          <w:color w:val="000000"/>
          <w:sz w:val="22"/>
          <w:szCs w:val="22"/>
        </w:rPr>
        <w:tab/>
      </w:r>
      <w:r w:rsidRPr="00AE7455">
        <w:rPr>
          <w:b/>
          <w:color w:val="000000"/>
          <w:sz w:val="22"/>
          <w:szCs w:val="22"/>
        </w:rPr>
        <w:tab/>
      </w:r>
      <w:r w:rsidR="00F76350">
        <w:rPr>
          <w:b/>
          <w:color w:val="000000"/>
          <w:sz w:val="22"/>
          <w:szCs w:val="22"/>
        </w:rPr>
        <w:t xml:space="preserve">      </w:t>
      </w:r>
      <w:r w:rsidRPr="00AE7455">
        <w:rPr>
          <w:b/>
          <w:color w:val="000000"/>
          <w:sz w:val="22"/>
          <w:szCs w:val="22"/>
        </w:rPr>
        <w:t>Pression</w:t>
      </w:r>
    </w:p>
    <w:p w:rsidR="00AE7455" w:rsidRPr="00AE7455" w:rsidRDefault="00AE7455" w:rsidP="00174224">
      <w:pPr>
        <w:shd w:val="clear" w:color="auto" w:fill="FFFFFF"/>
        <w:spacing w:line="224" w:lineRule="atLeast"/>
        <w:jc w:val="center"/>
        <w:rPr>
          <w:color w:val="222222"/>
          <w:sz w:val="22"/>
          <w:szCs w:val="22"/>
        </w:rPr>
      </w:pPr>
      <w:r w:rsidRPr="00AE7455">
        <w:rPr>
          <w:color w:val="000000"/>
          <w:sz w:val="22"/>
          <w:szCs w:val="22"/>
        </w:rPr>
        <w:t>Vouloir ne pas faire</w:t>
      </w:r>
    </w:p>
    <w:p w:rsidR="00174224" w:rsidRDefault="00174224" w:rsidP="00174224">
      <w:pPr>
        <w:shd w:val="clear" w:color="auto" w:fill="FFFFFF"/>
        <w:spacing w:line="224" w:lineRule="atLeast"/>
        <w:jc w:val="center"/>
        <w:rPr>
          <w:b/>
          <w:color w:val="000000"/>
          <w:sz w:val="22"/>
          <w:szCs w:val="22"/>
        </w:rPr>
      </w:pPr>
    </w:p>
    <w:p w:rsidR="00174224" w:rsidRDefault="00174224" w:rsidP="00174224">
      <w:pPr>
        <w:shd w:val="clear" w:color="auto" w:fill="FFFFFF"/>
        <w:spacing w:line="224" w:lineRule="atLeast"/>
        <w:jc w:val="center"/>
        <w:rPr>
          <w:b/>
          <w:color w:val="000000"/>
          <w:sz w:val="22"/>
          <w:szCs w:val="22"/>
        </w:rPr>
      </w:pPr>
    </w:p>
    <w:p w:rsidR="00AE7455" w:rsidRPr="00AE7455" w:rsidRDefault="00AE7455" w:rsidP="00174224">
      <w:pPr>
        <w:shd w:val="clear" w:color="auto" w:fill="FFFFFF"/>
        <w:spacing w:line="224" w:lineRule="atLeast"/>
        <w:jc w:val="center"/>
        <w:rPr>
          <w:color w:val="222222"/>
          <w:sz w:val="22"/>
          <w:szCs w:val="22"/>
        </w:rPr>
      </w:pPr>
      <w:r w:rsidRPr="00AE7455">
        <w:rPr>
          <w:b/>
          <w:color w:val="000000"/>
          <w:sz w:val="22"/>
          <w:szCs w:val="22"/>
        </w:rPr>
        <w:t>Influence</w:t>
      </w:r>
      <w:r w:rsidRPr="00AE7455">
        <w:rPr>
          <w:color w:val="000000"/>
          <w:sz w:val="22"/>
          <w:szCs w:val="22"/>
        </w:rPr>
        <w:t>                                    </w:t>
      </w:r>
      <w:r w:rsidRPr="00AE7455">
        <w:rPr>
          <w:b/>
          <w:color w:val="000000"/>
          <w:sz w:val="22"/>
          <w:szCs w:val="22"/>
        </w:rPr>
        <w:t xml:space="preserve"> Manipulation</w:t>
      </w:r>
    </w:p>
    <w:p w:rsidR="00AE7455" w:rsidRPr="00AE7455" w:rsidRDefault="00AE7455" w:rsidP="00174224">
      <w:pPr>
        <w:shd w:val="clear" w:color="auto" w:fill="FFFFFF"/>
        <w:spacing w:line="224" w:lineRule="atLeast"/>
        <w:jc w:val="center"/>
        <w:rPr>
          <w:color w:val="222222"/>
          <w:sz w:val="22"/>
          <w:szCs w:val="22"/>
        </w:rPr>
      </w:pPr>
      <w:r w:rsidRPr="00AE7455">
        <w:rPr>
          <w:color w:val="000000"/>
          <w:sz w:val="22"/>
          <w:szCs w:val="22"/>
        </w:rPr>
        <w:t>Ne pas vouloir ne pas faire         devoir-faire</w:t>
      </w:r>
    </w:p>
    <w:p w:rsidR="00F76350" w:rsidRDefault="00AE7455" w:rsidP="00AE7455">
      <w:pPr>
        <w:shd w:val="clear" w:color="auto" w:fill="FFFFFF"/>
        <w:spacing w:after="120" w:line="224" w:lineRule="atLeast"/>
        <w:rPr>
          <w:color w:val="222222"/>
          <w:sz w:val="22"/>
          <w:szCs w:val="22"/>
        </w:rPr>
      </w:pPr>
      <w:r w:rsidRPr="00AE7455">
        <w:rPr>
          <w:color w:val="222222"/>
          <w:sz w:val="22"/>
          <w:szCs w:val="22"/>
        </w:rPr>
        <w:tab/>
      </w:r>
    </w:p>
    <w:p w:rsidR="00AE7455" w:rsidRPr="00AE7455" w:rsidRDefault="00174224" w:rsidP="00174224">
      <w:pPr>
        <w:shd w:val="clear" w:color="auto" w:fill="FFFFFF"/>
        <w:spacing w:after="120" w:line="224" w:lineRule="atLeast"/>
        <w:ind w:left="708" w:firstLine="708"/>
        <w:rPr>
          <w:color w:val="222222"/>
          <w:sz w:val="22"/>
          <w:szCs w:val="22"/>
        </w:rPr>
      </w:pPr>
      <w:r w:rsidRPr="00AE7455">
        <w:rPr>
          <w:noProof/>
          <w:sz w:val="22"/>
          <w:szCs w:val="22"/>
          <w:lang w:val="fr-FR"/>
        </w:rPr>
        <w:drawing>
          <wp:anchor distT="0" distB="0" distL="114300" distR="114300" simplePos="0" relativeHeight="251660288" behindDoc="0" locked="0" layoutInCell="1" allowOverlap="1" wp14:anchorId="30D2D7FF" wp14:editId="23B527A8">
            <wp:simplePos x="0" y="0"/>
            <wp:positionH relativeFrom="column">
              <wp:posOffset>1131570</wp:posOffset>
            </wp:positionH>
            <wp:positionV relativeFrom="paragraph">
              <wp:posOffset>75565</wp:posOffset>
            </wp:positionV>
            <wp:extent cx="3164205" cy="127000"/>
            <wp:effectExtent l="0" t="0" r="0"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necteur droi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205" cy="127000"/>
                    </a:xfrm>
                    <a:prstGeom prst="rect">
                      <a:avLst/>
                    </a:prstGeom>
                    <a:noFill/>
                  </pic:spPr>
                </pic:pic>
              </a:graphicData>
            </a:graphic>
            <wp14:sizeRelH relativeFrom="page">
              <wp14:pctWidth>0</wp14:pctWidth>
            </wp14:sizeRelH>
            <wp14:sizeRelV relativeFrom="page">
              <wp14:pctHeight>0</wp14:pctHeight>
            </wp14:sizeRelV>
          </wp:anchor>
        </w:drawing>
      </w:r>
      <w:r w:rsidR="00AE7455" w:rsidRPr="00AE7455">
        <w:rPr>
          <w:color w:val="222222"/>
          <w:sz w:val="22"/>
          <w:szCs w:val="22"/>
        </w:rPr>
        <w:t>-</w:t>
      </w:r>
    </w:p>
    <w:p w:rsidR="009F2004" w:rsidRPr="00B82D4F" w:rsidRDefault="00AE7455" w:rsidP="00B82D4F">
      <w:pPr>
        <w:shd w:val="clear" w:color="auto" w:fill="FFFFFF"/>
        <w:spacing w:after="120" w:line="224" w:lineRule="atLeast"/>
        <w:rPr>
          <w:color w:val="222222"/>
          <w:sz w:val="22"/>
          <w:szCs w:val="22"/>
        </w:rPr>
      </w:pPr>
      <w:r w:rsidRPr="00AE7455">
        <w:rPr>
          <w:color w:val="222222"/>
          <w:sz w:val="22"/>
          <w:szCs w:val="22"/>
        </w:rPr>
        <w:tab/>
      </w:r>
      <w:r w:rsidRPr="00AE7455">
        <w:rPr>
          <w:color w:val="222222"/>
          <w:sz w:val="22"/>
          <w:szCs w:val="22"/>
        </w:rPr>
        <w:tab/>
      </w:r>
      <w:r w:rsidRPr="00AE7455">
        <w:rPr>
          <w:color w:val="222222"/>
          <w:sz w:val="22"/>
          <w:szCs w:val="22"/>
        </w:rPr>
        <w:tab/>
        <w:t>-</w:t>
      </w:r>
      <w:r w:rsidRPr="00AE7455">
        <w:rPr>
          <w:color w:val="222222"/>
          <w:sz w:val="22"/>
          <w:szCs w:val="22"/>
        </w:rPr>
        <w:tab/>
      </w:r>
      <w:r w:rsidRPr="00AE7455">
        <w:rPr>
          <w:color w:val="222222"/>
          <w:sz w:val="22"/>
          <w:szCs w:val="22"/>
        </w:rPr>
        <w:tab/>
      </w:r>
      <w:r w:rsidRPr="00AE7455">
        <w:rPr>
          <w:b/>
          <w:color w:val="222222"/>
          <w:sz w:val="22"/>
          <w:szCs w:val="22"/>
        </w:rPr>
        <w:t xml:space="preserve">   </w:t>
      </w:r>
      <w:r w:rsidRPr="00AE7455">
        <w:rPr>
          <w:color w:val="222222"/>
          <w:sz w:val="22"/>
          <w:szCs w:val="22"/>
        </w:rPr>
        <w:t>Etendue</w:t>
      </w:r>
      <w:r w:rsidRPr="00AE7455">
        <w:rPr>
          <w:color w:val="222222"/>
          <w:sz w:val="22"/>
          <w:szCs w:val="22"/>
        </w:rPr>
        <w:tab/>
      </w:r>
      <w:r>
        <w:rPr>
          <w:color w:val="222222"/>
          <w:sz w:val="22"/>
          <w:szCs w:val="22"/>
        </w:rPr>
        <w:t xml:space="preserve">                          </w:t>
      </w:r>
      <w:r w:rsidR="00B82D4F">
        <w:rPr>
          <w:color w:val="222222"/>
          <w:sz w:val="22"/>
          <w:szCs w:val="22"/>
        </w:rPr>
        <w:t>+</w:t>
      </w:r>
    </w:p>
    <w:p w:rsidR="009F2004" w:rsidRDefault="009F2004" w:rsidP="006823D7">
      <w:pPr>
        <w:ind w:right="284"/>
        <w:jc w:val="both"/>
        <w:rPr>
          <w:color w:val="000000"/>
          <w:sz w:val="22"/>
          <w:szCs w:val="22"/>
        </w:rPr>
      </w:pPr>
    </w:p>
    <w:p w:rsidR="009F2004" w:rsidRDefault="009F2004" w:rsidP="009F2004">
      <w:pPr>
        <w:ind w:right="284" w:firstLine="284"/>
        <w:jc w:val="both"/>
        <w:rPr>
          <w:color w:val="000000"/>
          <w:sz w:val="22"/>
          <w:szCs w:val="22"/>
        </w:rPr>
      </w:pPr>
    </w:p>
    <w:p w:rsidR="002D027A" w:rsidRPr="009F2004" w:rsidRDefault="001D5E72" w:rsidP="009F2004">
      <w:pPr>
        <w:ind w:right="284" w:firstLine="284"/>
        <w:jc w:val="both"/>
        <w:rPr>
          <w:color w:val="000000"/>
          <w:sz w:val="22"/>
          <w:szCs w:val="22"/>
        </w:rPr>
      </w:pPr>
      <w:r w:rsidRPr="009F2004">
        <w:rPr>
          <w:color w:val="000000"/>
          <w:sz w:val="22"/>
          <w:szCs w:val="22"/>
        </w:rPr>
        <w:t>L’</w:t>
      </w:r>
      <w:r w:rsidR="002D027A" w:rsidRPr="009F2004">
        <w:rPr>
          <w:color w:val="000000"/>
          <w:sz w:val="22"/>
          <w:szCs w:val="22"/>
        </w:rPr>
        <w:t xml:space="preserve">aire définitionnelle </w:t>
      </w:r>
      <w:r w:rsidR="00B143D2" w:rsidRPr="009F2004">
        <w:rPr>
          <w:color w:val="000000"/>
          <w:sz w:val="22"/>
          <w:szCs w:val="22"/>
        </w:rPr>
        <w:t xml:space="preserve">de l’influence </w:t>
      </w:r>
      <w:r w:rsidR="002D027A" w:rsidRPr="009F2004">
        <w:rPr>
          <w:color w:val="000000"/>
          <w:sz w:val="22"/>
          <w:szCs w:val="22"/>
        </w:rPr>
        <w:t xml:space="preserve">se laisse circonscrire assez aisément, du moins en apparence : l’influence sur le récepteur – par exemple à travers des sémiotiques-objets antécédentes qui orientent, guident et infléchissent le processus de la production du sens subséquent – est cette action, intentionnelle ou non, personnelle ou impersonnelle, singulière ou collective, qui met en œuvre l’aspectualité inchoative, l’énergie se déployant étant faible et se monnayant à distance, en amont de toute entrée en contact. L’influence ne suscite pas de réaction vive : souvent imperceptible, souterraine, elle ne rencontre pas de résistance particulière. On pourra avancer que l’instance réceptrice, qui accueille les modifications, est modalisée en premier lieu selon le </w:t>
      </w:r>
      <w:r w:rsidR="002D027A" w:rsidRPr="009F2004">
        <w:rPr>
          <w:i/>
          <w:color w:val="000000"/>
          <w:sz w:val="22"/>
          <w:szCs w:val="22"/>
        </w:rPr>
        <w:t>ne pas vouloir ne pas faire</w:t>
      </w:r>
      <w:r w:rsidR="002D027A" w:rsidRPr="009F2004">
        <w:rPr>
          <w:color w:val="000000"/>
          <w:sz w:val="22"/>
          <w:szCs w:val="22"/>
        </w:rPr>
        <w:t xml:space="preserve">, considéré comme la traduction modale du </w:t>
      </w:r>
      <w:r w:rsidR="002D027A" w:rsidRPr="009F2004">
        <w:rPr>
          <w:i/>
          <w:color w:val="000000"/>
          <w:sz w:val="22"/>
          <w:szCs w:val="22"/>
        </w:rPr>
        <w:t>laisser (se) faire.</w:t>
      </w:r>
      <w:r w:rsidR="002D027A" w:rsidRPr="009F2004">
        <w:rPr>
          <w:color w:val="000000"/>
          <w:sz w:val="22"/>
          <w:szCs w:val="22"/>
        </w:rPr>
        <w:t xml:space="preserve"> </w:t>
      </w:r>
    </w:p>
    <w:p w:rsidR="002D027A" w:rsidRPr="009F2004" w:rsidRDefault="002D027A" w:rsidP="009F2004">
      <w:pPr>
        <w:ind w:right="284" w:firstLine="284"/>
        <w:jc w:val="both"/>
        <w:rPr>
          <w:i/>
          <w:color w:val="000000"/>
          <w:sz w:val="22"/>
          <w:szCs w:val="22"/>
        </w:rPr>
      </w:pPr>
      <w:r w:rsidRPr="009F2004">
        <w:rPr>
          <w:color w:val="000000"/>
          <w:sz w:val="22"/>
          <w:szCs w:val="22"/>
        </w:rPr>
        <w:t xml:space="preserve">Le </w:t>
      </w:r>
      <w:r w:rsidRPr="009F2004">
        <w:rPr>
          <w:i/>
          <w:color w:val="000000"/>
          <w:sz w:val="22"/>
          <w:szCs w:val="22"/>
        </w:rPr>
        <w:t>vouloir faire</w:t>
      </w:r>
      <w:r w:rsidRPr="009F2004">
        <w:rPr>
          <w:color w:val="000000"/>
          <w:sz w:val="22"/>
          <w:szCs w:val="22"/>
        </w:rPr>
        <w:t xml:space="preserve"> renverrait à une phase du processus de la </w:t>
      </w:r>
      <w:r w:rsidRPr="009F2004">
        <w:rPr>
          <w:i/>
          <w:color w:val="000000"/>
          <w:sz w:val="22"/>
          <w:szCs w:val="22"/>
        </w:rPr>
        <w:t>détermination</w:t>
      </w:r>
      <w:r w:rsidRPr="009F2004">
        <w:rPr>
          <w:color w:val="000000"/>
          <w:sz w:val="22"/>
          <w:szCs w:val="22"/>
        </w:rPr>
        <w:t>, approché en production mais aussi en réception, dès lors que les déterminations – par exemple génériques –</w:t>
      </w:r>
      <w:r w:rsidR="00D85D27">
        <w:rPr>
          <w:color w:val="000000"/>
          <w:sz w:val="22"/>
          <w:szCs w:val="22"/>
        </w:rPr>
        <w:t xml:space="preserve"> </w:t>
      </w:r>
      <w:r w:rsidRPr="009F2004">
        <w:rPr>
          <w:color w:val="000000"/>
          <w:sz w:val="22"/>
          <w:szCs w:val="22"/>
        </w:rPr>
        <w:t>sont non seulement accueillies favorablement, mais souhaitées et déclarées comme telle</w:t>
      </w:r>
      <w:r w:rsidR="00066409" w:rsidRPr="009F2004">
        <w:rPr>
          <w:color w:val="000000"/>
          <w:sz w:val="22"/>
          <w:szCs w:val="22"/>
        </w:rPr>
        <w:t>s</w:t>
      </w:r>
      <w:r w:rsidRPr="009F2004">
        <w:rPr>
          <w:color w:val="000000"/>
          <w:sz w:val="22"/>
          <w:szCs w:val="22"/>
        </w:rPr>
        <w:t xml:space="preserve">. La détermination a pour </w:t>
      </w:r>
      <w:r w:rsidR="007B39C4">
        <w:rPr>
          <w:color w:val="000000"/>
          <w:sz w:val="22"/>
          <w:szCs w:val="22"/>
        </w:rPr>
        <w:t>corollaire</w:t>
      </w:r>
      <w:r w:rsidR="007B39C4" w:rsidRPr="009F2004">
        <w:rPr>
          <w:color w:val="000000"/>
          <w:sz w:val="22"/>
          <w:szCs w:val="22"/>
        </w:rPr>
        <w:t xml:space="preserve"> </w:t>
      </w:r>
      <w:r w:rsidRPr="009F2004">
        <w:rPr>
          <w:color w:val="000000"/>
          <w:sz w:val="22"/>
          <w:szCs w:val="22"/>
        </w:rPr>
        <w:t xml:space="preserve">l’implication vive de l’instance d’énonciation confrontée au défi du dire ou du produire du nouveau (mémoriel ou inaugural) durable et transmissible. </w:t>
      </w:r>
    </w:p>
    <w:p w:rsidR="002D027A" w:rsidRPr="009F2004" w:rsidRDefault="002D027A" w:rsidP="009F2004">
      <w:pPr>
        <w:ind w:right="284" w:firstLine="284"/>
        <w:jc w:val="both"/>
        <w:rPr>
          <w:color w:val="000000"/>
          <w:sz w:val="22"/>
          <w:szCs w:val="22"/>
        </w:rPr>
      </w:pPr>
      <w:r w:rsidRPr="009F2004">
        <w:rPr>
          <w:color w:val="000000"/>
          <w:sz w:val="22"/>
          <w:szCs w:val="22"/>
        </w:rPr>
        <w:t xml:space="preserve">En revanche, le prédicat modal </w:t>
      </w:r>
      <w:r w:rsidRPr="009F2004">
        <w:rPr>
          <w:i/>
          <w:color w:val="000000"/>
          <w:sz w:val="22"/>
          <w:szCs w:val="22"/>
        </w:rPr>
        <w:t xml:space="preserve">vouloir ne pas faire </w:t>
      </w:r>
      <w:r w:rsidRPr="009F2004">
        <w:rPr>
          <w:color w:val="000000"/>
          <w:sz w:val="22"/>
          <w:szCs w:val="22"/>
        </w:rPr>
        <w:t xml:space="preserve">peut être présupposé par la réponse donnée à la </w:t>
      </w:r>
      <w:r w:rsidRPr="009F2004">
        <w:rPr>
          <w:i/>
          <w:color w:val="000000"/>
          <w:sz w:val="22"/>
          <w:szCs w:val="22"/>
        </w:rPr>
        <w:t>pression</w:t>
      </w:r>
      <w:r w:rsidRPr="009F2004">
        <w:rPr>
          <w:color w:val="000000"/>
          <w:sz w:val="22"/>
          <w:szCs w:val="22"/>
        </w:rPr>
        <w:t xml:space="preserve">, qui combine des degrés d’intensité et des degrés d’étendue moyens. Ou, plus exactement, un continuum est borné, d’un côté, par le </w:t>
      </w:r>
      <w:r w:rsidRPr="009F2004">
        <w:rPr>
          <w:i/>
          <w:color w:val="000000"/>
          <w:sz w:val="22"/>
          <w:szCs w:val="22"/>
        </w:rPr>
        <w:t>ne pas vouloir ne pas faire</w:t>
      </w:r>
      <w:r w:rsidRPr="009F2004">
        <w:rPr>
          <w:color w:val="000000"/>
          <w:sz w:val="22"/>
          <w:szCs w:val="22"/>
        </w:rPr>
        <w:t xml:space="preserve"> et, de l’autre, par le </w:t>
      </w:r>
      <w:r w:rsidRPr="009F2004">
        <w:rPr>
          <w:i/>
          <w:color w:val="000000"/>
          <w:sz w:val="22"/>
          <w:szCs w:val="22"/>
        </w:rPr>
        <w:t>vouloir ne pas faire</w:t>
      </w:r>
      <w:r w:rsidR="002F5954" w:rsidRPr="009F2004">
        <w:rPr>
          <w:color w:val="000000"/>
          <w:sz w:val="22"/>
          <w:szCs w:val="22"/>
        </w:rPr>
        <w:t>, c</w:t>
      </w:r>
      <w:r w:rsidRPr="009F2004">
        <w:rPr>
          <w:color w:val="000000"/>
          <w:sz w:val="22"/>
          <w:szCs w:val="22"/>
        </w:rPr>
        <w:t>ette dernière position correspond</w:t>
      </w:r>
      <w:r w:rsidR="002F5954" w:rsidRPr="009F2004">
        <w:rPr>
          <w:color w:val="000000"/>
          <w:sz w:val="22"/>
          <w:szCs w:val="22"/>
        </w:rPr>
        <w:t>ant</w:t>
      </w:r>
      <w:r w:rsidRPr="009F2004">
        <w:rPr>
          <w:color w:val="000000"/>
          <w:sz w:val="22"/>
          <w:szCs w:val="22"/>
        </w:rPr>
        <w:t xml:space="preserve"> à la réaction ultime de celui qui ou de ce qui, plutôt que de céder devant la pression, décide d’y résister :  par exemple, la « force exercée sur une surface par un fluide, un corps pesant » (</w:t>
      </w:r>
      <w:r w:rsidRPr="009F2004">
        <w:rPr>
          <w:i/>
          <w:color w:val="000000"/>
          <w:sz w:val="22"/>
          <w:szCs w:val="22"/>
        </w:rPr>
        <w:t>Trésor de la langue française</w:t>
      </w:r>
      <w:r w:rsidRPr="009F2004">
        <w:rPr>
          <w:color w:val="000000"/>
          <w:sz w:val="22"/>
          <w:szCs w:val="22"/>
        </w:rPr>
        <w:t xml:space="preserve">, désormais : </w:t>
      </w:r>
      <w:r w:rsidRPr="009F2004">
        <w:rPr>
          <w:i/>
          <w:color w:val="000000"/>
          <w:sz w:val="22"/>
          <w:szCs w:val="22"/>
        </w:rPr>
        <w:t>TLF</w:t>
      </w:r>
      <w:r w:rsidRPr="009F2004">
        <w:rPr>
          <w:color w:val="000000"/>
          <w:sz w:val="22"/>
          <w:szCs w:val="22"/>
        </w:rPr>
        <w:t xml:space="preserve">), par un rayonnement électromagnétique, par la masse d’air, par le sang qui circule dans les artères, par la main ou la chaussure, mais aussi par la pression psychologique. </w:t>
      </w:r>
    </w:p>
    <w:p w:rsidR="002D027A" w:rsidRPr="009F2004" w:rsidRDefault="002D027A" w:rsidP="009F2004">
      <w:pPr>
        <w:ind w:right="284" w:firstLine="284"/>
        <w:jc w:val="both"/>
        <w:rPr>
          <w:sz w:val="22"/>
          <w:szCs w:val="22"/>
        </w:rPr>
      </w:pPr>
      <w:r w:rsidRPr="009F2004">
        <w:rPr>
          <w:color w:val="000000"/>
          <w:sz w:val="22"/>
          <w:szCs w:val="22"/>
        </w:rPr>
        <w:t>Même quand l’emploi du lexème « pression » est figuré, nous gagnons à considérer l’interaction de corps-contenants médiée par leurs enveloppes respectives</w:t>
      </w:r>
      <w:r w:rsidR="007A60FC" w:rsidRPr="009F2004">
        <w:rPr>
          <w:color w:val="000000"/>
          <w:sz w:val="22"/>
          <w:szCs w:val="22"/>
        </w:rPr>
        <w:t xml:space="preserve"> (Fontanille 2011)</w:t>
      </w:r>
      <w:r w:rsidRPr="009F2004">
        <w:rPr>
          <w:color w:val="000000"/>
          <w:sz w:val="22"/>
          <w:szCs w:val="22"/>
        </w:rPr>
        <w:t>. La pression peut être appréhendée d’un point de vue sémiotique à travers le résultat produit, qui est perceptible – par exemple la peau qui se rétracte, fût-ce brièvement, ou la pression artérielle, ou un état d’âme. Elle peut laisser des traces, c’est-à-dire des inscriptions-apport</w:t>
      </w:r>
      <w:r w:rsidR="00FC6AD0">
        <w:rPr>
          <w:color w:val="000000"/>
          <w:sz w:val="22"/>
          <w:szCs w:val="22"/>
        </w:rPr>
        <w:t>s</w:t>
      </w:r>
      <w:r w:rsidRPr="009F2004">
        <w:rPr>
          <w:color w:val="000000"/>
          <w:sz w:val="22"/>
          <w:szCs w:val="22"/>
        </w:rPr>
        <w:t xml:space="preserve"> sur un support. La trace comme </w:t>
      </w:r>
      <w:r w:rsidRPr="009F2004">
        <w:rPr>
          <w:sz w:val="22"/>
          <w:szCs w:val="22"/>
        </w:rPr>
        <w:t xml:space="preserve">lieu d’« incarnation » d’une dynamique énonciative indissociable de la matérialité de la substance </w:t>
      </w:r>
      <w:r w:rsidRPr="009F2004">
        <w:rPr>
          <w:color w:val="000000"/>
          <w:sz w:val="22"/>
          <w:szCs w:val="22"/>
        </w:rPr>
        <w:t xml:space="preserve">se distingue de la marque par </w:t>
      </w:r>
      <w:r w:rsidRPr="009F2004">
        <w:rPr>
          <w:sz w:val="22"/>
          <w:szCs w:val="22"/>
        </w:rPr>
        <w:t xml:space="preserve">son caractère toujours temporaire, inachevé et changeant ; elle est à la fois mémorielle et menacée par l’effacement.      </w:t>
      </w:r>
    </w:p>
    <w:p w:rsidR="002D027A" w:rsidRPr="009F2004" w:rsidRDefault="002F5954" w:rsidP="009F2004">
      <w:pPr>
        <w:ind w:right="284" w:firstLine="284"/>
        <w:jc w:val="both"/>
        <w:rPr>
          <w:color w:val="000000"/>
          <w:sz w:val="22"/>
          <w:szCs w:val="22"/>
        </w:rPr>
      </w:pPr>
      <w:r w:rsidRPr="009F2004">
        <w:rPr>
          <w:color w:val="000000"/>
          <w:sz w:val="22"/>
          <w:szCs w:val="22"/>
        </w:rPr>
        <w:t>Sur ces bases, distinguer la pression et l’incitation relève du défi, tant leur proximité conceptuelle paraît évidente</w:t>
      </w:r>
      <w:r w:rsidR="002D027A" w:rsidRPr="009F2004">
        <w:rPr>
          <w:color w:val="000000"/>
          <w:sz w:val="22"/>
          <w:szCs w:val="22"/>
        </w:rPr>
        <w:t>.</w:t>
      </w:r>
      <w:r w:rsidR="00FC6AD0">
        <w:rPr>
          <w:color w:val="000000"/>
          <w:sz w:val="22"/>
          <w:szCs w:val="22"/>
        </w:rPr>
        <w:t xml:space="preserve"> </w:t>
      </w:r>
      <w:r w:rsidRPr="009F2004">
        <w:rPr>
          <w:color w:val="000000"/>
          <w:sz w:val="22"/>
          <w:szCs w:val="22"/>
        </w:rPr>
        <w:t xml:space="preserve">La </w:t>
      </w:r>
      <w:r w:rsidR="002D027A" w:rsidRPr="009F2004">
        <w:rPr>
          <w:color w:val="000000"/>
          <w:sz w:val="22"/>
          <w:szCs w:val="22"/>
        </w:rPr>
        <w:t xml:space="preserve">différence </w:t>
      </w:r>
      <w:r w:rsidRPr="009F2004">
        <w:rPr>
          <w:color w:val="000000"/>
          <w:sz w:val="22"/>
          <w:szCs w:val="22"/>
        </w:rPr>
        <w:t>peut toutefois être argumentée</w:t>
      </w:r>
      <w:r w:rsidR="002D027A" w:rsidRPr="009F2004">
        <w:rPr>
          <w:color w:val="000000"/>
          <w:sz w:val="22"/>
          <w:szCs w:val="22"/>
        </w:rPr>
        <w:t xml:space="preserve"> diversement, </w:t>
      </w:r>
      <w:r w:rsidR="00066409" w:rsidRPr="009F2004">
        <w:rPr>
          <w:color w:val="000000"/>
          <w:sz w:val="22"/>
          <w:szCs w:val="22"/>
        </w:rPr>
        <w:t>des points de vue</w:t>
      </w:r>
      <w:r w:rsidR="00961A87">
        <w:rPr>
          <w:color w:val="000000"/>
          <w:sz w:val="22"/>
          <w:szCs w:val="22"/>
        </w:rPr>
        <w:t xml:space="preserve"> </w:t>
      </w:r>
      <w:r w:rsidR="002D027A" w:rsidRPr="009F2004">
        <w:rPr>
          <w:color w:val="000000"/>
          <w:sz w:val="22"/>
          <w:szCs w:val="22"/>
        </w:rPr>
        <w:t>de la production</w:t>
      </w:r>
      <w:r w:rsidR="00066409" w:rsidRPr="009F2004">
        <w:rPr>
          <w:color w:val="000000"/>
          <w:sz w:val="22"/>
          <w:szCs w:val="22"/>
        </w:rPr>
        <w:t xml:space="preserve"> et de </w:t>
      </w:r>
      <w:r w:rsidR="002D027A" w:rsidRPr="009F2004">
        <w:rPr>
          <w:color w:val="000000"/>
          <w:sz w:val="22"/>
          <w:szCs w:val="22"/>
        </w:rPr>
        <w:t xml:space="preserve">la réception. </w:t>
      </w:r>
    </w:p>
    <w:p w:rsidR="00571AF8" w:rsidRPr="009F2004" w:rsidRDefault="002F5954" w:rsidP="009F2004">
      <w:pPr>
        <w:ind w:right="284" w:firstLine="284"/>
        <w:jc w:val="both"/>
        <w:rPr>
          <w:color w:val="000000"/>
          <w:sz w:val="22"/>
          <w:szCs w:val="22"/>
        </w:rPr>
      </w:pPr>
      <w:r w:rsidRPr="009F2004">
        <w:rPr>
          <w:color w:val="000000"/>
          <w:sz w:val="22"/>
          <w:szCs w:val="22"/>
        </w:rPr>
        <w:t>On peut confier aux</w:t>
      </w:r>
      <w:r w:rsidR="002D027A" w:rsidRPr="009F2004">
        <w:rPr>
          <w:color w:val="000000"/>
          <w:sz w:val="22"/>
          <w:szCs w:val="22"/>
        </w:rPr>
        <w:t xml:space="preserve"> dichotomies effort </w:t>
      </w:r>
      <w:r w:rsidR="002D027A" w:rsidRPr="009F2004">
        <w:rPr>
          <w:i/>
          <w:color w:val="000000"/>
          <w:sz w:val="22"/>
          <w:szCs w:val="22"/>
        </w:rPr>
        <w:t xml:space="preserve">vs </w:t>
      </w:r>
      <w:r w:rsidR="002D027A" w:rsidRPr="009F2004">
        <w:rPr>
          <w:color w:val="000000"/>
          <w:sz w:val="22"/>
          <w:szCs w:val="22"/>
        </w:rPr>
        <w:t xml:space="preserve">abandon, tension </w:t>
      </w:r>
      <w:r w:rsidR="002D027A" w:rsidRPr="009F2004">
        <w:rPr>
          <w:i/>
          <w:color w:val="000000"/>
          <w:sz w:val="22"/>
          <w:szCs w:val="22"/>
        </w:rPr>
        <w:t>vs</w:t>
      </w:r>
      <w:r w:rsidR="002D027A" w:rsidRPr="009F2004">
        <w:rPr>
          <w:color w:val="000000"/>
          <w:sz w:val="22"/>
          <w:szCs w:val="22"/>
        </w:rPr>
        <w:t xml:space="preserve"> détente, difficulté </w:t>
      </w:r>
      <w:r w:rsidR="002D027A" w:rsidRPr="009F2004">
        <w:rPr>
          <w:i/>
          <w:color w:val="000000"/>
          <w:sz w:val="22"/>
          <w:szCs w:val="22"/>
        </w:rPr>
        <w:t>vs</w:t>
      </w:r>
      <w:r w:rsidR="002D027A" w:rsidRPr="009F2004">
        <w:rPr>
          <w:color w:val="000000"/>
          <w:sz w:val="22"/>
          <w:szCs w:val="22"/>
        </w:rPr>
        <w:t xml:space="preserve"> facilité, poids </w:t>
      </w:r>
      <w:r w:rsidR="002D027A" w:rsidRPr="009F2004">
        <w:rPr>
          <w:i/>
          <w:color w:val="000000"/>
          <w:sz w:val="22"/>
          <w:szCs w:val="22"/>
        </w:rPr>
        <w:t>vs</w:t>
      </w:r>
      <w:r w:rsidR="002D027A" w:rsidRPr="009F2004">
        <w:rPr>
          <w:color w:val="000000"/>
          <w:sz w:val="22"/>
          <w:szCs w:val="22"/>
        </w:rPr>
        <w:t xml:space="preserve"> légèreté</w:t>
      </w:r>
      <w:r w:rsidRPr="009F2004">
        <w:rPr>
          <w:color w:val="000000"/>
          <w:sz w:val="22"/>
          <w:szCs w:val="22"/>
        </w:rPr>
        <w:t xml:space="preserve"> le soin d’une première caractérisation. </w:t>
      </w:r>
      <w:r w:rsidR="00571AF8" w:rsidRPr="009F2004">
        <w:rPr>
          <w:color w:val="000000"/>
          <w:sz w:val="22"/>
          <w:szCs w:val="22"/>
        </w:rPr>
        <w:t>Par contraste avec l</w:t>
      </w:r>
      <w:r w:rsidRPr="009F2004">
        <w:rPr>
          <w:color w:val="000000"/>
          <w:sz w:val="22"/>
          <w:szCs w:val="22"/>
        </w:rPr>
        <w:t xml:space="preserve">’aire définitionnelle de la pression </w:t>
      </w:r>
      <w:r w:rsidR="00571AF8" w:rsidRPr="009F2004">
        <w:rPr>
          <w:color w:val="000000"/>
          <w:sz w:val="22"/>
          <w:szCs w:val="22"/>
        </w:rPr>
        <w:t>–</w:t>
      </w:r>
      <w:r w:rsidR="00FC6AD0">
        <w:rPr>
          <w:color w:val="000000"/>
          <w:sz w:val="22"/>
          <w:szCs w:val="22"/>
        </w:rPr>
        <w:t xml:space="preserve"> </w:t>
      </w:r>
      <w:r w:rsidR="002D027A" w:rsidRPr="009F2004">
        <w:rPr>
          <w:color w:val="000000"/>
          <w:sz w:val="22"/>
          <w:szCs w:val="22"/>
        </w:rPr>
        <w:t xml:space="preserve">A. « Action de presser ou de pousser avec effort ; résultat de cette action » et B. </w:t>
      </w:r>
      <w:r w:rsidR="002D027A" w:rsidRPr="009F2004">
        <w:rPr>
          <w:color w:val="000000"/>
          <w:sz w:val="22"/>
          <w:szCs w:val="22"/>
        </w:rPr>
        <w:lastRenderedPageBreak/>
        <w:t>(phys.) « Force exercée normalement sur une surface par un fluide, un corps pesant ; mesure de cette force rapportée à l’unité de surface »</w:t>
      </w:r>
      <w:r w:rsidRPr="009F2004">
        <w:rPr>
          <w:color w:val="000000"/>
          <w:sz w:val="22"/>
          <w:szCs w:val="22"/>
        </w:rPr>
        <w:t xml:space="preserve"> (</w:t>
      </w:r>
      <w:r w:rsidRPr="009F2004">
        <w:rPr>
          <w:i/>
          <w:color w:val="000000"/>
          <w:sz w:val="22"/>
          <w:szCs w:val="22"/>
        </w:rPr>
        <w:t>TLF</w:t>
      </w:r>
      <w:r w:rsidRPr="009F2004">
        <w:rPr>
          <w:color w:val="000000"/>
          <w:sz w:val="22"/>
          <w:szCs w:val="22"/>
        </w:rPr>
        <w:t>) –</w:t>
      </w:r>
      <w:r w:rsidR="00571AF8" w:rsidRPr="009F2004">
        <w:rPr>
          <w:color w:val="000000"/>
          <w:sz w:val="22"/>
          <w:szCs w:val="22"/>
        </w:rPr>
        <w:t>, les contraires – l’aisance et la légèreté –</w:t>
      </w:r>
      <w:r w:rsidR="00D85D27">
        <w:rPr>
          <w:color w:val="000000"/>
          <w:sz w:val="22"/>
          <w:szCs w:val="22"/>
        </w:rPr>
        <w:t xml:space="preserve"> </w:t>
      </w:r>
      <w:r w:rsidR="00571AF8" w:rsidRPr="009F2004">
        <w:rPr>
          <w:color w:val="000000"/>
          <w:sz w:val="22"/>
          <w:szCs w:val="22"/>
        </w:rPr>
        <w:t xml:space="preserve">caractérisent l’incitation d’autant plus aisément que </w:t>
      </w:r>
      <w:r w:rsidR="00D85D27">
        <w:rPr>
          <w:color w:val="000000"/>
          <w:sz w:val="22"/>
          <w:szCs w:val="22"/>
        </w:rPr>
        <w:t>celle-ci</w:t>
      </w:r>
      <w:r w:rsidR="002D027A" w:rsidRPr="009F2004">
        <w:rPr>
          <w:color w:val="000000"/>
          <w:sz w:val="22"/>
          <w:szCs w:val="22"/>
        </w:rPr>
        <w:t xml:space="preserve"> </w:t>
      </w:r>
      <w:r w:rsidR="00571AF8" w:rsidRPr="009F2004">
        <w:rPr>
          <w:color w:val="000000"/>
          <w:sz w:val="22"/>
          <w:szCs w:val="22"/>
        </w:rPr>
        <w:t>peut être</w:t>
      </w:r>
      <w:r w:rsidR="002D027A" w:rsidRPr="009F2004">
        <w:rPr>
          <w:color w:val="000000"/>
          <w:sz w:val="22"/>
          <w:szCs w:val="22"/>
        </w:rPr>
        <w:t xml:space="preserve"> pro-position, comme nous le verrons bientôt.</w:t>
      </w:r>
      <w:r w:rsidR="002D027A" w:rsidRPr="009F2004">
        <w:rPr>
          <w:i/>
          <w:color w:val="000000"/>
          <w:sz w:val="22"/>
          <w:szCs w:val="22"/>
        </w:rPr>
        <w:t xml:space="preserve"> </w:t>
      </w:r>
      <w:r w:rsidR="002D027A" w:rsidRPr="009F2004">
        <w:rPr>
          <w:color w:val="000000"/>
          <w:sz w:val="22"/>
          <w:szCs w:val="22"/>
        </w:rPr>
        <w:t xml:space="preserve">Le souci qui pousse à l’action programmée et vectorisée </w:t>
      </w:r>
      <w:r w:rsidR="00571AF8" w:rsidRPr="009F2004">
        <w:rPr>
          <w:color w:val="000000"/>
          <w:sz w:val="22"/>
          <w:szCs w:val="22"/>
        </w:rPr>
        <w:t xml:space="preserve">semble </w:t>
      </w:r>
      <w:r w:rsidR="002D027A" w:rsidRPr="009F2004">
        <w:rPr>
          <w:color w:val="000000"/>
          <w:sz w:val="22"/>
          <w:szCs w:val="22"/>
        </w:rPr>
        <w:t xml:space="preserve">relayé par un certain degré (affiché) d’insouciance. </w:t>
      </w:r>
      <w:r w:rsidR="00571AF8" w:rsidRPr="009F2004">
        <w:rPr>
          <w:color w:val="000000"/>
          <w:sz w:val="22"/>
          <w:szCs w:val="22"/>
        </w:rPr>
        <w:t>On parlera moins de traces tendues entre le passé et le futur (cf. la pression) que d’empreintes</w:t>
      </w:r>
      <w:r w:rsidR="00F81B3E" w:rsidRPr="009F2004">
        <w:rPr>
          <w:rStyle w:val="Appelnotedebasdep"/>
          <w:color w:val="000000"/>
          <w:sz w:val="22"/>
          <w:szCs w:val="22"/>
        </w:rPr>
        <w:footnoteReference w:id="2"/>
      </w:r>
      <w:r w:rsidR="00571AF8" w:rsidRPr="009F2004">
        <w:rPr>
          <w:color w:val="000000"/>
          <w:sz w:val="22"/>
          <w:szCs w:val="22"/>
        </w:rPr>
        <w:t xml:space="preserve">, laissées </w:t>
      </w:r>
      <w:r w:rsidR="002D027A" w:rsidRPr="009F2004">
        <w:rPr>
          <w:color w:val="000000"/>
          <w:sz w:val="22"/>
          <w:szCs w:val="22"/>
        </w:rPr>
        <w:t xml:space="preserve">comme au passage, </w:t>
      </w:r>
      <w:r w:rsidR="00CB1334" w:rsidRPr="009F2004">
        <w:rPr>
          <w:color w:val="000000"/>
          <w:sz w:val="22"/>
          <w:szCs w:val="22"/>
        </w:rPr>
        <w:t>avec une évidente légèreté</w:t>
      </w:r>
      <w:r w:rsidR="00196B76">
        <w:rPr>
          <w:color w:val="000000"/>
          <w:sz w:val="22"/>
          <w:szCs w:val="22"/>
        </w:rPr>
        <w:t xml:space="preserve">, l’effort étant limité. </w:t>
      </w:r>
      <w:r w:rsidR="00FC6AD0">
        <w:rPr>
          <w:color w:val="000000"/>
          <w:sz w:val="22"/>
          <w:szCs w:val="22"/>
        </w:rPr>
        <w:t xml:space="preserve"> </w:t>
      </w:r>
    </w:p>
    <w:p w:rsidR="00D617BE" w:rsidRPr="009F2004" w:rsidRDefault="005E39AB" w:rsidP="009F2004">
      <w:pPr>
        <w:pStyle w:val="Notedebasdepage"/>
        <w:ind w:right="284" w:firstLine="284"/>
        <w:jc w:val="both"/>
        <w:rPr>
          <w:sz w:val="22"/>
          <w:szCs w:val="22"/>
        </w:rPr>
      </w:pPr>
      <w:r w:rsidRPr="009F2004">
        <w:rPr>
          <w:color w:val="000000"/>
          <w:sz w:val="22"/>
          <w:szCs w:val="22"/>
        </w:rPr>
        <w:t>Cependant, l’incitation non coercitive ne relève-t-elle pas, en définitive, d’une forme de manipulation (au sens large) ? Elle</w:t>
      </w:r>
      <w:r w:rsidR="00DA6EE9" w:rsidRPr="009F2004">
        <w:rPr>
          <w:color w:val="000000"/>
          <w:sz w:val="22"/>
          <w:szCs w:val="22"/>
        </w:rPr>
        <w:t xml:space="preserve"> </w:t>
      </w:r>
      <w:r w:rsidR="001E5FF2" w:rsidRPr="009F2004">
        <w:rPr>
          <w:color w:val="000000"/>
          <w:sz w:val="22"/>
          <w:szCs w:val="22"/>
        </w:rPr>
        <w:t xml:space="preserve">est inscription </w:t>
      </w:r>
      <w:r w:rsidR="00DA6EE9" w:rsidRPr="009F2004">
        <w:rPr>
          <w:color w:val="000000"/>
          <w:sz w:val="22"/>
          <w:szCs w:val="22"/>
        </w:rPr>
        <w:t>(passagère)</w:t>
      </w:r>
      <w:r w:rsidR="00DA6EE9" w:rsidRPr="009F2004">
        <w:rPr>
          <w:rStyle w:val="Appelnotedebasdep"/>
          <w:color w:val="000000"/>
          <w:sz w:val="22"/>
          <w:szCs w:val="22"/>
        </w:rPr>
        <w:footnoteReference w:id="3"/>
      </w:r>
      <w:r w:rsidR="00DA6EE9" w:rsidRPr="009F2004">
        <w:rPr>
          <w:color w:val="000000"/>
          <w:sz w:val="22"/>
          <w:szCs w:val="22"/>
        </w:rPr>
        <w:t xml:space="preserve"> </w:t>
      </w:r>
      <w:r w:rsidR="001E5FF2" w:rsidRPr="009F2004">
        <w:rPr>
          <w:color w:val="000000"/>
          <w:sz w:val="22"/>
          <w:szCs w:val="22"/>
        </w:rPr>
        <w:t xml:space="preserve">sur </w:t>
      </w:r>
      <w:r w:rsidR="00DA6EE9" w:rsidRPr="009F2004">
        <w:rPr>
          <w:color w:val="000000"/>
          <w:sz w:val="22"/>
          <w:szCs w:val="22"/>
        </w:rPr>
        <w:t xml:space="preserve">un support </w:t>
      </w:r>
      <w:r w:rsidR="008B7A30" w:rsidRPr="009F2004">
        <w:rPr>
          <w:color w:val="000000"/>
          <w:sz w:val="22"/>
          <w:szCs w:val="22"/>
        </w:rPr>
        <w:t>(</w:t>
      </w:r>
      <w:r w:rsidRPr="009F2004">
        <w:rPr>
          <w:color w:val="000000"/>
          <w:sz w:val="22"/>
          <w:szCs w:val="22"/>
        </w:rPr>
        <w:t xml:space="preserve">en relation avec </w:t>
      </w:r>
      <w:r w:rsidR="008B7A30" w:rsidRPr="009F2004">
        <w:rPr>
          <w:color w:val="000000"/>
          <w:sz w:val="22"/>
          <w:szCs w:val="22"/>
        </w:rPr>
        <w:t xml:space="preserve">des normes, des représentations…) </w:t>
      </w:r>
      <w:r w:rsidR="00DA6EE9" w:rsidRPr="009F2004">
        <w:rPr>
          <w:color w:val="000000"/>
          <w:sz w:val="22"/>
          <w:szCs w:val="22"/>
        </w:rPr>
        <w:t>et transformation de</w:t>
      </w:r>
      <w:r w:rsidR="001E5FF2" w:rsidRPr="009F2004">
        <w:rPr>
          <w:color w:val="000000"/>
          <w:sz w:val="22"/>
          <w:szCs w:val="22"/>
        </w:rPr>
        <w:t xml:space="preserve"> ce dernier</w:t>
      </w:r>
      <w:r w:rsidRPr="009F2004">
        <w:rPr>
          <w:color w:val="000000"/>
          <w:sz w:val="22"/>
          <w:szCs w:val="22"/>
        </w:rPr>
        <w:t>.</w:t>
      </w:r>
      <w:r w:rsidR="00DA6EE9" w:rsidRPr="009F2004">
        <w:rPr>
          <w:color w:val="000000"/>
          <w:sz w:val="22"/>
          <w:szCs w:val="22"/>
        </w:rPr>
        <w:t xml:space="preserve"> Transformation</w:t>
      </w:r>
      <w:r w:rsidR="001E5FF2" w:rsidRPr="009F2004">
        <w:rPr>
          <w:color w:val="000000"/>
          <w:sz w:val="22"/>
          <w:szCs w:val="22"/>
        </w:rPr>
        <w:t xml:space="preserve"> </w:t>
      </w:r>
      <w:r w:rsidR="00DA6EE9" w:rsidRPr="009F2004">
        <w:rPr>
          <w:color w:val="000000"/>
          <w:sz w:val="22"/>
          <w:szCs w:val="22"/>
        </w:rPr>
        <w:t xml:space="preserve">en douceur, </w:t>
      </w:r>
      <w:r w:rsidR="001E5FF2" w:rsidRPr="009F2004">
        <w:rPr>
          <w:color w:val="000000"/>
          <w:sz w:val="22"/>
          <w:szCs w:val="22"/>
        </w:rPr>
        <w:t>plutôt que prescription d’un faire</w:t>
      </w:r>
      <w:r w:rsidR="00DA6EE9" w:rsidRPr="009F2004">
        <w:rPr>
          <w:color w:val="000000"/>
          <w:sz w:val="22"/>
          <w:szCs w:val="22"/>
        </w:rPr>
        <w:t>, répondra-t-on</w:t>
      </w:r>
      <w:r w:rsidR="008B7A30" w:rsidRPr="009F2004">
        <w:rPr>
          <w:color w:val="000000"/>
          <w:sz w:val="22"/>
          <w:szCs w:val="22"/>
        </w:rPr>
        <w:t>.</w:t>
      </w:r>
      <w:r w:rsidR="00DA6EE9" w:rsidRPr="009F2004">
        <w:rPr>
          <w:color w:val="000000"/>
          <w:sz w:val="22"/>
          <w:szCs w:val="22"/>
        </w:rPr>
        <w:t xml:space="preserve"> </w:t>
      </w:r>
      <w:r w:rsidR="008B7A30" w:rsidRPr="009F2004">
        <w:rPr>
          <w:color w:val="000000"/>
          <w:sz w:val="22"/>
          <w:szCs w:val="22"/>
        </w:rPr>
        <w:t>M</w:t>
      </w:r>
      <w:r w:rsidR="00DA6EE9" w:rsidRPr="009F2004">
        <w:rPr>
          <w:color w:val="000000"/>
          <w:sz w:val="22"/>
          <w:szCs w:val="22"/>
        </w:rPr>
        <w:t xml:space="preserve">ais qu’advient-il alors des notions de liberté de choix et de décision ? </w:t>
      </w:r>
      <w:r w:rsidRPr="009F2004">
        <w:rPr>
          <w:color w:val="000000"/>
          <w:sz w:val="22"/>
          <w:szCs w:val="22"/>
        </w:rPr>
        <w:t xml:space="preserve">Tel est le paradoxe apparent : le </w:t>
      </w:r>
      <w:r w:rsidRPr="009F2004">
        <w:rPr>
          <w:i/>
          <w:color w:val="000000"/>
          <w:sz w:val="22"/>
          <w:szCs w:val="22"/>
        </w:rPr>
        <w:t>faire faire</w:t>
      </w:r>
      <w:r w:rsidRPr="009F2004">
        <w:rPr>
          <w:color w:val="000000"/>
          <w:sz w:val="22"/>
          <w:szCs w:val="22"/>
        </w:rPr>
        <w:t xml:space="preserve"> </w:t>
      </w:r>
      <w:r w:rsidR="008B7A30" w:rsidRPr="009F2004">
        <w:rPr>
          <w:color w:val="000000"/>
          <w:sz w:val="22"/>
          <w:szCs w:val="22"/>
        </w:rPr>
        <w:t xml:space="preserve">est supposé </w:t>
      </w:r>
      <w:r w:rsidR="001E5FF2" w:rsidRPr="009F2004">
        <w:rPr>
          <w:color w:val="000000"/>
          <w:sz w:val="22"/>
          <w:szCs w:val="22"/>
        </w:rPr>
        <w:t>laisse</w:t>
      </w:r>
      <w:r w:rsidR="008B7A30" w:rsidRPr="009F2004">
        <w:rPr>
          <w:color w:val="000000"/>
          <w:sz w:val="22"/>
          <w:szCs w:val="22"/>
        </w:rPr>
        <w:t>r</w:t>
      </w:r>
      <w:r w:rsidR="001E5FF2" w:rsidRPr="009F2004">
        <w:rPr>
          <w:color w:val="000000"/>
          <w:sz w:val="22"/>
          <w:szCs w:val="22"/>
        </w:rPr>
        <w:t xml:space="preserve"> entière la liberté d</w:t>
      </w:r>
      <w:r w:rsidRPr="009F2004">
        <w:rPr>
          <w:color w:val="000000"/>
          <w:sz w:val="22"/>
          <w:szCs w:val="22"/>
        </w:rPr>
        <w:t>e</w:t>
      </w:r>
      <w:r w:rsidR="001E5FF2" w:rsidRPr="009F2004">
        <w:rPr>
          <w:color w:val="000000"/>
          <w:sz w:val="22"/>
          <w:szCs w:val="22"/>
        </w:rPr>
        <w:t xml:space="preserve"> choix</w:t>
      </w:r>
      <w:r w:rsidR="008B7A30" w:rsidRPr="009F2004">
        <w:rPr>
          <w:color w:val="000000"/>
          <w:sz w:val="22"/>
          <w:szCs w:val="22"/>
        </w:rPr>
        <w:t xml:space="preserve"> et </w:t>
      </w:r>
      <w:r w:rsidRPr="009F2004">
        <w:rPr>
          <w:color w:val="000000"/>
          <w:sz w:val="22"/>
          <w:szCs w:val="22"/>
        </w:rPr>
        <w:t>de</w:t>
      </w:r>
      <w:r w:rsidR="008B7A30" w:rsidRPr="009F2004">
        <w:rPr>
          <w:color w:val="000000"/>
          <w:sz w:val="22"/>
          <w:szCs w:val="22"/>
        </w:rPr>
        <w:t xml:space="preserve"> décision, </w:t>
      </w:r>
      <w:r w:rsidRPr="009F2004">
        <w:rPr>
          <w:color w:val="000000"/>
          <w:sz w:val="22"/>
          <w:szCs w:val="22"/>
        </w:rPr>
        <w:t>alors même que</w:t>
      </w:r>
      <w:r w:rsidR="008B7A30" w:rsidRPr="009F2004">
        <w:rPr>
          <w:color w:val="000000"/>
          <w:sz w:val="22"/>
          <w:szCs w:val="22"/>
        </w:rPr>
        <w:t xml:space="preserve"> le choix et la décision sont guidés, infléchis</w:t>
      </w:r>
      <w:r w:rsidRPr="009F2004">
        <w:rPr>
          <w:color w:val="000000"/>
          <w:sz w:val="22"/>
          <w:szCs w:val="22"/>
        </w:rPr>
        <w:t xml:space="preserve">. </w:t>
      </w:r>
      <w:r w:rsidR="008B7A30" w:rsidRPr="009F2004">
        <w:rPr>
          <w:color w:val="000000"/>
          <w:sz w:val="22"/>
          <w:szCs w:val="22"/>
        </w:rPr>
        <w:t xml:space="preserve"> </w:t>
      </w:r>
      <w:r w:rsidRPr="009F2004">
        <w:rPr>
          <w:color w:val="000000"/>
          <w:sz w:val="22"/>
          <w:szCs w:val="22"/>
        </w:rPr>
        <w:t xml:space="preserve">En effet, </w:t>
      </w:r>
      <w:r w:rsidR="008B7A30" w:rsidRPr="009F2004">
        <w:rPr>
          <w:sz w:val="22"/>
          <w:szCs w:val="22"/>
        </w:rPr>
        <w:t xml:space="preserve">l’« architecte de la décision », selon l’expression de Thaler, Sunstein et Balz (2012), oriente vers la « bonne décision », </w:t>
      </w:r>
      <w:r w:rsidR="008B7A30" w:rsidRPr="009F2004">
        <w:rPr>
          <w:color w:val="000000"/>
          <w:sz w:val="22"/>
          <w:szCs w:val="22"/>
        </w:rPr>
        <w:t xml:space="preserve">ceci grâce à plusieurs instruments, dont la création d’une attente </w:t>
      </w:r>
      <w:r w:rsidR="00196B76">
        <w:rPr>
          <w:color w:val="000000"/>
          <w:sz w:val="22"/>
          <w:szCs w:val="22"/>
        </w:rPr>
        <w:t xml:space="preserve">ou </w:t>
      </w:r>
      <w:r w:rsidRPr="009F2004">
        <w:rPr>
          <w:color w:val="000000"/>
          <w:sz w:val="22"/>
          <w:szCs w:val="22"/>
        </w:rPr>
        <w:t xml:space="preserve">d’un consentement </w:t>
      </w:r>
      <w:r w:rsidR="008B7A30" w:rsidRPr="009F2004">
        <w:rPr>
          <w:color w:val="000000"/>
          <w:sz w:val="22"/>
          <w:szCs w:val="22"/>
        </w:rPr>
        <w:t xml:space="preserve">en </w:t>
      </w:r>
      <w:r w:rsidR="00D3647C">
        <w:rPr>
          <w:color w:val="000000"/>
          <w:sz w:val="22"/>
          <w:szCs w:val="22"/>
        </w:rPr>
        <w:t>direction de l’erreur</w:t>
      </w:r>
      <w:r w:rsidR="008B7A30" w:rsidRPr="009F2004">
        <w:rPr>
          <w:color w:val="000000"/>
          <w:sz w:val="22"/>
          <w:szCs w:val="22"/>
        </w:rPr>
        <w:t xml:space="preserve"> (pour permettre d’échapper à l’irréversible de la décision), la garantie de la réponse (feedback), la structuration de choix complexes et l’incitation</w:t>
      </w:r>
      <w:r w:rsidR="008B7A30" w:rsidRPr="009F2004">
        <w:rPr>
          <w:sz w:val="22"/>
          <w:szCs w:val="22"/>
        </w:rPr>
        <w:t xml:space="preserve">. </w:t>
      </w:r>
      <w:r w:rsidR="00004CF5">
        <w:rPr>
          <w:sz w:val="22"/>
          <w:szCs w:val="22"/>
        </w:rPr>
        <w:t>I</w:t>
      </w:r>
      <w:r w:rsidR="008B7A30" w:rsidRPr="009F2004">
        <w:rPr>
          <w:color w:val="000000"/>
          <w:sz w:val="22"/>
          <w:szCs w:val="22"/>
        </w:rPr>
        <w:t xml:space="preserve">l s’agit </w:t>
      </w:r>
      <w:r w:rsidR="00004CF5">
        <w:rPr>
          <w:color w:val="000000"/>
          <w:sz w:val="22"/>
          <w:szCs w:val="22"/>
        </w:rPr>
        <w:t xml:space="preserve">alors </w:t>
      </w:r>
      <w:r w:rsidR="008B7A30" w:rsidRPr="009F2004">
        <w:rPr>
          <w:color w:val="000000"/>
          <w:sz w:val="22"/>
          <w:szCs w:val="22"/>
        </w:rPr>
        <w:t>d’une certaine forme de liberté de choisir allégée</w:t>
      </w:r>
      <w:r w:rsidR="00D3647C">
        <w:rPr>
          <w:color w:val="000000"/>
          <w:sz w:val="22"/>
          <w:szCs w:val="22"/>
        </w:rPr>
        <w:t>, du moins en partie,</w:t>
      </w:r>
      <w:r w:rsidR="00004CF5">
        <w:rPr>
          <w:color w:val="000000"/>
          <w:sz w:val="22"/>
          <w:szCs w:val="22"/>
        </w:rPr>
        <w:t xml:space="preserve"> </w:t>
      </w:r>
      <w:r w:rsidR="008B7A30" w:rsidRPr="009F2004">
        <w:rPr>
          <w:color w:val="000000"/>
          <w:sz w:val="22"/>
          <w:szCs w:val="22"/>
        </w:rPr>
        <w:t xml:space="preserve">de la décision complexe </w:t>
      </w:r>
      <w:r w:rsidRPr="009F2004">
        <w:rPr>
          <w:color w:val="000000"/>
          <w:sz w:val="22"/>
          <w:szCs w:val="22"/>
        </w:rPr>
        <w:t xml:space="preserve">et de sa part de risque ; </w:t>
      </w:r>
      <w:r w:rsidR="00D617BE" w:rsidRPr="009F2004">
        <w:rPr>
          <w:color w:val="000000"/>
          <w:sz w:val="22"/>
          <w:szCs w:val="22"/>
        </w:rPr>
        <w:t>d’</w:t>
      </w:r>
      <w:r w:rsidR="008B7A30" w:rsidRPr="009F2004">
        <w:rPr>
          <w:color w:val="000000"/>
          <w:sz w:val="22"/>
          <w:szCs w:val="22"/>
        </w:rPr>
        <w:t xml:space="preserve">une liberté </w:t>
      </w:r>
      <w:r w:rsidRPr="009F2004">
        <w:rPr>
          <w:color w:val="000000"/>
          <w:sz w:val="22"/>
          <w:szCs w:val="22"/>
        </w:rPr>
        <w:t>soutenue par un modèle de prévisibilité</w:t>
      </w:r>
      <w:r w:rsidR="00610D87" w:rsidRPr="009F2004">
        <w:rPr>
          <w:color w:val="000000"/>
          <w:sz w:val="22"/>
          <w:szCs w:val="22"/>
        </w:rPr>
        <w:t xml:space="preserve"> qui</w:t>
      </w:r>
      <w:r w:rsidR="00CC5DD5">
        <w:rPr>
          <w:color w:val="000000"/>
          <w:sz w:val="22"/>
          <w:szCs w:val="22"/>
        </w:rPr>
        <w:t xml:space="preserve"> est censé </w:t>
      </w:r>
      <w:r w:rsidR="00610D87" w:rsidRPr="009F2004">
        <w:rPr>
          <w:color w:val="000000"/>
          <w:sz w:val="22"/>
          <w:szCs w:val="22"/>
        </w:rPr>
        <w:t>optimise</w:t>
      </w:r>
      <w:r w:rsidR="00CC5DD5">
        <w:rPr>
          <w:color w:val="000000"/>
          <w:sz w:val="22"/>
          <w:szCs w:val="22"/>
        </w:rPr>
        <w:t>r</w:t>
      </w:r>
      <w:r w:rsidR="00610D87" w:rsidRPr="009F2004">
        <w:rPr>
          <w:color w:val="000000"/>
          <w:sz w:val="22"/>
          <w:szCs w:val="22"/>
        </w:rPr>
        <w:t xml:space="preserve"> le faire </w:t>
      </w:r>
      <w:r w:rsidR="008B7A30" w:rsidRPr="009F2004">
        <w:rPr>
          <w:color w:val="000000"/>
          <w:sz w:val="22"/>
          <w:szCs w:val="22"/>
        </w:rPr>
        <w:t xml:space="preserve">: le </w:t>
      </w:r>
      <w:r w:rsidR="00A263BA">
        <w:rPr>
          <w:color w:val="000000"/>
          <w:sz w:val="22"/>
          <w:szCs w:val="22"/>
        </w:rPr>
        <w:t>« </w:t>
      </w:r>
      <w:r w:rsidR="008B7A30" w:rsidRPr="009F2004">
        <w:rPr>
          <w:sz w:val="22"/>
          <w:szCs w:val="22"/>
        </w:rPr>
        <w:t xml:space="preserve">choix par défaut » </w:t>
      </w:r>
      <w:r w:rsidRPr="009F2004">
        <w:rPr>
          <w:sz w:val="22"/>
          <w:szCs w:val="22"/>
        </w:rPr>
        <w:t>prend</w:t>
      </w:r>
      <w:r w:rsidR="008B7A30" w:rsidRPr="009F2004">
        <w:rPr>
          <w:sz w:val="22"/>
          <w:szCs w:val="22"/>
        </w:rPr>
        <w:t xml:space="preserve"> le relais du « choix requis ». </w:t>
      </w:r>
      <w:r w:rsidR="00D3647C">
        <w:rPr>
          <w:sz w:val="22"/>
          <w:szCs w:val="22"/>
        </w:rPr>
        <w:t>Exploitant des</w:t>
      </w:r>
      <w:r w:rsidR="008B7A30" w:rsidRPr="009F2004">
        <w:rPr>
          <w:sz w:val="22"/>
          <w:szCs w:val="22"/>
        </w:rPr>
        <w:t xml:space="preserve"> biais cognitif</w:t>
      </w:r>
      <w:r w:rsidR="00D3647C">
        <w:rPr>
          <w:sz w:val="22"/>
          <w:szCs w:val="22"/>
        </w:rPr>
        <w:t>s</w:t>
      </w:r>
      <w:r w:rsidR="00D3647C" w:rsidRPr="009F2004">
        <w:rPr>
          <w:rStyle w:val="Appelnotedebasdep"/>
          <w:sz w:val="22"/>
          <w:szCs w:val="22"/>
        </w:rPr>
        <w:footnoteReference w:id="4"/>
      </w:r>
      <w:r w:rsidR="008B7A30" w:rsidRPr="009F2004">
        <w:rPr>
          <w:sz w:val="22"/>
          <w:szCs w:val="22"/>
        </w:rPr>
        <w:t xml:space="preserve">, la politique du nudge </w:t>
      </w:r>
      <w:r w:rsidR="00A263BA">
        <w:rPr>
          <w:sz w:val="22"/>
          <w:szCs w:val="22"/>
        </w:rPr>
        <w:t>pense</w:t>
      </w:r>
      <w:r w:rsidR="008B7A30" w:rsidRPr="009F2004">
        <w:rPr>
          <w:sz w:val="22"/>
          <w:szCs w:val="22"/>
        </w:rPr>
        <w:t xml:space="preserve"> garantir la félicité d’un faire </w:t>
      </w:r>
      <w:r w:rsidR="00CC5DD5">
        <w:rPr>
          <w:sz w:val="22"/>
          <w:szCs w:val="22"/>
        </w:rPr>
        <w:t xml:space="preserve">qui serait </w:t>
      </w:r>
      <w:r w:rsidR="008B7A30" w:rsidRPr="009F2004">
        <w:rPr>
          <w:sz w:val="22"/>
          <w:szCs w:val="22"/>
        </w:rPr>
        <w:t xml:space="preserve">menacé, </w:t>
      </w:r>
      <w:r w:rsidR="00D3647C">
        <w:rPr>
          <w:sz w:val="22"/>
          <w:szCs w:val="22"/>
        </w:rPr>
        <w:t>trop souvent</w:t>
      </w:r>
      <w:r w:rsidR="008B7A30" w:rsidRPr="009F2004">
        <w:rPr>
          <w:sz w:val="22"/>
          <w:szCs w:val="22"/>
        </w:rPr>
        <w:t>, par le « misbehaving » (Thaler 2018 [2016]) de l’être humain.</w:t>
      </w:r>
      <w:r w:rsidRPr="009F2004">
        <w:rPr>
          <w:sz w:val="22"/>
          <w:szCs w:val="22"/>
        </w:rPr>
        <w:t xml:space="preserve"> </w:t>
      </w:r>
      <w:r w:rsidR="00610D87" w:rsidRPr="009F2004">
        <w:rPr>
          <w:sz w:val="22"/>
          <w:szCs w:val="22"/>
        </w:rPr>
        <w:t>La</w:t>
      </w:r>
      <w:r w:rsidRPr="009F2004">
        <w:rPr>
          <w:sz w:val="22"/>
          <w:szCs w:val="22"/>
        </w:rPr>
        <w:t xml:space="preserve"> liberté </w:t>
      </w:r>
      <w:r w:rsidR="00610D87" w:rsidRPr="009F2004">
        <w:rPr>
          <w:sz w:val="22"/>
          <w:szCs w:val="22"/>
        </w:rPr>
        <w:t xml:space="preserve">ainsi conçue est </w:t>
      </w:r>
      <w:r w:rsidRPr="009F2004">
        <w:rPr>
          <w:sz w:val="22"/>
          <w:szCs w:val="22"/>
        </w:rPr>
        <w:t xml:space="preserve">libérée </w:t>
      </w:r>
      <w:r w:rsidR="00610D87" w:rsidRPr="009F2004">
        <w:rPr>
          <w:sz w:val="22"/>
          <w:szCs w:val="22"/>
        </w:rPr>
        <w:t>du repli réflexif qui met à distance</w:t>
      </w:r>
      <w:r w:rsidR="00ED0DDE" w:rsidRPr="009F2004">
        <w:rPr>
          <w:sz w:val="22"/>
          <w:szCs w:val="22"/>
        </w:rPr>
        <w:t xml:space="preserve">, de la </w:t>
      </w:r>
      <w:r w:rsidR="00A263BA">
        <w:rPr>
          <w:sz w:val="22"/>
          <w:szCs w:val="22"/>
        </w:rPr>
        <w:t>conscientisation délibérative</w:t>
      </w:r>
      <w:r w:rsidR="00CC5DD5">
        <w:rPr>
          <w:sz w:val="22"/>
          <w:szCs w:val="22"/>
        </w:rPr>
        <w:t xml:space="preserve"> </w:t>
      </w:r>
      <w:r w:rsidR="00ED0DDE" w:rsidRPr="009F2004">
        <w:rPr>
          <w:sz w:val="22"/>
          <w:szCs w:val="22"/>
        </w:rPr>
        <w:t xml:space="preserve">qui </w:t>
      </w:r>
      <w:r w:rsidR="00D617BE" w:rsidRPr="009F2004">
        <w:rPr>
          <w:sz w:val="22"/>
          <w:szCs w:val="22"/>
        </w:rPr>
        <w:t xml:space="preserve">peut </w:t>
      </w:r>
      <w:r w:rsidR="00A263BA">
        <w:rPr>
          <w:sz w:val="22"/>
          <w:szCs w:val="22"/>
        </w:rPr>
        <w:t xml:space="preserve">valider le programme de manipulation (au sens large), mais aussi </w:t>
      </w:r>
      <w:r w:rsidR="00D617BE" w:rsidRPr="009F2004">
        <w:rPr>
          <w:sz w:val="22"/>
          <w:szCs w:val="22"/>
        </w:rPr>
        <w:t xml:space="preserve">susciter un contre-programme. </w:t>
      </w:r>
      <w:r w:rsidR="00610D87" w:rsidRPr="009F2004">
        <w:rPr>
          <w:sz w:val="22"/>
          <w:szCs w:val="22"/>
        </w:rPr>
        <w:t xml:space="preserve">Elle se soustrait au moment </w:t>
      </w:r>
      <w:r w:rsidR="00610D87" w:rsidRPr="009F2004">
        <w:rPr>
          <w:i/>
          <w:sz w:val="22"/>
          <w:szCs w:val="22"/>
        </w:rPr>
        <w:t xml:space="preserve">critique </w:t>
      </w:r>
      <w:r w:rsidR="00610D87" w:rsidRPr="009F2004">
        <w:rPr>
          <w:sz w:val="22"/>
          <w:szCs w:val="22"/>
        </w:rPr>
        <w:t>où, selon l’étymologie</w:t>
      </w:r>
      <w:r w:rsidR="00CC5DD5">
        <w:rPr>
          <w:sz w:val="22"/>
          <w:szCs w:val="22"/>
        </w:rPr>
        <w:t xml:space="preserve"> </w:t>
      </w:r>
      <w:r w:rsidR="00196B76">
        <w:rPr>
          <w:sz w:val="22"/>
          <w:szCs w:val="22"/>
        </w:rPr>
        <w:t xml:space="preserve">de « crise » </w:t>
      </w:r>
      <w:r w:rsidR="00CC5DD5">
        <w:rPr>
          <w:sz w:val="22"/>
          <w:szCs w:val="22"/>
        </w:rPr>
        <w:t>(</w:t>
      </w:r>
      <w:r w:rsidR="00CC5DD5" w:rsidRPr="00CC5DD5">
        <w:rPr>
          <w:i/>
          <w:sz w:val="22"/>
          <w:szCs w:val="22"/>
        </w:rPr>
        <w:t>Krisis</w:t>
      </w:r>
      <w:r w:rsidR="00CC5DD5">
        <w:rPr>
          <w:sz w:val="22"/>
          <w:szCs w:val="22"/>
        </w:rPr>
        <w:t>)</w:t>
      </w:r>
      <w:r w:rsidR="00610D87" w:rsidRPr="009F2004">
        <w:rPr>
          <w:sz w:val="22"/>
          <w:szCs w:val="22"/>
        </w:rPr>
        <w:t xml:space="preserve">, une décision doit être pesée et négociée. </w:t>
      </w:r>
    </w:p>
    <w:p w:rsidR="00CB1334" w:rsidRPr="009F2004" w:rsidRDefault="00610D87" w:rsidP="009F2004">
      <w:pPr>
        <w:pStyle w:val="Notedebasdepage"/>
        <w:ind w:right="284" w:firstLine="284"/>
        <w:jc w:val="both"/>
        <w:rPr>
          <w:sz w:val="22"/>
          <w:szCs w:val="22"/>
        </w:rPr>
      </w:pPr>
      <w:r w:rsidRPr="009F2004">
        <w:rPr>
          <w:sz w:val="22"/>
          <w:szCs w:val="22"/>
        </w:rPr>
        <w:t xml:space="preserve">Nous verrons maintenant que </w:t>
      </w:r>
      <w:r w:rsidRPr="009F2004">
        <w:rPr>
          <w:color w:val="000000"/>
          <w:sz w:val="22"/>
          <w:szCs w:val="22"/>
        </w:rPr>
        <w:t>l</w:t>
      </w:r>
      <w:r w:rsidR="00DA6EE9" w:rsidRPr="009F2004">
        <w:rPr>
          <w:color w:val="000000"/>
          <w:sz w:val="22"/>
          <w:szCs w:val="22"/>
        </w:rPr>
        <w:t xml:space="preserve">a liberté que la politique du nudge </w:t>
      </w:r>
      <w:r w:rsidR="00D617BE" w:rsidRPr="009F2004">
        <w:rPr>
          <w:color w:val="000000"/>
          <w:sz w:val="22"/>
          <w:szCs w:val="22"/>
        </w:rPr>
        <w:t xml:space="preserve">souhaite </w:t>
      </w:r>
      <w:r w:rsidR="0074442C">
        <w:rPr>
          <w:color w:val="000000"/>
          <w:sz w:val="22"/>
          <w:szCs w:val="22"/>
        </w:rPr>
        <w:t>préserver</w:t>
      </w:r>
      <w:r w:rsidR="00DA6EE9" w:rsidRPr="009F2004">
        <w:rPr>
          <w:color w:val="000000"/>
          <w:sz w:val="22"/>
          <w:szCs w:val="22"/>
        </w:rPr>
        <w:t xml:space="preserve"> consiste à </w:t>
      </w:r>
      <w:r w:rsidR="00DA6EE9" w:rsidRPr="009F2004">
        <w:rPr>
          <w:i/>
          <w:color w:val="000000"/>
          <w:sz w:val="22"/>
          <w:szCs w:val="22"/>
        </w:rPr>
        <w:t xml:space="preserve">prendre </w:t>
      </w:r>
      <w:r w:rsidRPr="009F2004">
        <w:rPr>
          <w:i/>
          <w:color w:val="000000"/>
          <w:sz w:val="22"/>
          <w:szCs w:val="22"/>
        </w:rPr>
        <w:t xml:space="preserve">une </w:t>
      </w:r>
      <w:r w:rsidR="00DA6EE9" w:rsidRPr="009F2004">
        <w:rPr>
          <w:i/>
          <w:color w:val="000000"/>
          <w:sz w:val="22"/>
          <w:szCs w:val="22"/>
        </w:rPr>
        <w:t>option</w:t>
      </w:r>
      <w:r w:rsidR="00D617BE" w:rsidRPr="009F2004">
        <w:rPr>
          <w:i/>
          <w:color w:val="000000"/>
          <w:sz w:val="22"/>
          <w:szCs w:val="22"/>
        </w:rPr>
        <w:t xml:space="preserve"> sur </w:t>
      </w:r>
      <w:r w:rsidR="00D617BE" w:rsidRPr="009F2004">
        <w:rPr>
          <w:color w:val="000000"/>
          <w:sz w:val="22"/>
          <w:szCs w:val="22"/>
        </w:rPr>
        <w:t>un certain type de comportement</w:t>
      </w:r>
      <w:r w:rsidRPr="009F2004">
        <w:rPr>
          <w:color w:val="000000"/>
          <w:sz w:val="22"/>
          <w:szCs w:val="22"/>
        </w:rPr>
        <w:t xml:space="preserve">, mais aussi </w:t>
      </w:r>
      <w:r w:rsidR="00DA6EE9" w:rsidRPr="009F2004">
        <w:rPr>
          <w:color w:val="000000"/>
          <w:sz w:val="22"/>
          <w:szCs w:val="22"/>
        </w:rPr>
        <w:t xml:space="preserve">à se mouler sur une </w:t>
      </w:r>
      <w:r w:rsidR="00DA6EE9" w:rsidRPr="009F2004">
        <w:rPr>
          <w:i/>
          <w:color w:val="000000"/>
          <w:sz w:val="22"/>
          <w:szCs w:val="22"/>
        </w:rPr>
        <w:t>évidence</w:t>
      </w:r>
      <w:r w:rsidR="00DA6EE9" w:rsidRPr="009F2004">
        <w:rPr>
          <w:color w:val="000000"/>
          <w:sz w:val="22"/>
          <w:szCs w:val="22"/>
        </w:rPr>
        <w:t>.</w:t>
      </w:r>
      <w:r w:rsidR="00ED0DDE" w:rsidRPr="009F2004">
        <w:rPr>
          <w:color w:val="000000"/>
          <w:sz w:val="22"/>
          <w:szCs w:val="22"/>
        </w:rPr>
        <w:t xml:space="preserve"> </w:t>
      </w:r>
    </w:p>
    <w:p w:rsidR="00CB1334" w:rsidRPr="009F2004" w:rsidRDefault="00CB1334" w:rsidP="009F2004">
      <w:pPr>
        <w:pStyle w:val="Notedebasdepage"/>
        <w:ind w:right="284" w:firstLine="284"/>
        <w:jc w:val="both"/>
        <w:rPr>
          <w:sz w:val="22"/>
          <w:szCs w:val="22"/>
        </w:rPr>
      </w:pPr>
    </w:p>
    <w:p w:rsidR="002D027A" w:rsidRPr="00174224" w:rsidRDefault="00B82D4F" w:rsidP="00B82D4F">
      <w:pPr>
        <w:ind w:right="284"/>
        <w:jc w:val="both"/>
        <w:rPr>
          <w:b/>
          <w:color w:val="C00000"/>
          <w:sz w:val="22"/>
          <w:szCs w:val="22"/>
        </w:rPr>
      </w:pPr>
      <w:r w:rsidRPr="00174224">
        <w:rPr>
          <w:b/>
          <w:color w:val="C00000"/>
          <w:sz w:val="22"/>
          <w:szCs w:val="22"/>
        </w:rPr>
        <w:t>3</w:t>
      </w:r>
      <w:r w:rsidR="002D027A" w:rsidRPr="00174224">
        <w:rPr>
          <w:b/>
          <w:color w:val="C00000"/>
          <w:sz w:val="22"/>
          <w:szCs w:val="22"/>
        </w:rPr>
        <w:t>. La méthode douce : l’incitation et ses régimes</w:t>
      </w:r>
    </w:p>
    <w:p w:rsidR="00E87AD8" w:rsidRPr="009F2004" w:rsidRDefault="00D617BE" w:rsidP="009F2004">
      <w:pPr>
        <w:ind w:right="284" w:firstLine="284"/>
        <w:jc w:val="both"/>
        <w:rPr>
          <w:color w:val="000000" w:themeColor="text1"/>
          <w:sz w:val="22"/>
          <w:szCs w:val="22"/>
        </w:rPr>
      </w:pPr>
      <w:r w:rsidRPr="009F2004">
        <w:rPr>
          <w:color w:val="000000"/>
          <w:sz w:val="22"/>
          <w:szCs w:val="22"/>
        </w:rPr>
        <w:t>Partons d</w:t>
      </w:r>
      <w:r w:rsidR="002D027A" w:rsidRPr="009F2004">
        <w:rPr>
          <w:color w:val="000000"/>
          <w:sz w:val="22"/>
          <w:szCs w:val="22"/>
        </w:rPr>
        <w:t xml:space="preserve">e l’exemple phare donné par Thaler et Sunstein dans </w:t>
      </w:r>
      <w:r w:rsidR="002D027A" w:rsidRPr="009F2004">
        <w:rPr>
          <w:i/>
          <w:color w:val="000000"/>
          <w:sz w:val="22"/>
          <w:szCs w:val="22"/>
        </w:rPr>
        <w:t>Nudge. La méthode douce pour inspirer la bonne décision</w:t>
      </w:r>
      <w:r w:rsidR="002D027A" w:rsidRPr="009F2004">
        <w:rPr>
          <w:color w:val="000000"/>
          <w:sz w:val="22"/>
          <w:szCs w:val="22"/>
        </w:rPr>
        <w:t xml:space="preserve"> (2010 [2008])</w:t>
      </w:r>
      <w:r w:rsidR="002D027A" w:rsidRPr="009F2004">
        <w:rPr>
          <w:i/>
          <w:color w:val="000000"/>
          <w:sz w:val="22"/>
          <w:szCs w:val="22"/>
        </w:rPr>
        <w:t> </w:t>
      </w:r>
      <w:r w:rsidR="002D027A" w:rsidRPr="009F2004">
        <w:rPr>
          <w:color w:val="000000"/>
          <w:sz w:val="22"/>
          <w:szCs w:val="22"/>
        </w:rPr>
        <w:t>: dans une cantine, le fait de mettre les fruits à la hauteur des yeux des enfants, plutôt que les sucreries et confiseries</w:t>
      </w:r>
      <w:r w:rsidR="0074442C">
        <w:rPr>
          <w:color w:val="000000"/>
          <w:sz w:val="22"/>
          <w:szCs w:val="22"/>
        </w:rPr>
        <w:t xml:space="preserve">, devrait pousser vers une alimentation saine. </w:t>
      </w:r>
      <w:r w:rsidR="002D027A" w:rsidRPr="009F2004">
        <w:rPr>
          <w:color w:val="000000"/>
          <w:sz w:val="22"/>
          <w:szCs w:val="22"/>
        </w:rPr>
        <w:t xml:space="preserve"> Le « paternalisme libertaire », qui n’est pas intrusif, consiste, nous disent ces auteurs (</w:t>
      </w:r>
      <w:r w:rsidR="007A60FC" w:rsidRPr="009F2004">
        <w:rPr>
          <w:i/>
          <w:color w:val="000000"/>
          <w:sz w:val="22"/>
          <w:szCs w:val="22"/>
        </w:rPr>
        <w:t>ibid</w:t>
      </w:r>
      <w:r w:rsidR="007A60FC" w:rsidRPr="009F2004">
        <w:rPr>
          <w:color w:val="000000"/>
          <w:sz w:val="22"/>
          <w:szCs w:val="22"/>
        </w:rPr>
        <w:t>.</w:t>
      </w:r>
      <w:r w:rsidR="002D027A" w:rsidRPr="009F2004">
        <w:rPr>
          <w:color w:val="000000"/>
          <w:sz w:val="22"/>
          <w:szCs w:val="22"/>
        </w:rPr>
        <w:t> : 24-25), à offrir une « architecture du choix qui modifie de façon prévisible le comportement des gens », mais aussi à ne pas enfermer les gens dans des choix « irréversibles ».</w:t>
      </w:r>
      <w:r w:rsidR="0074442C">
        <w:rPr>
          <w:color w:val="000000"/>
          <w:sz w:val="22"/>
          <w:szCs w:val="22"/>
        </w:rPr>
        <w:t xml:space="preserve"> </w:t>
      </w:r>
      <w:r w:rsidR="00E87AD8" w:rsidRPr="009F2004">
        <w:rPr>
          <w:color w:val="000000"/>
          <w:sz w:val="22"/>
          <w:szCs w:val="22"/>
        </w:rPr>
        <w:t xml:space="preserve">Désormais, il incombe à l’« option », </w:t>
      </w:r>
      <w:r w:rsidR="00AB35C4" w:rsidRPr="009F2004">
        <w:rPr>
          <w:color w:val="000000"/>
          <w:sz w:val="22"/>
          <w:szCs w:val="22"/>
        </w:rPr>
        <w:t xml:space="preserve">c’est-à-dire </w:t>
      </w:r>
      <w:r w:rsidR="00E87AD8" w:rsidRPr="009F2004">
        <w:rPr>
          <w:color w:val="000000"/>
          <w:sz w:val="22"/>
          <w:szCs w:val="22"/>
        </w:rPr>
        <w:t>aux engagements pris face à un nombre de possibles mus en probables, de résoudre le paradoxe de l’« intervention » non contraignante</w:t>
      </w:r>
      <w:r w:rsidR="00E00092">
        <w:rPr>
          <w:color w:val="000000"/>
          <w:sz w:val="22"/>
          <w:szCs w:val="22"/>
        </w:rPr>
        <w:t xml:space="preserve"> </w:t>
      </w:r>
      <w:r w:rsidR="00E87AD8" w:rsidRPr="009F2004">
        <w:rPr>
          <w:color w:val="000000"/>
          <w:sz w:val="22"/>
          <w:szCs w:val="22"/>
        </w:rPr>
        <w:t>qui</w:t>
      </w:r>
      <w:r w:rsidR="00E00092">
        <w:rPr>
          <w:color w:val="000000"/>
          <w:sz w:val="22"/>
          <w:szCs w:val="22"/>
        </w:rPr>
        <w:t>,</w:t>
      </w:r>
      <w:r w:rsidR="00E87AD8" w:rsidRPr="009F2004">
        <w:rPr>
          <w:color w:val="000000"/>
          <w:sz w:val="22"/>
          <w:szCs w:val="22"/>
        </w:rPr>
        <w:t xml:space="preserve"> </w:t>
      </w:r>
      <w:r w:rsidR="00AB35C4" w:rsidRPr="009F2004">
        <w:rPr>
          <w:color w:val="000000"/>
          <w:sz w:val="22"/>
          <w:szCs w:val="22"/>
        </w:rPr>
        <w:t xml:space="preserve">d’un </w:t>
      </w:r>
      <w:r w:rsidR="009D18A7">
        <w:rPr>
          <w:color w:val="000000"/>
          <w:sz w:val="22"/>
          <w:szCs w:val="22"/>
        </w:rPr>
        <w:t>seul</w:t>
      </w:r>
      <w:r w:rsidR="00AB35C4" w:rsidRPr="009F2004">
        <w:rPr>
          <w:color w:val="000000"/>
          <w:sz w:val="22"/>
          <w:szCs w:val="22"/>
        </w:rPr>
        <w:t xml:space="preserve"> tenant</w:t>
      </w:r>
      <w:r w:rsidR="00E00092">
        <w:rPr>
          <w:color w:val="000000"/>
          <w:sz w:val="22"/>
          <w:szCs w:val="22"/>
        </w:rPr>
        <w:t>,</w:t>
      </w:r>
      <w:r w:rsidR="00E87AD8" w:rsidRPr="009F2004">
        <w:rPr>
          <w:color w:val="000000"/>
          <w:sz w:val="22"/>
          <w:szCs w:val="22"/>
        </w:rPr>
        <w:t xml:space="preserve"> « doit pouvoir être évitée facilement et à moindres </w:t>
      </w:r>
      <w:r w:rsidR="00E87AD8" w:rsidRPr="009F2004">
        <w:rPr>
          <w:color w:val="000000" w:themeColor="text1"/>
          <w:sz w:val="22"/>
          <w:szCs w:val="22"/>
        </w:rPr>
        <w:t>frais »</w:t>
      </w:r>
      <w:r w:rsidR="00E00092">
        <w:rPr>
          <w:color w:val="000000" w:themeColor="text1"/>
          <w:sz w:val="22"/>
          <w:szCs w:val="22"/>
        </w:rPr>
        <w:t xml:space="preserve"> et </w:t>
      </w:r>
      <w:r w:rsidR="00E87AD8" w:rsidRPr="009F2004">
        <w:rPr>
          <w:color w:val="000000" w:themeColor="text1"/>
          <w:sz w:val="22"/>
          <w:szCs w:val="22"/>
        </w:rPr>
        <w:t xml:space="preserve">trace </w:t>
      </w:r>
      <w:r w:rsidR="00AB35C4" w:rsidRPr="009F2004">
        <w:rPr>
          <w:color w:val="000000" w:themeColor="text1"/>
          <w:sz w:val="22"/>
          <w:szCs w:val="22"/>
        </w:rPr>
        <w:t>un</w:t>
      </w:r>
      <w:r w:rsidR="00E87AD8" w:rsidRPr="009F2004">
        <w:rPr>
          <w:color w:val="000000" w:themeColor="text1"/>
          <w:sz w:val="22"/>
          <w:szCs w:val="22"/>
        </w:rPr>
        <w:t xml:space="preserve"> chemin </w:t>
      </w:r>
      <w:r w:rsidR="00E00092">
        <w:rPr>
          <w:color w:val="000000" w:themeColor="text1"/>
          <w:sz w:val="22"/>
          <w:szCs w:val="22"/>
        </w:rPr>
        <w:t>en</w:t>
      </w:r>
      <w:r w:rsidR="00E87AD8" w:rsidRPr="009F2004">
        <w:rPr>
          <w:color w:val="000000" w:themeColor="text1"/>
          <w:sz w:val="22"/>
          <w:szCs w:val="22"/>
        </w:rPr>
        <w:t xml:space="preserve"> transform</w:t>
      </w:r>
      <w:r w:rsidR="00E00092">
        <w:rPr>
          <w:color w:val="000000" w:themeColor="text1"/>
          <w:sz w:val="22"/>
          <w:szCs w:val="22"/>
        </w:rPr>
        <w:t>ant</w:t>
      </w:r>
      <w:r w:rsidR="00E87AD8" w:rsidRPr="009F2004">
        <w:rPr>
          <w:color w:val="000000" w:themeColor="text1"/>
          <w:sz w:val="22"/>
          <w:szCs w:val="22"/>
        </w:rPr>
        <w:t xml:space="preserve"> le futur en délai.  </w:t>
      </w:r>
    </w:p>
    <w:p w:rsidR="002D027A" w:rsidRPr="009F2004" w:rsidRDefault="00AB35C4" w:rsidP="009F2004">
      <w:pPr>
        <w:ind w:right="284" w:firstLine="284"/>
        <w:jc w:val="both"/>
        <w:rPr>
          <w:i/>
          <w:iCs/>
          <w:color w:val="000000" w:themeColor="text1"/>
          <w:sz w:val="22"/>
          <w:szCs w:val="22"/>
        </w:rPr>
      </w:pPr>
      <w:r w:rsidRPr="009F2004">
        <w:rPr>
          <w:color w:val="000000"/>
          <w:sz w:val="22"/>
          <w:szCs w:val="22"/>
        </w:rPr>
        <w:t>C’est affirmer la centralité de la notion d’option, dont l’aire définitionnelle se partage entre plusieurs acceptions</w:t>
      </w:r>
      <w:r w:rsidR="00961A87">
        <w:rPr>
          <w:color w:val="000000"/>
          <w:sz w:val="22"/>
          <w:szCs w:val="22"/>
        </w:rPr>
        <w:t xml:space="preserve"> du lexème</w:t>
      </w:r>
      <w:r w:rsidRPr="009F2004">
        <w:rPr>
          <w:color w:val="000000"/>
          <w:sz w:val="22"/>
          <w:szCs w:val="22"/>
        </w:rPr>
        <w:t xml:space="preserve">. </w:t>
      </w:r>
      <w:r w:rsidRPr="009F2004">
        <w:rPr>
          <w:color w:val="000000" w:themeColor="text1"/>
          <w:sz w:val="22"/>
          <w:szCs w:val="22"/>
        </w:rPr>
        <w:t>S</w:t>
      </w:r>
      <w:r w:rsidR="002D027A" w:rsidRPr="009F2004">
        <w:rPr>
          <w:color w:val="000000" w:themeColor="text1"/>
          <w:sz w:val="22"/>
          <w:szCs w:val="22"/>
        </w:rPr>
        <w:t>elon le</w:t>
      </w:r>
      <w:r w:rsidR="002D027A" w:rsidRPr="009F2004">
        <w:rPr>
          <w:i/>
          <w:color w:val="000000" w:themeColor="text1"/>
          <w:sz w:val="22"/>
          <w:szCs w:val="22"/>
        </w:rPr>
        <w:t xml:space="preserve"> Larousse</w:t>
      </w:r>
      <w:r w:rsidR="002D027A" w:rsidRPr="009F2004">
        <w:rPr>
          <w:color w:val="000000" w:themeColor="text1"/>
          <w:sz w:val="22"/>
          <w:szCs w:val="22"/>
        </w:rPr>
        <w:t xml:space="preserve">, l’option correspond (i) au fait de choisir et (ii) à « ce qui est offert au choix et qui vient s’ajouter à quelque chose d’imposé, en particulier dans une épreuve ». </w:t>
      </w:r>
      <w:r w:rsidRPr="009F2004">
        <w:rPr>
          <w:color w:val="000000" w:themeColor="text1"/>
          <w:sz w:val="22"/>
          <w:szCs w:val="22"/>
        </w:rPr>
        <w:t>C’est mettre en avant</w:t>
      </w:r>
      <w:r w:rsidR="009D18A7">
        <w:rPr>
          <w:color w:val="000000" w:themeColor="text1"/>
          <w:sz w:val="22"/>
          <w:szCs w:val="22"/>
        </w:rPr>
        <w:t>, en production,</w:t>
      </w:r>
      <w:r w:rsidRPr="009F2004">
        <w:rPr>
          <w:color w:val="000000" w:themeColor="text1"/>
          <w:sz w:val="22"/>
          <w:szCs w:val="22"/>
        </w:rPr>
        <w:t xml:space="preserve"> l’idée de la proposition, au-delà ou en-deçà de la contrainte. S’il est vrai que, d</w:t>
      </w:r>
      <w:r w:rsidR="002D027A" w:rsidRPr="009F2004">
        <w:rPr>
          <w:color w:val="000000" w:themeColor="text1"/>
          <w:sz w:val="22"/>
          <w:szCs w:val="22"/>
        </w:rPr>
        <w:t xml:space="preserve">’après le </w:t>
      </w:r>
      <w:r w:rsidR="002D027A" w:rsidRPr="009F2004">
        <w:rPr>
          <w:i/>
          <w:color w:val="000000" w:themeColor="text1"/>
          <w:sz w:val="22"/>
          <w:szCs w:val="22"/>
        </w:rPr>
        <w:t>TLF</w:t>
      </w:r>
      <w:r w:rsidR="002D027A" w:rsidRPr="009F2004">
        <w:rPr>
          <w:color w:val="000000" w:themeColor="text1"/>
          <w:sz w:val="22"/>
          <w:szCs w:val="22"/>
        </w:rPr>
        <w:t xml:space="preserve">, opter, c’est </w:t>
      </w:r>
      <w:r w:rsidR="006B4794" w:rsidRPr="009F2004">
        <w:rPr>
          <w:color w:val="000000" w:themeColor="text1"/>
          <w:sz w:val="22"/>
          <w:szCs w:val="22"/>
        </w:rPr>
        <w:t xml:space="preserve">d’abord </w:t>
      </w:r>
      <w:r w:rsidR="002D027A" w:rsidRPr="009F2004">
        <w:rPr>
          <w:color w:val="000000" w:themeColor="text1"/>
          <w:sz w:val="22"/>
          <w:szCs w:val="22"/>
        </w:rPr>
        <w:t xml:space="preserve">« faire un choix, prendre parti </w:t>
      </w:r>
      <w:r w:rsidR="002D027A" w:rsidRPr="009F2004">
        <w:rPr>
          <w:color w:val="000000" w:themeColor="text1"/>
          <w:sz w:val="22"/>
          <w:szCs w:val="22"/>
        </w:rPr>
        <w:lastRenderedPageBreak/>
        <w:t xml:space="preserve">entre deux ou plusieurs choses, deux ou plusieurs solutions possibles qui s'excluent et dont on ne peut retenir qu'une seule », les synonymes du lexème </w:t>
      </w:r>
      <w:r w:rsidR="002D027A" w:rsidRPr="009F2004">
        <w:rPr>
          <w:i/>
          <w:color w:val="000000" w:themeColor="text1"/>
          <w:sz w:val="22"/>
          <w:szCs w:val="22"/>
        </w:rPr>
        <w:t>opter</w:t>
      </w:r>
      <w:r w:rsidR="002D027A" w:rsidRPr="009F2004">
        <w:rPr>
          <w:color w:val="000000" w:themeColor="text1"/>
          <w:sz w:val="22"/>
          <w:szCs w:val="22"/>
        </w:rPr>
        <w:t xml:space="preserve"> étant </w:t>
      </w:r>
      <w:r w:rsidR="002D027A" w:rsidRPr="009F2004">
        <w:rPr>
          <w:i/>
          <w:iCs/>
          <w:color w:val="000000" w:themeColor="text1"/>
          <w:sz w:val="22"/>
          <w:szCs w:val="22"/>
        </w:rPr>
        <w:t>choisir</w:t>
      </w:r>
      <w:r w:rsidR="002D027A" w:rsidRPr="009F2004">
        <w:rPr>
          <w:iCs/>
          <w:color w:val="000000" w:themeColor="text1"/>
          <w:sz w:val="22"/>
          <w:szCs w:val="22"/>
        </w:rPr>
        <w:t>, (</w:t>
      </w:r>
      <w:r w:rsidR="002D027A" w:rsidRPr="009F2004">
        <w:rPr>
          <w:i/>
          <w:iCs/>
          <w:color w:val="000000" w:themeColor="text1"/>
          <w:sz w:val="22"/>
          <w:szCs w:val="22"/>
        </w:rPr>
        <w:t>se) décider, (se) déterminer</w:t>
      </w:r>
      <w:r w:rsidR="006B4794" w:rsidRPr="009F2004">
        <w:rPr>
          <w:i/>
          <w:iCs/>
          <w:color w:val="000000" w:themeColor="text1"/>
          <w:sz w:val="22"/>
          <w:szCs w:val="22"/>
        </w:rPr>
        <w:t xml:space="preserve">, </w:t>
      </w:r>
      <w:r w:rsidR="006B4794" w:rsidRPr="009F2004">
        <w:rPr>
          <w:iCs/>
          <w:color w:val="000000" w:themeColor="text1"/>
          <w:sz w:val="22"/>
          <w:szCs w:val="22"/>
        </w:rPr>
        <w:t xml:space="preserve">une autre acception vient étayer notre argumentation : « prendre une option », c’est également consentir à une </w:t>
      </w:r>
      <w:r w:rsidR="002D027A" w:rsidRPr="009F2004">
        <w:rPr>
          <w:iCs/>
          <w:color w:val="000000"/>
          <w:sz w:val="22"/>
          <w:szCs w:val="22"/>
        </w:rPr>
        <w:t>« promesse d’achat, commande conditionnelle d’un objet, qui doit être confirmée dans un certain délai »</w:t>
      </w:r>
      <w:r w:rsidR="006B4794" w:rsidRPr="009F2004">
        <w:rPr>
          <w:iCs/>
          <w:color w:val="000000"/>
          <w:sz w:val="22"/>
          <w:szCs w:val="22"/>
        </w:rPr>
        <w:t xml:space="preserve">, ou encore à une </w:t>
      </w:r>
      <w:r w:rsidR="002D027A" w:rsidRPr="009F2004">
        <w:rPr>
          <w:color w:val="000000"/>
          <w:sz w:val="22"/>
          <w:szCs w:val="22"/>
        </w:rPr>
        <w:t>« promesse de vente qui n'oblige pas le bénéficiaire à se porter acheteur le moment venu  ». L’idée est que proposer</w:t>
      </w:r>
      <w:r w:rsidR="0085454F">
        <w:rPr>
          <w:color w:val="000000"/>
          <w:sz w:val="22"/>
          <w:szCs w:val="22"/>
        </w:rPr>
        <w:t xml:space="preserve"> </w:t>
      </w:r>
      <w:r w:rsidR="00961A87">
        <w:rPr>
          <w:color w:val="000000"/>
          <w:sz w:val="22"/>
          <w:szCs w:val="22"/>
        </w:rPr>
        <w:t xml:space="preserve">(en production) </w:t>
      </w:r>
      <w:r w:rsidR="0085454F">
        <w:rPr>
          <w:color w:val="000000"/>
          <w:sz w:val="22"/>
          <w:szCs w:val="22"/>
        </w:rPr>
        <w:t>ou prendre</w:t>
      </w:r>
      <w:r w:rsidR="002D027A" w:rsidRPr="009F2004">
        <w:rPr>
          <w:color w:val="000000"/>
          <w:sz w:val="22"/>
          <w:szCs w:val="22"/>
        </w:rPr>
        <w:t xml:space="preserve"> une option</w:t>
      </w:r>
      <w:r w:rsidR="007A60FC" w:rsidRPr="009F2004">
        <w:rPr>
          <w:color w:val="000000"/>
          <w:sz w:val="22"/>
          <w:szCs w:val="22"/>
        </w:rPr>
        <w:t xml:space="preserve"> (en réception)</w:t>
      </w:r>
      <w:r w:rsidR="002D027A" w:rsidRPr="009F2004">
        <w:rPr>
          <w:color w:val="000000"/>
          <w:sz w:val="22"/>
          <w:szCs w:val="22"/>
        </w:rPr>
        <w:t xml:space="preserve">, c’est </w:t>
      </w:r>
      <w:r w:rsidR="006B4794" w:rsidRPr="009F2004">
        <w:rPr>
          <w:color w:val="000000"/>
          <w:sz w:val="22"/>
          <w:szCs w:val="22"/>
        </w:rPr>
        <w:t xml:space="preserve">(i) </w:t>
      </w:r>
      <w:r w:rsidR="002D027A" w:rsidRPr="009F2004">
        <w:rPr>
          <w:color w:val="000000"/>
          <w:sz w:val="22"/>
          <w:szCs w:val="22"/>
        </w:rPr>
        <w:t xml:space="preserve">déclarer de l’intérêt pour quelque chose, </w:t>
      </w:r>
      <w:r w:rsidR="006B4794" w:rsidRPr="009F2004">
        <w:rPr>
          <w:color w:val="000000"/>
          <w:sz w:val="22"/>
          <w:szCs w:val="22"/>
        </w:rPr>
        <w:t xml:space="preserve">(ii) </w:t>
      </w:r>
      <w:r w:rsidR="002D027A" w:rsidRPr="009F2004">
        <w:rPr>
          <w:color w:val="000000"/>
          <w:sz w:val="22"/>
          <w:szCs w:val="22"/>
        </w:rPr>
        <w:t>(donner à) choisir parmi un ensemble de possibles</w:t>
      </w:r>
      <w:r w:rsidR="00A42C11">
        <w:rPr>
          <w:color w:val="000000"/>
          <w:sz w:val="22"/>
          <w:szCs w:val="22"/>
        </w:rPr>
        <w:t xml:space="preserve"> ou, mieux, </w:t>
      </w:r>
      <w:r w:rsidR="00550843">
        <w:rPr>
          <w:color w:val="000000"/>
          <w:sz w:val="22"/>
          <w:szCs w:val="22"/>
        </w:rPr>
        <w:t xml:space="preserve">mettre à la disposition/retenir un probable et </w:t>
      </w:r>
      <w:r w:rsidR="006B4794" w:rsidRPr="009F2004">
        <w:rPr>
          <w:color w:val="000000"/>
          <w:sz w:val="22"/>
          <w:szCs w:val="22"/>
        </w:rPr>
        <w:t xml:space="preserve">(iii) </w:t>
      </w:r>
      <w:r w:rsidR="002D027A" w:rsidRPr="009F2004">
        <w:rPr>
          <w:color w:val="000000"/>
          <w:sz w:val="22"/>
          <w:szCs w:val="22"/>
        </w:rPr>
        <w:t>permettr</w:t>
      </w:r>
      <w:r w:rsidR="00547E26">
        <w:rPr>
          <w:color w:val="000000"/>
          <w:sz w:val="22"/>
          <w:szCs w:val="22"/>
        </w:rPr>
        <w:t xml:space="preserve">e/avoir la permission de </w:t>
      </w:r>
      <w:r w:rsidR="002D027A" w:rsidRPr="009F2004">
        <w:rPr>
          <w:color w:val="000000"/>
          <w:sz w:val="22"/>
          <w:szCs w:val="22"/>
        </w:rPr>
        <w:t>et promettre quelque chose (par exemple, se nourrir de manière saine)</w:t>
      </w:r>
      <w:r w:rsidR="006B4794" w:rsidRPr="009F2004">
        <w:rPr>
          <w:color w:val="000000"/>
          <w:sz w:val="22"/>
          <w:szCs w:val="22"/>
        </w:rPr>
        <w:t xml:space="preserve"> en engageant</w:t>
      </w:r>
      <w:r w:rsidR="002D027A" w:rsidRPr="009F2004">
        <w:rPr>
          <w:color w:val="000000"/>
          <w:sz w:val="22"/>
          <w:szCs w:val="22"/>
        </w:rPr>
        <w:t xml:space="preserve"> l’avenir </w:t>
      </w:r>
      <w:r w:rsidR="006B4794" w:rsidRPr="009F2004">
        <w:rPr>
          <w:color w:val="000000"/>
          <w:sz w:val="22"/>
          <w:szCs w:val="22"/>
        </w:rPr>
        <w:t xml:space="preserve">(de manière </w:t>
      </w:r>
      <w:r w:rsidR="0074442C">
        <w:rPr>
          <w:color w:val="000000"/>
          <w:sz w:val="22"/>
          <w:szCs w:val="22"/>
        </w:rPr>
        <w:t xml:space="preserve">non </w:t>
      </w:r>
      <w:r w:rsidR="006B4794" w:rsidRPr="009F2004">
        <w:rPr>
          <w:color w:val="000000"/>
          <w:sz w:val="22"/>
          <w:szCs w:val="22"/>
        </w:rPr>
        <w:t>irréversible)</w:t>
      </w:r>
      <w:r w:rsidR="002D027A" w:rsidRPr="009F2004">
        <w:rPr>
          <w:color w:val="000000"/>
          <w:sz w:val="22"/>
          <w:szCs w:val="22"/>
        </w:rPr>
        <w:t>.</w:t>
      </w:r>
    </w:p>
    <w:p w:rsidR="008826C6" w:rsidRPr="009F2004" w:rsidRDefault="003F43D0" w:rsidP="009F2004">
      <w:pPr>
        <w:ind w:right="284" w:firstLine="284"/>
        <w:jc w:val="both"/>
        <w:rPr>
          <w:color w:val="000000"/>
          <w:sz w:val="22"/>
          <w:szCs w:val="22"/>
        </w:rPr>
      </w:pPr>
      <w:r w:rsidRPr="009F2004">
        <w:rPr>
          <w:color w:val="000000"/>
          <w:sz w:val="22"/>
          <w:szCs w:val="22"/>
        </w:rPr>
        <w:t xml:space="preserve">Dans le cas du nudge, l’on assiste ainsi à un glissement, en réception, </w:t>
      </w:r>
      <w:r w:rsidR="00550843">
        <w:rPr>
          <w:color w:val="000000"/>
          <w:sz w:val="22"/>
          <w:szCs w:val="22"/>
        </w:rPr>
        <w:t xml:space="preserve">du choix d’un possible </w:t>
      </w:r>
      <w:r w:rsidR="00C30468">
        <w:rPr>
          <w:color w:val="000000"/>
          <w:sz w:val="22"/>
          <w:szCs w:val="22"/>
        </w:rPr>
        <w:t xml:space="preserve">rendu </w:t>
      </w:r>
      <w:r w:rsidR="00550843">
        <w:rPr>
          <w:color w:val="000000"/>
          <w:sz w:val="22"/>
          <w:szCs w:val="22"/>
        </w:rPr>
        <w:t>probable</w:t>
      </w:r>
      <w:r w:rsidRPr="009F2004">
        <w:rPr>
          <w:color w:val="000000"/>
          <w:sz w:val="22"/>
          <w:szCs w:val="22"/>
        </w:rPr>
        <w:t xml:space="preserve"> vers un engagement</w:t>
      </w:r>
      <w:r w:rsidR="00F76350">
        <w:rPr>
          <w:color w:val="000000"/>
          <w:sz w:val="22"/>
          <w:szCs w:val="22"/>
        </w:rPr>
        <w:t xml:space="preserve"> ou</w:t>
      </w:r>
      <w:r w:rsidRPr="009F2004">
        <w:rPr>
          <w:color w:val="000000"/>
          <w:sz w:val="22"/>
          <w:szCs w:val="22"/>
        </w:rPr>
        <w:t xml:space="preserve"> une promesse soutenus par un modèle de prévisibilité, sans que, toutefois, ces der</w:t>
      </w:r>
      <w:r w:rsidR="00E00092">
        <w:rPr>
          <w:color w:val="000000"/>
          <w:sz w:val="22"/>
          <w:szCs w:val="22"/>
        </w:rPr>
        <w:t>n</w:t>
      </w:r>
      <w:r w:rsidRPr="009F2004">
        <w:rPr>
          <w:color w:val="000000"/>
          <w:sz w:val="22"/>
          <w:szCs w:val="22"/>
        </w:rPr>
        <w:t>iers soient supposés enfermer et sceller le destin. En effet, s</w:t>
      </w:r>
      <w:r w:rsidR="002D027A" w:rsidRPr="009F2004">
        <w:rPr>
          <w:color w:val="000000"/>
          <w:sz w:val="22"/>
          <w:szCs w:val="22"/>
        </w:rPr>
        <w:t xml:space="preserve">ous le couvert de la modalisation par le </w:t>
      </w:r>
      <w:r w:rsidR="002D027A" w:rsidRPr="009F2004">
        <w:rPr>
          <w:i/>
          <w:color w:val="000000"/>
          <w:sz w:val="22"/>
          <w:szCs w:val="22"/>
        </w:rPr>
        <w:t>pouvoir faire</w:t>
      </w:r>
      <w:r w:rsidR="002D027A" w:rsidRPr="009F2004">
        <w:rPr>
          <w:color w:val="000000"/>
          <w:sz w:val="22"/>
          <w:szCs w:val="22"/>
        </w:rPr>
        <w:t xml:space="preserve">, plusieurs inflexions peuvent se combiner. </w:t>
      </w:r>
      <w:r w:rsidRPr="009F2004">
        <w:rPr>
          <w:color w:val="000000"/>
          <w:sz w:val="22"/>
          <w:szCs w:val="22"/>
        </w:rPr>
        <w:t>Si le</w:t>
      </w:r>
      <w:r w:rsidR="002D027A" w:rsidRPr="009F2004">
        <w:rPr>
          <w:color w:val="000000"/>
          <w:sz w:val="22"/>
          <w:szCs w:val="22"/>
        </w:rPr>
        <w:t xml:space="preserve"> </w:t>
      </w:r>
      <w:r w:rsidR="002D027A" w:rsidRPr="009F2004">
        <w:rPr>
          <w:i/>
          <w:color w:val="000000"/>
          <w:sz w:val="22"/>
          <w:szCs w:val="22"/>
        </w:rPr>
        <w:t>pouvoir faire</w:t>
      </w:r>
      <w:r w:rsidR="002D027A" w:rsidRPr="009F2004">
        <w:rPr>
          <w:color w:val="000000"/>
          <w:sz w:val="22"/>
          <w:szCs w:val="22"/>
        </w:rPr>
        <w:t xml:space="preserve"> est lié à </w:t>
      </w:r>
      <w:r w:rsidR="00550843">
        <w:rPr>
          <w:color w:val="000000"/>
          <w:sz w:val="22"/>
          <w:szCs w:val="22"/>
        </w:rPr>
        <w:t xml:space="preserve">un </w:t>
      </w:r>
      <w:r w:rsidR="00141E7B">
        <w:rPr>
          <w:color w:val="000000"/>
          <w:sz w:val="22"/>
          <w:szCs w:val="22"/>
        </w:rPr>
        <w:t xml:space="preserve">ensemble de </w:t>
      </w:r>
      <w:r w:rsidR="00550843" w:rsidRPr="00550843">
        <w:rPr>
          <w:i/>
          <w:color w:val="000000"/>
          <w:sz w:val="22"/>
          <w:szCs w:val="22"/>
        </w:rPr>
        <w:t>possible</w:t>
      </w:r>
      <w:r w:rsidR="00141E7B">
        <w:rPr>
          <w:i/>
          <w:color w:val="000000"/>
          <w:sz w:val="22"/>
          <w:szCs w:val="22"/>
        </w:rPr>
        <w:t>s</w:t>
      </w:r>
      <w:r w:rsidR="00550843">
        <w:rPr>
          <w:color w:val="000000"/>
          <w:sz w:val="22"/>
          <w:szCs w:val="22"/>
        </w:rPr>
        <w:t xml:space="preserve"> ou, mieux, </w:t>
      </w:r>
      <w:r w:rsidR="00141E7B">
        <w:rPr>
          <w:color w:val="000000"/>
          <w:sz w:val="22"/>
          <w:szCs w:val="22"/>
        </w:rPr>
        <w:t>de</w:t>
      </w:r>
      <w:r w:rsidR="00550843">
        <w:rPr>
          <w:color w:val="000000"/>
          <w:sz w:val="22"/>
          <w:szCs w:val="22"/>
        </w:rPr>
        <w:t xml:space="preserve"> </w:t>
      </w:r>
      <w:r w:rsidR="00550843" w:rsidRPr="00550843">
        <w:rPr>
          <w:i/>
          <w:color w:val="000000"/>
          <w:sz w:val="22"/>
          <w:szCs w:val="22"/>
        </w:rPr>
        <w:t>probable</w:t>
      </w:r>
      <w:r w:rsidR="00141E7B">
        <w:rPr>
          <w:i/>
          <w:color w:val="000000"/>
          <w:sz w:val="22"/>
          <w:szCs w:val="22"/>
        </w:rPr>
        <w:t>s</w:t>
      </w:r>
      <w:r w:rsidR="00550843">
        <w:rPr>
          <w:color w:val="000000"/>
          <w:sz w:val="22"/>
          <w:szCs w:val="22"/>
        </w:rPr>
        <w:t xml:space="preserve">, </w:t>
      </w:r>
      <w:r w:rsidR="002D027A" w:rsidRPr="00550843">
        <w:rPr>
          <w:color w:val="000000"/>
          <w:sz w:val="22"/>
          <w:szCs w:val="22"/>
        </w:rPr>
        <w:t>l’agir</w:t>
      </w:r>
      <w:r w:rsidR="002D027A" w:rsidRPr="009F2004">
        <w:rPr>
          <w:color w:val="000000"/>
          <w:sz w:val="22"/>
          <w:szCs w:val="22"/>
        </w:rPr>
        <w:t xml:space="preserve"> </w:t>
      </w:r>
      <w:r w:rsidRPr="009F2004">
        <w:rPr>
          <w:color w:val="000000"/>
          <w:sz w:val="22"/>
          <w:szCs w:val="22"/>
        </w:rPr>
        <w:t xml:space="preserve">est également modalisé </w:t>
      </w:r>
      <w:r w:rsidR="002D027A" w:rsidRPr="009F2004">
        <w:rPr>
          <w:color w:val="000000"/>
          <w:sz w:val="22"/>
          <w:szCs w:val="22"/>
        </w:rPr>
        <w:t xml:space="preserve">sur le mode de la </w:t>
      </w:r>
      <w:r w:rsidR="002D027A" w:rsidRPr="009F2004">
        <w:rPr>
          <w:i/>
          <w:color w:val="000000"/>
          <w:sz w:val="22"/>
          <w:szCs w:val="22"/>
        </w:rPr>
        <w:t>permission </w:t>
      </w:r>
      <w:r w:rsidRPr="009F2004">
        <w:rPr>
          <w:color w:val="000000"/>
          <w:sz w:val="22"/>
          <w:szCs w:val="22"/>
        </w:rPr>
        <w:t>(</w:t>
      </w:r>
      <w:r w:rsidR="00547E26">
        <w:rPr>
          <w:color w:val="000000"/>
          <w:sz w:val="22"/>
          <w:szCs w:val="22"/>
        </w:rPr>
        <w:t xml:space="preserve">avoir la permission de ; </w:t>
      </w:r>
      <w:r w:rsidR="002D027A" w:rsidRPr="009F2004">
        <w:rPr>
          <w:color w:val="000000"/>
          <w:sz w:val="22"/>
          <w:szCs w:val="22"/>
        </w:rPr>
        <w:t>même si l’agir peut ne pas avoir lieu ou avoir lieu après un certain délai, il est permis par les circonstances</w:t>
      </w:r>
      <w:r w:rsidRPr="009F2004">
        <w:rPr>
          <w:color w:val="000000"/>
          <w:sz w:val="22"/>
          <w:szCs w:val="22"/>
        </w:rPr>
        <w:t>)</w:t>
      </w:r>
      <w:r w:rsidR="008826C6" w:rsidRPr="009F2004">
        <w:rPr>
          <w:color w:val="000000"/>
          <w:sz w:val="22"/>
          <w:szCs w:val="22"/>
        </w:rPr>
        <w:t>,</w:t>
      </w:r>
      <w:r w:rsidRPr="009F2004">
        <w:rPr>
          <w:color w:val="000000"/>
          <w:sz w:val="22"/>
          <w:szCs w:val="22"/>
        </w:rPr>
        <w:t xml:space="preserve"> </w:t>
      </w:r>
      <w:r w:rsidR="008826C6" w:rsidRPr="009F2004">
        <w:rPr>
          <w:color w:val="000000"/>
          <w:sz w:val="22"/>
          <w:szCs w:val="22"/>
        </w:rPr>
        <w:t xml:space="preserve">qui vient étayer la </w:t>
      </w:r>
      <w:r w:rsidR="008826C6" w:rsidRPr="009F2004">
        <w:rPr>
          <w:i/>
          <w:color w:val="000000"/>
          <w:sz w:val="22"/>
          <w:szCs w:val="22"/>
        </w:rPr>
        <w:t>promesse</w:t>
      </w:r>
      <w:r w:rsidRPr="009F2004">
        <w:rPr>
          <w:color w:val="000000"/>
          <w:sz w:val="22"/>
          <w:szCs w:val="22"/>
        </w:rPr>
        <w:t xml:space="preserve"> </w:t>
      </w:r>
      <w:r w:rsidR="008826C6" w:rsidRPr="009F2004">
        <w:rPr>
          <w:color w:val="000000"/>
          <w:sz w:val="22"/>
          <w:szCs w:val="22"/>
        </w:rPr>
        <w:t>(</w:t>
      </w:r>
      <w:r w:rsidR="009D18A7">
        <w:rPr>
          <w:color w:val="000000"/>
          <w:sz w:val="22"/>
          <w:szCs w:val="22"/>
        </w:rPr>
        <w:t xml:space="preserve">par exemple, s’engager à s’alimenter de manière saine </w:t>
      </w:r>
      <w:r w:rsidR="002D027A" w:rsidRPr="009F2004">
        <w:rPr>
          <w:color w:val="000000"/>
          <w:sz w:val="22"/>
          <w:szCs w:val="22"/>
        </w:rPr>
        <w:t>en accord</w:t>
      </w:r>
      <w:r w:rsidR="009D18A7">
        <w:rPr>
          <w:color w:val="000000"/>
          <w:sz w:val="22"/>
          <w:szCs w:val="22"/>
        </w:rPr>
        <w:t xml:space="preserve"> </w:t>
      </w:r>
      <w:r w:rsidR="002D027A" w:rsidRPr="009F2004">
        <w:rPr>
          <w:color w:val="000000"/>
          <w:sz w:val="22"/>
          <w:szCs w:val="22"/>
        </w:rPr>
        <w:t>avec la promesse d’une alimentation saine inhérente au banc de fruits</w:t>
      </w:r>
      <w:r w:rsidR="008826C6" w:rsidRPr="009F2004">
        <w:rPr>
          <w:color w:val="000000"/>
          <w:sz w:val="22"/>
          <w:szCs w:val="22"/>
        </w:rPr>
        <w:t>)</w:t>
      </w:r>
      <w:r w:rsidR="008826C6" w:rsidRPr="009F2004">
        <w:rPr>
          <w:rStyle w:val="Appelnotedebasdep"/>
          <w:color w:val="000000"/>
          <w:sz w:val="22"/>
          <w:szCs w:val="22"/>
        </w:rPr>
        <w:footnoteReference w:id="5"/>
      </w:r>
      <w:r w:rsidR="002D027A" w:rsidRPr="009F2004">
        <w:rPr>
          <w:color w:val="000000"/>
          <w:sz w:val="22"/>
          <w:szCs w:val="22"/>
        </w:rPr>
        <w:t xml:space="preserve">. </w:t>
      </w:r>
    </w:p>
    <w:p w:rsidR="002D027A" w:rsidRPr="009F2004" w:rsidRDefault="008826C6" w:rsidP="009F2004">
      <w:pPr>
        <w:ind w:right="284" w:firstLine="284"/>
        <w:jc w:val="both"/>
        <w:rPr>
          <w:color w:val="000000"/>
          <w:sz w:val="22"/>
          <w:szCs w:val="22"/>
        </w:rPr>
      </w:pPr>
      <w:r w:rsidRPr="009F2004">
        <w:rPr>
          <w:color w:val="000000"/>
          <w:sz w:val="22"/>
          <w:szCs w:val="22"/>
        </w:rPr>
        <w:t xml:space="preserve">Telle est l’ambivalence fondatrice de la politique du nudge selon Thaler et Sunstein : </w:t>
      </w:r>
      <w:r w:rsidRPr="009F2004">
        <w:rPr>
          <w:i/>
          <w:color w:val="000000"/>
          <w:sz w:val="22"/>
          <w:szCs w:val="22"/>
        </w:rPr>
        <w:t>proposer</w:t>
      </w:r>
      <w:r w:rsidRPr="009F2004">
        <w:rPr>
          <w:color w:val="000000"/>
          <w:sz w:val="22"/>
          <w:szCs w:val="22"/>
        </w:rPr>
        <w:t xml:space="preserve">, </w:t>
      </w:r>
      <w:r w:rsidR="00547E26">
        <w:rPr>
          <w:color w:val="000000"/>
          <w:sz w:val="22"/>
          <w:szCs w:val="22"/>
        </w:rPr>
        <w:t xml:space="preserve">en production, </w:t>
      </w:r>
      <w:r w:rsidRPr="009F2004">
        <w:rPr>
          <w:color w:val="000000"/>
          <w:sz w:val="22"/>
          <w:szCs w:val="22"/>
        </w:rPr>
        <w:t>c’est</w:t>
      </w:r>
      <w:r w:rsidR="00550843">
        <w:rPr>
          <w:color w:val="000000"/>
          <w:sz w:val="22"/>
          <w:szCs w:val="22"/>
        </w:rPr>
        <w:t>, d’emblée,</w:t>
      </w:r>
      <w:r w:rsidRPr="009F2004">
        <w:rPr>
          <w:color w:val="000000"/>
          <w:sz w:val="22"/>
          <w:szCs w:val="22"/>
        </w:rPr>
        <w:t xml:space="preserve"> confronter à un </w:t>
      </w:r>
      <w:r w:rsidR="00550843">
        <w:rPr>
          <w:color w:val="000000"/>
          <w:sz w:val="22"/>
          <w:szCs w:val="22"/>
        </w:rPr>
        <w:t>possible ou un probable</w:t>
      </w:r>
      <w:r w:rsidRPr="009F2004">
        <w:rPr>
          <w:color w:val="000000"/>
          <w:sz w:val="22"/>
          <w:szCs w:val="22"/>
        </w:rPr>
        <w:t>, autoriser</w:t>
      </w:r>
      <w:r w:rsidR="00512EE2">
        <w:rPr>
          <w:color w:val="000000"/>
          <w:sz w:val="22"/>
          <w:szCs w:val="22"/>
        </w:rPr>
        <w:t xml:space="preserve">, voire </w:t>
      </w:r>
      <w:r w:rsidR="00550843">
        <w:rPr>
          <w:color w:val="000000"/>
          <w:sz w:val="22"/>
          <w:szCs w:val="22"/>
        </w:rPr>
        <w:t xml:space="preserve">promettre et </w:t>
      </w:r>
      <w:r w:rsidR="009D18A7">
        <w:rPr>
          <w:color w:val="000000"/>
          <w:sz w:val="22"/>
          <w:szCs w:val="22"/>
        </w:rPr>
        <w:t>prévoir</w:t>
      </w:r>
      <w:r w:rsidRPr="009F2004">
        <w:rPr>
          <w:color w:val="000000"/>
          <w:sz w:val="22"/>
          <w:szCs w:val="22"/>
        </w:rPr>
        <w:t xml:space="preserve"> </w:t>
      </w:r>
      <w:r w:rsidR="00550843">
        <w:rPr>
          <w:color w:val="000000"/>
          <w:sz w:val="22"/>
          <w:szCs w:val="22"/>
        </w:rPr>
        <w:t>s</w:t>
      </w:r>
      <w:r w:rsidRPr="009F2004">
        <w:rPr>
          <w:color w:val="000000"/>
          <w:sz w:val="22"/>
          <w:szCs w:val="22"/>
        </w:rPr>
        <w:t>a réalisation</w:t>
      </w:r>
      <w:r w:rsidR="00D23036" w:rsidRPr="009F2004">
        <w:rPr>
          <w:color w:val="000000"/>
          <w:sz w:val="22"/>
          <w:szCs w:val="22"/>
        </w:rPr>
        <w:t xml:space="preserve">. Cela sur le mode de la douceur, le </w:t>
      </w:r>
      <w:r w:rsidR="002D027A" w:rsidRPr="009F2004">
        <w:rPr>
          <w:color w:val="000000"/>
          <w:sz w:val="22"/>
          <w:szCs w:val="22"/>
        </w:rPr>
        <w:t>nudge a</w:t>
      </w:r>
      <w:r w:rsidR="00D23036" w:rsidRPr="009F2004">
        <w:rPr>
          <w:color w:val="000000"/>
          <w:sz w:val="22"/>
          <w:szCs w:val="22"/>
        </w:rPr>
        <w:t>yant</w:t>
      </w:r>
      <w:r w:rsidR="002D027A" w:rsidRPr="009F2004">
        <w:rPr>
          <w:color w:val="000000"/>
          <w:sz w:val="22"/>
          <w:szCs w:val="22"/>
        </w:rPr>
        <w:t xml:space="preserve"> partie liée avec la suggestion ou l’insinuation</w:t>
      </w:r>
      <w:r w:rsidR="00D23036" w:rsidRPr="009F2004">
        <w:rPr>
          <w:color w:val="000000"/>
          <w:sz w:val="22"/>
          <w:szCs w:val="22"/>
        </w:rPr>
        <w:t xml:space="preserve"> qui </w:t>
      </w:r>
      <w:r w:rsidR="002D027A" w:rsidRPr="009F2004">
        <w:rPr>
          <w:sz w:val="22"/>
          <w:szCs w:val="22"/>
        </w:rPr>
        <w:t>consist</w:t>
      </w:r>
      <w:r w:rsidR="00D23036" w:rsidRPr="009F2004">
        <w:rPr>
          <w:sz w:val="22"/>
          <w:szCs w:val="22"/>
        </w:rPr>
        <w:t xml:space="preserve">e </w:t>
      </w:r>
      <w:r w:rsidR="002D027A" w:rsidRPr="009F2004">
        <w:rPr>
          <w:sz w:val="22"/>
          <w:szCs w:val="22"/>
        </w:rPr>
        <w:t>à « introduire doucement et adroitement dans qqch », à « laisser entendre quelque chose sans l’exprimer ouvertement », à « pénétrer doucement et progressivement dans quelque chose » (</w:t>
      </w:r>
      <w:r w:rsidR="002D027A" w:rsidRPr="009F2004">
        <w:rPr>
          <w:i/>
          <w:sz w:val="22"/>
          <w:szCs w:val="22"/>
        </w:rPr>
        <w:t>TLF</w:t>
      </w:r>
      <w:r w:rsidR="002D027A" w:rsidRPr="009F2004">
        <w:rPr>
          <w:sz w:val="22"/>
          <w:szCs w:val="22"/>
        </w:rPr>
        <w:t xml:space="preserve">). D’où une </w:t>
      </w:r>
      <w:r w:rsidR="00B46D69">
        <w:rPr>
          <w:sz w:val="22"/>
          <w:szCs w:val="22"/>
        </w:rPr>
        <w:t>pro-position</w:t>
      </w:r>
      <w:r w:rsidR="002D027A" w:rsidRPr="009F2004">
        <w:rPr>
          <w:sz w:val="22"/>
          <w:szCs w:val="22"/>
        </w:rPr>
        <w:t xml:space="preserve"> sur le mode de la douceur et de l’implicite, </w:t>
      </w:r>
      <w:r w:rsidR="00D23036" w:rsidRPr="009F2004">
        <w:rPr>
          <w:sz w:val="22"/>
          <w:szCs w:val="22"/>
        </w:rPr>
        <w:t>l’adhésion sanctionnant un programme qui joue</w:t>
      </w:r>
      <w:r w:rsidR="003636EC" w:rsidRPr="009F2004">
        <w:rPr>
          <w:sz w:val="22"/>
          <w:szCs w:val="22"/>
        </w:rPr>
        <w:t xml:space="preserve">, habilement, </w:t>
      </w:r>
      <w:r w:rsidR="00D23036" w:rsidRPr="009F2004">
        <w:rPr>
          <w:sz w:val="22"/>
          <w:szCs w:val="22"/>
        </w:rPr>
        <w:t xml:space="preserve">sur un effet </w:t>
      </w:r>
      <w:r w:rsidR="00512EE2">
        <w:rPr>
          <w:sz w:val="22"/>
          <w:szCs w:val="22"/>
        </w:rPr>
        <w:t xml:space="preserve">de médiateté et d’immédiateté, </w:t>
      </w:r>
      <w:r w:rsidR="00A263BA">
        <w:rPr>
          <w:sz w:val="22"/>
          <w:szCs w:val="22"/>
        </w:rPr>
        <w:t>d’opacification et de transparence, cette dernière pouvant seule garantir le succès de l’incitation à long terme</w:t>
      </w:r>
      <w:r w:rsidR="00A263BA">
        <w:rPr>
          <w:rStyle w:val="Appelnotedebasdep"/>
          <w:sz w:val="22"/>
          <w:szCs w:val="22"/>
        </w:rPr>
        <w:footnoteReference w:id="6"/>
      </w:r>
      <w:r w:rsidR="00A263BA">
        <w:rPr>
          <w:sz w:val="22"/>
          <w:szCs w:val="22"/>
        </w:rPr>
        <w:t>.</w:t>
      </w:r>
    </w:p>
    <w:p w:rsidR="003636EC" w:rsidRDefault="003636EC" w:rsidP="009F2004">
      <w:pPr>
        <w:ind w:right="284" w:firstLine="284"/>
        <w:jc w:val="both"/>
        <w:rPr>
          <w:color w:val="000000"/>
          <w:sz w:val="22"/>
          <w:szCs w:val="22"/>
        </w:rPr>
      </w:pPr>
      <w:r w:rsidRPr="009F2004">
        <w:rPr>
          <w:color w:val="000000"/>
          <w:sz w:val="22"/>
          <w:szCs w:val="22"/>
        </w:rPr>
        <w:t>La notion d’</w:t>
      </w:r>
      <w:r w:rsidRPr="009F2004">
        <w:rPr>
          <w:i/>
          <w:color w:val="000000"/>
          <w:sz w:val="22"/>
          <w:szCs w:val="22"/>
        </w:rPr>
        <w:t>évidentialité</w:t>
      </w:r>
      <w:r w:rsidRPr="009F2004">
        <w:rPr>
          <w:color w:val="000000"/>
          <w:sz w:val="22"/>
          <w:szCs w:val="22"/>
        </w:rPr>
        <w:t xml:space="preserve"> peut faire avancer le débat, </w:t>
      </w:r>
      <w:r w:rsidR="00391E31" w:rsidRPr="009F2004">
        <w:rPr>
          <w:color w:val="000000"/>
          <w:sz w:val="22"/>
          <w:szCs w:val="22"/>
        </w:rPr>
        <w:t>d’abord négativement, en donnant à voir</w:t>
      </w:r>
      <w:r w:rsidR="0020010B" w:rsidRPr="009F2004">
        <w:rPr>
          <w:color w:val="000000"/>
          <w:sz w:val="22"/>
          <w:szCs w:val="22"/>
        </w:rPr>
        <w:t xml:space="preserve"> </w:t>
      </w:r>
      <w:r w:rsidR="00512EE2">
        <w:rPr>
          <w:color w:val="000000"/>
          <w:sz w:val="22"/>
          <w:szCs w:val="22"/>
        </w:rPr>
        <w:t xml:space="preserve">les points de contact, mais aussi </w:t>
      </w:r>
      <w:r w:rsidR="00391E31" w:rsidRPr="009F2004">
        <w:rPr>
          <w:color w:val="000000"/>
          <w:sz w:val="22"/>
          <w:szCs w:val="22"/>
        </w:rPr>
        <w:t>l</w:t>
      </w:r>
      <w:r w:rsidR="0020010B" w:rsidRPr="009F2004">
        <w:rPr>
          <w:color w:val="000000"/>
          <w:sz w:val="22"/>
          <w:szCs w:val="22"/>
        </w:rPr>
        <w:t xml:space="preserve">’écart entre </w:t>
      </w:r>
      <w:r w:rsidRPr="009F2004">
        <w:rPr>
          <w:color w:val="000000"/>
          <w:sz w:val="22"/>
          <w:szCs w:val="22"/>
        </w:rPr>
        <w:t xml:space="preserve">l’incitation selon Thaler et Sunstein </w:t>
      </w:r>
      <w:r w:rsidR="0020010B" w:rsidRPr="009F2004">
        <w:rPr>
          <w:color w:val="000000"/>
          <w:sz w:val="22"/>
          <w:szCs w:val="22"/>
        </w:rPr>
        <w:t>et</w:t>
      </w:r>
      <w:r w:rsidRPr="009F2004">
        <w:rPr>
          <w:color w:val="000000"/>
          <w:sz w:val="22"/>
          <w:szCs w:val="22"/>
        </w:rPr>
        <w:t xml:space="preserve"> la médiativité</w:t>
      </w:r>
      <w:r w:rsidR="00ED0DDE" w:rsidRPr="009F2004">
        <w:rPr>
          <w:color w:val="000000"/>
          <w:sz w:val="22"/>
          <w:szCs w:val="22"/>
        </w:rPr>
        <w:t xml:space="preserve"> </w:t>
      </w:r>
      <w:r w:rsidR="002D027A" w:rsidRPr="009F2004">
        <w:rPr>
          <w:color w:val="000000"/>
          <w:sz w:val="22"/>
          <w:szCs w:val="22"/>
        </w:rPr>
        <w:t>théorisée par les linguistes</w:t>
      </w:r>
      <w:r w:rsidRPr="009F2004">
        <w:rPr>
          <w:color w:val="000000"/>
          <w:sz w:val="22"/>
          <w:szCs w:val="22"/>
        </w:rPr>
        <w:t xml:space="preserve">. </w:t>
      </w:r>
      <w:r w:rsidR="002D027A" w:rsidRPr="009F2004">
        <w:rPr>
          <w:color w:val="000000"/>
          <w:sz w:val="22"/>
          <w:szCs w:val="22"/>
        </w:rPr>
        <w:t xml:space="preserve">Selon Zlatka Guentchéva (2017), le terme </w:t>
      </w:r>
      <w:r w:rsidRPr="009F2004">
        <w:rPr>
          <w:color w:val="000000"/>
          <w:sz w:val="22"/>
          <w:szCs w:val="22"/>
        </w:rPr>
        <w:t>« </w:t>
      </w:r>
      <w:r w:rsidR="002D027A" w:rsidRPr="009F2004">
        <w:rPr>
          <w:i/>
          <w:color w:val="000000"/>
          <w:sz w:val="22"/>
          <w:szCs w:val="22"/>
        </w:rPr>
        <w:t>médiatif</w:t>
      </w:r>
      <w:r w:rsidRPr="009F2004">
        <w:rPr>
          <w:color w:val="000000"/>
          <w:sz w:val="22"/>
          <w:szCs w:val="22"/>
        </w:rPr>
        <w:t> »</w:t>
      </w:r>
      <w:r w:rsidR="002D027A" w:rsidRPr="009F2004">
        <w:rPr>
          <w:color w:val="000000"/>
          <w:sz w:val="22"/>
          <w:szCs w:val="22"/>
        </w:rPr>
        <w:t xml:space="preserve"> désigne </w:t>
      </w:r>
      <w:r w:rsidRPr="009F2004">
        <w:rPr>
          <w:color w:val="000000"/>
          <w:sz w:val="22"/>
          <w:szCs w:val="22"/>
        </w:rPr>
        <w:t xml:space="preserve">en effet </w:t>
      </w:r>
      <w:r w:rsidR="002D027A" w:rsidRPr="009F2004">
        <w:rPr>
          <w:color w:val="000000"/>
          <w:sz w:val="22"/>
          <w:szCs w:val="22"/>
        </w:rPr>
        <w:t xml:space="preserve">une catégorie grammaticale dont la fonction est de </w:t>
      </w:r>
    </w:p>
    <w:p w:rsidR="009D785B" w:rsidRPr="009F2004" w:rsidRDefault="009D785B" w:rsidP="009F2004">
      <w:pPr>
        <w:ind w:right="284" w:firstLine="284"/>
        <w:jc w:val="both"/>
        <w:rPr>
          <w:color w:val="000000"/>
          <w:sz w:val="22"/>
          <w:szCs w:val="22"/>
        </w:rPr>
      </w:pPr>
    </w:p>
    <w:p w:rsidR="003636EC" w:rsidRPr="009D785B" w:rsidRDefault="002D027A" w:rsidP="009D785B">
      <w:pPr>
        <w:ind w:left="567" w:right="284" w:firstLine="284"/>
        <w:jc w:val="both"/>
        <w:rPr>
          <w:color w:val="000000"/>
          <w:sz w:val="20"/>
          <w:szCs w:val="20"/>
        </w:rPr>
      </w:pPr>
      <w:r w:rsidRPr="009D785B">
        <w:rPr>
          <w:color w:val="000000"/>
          <w:sz w:val="20"/>
          <w:szCs w:val="20"/>
        </w:rPr>
        <w:t xml:space="preserve">signaler que l’énonciateur présente une information dont il ne prend pas en charge la vérité du contenu propositionnel et laisse à son co-énonciateur la liberté de l’accepter, de la discuter ou de la rejeter, c’est-à-dire que l’énonciateur refuse de se prononcer sur le vrai ou le faux de l’information qu’il présente […], avec l’implication d’un mode d’accès indirect (ou médiat) à la connaissance des faits en question […]. </w:t>
      </w:r>
    </w:p>
    <w:p w:rsidR="009D785B" w:rsidRPr="009F2004" w:rsidRDefault="009D785B" w:rsidP="009F2004">
      <w:pPr>
        <w:ind w:right="284" w:firstLine="284"/>
        <w:jc w:val="both"/>
        <w:rPr>
          <w:color w:val="000000"/>
          <w:sz w:val="22"/>
          <w:szCs w:val="22"/>
        </w:rPr>
      </w:pPr>
    </w:p>
    <w:p w:rsidR="00E53F27" w:rsidRDefault="003636EC" w:rsidP="009D785B">
      <w:pPr>
        <w:ind w:right="284" w:firstLine="284"/>
        <w:jc w:val="both"/>
        <w:rPr>
          <w:color w:val="000000"/>
          <w:sz w:val="22"/>
          <w:szCs w:val="22"/>
        </w:rPr>
      </w:pPr>
      <w:r w:rsidRPr="009F2004">
        <w:rPr>
          <w:color w:val="000000"/>
          <w:sz w:val="22"/>
          <w:szCs w:val="22"/>
        </w:rPr>
        <w:t xml:space="preserve">On retiendra, pour notre propos, que </w:t>
      </w:r>
      <w:r w:rsidR="009D785B">
        <w:rPr>
          <w:color w:val="000000"/>
          <w:sz w:val="22"/>
          <w:szCs w:val="22"/>
        </w:rPr>
        <w:t>la médiativité</w:t>
      </w:r>
      <w:r w:rsidRPr="009F2004">
        <w:rPr>
          <w:color w:val="000000"/>
          <w:sz w:val="22"/>
          <w:szCs w:val="22"/>
        </w:rPr>
        <w:t xml:space="preserve"> </w:t>
      </w:r>
      <w:r w:rsidR="00391E31" w:rsidRPr="009F2004">
        <w:rPr>
          <w:color w:val="000000"/>
          <w:sz w:val="22"/>
          <w:szCs w:val="22"/>
        </w:rPr>
        <w:t>suppose</w:t>
      </w:r>
      <w:r w:rsidRPr="009F2004">
        <w:rPr>
          <w:color w:val="000000"/>
          <w:sz w:val="22"/>
          <w:szCs w:val="22"/>
        </w:rPr>
        <w:t xml:space="preserve"> </w:t>
      </w:r>
      <w:r w:rsidR="00391E31" w:rsidRPr="009F2004">
        <w:rPr>
          <w:color w:val="000000"/>
          <w:sz w:val="22"/>
          <w:szCs w:val="22"/>
        </w:rPr>
        <w:t>le</w:t>
      </w:r>
      <w:r w:rsidRPr="009F2004">
        <w:rPr>
          <w:color w:val="000000"/>
          <w:sz w:val="22"/>
          <w:szCs w:val="22"/>
        </w:rPr>
        <w:t xml:space="preserve"> non-engagement de l’énonciateur</w:t>
      </w:r>
      <w:r w:rsidR="009D785B">
        <w:rPr>
          <w:color w:val="000000"/>
          <w:sz w:val="22"/>
          <w:szCs w:val="22"/>
        </w:rPr>
        <w:t xml:space="preserve">, </w:t>
      </w:r>
      <w:r w:rsidR="00ED0DDE" w:rsidRPr="009F2004">
        <w:rPr>
          <w:color w:val="000000"/>
          <w:sz w:val="22"/>
          <w:szCs w:val="22"/>
        </w:rPr>
        <w:t xml:space="preserve">le possible </w:t>
      </w:r>
      <w:r w:rsidR="006720C0">
        <w:rPr>
          <w:color w:val="000000"/>
          <w:sz w:val="22"/>
          <w:szCs w:val="22"/>
        </w:rPr>
        <w:t xml:space="preserve">prenant </w:t>
      </w:r>
      <w:r w:rsidR="00ED0DDE" w:rsidRPr="009F2004">
        <w:rPr>
          <w:color w:val="000000"/>
          <w:sz w:val="22"/>
          <w:szCs w:val="22"/>
        </w:rPr>
        <w:t xml:space="preserve">les dehors du </w:t>
      </w:r>
      <w:r w:rsidR="00812F50">
        <w:rPr>
          <w:color w:val="000000"/>
          <w:sz w:val="22"/>
          <w:szCs w:val="22"/>
        </w:rPr>
        <w:t>plausible</w:t>
      </w:r>
      <w:r w:rsidR="00ED0DDE" w:rsidRPr="009F2004">
        <w:rPr>
          <w:rStyle w:val="Appelnotedebasdep"/>
          <w:color w:val="000000"/>
          <w:sz w:val="22"/>
          <w:szCs w:val="22"/>
        </w:rPr>
        <w:footnoteReference w:id="7"/>
      </w:r>
      <w:r w:rsidR="00ED0DDE" w:rsidRPr="009F2004">
        <w:rPr>
          <w:color w:val="000000"/>
          <w:sz w:val="22"/>
          <w:szCs w:val="22"/>
        </w:rPr>
        <w:t xml:space="preserve">. </w:t>
      </w:r>
      <w:r w:rsidR="00D44C61">
        <w:rPr>
          <w:color w:val="000000"/>
          <w:sz w:val="22"/>
          <w:szCs w:val="22"/>
        </w:rPr>
        <w:t>Mais, alors que le co-énonciateur mentionné par Zlatka Guentchéva a la « liberté d’accepter » la vérité du contenu propositionnel, de « la discuter ou de la rejeter », d</w:t>
      </w:r>
      <w:r w:rsidR="009D785B">
        <w:rPr>
          <w:color w:val="000000"/>
          <w:sz w:val="22"/>
          <w:szCs w:val="22"/>
        </w:rPr>
        <w:t>ans le cas de l’incitation</w:t>
      </w:r>
      <w:r w:rsidR="00547E26">
        <w:rPr>
          <w:color w:val="000000"/>
          <w:sz w:val="22"/>
          <w:szCs w:val="22"/>
        </w:rPr>
        <w:t xml:space="preserve"> selon Thaler et Sunstein</w:t>
      </w:r>
      <w:r w:rsidR="009D785B">
        <w:rPr>
          <w:color w:val="000000"/>
          <w:sz w:val="22"/>
          <w:szCs w:val="22"/>
        </w:rPr>
        <w:t xml:space="preserve">, </w:t>
      </w:r>
      <w:r w:rsidR="00D44C61">
        <w:rPr>
          <w:color w:val="000000"/>
          <w:sz w:val="22"/>
          <w:szCs w:val="22"/>
        </w:rPr>
        <w:t>l</w:t>
      </w:r>
      <w:r w:rsidR="009D785B">
        <w:rPr>
          <w:color w:val="000000"/>
          <w:sz w:val="22"/>
          <w:szCs w:val="22"/>
        </w:rPr>
        <w:t xml:space="preserve">e non-engagement permet de </w:t>
      </w:r>
      <w:r w:rsidR="009D785B">
        <w:rPr>
          <w:color w:val="000000"/>
          <w:sz w:val="22"/>
          <w:szCs w:val="22"/>
        </w:rPr>
        <w:lastRenderedPageBreak/>
        <w:t xml:space="preserve">préserver la liberté </w:t>
      </w:r>
      <w:r w:rsidR="00E53F27">
        <w:rPr>
          <w:color w:val="000000"/>
          <w:sz w:val="22"/>
          <w:szCs w:val="22"/>
        </w:rPr>
        <w:t>de l’énonciataire</w:t>
      </w:r>
      <w:r w:rsidR="009D785B">
        <w:rPr>
          <w:color w:val="000000"/>
          <w:sz w:val="22"/>
          <w:szCs w:val="22"/>
        </w:rPr>
        <w:t xml:space="preserve"> sans forcément ni d’abord créer les conditions de la discussion ou du rejet. </w:t>
      </w:r>
      <w:r w:rsidRPr="009F2004">
        <w:rPr>
          <w:color w:val="000000"/>
          <w:sz w:val="22"/>
          <w:szCs w:val="22"/>
        </w:rPr>
        <w:t>C’est</w:t>
      </w:r>
      <w:r w:rsidR="00ED0DDE" w:rsidRPr="009F2004">
        <w:rPr>
          <w:color w:val="000000"/>
          <w:sz w:val="22"/>
          <w:szCs w:val="22"/>
        </w:rPr>
        <w:t>,</w:t>
      </w:r>
      <w:r w:rsidRPr="009F2004">
        <w:rPr>
          <w:color w:val="000000"/>
          <w:sz w:val="22"/>
          <w:szCs w:val="22"/>
        </w:rPr>
        <w:t xml:space="preserve"> nous l’avons suggéré, le moyen le plus sûr d’éviter la</w:t>
      </w:r>
      <w:r w:rsidR="002D027A" w:rsidRPr="009F2004">
        <w:rPr>
          <w:color w:val="000000"/>
          <w:sz w:val="22"/>
          <w:szCs w:val="22"/>
        </w:rPr>
        <w:t xml:space="preserve"> frontalité et </w:t>
      </w:r>
      <w:r w:rsidR="00ED0DDE" w:rsidRPr="009F2004">
        <w:rPr>
          <w:color w:val="000000"/>
          <w:sz w:val="22"/>
          <w:szCs w:val="22"/>
        </w:rPr>
        <w:t xml:space="preserve">le désaccord </w:t>
      </w:r>
      <w:r w:rsidRPr="009F2004">
        <w:rPr>
          <w:color w:val="000000"/>
          <w:sz w:val="22"/>
          <w:szCs w:val="22"/>
        </w:rPr>
        <w:t xml:space="preserve">d’un énonciataire </w:t>
      </w:r>
      <w:r w:rsidR="00ED0DDE" w:rsidRPr="009F2004">
        <w:rPr>
          <w:color w:val="000000"/>
          <w:sz w:val="22"/>
          <w:szCs w:val="22"/>
        </w:rPr>
        <w:t xml:space="preserve">qui, après délibération, </w:t>
      </w:r>
      <w:r w:rsidR="005F0102">
        <w:rPr>
          <w:color w:val="000000"/>
          <w:sz w:val="22"/>
          <w:szCs w:val="22"/>
        </w:rPr>
        <w:t>pourrait proposer</w:t>
      </w:r>
      <w:r w:rsidRPr="009F2004">
        <w:rPr>
          <w:color w:val="000000"/>
          <w:sz w:val="22"/>
          <w:szCs w:val="22"/>
        </w:rPr>
        <w:t xml:space="preserve"> un contre-programme</w:t>
      </w:r>
      <w:r w:rsidR="002D027A" w:rsidRPr="009F2004">
        <w:rPr>
          <w:color w:val="000000"/>
          <w:sz w:val="22"/>
          <w:szCs w:val="22"/>
        </w:rPr>
        <w:t xml:space="preserve">. </w:t>
      </w:r>
    </w:p>
    <w:p w:rsidR="002D027A" w:rsidRPr="009D785B" w:rsidRDefault="0020010B" w:rsidP="009D785B">
      <w:pPr>
        <w:ind w:right="284" w:firstLine="284"/>
        <w:jc w:val="both"/>
        <w:rPr>
          <w:color w:val="000000"/>
          <w:sz w:val="22"/>
          <w:szCs w:val="22"/>
        </w:rPr>
      </w:pPr>
      <w:r w:rsidRPr="009F2004">
        <w:rPr>
          <w:sz w:val="22"/>
          <w:szCs w:val="22"/>
        </w:rPr>
        <w:t xml:space="preserve">À condition d’être dûment réinterrogée, </w:t>
      </w:r>
      <w:r w:rsidR="00ED0DDE" w:rsidRPr="009F2004">
        <w:rPr>
          <w:sz w:val="22"/>
          <w:szCs w:val="22"/>
        </w:rPr>
        <w:t>la notion d’évidentialité</w:t>
      </w:r>
      <w:r w:rsidRPr="009F2004">
        <w:rPr>
          <w:sz w:val="22"/>
          <w:szCs w:val="22"/>
        </w:rPr>
        <w:t xml:space="preserve"> </w:t>
      </w:r>
      <w:r w:rsidR="008234D4">
        <w:rPr>
          <w:sz w:val="22"/>
          <w:szCs w:val="22"/>
        </w:rPr>
        <w:t xml:space="preserve">ou d’évidence </w:t>
      </w:r>
      <w:r w:rsidRPr="009F2004">
        <w:rPr>
          <w:sz w:val="22"/>
          <w:szCs w:val="22"/>
        </w:rPr>
        <w:t xml:space="preserve">permet </w:t>
      </w:r>
      <w:r w:rsidR="008F4A9A" w:rsidRPr="009F2004">
        <w:rPr>
          <w:sz w:val="22"/>
          <w:szCs w:val="22"/>
        </w:rPr>
        <w:t>de préciser</w:t>
      </w:r>
      <w:r w:rsidRPr="009F2004">
        <w:rPr>
          <w:sz w:val="22"/>
          <w:szCs w:val="22"/>
        </w:rPr>
        <w:t xml:space="preserve"> davantage les mécanismes à la base de la politique du nudge</w:t>
      </w:r>
      <w:r w:rsidR="008F4A9A" w:rsidRPr="009F2004">
        <w:rPr>
          <w:sz w:val="22"/>
          <w:szCs w:val="22"/>
        </w:rPr>
        <w:t xml:space="preserve">. Elle invite </w:t>
      </w:r>
      <w:r w:rsidRPr="009F2004">
        <w:rPr>
          <w:sz w:val="22"/>
          <w:szCs w:val="22"/>
        </w:rPr>
        <w:t>à dégager un</w:t>
      </w:r>
      <w:r w:rsidR="002D027A" w:rsidRPr="009F2004">
        <w:rPr>
          <w:sz w:val="22"/>
          <w:szCs w:val="22"/>
        </w:rPr>
        <w:t xml:space="preserve"> deuxième régime de l’incitation</w:t>
      </w:r>
      <w:r w:rsidRPr="009F2004">
        <w:rPr>
          <w:sz w:val="22"/>
          <w:szCs w:val="22"/>
        </w:rPr>
        <w:t xml:space="preserve">, celui de la </w:t>
      </w:r>
      <w:r w:rsidR="002D027A" w:rsidRPr="009F2004">
        <w:rPr>
          <w:sz w:val="22"/>
          <w:szCs w:val="22"/>
        </w:rPr>
        <w:t>présentation-exposition qui</w:t>
      </w:r>
      <w:r w:rsidR="008F4A9A" w:rsidRPr="009F2004">
        <w:rPr>
          <w:sz w:val="22"/>
          <w:szCs w:val="22"/>
        </w:rPr>
        <w:t xml:space="preserve"> </w:t>
      </w:r>
      <w:r w:rsidR="002D027A" w:rsidRPr="009F2004">
        <w:rPr>
          <w:color w:val="000000"/>
          <w:sz w:val="22"/>
          <w:szCs w:val="22"/>
        </w:rPr>
        <w:t>« entraîne immédiatement l’accord, l’assentiment de l’esprit par sa vérité manifeste » (</w:t>
      </w:r>
      <w:r w:rsidR="002D027A" w:rsidRPr="009F2004">
        <w:rPr>
          <w:i/>
          <w:color w:val="000000"/>
          <w:sz w:val="22"/>
          <w:szCs w:val="22"/>
        </w:rPr>
        <w:t>TLF</w:t>
      </w:r>
      <w:r w:rsidR="002D027A" w:rsidRPr="009F2004">
        <w:rPr>
          <w:color w:val="000000"/>
          <w:sz w:val="22"/>
          <w:szCs w:val="22"/>
        </w:rPr>
        <w:t xml:space="preserve">). </w:t>
      </w:r>
      <w:r w:rsidR="008234D4">
        <w:rPr>
          <w:color w:val="000000"/>
          <w:sz w:val="22"/>
          <w:szCs w:val="22"/>
        </w:rPr>
        <w:t xml:space="preserve">Dans ce cas, l’immédiateté l’emporte sur la médiateté. </w:t>
      </w:r>
      <w:r w:rsidR="00391E31" w:rsidRPr="009F2004">
        <w:rPr>
          <w:sz w:val="22"/>
          <w:szCs w:val="22"/>
        </w:rPr>
        <w:t>Nul</w:t>
      </w:r>
      <w:r w:rsidR="002D027A" w:rsidRPr="009F2004">
        <w:rPr>
          <w:sz w:val="22"/>
          <w:szCs w:val="22"/>
        </w:rPr>
        <w:t xml:space="preserve"> jugement véridictoire, </w:t>
      </w:r>
      <w:r w:rsidR="00391E31" w:rsidRPr="009F2004">
        <w:rPr>
          <w:sz w:val="22"/>
          <w:szCs w:val="22"/>
        </w:rPr>
        <w:t>mais un</w:t>
      </w:r>
      <w:r w:rsidR="002D027A" w:rsidRPr="009F2004">
        <w:rPr>
          <w:sz w:val="22"/>
          <w:szCs w:val="22"/>
        </w:rPr>
        <w:t xml:space="preserve"> rapport à la vérité </w:t>
      </w:r>
      <w:r w:rsidR="00391E31" w:rsidRPr="009F2004">
        <w:rPr>
          <w:sz w:val="22"/>
          <w:szCs w:val="22"/>
        </w:rPr>
        <w:t>qui est</w:t>
      </w:r>
      <w:r w:rsidR="002D027A" w:rsidRPr="009F2004">
        <w:rPr>
          <w:sz w:val="22"/>
          <w:szCs w:val="22"/>
        </w:rPr>
        <w:t xml:space="preserve"> de l’ordre de l’intimement vrai</w:t>
      </w:r>
      <w:r w:rsidR="008F4A9A" w:rsidRPr="009F2004">
        <w:rPr>
          <w:sz w:val="22"/>
          <w:szCs w:val="22"/>
        </w:rPr>
        <w:t xml:space="preserve"> et </w:t>
      </w:r>
      <w:r w:rsidR="00391E31" w:rsidRPr="009F2004">
        <w:rPr>
          <w:sz w:val="22"/>
          <w:szCs w:val="22"/>
        </w:rPr>
        <w:t xml:space="preserve">qui est découplé </w:t>
      </w:r>
      <w:r w:rsidR="002D027A" w:rsidRPr="009F2004">
        <w:rPr>
          <w:sz w:val="22"/>
          <w:szCs w:val="22"/>
        </w:rPr>
        <w:t>de la démonstration et du système de la preuve</w:t>
      </w:r>
      <w:r w:rsidR="002D027A" w:rsidRPr="009F2004">
        <w:rPr>
          <w:rStyle w:val="Appelnotedebasdep"/>
          <w:sz w:val="22"/>
          <w:szCs w:val="22"/>
        </w:rPr>
        <w:footnoteReference w:id="8"/>
      </w:r>
      <w:r w:rsidR="002D027A" w:rsidRPr="009F2004">
        <w:rPr>
          <w:sz w:val="22"/>
          <w:szCs w:val="22"/>
        </w:rPr>
        <w:t xml:space="preserve">. </w:t>
      </w:r>
      <w:r w:rsidR="008F4A9A" w:rsidRPr="009F2004">
        <w:rPr>
          <w:sz w:val="22"/>
          <w:szCs w:val="22"/>
        </w:rPr>
        <w:t>C</w:t>
      </w:r>
      <w:r w:rsidR="008234D4">
        <w:rPr>
          <w:sz w:val="22"/>
          <w:szCs w:val="22"/>
        </w:rPr>
        <w:t>e</w:t>
      </w:r>
      <w:r w:rsidR="008F4A9A" w:rsidRPr="009F2004">
        <w:rPr>
          <w:sz w:val="22"/>
          <w:szCs w:val="22"/>
        </w:rPr>
        <w:t xml:space="preserve"> qu’</w:t>
      </w:r>
      <w:r w:rsidR="002D027A" w:rsidRPr="009F2004">
        <w:rPr>
          <w:sz w:val="22"/>
          <w:szCs w:val="22"/>
        </w:rPr>
        <w:t>Algirdas Julien Greimas et Joseph Courtés (1979 : 137) </w:t>
      </w:r>
      <w:r w:rsidR="008F4A9A" w:rsidRPr="009F2004">
        <w:rPr>
          <w:sz w:val="22"/>
          <w:szCs w:val="22"/>
        </w:rPr>
        <w:t>confirment à leur manière</w:t>
      </w:r>
      <w:r w:rsidR="002D027A" w:rsidRPr="009F2004">
        <w:rPr>
          <w:sz w:val="22"/>
          <w:szCs w:val="22"/>
        </w:rPr>
        <w:t xml:space="preserve"> : </w:t>
      </w:r>
    </w:p>
    <w:p w:rsidR="006823D7" w:rsidRPr="009F2004" w:rsidRDefault="006823D7" w:rsidP="009F2004">
      <w:pPr>
        <w:ind w:right="284" w:firstLine="284"/>
        <w:jc w:val="both"/>
        <w:rPr>
          <w:sz w:val="22"/>
          <w:szCs w:val="22"/>
        </w:rPr>
      </w:pPr>
    </w:p>
    <w:p w:rsidR="002D027A" w:rsidRPr="006823D7" w:rsidRDefault="002D027A" w:rsidP="009D785B">
      <w:pPr>
        <w:ind w:left="567" w:right="284" w:firstLine="284"/>
        <w:jc w:val="both"/>
        <w:rPr>
          <w:sz w:val="20"/>
          <w:szCs w:val="20"/>
        </w:rPr>
      </w:pPr>
      <w:r w:rsidRPr="006823D7">
        <w:rPr>
          <w:sz w:val="20"/>
          <w:szCs w:val="20"/>
        </w:rPr>
        <w:t xml:space="preserve">Forme particulière de la </w:t>
      </w:r>
      <w:r w:rsidRPr="008234D4">
        <w:rPr>
          <w:sz w:val="20"/>
          <w:szCs w:val="20"/>
        </w:rPr>
        <w:t xml:space="preserve">certitude </w:t>
      </w:r>
      <w:r w:rsidR="008234D4" w:rsidRPr="008234D4">
        <w:rPr>
          <w:sz w:val="20"/>
          <w:szCs w:val="20"/>
        </w:rPr>
        <w:t>–</w:t>
      </w:r>
      <w:r w:rsidRPr="006823D7">
        <w:rPr>
          <w:sz w:val="20"/>
          <w:szCs w:val="20"/>
        </w:rPr>
        <w:t xml:space="preserve"> qui est la dénomination du terme positif de la catégorie modale épistémique </w:t>
      </w:r>
      <w:r w:rsidR="008234D4" w:rsidRPr="008234D4">
        <w:rPr>
          <w:sz w:val="20"/>
          <w:szCs w:val="20"/>
        </w:rPr>
        <w:t>–</w:t>
      </w:r>
      <w:r w:rsidR="008234D4">
        <w:rPr>
          <w:sz w:val="20"/>
          <w:szCs w:val="20"/>
        </w:rPr>
        <w:t xml:space="preserve"> </w:t>
      </w:r>
      <w:r w:rsidRPr="006823D7">
        <w:rPr>
          <w:sz w:val="20"/>
          <w:szCs w:val="20"/>
        </w:rPr>
        <w:t xml:space="preserve">l’évidence n’exige pas l’exercice du faire interprétatif : elle se caractérise soit par la suppression de la distance entre le discours référentiel et le discours cognitif qui le sanctionne grâce aux modalités épistémiques, soit par la convocation de ce qui est censé constituer un référent « réel ». </w:t>
      </w:r>
    </w:p>
    <w:p w:rsidR="006823D7" w:rsidRPr="009F2004" w:rsidRDefault="006823D7" w:rsidP="009F2004">
      <w:pPr>
        <w:ind w:left="567" w:right="284" w:firstLine="284"/>
        <w:jc w:val="both"/>
        <w:rPr>
          <w:sz w:val="22"/>
          <w:szCs w:val="22"/>
        </w:rPr>
      </w:pPr>
    </w:p>
    <w:p w:rsidR="00211581" w:rsidRPr="009F2004" w:rsidRDefault="008F4A9A" w:rsidP="009F2004">
      <w:pPr>
        <w:ind w:right="284" w:firstLine="284"/>
        <w:jc w:val="both"/>
        <w:rPr>
          <w:sz w:val="22"/>
          <w:szCs w:val="22"/>
        </w:rPr>
      </w:pPr>
      <w:r w:rsidRPr="009F2004">
        <w:rPr>
          <w:color w:val="000000"/>
          <w:sz w:val="22"/>
          <w:szCs w:val="22"/>
        </w:rPr>
        <w:t xml:space="preserve">Consultons également </w:t>
      </w:r>
      <w:r w:rsidR="002D027A" w:rsidRPr="009F2004">
        <w:rPr>
          <w:color w:val="000000"/>
          <w:sz w:val="22"/>
          <w:szCs w:val="22"/>
        </w:rPr>
        <w:t>Carl Vetters (2012)</w:t>
      </w:r>
      <w:r w:rsidRPr="009F2004">
        <w:rPr>
          <w:color w:val="000000"/>
          <w:sz w:val="22"/>
          <w:szCs w:val="22"/>
        </w:rPr>
        <w:t>, qui associe l’évidence</w:t>
      </w:r>
      <w:r w:rsidR="002D027A" w:rsidRPr="009F2004">
        <w:rPr>
          <w:color w:val="000000"/>
          <w:sz w:val="22"/>
          <w:szCs w:val="22"/>
        </w:rPr>
        <w:t xml:space="preserve"> à la </w:t>
      </w:r>
      <w:r w:rsidR="002D027A" w:rsidRPr="009F2004">
        <w:rPr>
          <w:sz w:val="22"/>
          <w:szCs w:val="22"/>
        </w:rPr>
        <w:t>« connaissance directe (non médiatisée) a1. visuelle a2. non-visuelle », à côté de l’inférence (b1. à partir d’un résultat, b2. à partir d’un raisonnement abductif) et du ouï-dire (information rapportée)</w:t>
      </w:r>
      <w:r w:rsidRPr="009F2004">
        <w:rPr>
          <w:sz w:val="22"/>
          <w:szCs w:val="22"/>
        </w:rPr>
        <w:t xml:space="preserve">. Ajoutons à cela qu’elle autorise </w:t>
      </w:r>
      <w:r w:rsidR="002D027A" w:rsidRPr="009F2004">
        <w:rPr>
          <w:color w:val="000000"/>
          <w:sz w:val="22"/>
          <w:szCs w:val="22"/>
        </w:rPr>
        <w:t>une remontée vers les sources de l’information et de la connaissance (Guentchéva 2017)</w:t>
      </w:r>
      <w:r w:rsidRPr="009F2004">
        <w:rPr>
          <w:color w:val="000000"/>
          <w:sz w:val="22"/>
          <w:szCs w:val="22"/>
        </w:rPr>
        <w:t xml:space="preserve">, faisant ainsi </w:t>
      </w:r>
      <w:r w:rsidR="002D027A" w:rsidRPr="009F2004">
        <w:rPr>
          <w:color w:val="000000"/>
          <w:sz w:val="22"/>
          <w:szCs w:val="22"/>
        </w:rPr>
        <w:t>ressortir le sensible et le sentir</w:t>
      </w:r>
      <w:r w:rsidRPr="009F2004">
        <w:rPr>
          <w:color w:val="000000"/>
          <w:sz w:val="22"/>
          <w:szCs w:val="22"/>
        </w:rPr>
        <w:t>.</w:t>
      </w:r>
      <w:r w:rsidR="002D027A" w:rsidRPr="009F2004">
        <w:rPr>
          <w:color w:val="000000"/>
          <w:sz w:val="22"/>
          <w:szCs w:val="22"/>
        </w:rPr>
        <w:t xml:space="preserve"> </w:t>
      </w:r>
      <w:r w:rsidRPr="009F2004">
        <w:rPr>
          <w:sz w:val="22"/>
          <w:szCs w:val="22"/>
        </w:rPr>
        <w:t>Enfin, l</w:t>
      </w:r>
      <w:r w:rsidR="002D027A" w:rsidRPr="009F2004">
        <w:rPr>
          <w:sz w:val="22"/>
          <w:szCs w:val="22"/>
        </w:rPr>
        <w:t xml:space="preserve">a présentation-exposition – par exemple celle de fruits sur un banc – rend un contenu « immédiatement » perceptible par les sens, </w:t>
      </w:r>
      <w:r w:rsidRPr="009F2004">
        <w:rPr>
          <w:sz w:val="22"/>
          <w:szCs w:val="22"/>
        </w:rPr>
        <w:t>en accord avec</w:t>
      </w:r>
      <w:r w:rsidR="002D027A" w:rsidRPr="009F2004">
        <w:rPr>
          <w:sz w:val="22"/>
          <w:szCs w:val="22"/>
        </w:rPr>
        <w:t xml:space="preserve"> la première acception du </w:t>
      </w:r>
      <w:r w:rsidR="00B46D69">
        <w:rPr>
          <w:sz w:val="22"/>
          <w:szCs w:val="22"/>
        </w:rPr>
        <w:t>lexème</w:t>
      </w:r>
      <w:r w:rsidR="002D027A" w:rsidRPr="009F2004">
        <w:rPr>
          <w:sz w:val="22"/>
          <w:szCs w:val="22"/>
        </w:rPr>
        <w:t xml:space="preserve"> « évidence » (</w:t>
      </w:r>
      <w:r w:rsidR="002D027A" w:rsidRPr="009F2004">
        <w:rPr>
          <w:i/>
          <w:sz w:val="22"/>
          <w:szCs w:val="22"/>
        </w:rPr>
        <w:t xml:space="preserve">Centre National des Ressources Textuelles et </w:t>
      </w:r>
      <w:r w:rsidR="006720C0">
        <w:rPr>
          <w:i/>
          <w:sz w:val="22"/>
          <w:szCs w:val="22"/>
        </w:rPr>
        <w:t>L</w:t>
      </w:r>
      <w:r w:rsidR="002D027A" w:rsidRPr="009F2004">
        <w:rPr>
          <w:i/>
          <w:sz w:val="22"/>
          <w:szCs w:val="22"/>
        </w:rPr>
        <w:t>exicales</w:t>
      </w:r>
      <w:r w:rsidRPr="009F2004">
        <w:rPr>
          <w:sz w:val="22"/>
          <w:szCs w:val="22"/>
        </w:rPr>
        <w:t xml:space="preserve">). </w:t>
      </w:r>
    </w:p>
    <w:p w:rsidR="00211581" w:rsidRPr="009F2004" w:rsidRDefault="002D027A" w:rsidP="009F2004">
      <w:pPr>
        <w:ind w:right="284" w:firstLine="284"/>
        <w:jc w:val="both"/>
        <w:rPr>
          <w:sz w:val="22"/>
          <w:szCs w:val="22"/>
        </w:rPr>
      </w:pPr>
      <w:r w:rsidRPr="009F2004">
        <w:rPr>
          <w:sz w:val="22"/>
          <w:szCs w:val="22"/>
        </w:rPr>
        <w:t>La présentation</w:t>
      </w:r>
      <w:r w:rsidR="008F4A9A" w:rsidRPr="009F2004">
        <w:rPr>
          <w:sz w:val="22"/>
          <w:szCs w:val="22"/>
        </w:rPr>
        <w:t>-exposition</w:t>
      </w:r>
      <w:r w:rsidRPr="009F2004">
        <w:rPr>
          <w:sz w:val="22"/>
          <w:szCs w:val="22"/>
        </w:rPr>
        <w:t xml:space="preserve"> est « mise en présence » « immédiate » plutôt que médiatisée, par exemple par le souvenir.</w:t>
      </w:r>
      <w:r w:rsidR="008F4A9A" w:rsidRPr="009F2004">
        <w:rPr>
          <w:sz w:val="22"/>
          <w:szCs w:val="22"/>
        </w:rPr>
        <w:t xml:space="preserve"> La « netteté » et la « saillance » </w:t>
      </w:r>
      <w:r w:rsidR="00041582" w:rsidRPr="009F2004">
        <w:rPr>
          <w:sz w:val="22"/>
          <w:szCs w:val="22"/>
        </w:rPr>
        <w:t>(Landragin 2011)</w:t>
      </w:r>
      <w:r w:rsidR="00041582" w:rsidRPr="009F2004">
        <w:rPr>
          <w:rStyle w:val="Appelnotedebasdep"/>
          <w:sz w:val="22"/>
          <w:szCs w:val="22"/>
        </w:rPr>
        <w:footnoteReference w:id="9"/>
      </w:r>
      <w:r w:rsidR="00041582">
        <w:rPr>
          <w:sz w:val="22"/>
          <w:szCs w:val="22"/>
        </w:rPr>
        <w:t xml:space="preserve"> </w:t>
      </w:r>
      <w:r w:rsidR="008F4A9A" w:rsidRPr="009F2004">
        <w:rPr>
          <w:sz w:val="22"/>
          <w:szCs w:val="22"/>
        </w:rPr>
        <w:t xml:space="preserve">des fruits </w:t>
      </w:r>
      <w:r w:rsidR="00211581" w:rsidRPr="009F2004">
        <w:rPr>
          <w:sz w:val="22"/>
          <w:szCs w:val="22"/>
        </w:rPr>
        <w:t xml:space="preserve">sont alors fonction de leurs propriétés (couleur, forme, taille, texture…), de la disposition des objets dans la scène (situation et orientation) et par rapport à d’autres entités. </w:t>
      </w:r>
      <w:r w:rsidR="00041582">
        <w:rPr>
          <w:sz w:val="22"/>
          <w:szCs w:val="22"/>
        </w:rPr>
        <w:t>Comme le montre Frédéric Landragin (</w:t>
      </w:r>
      <w:r w:rsidR="00041582" w:rsidRPr="00041582">
        <w:rPr>
          <w:i/>
          <w:sz w:val="22"/>
          <w:szCs w:val="22"/>
        </w:rPr>
        <w:t>ibid</w:t>
      </w:r>
      <w:r w:rsidR="00041582">
        <w:rPr>
          <w:sz w:val="22"/>
          <w:szCs w:val="22"/>
        </w:rPr>
        <w:t>.), l</w:t>
      </w:r>
      <w:r w:rsidR="00211581" w:rsidRPr="009F2004">
        <w:rPr>
          <w:sz w:val="22"/>
          <w:szCs w:val="22"/>
        </w:rPr>
        <w:t xml:space="preserve">a scène </w:t>
      </w:r>
      <w:r w:rsidR="008234D4" w:rsidRPr="009F2004">
        <w:rPr>
          <w:sz w:val="22"/>
          <w:szCs w:val="22"/>
        </w:rPr>
        <w:t>–</w:t>
      </w:r>
      <w:r w:rsidR="00211581" w:rsidRPr="009F2004">
        <w:rPr>
          <w:sz w:val="22"/>
          <w:szCs w:val="22"/>
        </w:rPr>
        <w:t xml:space="preserve"> on retrouve les critères de la théorie de la gestalt : la similarité, la proximité et la bonne continuité </w:t>
      </w:r>
      <w:r w:rsidR="008234D4" w:rsidRPr="009F2004">
        <w:rPr>
          <w:sz w:val="22"/>
          <w:szCs w:val="22"/>
        </w:rPr>
        <w:t>–</w:t>
      </w:r>
      <w:r w:rsidR="00211581" w:rsidRPr="009F2004">
        <w:rPr>
          <w:sz w:val="22"/>
          <w:szCs w:val="22"/>
        </w:rPr>
        <w:t xml:space="preserve"> bénéficie d’un degré de cohésion et de structuration (par exemple, sous l’effet d’un cadrage ou d’un étagement en plans et d’une hiérarchisation à laquelle contribue l’éclairage ambiant). La mise en évidence obéit à des critères culturels liés à une familiarité individuelle ou collective – une habitude </w:t>
      </w:r>
      <w:r w:rsidR="008234D4" w:rsidRPr="009F2004">
        <w:rPr>
          <w:sz w:val="22"/>
          <w:szCs w:val="22"/>
        </w:rPr>
        <w:t>–</w:t>
      </w:r>
      <w:r w:rsidR="00211581" w:rsidRPr="009F2004">
        <w:rPr>
          <w:sz w:val="22"/>
          <w:szCs w:val="22"/>
        </w:rPr>
        <w:t>, qui peut entrer en résonance avec un investissement affectif ou émotionnel particulier</w:t>
      </w:r>
      <w:r w:rsidR="00041582">
        <w:rPr>
          <w:sz w:val="22"/>
          <w:szCs w:val="22"/>
        </w:rPr>
        <w:t>.</w:t>
      </w:r>
    </w:p>
    <w:p w:rsidR="002D027A" w:rsidRPr="009F2004" w:rsidRDefault="002D027A" w:rsidP="009F2004">
      <w:pPr>
        <w:ind w:right="284" w:firstLine="284"/>
        <w:jc w:val="both"/>
        <w:rPr>
          <w:sz w:val="22"/>
          <w:szCs w:val="22"/>
        </w:rPr>
      </w:pPr>
      <w:r w:rsidRPr="009F2004">
        <w:rPr>
          <w:sz w:val="22"/>
          <w:szCs w:val="22"/>
        </w:rPr>
        <w:t xml:space="preserve">Sur ces bases, </w:t>
      </w:r>
      <w:r w:rsidR="00C901E4" w:rsidRPr="009F2004">
        <w:rPr>
          <w:sz w:val="22"/>
          <w:szCs w:val="22"/>
        </w:rPr>
        <w:t xml:space="preserve">nous avançons que la politique du nudge par l’incitation </w:t>
      </w:r>
      <w:r w:rsidRPr="009F2004">
        <w:rPr>
          <w:sz w:val="22"/>
          <w:szCs w:val="22"/>
        </w:rPr>
        <w:t xml:space="preserve">consiste à mettre en scène (devant/sous les yeux) et en présence, à ex-poser quelque chose à un récepteur. </w:t>
      </w:r>
      <w:r w:rsidRPr="009F2004">
        <w:rPr>
          <w:color w:val="000000"/>
          <w:sz w:val="22"/>
          <w:szCs w:val="22"/>
        </w:rPr>
        <w:t xml:space="preserve">Mieux, l’incitation, à la fois, ex-pose (au sens de donner à voir à quelqu’un, de </w:t>
      </w:r>
      <w:r w:rsidRPr="009F2004">
        <w:rPr>
          <w:i/>
          <w:color w:val="000000"/>
          <w:sz w:val="22"/>
          <w:szCs w:val="22"/>
        </w:rPr>
        <w:t>faire voir</w:t>
      </w:r>
      <w:r w:rsidRPr="009F2004">
        <w:rPr>
          <w:color w:val="000000"/>
          <w:sz w:val="22"/>
          <w:szCs w:val="22"/>
        </w:rPr>
        <w:t>) et im-pose : plus exactement « ça s’impose à moi », notamment à mon regard. En cela, l’incitation réduit la marge d’erreur</w:t>
      </w:r>
      <w:r w:rsidR="00C901E4" w:rsidRPr="009F2004">
        <w:rPr>
          <w:color w:val="000000"/>
          <w:sz w:val="22"/>
          <w:szCs w:val="22"/>
        </w:rPr>
        <w:t xml:space="preserve"> (même si, par définition, la politique du nudge réclame le consentement à l’erreur possible), résolvant </w:t>
      </w:r>
      <w:r w:rsidRPr="009F2004">
        <w:rPr>
          <w:color w:val="000000"/>
          <w:sz w:val="22"/>
          <w:szCs w:val="22"/>
        </w:rPr>
        <w:t>des tensions </w:t>
      </w:r>
      <w:r w:rsidR="00C901E4" w:rsidRPr="009F2004">
        <w:rPr>
          <w:color w:val="000000"/>
          <w:sz w:val="22"/>
          <w:szCs w:val="22"/>
        </w:rPr>
        <w:t xml:space="preserve">par son </w:t>
      </w:r>
      <w:r w:rsidRPr="009F2004">
        <w:rPr>
          <w:color w:val="000000"/>
          <w:sz w:val="22"/>
          <w:szCs w:val="22"/>
        </w:rPr>
        <w:t>pouvoir d’homogénéisation</w:t>
      </w:r>
      <w:r w:rsidR="00C901E4" w:rsidRPr="009F2004">
        <w:rPr>
          <w:color w:val="000000"/>
          <w:sz w:val="22"/>
          <w:szCs w:val="22"/>
        </w:rPr>
        <w:t xml:space="preserve"> et de « lissage » d’un processus dont les aspérités sont réduites. Nous retrouvons, par ce biais, l’idée de l’a</w:t>
      </w:r>
      <w:r w:rsidRPr="009F2004">
        <w:rPr>
          <w:color w:val="000000"/>
          <w:sz w:val="22"/>
          <w:szCs w:val="22"/>
        </w:rPr>
        <w:t xml:space="preserve">isance, </w:t>
      </w:r>
      <w:r w:rsidR="00C901E4" w:rsidRPr="009F2004">
        <w:rPr>
          <w:color w:val="000000"/>
          <w:sz w:val="22"/>
          <w:szCs w:val="22"/>
        </w:rPr>
        <w:t>de l’</w:t>
      </w:r>
      <w:r w:rsidRPr="009F2004">
        <w:rPr>
          <w:color w:val="000000"/>
          <w:sz w:val="22"/>
          <w:szCs w:val="22"/>
        </w:rPr>
        <w:t xml:space="preserve">insouciance, </w:t>
      </w:r>
      <w:r w:rsidR="00C901E4" w:rsidRPr="009F2004">
        <w:rPr>
          <w:color w:val="000000"/>
          <w:sz w:val="22"/>
          <w:szCs w:val="22"/>
        </w:rPr>
        <w:t xml:space="preserve">de la </w:t>
      </w:r>
      <w:r w:rsidRPr="009F2004">
        <w:rPr>
          <w:color w:val="000000"/>
          <w:sz w:val="22"/>
          <w:szCs w:val="22"/>
        </w:rPr>
        <w:t xml:space="preserve">facilité, </w:t>
      </w:r>
      <w:r w:rsidR="00C901E4" w:rsidRPr="009F2004">
        <w:rPr>
          <w:color w:val="000000"/>
          <w:sz w:val="22"/>
          <w:szCs w:val="22"/>
        </w:rPr>
        <w:t xml:space="preserve">voire de la </w:t>
      </w:r>
      <w:r w:rsidRPr="009F2004">
        <w:rPr>
          <w:color w:val="000000"/>
          <w:sz w:val="22"/>
          <w:szCs w:val="22"/>
        </w:rPr>
        <w:t>légèreté</w:t>
      </w:r>
      <w:r w:rsidR="00C901E4" w:rsidRPr="009F2004">
        <w:rPr>
          <w:color w:val="000000"/>
          <w:sz w:val="22"/>
          <w:szCs w:val="22"/>
        </w:rPr>
        <w:t xml:space="preserve">. </w:t>
      </w:r>
      <w:r w:rsidRPr="009F2004">
        <w:rPr>
          <w:color w:val="000000"/>
          <w:sz w:val="22"/>
          <w:szCs w:val="22"/>
        </w:rPr>
        <w:t xml:space="preserve">Du point de vue tensif, l’incitation engage certes une logique de l’événement – dans la mesure où, comme nous le verrons, elle est liée </w:t>
      </w:r>
      <w:r w:rsidR="00C901E4" w:rsidRPr="009F2004">
        <w:rPr>
          <w:color w:val="000000"/>
          <w:sz w:val="22"/>
          <w:szCs w:val="22"/>
        </w:rPr>
        <w:t>à un certain degré de surprise</w:t>
      </w:r>
      <w:r w:rsidRPr="009F2004">
        <w:rPr>
          <w:color w:val="000000"/>
          <w:sz w:val="22"/>
          <w:szCs w:val="22"/>
        </w:rPr>
        <w:t xml:space="preserve"> –, mais non de la rupture, du choc violent qui saisit et affecte vivement.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color w:val="000000"/>
          <w:sz w:val="22"/>
          <w:szCs w:val="22"/>
        </w:rPr>
        <w:t>Enfin</w:t>
      </w:r>
      <w:r w:rsidRPr="009F2004">
        <w:rPr>
          <w:rFonts w:ascii="Times New Roman" w:hAnsi="Times New Roman"/>
          <w:sz w:val="22"/>
          <w:szCs w:val="22"/>
        </w:rPr>
        <w:t>, eu égard à la classification proposée par Carl Vetters, on dira que l’incitation est soutenue par une « simplicité » originaire – ce qui se montre simplement –</w:t>
      </w:r>
      <w:r w:rsidR="00041582">
        <w:rPr>
          <w:rFonts w:ascii="Times New Roman" w:hAnsi="Times New Roman"/>
          <w:sz w:val="22"/>
          <w:szCs w:val="22"/>
        </w:rPr>
        <w:t xml:space="preserve">, </w:t>
      </w:r>
      <w:r w:rsidRPr="009F2004">
        <w:rPr>
          <w:rFonts w:ascii="Times New Roman" w:hAnsi="Times New Roman"/>
          <w:sz w:val="22"/>
          <w:szCs w:val="22"/>
        </w:rPr>
        <w:t>qui ne se moule pas (encore) sur les cadres de l’inférence. En cela, elle permet de remonter vers le substrat sensible de tout agir</w:t>
      </w:r>
      <w:r w:rsidR="00C901E4" w:rsidRPr="009F2004">
        <w:rPr>
          <w:rFonts w:ascii="Times New Roman" w:hAnsi="Times New Roman"/>
          <w:sz w:val="22"/>
          <w:szCs w:val="22"/>
        </w:rPr>
        <w:t xml:space="preserve"> / être agi – être mû par ce qui e</w:t>
      </w:r>
      <w:r w:rsidR="00340057">
        <w:rPr>
          <w:rFonts w:ascii="Times New Roman" w:hAnsi="Times New Roman"/>
          <w:sz w:val="22"/>
          <w:szCs w:val="22"/>
        </w:rPr>
        <w:t>s</w:t>
      </w:r>
      <w:r w:rsidR="00C901E4" w:rsidRPr="009F2004">
        <w:rPr>
          <w:rFonts w:ascii="Times New Roman" w:hAnsi="Times New Roman"/>
          <w:sz w:val="22"/>
          <w:szCs w:val="22"/>
        </w:rPr>
        <w:t xml:space="preserve">t ex-posé et im-posé </w:t>
      </w:r>
      <w:r w:rsidR="00041582" w:rsidRPr="009F2004">
        <w:rPr>
          <w:rFonts w:ascii="Times New Roman" w:hAnsi="Times New Roman"/>
          <w:sz w:val="22"/>
          <w:szCs w:val="22"/>
        </w:rPr>
        <w:t>–</w:t>
      </w:r>
      <w:r w:rsidR="00C901E4" w:rsidRPr="009F2004">
        <w:rPr>
          <w:rFonts w:ascii="Times New Roman" w:hAnsi="Times New Roman"/>
          <w:sz w:val="22"/>
          <w:szCs w:val="22"/>
        </w:rPr>
        <w:t xml:space="preserve">, vers </w:t>
      </w:r>
      <w:r w:rsidRPr="009F2004">
        <w:rPr>
          <w:rFonts w:ascii="Times New Roman" w:hAnsi="Times New Roman"/>
          <w:sz w:val="22"/>
          <w:szCs w:val="22"/>
        </w:rPr>
        <w:t>la relation esthésique avec le monde</w:t>
      </w:r>
      <w:r w:rsidR="00C901E4" w:rsidRPr="009F2004">
        <w:rPr>
          <w:rFonts w:ascii="Times New Roman" w:hAnsi="Times New Roman"/>
          <w:sz w:val="22"/>
          <w:szCs w:val="22"/>
        </w:rPr>
        <w:t xml:space="preserve">, qui se traduit par un </w:t>
      </w:r>
      <w:r w:rsidRPr="009F2004">
        <w:rPr>
          <w:rFonts w:ascii="Times New Roman" w:hAnsi="Times New Roman"/>
          <w:sz w:val="22"/>
          <w:szCs w:val="22"/>
        </w:rPr>
        <w:t>ajustement</w:t>
      </w:r>
      <w:r w:rsidR="00C901E4" w:rsidRPr="009F2004">
        <w:rPr>
          <w:rFonts w:ascii="Times New Roman" w:hAnsi="Times New Roman"/>
          <w:sz w:val="22"/>
          <w:szCs w:val="22"/>
        </w:rPr>
        <w:t xml:space="preserve"> à la situation</w:t>
      </w:r>
      <w:r w:rsidRPr="009F2004">
        <w:rPr>
          <w:rFonts w:ascii="Times New Roman" w:hAnsi="Times New Roman"/>
          <w:sz w:val="22"/>
          <w:szCs w:val="22"/>
        </w:rPr>
        <w:t xml:space="preserve">. </w:t>
      </w:r>
    </w:p>
    <w:p w:rsidR="006765A3" w:rsidRPr="009F2004" w:rsidRDefault="00C901E4"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color w:val="000000"/>
          <w:sz w:val="22"/>
          <w:szCs w:val="22"/>
        </w:rPr>
        <w:lastRenderedPageBreak/>
        <w:t xml:space="preserve">Cependant, le défi consiste à articuler les deux régimes de l’incitation l’un avec l’autre. S’ordonnent-ils en séquence, </w:t>
      </w:r>
      <w:r w:rsidR="002D027A" w:rsidRPr="009F2004">
        <w:rPr>
          <w:rFonts w:ascii="Times New Roman" w:hAnsi="Times New Roman"/>
          <w:sz w:val="22"/>
          <w:szCs w:val="22"/>
        </w:rPr>
        <w:t xml:space="preserve">le régime fondé sur l’évidence (ex-position et im-position) </w:t>
      </w:r>
      <w:r w:rsidR="002D027A" w:rsidRPr="009F2004">
        <w:rPr>
          <w:rFonts w:ascii="Times New Roman" w:hAnsi="Times New Roman"/>
          <w:i/>
          <w:sz w:val="22"/>
          <w:szCs w:val="22"/>
        </w:rPr>
        <w:t xml:space="preserve">préparant </w:t>
      </w:r>
      <w:r w:rsidR="002D027A" w:rsidRPr="009F2004">
        <w:rPr>
          <w:rFonts w:ascii="Times New Roman" w:hAnsi="Times New Roman"/>
          <w:sz w:val="22"/>
          <w:szCs w:val="22"/>
        </w:rPr>
        <w:t>celui qui articule la possibilité</w:t>
      </w:r>
      <w:r w:rsidR="00905C39">
        <w:rPr>
          <w:rFonts w:ascii="Times New Roman" w:hAnsi="Times New Roman"/>
          <w:sz w:val="22"/>
          <w:szCs w:val="22"/>
        </w:rPr>
        <w:t>/probabilité</w:t>
      </w:r>
      <w:r w:rsidR="002D027A" w:rsidRPr="009F2004">
        <w:rPr>
          <w:rFonts w:ascii="Times New Roman" w:hAnsi="Times New Roman"/>
          <w:sz w:val="22"/>
          <w:szCs w:val="22"/>
        </w:rPr>
        <w:t>, la permission et la promesse (pro-position)</w:t>
      </w:r>
      <w:r w:rsidRPr="009F2004">
        <w:rPr>
          <w:rFonts w:ascii="Times New Roman" w:hAnsi="Times New Roman"/>
          <w:sz w:val="22"/>
          <w:szCs w:val="22"/>
        </w:rPr>
        <w:t>, voire le modalisant, c’est-à-dire précisant les conditions auxquelles l’incitation</w:t>
      </w:r>
      <w:r w:rsidR="00340057">
        <w:rPr>
          <w:rFonts w:ascii="Times New Roman" w:hAnsi="Times New Roman"/>
          <w:sz w:val="22"/>
          <w:szCs w:val="22"/>
        </w:rPr>
        <w:t xml:space="preserve"> </w:t>
      </w:r>
      <w:r w:rsidR="006D6DC7" w:rsidRPr="009F2004">
        <w:rPr>
          <w:rFonts w:ascii="Times New Roman" w:hAnsi="Times New Roman"/>
          <w:sz w:val="22"/>
          <w:szCs w:val="22"/>
        </w:rPr>
        <w:t>pro-position</w:t>
      </w:r>
      <w:r w:rsidRPr="009F2004">
        <w:rPr>
          <w:rFonts w:ascii="Times New Roman" w:hAnsi="Times New Roman"/>
          <w:sz w:val="22"/>
          <w:szCs w:val="22"/>
        </w:rPr>
        <w:t xml:space="preserve"> </w:t>
      </w:r>
      <w:r w:rsidR="006765A3" w:rsidRPr="009F2004">
        <w:rPr>
          <w:rFonts w:ascii="Times New Roman" w:hAnsi="Times New Roman"/>
          <w:sz w:val="22"/>
          <w:szCs w:val="22"/>
        </w:rPr>
        <w:t>peut se réaliser pleinement ? Notre hypothèse est que le glissement de la possibilité</w:t>
      </w:r>
      <w:r w:rsidR="00550843">
        <w:rPr>
          <w:rFonts w:ascii="Times New Roman" w:hAnsi="Times New Roman"/>
          <w:sz w:val="22"/>
          <w:szCs w:val="22"/>
        </w:rPr>
        <w:t>/probabilité</w:t>
      </w:r>
      <w:r w:rsidR="006765A3" w:rsidRPr="009F2004">
        <w:rPr>
          <w:rFonts w:ascii="Times New Roman" w:hAnsi="Times New Roman"/>
          <w:sz w:val="22"/>
          <w:szCs w:val="22"/>
        </w:rPr>
        <w:t xml:space="preserve"> vers la permission et la promesse que nous avons observé, c’est-à-dire le passage de « prendre une option », au sens de « faire un choix », à « prendre une option sur un certain comportement », au sens de « s’engager à adopter un certain comportement » (par exemple </w:t>
      </w:r>
      <w:r w:rsidR="00340057">
        <w:rPr>
          <w:rFonts w:ascii="Times New Roman" w:hAnsi="Times New Roman"/>
          <w:sz w:val="22"/>
          <w:szCs w:val="22"/>
        </w:rPr>
        <w:t>s’alimenter de manière</w:t>
      </w:r>
      <w:r w:rsidR="006765A3" w:rsidRPr="009F2004">
        <w:rPr>
          <w:rFonts w:ascii="Times New Roman" w:hAnsi="Times New Roman"/>
          <w:sz w:val="22"/>
          <w:szCs w:val="22"/>
        </w:rPr>
        <w:t xml:space="preserve"> saine), est facilité, voire hâté par cette première rencontre d’ordre esthésique.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 xml:space="preserve">On peut argumenter un tel enchaînement – en prévoyant la possibilité de l’interruption du processus et de la suspension de la deuxième étape – à partir de la distinction que Paul Ricoeur (1988 : 237) introduit entre les « émotions-surprises », les « émotions-chocs » et les « émotions-passions ». L’émotion est alors un « involontaire qui </w:t>
      </w:r>
      <w:r w:rsidRPr="009F2004">
        <w:rPr>
          <w:rFonts w:ascii="Times New Roman" w:hAnsi="Times New Roman"/>
          <w:i/>
          <w:sz w:val="22"/>
          <w:szCs w:val="22"/>
        </w:rPr>
        <w:t>alimente</w:t>
      </w:r>
      <w:r w:rsidRPr="009F2004">
        <w:rPr>
          <w:rFonts w:ascii="Times New Roman" w:hAnsi="Times New Roman"/>
          <w:sz w:val="22"/>
          <w:szCs w:val="22"/>
        </w:rPr>
        <w:t xml:space="preserve"> l’action volontaire, qui la </w:t>
      </w:r>
      <w:r w:rsidRPr="009F2004">
        <w:rPr>
          <w:rFonts w:ascii="Times New Roman" w:hAnsi="Times New Roman"/>
          <w:i/>
          <w:sz w:val="22"/>
          <w:szCs w:val="22"/>
        </w:rPr>
        <w:t>sert</w:t>
      </w:r>
      <w:r w:rsidRPr="009F2004">
        <w:rPr>
          <w:rFonts w:ascii="Times New Roman" w:hAnsi="Times New Roman"/>
          <w:sz w:val="22"/>
          <w:szCs w:val="22"/>
        </w:rPr>
        <w:t xml:space="preserve"> en la précédant et en la débordant » (</w:t>
      </w:r>
      <w:r w:rsidRPr="009F2004">
        <w:rPr>
          <w:rFonts w:ascii="Times New Roman" w:hAnsi="Times New Roman"/>
          <w:i/>
          <w:sz w:val="22"/>
          <w:szCs w:val="22"/>
        </w:rPr>
        <w:t>ibid.</w:t>
      </w:r>
      <w:r w:rsidRPr="009F2004">
        <w:rPr>
          <w:rFonts w:ascii="Times New Roman" w:hAnsi="Times New Roman"/>
          <w:sz w:val="22"/>
          <w:szCs w:val="22"/>
        </w:rPr>
        <w:t> : 236). En même temps, Ricoeur rappelle que Descartes fait précéder l’émotion de la surprise et qu’il la décrit comme une « incitation à agir selon les vives représentations qui engendrent la surprise » (</w:t>
      </w:r>
      <w:r w:rsidRPr="009F2004">
        <w:rPr>
          <w:rFonts w:ascii="Times New Roman" w:hAnsi="Times New Roman"/>
          <w:i/>
          <w:sz w:val="22"/>
          <w:szCs w:val="22"/>
        </w:rPr>
        <w:t>ibid</w:t>
      </w:r>
      <w:r w:rsidRPr="009F2004">
        <w:rPr>
          <w:rFonts w:ascii="Times New Roman" w:hAnsi="Times New Roman"/>
          <w:sz w:val="22"/>
          <w:szCs w:val="22"/>
        </w:rPr>
        <w:t xml:space="preserve">. : 237). </w:t>
      </w:r>
      <w:r w:rsidR="006D6DC7" w:rsidRPr="009F2004">
        <w:rPr>
          <w:rFonts w:ascii="Times New Roman" w:hAnsi="Times New Roman"/>
          <w:sz w:val="22"/>
          <w:szCs w:val="22"/>
        </w:rPr>
        <w:t>Sans doute</w:t>
      </w:r>
      <w:r w:rsidRPr="009F2004">
        <w:rPr>
          <w:rFonts w:ascii="Times New Roman" w:hAnsi="Times New Roman"/>
          <w:sz w:val="22"/>
          <w:szCs w:val="22"/>
        </w:rPr>
        <w:t xml:space="preserve"> la surprise constitue</w:t>
      </w:r>
      <w:r w:rsidR="006D6DC7" w:rsidRPr="009F2004">
        <w:rPr>
          <w:rFonts w:ascii="Times New Roman" w:hAnsi="Times New Roman"/>
          <w:sz w:val="22"/>
          <w:szCs w:val="22"/>
        </w:rPr>
        <w:t>-t-elle</w:t>
      </w:r>
      <w:r w:rsidRPr="009F2004">
        <w:rPr>
          <w:rFonts w:ascii="Times New Roman" w:hAnsi="Times New Roman"/>
          <w:sz w:val="22"/>
          <w:szCs w:val="22"/>
        </w:rPr>
        <w:t xml:space="preserve"> ce tressaillement encore involontaire qui</w:t>
      </w:r>
      <w:r w:rsidR="006D6DC7" w:rsidRPr="009F2004">
        <w:rPr>
          <w:rFonts w:ascii="Times New Roman" w:hAnsi="Times New Roman"/>
          <w:sz w:val="22"/>
          <w:szCs w:val="22"/>
        </w:rPr>
        <w:t xml:space="preserve">, sans relever du réflexe, </w:t>
      </w:r>
      <w:r w:rsidRPr="009F2004">
        <w:rPr>
          <w:rFonts w:ascii="Times New Roman" w:hAnsi="Times New Roman"/>
          <w:sz w:val="22"/>
          <w:szCs w:val="22"/>
        </w:rPr>
        <w:t xml:space="preserve">constitue une attitude émotive primaire. </w:t>
      </w:r>
    </w:p>
    <w:p w:rsidR="00B108D3"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eastAsia="Code2000" w:hAnsi="Times New Roman"/>
          <w:sz w:val="22"/>
          <w:szCs w:val="22"/>
        </w:rPr>
        <w:t>L’« émotion-surprise » se développerait en « émotion-choc » de la même manière que l’évidence fait place à la pro-position et à l’option prise, c’est-à-dire à l’action d’envisager une suite possible/</w:t>
      </w:r>
      <w:r w:rsidR="00141E7B">
        <w:rPr>
          <w:rFonts w:ascii="Times New Roman" w:eastAsia="Code2000" w:hAnsi="Times New Roman"/>
          <w:sz w:val="22"/>
          <w:szCs w:val="22"/>
        </w:rPr>
        <w:t xml:space="preserve">probable, mais aussi </w:t>
      </w:r>
      <w:r w:rsidRPr="009F2004">
        <w:rPr>
          <w:rFonts w:ascii="Times New Roman" w:eastAsia="Code2000" w:hAnsi="Times New Roman"/>
          <w:sz w:val="22"/>
          <w:szCs w:val="22"/>
        </w:rPr>
        <w:t xml:space="preserve">permise/promise. Ceci au fur et à mesure que le corps se mêle à la pensée. « La surprise, écrit Ricoeur, est l’attitude émotive la plus simple et pourtant elle contient déjà toute la richesse de ce qu’on peut appeler le </w:t>
      </w:r>
      <w:r w:rsidRPr="009F2004">
        <w:rPr>
          <w:rFonts w:ascii="Times New Roman" w:eastAsia="Code2000" w:hAnsi="Times New Roman"/>
          <w:i/>
          <w:sz w:val="22"/>
          <w:szCs w:val="22"/>
        </w:rPr>
        <w:t>phénomène circulaire</w:t>
      </w:r>
      <w:r w:rsidRPr="009F2004">
        <w:rPr>
          <w:rFonts w:ascii="Times New Roman" w:eastAsia="Code2000" w:hAnsi="Times New Roman"/>
          <w:sz w:val="22"/>
          <w:szCs w:val="22"/>
        </w:rPr>
        <w:t xml:space="preserve"> entre la pensée et le corps » (</w:t>
      </w:r>
      <w:r w:rsidRPr="009F2004">
        <w:rPr>
          <w:rFonts w:ascii="Times New Roman" w:eastAsia="Code2000" w:hAnsi="Times New Roman"/>
          <w:i/>
          <w:sz w:val="22"/>
          <w:szCs w:val="22"/>
        </w:rPr>
        <w:t>ibid</w:t>
      </w:r>
      <w:r w:rsidRPr="009F2004">
        <w:rPr>
          <w:rFonts w:ascii="Times New Roman" w:eastAsia="Code2000" w:hAnsi="Times New Roman"/>
          <w:sz w:val="22"/>
          <w:szCs w:val="22"/>
        </w:rPr>
        <w:t xml:space="preserve"> : 238). </w:t>
      </w:r>
      <w:r w:rsidRPr="009F2004">
        <w:rPr>
          <w:rFonts w:ascii="Times New Roman" w:hAnsi="Times New Roman"/>
          <w:sz w:val="22"/>
          <w:szCs w:val="22"/>
        </w:rPr>
        <w:t>L’ex-position des fruits serait donc cet événement qui crée la surprise, un involontaire, avant l’étape de l’évaluation et du désir</w:t>
      </w:r>
      <w:r w:rsidR="0042443C" w:rsidRPr="009F2004">
        <w:rPr>
          <w:rFonts w:ascii="Times New Roman" w:hAnsi="Times New Roman"/>
          <w:sz w:val="22"/>
          <w:szCs w:val="22"/>
        </w:rPr>
        <w:t xml:space="preserve">. </w:t>
      </w:r>
      <w:r w:rsidR="000E1639" w:rsidRPr="009F2004">
        <w:rPr>
          <w:rFonts w:ascii="Times New Roman" w:hAnsi="Times New Roman"/>
          <w:sz w:val="22"/>
          <w:szCs w:val="22"/>
        </w:rPr>
        <w:t xml:space="preserve">La surprise, aidée par la saillance des objets, s’assortit sans doute de l’attraction exercée, de l’intéressement. </w:t>
      </w:r>
    </w:p>
    <w:p w:rsidR="00AF356E" w:rsidRDefault="000E1639" w:rsidP="00B108D3">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 xml:space="preserve">En même temps, </w:t>
      </w:r>
      <w:r w:rsidR="00340057">
        <w:rPr>
          <w:rFonts w:ascii="Times New Roman" w:hAnsi="Times New Roman"/>
          <w:sz w:val="22"/>
          <w:szCs w:val="22"/>
        </w:rPr>
        <w:t xml:space="preserve">il semblerait que </w:t>
      </w:r>
      <w:r w:rsidRPr="009F2004">
        <w:rPr>
          <w:rFonts w:ascii="Times New Roman" w:hAnsi="Times New Roman"/>
          <w:sz w:val="22"/>
          <w:szCs w:val="22"/>
        </w:rPr>
        <w:t>s</w:t>
      </w:r>
      <w:r w:rsidR="0042443C" w:rsidRPr="009F2004">
        <w:rPr>
          <w:rFonts w:ascii="Times New Roman" w:hAnsi="Times New Roman"/>
          <w:sz w:val="22"/>
          <w:szCs w:val="22"/>
        </w:rPr>
        <w:t xml:space="preserve">eules la prise de conscience et la délibération, à la base du vouloir « volontaire », </w:t>
      </w:r>
      <w:r w:rsidR="00AF356E">
        <w:rPr>
          <w:rFonts w:ascii="Times New Roman" w:hAnsi="Times New Roman"/>
          <w:sz w:val="22"/>
          <w:szCs w:val="22"/>
        </w:rPr>
        <w:t xml:space="preserve">donnent une suite à l’incitation et </w:t>
      </w:r>
      <w:r w:rsidR="0042443C" w:rsidRPr="009F2004">
        <w:rPr>
          <w:rFonts w:ascii="Times New Roman" w:hAnsi="Times New Roman"/>
          <w:sz w:val="22"/>
          <w:szCs w:val="22"/>
        </w:rPr>
        <w:t>permettent d’installer un comportement (par exemple une alimentation saine) durable. Bien plus,</w:t>
      </w:r>
      <w:r w:rsidR="006D6DC7" w:rsidRPr="009F2004">
        <w:rPr>
          <w:rFonts w:ascii="Times New Roman" w:hAnsi="Times New Roman"/>
          <w:sz w:val="22"/>
          <w:szCs w:val="22"/>
        </w:rPr>
        <w:t xml:space="preserve"> l’on voit immédiatement à quel point cette phase ultime </w:t>
      </w:r>
      <w:r w:rsidR="00D06751" w:rsidRPr="009F2004">
        <w:rPr>
          <w:rFonts w:ascii="Times New Roman" w:hAnsi="Times New Roman"/>
          <w:sz w:val="22"/>
          <w:szCs w:val="22"/>
        </w:rPr>
        <w:t>du jugement de valeur</w:t>
      </w:r>
      <w:r w:rsidR="00AF356E">
        <w:rPr>
          <w:rFonts w:ascii="Times New Roman" w:hAnsi="Times New Roman"/>
          <w:sz w:val="22"/>
          <w:szCs w:val="22"/>
        </w:rPr>
        <w:t xml:space="preserve"> </w:t>
      </w:r>
      <w:r w:rsidR="00AF356E" w:rsidRPr="009F2004">
        <w:rPr>
          <w:rFonts w:ascii="Times New Roman" w:hAnsi="Times New Roman"/>
          <w:sz w:val="22"/>
          <w:szCs w:val="22"/>
        </w:rPr>
        <w:t>peut signifier la fin de la politique du nudge par l’incitation</w:t>
      </w:r>
      <w:r w:rsidR="00AF356E">
        <w:rPr>
          <w:rFonts w:ascii="Times New Roman" w:hAnsi="Times New Roman"/>
          <w:sz w:val="22"/>
          <w:szCs w:val="22"/>
        </w:rPr>
        <w:t>. Il suffit, en effet, que la politique du nudge</w:t>
      </w:r>
      <w:r w:rsidR="00290897" w:rsidRPr="009F2004">
        <w:rPr>
          <w:rFonts w:ascii="Times New Roman" w:hAnsi="Times New Roman"/>
          <w:sz w:val="22"/>
          <w:szCs w:val="22"/>
        </w:rPr>
        <w:t xml:space="preserve"> enclenche</w:t>
      </w:r>
      <w:r w:rsidR="00D06751" w:rsidRPr="009F2004">
        <w:rPr>
          <w:rFonts w:ascii="Times New Roman" w:hAnsi="Times New Roman"/>
          <w:sz w:val="22"/>
          <w:szCs w:val="22"/>
        </w:rPr>
        <w:t xml:space="preserve"> une narrativisation critique</w:t>
      </w:r>
      <w:r w:rsidR="00AF356E">
        <w:rPr>
          <w:rFonts w:ascii="Times New Roman" w:hAnsi="Times New Roman"/>
          <w:sz w:val="22"/>
          <w:szCs w:val="22"/>
        </w:rPr>
        <w:t xml:space="preserve">, par exemple par explicitation de l’implicite. </w:t>
      </w:r>
      <w:r w:rsidR="007C57B6">
        <w:rPr>
          <w:rFonts w:ascii="Times New Roman" w:hAnsi="Times New Roman"/>
          <w:sz w:val="22"/>
          <w:szCs w:val="22"/>
        </w:rPr>
        <w:t>L’évaluation peut être positive ou négative. A</w:t>
      </w:r>
      <w:r w:rsidR="00AF356E">
        <w:rPr>
          <w:rFonts w:ascii="Times New Roman" w:hAnsi="Times New Roman"/>
          <w:sz w:val="22"/>
          <w:szCs w:val="22"/>
        </w:rPr>
        <w:t>lors que</w:t>
      </w:r>
      <w:r w:rsidR="006D6DC7" w:rsidRPr="009F2004">
        <w:rPr>
          <w:rFonts w:ascii="Times New Roman" w:hAnsi="Times New Roman"/>
          <w:sz w:val="22"/>
          <w:szCs w:val="22"/>
        </w:rPr>
        <w:t xml:space="preserve"> la politique du nudge évite de convaincre</w:t>
      </w:r>
      <w:r w:rsidR="00AF356E">
        <w:rPr>
          <w:rFonts w:ascii="Times New Roman" w:hAnsi="Times New Roman"/>
          <w:sz w:val="22"/>
          <w:szCs w:val="22"/>
        </w:rPr>
        <w:t xml:space="preserve"> par des arguments</w:t>
      </w:r>
      <w:r w:rsidR="006D6DC7" w:rsidRPr="009F2004">
        <w:rPr>
          <w:rFonts w:ascii="Times New Roman" w:hAnsi="Times New Roman"/>
          <w:sz w:val="22"/>
          <w:szCs w:val="22"/>
        </w:rPr>
        <w:t>, voire de persuader, le repli réflexif et la délibération</w:t>
      </w:r>
      <w:r w:rsidR="00D06751" w:rsidRPr="009F2004">
        <w:rPr>
          <w:rFonts w:ascii="Times New Roman" w:hAnsi="Times New Roman"/>
          <w:sz w:val="22"/>
          <w:szCs w:val="22"/>
        </w:rPr>
        <w:t>,</w:t>
      </w:r>
      <w:r w:rsidR="006D6DC7" w:rsidRPr="009F2004">
        <w:rPr>
          <w:rFonts w:ascii="Times New Roman" w:hAnsi="Times New Roman"/>
          <w:sz w:val="22"/>
          <w:szCs w:val="22"/>
        </w:rPr>
        <w:t xml:space="preserve"> </w:t>
      </w:r>
      <w:r w:rsidR="00AF356E">
        <w:rPr>
          <w:rFonts w:ascii="Times New Roman" w:hAnsi="Times New Roman"/>
          <w:sz w:val="22"/>
          <w:szCs w:val="22"/>
        </w:rPr>
        <w:t xml:space="preserve">qui s’installent </w:t>
      </w:r>
      <w:r w:rsidR="00D06751" w:rsidRPr="009F2004">
        <w:rPr>
          <w:rFonts w:ascii="Times New Roman" w:hAnsi="Times New Roman"/>
          <w:i/>
          <w:sz w:val="22"/>
          <w:szCs w:val="22"/>
        </w:rPr>
        <w:t>malgré</w:t>
      </w:r>
      <w:r w:rsidR="00D06751" w:rsidRPr="009F2004">
        <w:rPr>
          <w:rFonts w:ascii="Times New Roman" w:hAnsi="Times New Roman"/>
          <w:sz w:val="22"/>
          <w:szCs w:val="22"/>
        </w:rPr>
        <w:t xml:space="preserve"> les précautions prises</w:t>
      </w:r>
      <w:r w:rsidR="0042443C" w:rsidRPr="009F2004">
        <w:rPr>
          <w:rFonts w:ascii="Times New Roman" w:hAnsi="Times New Roman"/>
          <w:sz w:val="22"/>
          <w:szCs w:val="22"/>
        </w:rPr>
        <w:t xml:space="preserve"> par l’instance en charge de l‘incitation</w:t>
      </w:r>
      <w:r w:rsidR="00D06751" w:rsidRPr="009F2004">
        <w:rPr>
          <w:rFonts w:ascii="Times New Roman" w:hAnsi="Times New Roman"/>
          <w:sz w:val="22"/>
          <w:szCs w:val="22"/>
        </w:rPr>
        <w:t xml:space="preserve">, peuvent conduire à la requalification de </w:t>
      </w:r>
      <w:r w:rsidR="0042443C" w:rsidRPr="009F2004">
        <w:rPr>
          <w:rFonts w:ascii="Times New Roman" w:hAnsi="Times New Roman"/>
          <w:sz w:val="22"/>
          <w:szCs w:val="22"/>
        </w:rPr>
        <w:t xml:space="preserve">celle-ci </w:t>
      </w:r>
      <w:r w:rsidR="00D06751" w:rsidRPr="009F2004">
        <w:rPr>
          <w:rFonts w:ascii="Times New Roman" w:hAnsi="Times New Roman"/>
          <w:sz w:val="22"/>
          <w:szCs w:val="22"/>
        </w:rPr>
        <w:t>en programme de manipulation (au sens étroit du terme), c’est-à-dire restituer un actant Destinateur transcendant, dût-il rester diffus, et la coercition contre l’absence de contrainte.</w:t>
      </w:r>
      <w:r w:rsidR="004E0343" w:rsidRPr="009F2004">
        <w:rPr>
          <w:rFonts w:ascii="Times New Roman" w:hAnsi="Times New Roman"/>
          <w:sz w:val="22"/>
          <w:szCs w:val="22"/>
        </w:rPr>
        <w:t xml:space="preserve"> </w:t>
      </w:r>
      <w:r w:rsidR="008709A3" w:rsidRPr="008709A3">
        <w:rPr>
          <w:rFonts w:ascii="Times New Roman" w:hAnsi="Times New Roman"/>
          <w:sz w:val="22"/>
          <w:szCs w:val="22"/>
        </w:rPr>
        <w:t>É</w:t>
      </w:r>
      <w:r w:rsidR="004E0343" w:rsidRPr="009F2004">
        <w:rPr>
          <w:rFonts w:ascii="Times New Roman" w:hAnsi="Times New Roman"/>
          <w:sz w:val="22"/>
          <w:szCs w:val="22"/>
        </w:rPr>
        <w:t>tape ultime :</w:t>
      </w:r>
      <w:r w:rsidR="00AF356E">
        <w:rPr>
          <w:rFonts w:ascii="Times New Roman" w:hAnsi="Times New Roman"/>
          <w:sz w:val="22"/>
          <w:szCs w:val="22"/>
        </w:rPr>
        <w:t xml:space="preserve"> dans le cas d’une évaluation négative de la politique du nudge,</w:t>
      </w:r>
      <w:r w:rsidR="004E0343" w:rsidRPr="009F2004">
        <w:rPr>
          <w:rFonts w:ascii="Times New Roman" w:hAnsi="Times New Roman"/>
          <w:sz w:val="22"/>
          <w:szCs w:val="22"/>
        </w:rPr>
        <w:t xml:space="preserve"> la promesse laisse la place à</w:t>
      </w:r>
      <w:r w:rsidR="00D06751" w:rsidRPr="009F2004">
        <w:rPr>
          <w:rFonts w:ascii="Times New Roman" w:hAnsi="Times New Roman"/>
          <w:sz w:val="22"/>
          <w:szCs w:val="22"/>
        </w:rPr>
        <w:t xml:space="preserve"> </w:t>
      </w:r>
      <w:r w:rsidRPr="009F2004">
        <w:rPr>
          <w:rFonts w:ascii="Times New Roman" w:hAnsi="Times New Roman"/>
          <w:sz w:val="22"/>
          <w:szCs w:val="22"/>
        </w:rPr>
        <w:t xml:space="preserve">un </w:t>
      </w:r>
      <w:r w:rsidR="00D06751" w:rsidRPr="009F2004">
        <w:rPr>
          <w:rFonts w:ascii="Times New Roman" w:hAnsi="Times New Roman"/>
          <w:sz w:val="22"/>
          <w:szCs w:val="22"/>
        </w:rPr>
        <w:t>contre-programme.</w:t>
      </w:r>
      <w:r w:rsidR="004E0343" w:rsidRPr="009F2004">
        <w:rPr>
          <w:rFonts w:ascii="Times New Roman" w:hAnsi="Times New Roman"/>
          <w:sz w:val="22"/>
          <w:szCs w:val="22"/>
        </w:rPr>
        <w:t xml:space="preserve"> Le sujet qui se déclare </w:t>
      </w:r>
      <w:r w:rsidR="004E0343" w:rsidRPr="009F2004">
        <w:rPr>
          <w:rFonts w:ascii="Times New Roman" w:hAnsi="Times New Roman"/>
          <w:i/>
          <w:sz w:val="22"/>
          <w:szCs w:val="22"/>
        </w:rPr>
        <w:t>contre</w:t>
      </w:r>
      <w:r w:rsidR="004E0343" w:rsidRPr="009F2004">
        <w:rPr>
          <w:rFonts w:ascii="Times New Roman" w:hAnsi="Times New Roman"/>
          <w:sz w:val="22"/>
          <w:szCs w:val="22"/>
        </w:rPr>
        <w:t xml:space="preserve"> réaffirme sa liberté et s’assume pleinement comme le sujet d’un faire qui est un faire de contestation et de création de nouveaux possibles, ruinant définitivement l’idée que le nudge donne lieu à des inflexions « douces »</w:t>
      </w:r>
      <w:r w:rsidR="00AF356E">
        <w:rPr>
          <w:rFonts w:ascii="Times New Roman" w:hAnsi="Times New Roman"/>
          <w:sz w:val="22"/>
          <w:szCs w:val="22"/>
        </w:rPr>
        <w:t xml:space="preserve">. </w:t>
      </w:r>
    </w:p>
    <w:p w:rsidR="002D027A" w:rsidRDefault="00B108D3" w:rsidP="009F2004">
      <w:pPr>
        <w:pStyle w:val="NormalWeb"/>
        <w:spacing w:before="0" w:beforeAutospacing="0" w:after="0" w:afterAutospacing="0"/>
        <w:ind w:right="284" w:firstLine="284"/>
        <w:jc w:val="both"/>
        <w:rPr>
          <w:rFonts w:ascii="Times New Roman" w:hAnsi="Times New Roman"/>
          <w:sz w:val="22"/>
          <w:szCs w:val="22"/>
        </w:rPr>
      </w:pPr>
      <w:r>
        <w:rPr>
          <w:rFonts w:ascii="Times New Roman" w:hAnsi="Times New Roman"/>
          <w:sz w:val="22"/>
          <w:szCs w:val="22"/>
        </w:rPr>
        <w:t xml:space="preserve">Mais considérons encore l’incitation. </w:t>
      </w:r>
      <w:r w:rsidR="002D027A" w:rsidRPr="009F2004">
        <w:rPr>
          <w:rFonts w:ascii="Times New Roman" w:hAnsi="Times New Roman"/>
          <w:sz w:val="22"/>
          <w:szCs w:val="22"/>
        </w:rPr>
        <w:t xml:space="preserve">Un </w:t>
      </w:r>
      <w:r w:rsidR="0042443C" w:rsidRPr="009F2004">
        <w:rPr>
          <w:rFonts w:ascii="Times New Roman" w:hAnsi="Times New Roman"/>
          <w:sz w:val="22"/>
          <w:szCs w:val="22"/>
        </w:rPr>
        <w:t xml:space="preserve">dernier </w:t>
      </w:r>
      <w:r w:rsidR="002D027A" w:rsidRPr="009F2004">
        <w:rPr>
          <w:rFonts w:ascii="Times New Roman" w:hAnsi="Times New Roman"/>
          <w:sz w:val="22"/>
          <w:szCs w:val="22"/>
        </w:rPr>
        <w:t xml:space="preserve">pas doit être franchi : </w:t>
      </w:r>
      <w:r>
        <w:rPr>
          <w:rFonts w:ascii="Times New Roman" w:hAnsi="Times New Roman"/>
          <w:sz w:val="22"/>
          <w:szCs w:val="22"/>
        </w:rPr>
        <w:t xml:space="preserve">en quoi la séquence modale dont </w:t>
      </w:r>
      <w:r w:rsidR="00547E26">
        <w:rPr>
          <w:rFonts w:ascii="Times New Roman" w:hAnsi="Times New Roman"/>
          <w:sz w:val="22"/>
          <w:szCs w:val="22"/>
        </w:rPr>
        <w:t>n</w:t>
      </w:r>
      <w:r>
        <w:rPr>
          <w:rFonts w:ascii="Times New Roman" w:hAnsi="Times New Roman"/>
          <w:sz w:val="22"/>
          <w:szCs w:val="22"/>
        </w:rPr>
        <w:t xml:space="preserve">ous avons esquissé les contours intègre-t-elle la modalité du savoir faire ? Un savoir faire qui faciliterait la transition entre le vouloir « involontaire » et le vouloir « volontaire ». </w:t>
      </w:r>
      <w:r w:rsidR="002D027A" w:rsidRPr="009F2004">
        <w:rPr>
          <w:rFonts w:ascii="Times New Roman" w:hAnsi="Times New Roman"/>
          <w:sz w:val="22"/>
          <w:szCs w:val="22"/>
        </w:rPr>
        <w:t xml:space="preserve">Dans </w:t>
      </w:r>
      <w:r w:rsidR="0042443C" w:rsidRPr="009F2004">
        <w:rPr>
          <w:rFonts w:ascii="Times New Roman" w:hAnsi="Times New Roman"/>
          <w:sz w:val="22"/>
          <w:szCs w:val="22"/>
        </w:rPr>
        <w:t>l</w:t>
      </w:r>
      <w:r w:rsidR="002D027A" w:rsidRPr="009F2004">
        <w:rPr>
          <w:rFonts w:ascii="Times New Roman" w:hAnsi="Times New Roman"/>
          <w:sz w:val="22"/>
          <w:szCs w:val="22"/>
        </w:rPr>
        <w:t xml:space="preserve">a troisième partie, </w:t>
      </w:r>
      <w:r w:rsidR="0042443C" w:rsidRPr="009F2004">
        <w:rPr>
          <w:rFonts w:ascii="Times New Roman" w:hAnsi="Times New Roman"/>
          <w:sz w:val="22"/>
          <w:szCs w:val="22"/>
        </w:rPr>
        <w:t>nous défendrons</w:t>
      </w:r>
      <w:r w:rsidR="002D027A" w:rsidRPr="009F2004">
        <w:rPr>
          <w:rFonts w:ascii="Times New Roman" w:hAnsi="Times New Roman"/>
          <w:sz w:val="22"/>
          <w:szCs w:val="22"/>
        </w:rPr>
        <w:t xml:space="preserve"> l’idée que la modalisation par le savoir</w:t>
      </w:r>
      <w:r>
        <w:rPr>
          <w:rFonts w:ascii="Times New Roman" w:hAnsi="Times New Roman"/>
          <w:sz w:val="22"/>
          <w:szCs w:val="22"/>
        </w:rPr>
        <w:t xml:space="preserve"> </w:t>
      </w:r>
      <w:r w:rsidR="002D027A" w:rsidRPr="009F2004">
        <w:rPr>
          <w:rFonts w:ascii="Times New Roman" w:hAnsi="Times New Roman"/>
          <w:sz w:val="22"/>
          <w:szCs w:val="22"/>
        </w:rPr>
        <w:t xml:space="preserve">faire </w:t>
      </w:r>
      <w:r w:rsidR="0042443C" w:rsidRPr="009F2004">
        <w:rPr>
          <w:rFonts w:ascii="Times New Roman" w:hAnsi="Times New Roman"/>
          <w:sz w:val="22"/>
          <w:szCs w:val="22"/>
        </w:rPr>
        <w:t xml:space="preserve">(collectif) </w:t>
      </w:r>
      <w:r w:rsidR="002D027A" w:rsidRPr="009F2004">
        <w:rPr>
          <w:rFonts w:ascii="Times New Roman" w:hAnsi="Times New Roman"/>
          <w:sz w:val="22"/>
          <w:szCs w:val="22"/>
        </w:rPr>
        <w:t>entre dans le processus de l’incitation en contribuant à susciter</w:t>
      </w:r>
      <w:r w:rsidR="00547E26">
        <w:rPr>
          <w:rFonts w:ascii="Times New Roman" w:hAnsi="Times New Roman"/>
          <w:sz w:val="22"/>
          <w:szCs w:val="22"/>
        </w:rPr>
        <w:t xml:space="preserve"> le vouloir « volontaire »</w:t>
      </w:r>
      <w:r w:rsidR="002D027A" w:rsidRPr="009F2004">
        <w:rPr>
          <w:rFonts w:ascii="Times New Roman" w:hAnsi="Times New Roman"/>
          <w:sz w:val="22"/>
          <w:szCs w:val="22"/>
        </w:rPr>
        <w:t xml:space="preserve">, de la même manière que la séduction selon Greimas et Courtés correspond à une manipulation selon le savoir. </w:t>
      </w:r>
      <w:r w:rsidR="0042443C" w:rsidRPr="009F2004">
        <w:rPr>
          <w:rFonts w:ascii="Times New Roman" w:hAnsi="Times New Roman"/>
          <w:sz w:val="22"/>
          <w:szCs w:val="22"/>
        </w:rPr>
        <w:t xml:space="preserve">Nous nous interrogerons sur le rôle de l’instrument-outil, au point de jonction entre </w:t>
      </w:r>
      <w:r w:rsidR="000E1639" w:rsidRPr="009F2004">
        <w:rPr>
          <w:rFonts w:ascii="Times New Roman" w:hAnsi="Times New Roman"/>
          <w:sz w:val="22"/>
          <w:szCs w:val="22"/>
        </w:rPr>
        <w:t>l’</w:t>
      </w:r>
      <w:r w:rsidR="002D027A" w:rsidRPr="009F2004">
        <w:rPr>
          <w:rFonts w:ascii="Times New Roman" w:hAnsi="Times New Roman"/>
          <w:sz w:val="22"/>
          <w:szCs w:val="22"/>
        </w:rPr>
        <w:t>instrumentation et</w:t>
      </w:r>
      <w:r w:rsidR="0042443C" w:rsidRPr="009F2004">
        <w:rPr>
          <w:rFonts w:ascii="Times New Roman" w:hAnsi="Times New Roman"/>
          <w:sz w:val="22"/>
          <w:szCs w:val="22"/>
        </w:rPr>
        <w:t xml:space="preserve"> </w:t>
      </w:r>
      <w:r w:rsidR="000E1639" w:rsidRPr="009F2004">
        <w:rPr>
          <w:rFonts w:ascii="Times New Roman" w:hAnsi="Times New Roman"/>
          <w:sz w:val="22"/>
          <w:szCs w:val="22"/>
        </w:rPr>
        <w:t>l’</w:t>
      </w:r>
      <w:r w:rsidR="002D027A" w:rsidRPr="009F2004">
        <w:rPr>
          <w:rFonts w:ascii="Times New Roman" w:hAnsi="Times New Roman"/>
          <w:sz w:val="22"/>
          <w:szCs w:val="22"/>
        </w:rPr>
        <w:t xml:space="preserve">instrumentalisation </w:t>
      </w:r>
      <w:r w:rsidR="000E1639" w:rsidRPr="009F2004">
        <w:rPr>
          <w:rFonts w:ascii="Times New Roman" w:hAnsi="Times New Roman"/>
          <w:sz w:val="22"/>
          <w:szCs w:val="22"/>
        </w:rPr>
        <w:t>qui rendent possibles des</w:t>
      </w:r>
      <w:r w:rsidR="002D027A" w:rsidRPr="009F2004">
        <w:rPr>
          <w:rFonts w:ascii="Times New Roman" w:hAnsi="Times New Roman"/>
          <w:sz w:val="22"/>
          <w:szCs w:val="22"/>
        </w:rPr>
        <w:t xml:space="preserve"> usages</w:t>
      </w:r>
      <w:r w:rsidR="000E1639" w:rsidRPr="009F2004">
        <w:rPr>
          <w:rFonts w:ascii="Times New Roman" w:hAnsi="Times New Roman"/>
          <w:sz w:val="22"/>
          <w:szCs w:val="22"/>
        </w:rPr>
        <w:t xml:space="preserve"> </w:t>
      </w:r>
      <w:r w:rsidR="002D027A" w:rsidRPr="009F2004">
        <w:rPr>
          <w:rFonts w:ascii="Times New Roman" w:hAnsi="Times New Roman"/>
          <w:sz w:val="22"/>
          <w:szCs w:val="22"/>
        </w:rPr>
        <w:t xml:space="preserve">tendus entre répétition de gestes et renouvellement, entre hétéro-adaptation et auto-adaptation, entre anasémiose et catasémiose. </w:t>
      </w:r>
    </w:p>
    <w:p w:rsidR="00B82D4F" w:rsidRPr="009F2004" w:rsidRDefault="00B82D4F" w:rsidP="009F2004">
      <w:pPr>
        <w:pStyle w:val="NormalWeb"/>
        <w:spacing w:before="0" w:beforeAutospacing="0" w:after="0" w:afterAutospacing="0"/>
        <w:ind w:right="284" w:firstLine="284"/>
        <w:jc w:val="both"/>
        <w:rPr>
          <w:rFonts w:ascii="Times New Roman" w:hAnsi="Times New Roman"/>
          <w:sz w:val="22"/>
          <w:szCs w:val="22"/>
        </w:rPr>
      </w:pPr>
    </w:p>
    <w:p w:rsidR="002D027A" w:rsidRPr="00174224" w:rsidRDefault="00B82D4F" w:rsidP="00B82D4F">
      <w:pPr>
        <w:pStyle w:val="NormalWeb"/>
        <w:spacing w:before="0" w:beforeAutospacing="0" w:after="0" w:afterAutospacing="0"/>
        <w:ind w:right="284"/>
        <w:jc w:val="both"/>
        <w:rPr>
          <w:rFonts w:ascii="Times New Roman" w:hAnsi="Times New Roman"/>
          <w:b/>
          <w:color w:val="C00000"/>
          <w:sz w:val="22"/>
          <w:szCs w:val="22"/>
        </w:rPr>
      </w:pPr>
      <w:r w:rsidRPr="00174224">
        <w:rPr>
          <w:rFonts w:ascii="Times New Roman" w:hAnsi="Times New Roman"/>
          <w:b/>
          <w:color w:val="C00000"/>
          <w:sz w:val="22"/>
          <w:szCs w:val="22"/>
        </w:rPr>
        <w:t>4</w:t>
      </w:r>
      <w:r w:rsidR="002D027A" w:rsidRPr="00174224">
        <w:rPr>
          <w:rFonts w:ascii="Times New Roman" w:hAnsi="Times New Roman"/>
          <w:b/>
          <w:color w:val="C00000"/>
          <w:sz w:val="22"/>
          <w:szCs w:val="22"/>
        </w:rPr>
        <w:t>. Le savoir-faire et l’instrument au service du nudge</w:t>
      </w:r>
    </w:p>
    <w:p w:rsidR="00CB5BF3"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La compétentialisation par le savoir</w:t>
      </w:r>
      <w:r w:rsidR="00B108D3">
        <w:rPr>
          <w:rFonts w:ascii="Times New Roman" w:hAnsi="Times New Roman"/>
          <w:sz w:val="22"/>
          <w:szCs w:val="22"/>
        </w:rPr>
        <w:t xml:space="preserve"> </w:t>
      </w:r>
      <w:r w:rsidRPr="009F2004">
        <w:rPr>
          <w:rFonts w:ascii="Times New Roman" w:hAnsi="Times New Roman"/>
          <w:sz w:val="22"/>
          <w:szCs w:val="22"/>
        </w:rPr>
        <w:t xml:space="preserve">faire peut être inhérente à l’action d’ex-poser, d’im-poser ou de pro-poser : mettre des fruits à la disposition des enfants, c’est, d’emblée, les doter d’un savoir </w:t>
      </w:r>
      <w:r w:rsidRPr="009F2004">
        <w:rPr>
          <w:rFonts w:ascii="Times New Roman" w:hAnsi="Times New Roman"/>
          <w:sz w:val="22"/>
          <w:szCs w:val="22"/>
        </w:rPr>
        <w:lastRenderedPageBreak/>
        <w:t>comment se nourrir sainement. Dans d’autres cas, l’incitation e</w:t>
      </w:r>
      <w:r w:rsidR="00547E26">
        <w:rPr>
          <w:rFonts w:ascii="Times New Roman" w:hAnsi="Times New Roman"/>
          <w:sz w:val="22"/>
          <w:szCs w:val="22"/>
        </w:rPr>
        <w:t>s</w:t>
      </w:r>
      <w:r w:rsidRPr="009F2004">
        <w:rPr>
          <w:rFonts w:ascii="Times New Roman" w:hAnsi="Times New Roman"/>
          <w:sz w:val="22"/>
          <w:szCs w:val="22"/>
        </w:rPr>
        <w:t xml:space="preserve">t facilitée / renforcée par la mise à disposition d’instruments, par exemple de réseaux électriques communicants appelés </w:t>
      </w:r>
      <w:r w:rsidR="00547E26">
        <w:rPr>
          <w:rFonts w:ascii="Times New Roman" w:hAnsi="Times New Roman"/>
          <w:i/>
          <w:sz w:val="22"/>
          <w:szCs w:val="22"/>
        </w:rPr>
        <w:t>S</w:t>
      </w:r>
      <w:r w:rsidRPr="009F2004">
        <w:rPr>
          <w:rFonts w:ascii="Times New Roman" w:hAnsi="Times New Roman"/>
          <w:i/>
          <w:sz w:val="22"/>
          <w:szCs w:val="22"/>
        </w:rPr>
        <w:t>mart-</w:t>
      </w:r>
      <w:r w:rsidR="00547E26">
        <w:rPr>
          <w:rFonts w:ascii="Times New Roman" w:hAnsi="Times New Roman"/>
          <w:i/>
          <w:sz w:val="22"/>
          <w:szCs w:val="22"/>
        </w:rPr>
        <w:t>G</w:t>
      </w:r>
      <w:r w:rsidRPr="009F2004">
        <w:rPr>
          <w:rFonts w:ascii="Times New Roman" w:hAnsi="Times New Roman"/>
          <w:i/>
          <w:sz w:val="22"/>
          <w:szCs w:val="22"/>
        </w:rPr>
        <w:t>rids</w:t>
      </w:r>
      <w:r w:rsidRPr="009F2004">
        <w:rPr>
          <w:rFonts w:ascii="Times New Roman" w:hAnsi="Times New Roman"/>
          <w:sz w:val="22"/>
          <w:szCs w:val="22"/>
        </w:rPr>
        <w:t xml:space="preserve">, qui, en informant sur la consommation électrique en temps réel, tel jour, dans tel lieu, apportent des possibilités d’action supplémentaires qui accompagnent, voire soutiennent le programme vectorisé « maîtriser la consommation d’énergie </w:t>
      </w:r>
      <w:r w:rsidRPr="00CB5BF3">
        <w:rPr>
          <w:rFonts w:ascii="Times New Roman" w:hAnsi="Times New Roman"/>
          <w:sz w:val="22"/>
          <w:szCs w:val="22"/>
        </w:rPr>
        <w:t>».</w:t>
      </w:r>
    </w:p>
    <w:p w:rsidR="002D027A" w:rsidRPr="00CB5BF3" w:rsidRDefault="002D027A" w:rsidP="005C2D27">
      <w:pPr>
        <w:ind w:firstLine="340"/>
        <w:jc w:val="both"/>
      </w:pPr>
      <w:r w:rsidRPr="00CB5BF3">
        <w:t xml:space="preserve"> </w:t>
      </w:r>
      <w:r w:rsidRPr="00CB5BF3">
        <w:rPr>
          <w:sz w:val="22"/>
        </w:rPr>
        <w:t xml:space="preserve">L'implémentation des Smart Grids – par exemple à l’île de la Réunion, qui cherche à produire d’ici 2030 son électricité à partir de sources uniquement renouvelables, comme le rappelle Stéphanie Bouckaert </w:t>
      </w:r>
      <w:r w:rsidR="007A60FC" w:rsidRPr="00CB5BF3">
        <w:rPr>
          <w:sz w:val="22"/>
        </w:rPr>
        <w:t>(</w:t>
      </w:r>
      <w:r w:rsidRPr="00CB5BF3">
        <w:rPr>
          <w:sz w:val="22"/>
        </w:rPr>
        <w:t>Centre de Mathématiques appliquées</w:t>
      </w:r>
      <w:r w:rsidR="007A60FC" w:rsidRPr="00CB5BF3">
        <w:rPr>
          <w:sz w:val="22"/>
        </w:rPr>
        <w:t>)</w:t>
      </w:r>
      <w:r w:rsidR="007A60FC" w:rsidRPr="00CB5BF3">
        <w:rPr>
          <w:sz w:val="22"/>
          <w:vertAlign w:val="superscript"/>
        </w:rPr>
        <w:footnoteReference w:id="10"/>
      </w:r>
      <w:r w:rsidRPr="00CB5BF3">
        <w:rPr>
          <w:sz w:val="22"/>
        </w:rPr>
        <w:t xml:space="preserve"> – est censée apporter une solution aux problèmes climatiques et relever les défis énergétiques. Il s’agit d’outils d’aide à la décision, qui doivent permettre de tracer des « trajectoires énergétiques »</w:t>
      </w:r>
      <w:r w:rsidR="007A60FC" w:rsidRPr="00CB5BF3">
        <w:rPr>
          <w:sz w:val="22"/>
        </w:rPr>
        <w:t xml:space="preserve"> </w:t>
      </w:r>
      <w:r w:rsidRPr="00CB5BF3">
        <w:rPr>
          <w:sz w:val="22"/>
        </w:rPr>
        <w:t xml:space="preserve">sur le fond des contraintes environnementales et techniques. En particulier, il importe d’adapter l’offre à la demande, de gérer le stockage des énergies, de multiplier les énergies renouvelables.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 xml:space="preserve">Si, comme le notent Julie Lassalle </w:t>
      </w:r>
      <w:r w:rsidRPr="009F2004">
        <w:rPr>
          <w:rFonts w:ascii="Times New Roman" w:hAnsi="Times New Roman"/>
          <w:i/>
          <w:sz w:val="22"/>
          <w:szCs w:val="22"/>
        </w:rPr>
        <w:t>et alii</w:t>
      </w:r>
      <w:r w:rsidRPr="009F2004">
        <w:rPr>
          <w:rFonts w:ascii="Times New Roman" w:hAnsi="Times New Roman"/>
          <w:sz w:val="22"/>
          <w:szCs w:val="22"/>
        </w:rPr>
        <w:t xml:space="preserve"> (2016) à la suite de Pierre Rabardel (1995), la genèse instrumentale repose sur un double processus, d’instrumentation, orienté vers le sujet, et d’instrumentalisation, orienté vers l’artefact-outil</w:t>
      </w:r>
      <w:r w:rsidRPr="009F2004">
        <w:rPr>
          <w:rStyle w:val="Appelnotedebasdep"/>
          <w:rFonts w:ascii="Times New Roman" w:hAnsi="Times New Roman"/>
          <w:sz w:val="22"/>
          <w:szCs w:val="22"/>
        </w:rPr>
        <w:footnoteReference w:id="11"/>
      </w:r>
      <w:r w:rsidRPr="009F2004">
        <w:rPr>
          <w:rFonts w:ascii="Times New Roman" w:hAnsi="Times New Roman"/>
          <w:sz w:val="22"/>
          <w:szCs w:val="22"/>
        </w:rPr>
        <w:t xml:space="preserve">, </w:t>
      </w:r>
      <w:r w:rsidR="009F0D5A" w:rsidRPr="009F2004">
        <w:rPr>
          <w:rFonts w:ascii="Times New Roman" w:hAnsi="Times New Roman"/>
          <w:sz w:val="22"/>
          <w:szCs w:val="22"/>
        </w:rPr>
        <w:t>la syntaxe des</w:t>
      </w:r>
      <w:r w:rsidRPr="009F2004">
        <w:rPr>
          <w:rFonts w:ascii="Times New Roman" w:hAnsi="Times New Roman"/>
          <w:sz w:val="22"/>
          <w:szCs w:val="22"/>
        </w:rPr>
        <w:t xml:space="preserve"> micro-incitations</w:t>
      </w:r>
      <w:r w:rsidR="009F0D5A" w:rsidRPr="009F2004">
        <w:rPr>
          <w:rFonts w:ascii="Times New Roman" w:hAnsi="Times New Roman"/>
          <w:sz w:val="22"/>
          <w:szCs w:val="22"/>
        </w:rPr>
        <w:t xml:space="preserve"> organisées </w:t>
      </w:r>
      <w:r w:rsidRPr="009F2004">
        <w:rPr>
          <w:rFonts w:ascii="Times New Roman" w:hAnsi="Times New Roman"/>
          <w:sz w:val="22"/>
          <w:szCs w:val="22"/>
        </w:rPr>
        <w:t>suppose l’appropriation de l’instrument technologique, mais aussi sa transformation en outil-prothèse capable de valider/invalider les actions entreprises et, à terme, d’augmenter les compétences de l’usager (savoir améliorer ses performances)</w:t>
      </w:r>
      <w:r w:rsidRPr="009F2004">
        <w:rPr>
          <w:rStyle w:val="Appelnotedebasdep"/>
          <w:rFonts w:ascii="Times New Roman" w:hAnsi="Times New Roman"/>
          <w:sz w:val="22"/>
          <w:szCs w:val="22"/>
        </w:rPr>
        <w:footnoteReference w:id="12"/>
      </w:r>
      <w:r w:rsidRPr="009F2004">
        <w:rPr>
          <w:rFonts w:ascii="Times New Roman" w:hAnsi="Times New Roman"/>
          <w:i/>
          <w:sz w:val="22"/>
          <w:szCs w:val="22"/>
        </w:rPr>
        <w:t xml:space="preserve">. </w:t>
      </w:r>
      <w:r w:rsidRPr="009F2004">
        <w:rPr>
          <w:rFonts w:ascii="Times New Roman" w:hAnsi="Times New Roman"/>
          <w:sz w:val="22"/>
          <w:szCs w:val="22"/>
        </w:rPr>
        <w:t xml:space="preserve">Dans ce cas, la félicité ou la réussite de l’incitation est fonction des schèmes d’usage et de leur capacité à atteindre le but recherché, mais aussi de l’aptitude de l’usager à ajuster l’outil-prothèse à la situation, en ajoutant ou en abandonnant certaines fonctions.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 xml:space="preserve">Plus largement, sans doute peut-on considérer les </w:t>
      </w:r>
      <w:r w:rsidR="00547E26" w:rsidRPr="00547E26">
        <w:rPr>
          <w:rFonts w:ascii="Times New Roman" w:hAnsi="Times New Roman"/>
          <w:i/>
          <w:sz w:val="22"/>
          <w:szCs w:val="22"/>
        </w:rPr>
        <w:t>S</w:t>
      </w:r>
      <w:r w:rsidRPr="00547E26">
        <w:rPr>
          <w:rFonts w:ascii="Times New Roman" w:hAnsi="Times New Roman"/>
          <w:i/>
          <w:sz w:val="22"/>
          <w:szCs w:val="22"/>
        </w:rPr>
        <w:t>mart-</w:t>
      </w:r>
      <w:r w:rsidR="00547E26" w:rsidRPr="00547E26">
        <w:rPr>
          <w:rFonts w:ascii="Times New Roman" w:hAnsi="Times New Roman"/>
          <w:i/>
          <w:sz w:val="22"/>
          <w:szCs w:val="22"/>
        </w:rPr>
        <w:t>G</w:t>
      </w:r>
      <w:r w:rsidRPr="00547E26">
        <w:rPr>
          <w:rFonts w:ascii="Times New Roman" w:hAnsi="Times New Roman"/>
          <w:i/>
          <w:sz w:val="22"/>
          <w:szCs w:val="22"/>
        </w:rPr>
        <w:t>rids</w:t>
      </w:r>
      <w:r w:rsidRPr="009F2004">
        <w:rPr>
          <w:rFonts w:ascii="Times New Roman" w:hAnsi="Times New Roman"/>
          <w:sz w:val="22"/>
          <w:szCs w:val="22"/>
        </w:rPr>
        <w:t xml:space="preserve"> à la base d’une série de micro-incitations comme des outils à la fois anasémiotiques et catasémiotiques, selon la distinction travaillée par le groupe µ (2012) : d’une part, en effet, ils contribuent à pourvoir le programme de maîtrise de l’énergie d’un sens, en évaluant les chances de réussite des actions ; d’autre part, ils agissent sur le monde en incitant à l’action, qui est transformatrice</w:t>
      </w:r>
      <w:r w:rsidR="007A60FC" w:rsidRPr="009F2004">
        <w:rPr>
          <w:rFonts w:ascii="Times New Roman" w:hAnsi="Times New Roman"/>
          <w:sz w:val="22"/>
          <w:szCs w:val="22"/>
        </w:rPr>
        <w:t>.</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 xml:space="preserve">Enfin, une des conséquences de la mise à disposition d’outils technologiques impliqués dans l’opération de l’incitation est la légitimation ou la disqualification sociétale du programme écologique. La performance n’est plus unique, mais nécessairement répétée, par des instances multiples, voire collectives. Le sentiment d’appartenance non plus à une multiplicité inorganisée, mais à un collectif, l’individuation par le collectif, au sens où l’entend Simondon, sont favorisés, d’une part, par un savoir-faire partagé et, d’autre part, par un rapport au temps et à l’autre spécifiques : par un effet de durée articulée et segmentée, la sanction à la base de la micro-incitation </w:t>
      </w:r>
      <w:r w:rsidR="007A60FC" w:rsidRPr="009F2004">
        <w:rPr>
          <w:rFonts w:ascii="Times New Roman" w:hAnsi="Times New Roman"/>
          <w:sz w:val="22"/>
          <w:szCs w:val="22"/>
        </w:rPr>
        <w:t>étant</w:t>
      </w:r>
      <w:r w:rsidRPr="009F2004">
        <w:rPr>
          <w:rFonts w:ascii="Times New Roman" w:hAnsi="Times New Roman"/>
          <w:sz w:val="22"/>
          <w:szCs w:val="22"/>
        </w:rPr>
        <w:t xml:space="preserve"> immédiate, dans l’instant</w:t>
      </w:r>
      <w:r w:rsidR="007A60FC" w:rsidRPr="009F2004">
        <w:rPr>
          <w:rFonts w:ascii="Times New Roman" w:hAnsi="Times New Roman"/>
          <w:sz w:val="22"/>
          <w:szCs w:val="22"/>
        </w:rPr>
        <w:t xml:space="preserve">, tout en transformant le futur en délai. </w:t>
      </w:r>
      <w:r w:rsidRPr="009F2004">
        <w:rPr>
          <w:rFonts w:ascii="Times New Roman" w:hAnsi="Times New Roman"/>
          <w:sz w:val="22"/>
          <w:szCs w:val="22"/>
        </w:rPr>
        <w:t xml:space="preserve">Plus particulièrement, les informations de consommation – les </w:t>
      </w:r>
      <w:r w:rsidRPr="009F2004">
        <w:rPr>
          <w:rFonts w:ascii="Times New Roman" w:hAnsi="Times New Roman"/>
          <w:i/>
          <w:sz w:val="22"/>
          <w:szCs w:val="22"/>
        </w:rPr>
        <w:t>eco-feedbacks</w:t>
      </w:r>
      <w:r w:rsidRPr="009F2004">
        <w:rPr>
          <w:rFonts w:ascii="Times New Roman" w:hAnsi="Times New Roman"/>
          <w:sz w:val="22"/>
          <w:szCs w:val="22"/>
        </w:rPr>
        <w:t xml:space="preserve"> par le biais d’interfaces intégrées dans des dispositifs qui exploitent des supports différents (ordinateurs, tablettes, smartphones, etc.) (Lassalle, Amelot, Chauvin, Boutet-Diéye 2016) – sanctionnent une action en fractionnant un programme et en le ponctuant de </w:t>
      </w:r>
      <w:r w:rsidR="0064754B" w:rsidRPr="009F2004">
        <w:rPr>
          <w:rFonts w:ascii="Times New Roman" w:hAnsi="Times New Roman"/>
          <w:sz w:val="22"/>
          <w:szCs w:val="22"/>
        </w:rPr>
        <w:t xml:space="preserve">micro-incitations </w:t>
      </w:r>
      <w:r w:rsidR="0064754B">
        <w:rPr>
          <w:rFonts w:ascii="Times New Roman" w:hAnsi="Times New Roman"/>
          <w:sz w:val="22"/>
          <w:szCs w:val="22"/>
        </w:rPr>
        <w:t xml:space="preserve">et de </w:t>
      </w:r>
      <w:r w:rsidRPr="009F2004">
        <w:rPr>
          <w:rFonts w:ascii="Times New Roman" w:hAnsi="Times New Roman"/>
          <w:sz w:val="22"/>
          <w:szCs w:val="22"/>
        </w:rPr>
        <w:t xml:space="preserve">micro-sanctions.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rPr>
      </w:pPr>
      <w:r w:rsidRPr="009F2004">
        <w:rPr>
          <w:rFonts w:ascii="Times New Roman" w:hAnsi="Times New Roman"/>
          <w:sz w:val="22"/>
          <w:szCs w:val="22"/>
        </w:rPr>
        <w:t>D’où, à la fois, une dépossession relative de l’initiative, l’instance engagée dans un programme de maîtrise de l’énergie se soumettant volontairement à des contrôles et des incitations réguliers, voire appelant l’action performative des outils technologiques (les outils font</w:t>
      </w:r>
      <w:r w:rsidR="00547E26">
        <w:rPr>
          <w:rFonts w:ascii="Times New Roman" w:hAnsi="Times New Roman"/>
          <w:sz w:val="22"/>
          <w:szCs w:val="22"/>
        </w:rPr>
        <w:t xml:space="preserve"> </w:t>
      </w:r>
      <w:r w:rsidRPr="009F2004">
        <w:rPr>
          <w:rFonts w:ascii="Times New Roman" w:hAnsi="Times New Roman"/>
          <w:sz w:val="22"/>
          <w:szCs w:val="22"/>
        </w:rPr>
        <w:t>faire et font</w:t>
      </w:r>
      <w:r w:rsidR="00547E26">
        <w:rPr>
          <w:rFonts w:ascii="Times New Roman" w:hAnsi="Times New Roman"/>
          <w:sz w:val="22"/>
          <w:szCs w:val="22"/>
        </w:rPr>
        <w:t xml:space="preserve"> </w:t>
      </w:r>
      <w:r w:rsidRPr="009F2004">
        <w:rPr>
          <w:rFonts w:ascii="Times New Roman" w:hAnsi="Times New Roman"/>
          <w:sz w:val="22"/>
          <w:szCs w:val="22"/>
        </w:rPr>
        <w:t xml:space="preserve">être). Et </w:t>
      </w:r>
      <w:r w:rsidRPr="009F2004">
        <w:rPr>
          <w:rFonts w:ascii="Times New Roman" w:hAnsi="Times New Roman"/>
          <w:sz w:val="22"/>
          <w:szCs w:val="22"/>
        </w:rPr>
        <w:lastRenderedPageBreak/>
        <w:t>une redéfinition des rôles, des modes opératoires inédits permettant à l’instance d’agir sur les usages. Les interventions s’évaluent sur le fond des « traductions » qui s’opèrent au sein d’un réseau pensé sur le modèle de l’acteur-réseau selon Michel Callon</w:t>
      </w:r>
      <w:r w:rsidR="00B24171">
        <w:rPr>
          <w:rFonts w:ascii="Times New Roman" w:hAnsi="Times New Roman"/>
          <w:sz w:val="22"/>
          <w:szCs w:val="22"/>
        </w:rPr>
        <w:t xml:space="preserve"> (1986)</w:t>
      </w:r>
      <w:r w:rsidRPr="009F2004">
        <w:rPr>
          <w:rFonts w:ascii="Times New Roman" w:hAnsi="Times New Roman"/>
          <w:sz w:val="22"/>
          <w:szCs w:val="22"/>
        </w:rPr>
        <w:t xml:space="preserve">, ainsi que le soulignent aussi Julie Lassalle </w:t>
      </w:r>
      <w:r w:rsidRPr="009F2004">
        <w:rPr>
          <w:rFonts w:ascii="Times New Roman" w:hAnsi="Times New Roman"/>
          <w:i/>
          <w:sz w:val="22"/>
          <w:szCs w:val="22"/>
        </w:rPr>
        <w:t>et alii</w:t>
      </w:r>
      <w:r w:rsidRPr="009F2004">
        <w:rPr>
          <w:rFonts w:ascii="Times New Roman" w:hAnsi="Times New Roman"/>
          <w:sz w:val="22"/>
          <w:szCs w:val="22"/>
        </w:rPr>
        <w:t xml:space="preserve"> (2016). L’incitation par les outils technologiques devient lisible à travers les relations qui se nouent entre un ensemble d’acteurs appartenant au réseau sociotechnique : outre les outils et les acteurs humains, des institutions, des normes et des représentations collectives, à la base de la consolidation des usages ainsi que de processus d’innovation. </w:t>
      </w:r>
    </w:p>
    <w:p w:rsidR="002D027A" w:rsidRPr="009F2004" w:rsidRDefault="002D027A" w:rsidP="009F2004">
      <w:pPr>
        <w:pStyle w:val="NormalWeb"/>
        <w:spacing w:before="0" w:beforeAutospacing="0" w:after="0" w:afterAutospacing="0"/>
        <w:ind w:right="284" w:firstLine="284"/>
        <w:jc w:val="both"/>
        <w:rPr>
          <w:rFonts w:ascii="Times New Roman" w:hAnsi="Times New Roman"/>
          <w:i/>
          <w:sz w:val="22"/>
          <w:szCs w:val="22"/>
        </w:rPr>
      </w:pPr>
      <w:r w:rsidRPr="009F2004">
        <w:rPr>
          <w:rFonts w:ascii="Times New Roman" w:hAnsi="Times New Roman"/>
          <w:sz w:val="22"/>
          <w:szCs w:val="22"/>
        </w:rPr>
        <w:t>D’une part, on voit que l’incitation se renforce de tous ces liens qui se tissent entre l’outil et les usagers au titre de l’intéressement et de l’attachement</w:t>
      </w:r>
      <w:r w:rsidRPr="009F2004">
        <w:rPr>
          <w:rStyle w:val="Appelnotedebasdep"/>
          <w:rFonts w:ascii="Times New Roman" w:hAnsi="Times New Roman"/>
          <w:sz w:val="22"/>
          <w:szCs w:val="22"/>
        </w:rPr>
        <w:footnoteReference w:id="13"/>
      </w:r>
      <w:r w:rsidRPr="009F2004">
        <w:rPr>
          <w:rFonts w:ascii="Times New Roman" w:hAnsi="Times New Roman"/>
          <w:sz w:val="22"/>
          <w:szCs w:val="22"/>
        </w:rPr>
        <w:t>. L’intéressement peut se conjuguer avec l’attachement</w:t>
      </w:r>
      <w:r w:rsidR="0089787D">
        <w:rPr>
          <w:rFonts w:ascii="Times New Roman" w:hAnsi="Times New Roman"/>
          <w:sz w:val="22"/>
          <w:szCs w:val="22"/>
        </w:rPr>
        <w:t xml:space="preserve"> </w:t>
      </w:r>
      <w:r w:rsidRPr="009F2004">
        <w:rPr>
          <w:rFonts w:ascii="Times New Roman" w:hAnsi="Times New Roman"/>
          <w:sz w:val="22"/>
          <w:szCs w:val="22"/>
        </w:rPr>
        <w:t xml:space="preserve">: « cela m’importe », sur le seuil du vouloir faire « volontaire ». </w:t>
      </w:r>
    </w:p>
    <w:p w:rsidR="00DE440D" w:rsidRPr="009F2004" w:rsidRDefault="002D027A" w:rsidP="009F2004">
      <w:pPr>
        <w:pStyle w:val="Notedebasdepage"/>
        <w:ind w:right="284" w:firstLine="284"/>
        <w:jc w:val="both"/>
        <w:rPr>
          <w:sz w:val="22"/>
          <w:szCs w:val="22"/>
        </w:rPr>
      </w:pPr>
      <w:r w:rsidRPr="009F2004">
        <w:rPr>
          <w:sz w:val="22"/>
          <w:szCs w:val="22"/>
        </w:rPr>
        <w:t xml:space="preserve">D’autre part, l’incitation suppose des ajustements à l’environnement/des interventions sur lui quand il est transformé en </w:t>
      </w:r>
      <w:r w:rsidRPr="009F2004">
        <w:rPr>
          <w:i/>
          <w:sz w:val="22"/>
          <w:szCs w:val="22"/>
        </w:rPr>
        <w:t>milieu de vie</w:t>
      </w:r>
      <w:r w:rsidRPr="009F2004">
        <w:rPr>
          <w:sz w:val="22"/>
          <w:szCs w:val="22"/>
        </w:rPr>
        <w:t>. Elle prend appui sur des dispositifs dont la « cohérence externe » (Bachimont 20</w:t>
      </w:r>
      <w:r w:rsidR="0089787D">
        <w:rPr>
          <w:sz w:val="22"/>
          <w:szCs w:val="22"/>
        </w:rPr>
        <w:t>18 : 171</w:t>
      </w:r>
      <w:r w:rsidRPr="009F2004">
        <w:rPr>
          <w:sz w:val="22"/>
          <w:szCs w:val="22"/>
        </w:rPr>
        <w:t>) suppose l’intégration dans des cadres d’usage normés. C’est en cela, aussi, que l’instrument doit nécessairement avoir une portée éthique</w:t>
      </w:r>
      <w:r w:rsidRPr="009F2004">
        <w:rPr>
          <w:i/>
          <w:sz w:val="22"/>
          <w:szCs w:val="22"/>
        </w:rPr>
        <w:t xml:space="preserve"> </w:t>
      </w:r>
      <w:r w:rsidRPr="009F2004">
        <w:rPr>
          <w:sz w:val="22"/>
          <w:szCs w:val="22"/>
        </w:rPr>
        <w:t>– en plus de la responsabilité des usagers qui le manipulent –, comme le propose Bruno Bachimont (</w:t>
      </w:r>
      <w:r w:rsidRPr="009F2004">
        <w:rPr>
          <w:i/>
          <w:sz w:val="22"/>
          <w:szCs w:val="22"/>
        </w:rPr>
        <w:t>ibid.</w:t>
      </w:r>
      <w:r w:rsidRPr="009F2004">
        <w:rPr>
          <w:sz w:val="22"/>
          <w:szCs w:val="22"/>
        </w:rPr>
        <w:t xml:space="preserve">), en mettant en doute la neutralité de la technique.  </w:t>
      </w:r>
    </w:p>
    <w:p w:rsidR="00613993" w:rsidRDefault="00613993" w:rsidP="009F2004">
      <w:pPr>
        <w:pStyle w:val="Notedebasdepage"/>
        <w:ind w:right="284" w:firstLine="284"/>
        <w:jc w:val="both"/>
        <w:rPr>
          <w:sz w:val="22"/>
          <w:szCs w:val="22"/>
        </w:rPr>
      </w:pPr>
      <w:r w:rsidRPr="009F2004">
        <w:rPr>
          <w:sz w:val="22"/>
          <w:szCs w:val="22"/>
        </w:rPr>
        <w:t xml:space="preserve">Sur ces bases, </w:t>
      </w:r>
      <w:r w:rsidR="0064754B">
        <w:rPr>
          <w:sz w:val="22"/>
          <w:szCs w:val="22"/>
        </w:rPr>
        <w:t xml:space="preserve">revenons à </w:t>
      </w:r>
      <w:r w:rsidRPr="009F2004">
        <w:rPr>
          <w:sz w:val="22"/>
          <w:szCs w:val="22"/>
        </w:rPr>
        <w:t xml:space="preserve">la séquence modale sous-tendant la politique du nudge par </w:t>
      </w:r>
      <w:r w:rsidR="00D4074D">
        <w:rPr>
          <w:sz w:val="22"/>
          <w:szCs w:val="22"/>
        </w:rPr>
        <w:t>l’</w:t>
      </w:r>
      <w:r w:rsidRPr="009F2004">
        <w:rPr>
          <w:sz w:val="22"/>
          <w:szCs w:val="22"/>
        </w:rPr>
        <w:t>incitation :</w:t>
      </w:r>
    </w:p>
    <w:p w:rsidR="006823D7" w:rsidRPr="009F2004" w:rsidRDefault="006823D7" w:rsidP="009F2004">
      <w:pPr>
        <w:pStyle w:val="Notedebasdepage"/>
        <w:ind w:right="284" w:firstLine="284"/>
        <w:jc w:val="both"/>
        <w:rPr>
          <w:sz w:val="22"/>
          <w:szCs w:val="22"/>
        </w:rPr>
      </w:pPr>
    </w:p>
    <w:p w:rsidR="00613993" w:rsidRDefault="00613993" w:rsidP="009F2004">
      <w:pPr>
        <w:pStyle w:val="NormalWeb"/>
        <w:spacing w:before="0" w:beforeAutospacing="0" w:after="0" w:afterAutospacing="0"/>
        <w:ind w:right="284" w:firstLine="284"/>
        <w:jc w:val="both"/>
        <w:rPr>
          <w:rFonts w:ascii="Times New Roman" w:hAnsi="Times New Roman"/>
          <w:sz w:val="22"/>
          <w:szCs w:val="22"/>
          <w:lang w:val="fr-LU"/>
        </w:rPr>
      </w:pPr>
      <w:r w:rsidRPr="009F2004">
        <w:rPr>
          <w:rFonts w:ascii="Times New Roman" w:hAnsi="Times New Roman"/>
          <w:sz w:val="22"/>
          <w:szCs w:val="22"/>
          <w:lang w:val="fr-LU"/>
        </w:rPr>
        <w:t>Vouloir « involontaire » &gt; pouvoir &gt; savoir &gt; vouloir « volontair</w:t>
      </w:r>
      <w:r w:rsidR="0089787D">
        <w:rPr>
          <w:rFonts w:ascii="Times New Roman" w:hAnsi="Times New Roman"/>
          <w:sz w:val="22"/>
          <w:szCs w:val="22"/>
          <w:lang w:val="fr-LU"/>
        </w:rPr>
        <w:t>e</w:t>
      </w:r>
      <w:r w:rsidRPr="009F2004">
        <w:rPr>
          <w:rFonts w:ascii="Times New Roman" w:hAnsi="Times New Roman"/>
          <w:sz w:val="22"/>
          <w:szCs w:val="22"/>
          <w:lang w:val="fr-LU"/>
        </w:rPr>
        <w:t xml:space="preserve"> ». </w:t>
      </w:r>
    </w:p>
    <w:p w:rsidR="006823D7" w:rsidRPr="009F2004" w:rsidRDefault="006823D7" w:rsidP="009F2004">
      <w:pPr>
        <w:pStyle w:val="NormalWeb"/>
        <w:spacing w:before="0" w:beforeAutospacing="0" w:after="0" w:afterAutospacing="0"/>
        <w:ind w:right="284" w:firstLine="284"/>
        <w:jc w:val="both"/>
        <w:rPr>
          <w:rFonts w:ascii="Times New Roman" w:hAnsi="Times New Roman"/>
          <w:sz w:val="22"/>
          <w:szCs w:val="22"/>
          <w:lang w:val="fr-LU"/>
        </w:rPr>
      </w:pPr>
    </w:p>
    <w:p w:rsidR="00613993" w:rsidRPr="009F2004" w:rsidRDefault="00613993" w:rsidP="009F2004">
      <w:pPr>
        <w:pStyle w:val="Notedebasdepage"/>
        <w:ind w:right="284" w:firstLine="284"/>
        <w:jc w:val="both"/>
        <w:rPr>
          <w:sz w:val="22"/>
          <w:szCs w:val="22"/>
        </w:rPr>
      </w:pPr>
      <w:r w:rsidRPr="009F2004">
        <w:rPr>
          <w:sz w:val="22"/>
          <w:szCs w:val="22"/>
        </w:rPr>
        <w:t xml:space="preserve">Dans la mesure où la surprise, non encore polarisée du point de vue thymique, est liée à une intensification, elle est propre à (re)dynamiser un processus qui, sans elle, finirait par s’épuiser. L’habitude ou la routine, on le sait, sont ambivalentes : elles constituent un facteur d’économie de l’effort et donc de l’énergie, tout en faisant peser le risque, à terme, de l’épuisement de cette dernière, </w:t>
      </w:r>
      <w:r w:rsidR="0064754B">
        <w:rPr>
          <w:sz w:val="22"/>
          <w:szCs w:val="22"/>
        </w:rPr>
        <w:t>si elle</w:t>
      </w:r>
      <w:r w:rsidRPr="009F2004">
        <w:rPr>
          <w:sz w:val="22"/>
          <w:szCs w:val="22"/>
        </w:rPr>
        <w:t xml:space="preserve"> n’est pas </w:t>
      </w:r>
      <w:r w:rsidR="00547E26">
        <w:rPr>
          <w:sz w:val="22"/>
          <w:szCs w:val="22"/>
        </w:rPr>
        <w:t>reconstitué</w:t>
      </w:r>
      <w:r w:rsidRPr="009F2004">
        <w:rPr>
          <w:sz w:val="22"/>
          <w:szCs w:val="22"/>
        </w:rPr>
        <w:t xml:space="preserve">e. Dans notre hypothèse, la surprise caractériserait le déclenchement (éventuellement répété) de l’incitation et son renouvellement, avant même l’émergence d’un pouvoir, d’un savoir et, finalement, d’un vouloir « volontaire », qui </w:t>
      </w:r>
      <w:r w:rsidR="0089787D">
        <w:rPr>
          <w:sz w:val="22"/>
          <w:szCs w:val="22"/>
        </w:rPr>
        <w:t>peuvent acquérir</w:t>
      </w:r>
      <w:r w:rsidRPr="009F2004">
        <w:rPr>
          <w:sz w:val="22"/>
          <w:szCs w:val="22"/>
        </w:rPr>
        <w:t xml:space="preserve"> une dimension collective</w:t>
      </w:r>
      <w:r w:rsidR="00CE1AC1" w:rsidRPr="009F2004">
        <w:rPr>
          <w:sz w:val="22"/>
          <w:szCs w:val="22"/>
        </w:rPr>
        <w:t xml:space="preserve"> tout en </w:t>
      </w:r>
      <w:r w:rsidR="0089787D">
        <w:rPr>
          <w:sz w:val="22"/>
          <w:szCs w:val="22"/>
        </w:rPr>
        <w:t xml:space="preserve">tendant vers </w:t>
      </w:r>
      <w:r w:rsidR="00CE1AC1" w:rsidRPr="009F2004">
        <w:rPr>
          <w:sz w:val="22"/>
          <w:szCs w:val="22"/>
        </w:rPr>
        <w:t>la fin potentielle de la séquence de l’incitation.</w:t>
      </w:r>
    </w:p>
    <w:p w:rsidR="00020BF7" w:rsidRPr="009F2004" w:rsidRDefault="00DE440D" w:rsidP="00547E26">
      <w:pPr>
        <w:pStyle w:val="NormalWeb"/>
        <w:spacing w:before="0" w:beforeAutospacing="0" w:after="0" w:afterAutospacing="0"/>
        <w:ind w:right="284" w:firstLine="284"/>
        <w:jc w:val="both"/>
        <w:rPr>
          <w:rFonts w:ascii="Times New Roman" w:hAnsi="Times New Roman"/>
          <w:sz w:val="22"/>
          <w:szCs w:val="22"/>
          <w:lang w:val="fr-LU"/>
        </w:rPr>
      </w:pPr>
      <w:r w:rsidRPr="009F2004">
        <w:rPr>
          <w:rFonts w:ascii="Times New Roman" w:hAnsi="Times New Roman"/>
          <w:sz w:val="22"/>
          <w:szCs w:val="22"/>
        </w:rPr>
        <w:t xml:space="preserve">Enfin, </w:t>
      </w:r>
      <w:r w:rsidR="00837AE6" w:rsidRPr="009F2004">
        <w:rPr>
          <w:rFonts w:ascii="Times New Roman" w:hAnsi="Times New Roman"/>
          <w:sz w:val="22"/>
          <w:szCs w:val="22"/>
        </w:rPr>
        <w:t xml:space="preserve">l’efficacité </w:t>
      </w:r>
      <w:r w:rsidR="0064754B">
        <w:rPr>
          <w:rFonts w:ascii="Times New Roman" w:hAnsi="Times New Roman"/>
          <w:sz w:val="22"/>
          <w:szCs w:val="22"/>
        </w:rPr>
        <w:t>des</w:t>
      </w:r>
      <w:r w:rsidRPr="009F2004">
        <w:rPr>
          <w:rFonts w:ascii="Times New Roman" w:hAnsi="Times New Roman"/>
          <w:sz w:val="22"/>
          <w:szCs w:val="22"/>
        </w:rPr>
        <w:t xml:space="preserve"> outils-instruments </w:t>
      </w:r>
      <w:r w:rsidR="00837AE6" w:rsidRPr="009F2004">
        <w:rPr>
          <w:rFonts w:ascii="Times New Roman" w:hAnsi="Times New Roman"/>
          <w:sz w:val="22"/>
          <w:szCs w:val="22"/>
        </w:rPr>
        <w:t xml:space="preserve">peut se renforcer d’une </w:t>
      </w:r>
      <w:r w:rsidRPr="009F2004">
        <w:rPr>
          <w:rFonts w:ascii="Times New Roman" w:hAnsi="Times New Roman"/>
          <w:sz w:val="22"/>
          <w:szCs w:val="22"/>
        </w:rPr>
        <w:t xml:space="preserve">esthétisation du processus </w:t>
      </w:r>
      <w:r w:rsidR="00837AE6" w:rsidRPr="009F2004">
        <w:rPr>
          <w:rFonts w:ascii="Times New Roman" w:hAnsi="Times New Roman"/>
          <w:sz w:val="22"/>
          <w:szCs w:val="22"/>
        </w:rPr>
        <w:t>et/</w:t>
      </w:r>
      <w:r w:rsidRPr="009F2004">
        <w:rPr>
          <w:rFonts w:ascii="Times New Roman" w:hAnsi="Times New Roman"/>
          <w:sz w:val="22"/>
          <w:szCs w:val="22"/>
        </w:rPr>
        <w:t xml:space="preserve">ou </w:t>
      </w:r>
      <w:r w:rsidR="00837AE6" w:rsidRPr="009F2004">
        <w:rPr>
          <w:rFonts w:ascii="Times New Roman" w:hAnsi="Times New Roman"/>
          <w:sz w:val="22"/>
          <w:szCs w:val="22"/>
        </w:rPr>
        <w:t>d’</w:t>
      </w:r>
      <w:r w:rsidRPr="009F2004">
        <w:rPr>
          <w:rFonts w:ascii="Times New Roman" w:hAnsi="Times New Roman"/>
          <w:sz w:val="22"/>
          <w:szCs w:val="22"/>
        </w:rPr>
        <w:t xml:space="preserve">une dimension ludique. Prenons l’exemple </w:t>
      </w:r>
      <w:r w:rsidR="00837AE6" w:rsidRPr="009F2004">
        <w:rPr>
          <w:rFonts w:ascii="Times New Roman" w:hAnsi="Times New Roman"/>
          <w:sz w:val="22"/>
          <w:szCs w:val="22"/>
        </w:rPr>
        <w:t xml:space="preserve">d’une </w:t>
      </w:r>
      <w:r w:rsidR="00174224">
        <w:rPr>
          <w:rFonts w:ascii="Times New Roman" w:hAnsi="Times New Roman"/>
          <w:sz w:val="22"/>
          <w:szCs w:val="22"/>
        </w:rPr>
        <w:t>a</w:t>
      </w:r>
      <w:r w:rsidR="00837AE6" w:rsidRPr="009F2004">
        <w:rPr>
          <w:rFonts w:ascii="Times New Roman" w:hAnsi="Times New Roman"/>
          <w:sz w:val="22"/>
          <w:szCs w:val="22"/>
        </w:rPr>
        <w:t>pplication censée guider les consommateurs dans leurs achats au supermarché. La</w:t>
      </w:r>
      <w:r w:rsidRPr="009F2004">
        <w:rPr>
          <w:rFonts w:ascii="Times New Roman" w:hAnsi="Times New Roman"/>
          <w:sz w:val="22"/>
          <w:szCs w:val="22"/>
        </w:rPr>
        <w:t xml:space="preserve"> politique du nudge par </w:t>
      </w:r>
      <w:r w:rsidRPr="009F2004">
        <w:rPr>
          <w:rFonts w:ascii="Times New Roman" w:hAnsi="Times New Roman"/>
          <w:sz w:val="22"/>
          <w:szCs w:val="22"/>
          <w:lang w:val="fr-LU"/>
        </w:rPr>
        <w:t xml:space="preserve">incitation épouse les formes du récit mettant en scène, classiquement, des acteurs (un héros ou super-héros </w:t>
      </w:r>
      <w:r w:rsidR="00837AE6" w:rsidRPr="009F2004">
        <w:rPr>
          <w:rFonts w:ascii="Times New Roman" w:hAnsi="Times New Roman"/>
          <w:sz w:val="22"/>
          <w:szCs w:val="22"/>
          <w:lang w:val="fr-LU"/>
        </w:rPr>
        <w:t xml:space="preserve">de la consommation </w:t>
      </w:r>
      <w:r w:rsidRPr="009F2004">
        <w:rPr>
          <w:rFonts w:ascii="Times New Roman" w:hAnsi="Times New Roman"/>
          <w:sz w:val="22"/>
          <w:szCs w:val="22"/>
          <w:lang w:val="fr-LU"/>
        </w:rPr>
        <w:t>et un fléau international</w:t>
      </w:r>
      <w:r w:rsidR="00837AE6" w:rsidRPr="009F2004">
        <w:rPr>
          <w:rFonts w:ascii="Times New Roman" w:hAnsi="Times New Roman"/>
          <w:sz w:val="22"/>
          <w:szCs w:val="22"/>
          <w:lang w:val="fr-LU"/>
        </w:rPr>
        <w:t>, le superflu et le gaspillage</w:t>
      </w:r>
      <w:r w:rsidRPr="009F2004">
        <w:rPr>
          <w:rFonts w:ascii="Times New Roman" w:hAnsi="Times New Roman"/>
          <w:sz w:val="22"/>
          <w:szCs w:val="22"/>
          <w:lang w:val="fr-LU"/>
        </w:rPr>
        <w:t xml:space="preserve">) </w:t>
      </w:r>
      <w:r w:rsidR="0064754B">
        <w:rPr>
          <w:rFonts w:ascii="Times New Roman" w:hAnsi="Times New Roman"/>
          <w:sz w:val="22"/>
          <w:szCs w:val="22"/>
          <w:lang w:val="fr-LU"/>
        </w:rPr>
        <w:t xml:space="preserve">qui </w:t>
      </w:r>
      <w:r w:rsidRPr="009F2004">
        <w:rPr>
          <w:rFonts w:ascii="Times New Roman" w:hAnsi="Times New Roman"/>
          <w:sz w:val="22"/>
          <w:szCs w:val="22"/>
          <w:lang w:val="fr-LU"/>
        </w:rPr>
        <w:t>cumul</w:t>
      </w:r>
      <w:r w:rsidR="0064754B">
        <w:rPr>
          <w:rFonts w:ascii="Times New Roman" w:hAnsi="Times New Roman"/>
          <w:sz w:val="22"/>
          <w:szCs w:val="22"/>
          <w:lang w:val="fr-LU"/>
        </w:rPr>
        <w:t>e</w:t>
      </w:r>
      <w:r w:rsidRPr="009F2004">
        <w:rPr>
          <w:rFonts w:ascii="Times New Roman" w:hAnsi="Times New Roman"/>
          <w:sz w:val="22"/>
          <w:szCs w:val="22"/>
          <w:lang w:val="fr-LU"/>
        </w:rPr>
        <w:t>nt des rôles thématiques et actantiels (actant et antactant, sujet et anti-sujet) et définiss</w:t>
      </w:r>
      <w:r w:rsidR="00532A76">
        <w:rPr>
          <w:rFonts w:ascii="Times New Roman" w:hAnsi="Times New Roman"/>
          <w:sz w:val="22"/>
          <w:szCs w:val="22"/>
          <w:lang w:val="fr-LU"/>
        </w:rPr>
        <w:t>a</w:t>
      </w:r>
      <w:r w:rsidRPr="009F2004">
        <w:rPr>
          <w:rFonts w:ascii="Times New Roman" w:hAnsi="Times New Roman"/>
          <w:sz w:val="22"/>
          <w:szCs w:val="22"/>
          <w:lang w:val="fr-LU"/>
        </w:rPr>
        <w:t xml:space="preserve">nt clairement les objectifs à atteindre (anti-gaspillage). </w:t>
      </w:r>
      <w:r w:rsidR="00837AE6" w:rsidRPr="009F2004">
        <w:rPr>
          <w:rFonts w:ascii="Times New Roman" w:hAnsi="Times New Roman"/>
          <w:sz w:val="22"/>
          <w:szCs w:val="22"/>
          <w:lang w:val="fr-LU"/>
        </w:rPr>
        <w:t>L’</w:t>
      </w:r>
      <w:r w:rsidRPr="009F2004">
        <w:rPr>
          <w:rFonts w:ascii="Times New Roman" w:hAnsi="Times New Roman"/>
          <w:sz w:val="22"/>
          <w:szCs w:val="22"/>
          <w:lang w:val="fr-LU"/>
        </w:rPr>
        <w:t xml:space="preserve">instance collective (le consommateur responsable et </w:t>
      </w:r>
      <w:r w:rsidRPr="009F2004">
        <w:rPr>
          <w:rFonts w:ascii="Times New Roman" w:hAnsi="Times New Roman"/>
          <w:i/>
          <w:sz w:val="22"/>
          <w:szCs w:val="22"/>
          <w:lang w:val="fr-LU"/>
        </w:rPr>
        <w:t>Food for all</w:t>
      </w:r>
      <w:r w:rsidRPr="009F2004">
        <w:rPr>
          <w:rFonts w:ascii="Times New Roman" w:hAnsi="Times New Roman"/>
          <w:sz w:val="22"/>
          <w:szCs w:val="22"/>
          <w:lang w:val="fr-LU"/>
        </w:rPr>
        <w:t>) est modalisée selon le savoi</w:t>
      </w:r>
      <w:r w:rsidR="0089787D">
        <w:rPr>
          <w:rFonts w:ascii="Times New Roman" w:hAnsi="Times New Roman"/>
          <w:sz w:val="22"/>
          <w:szCs w:val="22"/>
          <w:lang w:val="fr-LU"/>
        </w:rPr>
        <w:t xml:space="preserve">r </w:t>
      </w:r>
      <w:r w:rsidRPr="009F2004">
        <w:rPr>
          <w:rFonts w:ascii="Times New Roman" w:hAnsi="Times New Roman"/>
          <w:sz w:val="22"/>
          <w:szCs w:val="22"/>
          <w:lang w:val="fr-LU"/>
        </w:rPr>
        <w:t>faire</w:t>
      </w:r>
      <w:r w:rsidR="00837AE6" w:rsidRPr="009F2004">
        <w:rPr>
          <w:rFonts w:ascii="Times New Roman" w:hAnsi="Times New Roman"/>
          <w:sz w:val="22"/>
          <w:szCs w:val="22"/>
          <w:lang w:val="fr-LU"/>
        </w:rPr>
        <w:t xml:space="preserve"> </w:t>
      </w:r>
      <w:r w:rsidR="0089787D" w:rsidRPr="00174224">
        <w:t xml:space="preserve">– </w:t>
      </w:r>
      <w:r w:rsidR="00837AE6" w:rsidRPr="00174224">
        <w:t xml:space="preserve"> </w:t>
      </w:r>
      <w:r w:rsidRPr="0005363C">
        <w:rPr>
          <w:rFonts w:ascii="Times New Roman" w:hAnsi="Times New Roman"/>
          <w:sz w:val="22"/>
          <w:szCs w:val="22"/>
        </w:rPr>
        <w:t>le savoir comment faire</w:t>
      </w:r>
      <w:r w:rsidR="00837AE6" w:rsidRPr="00174224">
        <w:t xml:space="preserve"> </w:t>
      </w:r>
      <w:r w:rsidR="0089787D" w:rsidRPr="00174224">
        <w:t>–</w:t>
      </w:r>
      <w:r w:rsidR="00837AE6" w:rsidRPr="009F2004">
        <w:rPr>
          <w:rFonts w:ascii="Times New Roman" w:hAnsi="Times New Roman"/>
          <w:sz w:val="22"/>
          <w:szCs w:val="22"/>
          <w:lang w:val="fr-LU"/>
        </w:rPr>
        <w:t xml:space="preserve">, l’action collective se moulant sur les cadres fournis, plus particulièrement, par </w:t>
      </w:r>
      <w:r w:rsidRPr="009F2004">
        <w:rPr>
          <w:rFonts w:ascii="Times New Roman" w:hAnsi="Times New Roman"/>
          <w:sz w:val="22"/>
          <w:szCs w:val="22"/>
          <w:lang w:val="fr-LU"/>
        </w:rPr>
        <w:t xml:space="preserve">un contrôle et une évaluation réguliers. </w:t>
      </w:r>
      <w:r w:rsidR="00837AE6" w:rsidRPr="009F2004">
        <w:rPr>
          <w:rFonts w:ascii="Times New Roman" w:hAnsi="Times New Roman"/>
          <w:sz w:val="22"/>
          <w:szCs w:val="22"/>
          <w:lang w:val="fr-LU"/>
        </w:rPr>
        <w:t>Portée éthico-esthétique et dimension ludique</w:t>
      </w:r>
      <w:r w:rsidR="00837AE6" w:rsidRPr="009F2004">
        <w:rPr>
          <w:rStyle w:val="Appelnotedebasdep"/>
          <w:rFonts w:ascii="Times New Roman" w:hAnsi="Times New Roman"/>
          <w:sz w:val="22"/>
          <w:szCs w:val="22"/>
          <w:lang w:val="fr-LU"/>
        </w:rPr>
        <w:footnoteReference w:id="14"/>
      </w:r>
      <w:r w:rsidR="00547E26">
        <w:rPr>
          <w:rFonts w:ascii="Times New Roman" w:hAnsi="Times New Roman"/>
          <w:sz w:val="22"/>
          <w:szCs w:val="22"/>
          <w:lang w:val="fr-LU"/>
        </w:rPr>
        <w:t xml:space="preserve"> </w:t>
      </w:r>
      <w:r w:rsidR="00837AE6" w:rsidRPr="009F2004">
        <w:rPr>
          <w:rFonts w:ascii="Times New Roman" w:hAnsi="Times New Roman"/>
          <w:sz w:val="22"/>
          <w:szCs w:val="22"/>
          <w:lang w:val="fr-LU"/>
        </w:rPr>
        <w:t>se renforcent mutuellement, afin d’en accroître le rendement</w:t>
      </w:r>
      <w:r w:rsidR="00020BF7" w:rsidRPr="009F2004">
        <w:rPr>
          <w:rFonts w:ascii="Times New Roman" w:hAnsi="Times New Roman"/>
          <w:sz w:val="22"/>
          <w:szCs w:val="22"/>
          <w:lang w:val="fr-LU"/>
        </w:rPr>
        <w:t>, voire le caractère spectaculaire (au sens de « donner à voir frontalement dans un espace-temps privatisé »)</w:t>
      </w:r>
      <w:r w:rsidR="00837AE6" w:rsidRPr="009F2004">
        <w:rPr>
          <w:rFonts w:ascii="Times New Roman" w:hAnsi="Times New Roman"/>
          <w:sz w:val="22"/>
          <w:szCs w:val="22"/>
          <w:lang w:val="fr-LU"/>
        </w:rPr>
        <w:t xml:space="preserve">. </w:t>
      </w:r>
    </w:p>
    <w:p w:rsidR="00DE440D" w:rsidRPr="009F2004" w:rsidRDefault="00020BF7" w:rsidP="009F2004">
      <w:pPr>
        <w:pStyle w:val="NormalWeb"/>
        <w:spacing w:before="0" w:beforeAutospacing="0" w:after="0" w:afterAutospacing="0"/>
        <w:ind w:right="284" w:firstLine="284"/>
        <w:jc w:val="both"/>
        <w:rPr>
          <w:rFonts w:ascii="Times New Roman" w:hAnsi="Times New Roman"/>
          <w:sz w:val="22"/>
          <w:szCs w:val="22"/>
          <w:lang w:val="fr-LU"/>
        </w:rPr>
      </w:pPr>
      <w:r w:rsidRPr="009F2004">
        <w:rPr>
          <w:rFonts w:ascii="Times New Roman" w:hAnsi="Times New Roman"/>
          <w:sz w:val="22"/>
          <w:szCs w:val="22"/>
          <w:lang w:val="fr-LU"/>
        </w:rPr>
        <w:t xml:space="preserve">On se demandera, </w:t>
      </w:r>
      <w:r w:rsidR="00613993" w:rsidRPr="009F2004">
        <w:rPr>
          <w:rFonts w:ascii="Times New Roman" w:hAnsi="Times New Roman"/>
          <w:sz w:val="22"/>
          <w:szCs w:val="22"/>
          <w:lang w:val="fr-LU"/>
        </w:rPr>
        <w:t>pour finir</w:t>
      </w:r>
      <w:r w:rsidRPr="009F2004">
        <w:rPr>
          <w:rFonts w:ascii="Times New Roman" w:hAnsi="Times New Roman"/>
          <w:sz w:val="22"/>
          <w:szCs w:val="22"/>
          <w:lang w:val="fr-LU"/>
        </w:rPr>
        <w:t>, si la sortie réglée du cadre « réel », valorisée positivement, et l’</w:t>
      </w:r>
      <w:r w:rsidR="00547E26">
        <w:rPr>
          <w:rFonts w:ascii="Times New Roman" w:hAnsi="Times New Roman"/>
          <w:sz w:val="22"/>
          <w:szCs w:val="22"/>
          <w:lang w:val="fr-LU"/>
        </w:rPr>
        <w:t xml:space="preserve">accès </w:t>
      </w:r>
      <w:r w:rsidRPr="009F2004">
        <w:rPr>
          <w:rFonts w:ascii="Times New Roman" w:hAnsi="Times New Roman"/>
          <w:sz w:val="22"/>
          <w:szCs w:val="22"/>
          <w:lang w:val="fr-LU"/>
        </w:rPr>
        <w:t xml:space="preserve">gratifiant </w:t>
      </w:r>
      <w:r w:rsidR="00547E26">
        <w:rPr>
          <w:rFonts w:ascii="Times New Roman" w:hAnsi="Times New Roman"/>
          <w:sz w:val="22"/>
          <w:szCs w:val="22"/>
          <w:lang w:val="fr-LU"/>
        </w:rPr>
        <w:t>à</w:t>
      </w:r>
      <w:r w:rsidRPr="009F2004">
        <w:rPr>
          <w:rFonts w:ascii="Times New Roman" w:hAnsi="Times New Roman"/>
          <w:sz w:val="22"/>
          <w:szCs w:val="22"/>
          <w:lang w:val="fr-LU"/>
        </w:rPr>
        <w:t xml:space="preserve"> un monde fictionnel (« </w:t>
      </w:r>
      <w:r w:rsidRPr="009F2004">
        <w:rPr>
          <w:rFonts w:ascii="Times New Roman" w:hAnsi="Times New Roman"/>
          <w:i/>
          <w:sz w:val="22"/>
          <w:szCs w:val="22"/>
          <w:lang w:val="fr-LU"/>
        </w:rPr>
        <w:t xml:space="preserve">si </w:t>
      </w:r>
      <w:r w:rsidRPr="009F2004">
        <w:rPr>
          <w:rFonts w:ascii="Times New Roman" w:hAnsi="Times New Roman"/>
          <w:sz w:val="22"/>
          <w:szCs w:val="22"/>
          <w:lang w:val="fr-LU"/>
        </w:rPr>
        <w:t xml:space="preserve">cela était vrai ») </w:t>
      </w:r>
      <w:r w:rsidR="007D435F" w:rsidRPr="009F2004">
        <w:rPr>
          <w:rFonts w:ascii="Times New Roman" w:hAnsi="Times New Roman"/>
          <w:sz w:val="22"/>
          <w:szCs w:val="22"/>
          <w:lang w:val="fr-LU"/>
        </w:rPr>
        <w:t xml:space="preserve">n’entrent pas dans la définition de </w:t>
      </w:r>
      <w:r w:rsidRPr="009F2004">
        <w:rPr>
          <w:rFonts w:ascii="Times New Roman" w:hAnsi="Times New Roman"/>
          <w:sz w:val="22"/>
          <w:szCs w:val="22"/>
          <w:lang w:val="fr-LU"/>
        </w:rPr>
        <w:t xml:space="preserve">toute politique du nudge par </w:t>
      </w:r>
      <w:r w:rsidR="0089787D">
        <w:rPr>
          <w:rFonts w:ascii="Times New Roman" w:hAnsi="Times New Roman"/>
          <w:sz w:val="22"/>
          <w:szCs w:val="22"/>
          <w:lang w:val="fr-LU"/>
        </w:rPr>
        <w:t>l’</w:t>
      </w:r>
      <w:r w:rsidRPr="009F2004">
        <w:rPr>
          <w:rFonts w:ascii="Times New Roman" w:hAnsi="Times New Roman"/>
          <w:sz w:val="22"/>
          <w:szCs w:val="22"/>
          <w:lang w:val="fr-LU"/>
        </w:rPr>
        <w:t xml:space="preserve">incitation. Peut-être verra-t-on dans le décrochement fictionnel de la réalité une méta-modalisation conduisant des potentialités à leur réalisation. </w:t>
      </w:r>
    </w:p>
    <w:p w:rsidR="002D027A" w:rsidRPr="009F2004" w:rsidRDefault="002D027A" w:rsidP="009F2004">
      <w:pPr>
        <w:pStyle w:val="NormalWeb"/>
        <w:spacing w:before="0" w:beforeAutospacing="0" w:after="0" w:afterAutospacing="0"/>
        <w:ind w:right="284" w:firstLine="284"/>
        <w:jc w:val="both"/>
        <w:rPr>
          <w:rFonts w:ascii="Times New Roman" w:hAnsi="Times New Roman"/>
          <w:sz w:val="22"/>
          <w:szCs w:val="22"/>
          <w:lang w:val="fr-LU"/>
        </w:rPr>
      </w:pPr>
    </w:p>
    <w:p w:rsidR="00B82D4F" w:rsidRPr="00174224" w:rsidRDefault="00B82D4F" w:rsidP="00B82D4F">
      <w:pPr>
        <w:pStyle w:val="NormalWeb"/>
        <w:spacing w:before="0" w:beforeAutospacing="0" w:after="0" w:afterAutospacing="0"/>
        <w:ind w:right="284"/>
        <w:jc w:val="both"/>
        <w:rPr>
          <w:rFonts w:ascii="Times New Roman" w:hAnsi="Times New Roman"/>
          <w:b/>
          <w:color w:val="C00000"/>
          <w:sz w:val="22"/>
          <w:szCs w:val="22"/>
        </w:rPr>
      </w:pPr>
      <w:r w:rsidRPr="00174224">
        <w:rPr>
          <w:rFonts w:ascii="Times New Roman" w:hAnsi="Times New Roman"/>
          <w:b/>
          <w:color w:val="C00000"/>
          <w:sz w:val="22"/>
          <w:szCs w:val="22"/>
        </w:rPr>
        <w:t>Conclusion</w:t>
      </w:r>
    </w:p>
    <w:p w:rsidR="002D027A" w:rsidRPr="0073091E" w:rsidRDefault="002D027A" w:rsidP="0073091E">
      <w:pPr>
        <w:ind w:right="284" w:firstLine="284"/>
        <w:jc w:val="both"/>
        <w:rPr>
          <w:sz w:val="22"/>
          <w:szCs w:val="22"/>
        </w:rPr>
      </w:pPr>
      <w:r w:rsidRPr="009F2004">
        <w:rPr>
          <w:sz w:val="22"/>
          <w:szCs w:val="22"/>
        </w:rPr>
        <w:lastRenderedPageBreak/>
        <w:t xml:space="preserve">Il s’est agi, dans </w:t>
      </w:r>
      <w:r w:rsidR="00FA422F">
        <w:rPr>
          <w:sz w:val="22"/>
          <w:szCs w:val="22"/>
        </w:rPr>
        <w:t>cet article</w:t>
      </w:r>
      <w:r w:rsidRPr="009F2004">
        <w:rPr>
          <w:sz w:val="22"/>
          <w:szCs w:val="22"/>
        </w:rPr>
        <w:t>, de situer l’incitation par rapport à la manipulation classique</w:t>
      </w:r>
      <w:r w:rsidR="007D435F" w:rsidRPr="009F2004">
        <w:rPr>
          <w:sz w:val="22"/>
          <w:szCs w:val="22"/>
        </w:rPr>
        <w:t xml:space="preserve"> (au sens étroit)</w:t>
      </w:r>
      <w:r w:rsidRPr="009F2004">
        <w:rPr>
          <w:sz w:val="22"/>
          <w:szCs w:val="22"/>
        </w:rPr>
        <w:t xml:space="preserve">, à l’influence, à la pression et à la détermination, en dégageant des points de contact et des différences, avant d’envisager deux régimes de l’incitation qu’il est possible d’organiser en une séquence modale. </w:t>
      </w:r>
      <w:r w:rsidR="007D435F" w:rsidRPr="009F2004">
        <w:rPr>
          <w:sz w:val="22"/>
          <w:szCs w:val="22"/>
        </w:rPr>
        <w:t>Nous avons cherché à vérifier l’hypothèse que</w:t>
      </w:r>
      <w:r w:rsidRPr="009F2004">
        <w:rPr>
          <w:sz w:val="22"/>
          <w:szCs w:val="22"/>
        </w:rPr>
        <w:t xml:space="preserve"> la surprise primitive</w:t>
      </w:r>
      <w:r w:rsidR="00DA2869">
        <w:rPr>
          <w:sz w:val="22"/>
          <w:szCs w:val="22"/>
        </w:rPr>
        <w:t xml:space="preserve">, ce sentir </w:t>
      </w:r>
      <w:r w:rsidRPr="009F2004">
        <w:rPr>
          <w:sz w:val="22"/>
          <w:szCs w:val="22"/>
        </w:rPr>
        <w:t xml:space="preserve">non encore polarisé, est première, </w:t>
      </w:r>
      <w:r w:rsidR="00DA2869">
        <w:rPr>
          <w:sz w:val="22"/>
          <w:szCs w:val="22"/>
        </w:rPr>
        <w:t>suite à une</w:t>
      </w:r>
      <w:r w:rsidRPr="009F2004">
        <w:rPr>
          <w:sz w:val="22"/>
          <w:szCs w:val="22"/>
        </w:rPr>
        <w:t xml:space="preserve"> sollicitation ou captation de l’attention. L’adhésion immédiate ou spontanée à cet événement de sens est alors compatible avec le sentiment d’une évidence, quelque chose s’imposant aux sens, au corps. </w:t>
      </w:r>
      <w:r w:rsidR="007D435F" w:rsidRPr="009F2004">
        <w:rPr>
          <w:sz w:val="22"/>
          <w:szCs w:val="22"/>
        </w:rPr>
        <w:t>C’est ce qui permet, dans un deuxième temps, de passer d’un éventail de possibles</w:t>
      </w:r>
      <w:r w:rsidR="00812F50">
        <w:rPr>
          <w:sz w:val="22"/>
          <w:szCs w:val="22"/>
        </w:rPr>
        <w:t>/probables</w:t>
      </w:r>
      <w:r w:rsidR="007D435F" w:rsidRPr="009F2004">
        <w:rPr>
          <w:sz w:val="22"/>
          <w:szCs w:val="22"/>
        </w:rPr>
        <w:t xml:space="preserve"> qui réclame </w:t>
      </w:r>
      <w:r w:rsidR="00812F50">
        <w:rPr>
          <w:sz w:val="22"/>
          <w:szCs w:val="22"/>
        </w:rPr>
        <w:t>un engagement</w:t>
      </w:r>
      <w:r w:rsidR="007D435F" w:rsidRPr="009F2004">
        <w:rPr>
          <w:sz w:val="22"/>
          <w:szCs w:val="22"/>
        </w:rPr>
        <w:t xml:space="preserve"> à la permission et à la promesse</w:t>
      </w:r>
      <w:r w:rsidR="00947F10" w:rsidRPr="009F2004">
        <w:rPr>
          <w:sz w:val="22"/>
          <w:szCs w:val="22"/>
        </w:rPr>
        <w:t xml:space="preserve"> : un </w:t>
      </w:r>
      <w:r w:rsidR="007D435F" w:rsidRPr="009F2004">
        <w:rPr>
          <w:sz w:val="22"/>
          <w:szCs w:val="22"/>
        </w:rPr>
        <w:t xml:space="preserve">engagement d’abord spontané, </w:t>
      </w:r>
      <w:r w:rsidR="00947F10" w:rsidRPr="009F2004">
        <w:rPr>
          <w:sz w:val="22"/>
          <w:szCs w:val="22"/>
        </w:rPr>
        <w:t xml:space="preserve">intime, </w:t>
      </w:r>
      <w:r w:rsidR="00FA422F">
        <w:rPr>
          <w:sz w:val="22"/>
          <w:szCs w:val="22"/>
        </w:rPr>
        <w:t>fondé</w:t>
      </w:r>
      <w:r w:rsidR="00947F10" w:rsidRPr="009F2004">
        <w:rPr>
          <w:sz w:val="22"/>
          <w:szCs w:val="22"/>
        </w:rPr>
        <w:t xml:space="preserve"> sur l’intéressement et l’attachement, </w:t>
      </w:r>
      <w:r w:rsidR="007D435F" w:rsidRPr="009F2004">
        <w:rPr>
          <w:sz w:val="22"/>
          <w:szCs w:val="22"/>
        </w:rPr>
        <w:t xml:space="preserve">avant </w:t>
      </w:r>
      <w:r w:rsidR="00947F10" w:rsidRPr="009F2004">
        <w:rPr>
          <w:sz w:val="22"/>
          <w:szCs w:val="22"/>
        </w:rPr>
        <w:t xml:space="preserve">la </w:t>
      </w:r>
      <w:r w:rsidR="007D435F" w:rsidRPr="009F2004">
        <w:rPr>
          <w:sz w:val="22"/>
          <w:szCs w:val="22"/>
        </w:rPr>
        <w:t xml:space="preserve">prise de conscience </w:t>
      </w:r>
      <w:r w:rsidR="00947F10" w:rsidRPr="009F2004">
        <w:rPr>
          <w:sz w:val="22"/>
          <w:szCs w:val="22"/>
        </w:rPr>
        <w:t>et la</w:t>
      </w:r>
      <w:r w:rsidR="007D435F" w:rsidRPr="009F2004">
        <w:rPr>
          <w:sz w:val="22"/>
          <w:szCs w:val="22"/>
        </w:rPr>
        <w:t xml:space="preserve"> délibération</w:t>
      </w:r>
      <w:r w:rsidR="00947F10" w:rsidRPr="009F2004">
        <w:rPr>
          <w:sz w:val="22"/>
          <w:szCs w:val="22"/>
        </w:rPr>
        <w:t xml:space="preserve"> qui sont </w:t>
      </w:r>
      <w:r w:rsidR="00FA422F">
        <w:rPr>
          <w:sz w:val="22"/>
          <w:szCs w:val="22"/>
        </w:rPr>
        <w:t>précipitées</w:t>
      </w:r>
      <w:r w:rsidR="00947F10" w:rsidRPr="009F2004">
        <w:rPr>
          <w:sz w:val="22"/>
          <w:szCs w:val="22"/>
        </w:rPr>
        <w:t xml:space="preserve"> par la compétentialisation selon le savoir</w:t>
      </w:r>
      <w:r w:rsidR="0062776B">
        <w:rPr>
          <w:sz w:val="22"/>
          <w:szCs w:val="22"/>
        </w:rPr>
        <w:t xml:space="preserve"> </w:t>
      </w:r>
      <w:r w:rsidR="00947F10" w:rsidRPr="009F2004">
        <w:rPr>
          <w:sz w:val="22"/>
          <w:szCs w:val="22"/>
        </w:rPr>
        <w:t xml:space="preserve">faire et </w:t>
      </w:r>
      <w:r w:rsidR="00FA422F">
        <w:rPr>
          <w:sz w:val="22"/>
          <w:szCs w:val="22"/>
        </w:rPr>
        <w:t>peuvent déboucher</w:t>
      </w:r>
      <w:r w:rsidR="00947F10" w:rsidRPr="009F2004">
        <w:rPr>
          <w:sz w:val="22"/>
          <w:szCs w:val="22"/>
        </w:rPr>
        <w:t xml:space="preserve"> sur le vouloir « volontaire », </w:t>
      </w:r>
      <w:r w:rsidR="0089787D">
        <w:rPr>
          <w:sz w:val="22"/>
          <w:szCs w:val="22"/>
        </w:rPr>
        <w:t xml:space="preserve">qui </w:t>
      </w:r>
      <w:r w:rsidR="0064754B">
        <w:rPr>
          <w:sz w:val="22"/>
          <w:szCs w:val="22"/>
        </w:rPr>
        <w:t>est susceptible de</w:t>
      </w:r>
      <w:r w:rsidR="00DA2869">
        <w:rPr>
          <w:sz w:val="22"/>
          <w:szCs w:val="22"/>
        </w:rPr>
        <w:t xml:space="preserve"> mettre </w:t>
      </w:r>
      <w:r w:rsidR="00947F10" w:rsidRPr="009F2004">
        <w:rPr>
          <w:sz w:val="22"/>
          <w:szCs w:val="22"/>
        </w:rPr>
        <w:t xml:space="preserve">un terme à l’incitation proprement dite. </w:t>
      </w:r>
      <w:r w:rsidR="000944D1" w:rsidRPr="009F2004">
        <w:rPr>
          <w:sz w:val="22"/>
          <w:szCs w:val="22"/>
        </w:rPr>
        <w:t xml:space="preserve">L’incitation pro-position constitue un élément charnière, en tendant </w:t>
      </w:r>
      <w:r w:rsidR="000944D1" w:rsidRPr="00FA422F">
        <w:rPr>
          <w:i/>
          <w:sz w:val="22"/>
          <w:szCs w:val="22"/>
        </w:rPr>
        <w:t>encore</w:t>
      </w:r>
      <w:r w:rsidR="000944D1" w:rsidRPr="009F2004">
        <w:rPr>
          <w:sz w:val="22"/>
          <w:szCs w:val="22"/>
        </w:rPr>
        <w:t xml:space="preserve"> du côté de l’ex</w:t>
      </w:r>
      <w:r w:rsidR="000B06BA">
        <w:rPr>
          <w:sz w:val="22"/>
          <w:szCs w:val="22"/>
        </w:rPr>
        <w:t>-</w:t>
      </w:r>
      <w:r w:rsidR="000944D1" w:rsidRPr="009F2004">
        <w:rPr>
          <w:sz w:val="22"/>
          <w:szCs w:val="22"/>
        </w:rPr>
        <w:t xml:space="preserve">position </w:t>
      </w:r>
      <w:r w:rsidR="00547E26">
        <w:rPr>
          <w:sz w:val="22"/>
          <w:szCs w:val="22"/>
        </w:rPr>
        <w:t>et de l’</w:t>
      </w:r>
      <w:r w:rsidR="000944D1" w:rsidRPr="009F2004">
        <w:rPr>
          <w:sz w:val="22"/>
          <w:szCs w:val="22"/>
        </w:rPr>
        <w:t xml:space="preserve">im-position, dont elle préserve toute la richesse en mettant l’accent sur la promesse, et </w:t>
      </w:r>
      <w:r w:rsidR="000944D1" w:rsidRPr="00FA422F">
        <w:rPr>
          <w:i/>
          <w:sz w:val="22"/>
          <w:szCs w:val="22"/>
        </w:rPr>
        <w:t xml:space="preserve">déjà </w:t>
      </w:r>
      <w:r w:rsidR="000944D1" w:rsidRPr="009F2004">
        <w:rPr>
          <w:sz w:val="22"/>
          <w:szCs w:val="22"/>
        </w:rPr>
        <w:t xml:space="preserve">du côté de la délibération et de la décision qu’elle prépare en </w:t>
      </w:r>
      <w:r w:rsidR="00FA422F">
        <w:rPr>
          <w:sz w:val="22"/>
          <w:szCs w:val="22"/>
        </w:rPr>
        <w:t>fournissant</w:t>
      </w:r>
      <w:r w:rsidR="000944D1" w:rsidRPr="009F2004">
        <w:rPr>
          <w:sz w:val="22"/>
          <w:szCs w:val="22"/>
        </w:rPr>
        <w:t xml:space="preserve"> un ensemble de possibles</w:t>
      </w:r>
      <w:r w:rsidR="00812F50">
        <w:rPr>
          <w:sz w:val="22"/>
          <w:szCs w:val="22"/>
        </w:rPr>
        <w:t>/probables</w:t>
      </w:r>
      <w:r w:rsidR="000944D1" w:rsidRPr="009F2004">
        <w:rPr>
          <w:sz w:val="22"/>
          <w:szCs w:val="22"/>
        </w:rPr>
        <w:t xml:space="preserve"> entre lesquels il convient de choisir. </w:t>
      </w:r>
      <w:r w:rsidR="00947F10" w:rsidRPr="009F2004">
        <w:rPr>
          <w:sz w:val="22"/>
          <w:szCs w:val="22"/>
        </w:rPr>
        <w:t>L’évaluation critique de l’incitation comme une forme particulière de manipulation peut alors conduire à un mouvement soit d’acceptation</w:t>
      </w:r>
      <w:r w:rsidR="000944D1" w:rsidRPr="009F2004">
        <w:rPr>
          <w:sz w:val="22"/>
          <w:szCs w:val="22"/>
        </w:rPr>
        <w:t xml:space="preserve">, </w:t>
      </w:r>
      <w:r w:rsidR="0073091E">
        <w:rPr>
          <w:sz w:val="22"/>
          <w:szCs w:val="22"/>
        </w:rPr>
        <w:t xml:space="preserve">de validation, </w:t>
      </w:r>
      <w:r w:rsidR="00947F10" w:rsidRPr="009F2004">
        <w:rPr>
          <w:sz w:val="22"/>
          <w:szCs w:val="22"/>
        </w:rPr>
        <w:t>soit de refus et de contestation (contre-programme)</w:t>
      </w:r>
      <w:r w:rsidR="0073091E">
        <w:rPr>
          <w:sz w:val="22"/>
          <w:szCs w:val="22"/>
        </w:rPr>
        <w:t>, la contestation agissant</w:t>
      </w:r>
      <w:r w:rsidR="0073091E" w:rsidRPr="009F2004">
        <w:rPr>
          <w:sz w:val="22"/>
          <w:szCs w:val="22"/>
        </w:rPr>
        <w:t xml:space="preserve"> sur un fond agonal</w:t>
      </w:r>
      <w:r w:rsidR="0073091E">
        <w:rPr>
          <w:sz w:val="22"/>
          <w:szCs w:val="22"/>
        </w:rPr>
        <w:t xml:space="preserve"> </w:t>
      </w:r>
      <w:r w:rsidR="0062776B">
        <w:rPr>
          <w:sz w:val="22"/>
          <w:szCs w:val="22"/>
        </w:rPr>
        <w:t>qui constitue</w:t>
      </w:r>
      <w:r w:rsidR="0073091E" w:rsidRPr="009F2004">
        <w:rPr>
          <w:sz w:val="22"/>
          <w:szCs w:val="22"/>
        </w:rPr>
        <w:t xml:space="preserve"> un facteur de redynamisation des échanges. </w:t>
      </w:r>
    </w:p>
    <w:p w:rsidR="00A174A6" w:rsidRDefault="00947F10" w:rsidP="00812F50">
      <w:pPr>
        <w:ind w:right="284" w:firstLine="284"/>
        <w:jc w:val="both"/>
        <w:rPr>
          <w:color w:val="000000"/>
          <w:sz w:val="22"/>
          <w:szCs w:val="22"/>
          <w:shd w:val="clear" w:color="auto" w:fill="FFFFFF"/>
        </w:rPr>
      </w:pPr>
      <w:r w:rsidRPr="009F2004">
        <w:rPr>
          <w:sz w:val="22"/>
          <w:szCs w:val="22"/>
        </w:rPr>
        <w:t>Enfin, prenons</w:t>
      </w:r>
      <w:r w:rsidR="002D027A" w:rsidRPr="009F2004">
        <w:rPr>
          <w:sz w:val="22"/>
          <w:szCs w:val="22"/>
        </w:rPr>
        <w:t xml:space="preserve"> la mesure du poids </w:t>
      </w:r>
      <w:r w:rsidR="002D027A" w:rsidRPr="009F2004">
        <w:rPr>
          <w:i/>
          <w:sz w:val="22"/>
          <w:szCs w:val="22"/>
        </w:rPr>
        <w:t>politique</w:t>
      </w:r>
      <w:r w:rsidR="002D027A" w:rsidRPr="009F2004">
        <w:rPr>
          <w:sz w:val="22"/>
          <w:szCs w:val="22"/>
        </w:rPr>
        <w:t xml:space="preserve"> d’une approche par le nudge. </w:t>
      </w:r>
      <w:r w:rsidR="0089787D">
        <w:rPr>
          <w:sz w:val="22"/>
          <w:szCs w:val="22"/>
        </w:rPr>
        <w:t>Le « paternalisme » selon Thaler et Sunstein</w:t>
      </w:r>
      <w:r w:rsidR="0073091E">
        <w:rPr>
          <w:sz w:val="22"/>
          <w:szCs w:val="22"/>
        </w:rPr>
        <w:t>, qui part du principe idéologique que tout être humain a naturellement tendance à se comporter mal (</w:t>
      </w:r>
      <w:r w:rsidR="0073091E" w:rsidRPr="0073091E">
        <w:rPr>
          <w:i/>
          <w:sz w:val="22"/>
          <w:szCs w:val="22"/>
        </w:rPr>
        <w:t>misbehave</w:t>
      </w:r>
      <w:r w:rsidR="0073091E">
        <w:rPr>
          <w:sz w:val="22"/>
          <w:szCs w:val="22"/>
        </w:rPr>
        <w:t xml:space="preserve">) et </w:t>
      </w:r>
      <w:r w:rsidR="00A174A6">
        <w:rPr>
          <w:sz w:val="22"/>
          <w:szCs w:val="22"/>
        </w:rPr>
        <w:t xml:space="preserve">qui </w:t>
      </w:r>
      <w:r w:rsidR="0073091E">
        <w:rPr>
          <w:sz w:val="22"/>
          <w:szCs w:val="22"/>
        </w:rPr>
        <w:t xml:space="preserve">exploite des biais cognitifs, </w:t>
      </w:r>
      <w:r w:rsidR="0089787D">
        <w:rPr>
          <w:sz w:val="22"/>
          <w:szCs w:val="22"/>
        </w:rPr>
        <w:t xml:space="preserve">se dresse face à une manipulation </w:t>
      </w:r>
      <w:r w:rsidR="00F3324A">
        <w:rPr>
          <w:sz w:val="22"/>
          <w:szCs w:val="22"/>
        </w:rPr>
        <w:t xml:space="preserve">qui peut être explicite et </w:t>
      </w:r>
      <w:r w:rsidR="0089787D">
        <w:rPr>
          <w:sz w:val="22"/>
          <w:szCs w:val="22"/>
        </w:rPr>
        <w:t>assumée</w:t>
      </w:r>
      <w:r w:rsidR="0064167E">
        <w:rPr>
          <w:sz w:val="22"/>
          <w:szCs w:val="22"/>
        </w:rPr>
        <w:t xml:space="preserve"> ouvertement</w:t>
      </w:r>
      <w:r w:rsidR="0089787D">
        <w:rPr>
          <w:sz w:val="22"/>
          <w:szCs w:val="22"/>
        </w:rPr>
        <w:t xml:space="preserve">, qui modalise un sujet selon le devoir faire et le ne pas pouvoir ne pas faire, qui mobilise la loi, l’obligation et la norme </w:t>
      </w:r>
      <w:r w:rsidR="0064754B">
        <w:rPr>
          <w:sz w:val="22"/>
          <w:szCs w:val="22"/>
        </w:rPr>
        <w:t>et remet</w:t>
      </w:r>
      <w:r w:rsidR="0089787D">
        <w:rPr>
          <w:sz w:val="22"/>
          <w:szCs w:val="22"/>
        </w:rPr>
        <w:t xml:space="preserve"> dans le débat la question de la liberté, qui peut être bafouée et revendiquée. On se souvient que </w:t>
      </w:r>
      <w:r w:rsidR="002D027A" w:rsidRPr="009F2004">
        <w:rPr>
          <w:sz w:val="22"/>
          <w:szCs w:val="22"/>
        </w:rPr>
        <w:t>la Charte sur l’environnement de 2004 définit des « droits » et des « devoirs »</w:t>
      </w:r>
      <w:r w:rsidR="0073091E">
        <w:rPr>
          <w:sz w:val="22"/>
          <w:szCs w:val="22"/>
        </w:rPr>
        <w:t xml:space="preserve">, </w:t>
      </w:r>
      <w:r w:rsidR="002D027A" w:rsidRPr="009F2004">
        <w:rPr>
          <w:sz w:val="22"/>
          <w:szCs w:val="22"/>
        </w:rPr>
        <w:t>par exemple, le devoir de « </w:t>
      </w:r>
      <w:r w:rsidR="002D027A" w:rsidRPr="009F2004">
        <w:rPr>
          <w:color w:val="000000"/>
          <w:sz w:val="22"/>
          <w:szCs w:val="22"/>
          <w:shd w:val="clear" w:color="auto" w:fill="FFFFFF"/>
        </w:rPr>
        <w:t>prendre part à la préservation et à l'amélioration de l'environnement » (art. 2)</w:t>
      </w:r>
      <w:r w:rsidR="0073091E">
        <w:rPr>
          <w:color w:val="000000"/>
          <w:sz w:val="22"/>
          <w:szCs w:val="22"/>
          <w:shd w:val="clear" w:color="auto" w:fill="FFFFFF"/>
        </w:rPr>
        <w:t>. Dira-t-on alors que la politique du nudge a sa légitimité, malgré le fait qu’</w:t>
      </w:r>
      <w:r w:rsidR="00641D76">
        <w:rPr>
          <w:color w:val="000000"/>
          <w:sz w:val="22"/>
          <w:szCs w:val="22"/>
          <w:shd w:val="clear" w:color="auto" w:fill="FFFFFF"/>
        </w:rPr>
        <w:t>elle</w:t>
      </w:r>
      <w:r w:rsidR="0073091E">
        <w:rPr>
          <w:color w:val="000000"/>
          <w:sz w:val="22"/>
          <w:szCs w:val="22"/>
          <w:shd w:val="clear" w:color="auto" w:fill="FFFFFF"/>
        </w:rPr>
        <w:t xml:space="preserve"> mise largement sur l’implicite et sur le </w:t>
      </w:r>
      <w:r w:rsidR="0073091E" w:rsidRPr="009F2004">
        <w:rPr>
          <w:i/>
          <w:sz w:val="22"/>
          <w:szCs w:val="22"/>
        </w:rPr>
        <w:t>faire faire</w:t>
      </w:r>
      <w:r w:rsidR="0073091E" w:rsidRPr="009F2004">
        <w:rPr>
          <w:sz w:val="22"/>
          <w:szCs w:val="22"/>
        </w:rPr>
        <w:t xml:space="preserve"> délié de la prise de conscience </w:t>
      </w:r>
      <w:r w:rsidR="0073091E">
        <w:rPr>
          <w:sz w:val="22"/>
          <w:szCs w:val="22"/>
        </w:rPr>
        <w:t>délibérative</w:t>
      </w:r>
      <w:r w:rsidR="00A174A6">
        <w:rPr>
          <w:sz w:val="22"/>
          <w:szCs w:val="22"/>
        </w:rPr>
        <w:t>, qu’</w:t>
      </w:r>
      <w:r w:rsidR="00641D76">
        <w:rPr>
          <w:sz w:val="22"/>
          <w:szCs w:val="22"/>
        </w:rPr>
        <w:t>elle</w:t>
      </w:r>
      <w:r w:rsidR="00A174A6">
        <w:rPr>
          <w:sz w:val="22"/>
          <w:szCs w:val="22"/>
        </w:rPr>
        <w:t xml:space="preserve"> convoque volontiers une dimension ludique et crée un espace fictionnel</w:t>
      </w:r>
      <w:r w:rsidR="0073091E">
        <w:rPr>
          <w:color w:val="000000"/>
          <w:sz w:val="22"/>
          <w:szCs w:val="22"/>
          <w:shd w:val="clear" w:color="auto" w:fill="FFFFFF"/>
        </w:rPr>
        <w:t xml:space="preserve"> ? Sans doute le nudge a-t-il son utilité, en ce qu’il trace un chemin, oriente vers le bien de tous</w:t>
      </w:r>
      <w:r w:rsidR="00A174A6">
        <w:rPr>
          <w:color w:val="000000"/>
          <w:sz w:val="22"/>
          <w:szCs w:val="22"/>
          <w:shd w:val="clear" w:color="auto" w:fill="FFFFFF"/>
        </w:rPr>
        <w:t xml:space="preserve"> (alimentation saine, vie active, économie d’énergie, etc.)</w:t>
      </w:r>
      <w:r w:rsidR="0073091E">
        <w:rPr>
          <w:color w:val="000000"/>
          <w:sz w:val="22"/>
          <w:szCs w:val="22"/>
          <w:shd w:val="clear" w:color="auto" w:fill="FFFFFF"/>
        </w:rPr>
        <w:t>, guide, optimise et facilite les processus</w:t>
      </w:r>
      <w:r w:rsidR="00A174A6">
        <w:rPr>
          <w:color w:val="000000"/>
          <w:sz w:val="22"/>
          <w:szCs w:val="22"/>
          <w:shd w:val="clear" w:color="auto" w:fill="FFFFFF"/>
        </w:rPr>
        <w:t xml:space="preserve"> et les choix</w:t>
      </w:r>
      <w:r w:rsidR="0073091E">
        <w:rPr>
          <w:color w:val="000000"/>
          <w:sz w:val="22"/>
          <w:szCs w:val="22"/>
          <w:shd w:val="clear" w:color="auto" w:fill="FFFFFF"/>
        </w:rPr>
        <w:t xml:space="preserve"> (« choix par défaut ») et constitue par là même un facteur d’économie de temps et d’énergie. </w:t>
      </w:r>
      <w:r w:rsidR="00A174A6">
        <w:rPr>
          <w:color w:val="000000"/>
          <w:sz w:val="22"/>
          <w:szCs w:val="22"/>
          <w:shd w:val="clear" w:color="auto" w:fill="FFFFFF"/>
        </w:rPr>
        <w:t xml:space="preserve">Encore faut-il, pour que le nudge soit pleinement acceptable, qu’il ne freine pas la prise de conscience et la délibération, qu’il ne bloque pas le débat démocratique. Bref, qu’il ne nuise pas à la responsabilisation de citoyens </w:t>
      </w:r>
      <w:r w:rsidR="00A174A6" w:rsidRPr="004C77E6">
        <w:rPr>
          <w:color w:val="000000"/>
          <w:sz w:val="22"/>
          <w:szCs w:val="22"/>
          <w:shd w:val="clear" w:color="auto" w:fill="FFFFFF"/>
        </w:rPr>
        <w:t>vigilants</w:t>
      </w:r>
      <w:r w:rsidR="004C77E6">
        <w:rPr>
          <w:i/>
          <w:color w:val="000000"/>
          <w:sz w:val="22"/>
          <w:szCs w:val="22"/>
          <w:shd w:val="clear" w:color="auto" w:fill="FFFFFF"/>
        </w:rPr>
        <w:t xml:space="preserve"> </w:t>
      </w:r>
      <w:r w:rsidR="00A174A6">
        <w:rPr>
          <w:color w:val="000000"/>
          <w:sz w:val="22"/>
          <w:szCs w:val="22"/>
          <w:shd w:val="clear" w:color="auto" w:fill="FFFFFF"/>
        </w:rPr>
        <w:t>qui</w:t>
      </w:r>
      <w:r w:rsidR="000B06BA">
        <w:rPr>
          <w:color w:val="000000"/>
          <w:sz w:val="22"/>
          <w:szCs w:val="22"/>
          <w:shd w:val="clear" w:color="auto" w:fill="FFFFFF"/>
        </w:rPr>
        <w:t>, face aux probables pro-posés,</w:t>
      </w:r>
      <w:r w:rsidR="00A174A6">
        <w:rPr>
          <w:color w:val="000000"/>
          <w:sz w:val="22"/>
          <w:szCs w:val="22"/>
          <w:shd w:val="clear" w:color="auto" w:fill="FFFFFF"/>
        </w:rPr>
        <w:t xml:space="preserve"> </w:t>
      </w:r>
      <w:r w:rsidR="000B06BA">
        <w:rPr>
          <w:color w:val="000000"/>
          <w:sz w:val="22"/>
          <w:szCs w:val="22"/>
          <w:shd w:val="clear" w:color="auto" w:fill="FFFFFF"/>
        </w:rPr>
        <w:t xml:space="preserve">face aux solutions ex-posées, voire im-posées, </w:t>
      </w:r>
      <w:r w:rsidR="00A174A6">
        <w:rPr>
          <w:color w:val="000000"/>
          <w:sz w:val="22"/>
          <w:szCs w:val="22"/>
          <w:shd w:val="clear" w:color="auto" w:fill="FFFFFF"/>
        </w:rPr>
        <w:t>restituent l’éventail des possible</w:t>
      </w:r>
      <w:r w:rsidR="00812F50">
        <w:rPr>
          <w:color w:val="000000"/>
          <w:sz w:val="22"/>
          <w:szCs w:val="22"/>
          <w:shd w:val="clear" w:color="auto" w:fill="FFFFFF"/>
        </w:rPr>
        <w:t>s</w:t>
      </w:r>
      <w:r w:rsidR="00A174A6">
        <w:rPr>
          <w:color w:val="000000"/>
          <w:sz w:val="22"/>
          <w:szCs w:val="22"/>
          <w:shd w:val="clear" w:color="auto" w:fill="FFFFFF"/>
        </w:rPr>
        <w:t xml:space="preserve"> et décident en toute connaissance de cause.  </w:t>
      </w:r>
    </w:p>
    <w:p w:rsidR="000944D1" w:rsidRPr="009F2004" w:rsidRDefault="000944D1" w:rsidP="00A174A6">
      <w:pPr>
        <w:ind w:right="284"/>
        <w:jc w:val="both"/>
        <w:rPr>
          <w:sz w:val="22"/>
          <w:szCs w:val="22"/>
        </w:rPr>
      </w:pPr>
    </w:p>
    <w:p w:rsidR="002D027A" w:rsidRPr="00174224" w:rsidRDefault="002D027A" w:rsidP="006823D7">
      <w:pPr>
        <w:ind w:right="284"/>
        <w:jc w:val="both"/>
        <w:rPr>
          <w:b/>
          <w:color w:val="C00000"/>
          <w:sz w:val="22"/>
          <w:szCs w:val="22"/>
        </w:rPr>
      </w:pPr>
      <w:r w:rsidRPr="00174224">
        <w:rPr>
          <w:b/>
          <w:color w:val="C00000"/>
          <w:sz w:val="22"/>
          <w:szCs w:val="22"/>
        </w:rPr>
        <w:t>Bibliographie</w:t>
      </w:r>
    </w:p>
    <w:p w:rsidR="002D027A" w:rsidRPr="009F2004" w:rsidRDefault="002D027A" w:rsidP="006823D7">
      <w:pPr>
        <w:ind w:left="709" w:right="284" w:hanging="284"/>
        <w:jc w:val="both"/>
        <w:rPr>
          <w:sz w:val="22"/>
          <w:szCs w:val="22"/>
        </w:rPr>
      </w:pPr>
    </w:p>
    <w:p w:rsidR="002D027A" w:rsidRPr="009F2004" w:rsidRDefault="002D027A" w:rsidP="006823D7">
      <w:pPr>
        <w:ind w:left="284" w:right="284" w:hanging="284"/>
        <w:jc w:val="both"/>
        <w:rPr>
          <w:sz w:val="22"/>
          <w:szCs w:val="22"/>
        </w:rPr>
      </w:pPr>
      <w:r w:rsidRPr="009F2004">
        <w:rPr>
          <w:sz w:val="22"/>
          <w:szCs w:val="22"/>
        </w:rPr>
        <w:t xml:space="preserve">Akrich, Madeleine, Callon, Michel, Latour, Bruno, « À quoi tient le succès des innovations ? I. L’art de l’intéressement, II. Le choix des porte-parole. Gérer et Comprendre », </w:t>
      </w:r>
      <w:r w:rsidRPr="009F2004">
        <w:rPr>
          <w:i/>
          <w:sz w:val="22"/>
          <w:szCs w:val="22"/>
        </w:rPr>
        <w:t>Les Annales des Mines</w:t>
      </w:r>
      <w:r w:rsidRPr="009F2004">
        <w:rPr>
          <w:sz w:val="22"/>
          <w:szCs w:val="22"/>
        </w:rPr>
        <w:t>,</w:t>
      </w:r>
      <w:r w:rsidR="00FA422F">
        <w:rPr>
          <w:sz w:val="22"/>
          <w:szCs w:val="22"/>
        </w:rPr>
        <w:t>1988,</w:t>
      </w:r>
      <w:r w:rsidRPr="009F2004">
        <w:rPr>
          <w:sz w:val="22"/>
          <w:szCs w:val="22"/>
        </w:rPr>
        <w:t xml:space="preserve"> pp. 4-17</w:t>
      </w:r>
      <w:r w:rsidR="0064754B">
        <w:rPr>
          <w:sz w:val="22"/>
          <w:szCs w:val="22"/>
        </w:rPr>
        <w:t>,</w:t>
      </w:r>
      <w:r w:rsidRPr="009F2004">
        <w:rPr>
          <w:sz w:val="22"/>
          <w:szCs w:val="22"/>
        </w:rPr>
        <w:t xml:space="preserve"> 14-29, halshs-00081741.</w:t>
      </w:r>
    </w:p>
    <w:p w:rsidR="002D027A" w:rsidRPr="009F2004" w:rsidRDefault="002D027A" w:rsidP="006823D7">
      <w:pPr>
        <w:ind w:left="284" w:right="284" w:hanging="284"/>
        <w:jc w:val="both"/>
        <w:rPr>
          <w:sz w:val="22"/>
          <w:szCs w:val="22"/>
        </w:rPr>
      </w:pPr>
      <w:r w:rsidRPr="009F2004">
        <w:rPr>
          <w:sz w:val="22"/>
          <w:szCs w:val="22"/>
        </w:rPr>
        <w:t xml:space="preserve">Bachimont, Bruno, « La politesse du numérique : entre normes et désajustements », </w:t>
      </w:r>
      <w:r w:rsidRPr="009F2004">
        <w:rPr>
          <w:i/>
          <w:sz w:val="22"/>
          <w:szCs w:val="22"/>
        </w:rPr>
        <w:t>Carte semiotiche</w:t>
      </w:r>
      <w:r w:rsidR="00ED31FF" w:rsidRPr="009F2004">
        <w:rPr>
          <w:i/>
          <w:sz w:val="22"/>
          <w:szCs w:val="22"/>
        </w:rPr>
        <w:t>,</w:t>
      </w:r>
      <w:r w:rsidR="00ED31FF" w:rsidRPr="009F2004">
        <w:rPr>
          <w:sz w:val="22"/>
          <w:szCs w:val="22"/>
        </w:rPr>
        <w:t xml:space="preserve"> </w:t>
      </w:r>
      <w:r w:rsidR="00ED31FF" w:rsidRPr="009F2004">
        <w:rPr>
          <w:color w:val="000000"/>
          <w:sz w:val="22"/>
          <w:szCs w:val="22"/>
        </w:rPr>
        <w:t>Annali 6</w:t>
      </w:r>
      <w:r w:rsidR="00FA422F">
        <w:rPr>
          <w:color w:val="000000"/>
          <w:sz w:val="22"/>
          <w:szCs w:val="22"/>
        </w:rPr>
        <w:t>, 2018</w:t>
      </w:r>
      <w:r w:rsidR="0064754B">
        <w:rPr>
          <w:color w:val="000000"/>
          <w:sz w:val="22"/>
          <w:szCs w:val="22"/>
        </w:rPr>
        <w:t>, pp. 163-177.</w:t>
      </w:r>
      <w:r w:rsidRPr="009F2004">
        <w:rPr>
          <w:sz w:val="22"/>
          <w:szCs w:val="22"/>
        </w:rPr>
        <w:t xml:space="preserve"> </w:t>
      </w:r>
    </w:p>
    <w:p w:rsidR="002D027A" w:rsidRPr="009F2004" w:rsidRDefault="002D027A" w:rsidP="006823D7">
      <w:pPr>
        <w:ind w:left="284" w:right="284" w:hanging="284"/>
        <w:jc w:val="both"/>
        <w:rPr>
          <w:sz w:val="22"/>
          <w:szCs w:val="22"/>
        </w:rPr>
      </w:pPr>
      <w:r w:rsidRPr="009F2004">
        <w:rPr>
          <w:sz w:val="22"/>
          <w:szCs w:val="22"/>
        </w:rPr>
        <w:t xml:space="preserve">Callon, Michel, « Éléments pour une sociologie de la traduction : la domestication des coquilles Saint-Jacques et des marins-pêcheurs dans la baie de Saint-Brieuc », </w:t>
      </w:r>
      <w:r w:rsidRPr="009F2004">
        <w:rPr>
          <w:i/>
          <w:sz w:val="22"/>
          <w:szCs w:val="22"/>
        </w:rPr>
        <w:t>L’Année sociologique</w:t>
      </w:r>
      <w:r w:rsidRPr="009F2004">
        <w:rPr>
          <w:sz w:val="22"/>
          <w:szCs w:val="22"/>
        </w:rPr>
        <w:t xml:space="preserve"> (1940/1948),</w:t>
      </w:r>
      <w:r w:rsidR="00FA422F">
        <w:rPr>
          <w:sz w:val="22"/>
          <w:szCs w:val="22"/>
        </w:rPr>
        <w:t xml:space="preserve"> </w:t>
      </w:r>
      <w:r w:rsidR="0064754B">
        <w:rPr>
          <w:sz w:val="22"/>
          <w:szCs w:val="22"/>
        </w:rPr>
        <w:t xml:space="preserve">36, </w:t>
      </w:r>
      <w:r w:rsidR="00FA422F">
        <w:rPr>
          <w:sz w:val="22"/>
          <w:szCs w:val="22"/>
        </w:rPr>
        <w:t>1986,</w:t>
      </w:r>
      <w:r w:rsidRPr="009F2004">
        <w:rPr>
          <w:sz w:val="22"/>
          <w:szCs w:val="22"/>
        </w:rPr>
        <w:t xml:space="preserve"> pp. 169-208. </w:t>
      </w:r>
    </w:p>
    <w:p w:rsidR="002D027A" w:rsidRPr="009F2004" w:rsidRDefault="002D027A" w:rsidP="006823D7">
      <w:pPr>
        <w:ind w:left="284" w:right="284" w:hanging="284"/>
        <w:jc w:val="both"/>
        <w:rPr>
          <w:sz w:val="22"/>
          <w:szCs w:val="22"/>
        </w:rPr>
      </w:pPr>
      <w:r w:rsidRPr="009F2004">
        <w:rPr>
          <w:sz w:val="22"/>
          <w:szCs w:val="22"/>
        </w:rPr>
        <w:t xml:space="preserve">Desclés, Jean-Pierre, « Prise en charge, engagement et désengagement », </w:t>
      </w:r>
      <w:r w:rsidRPr="009F2004">
        <w:rPr>
          <w:i/>
          <w:sz w:val="22"/>
          <w:szCs w:val="22"/>
        </w:rPr>
        <w:t>Langue française</w:t>
      </w:r>
      <w:r w:rsidRPr="009F2004">
        <w:rPr>
          <w:sz w:val="22"/>
          <w:szCs w:val="22"/>
        </w:rPr>
        <w:t xml:space="preserve">, 162, </w:t>
      </w:r>
      <w:r w:rsidR="00FA422F">
        <w:rPr>
          <w:sz w:val="22"/>
          <w:szCs w:val="22"/>
        </w:rPr>
        <w:t xml:space="preserve">2009, </w:t>
      </w:r>
      <w:r w:rsidRPr="009F2004">
        <w:rPr>
          <w:sz w:val="22"/>
          <w:szCs w:val="22"/>
        </w:rPr>
        <w:t xml:space="preserve">pp. 29-53. </w:t>
      </w:r>
    </w:p>
    <w:p w:rsidR="002D027A" w:rsidRDefault="002D027A" w:rsidP="006823D7">
      <w:pPr>
        <w:ind w:left="284" w:right="284" w:hanging="284"/>
        <w:jc w:val="both"/>
        <w:rPr>
          <w:sz w:val="22"/>
          <w:szCs w:val="22"/>
        </w:rPr>
      </w:pPr>
      <w:r w:rsidRPr="009F2004">
        <w:rPr>
          <w:sz w:val="22"/>
          <w:szCs w:val="22"/>
        </w:rPr>
        <w:t xml:space="preserve">Fontanille, Jacques, </w:t>
      </w:r>
      <w:r w:rsidRPr="009F2004">
        <w:rPr>
          <w:i/>
          <w:sz w:val="22"/>
          <w:szCs w:val="22"/>
        </w:rPr>
        <w:t>Corps et sens</w:t>
      </w:r>
      <w:r w:rsidRPr="009F2004">
        <w:rPr>
          <w:sz w:val="22"/>
          <w:szCs w:val="22"/>
        </w:rPr>
        <w:t>, Paris, PUF</w:t>
      </w:r>
      <w:r w:rsidR="00FA422F">
        <w:rPr>
          <w:sz w:val="22"/>
          <w:szCs w:val="22"/>
        </w:rPr>
        <w:t>, 2011.</w:t>
      </w:r>
    </w:p>
    <w:p w:rsidR="00E944B6" w:rsidRPr="009F2004" w:rsidRDefault="00E944B6" w:rsidP="006823D7">
      <w:pPr>
        <w:ind w:left="284" w:right="284" w:hanging="284"/>
        <w:jc w:val="both"/>
        <w:rPr>
          <w:sz w:val="22"/>
          <w:szCs w:val="22"/>
        </w:rPr>
      </w:pPr>
      <w:r>
        <w:rPr>
          <w:sz w:val="22"/>
          <w:szCs w:val="22"/>
        </w:rPr>
        <w:t xml:space="preserve">Fontanille, Jacques, Zilberberg, Claude, 1998, </w:t>
      </w:r>
      <w:r w:rsidRPr="00E944B6">
        <w:rPr>
          <w:i/>
          <w:sz w:val="22"/>
          <w:szCs w:val="22"/>
        </w:rPr>
        <w:t>Tension et signification</w:t>
      </w:r>
      <w:r>
        <w:rPr>
          <w:sz w:val="22"/>
          <w:szCs w:val="22"/>
        </w:rPr>
        <w:t xml:space="preserve">, Hayen, Pierre Mardaga. </w:t>
      </w:r>
    </w:p>
    <w:p w:rsidR="00FA422F" w:rsidRPr="009F2004" w:rsidRDefault="00FA422F" w:rsidP="006823D7">
      <w:pPr>
        <w:ind w:left="284" w:right="284" w:hanging="284"/>
        <w:jc w:val="both"/>
        <w:rPr>
          <w:sz w:val="22"/>
          <w:szCs w:val="22"/>
        </w:rPr>
      </w:pPr>
      <w:r w:rsidRPr="009F2004">
        <w:rPr>
          <w:sz w:val="22"/>
          <w:szCs w:val="22"/>
        </w:rPr>
        <w:t xml:space="preserve">Greimas, Algirdas Julien, Courtés, Joseph, </w:t>
      </w:r>
      <w:r w:rsidRPr="009F2004">
        <w:rPr>
          <w:i/>
          <w:sz w:val="22"/>
          <w:szCs w:val="22"/>
        </w:rPr>
        <w:t>Sémiotique. Dictionnaire raisonné de la théorie du langage</w:t>
      </w:r>
      <w:r w:rsidRPr="009F2004">
        <w:rPr>
          <w:sz w:val="22"/>
          <w:szCs w:val="22"/>
        </w:rPr>
        <w:t>, Paris, Hachette</w:t>
      </w:r>
      <w:r>
        <w:rPr>
          <w:sz w:val="22"/>
          <w:szCs w:val="22"/>
        </w:rPr>
        <w:t>, 1979.</w:t>
      </w:r>
    </w:p>
    <w:p w:rsidR="002D027A" w:rsidRPr="009F2004" w:rsidRDefault="002D027A" w:rsidP="006823D7">
      <w:pPr>
        <w:ind w:left="284" w:right="284" w:hanging="284"/>
        <w:jc w:val="both"/>
        <w:rPr>
          <w:sz w:val="22"/>
          <w:szCs w:val="22"/>
        </w:rPr>
      </w:pPr>
      <w:r w:rsidRPr="009F2004">
        <w:rPr>
          <w:sz w:val="22"/>
          <w:szCs w:val="22"/>
        </w:rPr>
        <w:lastRenderedPageBreak/>
        <w:t xml:space="preserve">Groupe µ, Édeline, Francis, Klinkenberg, Jean-Marie, « Sémiotique de l’outil. Anasémiose et catasémiose instrumentées », </w:t>
      </w:r>
      <w:r w:rsidRPr="009F2004">
        <w:rPr>
          <w:i/>
          <w:sz w:val="22"/>
          <w:szCs w:val="22"/>
        </w:rPr>
        <w:t>Signata, Annales des sémiotiques / Annals of Semiotics</w:t>
      </w:r>
      <w:r w:rsidRPr="009F2004">
        <w:rPr>
          <w:sz w:val="22"/>
          <w:szCs w:val="22"/>
        </w:rPr>
        <w:t xml:space="preserve">, 4, </w:t>
      </w:r>
      <w:r w:rsidR="00FA422F">
        <w:rPr>
          <w:sz w:val="22"/>
          <w:szCs w:val="22"/>
        </w:rPr>
        <w:t xml:space="preserve">2012, </w:t>
      </w:r>
      <w:r w:rsidRPr="009F2004">
        <w:rPr>
          <w:sz w:val="22"/>
          <w:szCs w:val="22"/>
        </w:rPr>
        <w:t xml:space="preserve">pp. 409-436. </w:t>
      </w:r>
    </w:p>
    <w:p w:rsidR="00547E26" w:rsidRPr="009F2004" w:rsidRDefault="00547E26" w:rsidP="00547E26">
      <w:pPr>
        <w:ind w:left="284" w:right="284" w:hanging="284"/>
        <w:jc w:val="both"/>
        <w:rPr>
          <w:sz w:val="22"/>
          <w:szCs w:val="22"/>
        </w:rPr>
      </w:pPr>
      <w:r w:rsidRPr="009F2004">
        <w:rPr>
          <w:sz w:val="22"/>
          <w:szCs w:val="22"/>
        </w:rPr>
        <w:t xml:space="preserve">Guentchéva, Zlatka, « Manifestations de la catégorie du médiatif dans les temps du français », </w:t>
      </w:r>
      <w:r w:rsidRPr="009F2004">
        <w:rPr>
          <w:i/>
          <w:sz w:val="22"/>
          <w:szCs w:val="22"/>
        </w:rPr>
        <w:t>Langue française</w:t>
      </w:r>
      <w:r w:rsidRPr="009F2004">
        <w:rPr>
          <w:sz w:val="22"/>
          <w:szCs w:val="22"/>
        </w:rPr>
        <w:t xml:space="preserve">, 102, </w:t>
      </w:r>
      <w:r>
        <w:rPr>
          <w:sz w:val="22"/>
          <w:szCs w:val="22"/>
        </w:rPr>
        <w:t xml:space="preserve">1994, </w:t>
      </w:r>
      <w:r w:rsidRPr="009F2004">
        <w:rPr>
          <w:sz w:val="22"/>
          <w:szCs w:val="22"/>
        </w:rPr>
        <w:t>pp. 8-23.</w:t>
      </w:r>
    </w:p>
    <w:p w:rsidR="00547E26" w:rsidRPr="009F2004" w:rsidRDefault="00547E26" w:rsidP="00547E26">
      <w:pPr>
        <w:pStyle w:val="Titre2"/>
        <w:spacing w:before="0"/>
        <w:ind w:left="284" w:right="284" w:hanging="284"/>
        <w:jc w:val="both"/>
        <w:rPr>
          <w:rFonts w:ascii="Times New Roman" w:hAnsi="Times New Roman" w:cs="Times New Roman"/>
          <w:color w:val="000000" w:themeColor="text1"/>
          <w:sz w:val="22"/>
          <w:szCs w:val="22"/>
        </w:rPr>
      </w:pPr>
      <w:r w:rsidRPr="009F2004">
        <w:rPr>
          <w:rFonts w:ascii="Times New Roman" w:hAnsi="Times New Roman" w:cs="Times New Roman"/>
          <w:color w:val="000000" w:themeColor="text1"/>
          <w:sz w:val="22"/>
          <w:szCs w:val="22"/>
        </w:rPr>
        <w:t>Guentchéva, Zlatka</w:t>
      </w:r>
      <w:r>
        <w:rPr>
          <w:rFonts w:ascii="Times New Roman" w:hAnsi="Times New Roman" w:cs="Times New Roman"/>
          <w:color w:val="000000" w:themeColor="text1"/>
          <w:sz w:val="22"/>
          <w:szCs w:val="22"/>
        </w:rPr>
        <w:t>,</w:t>
      </w:r>
      <w:r w:rsidRPr="009F2004">
        <w:rPr>
          <w:rFonts w:ascii="Times New Roman" w:hAnsi="Times New Roman" w:cs="Times New Roman"/>
          <w:color w:val="000000" w:themeColor="text1"/>
          <w:sz w:val="22"/>
          <w:szCs w:val="22"/>
        </w:rPr>
        <w:t xml:space="preserve"> « Peut-on identifier, et comment, les marqueurs dits “médiatifs” ? », </w:t>
      </w:r>
      <w:r w:rsidRPr="006823D7">
        <w:rPr>
          <w:rFonts w:ascii="Times New Roman" w:hAnsi="Times New Roman" w:cs="Times New Roman"/>
          <w:color w:val="000000" w:themeColor="text1"/>
          <w:sz w:val="22"/>
          <w:szCs w:val="22"/>
        </w:rPr>
        <w:t xml:space="preserve">in </w:t>
      </w:r>
      <w:r w:rsidRPr="009F2004">
        <w:rPr>
          <w:rFonts w:ascii="Times New Roman" w:hAnsi="Times New Roman" w:cs="Times New Roman"/>
          <w:color w:val="000000" w:themeColor="text1"/>
          <w:sz w:val="22"/>
          <w:szCs w:val="22"/>
        </w:rPr>
        <w:t>J</w:t>
      </w:r>
      <w:r>
        <w:rPr>
          <w:rFonts w:ascii="Times New Roman" w:hAnsi="Times New Roman" w:cs="Times New Roman"/>
          <w:color w:val="000000" w:themeColor="text1"/>
          <w:sz w:val="22"/>
          <w:szCs w:val="22"/>
        </w:rPr>
        <w:t>ean</w:t>
      </w:r>
      <w:r w:rsidRPr="009F2004">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laude</w:t>
      </w:r>
      <w:r w:rsidRPr="009F2004">
        <w:rPr>
          <w:rFonts w:ascii="Times New Roman" w:hAnsi="Times New Roman" w:cs="Times New Roman"/>
          <w:color w:val="000000" w:themeColor="text1"/>
          <w:sz w:val="22"/>
          <w:szCs w:val="22"/>
        </w:rPr>
        <w:t xml:space="preserve"> Anscombre</w:t>
      </w:r>
      <w:r>
        <w:rPr>
          <w:rFonts w:ascii="Times New Roman" w:hAnsi="Times New Roman" w:cs="Times New Roman"/>
          <w:color w:val="000000" w:themeColor="text1"/>
          <w:sz w:val="22"/>
          <w:szCs w:val="22"/>
        </w:rPr>
        <w:t xml:space="preserve">, </w:t>
      </w:r>
      <w:r w:rsidRPr="009F2004">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velyne</w:t>
      </w:r>
      <w:r w:rsidRPr="009F2004">
        <w:rPr>
          <w:rFonts w:ascii="Times New Roman" w:hAnsi="Times New Roman" w:cs="Times New Roman"/>
          <w:color w:val="000000" w:themeColor="text1"/>
          <w:sz w:val="22"/>
          <w:szCs w:val="22"/>
        </w:rPr>
        <w:t xml:space="preserve"> Oppermann-Marsaux, A</w:t>
      </w:r>
      <w:r>
        <w:rPr>
          <w:rFonts w:ascii="Times New Roman" w:hAnsi="Times New Roman" w:cs="Times New Roman"/>
          <w:color w:val="000000" w:themeColor="text1"/>
          <w:sz w:val="22"/>
          <w:szCs w:val="22"/>
        </w:rPr>
        <w:t>malia</w:t>
      </w:r>
      <w:r w:rsidRPr="009F2004">
        <w:rPr>
          <w:rFonts w:ascii="Times New Roman" w:hAnsi="Times New Roman" w:cs="Times New Roman"/>
          <w:color w:val="000000" w:themeColor="text1"/>
          <w:sz w:val="22"/>
          <w:szCs w:val="22"/>
        </w:rPr>
        <w:t xml:space="preserve"> Rodriguez Somolinos (dirs), </w:t>
      </w:r>
      <w:r w:rsidRPr="009F2004">
        <w:rPr>
          <w:rFonts w:ascii="Times New Roman" w:hAnsi="Times New Roman" w:cs="Times New Roman"/>
          <w:i/>
          <w:color w:val="000000" w:themeColor="text1"/>
          <w:sz w:val="22"/>
          <w:szCs w:val="22"/>
        </w:rPr>
        <w:t>Médiativité, polyphonie et modalité en français</w:t>
      </w:r>
      <w:r w:rsidRPr="009F2004">
        <w:rPr>
          <w:rFonts w:ascii="Times New Roman" w:hAnsi="Times New Roman" w:cs="Times New Roman"/>
          <w:color w:val="000000" w:themeColor="text1"/>
          <w:sz w:val="22"/>
          <w:szCs w:val="22"/>
        </w:rPr>
        <w:t xml:space="preserve">, Paris, Presses Sorbonne Nouvelle, </w:t>
      </w:r>
      <w:r>
        <w:rPr>
          <w:rFonts w:ascii="Times New Roman" w:hAnsi="Times New Roman" w:cs="Times New Roman"/>
          <w:color w:val="000000" w:themeColor="text1"/>
          <w:sz w:val="22"/>
          <w:szCs w:val="22"/>
        </w:rPr>
        <w:t xml:space="preserve">2017, </w:t>
      </w:r>
      <w:r w:rsidRPr="009F2004">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p</w:t>
      </w:r>
      <w:r w:rsidRPr="009F2004">
        <w:rPr>
          <w:rFonts w:ascii="Times New Roman" w:hAnsi="Times New Roman" w:cs="Times New Roman"/>
          <w:color w:val="000000" w:themeColor="text1"/>
          <w:sz w:val="22"/>
          <w:szCs w:val="22"/>
        </w:rPr>
        <w:t>. 35-50.</w:t>
      </w:r>
    </w:p>
    <w:p w:rsidR="007A60FC" w:rsidRPr="009F2004" w:rsidRDefault="007A60FC" w:rsidP="006823D7">
      <w:pPr>
        <w:ind w:left="284" w:right="284" w:hanging="284"/>
        <w:jc w:val="both"/>
        <w:rPr>
          <w:sz w:val="22"/>
          <w:szCs w:val="22"/>
        </w:rPr>
      </w:pPr>
      <w:r w:rsidRPr="009F2004">
        <w:rPr>
          <w:color w:val="000000" w:themeColor="text1"/>
          <w:sz w:val="22"/>
          <w:szCs w:val="22"/>
        </w:rPr>
        <w:t xml:space="preserve">Landowski, </w:t>
      </w:r>
      <w:r w:rsidR="0064754B">
        <w:rPr>
          <w:color w:val="000000" w:themeColor="text1"/>
          <w:sz w:val="22"/>
          <w:szCs w:val="22"/>
        </w:rPr>
        <w:t>É</w:t>
      </w:r>
      <w:r w:rsidRPr="009F2004">
        <w:rPr>
          <w:color w:val="000000" w:themeColor="text1"/>
          <w:sz w:val="22"/>
          <w:szCs w:val="22"/>
        </w:rPr>
        <w:t xml:space="preserve">ric, « Avant-propos : ajustements stratégiques », </w:t>
      </w:r>
      <w:r w:rsidRPr="009F2004">
        <w:rPr>
          <w:i/>
          <w:color w:val="000000" w:themeColor="text1"/>
          <w:sz w:val="22"/>
          <w:szCs w:val="22"/>
        </w:rPr>
        <w:t>Actes sémiotiques</w:t>
      </w:r>
      <w:r w:rsidRPr="009F2004">
        <w:rPr>
          <w:color w:val="000000" w:themeColor="text1"/>
          <w:sz w:val="22"/>
          <w:szCs w:val="22"/>
        </w:rPr>
        <w:t>,</w:t>
      </w:r>
      <w:r w:rsidR="006823D7">
        <w:rPr>
          <w:color w:val="000000" w:themeColor="text1"/>
          <w:sz w:val="22"/>
          <w:szCs w:val="22"/>
        </w:rPr>
        <w:t xml:space="preserve"> </w:t>
      </w:r>
      <w:r w:rsidRPr="009F2004">
        <w:rPr>
          <w:color w:val="000000" w:themeColor="text1"/>
          <w:sz w:val="22"/>
          <w:szCs w:val="22"/>
          <w:shd w:val="clear" w:color="auto" w:fill="FFFFFF"/>
        </w:rPr>
        <w:t>110</w:t>
      </w:r>
      <w:r w:rsidR="00AF669A">
        <w:rPr>
          <w:color w:val="000000" w:themeColor="text1"/>
          <w:sz w:val="22"/>
          <w:szCs w:val="22"/>
          <w:shd w:val="clear" w:color="auto" w:fill="FFFFFF"/>
        </w:rPr>
        <w:t>, 2007</w:t>
      </w:r>
      <w:r w:rsidRPr="009F2004">
        <w:rPr>
          <w:color w:val="000000" w:themeColor="text1"/>
          <w:sz w:val="22"/>
          <w:szCs w:val="22"/>
          <w:shd w:val="clear" w:color="auto" w:fill="FFFFFF"/>
        </w:rPr>
        <w:t>. Disponible sur : &lt;http://epublications.unilim.fr/revues/as/66&gt; (consulté le 29/08/2019).</w:t>
      </w:r>
    </w:p>
    <w:p w:rsidR="007A60FC" w:rsidRPr="009F2004" w:rsidRDefault="007A60FC" w:rsidP="006823D7">
      <w:pPr>
        <w:pStyle w:val="NormalWeb"/>
        <w:spacing w:before="0" w:beforeAutospacing="0" w:after="0" w:afterAutospacing="0"/>
        <w:ind w:left="284" w:right="284" w:hanging="284"/>
        <w:jc w:val="both"/>
        <w:rPr>
          <w:rFonts w:ascii="Times New Roman" w:eastAsia="Times New Roman" w:hAnsi="Times New Roman"/>
          <w:sz w:val="22"/>
          <w:szCs w:val="22"/>
          <w:lang w:val="fr-LU"/>
        </w:rPr>
      </w:pPr>
      <w:r w:rsidRPr="009F2004">
        <w:rPr>
          <w:rFonts w:ascii="Times New Roman" w:hAnsi="Times New Roman"/>
          <w:sz w:val="22"/>
          <w:szCs w:val="22"/>
        </w:rPr>
        <w:t xml:space="preserve">Landragin, Frédéric, « De la saillance visuelle à la saillance linguistique », </w:t>
      </w:r>
      <w:r w:rsidRPr="00AF669A">
        <w:rPr>
          <w:rFonts w:ascii="Times New Roman" w:hAnsi="Times New Roman"/>
          <w:sz w:val="22"/>
          <w:szCs w:val="22"/>
        </w:rPr>
        <w:t>in</w:t>
      </w:r>
      <w:r w:rsidRPr="009F2004">
        <w:rPr>
          <w:rFonts w:ascii="Times New Roman" w:hAnsi="Times New Roman"/>
          <w:sz w:val="22"/>
          <w:szCs w:val="22"/>
        </w:rPr>
        <w:t xml:space="preserve"> O</w:t>
      </w:r>
      <w:r w:rsidR="00AF669A">
        <w:rPr>
          <w:rFonts w:ascii="Times New Roman" w:hAnsi="Times New Roman"/>
          <w:sz w:val="22"/>
          <w:szCs w:val="22"/>
        </w:rPr>
        <w:t>lga</w:t>
      </w:r>
      <w:r w:rsidRPr="009F2004">
        <w:rPr>
          <w:rFonts w:ascii="Times New Roman" w:hAnsi="Times New Roman"/>
          <w:sz w:val="22"/>
          <w:szCs w:val="22"/>
        </w:rPr>
        <w:t xml:space="preserve"> Inkova (dir.), </w:t>
      </w:r>
      <w:r w:rsidRPr="009F2004">
        <w:rPr>
          <w:rFonts w:ascii="Times New Roman" w:eastAsia="Times New Roman" w:hAnsi="Times New Roman"/>
          <w:i/>
          <w:sz w:val="22"/>
          <w:szCs w:val="22"/>
          <w:lang w:val="fr-LU"/>
        </w:rPr>
        <w:t>Saillance. Aspects linguistiques et communicatifs de la mise en évidence dans un texte,</w:t>
      </w:r>
      <w:r w:rsidRPr="009F2004">
        <w:rPr>
          <w:rFonts w:ascii="Times New Roman" w:eastAsia="Times New Roman" w:hAnsi="Times New Roman"/>
          <w:sz w:val="22"/>
          <w:szCs w:val="22"/>
          <w:lang w:val="fr-LU"/>
        </w:rPr>
        <w:t xml:space="preserve"> Besançon, Presses Universitaires de Franche-Comté, Annales Littéraires de l’Université de Franche-Comté</w:t>
      </w:r>
      <w:r w:rsidR="00AF669A">
        <w:rPr>
          <w:rFonts w:ascii="Times New Roman" w:eastAsia="Times New Roman" w:hAnsi="Times New Roman"/>
          <w:sz w:val="22"/>
          <w:szCs w:val="22"/>
          <w:lang w:val="fr-LU"/>
        </w:rPr>
        <w:t xml:space="preserve">, 2011, </w:t>
      </w:r>
      <w:r w:rsidR="00AF669A" w:rsidRPr="009F2004">
        <w:rPr>
          <w:rFonts w:ascii="Times New Roman" w:eastAsia="Times New Roman" w:hAnsi="Times New Roman"/>
          <w:sz w:val="22"/>
          <w:szCs w:val="22"/>
          <w:lang w:val="fr-LU"/>
        </w:rPr>
        <w:t>pp. 67-84,</w:t>
      </w:r>
      <w:r w:rsidRPr="009F2004">
        <w:rPr>
          <w:rFonts w:ascii="Times New Roman" w:eastAsia="Times New Roman" w:hAnsi="Times New Roman"/>
          <w:sz w:val="22"/>
          <w:szCs w:val="22"/>
          <w:lang w:val="fr-LU"/>
        </w:rPr>
        <w:t xml:space="preserve"> halshs-00658367</w:t>
      </w:r>
      <w:r w:rsidR="006823D7">
        <w:rPr>
          <w:rFonts w:ascii="Times New Roman" w:eastAsia="Times New Roman" w:hAnsi="Times New Roman"/>
          <w:sz w:val="22"/>
          <w:szCs w:val="22"/>
          <w:lang w:val="fr-LU"/>
        </w:rPr>
        <w:t>.</w:t>
      </w:r>
      <w:r w:rsidRPr="009F2004">
        <w:rPr>
          <w:rFonts w:ascii="Times New Roman" w:eastAsia="Times New Roman" w:hAnsi="Times New Roman"/>
          <w:sz w:val="22"/>
          <w:szCs w:val="22"/>
          <w:lang w:val="fr-LU"/>
        </w:rPr>
        <w:t xml:space="preserve"> </w:t>
      </w:r>
    </w:p>
    <w:p w:rsidR="002D027A" w:rsidRPr="009F2004" w:rsidRDefault="002D027A" w:rsidP="006823D7">
      <w:pPr>
        <w:ind w:left="284" w:right="284" w:hanging="284"/>
        <w:jc w:val="both"/>
        <w:rPr>
          <w:sz w:val="22"/>
          <w:szCs w:val="22"/>
        </w:rPr>
      </w:pPr>
      <w:r w:rsidRPr="009F2004">
        <w:rPr>
          <w:sz w:val="22"/>
          <w:szCs w:val="22"/>
        </w:rPr>
        <w:t xml:space="preserve">Lassalle, Julie, Amelot, Adelaïde, Chauvin, Christine, Boutet-Diéye, Annabelle, « De l’artefact à la naissance de l’instrument pour la maîtrise de la consommation d’électricité : approche ergo-sociologique de la genèse instrumentale des </w:t>
      </w:r>
      <w:r w:rsidRPr="009F2004">
        <w:rPr>
          <w:i/>
          <w:sz w:val="22"/>
          <w:szCs w:val="22"/>
        </w:rPr>
        <w:t>smart-grids</w:t>
      </w:r>
      <w:r w:rsidRPr="009F2004">
        <w:rPr>
          <w:sz w:val="22"/>
          <w:szCs w:val="22"/>
        </w:rPr>
        <w:t xml:space="preserve"> », </w:t>
      </w:r>
      <w:r w:rsidRPr="009F2004">
        <w:rPr>
          <w:i/>
          <w:sz w:val="22"/>
          <w:szCs w:val="22"/>
        </w:rPr>
        <w:t>Activités</w:t>
      </w:r>
      <w:r w:rsidRPr="009F2004">
        <w:rPr>
          <w:sz w:val="22"/>
          <w:szCs w:val="22"/>
        </w:rPr>
        <w:t>, 13-2</w:t>
      </w:r>
      <w:r w:rsidR="00AF669A">
        <w:rPr>
          <w:sz w:val="22"/>
          <w:szCs w:val="22"/>
        </w:rPr>
        <w:t>, 2016</w:t>
      </w:r>
      <w:r w:rsidRPr="009F2004">
        <w:rPr>
          <w:sz w:val="22"/>
          <w:szCs w:val="22"/>
        </w:rPr>
        <w:t xml:space="preserve">. </w:t>
      </w:r>
    </w:p>
    <w:p w:rsidR="002D027A" w:rsidRPr="009F2004" w:rsidRDefault="002D027A" w:rsidP="006823D7">
      <w:pPr>
        <w:ind w:left="284" w:right="284" w:hanging="284"/>
        <w:jc w:val="both"/>
        <w:rPr>
          <w:sz w:val="22"/>
          <w:szCs w:val="22"/>
        </w:rPr>
      </w:pPr>
      <w:r w:rsidRPr="009F2004">
        <w:rPr>
          <w:sz w:val="22"/>
          <w:szCs w:val="22"/>
        </w:rPr>
        <w:t xml:space="preserve">Rabardel, Pierre, </w:t>
      </w:r>
      <w:r w:rsidRPr="009F2004">
        <w:rPr>
          <w:i/>
          <w:sz w:val="22"/>
          <w:szCs w:val="22"/>
        </w:rPr>
        <w:t>Les hommes et les technologies ; approche cognitive des instruments contemporains</w:t>
      </w:r>
      <w:r w:rsidRPr="009F2004">
        <w:rPr>
          <w:sz w:val="22"/>
          <w:szCs w:val="22"/>
        </w:rPr>
        <w:t>, Paris, Armand Colin</w:t>
      </w:r>
      <w:r w:rsidR="00AF669A">
        <w:rPr>
          <w:sz w:val="22"/>
          <w:szCs w:val="22"/>
        </w:rPr>
        <w:t>, 1995</w:t>
      </w:r>
      <w:r w:rsidRPr="009F2004">
        <w:rPr>
          <w:sz w:val="22"/>
          <w:szCs w:val="22"/>
        </w:rPr>
        <w:t xml:space="preserve">. </w:t>
      </w:r>
    </w:p>
    <w:p w:rsidR="002D027A" w:rsidRPr="009F2004" w:rsidRDefault="002D027A" w:rsidP="006823D7">
      <w:pPr>
        <w:ind w:left="284" w:right="284" w:hanging="284"/>
        <w:jc w:val="both"/>
        <w:rPr>
          <w:sz w:val="22"/>
          <w:szCs w:val="22"/>
        </w:rPr>
      </w:pPr>
      <w:r w:rsidRPr="009F2004">
        <w:rPr>
          <w:sz w:val="22"/>
          <w:szCs w:val="22"/>
        </w:rPr>
        <w:t xml:space="preserve">Ricoeur, Paul, </w:t>
      </w:r>
      <w:r w:rsidRPr="009F2004">
        <w:rPr>
          <w:i/>
          <w:sz w:val="22"/>
          <w:szCs w:val="22"/>
        </w:rPr>
        <w:t>Philosophie de la volonté. Le volontaire et l’involontaire</w:t>
      </w:r>
      <w:r w:rsidRPr="009F2004">
        <w:rPr>
          <w:sz w:val="22"/>
          <w:szCs w:val="22"/>
        </w:rPr>
        <w:t>, Paris, Aubier</w:t>
      </w:r>
      <w:r w:rsidR="00AF669A">
        <w:rPr>
          <w:sz w:val="22"/>
          <w:szCs w:val="22"/>
        </w:rPr>
        <w:t xml:space="preserve">, </w:t>
      </w:r>
      <w:r w:rsidR="00AF669A" w:rsidRPr="009F2004">
        <w:rPr>
          <w:sz w:val="22"/>
          <w:szCs w:val="22"/>
        </w:rPr>
        <w:t>1988</w:t>
      </w:r>
      <w:r w:rsidR="00AF669A">
        <w:rPr>
          <w:sz w:val="22"/>
          <w:szCs w:val="22"/>
        </w:rPr>
        <w:t xml:space="preserve"> </w:t>
      </w:r>
      <w:r w:rsidR="00AF669A" w:rsidRPr="009F2004">
        <w:rPr>
          <w:sz w:val="22"/>
          <w:szCs w:val="22"/>
        </w:rPr>
        <w:t>[1950]</w:t>
      </w:r>
      <w:r w:rsidRPr="009F2004">
        <w:rPr>
          <w:sz w:val="22"/>
          <w:szCs w:val="22"/>
        </w:rPr>
        <w:t xml:space="preserve">. </w:t>
      </w:r>
    </w:p>
    <w:p w:rsidR="007A60FC" w:rsidRPr="009F2004" w:rsidRDefault="007A60FC" w:rsidP="006823D7">
      <w:pPr>
        <w:ind w:left="284" w:right="284" w:hanging="284"/>
        <w:jc w:val="both"/>
        <w:rPr>
          <w:sz w:val="22"/>
          <w:szCs w:val="22"/>
        </w:rPr>
      </w:pPr>
      <w:r w:rsidRPr="009F2004">
        <w:rPr>
          <w:sz w:val="22"/>
          <w:szCs w:val="22"/>
        </w:rPr>
        <w:t>Thaler, Richard H.</w:t>
      </w:r>
      <w:r w:rsidR="006823D7">
        <w:rPr>
          <w:sz w:val="22"/>
          <w:szCs w:val="22"/>
        </w:rPr>
        <w:t>,</w:t>
      </w:r>
      <w:r w:rsidRPr="009F2004">
        <w:rPr>
          <w:sz w:val="22"/>
          <w:szCs w:val="22"/>
        </w:rPr>
        <w:t xml:space="preserve"> </w:t>
      </w:r>
      <w:r w:rsidRPr="009F2004">
        <w:rPr>
          <w:i/>
          <w:sz w:val="22"/>
          <w:szCs w:val="22"/>
        </w:rPr>
        <w:t>Misbehaving. Les découvertes de l’économie comportementale</w:t>
      </w:r>
      <w:r w:rsidRPr="009F2004">
        <w:rPr>
          <w:sz w:val="22"/>
          <w:szCs w:val="22"/>
        </w:rPr>
        <w:t xml:space="preserve">, </w:t>
      </w:r>
      <w:r w:rsidR="0074442C">
        <w:rPr>
          <w:sz w:val="22"/>
          <w:szCs w:val="22"/>
        </w:rPr>
        <w:t xml:space="preserve">trad. par C. Jaquet, </w:t>
      </w:r>
      <w:r w:rsidRPr="009F2004">
        <w:rPr>
          <w:sz w:val="22"/>
          <w:szCs w:val="22"/>
        </w:rPr>
        <w:t>Paris, Seuil</w:t>
      </w:r>
      <w:r w:rsidR="00AF669A">
        <w:rPr>
          <w:sz w:val="22"/>
          <w:szCs w:val="22"/>
        </w:rPr>
        <w:t xml:space="preserve">, </w:t>
      </w:r>
      <w:r w:rsidR="00AF669A" w:rsidRPr="009F2004">
        <w:rPr>
          <w:sz w:val="22"/>
          <w:szCs w:val="22"/>
        </w:rPr>
        <w:t>2018 [2016]</w:t>
      </w:r>
      <w:r w:rsidRPr="009F2004">
        <w:rPr>
          <w:sz w:val="22"/>
          <w:szCs w:val="22"/>
        </w:rPr>
        <w:t xml:space="preserve">. </w:t>
      </w:r>
    </w:p>
    <w:p w:rsidR="002D027A" w:rsidRPr="009F2004" w:rsidRDefault="002D027A" w:rsidP="006823D7">
      <w:pPr>
        <w:ind w:left="284" w:right="284" w:hanging="284"/>
        <w:jc w:val="both"/>
        <w:rPr>
          <w:rFonts w:eastAsia="Code2000"/>
          <w:sz w:val="22"/>
          <w:szCs w:val="22"/>
        </w:rPr>
      </w:pPr>
      <w:r w:rsidRPr="007B39C4">
        <w:rPr>
          <w:rFonts w:eastAsia="Code2000"/>
          <w:sz w:val="22"/>
          <w:szCs w:val="22"/>
        </w:rPr>
        <w:t>Thaler, Richard</w:t>
      </w:r>
      <w:r w:rsidR="007A60FC" w:rsidRPr="007B39C4">
        <w:rPr>
          <w:rFonts w:eastAsia="Code2000"/>
          <w:sz w:val="22"/>
          <w:szCs w:val="22"/>
        </w:rPr>
        <w:t xml:space="preserve"> H.</w:t>
      </w:r>
      <w:r w:rsidRPr="007B39C4">
        <w:rPr>
          <w:rFonts w:eastAsia="Code2000"/>
          <w:sz w:val="22"/>
          <w:szCs w:val="22"/>
        </w:rPr>
        <w:t>, Sunstein, Cass</w:t>
      </w:r>
      <w:r w:rsidR="0074442C" w:rsidRPr="007B39C4">
        <w:rPr>
          <w:rFonts w:eastAsia="Code2000"/>
          <w:sz w:val="22"/>
          <w:szCs w:val="22"/>
        </w:rPr>
        <w:t xml:space="preserve"> R.</w:t>
      </w:r>
      <w:r w:rsidRPr="007B39C4">
        <w:rPr>
          <w:rFonts w:eastAsia="Code2000"/>
          <w:sz w:val="22"/>
          <w:szCs w:val="22"/>
        </w:rPr>
        <w:t xml:space="preserve">, </w:t>
      </w:r>
      <w:r w:rsidRPr="007B39C4">
        <w:rPr>
          <w:rFonts w:eastAsia="Code2000"/>
          <w:i/>
          <w:sz w:val="22"/>
          <w:szCs w:val="22"/>
        </w:rPr>
        <w:t xml:space="preserve">Nudge. </w:t>
      </w:r>
      <w:r w:rsidRPr="009F2004">
        <w:rPr>
          <w:rFonts w:eastAsia="Code2000"/>
          <w:i/>
          <w:sz w:val="22"/>
          <w:szCs w:val="22"/>
        </w:rPr>
        <w:t>La méthode douce pour inspirer la bonne décision</w:t>
      </w:r>
      <w:r w:rsidRPr="009F2004">
        <w:rPr>
          <w:rFonts w:eastAsia="Code2000"/>
          <w:sz w:val="22"/>
          <w:szCs w:val="22"/>
        </w:rPr>
        <w:t>, trad. par M.-F. Pavillet, Paris, Vuibert</w:t>
      </w:r>
      <w:r w:rsidR="006823D7">
        <w:rPr>
          <w:rFonts w:eastAsia="Code2000"/>
          <w:sz w:val="22"/>
          <w:szCs w:val="22"/>
        </w:rPr>
        <w:t xml:space="preserve">, </w:t>
      </w:r>
      <w:r w:rsidR="006823D7" w:rsidRPr="009F2004">
        <w:rPr>
          <w:rFonts w:eastAsia="Code2000"/>
          <w:sz w:val="22"/>
          <w:szCs w:val="22"/>
        </w:rPr>
        <w:t>2010 [2008]</w:t>
      </w:r>
      <w:r w:rsidRPr="009F2004">
        <w:rPr>
          <w:rFonts w:eastAsia="Code2000"/>
          <w:sz w:val="22"/>
          <w:szCs w:val="22"/>
        </w:rPr>
        <w:t xml:space="preserve">.  </w:t>
      </w:r>
    </w:p>
    <w:p w:rsidR="002D027A" w:rsidRPr="009F2004" w:rsidRDefault="002D027A" w:rsidP="006823D7">
      <w:pPr>
        <w:ind w:left="284" w:right="284" w:hanging="284"/>
        <w:jc w:val="both"/>
        <w:rPr>
          <w:rFonts w:eastAsia="Code2000"/>
          <w:sz w:val="22"/>
          <w:szCs w:val="22"/>
          <w:lang w:val="en-US"/>
        </w:rPr>
      </w:pPr>
      <w:r w:rsidRPr="009F2004">
        <w:rPr>
          <w:rFonts w:eastAsia="Code2000"/>
          <w:sz w:val="22"/>
          <w:szCs w:val="22"/>
          <w:lang w:val="en-US"/>
        </w:rPr>
        <w:t>Thaler, Richard</w:t>
      </w:r>
      <w:r w:rsidR="007A60FC" w:rsidRPr="009F2004">
        <w:rPr>
          <w:rFonts w:eastAsia="Code2000"/>
          <w:sz w:val="22"/>
          <w:szCs w:val="22"/>
          <w:lang w:val="en-US"/>
        </w:rPr>
        <w:t xml:space="preserve"> H.</w:t>
      </w:r>
      <w:r w:rsidRPr="009F2004">
        <w:rPr>
          <w:rFonts w:eastAsia="Code2000"/>
          <w:sz w:val="22"/>
          <w:szCs w:val="22"/>
          <w:lang w:val="en-US"/>
        </w:rPr>
        <w:t>, Sunstein, Cass</w:t>
      </w:r>
      <w:r w:rsidR="00AF669A">
        <w:rPr>
          <w:rFonts w:eastAsia="Code2000"/>
          <w:sz w:val="22"/>
          <w:szCs w:val="22"/>
          <w:lang w:val="en-US"/>
        </w:rPr>
        <w:t xml:space="preserve"> R., </w:t>
      </w:r>
      <w:r w:rsidRPr="009F2004">
        <w:rPr>
          <w:rFonts w:eastAsia="Code2000"/>
          <w:sz w:val="22"/>
          <w:szCs w:val="22"/>
          <w:lang w:val="en-US"/>
        </w:rPr>
        <w:t>Balz, John P., “Choice Architecture”, in E</w:t>
      </w:r>
      <w:r w:rsidR="00AF669A">
        <w:rPr>
          <w:rFonts w:eastAsia="Code2000"/>
          <w:sz w:val="22"/>
          <w:szCs w:val="22"/>
          <w:lang w:val="en-US"/>
        </w:rPr>
        <w:t>ldar</w:t>
      </w:r>
      <w:r w:rsidRPr="009F2004">
        <w:rPr>
          <w:rFonts w:eastAsia="Code2000"/>
          <w:sz w:val="22"/>
          <w:szCs w:val="22"/>
          <w:lang w:val="en-US"/>
        </w:rPr>
        <w:t xml:space="preserve"> Shafir (</w:t>
      </w:r>
      <w:r w:rsidR="00AF669A">
        <w:rPr>
          <w:rFonts w:eastAsia="Code2000"/>
          <w:sz w:val="22"/>
          <w:szCs w:val="22"/>
          <w:lang w:val="en-US"/>
        </w:rPr>
        <w:t>é</w:t>
      </w:r>
      <w:r w:rsidRPr="009F2004">
        <w:rPr>
          <w:rFonts w:eastAsia="Code2000"/>
          <w:sz w:val="22"/>
          <w:szCs w:val="22"/>
          <w:lang w:val="en-US"/>
        </w:rPr>
        <w:t xml:space="preserve">d.), </w:t>
      </w:r>
      <w:r w:rsidRPr="009F2004">
        <w:rPr>
          <w:rFonts w:eastAsia="Code2000"/>
          <w:i/>
          <w:sz w:val="22"/>
          <w:szCs w:val="22"/>
          <w:lang w:val="en-US"/>
        </w:rPr>
        <w:t>The Behavioral Foundations of Public Policy</w:t>
      </w:r>
      <w:r w:rsidRPr="009F2004">
        <w:rPr>
          <w:rFonts w:eastAsia="Code2000"/>
          <w:sz w:val="22"/>
          <w:szCs w:val="22"/>
          <w:lang w:val="en-US"/>
        </w:rPr>
        <w:t>, Princeton, Princeton University Press</w:t>
      </w:r>
      <w:r w:rsidR="00AF669A">
        <w:rPr>
          <w:rFonts w:eastAsia="Code2000"/>
          <w:sz w:val="22"/>
          <w:szCs w:val="22"/>
          <w:lang w:val="en-US"/>
        </w:rPr>
        <w:t>, 2012</w:t>
      </w:r>
      <w:r w:rsidRPr="009F2004">
        <w:rPr>
          <w:rFonts w:eastAsia="Code2000"/>
          <w:sz w:val="22"/>
          <w:szCs w:val="22"/>
          <w:lang w:val="en-US"/>
        </w:rPr>
        <w:t xml:space="preserve">. </w:t>
      </w:r>
    </w:p>
    <w:p w:rsidR="002D027A" w:rsidRPr="009F2004" w:rsidRDefault="002D027A" w:rsidP="006823D7">
      <w:pPr>
        <w:ind w:left="284" w:right="284" w:hanging="284"/>
        <w:jc w:val="both"/>
        <w:rPr>
          <w:rFonts w:eastAsia="Code2000"/>
          <w:sz w:val="22"/>
          <w:szCs w:val="22"/>
        </w:rPr>
      </w:pPr>
      <w:r w:rsidRPr="009F2004">
        <w:rPr>
          <w:rFonts w:eastAsia="Code2000"/>
          <w:sz w:val="22"/>
          <w:szCs w:val="22"/>
        </w:rPr>
        <w:t xml:space="preserve">Vetters, Carl, « Modalité et évidentialité dans </w:t>
      </w:r>
      <w:r w:rsidRPr="009F2004">
        <w:rPr>
          <w:rFonts w:eastAsia="Code2000"/>
          <w:i/>
          <w:sz w:val="22"/>
          <w:szCs w:val="22"/>
        </w:rPr>
        <w:t>pouvoir</w:t>
      </w:r>
      <w:r w:rsidRPr="009F2004">
        <w:rPr>
          <w:rFonts w:eastAsia="Code2000"/>
          <w:sz w:val="22"/>
          <w:szCs w:val="22"/>
        </w:rPr>
        <w:t xml:space="preserve"> et </w:t>
      </w:r>
      <w:r w:rsidRPr="009F2004">
        <w:rPr>
          <w:rFonts w:eastAsia="Code2000"/>
          <w:i/>
          <w:sz w:val="22"/>
          <w:szCs w:val="22"/>
        </w:rPr>
        <w:t>devoir</w:t>
      </w:r>
      <w:r w:rsidRPr="009F2004">
        <w:rPr>
          <w:rFonts w:eastAsia="Code2000"/>
          <w:sz w:val="22"/>
          <w:szCs w:val="22"/>
        </w:rPr>
        <w:t xml:space="preserve"> : typologie et discussions », </w:t>
      </w:r>
      <w:r w:rsidRPr="009F2004">
        <w:rPr>
          <w:rFonts w:eastAsia="Code2000"/>
          <w:i/>
          <w:sz w:val="22"/>
          <w:szCs w:val="22"/>
        </w:rPr>
        <w:t>Langue française</w:t>
      </w:r>
      <w:r w:rsidRPr="009F2004">
        <w:rPr>
          <w:rFonts w:eastAsia="Code2000"/>
          <w:sz w:val="22"/>
          <w:szCs w:val="22"/>
        </w:rPr>
        <w:t xml:space="preserve">, 173, </w:t>
      </w:r>
      <w:r w:rsidR="00AF669A">
        <w:rPr>
          <w:rFonts w:eastAsia="Code2000"/>
          <w:sz w:val="22"/>
          <w:szCs w:val="22"/>
        </w:rPr>
        <w:t xml:space="preserve">2012/1, </w:t>
      </w:r>
      <w:r w:rsidRPr="009F2004">
        <w:rPr>
          <w:rFonts w:eastAsia="Code2000"/>
          <w:sz w:val="22"/>
          <w:szCs w:val="22"/>
        </w:rPr>
        <w:t xml:space="preserve">pp. 31-47. </w:t>
      </w:r>
    </w:p>
    <w:p w:rsidR="002D027A" w:rsidRPr="009F2004" w:rsidRDefault="002D027A" w:rsidP="006823D7">
      <w:pPr>
        <w:pStyle w:val="NormalWeb"/>
        <w:spacing w:before="0" w:beforeAutospacing="0" w:after="0" w:afterAutospacing="0"/>
        <w:ind w:left="284" w:right="284" w:hanging="284"/>
        <w:jc w:val="both"/>
        <w:rPr>
          <w:rFonts w:ascii="Times New Roman" w:hAnsi="Times New Roman"/>
          <w:sz w:val="22"/>
          <w:szCs w:val="22"/>
        </w:rPr>
      </w:pPr>
    </w:p>
    <w:p w:rsidR="002D027A" w:rsidRPr="009F2004" w:rsidRDefault="002D027A" w:rsidP="006823D7">
      <w:pPr>
        <w:pStyle w:val="NormalWeb"/>
        <w:spacing w:before="0" w:beforeAutospacing="0" w:after="0" w:afterAutospacing="0"/>
        <w:ind w:left="284" w:right="284" w:hanging="284"/>
        <w:jc w:val="both"/>
        <w:rPr>
          <w:rFonts w:ascii="Times New Roman" w:hAnsi="Times New Roman"/>
          <w:sz w:val="22"/>
          <w:szCs w:val="22"/>
        </w:rPr>
      </w:pPr>
    </w:p>
    <w:p w:rsidR="008A77B9" w:rsidRPr="009F2004" w:rsidRDefault="008A77B9" w:rsidP="00174224">
      <w:pPr>
        <w:ind w:right="284"/>
        <w:rPr>
          <w:sz w:val="22"/>
          <w:szCs w:val="22"/>
          <w:lang w:val="fr-FR"/>
        </w:rPr>
      </w:pPr>
    </w:p>
    <w:sectPr w:rsidR="008A77B9" w:rsidRPr="009F2004" w:rsidSect="005C2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337" w:rsidRDefault="00956337" w:rsidP="002D027A">
      <w:r>
        <w:separator/>
      </w:r>
    </w:p>
  </w:endnote>
  <w:endnote w:type="continuationSeparator" w:id="0">
    <w:p w:rsidR="00956337" w:rsidRDefault="00956337" w:rsidP="002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de2000">
    <w:altName w:val="Heiti TC Ligh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337" w:rsidRDefault="00956337" w:rsidP="002D027A">
      <w:r>
        <w:separator/>
      </w:r>
    </w:p>
  </w:footnote>
  <w:footnote w:type="continuationSeparator" w:id="0">
    <w:p w:rsidR="00956337" w:rsidRDefault="00956337" w:rsidP="002D027A">
      <w:r>
        <w:continuationSeparator/>
      </w:r>
    </w:p>
  </w:footnote>
  <w:footnote w:id="1">
    <w:p w:rsidR="00D43739" w:rsidRPr="00DA2869" w:rsidRDefault="00D43739" w:rsidP="00D43739">
      <w:pPr>
        <w:pStyle w:val="Notedebasdepage"/>
        <w:ind w:right="284"/>
        <w:jc w:val="both"/>
        <w:rPr>
          <w:sz w:val="20"/>
          <w:szCs w:val="20"/>
        </w:rPr>
      </w:pPr>
      <w:r w:rsidRPr="00DA2869">
        <w:rPr>
          <w:rStyle w:val="Appelnotedebasdep"/>
          <w:sz w:val="20"/>
          <w:szCs w:val="20"/>
        </w:rPr>
        <w:footnoteRef/>
      </w:r>
      <w:r w:rsidRPr="00DA2869">
        <w:rPr>
          <w:sz w:val="20"/>
          <w:szCs w:val="20"/>
        </w:rPr>
        <w:t xml:space="preserve"> Nous distinguons la manipulation classique</w:t>
      </w:r>
      <w:r>
        <w:rPr>
          <w:sz w:val="20"/>
          <w:szCs w:val="20"/>
        </w:rPr>
        <w:t xml:space="preserve"> (</w:t>
      </w:r>
      <w:r w:rsidRPr="00DA2869">
        <w:rPr>
          <w:sz w:val="20"/>
          <w:szCs w:val="20"/>
        </w:rPr>
        <w:t>au sens étroit du terme</w:t>
      </w:r>
      <w:r>
        <w:rPr>
          <w:sz w:val="20"/>
          <w:szCs w:val="20"/>
        </w:rPr>
        <w:t>),</w:t>
      </w:r>
      <w:r w:rsidRPr="00DA2869">
        <w:rPr>
          <w:sz w:val="20"/>
          <w:szCs w:val="20"/>
        </w:rPr>
        <w:t xml:space="preserve"> telle qu’elle est définie par la sémiotique greimassienne, de la manipulation </w:t>
      </w:r>
      <w:r>
        <w:rPr>
          <w:sz w:val="20"/>
          <w:szCs w:val="20"/>
        </w:rPr>
        <w:t>(</w:t>
      </w:r>
      <w:r w:rsidRPr="00DA2869">
        <w:rPr>
          <w:sz w:val="20"/>
          <w:szCs w:val="20"/>
        </w:rPr>
        <w:t>au sens large</w:t>
      </w:r>
      <w:r>
        <w:rPr>
          <w:sz w:val="20"/>
          <w:szCs w:val="20"/>
        </w:rPr>
        <w:t xml:space="preserve">) </w:t>
      </w:r>
      <w:r w:rsidRPr="00DA2869">
        <w:rPr>
          <w:sz w:val="20"/>
          <w:szCs w:val="20"/>
        </w:rPr>
        <w:t xml:space="preserve">qui peut prendre la forme </w:t>
      </w:r>
      <w:r>
        <w:rPr>
          <w:sz w:val="20"/>
          <w:szCs w:val="20"/>
        </w:rPr>
        <w:t xml:space="preserve">de la manipulation (au sens étroit), </w:t>
      </w:r>
      <w:r w:rsidRPr="00DA2869">
        <w:rPr>
          <w:sz w:val="20"/>
          <w:szCs w:val="20"/>
        </w:rPr>
        <w:t xml:space="preserve">de l’influence, de la détermination, de la pression et de l’incitation. </w:t>
      </w:r>
    </w:p>
  </w:footnote>
  <w:footnote w:id="2">
    <w:p w:rsidR="000B06BA" w:rsidRPr="00AF669A" w:rsidRDefault="000B06BA" w:rsidP="00AF669A">
      <w:pPr>
        <w:ind w:right="284"/>
        <w:jc w:val="both"/>
        <w:rPr>
          <w:color w:val="000000"/>
          <w:sz w:val="20"/>
          <w:szCs w:val="20"/>
        </w:rPr>
      </w:pPr>
      <w:r w:rsidRPr="00AF669A">
        <w:rPr>
          <w:rStyle w:val="Appelnotedebasdep"/>
          <w:sz w:val="20"/>
          <w:szCs w:val="20"/>
        </w:rPr>
        <w:footnoteRef/>
      </w:r>
      <w:r w:rsidRPr="00AF669A">
        <w:rPr>
          <w:sz w:val="20"/>
          <w:szCs w:val="20"/>
        </w:rPr>
        <w:t xml:space="preserve"> Au sujet de l’empreinte, cf. Jacques Fontanille </w:t>
      </w:r>
      <w:r w:rsidRPr="00AF669A">
        <w:rPr>
          <w:color w:val="000000"/>
          <w:sz w:val="20"/>
          <w:szCs w:val="20"/>
        </w:rPr>
        <w:t xml:space="preserve">(2011 : 104), qui note que les empreintes expriment « l’effort et le processus d’ajustement entre deux interactions qui sont elles-mêmes des ajustements mimétiques : d’un côté, l’ajustement entre la forme d’un corps et l’enveloppe et la matière d’un autre corps, doté de plasticité, premier ajustement qui suscite l’empreinte ; et de l’autre côté, l’ajustement entre la matière introduite dans le moule et la forme de l’empreinte, second ajustement qui produit des analogons ». </w:t>
      </w:r>
    </w:p>
  </w:footnote>
  <w:footnote w:id="3">
    <w:p w:rsidR="000B06BA" w:rsidRPr="00AF669A" w:rsidRDefault="000B06BA" w:rsidP="00AF669A">
      <w:pPr>
        <w:pStyle w:val="Notedebasdepage"/>
        <w:ind w:right="284"/>
        <w:jc w:val="both"/>
        <w:rPr>
          <w:sz w:val="20"/>
          <w:szCs w:val="20"/>
        </w:rPr>
      </w:pPr>
      <w:r w:rsidRPr="00AF669A">
        <w:rPr>
          <w:rStyle w:val="Appelnotedebasdep"/>
          <w:sz w:val="20"/>
          <w:szCs w:val="20"/>
        </w:rPr>
        <w:footnoteRef/>
      </w:r>
      <w:r w:rsidRPr="00AF669A">
        <w:rPr>
          <w:sz w:val="20"/>
          <w:szCs w:val="20"/>
        </w:rPr>
        <w:t xml:space="preserve"> Un des grands défis consiste à rendre le comportement suscité (par exemple, une alimentation saine) durable. </w:t>
      </w:r>
    </w:p>
  </w:footnote>
  <w:footnote w:id="4">
    <w:p w:rsidR="000B06BA" w:rsidRPr="0044313C" w:rsidRDefault="000B06BA" w:rsidP="00D3647C">
      <w:pPr>
        <w:pStyle w:val="Notedebasdepage"/>
        <w:ind w:right="284"/>
        <w:jc w:val="both"/>
        <w:rPr>
          <w:sz w:val="20"/>
          <w:szCs w:val="20"/>
          <w:lang w:val="fr-CH"/>
        </w:rPr>
      </w:pPr>
      <w:r w:rsidRPr="0044313C">
        <w:rPr>
          <w:rStyle w:val="Appelnotedebasdep"/>
          <w:sz w:val="20"/>
          <w:szCs w:val="20"/>
        </w:rPr>
        <w:footnoteRef/>
      </w:r>
      <w:r w:rsidRPr="0044313C">
        <w:rPr>
          <w:sz w:val="20"/>
          <w:szCs w:val="20"/>
        </w:rPr>
        <w:t xml:space="preserve"> </w:t>
      </w:r>
      <w:r w:rsidRPr="0044313C">
        <w:rPr>
          <w:sz w:val="20"/>
          <w:szCs w:val="20"/>
          <w:lang w:val="fr-CH"/>
        </w:rPr>
        <w:t xml:space="preserve">Dans </w:t>
      </w:r>
      <w:r w:rsidR="00196B76">
        <w:rPr>
          <w:sz w:val="20"/>
          <w:szCs w:val="20"/>
          <w:lang w:val="fr-CH"/>
        </w:rPr>
        <w:t xml:space="preserve">la conférence </w:t>
      </w:r>
      <w:r w:rsidR="00F76350">
        <w:rPr>
          <w:sz w:val="20"/>
          <w:szCs w:val="20"/>
          <w:lang w:val="fr-CH"/>
        </w:rPr>
        <w:t xml:space="preserve">publique </w:t>
      </w:r>
      <w:r>
        <w:rPr>
          <w:sz w:val="20"/>
          <w:szCs w:val="20"/>
          <w:lang w:val="fr-CH"/>
        </w:rPr>
        <w:t>sur le nudge</w:t>
      </w:r>
      <w:r w:rsidR="00196B76">
        <w:rPr>
          <w:sz w:val="20"/>
          <w:szCs w:val="20"/>
          <w:lang w:val="fr-CH"/>
        </w:rPr>
        <w:t xml:space="preserve"> que </w:t>
      </w:r>
      <w:r w:rsidRPr="0044313C">
        <w:rPr>
          <w:sz w:val="20"/>
          <w:szCs w:val="20"/>
          <w:lang w:val="fr-CH"/>
        </w:rPr>
        <w:t>Jacques Fonta</w:t>
      </w:r>
      <w:r w:rsidR="001656E7">
        <w:rPr>
          <w:sz w:val="20"/>
          <w:szCs w:val="20"/>
          <w:lang w:val="fr-CH"/>
        </w:rPr>
        <w:t>n</w:t>
      </w:r>
      <w:r w:rsidRPr="0044313C">
        <w:rPr>
          <w:sz w:val="20"/>
          <w:szCs w:val="20"/>
          <w:lang w:val="fr-CH"/>
        </w:rPr>
        <w:t xml:space="preserve">ille </w:t>
      </w:r>
      <w:r w:rsidR="00196B76">
        <w:rPr>
          <w:sz w:val="20"/>
          <w:szCs w:val="20"/>
          <w:lang w:val="fr-CH"/>
        </w:rPr>
        <w:t xml:space="preserve">a donnée dans le cadre du colloque, il </w:t>
      </w:r>
      <w:r w:rsidRPr="0044313C">
        <w:rPr>
          <w:sz w:val="20"/>
          <w:szCs w:val="20"/>
          <w:lang w:val="fr-CH"/>
        </w:rPr>
        <w:t xml:space="preserve">énumère quelques-uns de ces biais : celui de la procrastination, celui de l’inertie, celui de la pression sociale qui encourage l’imitation des comportements d’autrui, celui du moindre effort et de la facilité, celui des « passions tristes » (culpabilité, anxiété, envie, etc.), celui de la peur de la perte. </w:t>
      </w:r>
    </w:p>
  </w:footnote>
  <w:footnote w:id="5">
    <w:p w:rsidR="000B06BA" w:rsidRPr="008826C6" w:rsidRDefault="000B06BA" w:rsidP="00D44C61">
      <w:pPr>
        <w:pStyle w:val="Notedebasdepage"/>
        <w:ind w:right="284"/>
        <w:jc w:val="both"/>
        <w:rPr>
          <w:sz w:val="20"/>
          <w:szCs w:val="20"/>
        </w:rPr>
      </w:pPr>
      <w:r w:rsidRPr="008826C6">
        <w:rPr>
          <w:rStyle w:val="Appelnotedebasdep"/>
          <w:sz w:val="20"/>
          <w:szCs w:val="20"/>
        </w:rPr>
        <w:footnoteRef/>
      </w:r>
      <w:r w:rsidRPr="008826C6">
        <w:rPr>
          <w:sz w:val="20"/>
          <w:szCs w:val="20"/>
        </w:rPr>
        <w:t xml:space="preserve"> </w:t>
      </w:r>
      <w:r w:rsidRPr="008826C6">
        <w:rPr>
          <w:color w:val="000000"/>
          <w:sz w:val="20"/>
          <w:szCs w:val="20"/>
        </w:rPr>
        <w:t>Pour ces effets de sens – possibilité</w:t>
      </w:r>
      <w:r w:rsidR="00812F50">
        <w:rPr>
          <w:color w:val="000000"/>
          <w:sz w:val="20"/>
          <w:szCs w:val="20"/>
        </w:rPr>
        <w:t>/probabilité</w:t>
      </w:r>
      <w:r w:rsidRPr="008826C6">
        <w:rPr>
          <w:color w:val="000000"/>
          <w:sz w:val="20"/>
          <w:szCs w:val="20"/>
        </w:rPr>
        <w:t xml:space="preserve">, permission, promesse </w:t>
      </w:r>
      <w:r w:rsidRPr="008826C6">
        <w:rPr>
          <w:sz w:val="20"/>
          <w:szCs w:val="20"/>
        </w:rPr>
        <w:t>–</w:t>
      </w:r>
      <w:r w:rsidRPr="008826C6">
        <w:rPr>
          <w:color w:val="000000"/>
          <w:sz w:val="20"/>
          <w:szCs w:val="20"/>
        </w:rPr>
        <w:t xml:space="preserve">, on peut renvoyer au linguiste Carl Vetters (2012), qui associe à « Luc peut venir en vélo » </w:t>
      </w:r>
      <w:r>
        <w:rPr>
          <w:color w:val="000000"/>
          <w:sz w:val="20"/>
          <w:szCs w:val="20"/>
        </w:rPr>
        <w:t>des</w:t>
      </w:r>
      <w:r w:rsidRPr="008826C6">
        <w:rPr>
          <w:color w:val="000000"/>
          <w:sz w:val="20"/>
          <w:szCs w:val="20"/>
        </w:rPr>
        <w:t xml:space="preserve"> lectures différentes : non seulement a) Luc est capable de venir en vélo (sa jambe est déplâtrée), non seulement (b) Il se peut que Luc vienne en vélo – Luc vient / viendra peut-être en vélo, mais surtout ici c) Luc a la permission de venir en vélo (les circonstances permettent à Luc de venir en vélo car la route est déneigée)</w:t>
      </w:r>
      <w:r>
        <w:rPr>
          <w:color w:val="000000"/>
          <w:sz w:val="20"/>
          <w:szCs w:val="20"/>
        </w:rPr>
        <w:t>. Nous dirons que</w:t>
      </w:r>
      <w:r w:rsidRPr="008826C6">
        <w:rPr>
          <w:color w:val="000000"/>
          <w:sz w:val="20"/>
          <w:szCs w:val="20"/>
        </w:rPr>
        <w:t xml:space="preserve"> la permission se conjugu</w:t>
      </w:r>
      <w:r>
        <w:rPr>
          <w:color w:val="000000"/>
          <w:sz w:val="20"/>
          <w:szCs w:val="20"/>
        </w:rPr>
        <w:t>e</w:t>
      </w:r>
      <w:r w:rsidRPr="008826C6">
        <w:rPr>
          <w:color w:val="000000"/>
          <w:sz w:val="20"/>
          <w:szCs w:val="20"/>
        </w:rPr>
        <w:t xml:space="preserve"> avec la promesse d’un trajet sans encombre.</w:t>
      </w:r>
    </w:p>
  </w:footnote>
  <w:footnote w:id="6">
    <w:p w:rsidR="000B06BA" w:rsidRPr="00A263BA" w:rsidRDefault="000B06BA" w:rsidP="00D44C61">
      <w:pPr>
        <w:pStyle w:val="Notedebasdepage"/>
        <w:ind w:right="284"/>
        <w:jc w:val="both"/>
        <w:rPr>
          <w:sz w:val="20"/>
          <w:szCs w:val="20"/>
        </w:rPr>
      </w:pPr>
      <w:r w:rsidRPr="00A263BA">
        <w:rPr>
          <w:rStyle w:val="Appelnotedebasdep"/>
          <w:sz w:val="20"/>
          <w:szCs w:val="20"/>
        </w:rPr>
        <w:footnoteRef/>
      </w:r>
      <w:r w:rsidRPr="00A263BA">
        <w:rPr>
          <w:sz w:val="20"/>
          <w:szCs w:val="20"/>
        </w:rPr>
        <w:t xml:space="preserve"> </w:t>
      </w:r>
      <w:r>
        <w:rPr>
          <w:sz w:val="20"/>
          <w:szCs w:val="20"/>
        </w:rPr>
        <w:t>Dans sa contribution au colloque sur le nudge, Jacques Fontanille se demande si le nudge est une manipulation « acceptable » et il</w:t>
      </w:r>
      <w:r w:rsidRPr="00A263BA">
        <w:rPr>
          <w:sz w:val="20"/>
          <w:szCs w:val="20"/>
        </w:rPr>
        <w:t xml:space="preserve"> </w:t>
      </w:r>
      <w:r>
        <w:rPr>
          <w:sz w:val="20"/>
          <w:szCs w:val="20"/>
        </w:rPr>
        <w:t xml:space="preserve">érige la transparence, qui est plus efficace que le nudge opaque, en critère décisif. </w:t>
      </w:r>
    </w:p>
  </w:footnote>
  <w:footnote w:id="7">
    <w:p w:rsidR="000B06BA" w:rsidRPr="0082536E" w:rsidRDefault="000B06BA" w:rsidP="00D44C61">
      <w:pPr>
        <w:pStyle w:val="Notedebasdepage"/>
        <w:ind w:right="284"/>
        <w:jc w:val="both"/>
        <w:rPr>
          <w:sz w:val="20"/>
          <w:szCs w:val="20"/>
        </w:rPr>
      </w:pPr>
      <w:r w:rsidRPr="0082536E">
        <w:rPr>
          <w:rStyle w:val="Appelnotedebasdep"/>
          <w:sz w:val="20"/>
          <w:szCs w:val="20"/>
        </w:rPr>
        <w:footnoteRef/>
      </w:r>
      <w:r w:rsidRPr="0082536E">
        <w:rPr>
          <w:sz w:val="20"/>
          <w:szCs w:val="20"/>
        </w:rPr>
        <w:t xml:space="preserve"> Cf. Jean-Pierre Desclés (2009 : 44) : « Les énonciations médiatives expriment une certain désengagement de l’énonciateur » ; celui-ci, « par son énonciation médiatisée, prend en charge seulement la plausibilité du contenu prédicatif » (cité par Carl Vetters (2012)). </w:t>
      </w:r>
    </w:p>
  </w:footnote>
  <w:footnote w:id="8">
    <w:p w:rsidR="000B06BA" w:rsidRPr="00DE6199" w:rsidRDefault="000B06BA" w:rsidP="00AF669A">
      <w:pPr>
        <w:pStyle w:val="Notedebasdepage"/>
        <w:ind w:right="284"/>
        <w:jc w:val="both"/>
        <w:rPr>
          <w:sz w:val="20"/>
          <w:szCs w:val="20"/>
        </w:rPr>
      </w:pPr>
      <w:r w:rsidRPr="00DE6199">
        <w:rPr>
          <w:rStyle w:val="Appelnotedebasdep"/>
          <w:sz w:val="20"/>
          <w:szCs w:val="20"/>
        </w:rPr>
        <w:footnoteRef/>
      </w:r>
      <w:r w:rsidRPr="00DE6199">
        <w:rPr>
          <w:sz w:val="20"/>
          <w:szCs w:val="20"/>
        </w:rPr>
        <w:t xml:space="preserve"> Zlatka </w:t>
      </w:r>
      <w:r w:rsidRPr="00DE6199">
        <w:rPr>
          <w:color w:val="000000"/>
          <w:sz w:val="20"/>
          <w:szCs w:val="20"/>
        </w:rPr>
        <w:t>Guentchéva (1994) s’interroge sur ce paradoxe qui veut que les anglicismes « evidential » et « evidentiality » soient formés sur « evidence » qui, justement, signifie « preuve</w:t>
      </w:r>
      <w:r>
        <w:rPr>
          <w:color w:val="000000"/>
          <w:sz w:val="20"/>
          <w:szCs w:val="20"/>
        </w:rPr>
        <w:t> »</w:t>
      </w:r>
      <w:r w:rsidRPr="00DE6199">
        <w:rPr>
          <w:color w:val="000000"/>
          <w:sz w:val="20"/>
          <w:szCs w:val="20"/>
        </w:rPr>
        <w:t xml:space="preserve">.         </w:t>
      </w:r>
    </w:p>
  </w:footnote>
  <w:footnote w:id="9">
    <w:p w:rsidR="00041582" w:rsidRPr="00DE6199" w:rsidRDefault="00041582" w:rsidP="00174224">
      <w:pPr>
        <w:spacing w:after="120"/>
        <w:ind w:right="284"/>
        <w:jc w:val="both"/>
      </w:pPr>
      <w:r w:rsidRPr="00DE6199">
        <w:rPr>
          <w:rStyle w:val="Appelnotedebasdep"/>
          <w:sz w:val="20"/>
          <w:szCs w:val="20"/>
        </w:rPr>
        <w:footnoteRef/>
      </w:r>
      <w:r w:rsidRPr="00DE6199">
        <w:rPr>
          <w:sz w:val="20"/>
          <w:szCs w:val="20"/>
        </w:rPr>
        <w:t xml:space="preserve"> On n’insistera pas, ici, sur les problèmes que soulève la notion de saillance (ainsi, si la saillance se porte sur un objet relié à un objet saillant, grâce à leur proximité ou la structure de l’image, tous les objets de la scène visuelle sont potentiellement saillants). </w:t>
      </w:r>
    </w:p>
  </w:footnote>
  <w:footnote w:id="10">
    <w:p w:rsidR="000B06BA" w:rsidRPr="007A60FC" w:rsidRDefault="000B06BA" w:rsidP="00AF669A">
      <w:pPr>
        <w:ind w:right="284"/>
        <w:jc w:val="both"/>
        <w:rPr>
          <w:color w:val="000000" w:themeColor="text1"/>
          <w:sz w:val="20"/>
          <w:szCs w:val="20"/>
        </w:rPr>
      </w:pPr>
      <w:r w:rsidRPr="007A60FC">
        <w:rPr>
          <w:rStyle w:val="Appelnotedebasdep"/>
          <w:color w:val="000000" w:themeColor="text1"/>
          <w:sz w:val="20"/>
          <w:szCs w:val="20"/>
        </w:rPr>
        <w:footnoteRef/>
      </w:r>
      <w:r w:rsidRPr="007A60FC">
        <w:rPr>
          <w:color w:val="000000" w:themeColor="text1"/>
          <w:sz w:val="20"/>
          <w:szCs w:val="20"/>
        </w:rPr>
        <w:t xml:space="preserve"> Cf. sa thèse intitulée </w:t>
      </w:r>
      <w:r>
        <w:rPr>
          <w:color w:val="000000" w:themeColor="text1"/>
          <w:sz w:val="20"/>
          <w:szCs w:val="20"/>
        </w:rPr>
        <w:t>« </w:t>
      </w:r>
      <w:r w:rsidRPr="007A60FC">
        <w:rPr>
          <w:color w:val="000000" w:themeColor="text1"/>
          <w:sz w:val="20"/>
          <w:szCs w:val="20"/>
          <w:shd w:val="clear" w:color="auto" w:fill="FFFFFF"/>
        </w:rPr>
        <w:t xml:space="preserve">Contribution des </w:t>
      </w:r>
      <w:r w:rsidRPr="00547E26">
        <w:rPr>
          <w:i/>
          <w:color w:val="000000" w:themeColor="text1"/>
          <w:sz w:val="20"/>
          <w:szCs w:val="20"/>
          <w:shd w:val="clear" w:color="auto" w:fill="FFFFFF"/>
        </w:rPr>
        <w:t>Smart Grids</w:t>
      </w:r>
      <w:r w:rsidRPr="007A60FC">
        <w:rPr>
          <w:color w:val="000000" w:themeColor="text1"/>
          <w:sz w:val="20"/>
          <w:szCs w:val="20"/>
          <w:shd w:val="clear" w:color="auto" w:fill="FFFFFF"/>
        </w:rPr>
        <w:t xml:space="preserve"> à la transition énergétique : évaluation dans des scénarios long terme » (2014). </w:t>
      </w:r>
    </w:p>
  </w:footnote>
  <w:footnote w:id="11">
    <w:p w:rsidR="000B06BA" w:rsidRPr="009D6628" w:rsidRDefault="000B06BA" w:rsidP="00AF669A">
      <w:pPr>
        <w:pStyle w:val="Notedebasdepage"/>
        <w:ind w:right="284"/>
        <w:jc w:val="both"/>
        <w:rPr>
          <w:sz w:val="20"/>
          <w:szCs w:val="20"/>
          <w:lang w:val="fr-CH"/>
        </w:rPr>
      </w:pPr>
      <w:r w:rsidRPr="009D6628">
        <w:rPr>
          <w:rStyle w:val="Appelnotedebasdep"/>
          <w:sz w:val="20"/>
          <w:szCs w:val="20"/>
        </w:rPr>
        <w:footnoteRef/>
      </w:r>
      <w:r w:rsidRPr="009D6628">
        <w:rPr>
          <w:sz w:val="20"/>
          <w:szCs w:val="20"/>
        </w:rPr>
        <w:t xml:space="preserve"> </w:t>
      </w:r>
      <w:r w:rsidRPr="009D6628">
        <w:rPr>
          <w:sz w:val="20"/>
          <w:szCs w:val="20"/>
          <w:lang w:val="fr-CH"/>
        </w:rPr>
        <w:t xml:space="preserve">Cf. Rabardel (1995 : 93) : « Un artefact n’est pas un instrument achevé, l’outil n’existe que dans le cycle opératoire affirmait déjà Leroi-Gourhan (1965). Il manque encore à l’artefact de s’inscrire dans des usages, des utilisations, c’est-à-dire des activités où il constitue un moyen mis en œuvre pour atteindre les buts que se fixe l’utilisateur ». Voir aussi p. 165 : « Les processus d’instrumentation participent ainsi au processus de conception en s’inscrivant dans un cycle : </w:t>
      </w:r>
      <w:r w:rsidR="0064754B">
        <w:rPr>
          <w:sz w:val="20"/>
          <w:szCs w:val="20"/>
          <w:lang w:val="fr-CH"/>
        </w:rPr>
        <w:t>–</w:t>
      </w:r>
      <w:r w:rsidRPr="009D6628">
        <w:rPr>
          <w:sz w:val="20"/>
          <w:szCs w:val="20"/>
          <w:lang w:val="fr-CH"/>
        </w:rPr>
        <w:t xml:space="preserve"> modes opératoires prévus &gt; schèmes d’utilisation &gt; nouveaux modes opératoires ; ce cycle est parallèle et voisin d’un second cycle auquel participent les processus d’instrumentalisation : </w:t>
      </w:r>
      <w:r w:rsidR="0064754B">
        <w:rPr>
          <w:sz w:val="20"/>
          <w:szCs w:val="20"/>
          <w:lang w:val="fr-CH"/>
        </w:rPr>
        <w:t>–</w:t>
      </w:r>
      <w:r w:rsidRPr="009D6628">
        <w:rPr>
          <w:sz w:val="20"/>
          <w:szCs w:val="20"/>
          <w:lang w:val="fr-CH"/>
        </w:rPr>
        <w:t xml:space="preserve"> fonctions constituantes &gt; fonctions constituées &gt; inscription des fonctions constituées dans l’artefact. […] C’est pourquoi nous pensons que les schèmes pourraient inspirer aux concepteurs des modes opératoires pour des artefacts très différents de ceux avec lesquels, originellement associés, ils constituent une entité instrumentale (Rabardel 1991b) ».</w:t>
      </w:r>
    </w:p>
  </w:footnote>
  <w:footnote w:id="12">
    <w:p w:rsidR="000B06BA" w:rsidRPr="00DE6199" w:rsidRDefault="000B06BA" w:rsidP="00AF669A">
      <w:pPr>
        <w:pStyle w:val="Notedebasdepage"/>
        <w:ind w:right="284"/>
        <w:jc w:val="both"/>
        <w:rPr>
          <w:sz w:val="20"/>
          <w:szCs w:val="20"/>
        </w:rPr>
      </w:pPr>
      <w:r w:rsidRPr="00DE6199">
        <w:rPr>
          <w:rStyle w:val="Appelnotedebasdep"/>
          <w:sz w:val="20"/>
          <w:szCs w:val="20"/>
        </w:rPr>
        <w:footnoteRef/>
      </w:r>
      <w:r w:rsidRPr="00DE6199">
        <w:rPr>
          <w:sz w:val="20"/>
          <w:szCs w:val="20"/>
        </w:rPr>
        <w:t xml:space="preserve"> Au sujet de la notion d’outil, cf. le groupe µ (201</w:t>
      </w:r>
      <w:r>
        <w:rPr>
          <w:sz w:val="20"/>
          <w:szCs w:val="20"/>
        </w:rPr>
        <w:t>2</w:t>
      </w:r>
      <w:r w:rsidRPr="00DE6199">
        <w:rPr>
          <w:sz w:val="20"/>
          <w:szCs w:val="20"/>
        </w:rPr>
        <w:t xml:space="preserve">). Les </w:t>
      </w:r>
      <w:r w:rsidR="00547E26" w:rsidRPr="00547E26">
        <w:rPr>
          <w:i/>
          <w:sz w:val="20"/>
          <w:szCs w:val="20"/>
        </w:rPr>
        <w:t>S</w:t>
      </w:r>
      <w:r w:rsidRPr="00547E26">
        <w:rPr>
          <w:i/>
          <w:sz w:val="20"/>
          <w:szCs w:val="20"/>
        </w:rPr>
        <w:t>mart-</w:t>
      </w:r>
      <w:r w:rsidR="00547E26" w:rsidRPr="00547E26">
        <w:rPr>
          <w:i/>
          <w:sz w:val="20"/>
          <w:szCs w:val="20"/>
        </w:rPr>
        <w:t>G</w:t>
      </w:r>
      <w:r w:rsidRPr="00547E26">
        <w:rPr>
          <w:i/>
          <w:sz w:val="20"/>
          <w:szCs w:val="20"/>
        </w:rPr>
        <w:t>rids</w:t>
      </w:r>
      <w:r w:rsidRPr="00DE6199">
        <w:rPr>
          <w:sz w:val="20"/>
          <w:szCs w:val="20"/>
        </w:rPr>
        <w:t>, par exemple, sont des outils dans l’exacte mesure où ils sont « artefactuels », « externalisés » et soumis à une « appropriation consciente ».</w:t>
      </w:r>
    </w:p>
  </w:footnote>
  <w:footnote w:id="13">
    <w:p w:rsidR="000B06BA" w:rsidRPr="00AF669A" w:rsidRDefault="000B06BA" w:rsidP="00AF669A">
      <w:pPr>
        <w:pStyle w:val="NormalWeb"/>
        <w:spacing w:before="0" w:beforeAutospacing="0" w:after="0" w:afterAutospacing="0"/>
        <w:ind w:right="284"/>
        <w:jc w:val="both"/>
        <w:rPr>
          <w:rFonts w:ascii="Times New Roman" w:hAnsi="Times New Roman"/>
          <w:bCs/>
        </w:rPr>
      </w:pPr>
      <w:r>
        <w:rPr>
          <w:rFonts w:ascii="Times New Roman" w:hAnsi="Times New Roman"/>
        </w:rPr>
        <w:t xml:space="preserve">13 </w:t>
      </w:r>
      <w:r w:rsidRPr="00DE6199">
        <w:rPr>
          <w:rFonts w:ascii="Times New Roman" w:hAnsi="Times New Roman"/>
        </w:rPr>
        <w:t xml:space="preserve">Cf. </w:t>
      </w:r>
      <w:r w:rsidRPr="00DE6199">
        <w:rPr>
          <w:rFonts w:ascii="Times New Roman" w:hAnsi="Times New Roman"/>
          <w:bCs/>
        </w:rPr>
        <w:t>Madeleine Akrich, Michel Collon et Bruno Latour (1988) :</w:t>
      </w:r>
      <w:r>
        <w:rPr>
          <w:rFonts w:ascii="Times New Roman" w:hAnsi="Times New Roman"/>
          <w:bCs/>
        </w:rPr>
        <w:t xml:space="preserve"> « </w:t>
      </w:r>
      <w:r w:rsidRPr="00DE6199">
        <w:rPr>
          <w:rFonts w:ascii="Times New Roman" w:hAnsi="Times New Roman"/>
        </w:rPr>
        <w:t>Le modèle de l'intéressement souligne […] l'existence de tout un faisceau de liens qui unissent l'objet à tous ceux qui le manipulent. Le modèle de la diffusion déplace l'objet technique à l'intérieur d'une société qui constitue un milieu plus ou moins récepteur. Le modèle de l'intéressement met en scène tous les acteurs qui se saisissent de l'objet ou s'en détournent et il souligne les points d'accrochage entre l'objet et les intérêts plus ou moins organisés qu'il suscite</w:t>
      </w:r>
      <w:r>
        <w:rPr>
          <w:rFonts w:ascii="Times New Roman" w:hAnsi="Times New Roman"/>
        </w:rPr>
        <w:t> »</w:t>
      </w:r>
      <w:r w:rsidRPr="00DE6199">
        <w:rPr>
          <w:rFonts w:ascii="Times New Roman" w:hAnsi="Times New Roman"/>
        </w:rPr>
        <w:t>.</w:t>
      </w:r>
    </w:p>
  </w:footnote>
  <w:footnote w:id="14">
    <w:p w:rsidR="000B06BA" w:rsidRPr="00020BF7" w:rsidRDefault="000B06BA" w:rsidP="00AF669A">
      <w:pPr>
        <w:pStyle w:val="Notedebasdepage"/>
        <w:ind w:right="284"/>
        <w:jc w:val="both"/>
        <w:rPr>
          <w:sz w:val="20"/>
          <w:szCs w:val="20"/>
          <w:lang w:val="fr-CH"/>
        </w:rPr>
      </w:pPr>
      <w:r w:rsidRPr="00020BF7">
        <w:rPr>
          <w:rStyle w:val="Appelnotedebasdep"/>
          <w:sz w:val="20"/>
          <w:szCs w:val="20"/>
        </w:rPr>
        <w:footnoteRef/>
      </w:r>
      <w:r w:rsidRPr="00020BF7">
        <w:rPr>
          <w:sz w:val="20"/>
          <w:szCs w:val="20"/>
        </w:rPr>
        <w:t xml:space="preserve"> Cf. les lexèmes indexés sur l’isotopie « je</w:t>
      </w:r>
      <w:r>
        <w:rPr>
          <w:sz w:val="20"/>
          <w:szCs w:val="20"/>
        </w:rPr>
        <w:t>u</w:t>
      </w:r>
      <w:r w:rsidRPr="00020BF7">
        <w:rPr>
          <w:sz w:val="20"/>
          <w:szCs w:val="20"/>
        </w:rPr>
        <w:t xml:space="preserve"> » :  « héros », « super-héros », « compagnons d’armes »… ainsi que </w:t>
      </w:r>
      <w:r>
        <w:rPr>
          <w:sz w:val="20"/>
          <w:szCs w:val="20"/>
        </w:rPr>
        <w:t xml:space="preserve">l’image jointe au texte.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BC6"/>
    <w:multiLevelType w:val="hybridMultilevel"/>
    <w:tmpl w:val="5C1AD21E"/>
    <w:lvl w:ilvl="0" w:tplc="9E7686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B934ED"/>
    <w:multiLevelType w:val="hybridMultilevel"/>
    <w:tmpl w:val="080E5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736155"/>
    <w:multiLevelType w:val="hybridMultilevel"/>
    <w:tmpl w:val="AFBC4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EC26D1"/>
    <w:multiLevelType w:val="hybridMultilevel"/>
    <w:tmpl w:val="3AD0C4F6"/>
    <w:lvl w:ilvl="0" w:tplc="F13E7F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D67594"/>
    <w:multiLevelType w:val="hybridMultilevel"/>
    <w:tmpl w:val="5E0A0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6B12B5"/>
    <w:multiLevelType w:val="hybridMultilevel"/>
    <w:tmpl w:val="A212242A"/>
    <w:lvl w:ilvl="0" w:tplc="9A2899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27A"/>
    <w:rsid w:val="00004CF5"/>
    <w:rsid w:val="00010488"/>
    <w:rsid w:val="00020BF7"/>
    <w:rsid w:val="00041582"/>
    <w:rsid w:val="0005363C"/>
    <w:rsid w:val="00066409"/>
    <w:rsid w:val="000944D1"/>
    <w:rsid w:val="000A5C78"/>
    <w:rsid w:val="000B06BA"/>
    <w:rsid w:val="000D635A"/>
    <w:rsid w:val="000E1639"/>
    <w:rsid w:val="000E64EE"/>
    <w:rsid w:val="001146EE"/>
    <w:rsid w:val="00141E7B"/>
    <w:rsid w:val="0016294D"/>
    <w:rsid w:val="001656E7"/>
    <w:rsid w:val="00174224"/>
    <w:rsid w:val="00185F00"/>
    <w:rsid w:val="00196B76"/>
    <w:rsid w:val="001C6E6F"/>
    <w:rsid w:val="001D5E72"/>
    <w:rsid w:val="001E5FF2"/>
    <w:rsid w:val="0020010B"/>
    <w:rsid w:val="00211581"/>
    <w:rsid w:val="002136B5"/>
    <w:rsid w:val="00246E08"/>
    <w:rsid w:val="00290897"/>
    <w:rsid w:val="002D027A"/>
    <w:rsid w:val="002D34BA"/>
    <w:rsid w:val="002F5954"/>
    <w:rsid w:val="00340057"/>
    <w:rsid w:val="003469E6"/>
    <w:rsid w:val="00352968"/>
    <w:rsid w:val="00353B25"/>
    <w:rsid w:val="003636EC"/>
    <w:rsid w:val="00365BFE"/>
    <w:rsid w:val="00391E31"/>
    <w:rsid w:val="003B1969"/>
    <w:rsid w:val="003E305F"/>
    <w:rsid w:val="003F43D0"/>
    <w:rsid w:val="0042443C"/>
    <w:rsid w:val="0044313C"/>
    <w:rsid w:val="00477C77"/>
    <w:rsid w:val="00487FEC"/>
    <w:rsid w:val="004C77E6"/>
    <w:rsid w:val="004E0343"/>
    <w:rsid w:val="00512EE2"/>
    <w:rsid w:val="00524409"/>
    <w:rsid w:val="00532A76"/>
    <w:rsid w:val="00547E26"/>
    <w:rsid w:val="00550843"/>
    <w:rsid w:val="0056083C"/>
    <w:rsid w:val="00571AF8"/>
    <w:rsid w:val="005C2D27"/>
    <w:rsid w:val="005D342A"/>
    <w:rsid w:val="005E39AB"/>
    <w:rsid w:val="005F0102"/>
    <w:rsid w:val="00610D87"/>
    <w:rsid w:val="00613993"/>
    <w:rsid w:val="00625337"/>
    <w:rsid w:val="0062776B"/>
    <w:rsid w:val="006344B1"/>
    <w:rsid w:val="0064167E"/>
    <w:rsid w:val="00641D76"/>
    <w:rsid w:val="0064754B"/>
    <w:rsid w:val="006720C0"/>
    <w:rsid w:val="006765A3"/>
    <w:rsid w:val="006823D7"/>
    <w:rsid w:val="006948BA"/>
    <w:rsid w:val="006B3322"/>
    <w:rsid w:val="006B4794"/>
    <w:rsid w:val="006D6DC7"/>
    <w:rsid w:val="00700ADE"/>
    <w:rsid w:val="0073091E"/>
    <w:rsid w:val="0074442C"/>
    <w:rsid w:val="0078610D"/>
    <w:rsid w:val="007A60FC"/>
    <w:rsid w:val="007B39C4"/>
    <w:rsid w:val="007C57B6"/>
    <w:rsid w:val="007D435F"/>
    <w:rsid w:val="007E67F6"/>
    <w:rsid w:val="00812F50"/>
    <w:rsid w:val="008234D4"/>
    <w:rsid w:val="00837AE6"/>
    <w:rsid w:val="0085454F"/>
    <w:rsid w:val="008709A3"/>
    <w:rsid w:val="008826C6"/>
    <w:rsid w:val="0089787D"/>
    <w:rsid w:val="008A77B9"/>
    <w:rsid w:val="008B7A30"/>
    <w:rsid w:val="008F4A9A"/>
    <w:rsid w:val="00900B1C"/>
    <w:rsid w:val="00905C39"/>
    <w:rsid w:val="00947F10"/>
    <w:rsid w:val="00956337"/>
    <w:rsid w:val="00961A87"/>
    <w:rsid w:val="00984645"/>
    <w:rsid w:val="009D18A7"/>
    <w:rsid w:val="009D785B"/>
    <w:rsid w:val="009F0D5A"/>
    <w:rsid w:val="009F2004"/>
    <w:rsid w:val="00A174A6"/>
    <w:rsid w:val="00A263BA"/>
    <w:rsid w:val="00A42C11"/>
    <w:rsid w:val="00AB35C4"/>
    <w:rsid w:val="00AE7455"/>
    <w:rsid w:val="00AF356E"/>
    <w:rsid w:val="00AF669A"/>
    <w:rsid w:val="00B04FCC"/>
    <w:rsid w:val="00B108D3"/>
    <w:rsid w:val="00B143D2"/>
    <w:rsid w:val="00B24171"/>
    <w:rsid w:val="00B46D69"/>
    <w:rsid w:val="00B82D4F"/>
    <w:rsid w:val="00C30468"/>
    <w:rsid w:val="00C901E4"/>
    <w:rsid w:val="00CB1334"/>
    <w:rsid w:val="00CB5BF3"/>
    <w:rsid w:val="00CC5DD5"/>
    <w:rsid w:val="00CE1AC1"/>
    <w:rsid w:val="00CF18C7"/>
    <w:rsid w:val="00D06751"/>
    <w:rsid w:val="00D23036"/>
    <w:rsid w:val="00D27B29"/>
    <w:rsid w:val="00D3647C"/>
    <w:rsid w:val="00D4074D"/>
    <w:rsid w:val="00D43739"/>
    <w:rsid w:val="00D44C61"/>
    <w:rsid w:val="00D617BE"/>
    <w:rsid w:val="00D85D27"/>
    <w:rsid w:val="00DA2869"/>
    <w:rsid w:val="00DA6EE9"/>
    <w:rsid w:val="00DE440D"/>
    <w:rsid w:val="00E00092"/>
    <w:rsid w:val="00E53F27"/>
    <w:rsid w:val="00E87AD8"/>
    <w:rsid w:val="00E944B6"/>
    <w:rsid w:val="00ED0DDE"/>
    <w:rsid w:val="00ED31FF"/>
    <w:rsid w:val="00EF1292"/>
    <w:rsid w:val="00EF4B5B"/>
    <w:rsid w:val="00F3324A"/>
    <w:rsid w:val="00F76350"/>
    <w:rsid w:val="00F81B3E"/>
    <w:rsid w:val="00F858FD"/>
    <w:rsid w:val="00FA1144"/>
    <w:rsid w:val="00FA422F"/>
    <w:rsid w:val="00FC4E9C"/>
    <w:rsid w:val="00FC6A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54709-792E-3E43-8293-8B9E966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7A"/>
    <w:rPr>
      <w:rFonts w:ascii="Times New Roman" w:eastAsia="Times New Roman" w:hAnsi="Times New Roman" w:cs="Times New Roman"/>
      <w:lang w:eastAsia="fr-FR"/>
    </w:rPr>
  </w:style>
  <w:style w:type="paragraph" w:styleId="Titre1">
    <w:name w:val="heading 1"/>
    <w:basedOn w:val="Normal"/>
    <w:link w:val="Titre1Car"/>
    <w:uiPriority w:val="9"/>
    <w:qFormat/>
    <w:rsid w:val="002D027A"/>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2D02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027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D027A"/>
    <w:rPr>
      <w:rFonts w:asciiTheme="majorHAnsi" w:eastAsiaTheme="majorEastAsia" w:hAnsiTheme="majorHAnsi" w:cstheme="majorBidi"/>
      <w:color w:val="2F5496" w:themeColor="accent1" w:themeShade="BF"/>
      <w:sz w:val="26"/>
      <w:szCs w:val="26"/>
      <w:lang w:eastAsia="fr-FR"/>
    </w:rPr>
  </w:style>
  <w:style w:type="character" w:customStyle="1" w:styleId="apple-converted-space">
    <w:name w:val="apple-converted-space"/>
    <w:basedOn w:val="Policepardfaut"/>
    <w:rsid w:val="002D027A"/>
  </w:style>
  <w:style w:type="character" w:customStyle="1" w:styleId="tlfcemploi">
    <w:name w:val="tlf_cemploi"/>
    <w:basedOn w:val="Policepardfaut"/>
    <w:rsid w:val="002D027A"/>
  </w:style>
  <w:style w:type="character" w:customStyle="1" w:styleId="tlfcdefinition">
    <w:name w:val="tlf_cdefinition"/>
    <w:basedOn w:val="Policepardfaut"/>
    <w:rsid w:val="002D027A"/>
  </w:style>
  <w:style w:type="character" w:customStyle="1" w:styleId="tlfcsource">
    <w:name w:val="tlf_csource"/>
    <w:basedOn w:val="Policepardfaut"/>
    <w:rsid w:val="002D027A"/>
  </w:style>
  <w:style w:type="character" w:customStyle="1" w:styleId="tlfsmallcaps">
    <w:name w:val="tlf_smallcaps"/>
    <w:basedOn w:val="Policepardfaut"/>
    <w:rsid w:val="002D027A"/>
  </w:style>
  <w:style w:type="character" w:customStyle="1" w:styleId="familyname">
    <w:name w:val="familyname"/>
    <w:basedOn w:val="Policepardfaut"/>
    <w:rsid w:val="002D027A"/>
  </w:style>
  <w:style w:type="paragraph" w:customStyle="1" w:styleId="datepublication">
    <w:name w:val="datepublication"/>
    <w:basedOn w:val="Normal"/>
    <w:rsid w:val="002D027A"/>
    <w:pPr>
      <w:spacing w:before="100" w:beforeAutospacing="1" w:after="100" w:afterAutospacing="1"/>
    </w:pPr>
  </w:style>
  <w:style w:type="character" w:customStyle="1" w:styleId="majuscule">
    <w:name w:val="majuscule"/>
    <w:basedOn w:val="Policepardfaut"/>
    <w:rsid w:val="002D027A"/>
  </w:style>
  <w:style w:type="character" w:styleId="lev">
    <w:name w:val="Strong"/>
    <w:basedOn w:val="Policepardfaut"/>
    <w:uiPriority w:val="22"/>
    <w:qFormat/>
    <w:rsid w:val="002D027A"/>
    <w:rPr>
      <w:b/>
      <w:bCs/>
    </w:rPr>
  </w:style>
  <w:style w:type="character" w:styleId="Accentuation">
    <w:name w:val="Emphasis"/>
    <w:basedOn w:val="Policepardfaut"/>
    <w:uiPriority w:val="20"/>
    <w:qFormat/>
    <w:rsid w:val="002D027A"/>
    <w:rPr>
      <w:i/>
      <w:iCs/>
    </w:rPr>
  </w:style>
  <w:style w:type="paragraph" w:styleId="Paragraphedeliste">
    <w:name w:val="List Paragraph"/>
    <w:basedOn w:val="Normal"/>
    <w:uiPriority w:val="34"/>
    <w:qFormat/>
    <w:rsid w:val="002D027A"/>
    <w:pPr>
      <w:ind w:left="720"/>
      <w:contextualSpacing/>
    </w:pPr>
    <w:rPr>
      <w:rFonts w:asciiTheme="minorHAnsi" w:eastAsiaTheme="minorHAnsi" w:hAnsiTheme="minorHAnsi" w:cstheme="minorBidi"/>
      <w:lang w:val="fr-FR" w:eastAsia="en-US"/>
    </w:rPr>
  </w:style>
  <w:style w:type="paragraph" w:styleId="Notedebasdepage">
    <w:name w:val="footnote text"/>
    <w:aliases w:val="Carattere, Carattere,Note de bas de pageGL"/>
    <w:basedOn w:val="Normal"/>
    <w:link w:val="NotedebasdepageCar"/>
    <w:unhideWhenUsed/>
    <w:qFormat/>
    <w:rsid w:val="002D027A"/>
  </w:style>
  <w:style w:type="character" w:customStyle="1" w:styleId="NotedebasdepageCar">
    <w:name w:val="Note de bas de page Car"/>
    <w:aliases w:val="Carattere Car, Carattere Car,Note de bas de pageGL Car"/>
    <w:basedOn w:val="Policepardfaut"/>
    <w:link w:val="Notedebasdepage"/>
    <w:rsid w:val="002D027A"/>
    <w:rPr>
      <w:rFonts w:ascii="Times New Roman" w:eastAsia="Times New Roman" w:hAnsi="Times New Roman" w:cs="Times New Roman"/>
      <w:lang w:eastAsia="fr-FR"/>
    </w:rPr>
  </w:style>
  <w:style w:type="paragraph" w:styleId="NormalWeb">
    <w:name w:val="Normal (Web)"/>
    <w:basedOn w:val="Normal"/>
    <w:uiPriority w:val="99"/>
    <w:unhideWhenUsed/>
    <w:rsid w:val="002D027A"/>
    <w:pPr>
      <w:spacing w:before="100" w:beforeAutospacing="1" w:after="100" w:afterAutospacing="1"/>
    </w:pPr>
    <w:rPr>
      <w:rFonts w:ascii="Times" w:eastAsiaTheme="minorEastAsia" w:hAnsi="Times"/>
      <w:sz w:val="20"/>
      <w:szCs w:val="20"/>
      <w:lang w:val="fr-FR"/>
    </w:rPr>
  </w:style>
  <w:style w:type="character" w:styleId="Appelnotedebasdep">
    <w:name w:val="footnote reference"/>
    <w:basedOn w:val="Policepardfaut"/>
    <w:unhideWhenUsed/>
    <w:rsid w:val="002D027A"/>
    <w:rPr>
      <w:vertAlign w:val="superscript"/>
    </w:rPr>
  </w:style>
  <w:style w:type="character" w:customStyle="1" w:styleId="separator">
    <w:name w:val="separator"/>
    <w:basedOn w:val="Policepardfaut"/>
    <w:rsid w:val="002D027A"/>
  </w:style>
  <w:style w:type="character" w:styleId="Marquedecommentaire">
    <w:name w:val="annotation reference"/>
    <w:basedOn w:val="Policepardfaut"/>
    <w:uiPriority w:val="99"/>
    <w:semiHidden/>
    <w:unhideWhenUsed/>
    <w:rsid w:val="002D027A"/>
    <w:rPr>
      <w:sz w:val="18"/>
      <w:szCs w:val="18"/>
    </w:rPr>
  </w:style>
  <w:style w:type="paragraph" w:styleId="Commentaire">
    <w:name w:val="annotation text"/>
    <w:basedOn w:val="Normal"/>
    <w:link w:val="CommentaireCar"/>
    <w:uiPriority w:val="99"/>
    <w:unhideWhenUsed/>
    <w:rsid w:val="002D027A"/>
    <w:pPr>
      <w:jc w:val="both"/>
    </w:pPr>
    <w:rPr>
      <w:rFonts w:eastAsiaTheme="minorEastAsia" w:cstheme="minorBidi"/>
      <w:lang w:val="fr-FR"/>
    </w:rPr>
  </w:style>
  <w:style w:type="character" w:customStyle="1" w:styleId="CommentaireCar">
    <w:name w:val="Commentaire Car"/>
    <w:basedOn w:val="Policepardfaut"/>
    <w:link w:val="Commentaire"/>
    <w:uiPriority w:val="99"/>
    <w:rsid w:val="002D027A"/>
    <w:rPr>
      <w:rFonts w:ascii="Times New Roman" w:eastAsiaTheme="minorEastAsia" w:hAnsi="Times New Roman"/>
      <w:lang w:val="fr-FR" w:eastAsia="fr-FR"/>
    </w:rPr>
  </w:style>
  <w:style w:type="paragraph" w:styleId="Textedebulles">
    <w:name w:val="Balloon Text"/>
    <w:basedOn w:val="Normal"/>
    <w:link w:val="TextedebullesCar"/>
    <w:uiPriority w:val="99"/>
    <w:semiHidden/>
    <w:unhideWhenUsed/>
    <w:rsid w:val="002D027A"/>
    <w:rPr>
      <w:sz w:val="18"/>
      <w:szCs w:val="18"/>
    </w:rPr>
  </w:style>
  <w:style w:type="character" w:customStyle="1" w:styleId="TextedebullesCar">
    <w:name w:val="Texte de bulles Car"/>
    <w:basedOn w:val="Policepardfaut"/>
    <w:link w:val="Textedebulles"/>
    <w:uiPriority w:val="99"/>
    <w:semiHidden/>
    <w:rsid w:val="002D027A"/>
    <w:rPr>
      <w:rFonts w:ascii="Times New Roman" w:eastAsia="Times New Roman" w:hAnsi="Times New Roman" w:cs="Times New Roman"/>
      <w:sz w:val="18"/>
      <w:szCs w:val="18"/>
      <w:lang w:eastAsia="fr-FR"/>
    </w:rPr>
  </w:style>
  <w:style w:type="character" w:styleId="Lienhypertexte">
    <w:name w:val="Hyperlink"/>
    <w:basedOn w:val="Policepardfaut"/>
    <w:uiPriority w:val="99"/>
    <w:semiHidden/>
    <w:unhideWhenUsed/>
    <w:rsid w:val="007A6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6406">
      <w:bodyDiv w:val="1"/>
      <w:marLeft w:val="0"/>
      <w:marRight w:val="0"/>
      <w:marTop w:val="0"/>
      <w:marBottom w:val="0"/>
      <w:divBdr>
        <w:top w:val="none" w:sz="0" w:space="0" w:color="auto"/>
        <w:left w:val="none" w:sz="0" w:space="0" w:color="auto"/>
        <w:bottom w:val="none" w:sz="0" w:space="0" w:color="auto"/>
        <w:right w:val="none" w:sz="0" w:space="0" w:color="auto"/>
      </w:divBdr>
    </w:div>
    <w:div w:id="1137335741">
      <w:bodyDiv w:val="1"/>
      <w:marLeft w:val="0"/>
      <w:marRight w:val="0"/>
      <w:marTop w:val="0"/>
      <w:marBottom w:val="0"/>
      <w:divBdr>
        <w:top w:val="none" w:sz="0" w:space="0" w:color="auto"/>
        <w:left w:val="none" w:sz="0" w:space="0" w:color="auto"/>
        <w:bottom w:val="none" w:sz="0" w:space="0" w:color="auto"/>
        <w:right w:val="none" w:sz="0" w:space="0" w:color="auto"/>
      </w:divBdr>
    </w:div>
    <w:div w:id="1528641872">
      <w:bodyDiv w:val="1"/>
      <w:marLeft w:val="0"/>
      <w:marRight w:val="0"/>
      <w:marTop w:val="0"/>
      <w:marBottom w:val="0"/>
      <w:divBdr>
        <w:top w:val="none" w:sz="0" w:space="0" w:color="auto"/>
        <w:left w:val="none" w:sz="0" w:space="0" w:color="auto"/>
        <w:bottom w:val="none" w:sz="0" w:space="0" w:color="auto"/>
        <w:right w:val="none" w:sz="0" w:space="0" w:color="auto"/>
      </w:divBdr>
      <w:divsChild>
        <w:div w:id="1635525053">
          <w:marLeft w:val="0"/>
          <w:marRight w:val="0"/>
          <w:marTop w:val="0"/>
          <w:marBottom w:val="0"/>
          <w:divBdr>
            <w:top w:val="none" w:sz="0" w:space="0" w:color="auto"/>
            <w:left w:val="none" w:sz="0" w:space="0" w:color="auto"/>
            <w:bottom w:val="none" w:sz="0" w:space="0" w:color="auto"/>
            <w:right w:val="none" w:sz="0" w:space="0" w:color="auto"/>
          </w:divBdr>
          <w:divsChild>
            <w:div w:id="2061973837">
              <w:marLeft w:val="0"/>
              <w:marRight w:val="0"/>
              <w:marTop w:val="0"/>
              <w:marBottom w:val="0"/>
              <w:divBdr>
                <w:top w:val="none" w:sz="0" w:space="0" w:color="auto"/>
                <w:left w:val="none" w:sz="0" w:space="0" w:color="auto"/>
                <w:bottom w:val="none" w:sz="0" w:space="0" w:color="auto"/>
                <w:right w:val="none" w:sz="0" w:space="0" w:color="auto"/>
              </w:divBdr>
              <w:divsChild>
                <w:div w:id="2781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176">
      <w:bodyDiv w:val="1"/>
      <w:marLeft w:val="0"/>
      <w:marRight w:val="0"/>
      <w:marTop w:val="0"/>
      <w:marBottom w:val="0"/>
      <w:divBdr>
        <w:top w:val="none" w:sz="0" w:space="0" w:color="auto"/>
        <w:left w:val="none" w:sz="0" w:space="0" w:color="auto"/>
        <w:bottom w:val="none" w:sz="0" w:space="0" w:color="auto"/>
        <w:right w:val="none" w:sz="0" w:space="0" w:color="auto"/>
      </w:divBdr>
      <w:divsChild>
        <w:div w:id="167254991">
          <w:marLeft w:val="0"/>
          <w:marRight w:val="0"/>
          <w:marTop w:val="0"/>
          <w:marBottom w:val="0"/>
          <w:divBdr>
            <w:top w:val="none" w:sz="0" w:space="0" w:color="auto"/>
            <w:left w:val="none" w:sz="0" w:space="0" w:color="auto"/>
            <w:bottom w:val="none" w:sz="0" w:space="0" w:color="auto"/>
            <w:right w:val="none" w:sz="0" w:space="0" w:color="auto"/>
          </w:divBdr>
          <w:divsChild>
            <w:div w:id="1434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2870-1EEF-334C-AA26-36D36C02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6694</Words>
  <Characters>36823</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Marcland</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cp:lastPrinted>2020-01-16T16:45:00Z</cp:lastPrinted>
  <dcterms:created xsi:type="dcterms:W3CDTF">2020-02-17T10:08:00Z</dcterms:created>
  <dcterms:modified xsi:type="dcterms:W3CDTF">2020-02-17T10:08:00Z</dcterms:modified>
</cp:coreProperties>
</file>