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891DF" w14:textId="77777777" w:rsidR="00094BD3" w:rsidRPr="007A0B82" w:rsidRDefault="00094BD3" w:rsidP="00094BD3">
      <w:pPr>
        <w:spacing w:line="276" w:lineRule="auto"/>
        <w:jc w:val="center"/>
        <w:rPr>
          <w:rFonts w:ascii="Times New Roman" w:hAnsi="Times New Roman" w:cs="Times New Roman"/>
        </w:rPr>
      </w:pPr>
      <w:bookmarkStart w:id="0" w:name="_GoBack"/>
      <w:bookmarkEnd w:id="0"/>
      <w:r w:rsidRPr="007A0B82">
        <w:rPr>
          <w:rFonts w:ascii="Times New Roman" w:hAnsi="Times New Roman" w:cs="Times New Roman"/>
        </w:rPr>
        <w:t>De la posture énonciative à la diathèse : gestion et gestation du sens</w:t>
      </w:r>
    </w:p>
    <w:p w14:paraId="3390C186" w14:textId="77777777" w:rsidR="00094BD3" w:rsidRPr="007A0B82" w:rsidRDefault="00094BD3" w:rsidP="00094BD3">
      <w:pPr>
        <w:spacing w:line="276" w:lineRule="auto"/>
        <w:jc w:val="center"/>
        <w:rPr>
          <w:rFonts w:ascii="Times New Roman" w:hAnsi="Times New Roman" w:cs="Times New Roman"/>
        </w:rPr>
      </w:pPr>
    </w:p>
    <w:p w14:paraId="535CFD48" w14:textId="77777777" w:rsidR="00094BD3" w:rsidRPr="007A0B82" w:rsidRDefault="00094BD3" w:rsidP="00094BD3">
      <w:pPr>
        <w:spacing w:line="276" w:lineRule="auto"/>
        <w:jc w:val="center"/>
        <w:rPr>
          <w:rFonts w:ascii="Times New Roman" w:hAnsi="Times New Roman" w:cs="Times New Roman"/>
        </w:rPr>
      </w:pPr>
      <w:r w:rsidRPr="007A0B82">
        <w:rPr>
          <w:rFonts w:ascii="Times New Roman" w:hAnsi="Times New Roman" w:cs="Times New Roman"/>
        </w:rPr>
        <w:t>Marion Colas-Blaise (Université du Luxembourg)</w:t>
      </w:r>
    </w:p>
    <w:p w14:paraId="316D9790" w14:textId="61D76E4A" w:rsidR="00094BD3" w:rsidRDefault="00094BD3" w:rsidP="00094BD3">
      <w:pPr>
        <w:spacing w:line="276" w:lineRule="auto"/>
        <w:jc w:val="center"/>
        <w:rPr>
          <w:rFonts w:ascii="Times New Roman" w:hAnsi="Times New Roman" w:cs="Times New Roman"/>
        </w:rPr>
      </w:pPr>
    </w:p>
    <w:p w14:paraId="5C5E1700" w14:textId="730777DA" w:rsidR="00226095" w:rsidRDefault="00226095" w:rsidP="00226095">
      <w:pPr>
        <w:spacing w:line="276" w:lineRule="auto"/>
        <w:jc w:val="both"/>
        <w:rPr>
          <w:rFonts w:ascii="Times New Roman" w:hAnsi="Times New Roman" w:cs="Times New Roman"/>
        </w:rPr>
      </w:pPr>
      <w:r>
        <w:rPr>
          <w:rFonts w:ascii="Times New Roman" w:hAnsi="Times New Roman" w:cs="Times New Roman"/>
        </w:rPr>
        <w:t xml:space="preserve">Résumé </w:t>
      </w:r>
    </w:p>
    <w:p w14:paraId="008DEC06" w14:textId="5FA44A90" w:rsidR="00226095" w:rsidRDefault="00226095" w:rsidP="00226095">
      <w:pPr>
        <w:spacing w:line="276" w:lineRule="auto"/>
        <w:jc w:val="both"/>
        <w:rPr>
          <w:rFonts w:ascii="Times New Roman" w:hAnsi="Times New Roman" w:cs="Times New Roman"/>
        </w:rPr>
      </w:pPr>
    </w:p>
    <w:p w14:paraId="7B63FC3C" w14:textId="69217670" w:rsidR="00226095" w:rsidRDefault="00226095" w:rsidP="00226095">
      <w:pPr>
        <w:spacing w:line="276" w:lineRule="auto"/>
        <w:jc w:val="both"/>
        <w:rPr>
          <w:rFonts w:ascii="Times New Roman" w:hAnsi="Times New Roman" w:cs="Times New Roman"/>
        </w:rPr>
      </w:pPr>
      <w:r>
        <w:rPr>
          <w:rFonts w:ascii="Times New Roman" w:hAnsi="Times New Roman" w:cs="Times New Roman"/>
        </w:rPr>
        <w:t xml:space="preserve">Cet article, qui s’appuie sur </w:t>
      </w:r>
      <w:r w:rsidRPr="00226095">
        <w:rPr>
          <w:rFonts w:ascii="Times New Roman" w:hAnsi="Times New Roman" w:cs="Times New Roman"/>
          <w:i/>
        </w:rPr>
        <w:t>Un balcon en forêt</w:t>
      </w:r>
      <w:r>
        <w:rPr>
          <w:rFonts w:ascii="Times New Roman" w:hAnsi="Times New Roman" w:cs="Times New Roman"/>
        </w:rPr>
        <w:t xml:space="preserve"> de Julien Gracq, se propose de réinterroger la notion de posture énonciative développée par Alain Rabatel dans sa théorie du point de vue. L’attention est focalisée sur la posture de la co-énonciation, qui est abordée sous différents angles : du point de vue de la diathèse en particulier récessive, qui est mise en relation avec l’opération de l’embrayage et une visée centripète ; du point de vue des régimes tonique et atone de la co-énonciation consensuelle et dissensuelle ; enfin, du point de vue d’une proto-posture énonciative sous-tendant la posture de la co-énonciation, qui permet de rendre compte de la gestation du sens et des couches sensibles du pathique. </w:t>
      </w:r>
    </w:p>
    <w:p w14:paraId="68909EAE" w14:textId="0F24730C" w:rsidR="00226095" w:rsidRDefault="00226095" w:rsidP="00094BD3">
      <w:pPr>
        <w:spacing w:line="276" w:lineRule="auto"/>
        <w:jc w:val="center"/>
        <w:rPr>
          <w:rFonts w:ascii="Times New Roman" w:hAnsi="Times New Roman" w:cs="Times New Roman"/>
        </w:rPr>
      </w:pPr>
    </w:p>
    <w:p w14:paraId="045E542D" w14:textId="12A9F5F8" w:rsidR="00226095" w:rsidRDefault="00226095" w:rsidP="00226095">
      <w:pPr>
        <w:spacing w:line="276" w:lineRule="auto"/>
        <w:jc w:val="both"/>
        <w:rPr>
          <w:rFonts w:ascii="Times New Roman" w:hAnsi="Times New Roman" w:cs="Times New Roman"/>
        </w:rPr>
      </w:pPr>
      <w:r>
        <w:rPr>
          <w:rFonts w:ascii="Times New Roman" w:hAnsi="Times New Roman" w:cs="Times New Roman"/>
        </w:rPr>
        <w:t xml:space="preserve">Mots-clefs : co-énonciation, diathèse, régimes de la co-énonciation consensuelle et dissensuelle, proto-posture énonciative </w:t>
      </w:r>
    </w:p>
    <w:p w14:paraId="1D4DEA09" w14:textId="511824EC" w:rsidR="00226095" w:rsidRDefault="00226095" w:rsidP="00226095">
      <w:pPr>
        <w:spacing w:line="276" w:lineRule="auto"/>
        <w:jc w:val="both"/>
        <w:rPr>
          <w:rFonts w:ascii="Times New Roman" w:hAnsi="Times New Roman" w:cs="Times New Roman"/>
        </w:rPr>
      </w:pPr>
    </w:p>
    <w:p w14:paraId="264D60C8" w14:textId="63DD4E1F" w:rsidR="00226095" w:rsidRPr="000F2F9B" w:rsidRDefault="00226095" w:rsidP="00226095">
      <w:pPr>
        <w:spacing w:line="276" w:lineRule="auto"/>
        <w:jc w:val="both"/>
        <w:rPr>
          <w:rFonts w:ascii="Times New Roman" w:hAnsi="Times New Roman" w:cs="Times New Roman"/>
          <w:lang w:val="en-US"/>
        </w:rPr>
      </w:pPr>
      <w:r w:rsidRPr="000F2F9B">
        <w:rPr>
          <w:rFonts w:ascii="Times New Roman" w:hAnsi="Times New Roman" w:cs="Times New Roman"/>
          <w:lang w:val="en-US"/>
        </w:rPr>
        <w:t xml:space="preserve">Abstract </w:t>
      </w:r>
    </w:p>
    <w:p w14:paraId="3C0AED14" w14:textId="0A35EEBD" w:rsidR="00226095" w:rsidRPr="000F2F9B" w:rsidRDefault="00226095" w:rsidP="00226095">
      <w:pPr>
        <w:spacing w:line="276" w:lineRule="auto"/>
        <w:jc w:val="both"/>
        <w:rPr>
          <w:rFonts w:ascii="Times New Roman" w:hAnsi="Times New Roman" w:cs="Times New Roman"/>
          <w:lang w:val="en-US"/>
        </w:rPr>
      </w:pPr>
    </w:p>
    <w:p w14:paraId="52146D4D" w14:textId="1A600428" w:rsidR="00226095" w:rsidRPr="00226095" w:rsidRDefault="00226095" w:rsidP="00226095">
      <w:pPr>
        <w:spacing w:line="276" w:lineRule="auto"/>
        <w:jc w:val="both"/>
        <w:rPr>
          <w:rFonts w:ascii="Times New Roman" w:hAnsi="Times New Roman" w:cs="Times New Roman"/>
          <w:lang w:val="en-US"/>
        </w:rPr>
      </w:pPr>
      <w:r w:rsidRPr="00226095">
        <w:rPr>
          <w:rFonts w:ascii="Times New Roman" w:hAnsi="Times New Roman" w:cs="Times New Roman"/>
          <w:lang w:val="en-US"/>
        </w:rPr>
        <w:t xml:space="preserve">This paper, which analyses extracts of </w:t>
      </w:r>
      <w:r w:rsidRPr="00226095">
        <w:rPr>
          <w:rFonts w:ascii="Times New Roman" w:hAnsi="Times New Roman" w:cs="Times New Roman"/>
          <w:i/>
          <w:lang w:val="en-US"/>
        </w:rPr>
        <w:t>Le balcon en forêt</w:t>
      </w:r>
      <w:r>
        <w:rPr>
          <w:rFonts w:ascii="Times New Roman" w:hAnsi="Times New Roman" w:cs="Times New Roman"/>
          <w:lang w:val="en-US"/>
        </w:rPr>
        <w:t xml:space="preserve"> by Julien Gracq, aims to question once more the notion of enunciative posture that has been examined by Alain Rabatel in his point of view theory. Attention is focused on the posture of co-enunciation, which is approached from three different viewing angles: first, we reflect upon the notion of “recessive diathesis”, in relation to a centripetal force; second, we distinguish between tonic and low regimes of consensual and dissensual co-enunciation; third, we want to show that the posture of co-enunciation is based on a sensitive proto-posture, which underlies it.  </w:t>
      </w:r>
    </w:p>
    <w:p w14:paraId="545C3213" w14:textId="77777777" w:rsidR="00094BD3" w:rsidRPr="00226095" w:rsidRDefault="00094BD3" w:rsidP="00094BD3">
      <w:pPr>
        <w:rPr>
          <w:rFonts w:ascii="Times New Roman" w:hAnsi="Times New Roman" w:cs="Times New Roman"/>
          <w:lang w:val="en-US"/>
        </w:rPr>
      </w:pPr>
    </w:p>
    <w:p w14:paraId="5F4615B7" w14:textId="7840D09E" w:rsidR="00226095" w:rsidRDefault="00226095" w:rsidP="00094BD3">
      <w:pPr>
        <w:spacing w:after="120" w:line="276" w:lineRule="auto"/>
        <w:jc w:val="both"/>
        <w:rPr>
          <w:rFonts w:ascii="Times New Roman" w:hAnsi="Times New Roman" w:cs="Times New Roman"/>
          <w:lang w:val="en-US"/>
        </w:rPr>
      </w:pPr>
      <w:r>
        <w:rPr>
          <w:rFonts w:ascii="Times New Roman" w:hAnsi="Times New Roman" w:cs="Times New Roman"/>
          <w:lang w:val="en-US"/>
        </w:rPr>
        <w:t xml:space="preserve">Keywords : co-enunciation, diathesis, regimes of consensual and dissensual co-enunciation,, enunciative proto-posture </w:t>
      </w:r>
    </w:p>
    <w:p w14:paraId="2BBF8E47" w14:textId="77777777" w:rsidR="00226095" w:rsidRDefault="00226095" w:rsidP="00094BD3">
      <w:pPr>
        <w:spacing w:after="120" w:line="276" w:lineRule="auto"/>
        <w:jc w:val="both"/>
        <w:rPr>
          <w:rFonts w:ascii="Times New Roman" w:hAnsi="Times New Roman" w:cs="Times New Roman"/>
          <w:lang w:val="en-US"/>
        </w:rPr>
      </w:pPr>
    </w:p>
    <w:p w14:paraId="6FF9D6AB" w14:textId="1EBBF555"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Pour commencer, essayons de circonscrire un champ de questionnement. En quoi la notion de posture énonciative (stratégies de sur-, sous- et co-énonciation) (entre autres Rabatel 2007, 2008</w:t>
      </w:r>
      <w:r w:rsidR="001F17E8">
        <w:rPr>
          <w:rFonts w:ascii="Times New Roman" w:hAnsi="Times New Roman" w:cs="Times New Roman"/>
        </w:rPr>
        <w:t>a, b</w:t>
      </w:r>
      <w:r w:rsidRPr="007A0B82">
        <w:rPr>
          <w:rFonts w:ascii="Times New Roman" w:hAnsi="Times New Roman" w:cs="Times New Roman"/>
        </w:rPr>
        <w:t>, 2012a</w:t>
      </w:r>
      <w:r w:rsidR="00B12CD7">
        <w:rPr>
          <w:rFonts w:ascii="Times New Roman" w:hAnsi="Times New Roman" w:cs="Times New Roman"/>
        </w:rPr>
        <w:t>, b</w:t>
      </w:r>
      <w:r w:rsidRPr="007A0B82">
        <w:rPr>
          <w:rFonts w:ascii="Times New Roman" w:hAnsi="Times New Roman" w:cs="Times New Roman"/>
        </w:rPr>
        <w:t>), permet-elle de rendre compte de la manière dont des instances, locutrices et/ou énonciatives</w:t>
      </w:r>
      <w:r w:rsidRPr="007A0B82">
        <w:rPr>
          <w:rStyle w:val="Appelnotedebasdep"/>
          <w:rFonts w:ascii="Times New Roman" w:hAnsi="Times New Roman" w:cs="Times New Roman"/>
        </w:rPr>
        <w:footnoteReference w:id="1"/>
      </w:r>
      <w:r w:rsidRPr="007A0B82">
        <w:rPr>
          <w:rFonts w:ascii="Times New Roman" w:hAnsi="Times New Roman" w:cs="Times New Roman"/>
        </w:rPr>
        <w:t xml:space="preserve">, prennent position dans le monde et rendent ce dernier signifiant ? En quoi conduit-elle à étudier les modalités de l’orchestration des sensations, perceptions, opinions et </w:t>
      </w:r>
      <w:r w:rsidRPr="007A0B82">
        <w:rPr>
          <w:rFonts w:ascii="Times New Roman" w:hAnsi="Times New Roman" w:cs="Times New Roman"/>
        </w:rPr>
        <w:lastRenderedPageBreak/>
        <w:t xml:space="preserve">jugements qui entrent dans la construction d’un univers de sens, notamment fictionnel ? Quelle en est la valeur opératoire, qui peut être vérifiée à travers des études de cas ? Enfin, dans quelle mesure y a-t-il des zones frontières, de flou, où la distinction entre les trois postures résiste à l’analyse et constitue peut-être, en dernier ressort, une question d’interprétation plus ou moins contextualisée ? L’identification des postures est loin d’être mécanique : elles continuent à nous interpeller, et c’est en cela que réside tout leur intérêt. Si, dans ses travaux, Alain Rabatel confère aux contours notionnels une grande acuité, il note aussi, dans l’article intitulé « Les enjeux des postures énonciatives et de leur utilisation en didactique » (2007) que la différence entre la sur- et la sous-énonciation peut être ténue, cela en raison d’une « interaction dialogale dissensuelle inégale ». </w:t>
      </w:r>
    </w:p>
    <w:p w14:paraId="5EAD612B" w14:textId="605A0BF4"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Mon hypothèse de départ peut alors être formulée en ces termes : certains cas-limites, particulièrement fréquents dans </w:t>
      </w:r>
      <w:r w:rsidRPr="007A0B82">
        <w:rPr>
          <w:rFonts w:ascii="Times New Roman" w:hAnsi="Times New Roman" w:cs="Times New Roman"/>
          <w:i/>
        </w:rPr>
        <w:t>Un balcon en forêt</w:t>
      </w:r>
      <w:r w:rsidRPr="007A0B82">
        <w:rPr>
          <w:rFonts w:ascii="Times New Roman" w:hAnsi="Times New Roman" w:cs="Times New Roman"/>
        </w:rPr>
        <w:t xml:space="preserve"> de Julien Gracq – un roman qu’Alain Rabatel a lui-même sollicité dans </w:t>
      </w:r>
      <w:r w:rsidRPr="007A0B82">
        <w:rPr>
          <w:rFonts w:ascii="Times New Roman" w:hAnsi="Times New Roman" w:cs="Times New Roman"/>
          <w:i/>
        </w:rPr>
        <w:t xml:space="preserve">Homo narrans </w:t>
      </w:r>
      <w:r w:rsidRPr="007A0B82">
        <w:rPr>
          <w:rFonts w:ascii="Times New Roman" w:hAnsi="Times New Roman" w:cs="Times New Roman"/>
        </w:rPr>
        <w:t>(2008</w:t>
      </w:r>
      <w:r w:rsidR="00262FFD">
        <w:rPr>
          <w:rFonts w:ascii="Times New Roman" w:hAnsi="Times New Roman" w:cs="Times New Roman"/>
        </w:rPr>
        <w:t>a</w:t>
      </w:r>
      <w:r w:rsidRPr="007A0B82">
        <w:rPr>
          <w:rFonts w:ascii="Times New Roman" w:hAnsi="Times New Roman" w:cs="Times New Roman"/>
        </w:rPr>
        <w:t>)</w:t>
      </w:r>
      <w:r w:rsidRPr="007A0B82">
        <w:rPr>
          <w:rFonts w:ascii="Times New Roman" w:hAnsi="Times New Roman" w:cs="Times New Roman"/>
          <w:i/>
        </w:rPr>
        <w:t xml:space="preserve"> </w:t>
      </w:r>
      <w:r w:rsidRPr="007A0B82">
        <w:rPr>
          <w:rFonts w:ascii="Times New Roman" w:hAnsi="Times New Roman" w:cs="Times New Roman"/>
        </w:rPr>
        <w:t>–</w:t>
      </w:r>
      <w:r w:rsidR="007A0B82">
        <w:rPr>
          <w:rFonts w:ascii="Times New Roman" w:hAnsi="Times New Roman" w:cs="Times New Roman"/>
        </w:rPr>
        <w:t>,</w:t>
      </w:r>
      <w:r w:rsidRPr="007A0B82">
        <w:rPr>
          <w:rFonts w:ascii="Times New Roman" w:hAnsi="Times New Roman" w:cs="Times New Roman"/>
          <w:i/>
        </w:rPr>
        <w:t xml:space="preserve"> </w:t>
      </w:r>
      <w:r w:rsidRPr="007A0B82">
        <w:rPr>
          <w:rFonts w:ascii="Times New Roman" w:hAnsi="Times New Roman" w:cs="Times New Roman"/>
        </w:rPr>
        <w:t>appellent une analyse en termes de co-énonciation (hétéro- ou auto-dialogique), au</w:t>
      </w:r>
      <w:r w:rsidR="006D12B2">
        <w:rPr>
          <w:rFonts w:ascii="Times New Roman" w:hAnsi="Times New Roman" w:cs="Times New Roman"/>
        </w:rPr>
        <w:t>-</w:t>
      </w:r>
      <w:r w:rsidRPr="007A0B82">
        <w:rPr>
          <w:rFonts w:ascii="Times New Roman" w:hAnsi="Times New Roman" w:cs="Times New Roman"/>
        </w:rPr>
        <w:t xml:space="preserve">delà ou en deçà des distinctions tranchées entre co-, sur- et sous-énonciation. Une condition s’impose d’emblée : il faut prévoir un </w:t>
      </w:r>
      <w:r w:rsidRPr="007A0B82">
        <w:rPr>
          <w:rFonts w:ascii="Times New Roman" w:hAnsi="Times New Roman" w:cs="Times New Roman"/>
          <w:i/>
        </w:rPr>
        <w:t>espace</w:t>
      </w:r>
      <w:r w:rsidRPr="007A0B82">
        <w:rPr>
          <w:rFonts w:ascii="Times New Roman" w:hAnsi="Times New Roman" w:cs="Times New Roman"/>
        </w:rPr>
        <w:t xml:space="preserve"> de la co-énonciation, traversé par différentes logiques et sous-tendu par différents régimes de la co-énonciation. </w:t>
      </w:r>
    </w:p>
    <w:p w14:paraId="3C75A2FC"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Étudiant des exemples empruntés au </w:t>
      </w:r>
      <w:r w:rsidRPr="007A0B82">
        <w:rPr>
          <w:rFonts w:ascii="Times New Roman" w:hAnsi="Times New Roman" w:cs="Times New Roman"/>
          <w:i/>
        </w:rPr>
        <w:t>Balcon en forêt</w:t>
      </w:r>
      <w:r w:rsidRPr="007A0B82">
        <w:rPr>
          <w:rFonts w:ascii="Times New Roman" w:hAnsi="Times New Roman" w:cs="Times New Roman"/>
        </w:rPr>
        <w:t>, je viserai, ainsi, à mettre à nu les forces (centripètes ou centrifuges, consensuelles ou dissensuelles) qui sous-tendent la co-énonciation et permettent de la distinguer de la sur- et de la sous-énonciation. Pour cela, j’approcherai la notion de posture énonciative à nouveaux frais, en dégageant une structure actantielle, un socle narratif sous-tendant la perception, mais aussi l’attribution du rôle énonciatif à une ou plusieurs instances dans un univers de sens donné. Cela à deux conditions : à condition que le modèle narratif ainsi convoqué comporte une base sensible, c’est-à-dire qu’il trouve son ancrage dans une narrativité « inchoative » (Ricoeur 1983, 1984, 1985)</w:t>
      </w:r>
      <w:r w:rsidRPr="007A0B82">
        <w:rPr>
          <w:rStyle w:val="Appelnotedebasdep"/>
          <w:rFonts w:ascii="Times New Roman" w:hAnsi="Times New Roman" w:cs="Times New Roman"/>
        </w:rPr>
        <w:footnoteReference w:id="2"/>
      </w:r>
      <w:r w:rsidRPr="007A0B82">
        <w:rPr>
          <w:rFonts w:ascii="Times New Roman" w:hAnsi="Times New Roman" w:cs="Times New Roman"/>
        </w:rPr>
        <w:t xml:space="preserve"> mettant en forme l’expérience elle-même ; enfin, à condition qu’il intègre des logiques tensives graduelles. C’est sur des bases raffermies que l’attention sera ensuite focalisée sur l’espace de la co-énonciation. </w:t>
      </w:r>
    </w:p>
    <w:p w14:paraId="07FA7AC3" w14:textId="55198C92"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Plus précisément, je relèverai le défi de montrer en quoi la notion de diathèse, héritée de Tesnière (1959), revue par Claude Muller (2006) et Franck Neveu (2004) et réinterrogée, en sémiotique, par Jean-François Bordron (2012), permet de préciser les forces agissant à la base de la co-énonciation. Il s’agira d’explorer l’arrière-plan sémio-linguistique de la posture de la co-énonciation par rapport aux postures de sur- et de sous-énonciation en dégageant la structure actantielle sous-tendant la perception et, plus largement, la distribution des instances énonciatives dans le champ du discours (première partie), avant de postuler une proto-posture énonciative qui est caractérisée par une sensibilité générale</w:t>
      </w:r>
      <w:r w:rsidR="00226095">
        <w:rPr>
          <w:rFonts w:ascii="Times New Roman" w:hAnsi="Times New Roman" w:cs="Times New Roman"/>
        </w:rPr>
        <w:t xml:space="preserve"> </w:t>
      </w:r>
      <w:r w:rsidRPr="007A0B82">
        <w:rPr>
          <w:rFonts w:ascii="Times New Roman" w:hAnsi="Times New Roman" w:cs="Times New Roman"/>
        </w:rPr>
        <w:t xml:space="preserve">(troisième partie). Il importera de montrer en quoi des constructions nominales, des groupes adjectivaux et des participes </w:t>
      </w:r>
      <w:r w:rsidRPr="007A0B82">
        <w:rPr>
          <w:rFonts w:ascii="Times New Roman" w:hAnsi="Times New Roman" w:cs="Times New Roman"/>
        </w:rPr>
        <w:lastRenderedPageBreak/>
        <w:t>adjectivés déplacent le regard vers une logique « présentative », plutôt que représentative (Combe 1991 : 149), c’est-à-dire pré-réflexive (Guillaume 1964, 1965 [1929]). Là où, justement, l’indifférencié l’emporte sur la différenciation des postures. L’hypothèse à vérifier est qu’ils témoignent au niveau du texte de l’émergence du pathique, d’une instance « impersonnelle », en deçà ou au-delà de l’actantialité et de la narrativisation proprement dites. Quant à la deuxième partie, elle visera à mettre à nu les logiques tensives à la base de l’interaction des instances énonciatives. Plus précisément, je remettrai sur le métier la conception de la co-, sur- et sous-énonciation en termes de concordance et de discordance (Rabatel 2007).</w:t>
      </w:r>
    </w:p>
    <w:p w14:paraId="2F443CD2"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Mon cadre théorique se construira ainsi au carrefour de la théorie du point de vue développée par Alain Rabatel, des </w:t>
      </w:r>
      <w:r w:rsidRPr="007A0B82">
        <w:rPr>
          <w:rFonts w:ascii="Times New Roman" w:hAnsi="Times New Roman" w:cs="Times New Roman"/>
          <w:i/>
        </w:rPr>
        <w:t>Eléments de syntaxe structurale</w:t>
      </w:r>
      <w:r w:rsidRPr="007A0B82">
        <w:rPr>
          <w:rFonts w:ascii="Times New Roman" w:hAnsi="Times New Roman" w:cs="Times New Roman"/>
        </w:rPr>
        <w:t xml:space="preserve"> de Tesnière, de la théorie psychomécanique du langage et de la sémiotique (sémiotique de la perception (Bordron 2011), sémiotique tensive (Zilberberg 2012)). </w:t>
      </w:r>
    </w:p>
    <w:p w14:paraId="67DDFDAF"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1. Les postures énonciatives et la diathèse actantielle : une première caractérisation de la co-énonciation</w:t>
      </w:r>
    </w:p>
    <w:p w14:paraId="4A5A01A8" w14:textId="104C44F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Je définis la diathèse comme l’« attitude de l’énonciateur par rapport à la façon dont il exprime l’énoncé »</w:t>
      </w:r>
      <w:r w:rsidRPr="007A0B82">
        <w:rPr>
          <w:rStyle w:val="Appelnotedebasdep"/>
          <w:rFonts w:ascii="Times New Roman" w:hAnsi="Times New Roman" w:cs="Times New Roman"/>
        </w:rPr>
        <w:t xml:space="preserve"> </w:t>
      </w:r>
      <w:r w:rsidRPr="007A0B82">
        <w:rPr>
          <w:rStyle w:val="Appelnotedebasdep"/>
          <w:rFonts w:ascii="Times New Roman" w:hAnsi="Times New Roman" w:cs="Times New Roman"/>
        </w:rPr>
        <w:footnoteReference w:id="3"/>
      </w:r>
      <w:r w:rsidRPr="007A0B82">
        <w:rPr>
          <w:rFonts w:ascii="Times New Roman" w:hAnsi="Times New Roman" w:cs="Times New Roman"/>
        </w:rPr>
        <w:t xml:space="preserve"> (Bordron 2012), comptant, par ce biais, revisiter les notions de position, positionnement et posture chères à Alain Rabatel (2012a). Plus linguistiquement, la diathèse est considérée comme la description d’une configuration verbale régissant les relations entre des rôles sémantiques et des fonctions syntaxiques. D’une part, elle permet de conférer une structure actantielle à la perception, qui est, avec la pensée, au départ des PDV</w:t>
      </w:r>
      <w:r w:rsidR="00196D36" w:rsidRPr="007A0B82">
        <w:rPr>
          <w:rStyle w:val="Appelnotedebasdep"/>
          <w:rFonts w:ascii="Times New Roman" w:hAnsi="Times New Roman" w:cs="Times New Roman"/>
        </w:rPr>
        <w:footnoteReference w:id="4"/>
      </w:r>
      <w:r w:rsidRPr="007A0B82">
        <w:rPr>
          <w:rFonts w:ascii="Times New Roman" w:hAnsi="Times New Roman" w:cs="Times New Roman"/>
        </w:rPr>
        <w:t xml:space="preserve"> et des postures énonciatives ; d’autre part, elle invite à rendre compte des stratégies médiationnelles à la base de l’installation des postures énonciatives dans un univers de sens. </w:t>
      </w:r>
    </w:p>
    <w:p w14:paraId="79FE7720"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Ainsi, l’on postulera une définition interactionnelle de la perception compatible avec la manière dont Alain Rabatel conçoit les relations entre une instance énonciative et la réalité. En articulant la diathèse active avec la diathèse passive (le sujet n’est pas seulement agissant, mais agi) et avec la diathèse réciproque (simultanéité des procès actif et passif ; Tesnière 1959 : 34), voire avec la « diathèse réciproque fusionnée » (Bordron 2012 : « Alfred et Bernard s’entretuent », « un seul amour partagé »...), il est possible de décrire l’interaction entre l’instance percevante et la réalité comme une co-fondation. La réalité signifie pour moi à travers la perception et je suis « moi » en me situant par rapport à la réalité en tant que percepteur. La perception peut alors être considérée comme une « activité » (Bordron 2012).</w:t>
      </w:r>
    </w:p>
    <w:p w14:paraId="322CF273"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En ce qui concerne les postures énonciatives, il est nécessaire de remonter vers l’activité scripturale elle-même et de montrer en quoi la notion de diathèse peut rendre compte de la </w:t>
      </w:r>
      <w:r w:rsidRPr="007A0B82">
        <w:rPr>
          <w:rFonts w:ascii="Times New Roman" w:hAnsi="Times New Roman" w:cs="Times New Roman"/>
        </w:rPr>
        <w:lastRenderedPageBreak/>
        <w:t>gestion des PDV, c’est-à-dire de la distribution des délégations et de la multiplication ou de la diminution du nombre des médiations énonciatives</w:t>
      </w:r>
      <w:r w:rsidRPr="007A0B82">
        <w:rPr>
          <w:rStyle w:val="Appelnotedebasdep"/>
          <w:rFonts w:ascii="Times New Roman" w:hAnsi="Times New Roman" w:cs="Times New Roman"/>
        </w:rPr>
        <w:footnoteReference w:id="5"/>
      </w:r>
      <w:r w:rsidRPr="007A0B82">
        <w:rPr>
          <w:rFonts w:ascii="Times New Roman" w:hAnsi="Times New Roman" w:cs="Times New Roman"/>
        </w:rPr>
        <w:t xml:space="preserve">. Nous dirons que la diathèse </w:t>
      </w:r>
      <w:r w:rsidRPr="007A0B82">
        <w:rPr>
          <w:rFonts w:ascii="Times New Roman" w:hAnsi="Times New Roman" w:cs="Times New Roman"/>
          <w:i/>
        </w:rPr>
        <w:t xml:space="preserve">causative </w:t>
      </w:r>
      <w:r w:rsidRPr="007A0B82">
        <w:rPr>
          <w:rFonts w:ascii="Times New Roman" w:hAnsi="Times New Roman" w:cs="Times New Roman"/>
        </w:rPr>
        <w:t xml:space="preserve">selon Tesnière, c’est-à-dire le « faire faire », qui a pour effet l’accroissement du nombre des intermédiaires et la création d’une distance (débrayage), engage une visée centrifuge, alors que la diathèse </w:t>
      </w:r>
      <w:r w:rsidRPr="007A0B82">
        <w:rPr>
          <w:rFonts w:ascii="Times New Roman" w:hAnsi="Times New Roman" w:cs="Times New Roman"/>
          <w:i/>
        </w:rPr>
        <w:t>récessive</w:t>
      </w:r>
      <w:r w:rsidRPr="007A0B82">
        <w:rPr>
          <w:rFonts w:ascii="Times New Roman" w:hAnsi="Times New Roman" w:cs="Times New Roman"/>
        </w:rPr>
        <w:t>, la suppression des intermédiaires, est liée à l’embrayage et à une visée centripète. Les deux diathèses constituent ainsi des pré-formes qui gèrent l’orchestration des instances dans leur rapport à l’événement de sens.</w:t>
      </w:r>
    </w:p>
    <w:p w14:paraId="015DE7F1"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Considérons les PDV dans un premier extrait d’</w:t>
      </w:r>
      <w:r w:rsidRPr="007A0B82">
        <w:rPr>
          <w:rFonts w:ascii="Times New Roman" w:hAnsi="Times New Roman" w:cs="Times New Roman"/>
          <w:i/>
        </w:rPr>
        <w:t>Un balcon en forêt </w:t>
      </w:r>
      <w:r w:rsidRPr="007A0B82">
        <w:rPr>
          <w:rFonts w:ascii="Times New Roman" w:hAnsi="Times New Roman" w:cs="Times New Roman"/>
        </w:rPr>
        <w:t>:</w:t>
      </w:r>
    </w:p>
    <w:p w14:paraId="0A97CAF1" w14:textId="77777777" w:rsidR="00094BD3" w:rsidRPr="007A0B82" w:rsidRDefault="00094BD3" w:rsidP="00094BD3">
      <w:pPr>
        <w:pStyle w:val="Paragraphedeliste"/>
        <w:numPr>
          <w:ilvl w:val="0"/>
          <w:numId w:val="1"/>
        </w:numPr>
        <w:spacing w:after="120" w:line="276" w:lineRule="auto"/>
        <w:jc w:val="both"/>
      </w:pPr>
      <w:r w:rsidRPr="007A0B82">
        <w:t xml:space="preserve">Dès qu’on avait dépassé les dernières maisons de Moriarmé, le goudron cessait, tandis qu’on entamait les premiers lacets. On eût dit que la caillasse de la route avait été charruée sur toute sa largeur : c’était une sorte de </w:t>
      </w:r>
      <w:r w:rsidRPr="007A0B82">
        <w:rPr>
          <w:i/>
        </w:rPr>
        <w:t>reg</w:t>
      </w:r>
      <w:r w:rsidRPr="007A0B82">
        <w:t xml:space="preserve"> saharien, un fleuve de pierres sans fossé ni banquette entre les deux murs des taillis. Grande consulta sa carte parmi les cahots : on s’engageait dans une laie forestière (p. 16)</w:t>
      </w:r>
      <w:r w:rsidRPr="007A0B82">
        <w:rPr>
          <w:rStyle w:val="Appelnotedebasdep"/>
        </w:rPr>
        <w:footnoteReference w:id="6"/>
      </w:r>
      <w:r w:rsidRPr="007A0B82">
        <w:t xml:space="preserve">. </w:t>
      </w:r>
    </w:p>
    <w:p w14:paraId="7C51307A" w14:textId="21A0D024"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Attardons-nous sur la deuxième phrase. Le pronom indéfini « on » (« on eût dit que la caillasse de la route... ») traduit une co-énonciation, non seulement entre énonciateurs seconds unis dans une même perception/pensée, mais encore entre le Locuteur/</w:t>
      </w:r>
      <w:r w:rsidR="00D96CB8" w:rsidRPr="007A0B82">
        <w:t>É</w:t>
      </w:r>
      <w:r w:rsidRPr="007A0B82">
        <w:rPr>
          <w:rFonts w:ascii="Times New Roman" w:hAnsi="Times New Roman" w:cs="Times New Roman"/>
        </w:rPr>
        <w:t>nonciateur premier et un ou plusieurs énonciateurs seconds (accord par validation et justification communes, ici implicites). Le narrateur peut se mettre empathiquement à la place du ou des personnages, engagé</w:t>
      </w:r>
      <w:r w:rsidR="009A1A98">
        <w:rPr>
          <w:rFonts w:ascii="Times New Roman" w:hAnsi="Times New Roman" w:cs="Times New Roman"/>
        </w:rPr>
        <w:t>(</w:t>
      </w:r>
      <w:r w:rsidRPr="007A0B82">
        <w:rPr>
          <w:rFonts w:ascii="Times New Roman" w:hAnsi="Times New Roman" w:cs="Times New Roman"/>
        </w:rPr>
        <w:t>s</w:t>
      </w:r>
      <w:r w:rsidR="009A1A98">
        <w:rPr>
          <w:rFonts w:ascii="Times New Roman" w:hAnsi="Times New Roman" w:cs="Times New Roman"/>
        </w:rPr>
        <w:t>)</w:t>
      </w:r>
      <w:r w:rsidRPr="007A0B82">
        <w:rPr>
          <w:rFonts w:ascii="Times New Roman" w:hAnsi="Times New Roman" w:cs="Times New Roman"/>
        </w:rPr>
        <w:t xml:space="preserve"> dans un monologue intérieur infra-verbalisé. Dans ce cas, nulle discussion, nulle négociation des positions, mais, du point de vue actantiel, une belle </w:t>
      </w:r>
      <w:r w:rsidRPr="007A0B82">
        <w:rPr>
          <w:rFonts w:ascii="Times New Roman" w:hAnsi="Times New Roman" w:cs="Times New Roman"/>
          <w:i/>
        </w:rPr>
        <w:t>coïncidence</w:t>
      </w:r>
      <w:r w:rsidRPr="007A0B82">
        <w:rPr>
          <w:rFonts w:ascii="Times New Roman" w:hAnsi="Times New Roman" w:cs="Times New Roman"/>
        </w:rPr>
        <w:t xml:space="preserve"> ou accord : le « on » possède une « valeur de marqueur d’un récessif intégral » (Bordron 2012). Je le mets en relation avec l’opération de l’embrayage et une visée centripète. On assiste à un télescopage, voire à une fusion des instances énonciatives. Enfin, selon une suggestion d’Alain Rabatel</w:t>
      </w:r>
      <w:r w:rsidR="007A0B82" w:rsidRPr="007A0B82">
        <w:rPr>
          <w:rStyle w:val="Appelnotedebasdep"/>
          <w:rFonts w:ascii="Times New Roman" w:hAnsi="Times New Roman" w:cs="Times New Roman"/>
        </w:rPr>
        <w:footnoteReference w:id="7"/>
      </w:r>
      <w:r w:rsidRPr="007A0B82">
        <w:rPr>
          <w:rFonts w:ascii="Times New Roman" w:hAnsi="Times New Roman" w:cs="Times New Roman"/>
        </w:rPr>
        <w:t xml:space="preserve">, à ce premier type de co-énonciation s’en ajoute un autre, auto-dialogique, si l’on admet que la co-énonciation, par opposition à la sur- et à la sous-énonciation, est fondée sur l’adéquation entre la perception et l’interprétation. </w:t>
      </w:r>
    </w:p>
    <w:p w14:paraId="51BDB51D" w14:textId="71B07A6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En même temps, la distance avec l’événement demeure, comme en témoigne le subjonctif plus-que-parfait à valeur de conditionnel passé : l’identification de l’événement est proposée à titre d’hypothèse (irréel du passé), c’est-à-dire préassertée par le Locuteur/</w:t>
      </w:r>
      <w:r w:rsidR="009A1A98" w:rsidRPr="007A0B82">
        <w:t>É</w:t>
      </w:r>
      <w:r w:rsidRPr="007A0B82">
        <w:rPr>
          <w:rFonts w:ascii="Times New Roman" w:hAnsi="Times New Roman" w:cs="Times New Roman"/>
        </w:rPr>
        <w:t xml:space="preserve">nonciateur premier et préassumée par l’énonciateur second. Je réserve ici la gamme des assertions – assertion, désassertion, prise en compte, préassertion (cf. Colas-Blaise 2011) – au locuteur/énonciateur et la gamme des assomptions – assomption, désassomption, non assomption, préassomption – aux instances responsables d’un PDV qui ne sont pas locutrices. Selon Jacques Fontanille (2003 [1998] : 282-283), la « prédication assomptive » permet à une instance de faire connaître sa « position par rapport à ce qui advient dans son champ ». Ou encore, « la prédication assomptive est une autre articulation de la présence, complémentaire </w:t>
      </w:r>
      <w:r w:rsidRPr="007A0B82">
        <w:rPr>
          <w:rFonts w:ascii="Times New Roman" w:hAnsi="Times New Roman" w:cs="Times New Roman"/>
        </w:rPr>
        <w:lastRenderedPageBreak/>
        <w:t xml:space="preserve">de la première [la prédication existentielle grâce à l’assertion]. D’une certaine manière, il s’agit en effet de la présence à l’autre, présence de l’instance de discours à ce qui advient, présence à ce qui apparaît dans le champ et qui n’est pas elle-même ». Il s’agit ici d’adapter la notion d’assomption, qui peut être découplée de celle d’assertion, à un cadre hétéro- ou auto-dialogique. </w:t>
      </w:r>
    </w:p>
    <w:p w14:paraId="75D9F445" w14:textId="23CFE10F" w:rsidR="00094BD3" w:rsidRPr="007A0B82" w:rsidRDefault="00094BD3" w:rsidP="00094BD3">
      <w:pPr>
        <w:pStyle w:val="Notedebasdepage"/>
        <w:spacing w:after="120" w:line="276" w:lineRule="auto"/>
        <w:jc w:val="both"/>
        <w:rPr>
          <w:sz w:val="24"/>
          <w:szCs w:val="24"/>
        </w:rPr>
      </w:pPr>
      <w:r w:rsidRPr="007A0B82">
        <w:rPr>
          <w:sz w:val="24"/>
          <w:szCs w:val="24"/>
        </w:rPr>
        <w:t>La valeur modale (« on eût dit ») peut être du ressort du Locuteur-Énonciateur premier, qui co-énonce. Se pourrait-il aussi – lecture concurrente – qu’il prenne ses distances par rapport au PDV du personnage sans pour autant adopter la posture du sur-énonciateur ? L’analyse est délicate, en raison de l’absence des marques de reprise, citation, mention ou reformulation qui entrent souvent dans la co-construction du PDV (Rabatel 2012</w:t>
      </w:r>
      <w:r w:rsidR="009A1A98">
        <w:rPr>
          <w:sz w:val="24"/>
          <w:szCs w:val="24"/>
        </w:rPr>
        <w:t>a</w:t>
      </w:r>
      <w:r w:rsidRPr="007A0B82">
        <w:rPr>
          <w:sz w:val="24"/>
          <w:szCs w:val="24"/>
        </w:rPr>
        <w:t xml:space="preserve">). Dans le cas du compte rendu en style indirect libre, il est possible que le Locuteur/Énonciateur premier se fasse l’écho du PDV du personnage, sans marque de distanciation. Il asserte, non point le PDV de l’énonciateur second, mais le fait que ce dernier a interprété le paysage. Il se contente alors d’enregistrer le PDV de l’énonciateur second, qui propose une interprétation de l’événement de sens. Il </w:t>
      </w:r>
      <w:r w:rsidRPr="007A0B82">
        <w:rPr>
          <w:i/>
          <w:sz w:val="24"/>
          <w:szCs w:val="24"/>
        </w:rPr>
        <w:t>prend acte</w:t>
      </w:r>
      <w:r w:rsidRPr="007A0B82">
        <w:rPr>
          <w:sz w:val="24"/>
          <w:szCs w:val="24"/>
        </w:rPr>
        <w:t xml:space="preserve"> du PDV de l’énonciateur second</w:t>
      </w:r>
      <w:r w:rsidRPr="007A0B82">
        <w:rPr>
          <w:rStyle w:val="Appelnotedebasdep"/>
          <w:sz w:val="24"/>
          <w:szCs w:val="24"/>
        </w:rPr>
        <w:footnoteReference w:id="8"/>
      </w:r>
      <w:r w:rsidRPr="007A0B82">
        <w:rPr>
          <w:sz w:val="24"/>
          <w:szCs w:val="24"/>
        </w:rPr>
        <w:t xml:space="preserve">. Nous sommes ainsi confrontés à une indétermination du sens, que le contexte permet toutefois de réduire. </w:t>
      </w:r>
    </w:p>
    <w:p w14:paraId="457CF9FF" w14:textId="77777777" w:rsidR="00094BD3" w:rsidRPr="007A0B82" w:rsidRDefault="00094BD3" w:rsidP="00094BD3">
      <w:pPr>
        <w:pStyle w:val="Notedebasdepage"/>
        <w:spacing w:after="120" w:line="276" w:lineRule="auto"/>
        <w:jc w:val="both"/>
        <w:rPr>
          <w:sz w:val="24"/>
          <w:szCs w:val="24"/>
        </w:rPr>
      </w:pPr>
      <w:r w:rsidRPr="007A0B82">
        <w:rPr>
          <w:sz w:val="24"/>
          <w:szCs w:val="24"/>
        </w:rPr>
        <w:t xml:space="preserve">On en conclura, prudemment, que si l’hétéro- et l’auto-dialogisme constituent deux types de co-énonciation, cette dernière s’exprime aussi en intensité et en étendue. L’expression « on eût dit » suggère la possibilité de distinguer une co-énonciation tonique (première interprétation) et une co-énonciation atone (deuxième interprétation). Enfin, la portée de l’assomption varie dans les deux cas. </w:t>
      </w:r>
    </w:p>
    <w:p w14:paraId="5658D539" w14:textId="1A61A37F" w:rsidR="00226095" w:rsidRPr="00226095" w:rsidRDefault="00094BD3" w:rsidP="00226095">
      <w:pPr>
        <w:pStyle w:val="Notedebasdepage"/>
        <w:spacing w:after="120" w:line="276" w:lineRule="auto"/>
        <w:jc w:val="both"/>
        <w:rPr>
          <w:sz w:val="24"/>
          <w:szCs w:val="24"/>
          <w:lang w:val="fr-CH"/>
        </w:rPr>
      </w:pPr>
      <w:r w:rsidRPr="007A0B82">
        <w:rPr>
          <w:sz w:val="24"/>
          <w:szCs w:val="24"/>
        </w:rPr>
        <w:t xml:space="preserve">C’est ce que nous chercherons à vérifier en considérant la suite de l’extrait. Qu’implique le double-points introduisant le style indirect libre ? Ce dernier est associé à la montée vers l’assertion/assomption « c’était une sorte de </w:t>
      </w:r>
      <w:r w:rsidRPr="007A0B82">
        <w:rPr>
          <w:i/>
          <w:sz w:val="24"/>
          <w:szCs w:val="24"/>
        </w:rPr>
        <w:t xml:space="preserve">reg </w:t>
      </w:r>
      <w:r w:rsidRPr="007A0B82">
        <w:rPr>
          <w:sz w:val="24"/>
          <w:szCs w:val="24"/>
        </w:rPr>
        <w:t>saharien... ». « On » dit et/ou pense qu’</w:t>
      </w:r>
      <w:r w:rsidRPr="007A0B82">
        <w:rPr>
          <w:i/>
          <w:sz w:val="24"/>
          <w:szCs w:val="24"/>
        </w:rPr>
        <w:t>il est vrai que</w:t>
      </w:r>
      <w:r w:rsidRPr="007A0B82">
        <w:rPr>
          <w:sz w:val="24"/>
          <w:szCs w:val="24"/>
        </w:rPr>
        <w:t xml:space="preserve"> la caillasse est « une sorte de </w:t>
      </w:r>
      <w:r w:rsidRPr="007A0B82">
        <w:rPr>
          <w:i/>
          <w:sz w:val="24"/>
          <w:szCs w:val="24"/>
        </w:rPr>
        <w:t>reg</w:t>
      </w:r>
      <w:r w:rsidRPr="007A0B82">
        <w:rPr>
          <w:sz w:val="24"/>
          <w:szCs w:val="24"/>
        </w:rPr>
        <w:t xml:space="preserve"> saharien ». L’expression « une sorte de » s’insère dans une chaîne de modalisations qui sont autant de traces de l’inscription d’une subjectivité (inadéquation possible de la dénomination ; « une sorte de » traduit ni un acte d’identification ni un acte de rupture, mais un acte de différenciation (Rabatel 2012</w:t>
      </w:r>
      <w:r w:rsidR="003D660F">
        <w:rPr>
          <w:sz w:val="24"/>
          <w:szCs w:val="24"/>
        </w:rPr>
        <w:t>a</w:t>
      </w:r>
      <w:r w:rsidRPr="007A0B82">
        <w:rPr>
          <w:sz w:val="24"/>
          <w:szCs w:val="24"/>
        </w:rPr>
        <w:t xml:space="preserve">)). On peut parler d’une co-énonciation (mise au même niveau du Locuteur/Enonciateur premier et de l’énonciateur second) – même si elle reste implicite –, d’une « récession » du point de vue de la diathèse et d’une visée centripète (embrayage). La co-énonciation porte sur le cadre de l’assertion/assomption et/ou sur la dénomination, voire sur le fait de mettre en doute la </w:t>
      </w:r>
      <w:r w:rsidRPr="00226095">
        <w:rPr>
          <w:sz w:val="24"/>
          <w:szCs w:val="24"/>
        </w:rPr>
        <w:t xml:space="preserve">justesse de la dénomination. Dans ce dernier cas, </w:t>
      </w:r>
      <w:r w:rsidR="00226095" w:rsidRPr="00226095">
        <w:rPr>
          <w:sz w:val="24"/>
          <w:szCs w:val="24"/>
        </w:rPr>
        <w:t xml:space="preserve">nous parlons d’une </w:t>
      </w:r>
      <w:r w:rsidRPr="00226095">
        <w:rPr>
          <w:sz w:val="24"/>
          <w:szCs w:val="24"/>
        </w:rPr>
        <w:t>co-énonciation tonique (même si elle reste implicite) parce que l’investissement et la force d’engagement sont facilités, d’une part, par l’emploi du terme technique « reg », qui témoigne d’un savoir commun aux énonciateurs et validé comme tel</w:t>
      </w:r>
      <w:r w:rsidRPr="00226095">
        <w:rPr>
          <w:rStyle w:val="Appelnotedebasdep"/>
          <w:sz w:val="24"/>
          <w:szCs w:val="24"/>
        </w:rPr>
        <w:footnoteReference w:id="9"/>
      </w:r>
      <w:r w:rsidRPr="00226095">
        <w:rPr>
          <w:sz w:val="24"/>
          <w:szCs w:val="24"/>
        </w:rPr>
        <w:t xml:space="preserve">, et, d’autre part, par un accord interne – voire intime – sur l’inadéquation possible de la dénomination. </w:t>
      </w:r>
      <w:r w:rsidR="00226095" w:rsidRPr="00226095">
        <w:rPr>
          <w:sz w:val="24"/>
          <w:szCs w:val="24"/>
          <w:lang w:val="fr-CH"/>
        </w:rPr>
        <w:t xml:space="preserve">Si, toutefois, « une sorte de » témoigne des réticences d’un des énonciateurs par rapport au PDV d’un autre et que la mise </w:t>
      </w:r>
      <w:r w:rsidR="00226095" w:rsidRPr="00226095">
        <w:rPr>
          <w:sz w:val="24"/>
          <w:szCs w:val="24"/>
          <w:lang w:val="fr-CH"/>
        </w:rPr>
        <w:lastRenderedPageBreak/>
        <w:t xml:space="preserve">en doute de l’adéquation du terme « reg » ne soit donc pas partagée, la co-énonciation est </w:t>
      </w:r>
      <w:r w:rsidR="00226095">
        <w:rPr>
          <w:sz w:val="24"/>
          <w:szCs w:val="24"/>
          <w:lang w:val="fr-CH"/>
        </w:rPr>
        <w:t xml:space="preserve">dite </w:t>
      </w:r>
      <w:r w:rsidR="00226095" w:rsidRPr="00226095">
        <w:rPr>
          <w:sz w:val="24"/>
          <w:szCs w:val="24"/>
          <w:lang w:val="fr-CH"/>
        </w:rPr>
        <w:t xml:space="preserve">atone. </w:t>
      </w:r>
    </w:p>
    <w:p w14:paraId="668F7A16" w14:textId="2A9638AD" w:rsidR="00094BD3" w:rsidRPr="007A0B82" w:rsidRDefault="00094BD3" w:rsidP="00226095">
      <w:pPr>
        <w:pStyle w:val="Notedebasdepage"/>
        <w:spacing w:after="120" w:line="276" w:lineRule="auto"/>
        <w:jc w:val="both"/>
        <w:rPr>
          <w:sz w:val="24"/>
          <w:szCs w:val="24"/>
        </w:rPr>
      </w:pPr>
      <w:r w:rsidRPr="00226095">
        <w:rPr>
          <w:sz w:val="24"/>
          <w:szCs w:val="24"/>
        </w:rPr>
        <w:t>Dans ce contexte, la scription italique peut non seulement indiquer la présence d’un terme technique ou étranger, mais encore traduire une « énergétique du mot », selon les termes de</w:t>
      </w:r>
      <w:r w:rsidRPr="007A0B82">
        <w:rPr>
          <w:sz w:val="24"/>
          <w:szCs w:val="24"/>
        </w:rPr>
        <w:t xml:space="preserve"> Julien Gracq (</w:t>
      </w:r>
      <w:r w:rsidR="00FF5729" w:rsidRPr="007A0B82">
        <w:rPr>
          <w:sz w:val="24"/>
          <w:szCs w:val="24"/>
        </w:rPr>
        <w:t>19</w:t>
      </w:r>
      <w:r w:rsidR="00FF5729">
        <w:rPr>
          <w:sz w:val="24"/>
          <w:szCs w:val="24"/>
        </w:rPr>
        <w:t>77</w:t>
      </w:r>
      <w:r w:rsidRPr="007A0B82">
        <w:rPr>
          <w:sz w:val="24"/>
          <w:szCs w:val="24"/>
        </w:rPr>
        <w:t xml:space="preserve">), c’est-à-dire un pic d’intensité et un investissement maximal de l’instance énonciative (aux niveaux 1 et/ou 2) qui s’approprie ce mot emprunté à un langage technique. </w:t>
      </w:r>
    </w:p>
    <w:p w14:paraId="294B7EA7" w14:textId="77777777" w:rsidR="00094BD3" w:rsidRPr="007A0B82" w:rsidRDefault="00094BD3" w:rsidP="00094BD3">
      <w:pPr>
        <w:spacing w:before="120" w:after="120" w:line="276" w:lineRule="auto"/>
        <w:jc w:val="both"/>
        <w:rPr>
          <w:rFonts w:ascii="Times New Roman" w:hAnsi="Times New Roman" w:cs="Times New Roman"/>
        </w:rPr>
      </w:pPr>
      <w:r w:rsidRPr="007A0B82">
        <w:rPr>
          <w:rFonts w:ascii="Times New Roman" w:hAnsi="Times New Roman" w:cs="Times New Roman"/>
        </w:rPr>
        <w:t xml:space="preserve">Résumons. La co-énonciation peut être approchée sous différents angles : </w:t>
      </w:r>
    </w:p>
    <w:p w14:paraId="50468C48" w14:textId="69E93BC7" w:rsidR="00094BD3" w:rsidRPr="007A0B82" w:rsidRDefault="00094BD3" w:rsidP="00094BD3">
      <w:pPr>
        <w:pStyle w:val="Paragraphedeliste"/>
        <w:numPr>
          <w:ilvl w:val="0"/>
          <w:numId w:val="4"/>
        </w:numPr>
        <w:spacing w:after="120" w:line="276" w:lineRule="auto"/>
        <w:jc w:val="both"/>
      </w:pPr>
      <w:r w:rsidRPr="007A0B82">
        <w:t xml:space="preserve">du point de vue de la diathèse mise en œuvre. La notion de diathèse permet alors de caractériser la co-énonciation par rapport à la sur- et la sous-énonciation. Si, dans le cas de la sur- et de la sous-énonciation, la diathèse causative de l’ordre du « faire faire » serait rapprochée de l’opération du débrayage (déhiscence et mise à distance) et d’une visée centrifuge, dans le cas de la co-énonciation, la diathèse est récessive ; elle correspond à un embrayage (consubstantialité des énonciateurs) et </w:t>
      </w:r>
      <w:r w:rsidR="003D660F">
        <w:t xml:space="preserve">à </w:t>
      </w:r>
      <w:r w:rsidRPr="007A0B82">
        <w:t xml:space="preserve">une visée centripète. Ainsi, les postures énonciatives se définissent au croisement de différents régimes de la prise en charge/assertion et assomption et de constellations énonciatives dont la taille varie en fonction des médiations et des délégations mises en oeuvre (diathèse récessive ou causative ; visée centripète ou centrifuge ; embrayage ou débrayage) ;  </w:t>
      </w:r>
    </w:p>
    <w:p w14:paraId="3D80882A" w14:textId="77777777" w:rsidR="00094BD3" w:rsidRPr="007A0B82" w:rsidRDefault="00094BD3" w:rsidP="00094BD3">
      <w:pPr>
        <w:pStyle w:val="Paragraphedeliste"/>
        <w:numPr>
          <w:ilvl w:val="0"/>
          <w:numId w:val="4"/>
        </w:numPr>
        <w:spacing w:before="120" w:after="120" w:line="276" w:lineRule="auto"/>
        <w:jc w:val="both"/>
      </w:pPr>
      <w:r w:rsidRPr="007A0B82">
        <w:t xml:space="preserve">du point de vue des types de co-énonciation. On peut distinguer deux types de co-énonciation : hétéro- et auto-dialogique ; </w:t>
      </w:r>
    </w:p>
    <w:p w14:paraId="06F47D37" w14:textId="77777777" w:rsidR="00094BD3" w:rsidRPr="007A0B82" w:rsidRDefault="00094BD3" w:rsidP="00094BD3">
      <w:pPr>
        <w:pStyle w:val="Paragraphedeliste"/>
        <w:numPr>
          <w:ilvl w:val="0"/>
          <w:numId w:val="4"/>
        </w:numPr>
        <w:spacing w:before="120" w:after="120" w:line="276" w:lineRule="auto"/>
        <w:jc w:val="both"/>
      </w:pPr>
      <w:r w:rsidRPr="007A0B82">
        <w:t xml:space="preserve">du point de vue des variations en intensité et en étendue. La co-énonciation peut s’exprimer en intensité – variantes tonique et atone – et en étendue (portée). </w:t>
      </w:r>
    </w:p>
    <w:p w14:paraId="6C74652B" w14:textId="41E05C9A" w:rsidR="00094BD3" w:rsidRPr="007A0B82" w:rsidRDefault="00094BD3" w:rsidP="00094BD3">
      <w:pPr>
        <w:spacing w:before="120" w:after="120" w:line="276" w:lineRule="auto"/>
        <w:jc w:val="both"/>
        <w:rPr>
          <w:rFonts w:ascii="Times New Roman" w:hAnsi="Times New Roman" w:cs="Times New Roman"/>
        </w:rPr>
      </w:pPr>
      <w:r w:rsidRPr="007A0B82">
        <w:rPr>
          <w:rFonts w:ascii="Times New Roman" w:hAnsi="Times New Roman" w:cs="Times New Roman"/>
        </w:rPr>
        <w:t xml:space="preserve">Par définition, la co-énonciation atone n’est pas exempte de tensions. Dans la deuxième partie, il s’agira de préciser davantage </w:t>
      </w:r>
      <w:r w:rsidR="00480A66">
        <w:rPr>
          <w:rFonts w:ascii="Times New Roman" w:hAnsi="Times New Roman" w:cs="Times New Roman"/>
        </w:rPr>
        <w:t>celles</w:t>
      </w:r>
      <w:r w:rsidRPr="007A0B82">
        <w:rPr>
          <w:rFonts w:ascii="Times New Roman" w:hAnsi="Times New Roman" w:cs="Times New Roman"/>
        </w:rPr>
        <w:t xml:space="preserve"> qui peuvent traverser son espace. À terme, nous comptons requalifier les </w:t>
      </w:r>
      <w:r w:rsidRPr="007A0B82">
        <w:rPr>
          <w:rFonts w:ascii="Times New Roman" w:hAnsi="Times New Roman" w:cs="Times New Roman"/>
          <w:i/>
        </w:rPr>
        <w:t>variations</w:t>
      </w:r>
      <w:r w:rsidRPr="007A0B82">
        <w:rPr>
          <w:rFonts w:ascii="Times New Roman" w:hAnsi="Times New Roman" w:cs="Times New Roman"/>
        </w:rPr>
        <w:t xml:space="preserve"> en intensité et en étendue en </w:t>
      </w:r>
      <w:r w:rsidRPr="007A0B82">
        <w:rPr>
          <w:rFonts w:ascii="Times New Roman" w:hAnsi="Times New Roman" w:cs="Times New Roman"/>
          <w:i/>
        </w:rPr>
        <w:t>régimes</w:t>
      </w:r>
      <w:r w:rsidRPr="007A0B82">
        <w:rPr>
          <w:rFonts w:ascii="Times New Roman" w:hAnsi="Times New Roman" w:cs="Times New Roman"/>
        </w:rPr>
        <w:t xml:space="preserve"> de la co-énonciation. </w:t>
      </w:r>
    </w:p>
    <w:p w14:paraId="485A19AF"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2. Concordance/discordance et logiques tensives</w:t>
      </w:r>
    </w:p>
    <w:p w14:paraId="43981A2D" w14:textId="453301CC" w:rsidR="00094BD3"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Nous adossons notre réflexion au schéma qui permet à Alain Rabatel et Solveig Lepoire Duc (2005) d’envisager les relations entre les énonciateurs :</w:t>
      </w:r>
    </w:p>
    <w:p w14:paraId="3D54A8EC" w14:textId="77777777" w:rsidR="00480A66" w:rsidRDefault="00480A66" w:rsidP="00094BD3">
      <w:pPr>
        <w:rPr>
          <w:rFonts w:ascii="Times New Roman" w:hAnsi="Times New Roman" w:cs="Times New Roman"/>
        </w:rPr>
      </w:pPr>
    </w:p>
    <w:p w14:paraId="3D3114C1" w14:textId="19DFE4AE" w:rsidR="00094BD3" w:rsidRPr="007A0B82" w:rsidRDefault="00094BD3" w:rsidP="00094BD3">
      <w:pPr>
        <w:rPr>
          <w:rFonts w:ascii="Times New Roman" w:hAnsi="Times New Roman" w:cs="Times New Roman"/>
        </w:rPr>
      </w:pPr>
      <w:r w:rsidRPr="007A0B82">
        <w:rPr>
          <w:rFonts w:ascii="Times New Roman" w:hAnsi="Times New Roman" w:cs="Times New Roman"/>
          <w:noProof/>
          <w:lang w:eastAsia="fr-FR"/>
        </w:rPr>
        <mc:AlternateContent>
          <mc:Choice Requires="wps">
            <w:drawing>
              <wp:anchor distT="0" distB="0" distL="114300" distR="114300" simplePos="0" relativeHeight="251660288" behindDoc="1" locked="0" layoutInCell="1" allowOverlap="1" wp14:anchorId="1219CEF7" wp14:editId="0325A496">
                <wp:simplePos x="0" y="0"/>
                <wp:positionH relativeFrom="column">
                  <wp:posOffset>-224790</wp:posOffset>
                </wp:positionH>
                <wp:positionV relativeFrom="paragraph">
                  <wp:posOffset>129540</wp:posOffset>
                </wp:positionV>
                <wp:extent cx="6153150" cy="1842770"/>
                <wp:effectExtent l="0" t="0" r="635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1842770"/>
                        </a:xfrm>
                        <a:prstGeom prst="flowChartProcess">
                          <a:avLst/>
                        </a:prstGeom>
                        <a:noFill/>
                        <a:ln w="12700">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3D4BFF8" id="_x0000_t109" coordsize="21600,21600" o:spt="109" path="m,l,21600r21600,l21600,xe">
                <v:stroke joinstyle="miter"/>
                <v:path gradientshapeok="t" o:connecttype="rect"/>
              </v:shapetype>
              <v:shape id="AutoShape 6" o:spid="_x0000_s1026" type="#_x0000_t109" style="position:absolute;margin-left:-17.7pt;margin-top:10.2pt;width:484.5pt;height:14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" filled="f" strokecolor="black [3213]" strokeweight="1pt">
                <v:path arrowok="t"/>
                <v:textbox inset=",7.2pt,,7.2pt"/>
              </v:shape>
            </w:pict>
          </mc:Fallback>
        </mc:AlternateContent>
      </w:r>
    </w:p>
    <w:p w14:paraId="1EF5F2E0" w14:textId="77777777" w:rsidR="00094BD3" w:rsidRPr="007A0B82" w:rsidRDefault="00094BD3" w:rsidP="00094BD3">
      <w:pPr>
        <w:rPr>
          <w:rFonts w:ascii="Times New Roman" w:hAnsi="Times New Roman" w:cs="Times New Roman"/>
        </w:rPr>
      </w:pPr>
    </w:p>
    <w:tbl>
      <w:tblPr>
        <w:tblStyle w:val="Grilledutableau"/>
        <w:tblW w:w="9464" w:type="dxa"/>
        <w:jc w:val="center"/>
        <w:tblLook w:val="00A0" w:firstRow="1" w:lastRow="0" w:firstColumn="1" w:lastColumn="0" w:noHBand="0" w:noVBand="0"/>
      </w:tblPr>
      <w:tblGrid>
        <w:gridCol w:w="2376"/>
        <w:gridCol w:w="2410"/>
        <w:gridCol w:w="2410"/>
        <w:gridCol w:w="2268"/>
      </w:tblGrid>
      <w:tr w:rsidR="00094BD3" w:rsidRPr="007A0B82" w14:paraId="5341DCB6" w14:textId="77777777" w:rsidTr="006D12B2">
        <w:trPr>
          <w:trHeight w:val="303"/>
          <w:jc w:val="center"/>
        </w:trPr>
        <w:tc>
          <w:tcPr>
            <w:tcW w:w="2376" w:type="dxa"/>
            <w:vAlign w:val="center"/>
          </w:tcPr>
          <w:p w14:paraId="5C734F25" w14:textId="77777777" w:rsidR="00094BD3" w:rsidRPr="007A0B82" w:rsidRDefault="00094BD3" w:rsidP="006D12B2">
            <w:pPr>
              <w:jc w:val="right"/>
              <w:rPr>
                <w:rFonts w:ascii="Times New Roman" w:hAnsi="Times New Roman" w:cs="Times New Roman"/>
              </w:rPr>
            </w:pPr>
            <w:r w:rsidRPr="007A0B82">
              <w:rPr>
                <w:rFonts w:ascii="Times New Roman" w:hAnsi="Times New Roman" w:cs="Times New Roman"/>
              </w:rPr>
              <w:t xml:space="preserve">Concordance concordante      </w:t>
            </w:r>
          </w:p>
        </w:tc>
        <w:tc>
          <w:tcPr>
            <w:tcW w:w="2410" w:type="dxa"/>
            <w:vAlign w:val="center"/>
          </w:tcPr>
          <w:p w14:paraId="4EB01B21" w14:textId="77777777" w:rsidR="00094BD3" w:rsidRPr="007A0B82" w:rsidRDefault="00094BD3" w:rsidP="006D12B2">
            <w:pPr>
              <w:jc w:val="right"/>
              <w:rPr>
                <w:rFonts w:ascii="Times New Roman" w:hAnsi="Times New Roman" w:cs="Times New Roman"/>
              </w:rPr>
            </w:pPr>
            <w:r w:rsidRPr="007A0B82">
              <w:rPr>
                <w:rFonts w:ascii="Times New Roman" w:hAnsi="Times New Roman" w:cs="Times New Roman"/>
              </w:rPr>
              <w:t xml:space="preserve">Concordance discordante     </w:t>
            </w:r>
          </w:p>
        </w:tc>
        <w:tc>
          <w:tcPr>
            <w:tcW w:w="2410" w:type="dxa"/>
            <w:vAlign w:val="center"/>
          </w:tcPr>
          <w:p w14:paraId="550D8EEA" w14:textId="77777777" w:rsidR="00094BD3" w:rsidRPr="007A0B82" w:rsidRDefault="00094BD3" w:rsidP="006D12B2">
            <w:pPr>
              <w:jc w:val="right"/>
              <w:rPr>
                <w:rFonts w:ascii="Times New Roman" w:hAnsi="Times New Roman" w:cs="Times New Roman"/>
              </w:rPr>
            </w:pPr>
            <w:r w:rsidRPr="007A0B82">
              <w:rPr>
                <w:rFonts w:ascii="Times New Roman" w:hAnsi="Times New Roman" w:cs="Times New Roman"/>
              </w:rPr>
              <w:t xml:space="preserve">Discordance concordante     </w:t>
            </w:r>
          </w:p>
        </w:tc>
        <w:tc>
          <w:tcPr>
            <w:tcW w:w="2268" w:type="dxa"/>
            <w:vAlign w:val="center"/>
          </w:tcPr>
          <w:p w14:paraId="04307D41" w14:textId="77777777" w:rsidR="00094BD3" w:rsidRPr="007A0B82" w:rsidRDefault="00094BD3" w:rsidP="006D12B2">
            <w:pPr>
              <w:rPr>
                <w:rFonts w:ascii="Times New Roman" w:hAnsi="Times New Roman" w:cs="Times New Roman"/>
              </w:rPr>
            </w:pPr>
            <w:r w:rsidRPr="007A0B82">
              <w:rPr>
                <w:rFonts w:ascii="Times New Roman" w:hAnsi="Times New Roman" w:cs="Times New Roman"/>
              </w:rPr>
              <w:t>Discordance discordante</w:t>
            </w:r>
          </w:p>
        </w:tc>
      </w:tr>
    </w:tbl>
    <w:p w14:paraId="20BD1181" w14:textId="77777777" w:rsidR="00094BD3" w:rsidRPr="007A0B82" w:rsidRDefault="00094BD3" w:rsidP="00094BD3">
      <w:pPr>
        <w:rPr>
          <w:rFonts w:ascii="Times New Roman" w:hAnsi="Times New Roman" w:cs="Times New Roman"/>
        </w:rPr>
      </w:pP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p>
    <w:tbl>
      <w:tblPr>
        <w:tblStyle w:val="Grilledutableau"/>
        <w:tblW w:w="9464" w:type="dxa"/>
        <w:jc w:val="center"/>
        <w:tblLook w:val="00A0" w:firstRow="1" w:lastRow="0" w:firstColumn="1" w:lastColumn="0" w:noHBand="0" w:noVBand="0"/>
      </w:tblPr>
      <w:tblGrid>
        <w:gridCol w:w="2376"/>
        <w:gridCol w:w="2410"/>
        <w:gridCol w:w="2410"/>
        <w:gridCol w:w="2268"/>
      </w:tblGrid>
      <w:tr w:rsidR="00094BD3" w:rsidRPr="007A0B82" w14:paraId="443D49F9" w14:textId="77777777" w:rsidTr="006D12B2">
        <w:trPr>
          <w:trHeight w:val="335"/>
          <w:jc w:val="center"/>
        </w:trPr>
        <w:tc>
          <w:tcPr>
            <w:tcW w:w="2376" w:type="dxa"/>
            <w:vAlign w:val="center"/>
          </w:tcPr>
          <w:p w14:paraId="10553E1C" w14:textId="77777777" w:rsidR="00094BD3" w:rsidRPr="007A0B82" w:rsidRDefault="00094BD3" w:rsidP="006D12B2">
            <w:pPr>
              <w:jc w:val="center"/>
              <w:rPr>
                <w:rFonts w:ascii="Times New Roman" w:hAnsi="Times New Roman" w:cs="Times New Roman"/>
              </w:rPr>
            </w:pPr>
            <w:r w:rsidRPr="007A0B82">
              <w:rPr>
                <w:rFonts w:ascii="Times New Roman" w:hAnsi="Times New Roman" w:cs="Times New Roman"/>
              </w:rPr>
              <w:t>Coénonciation d’1 PDV</w:t>
            </w:r>
          </w:p>
        </w:tc>
        <w:tc>
          <w:tcPr>
            <w:tcW w:w="2410" w:type="dxa"/>
            <w:vAlign w:val="center"/>
          </w:tcPr>
          <w:p w14:paraId="313C6D26" w14:textId="77777777" w:rsidR="00094BD3" w:rsidRPr="007A0B82" w:rsidRDefault="00094BD3" w:rsidP="006D12B2">
            <w:pPr>
              <w:jc w:val="center"/>
              <w:rPr>
                <w:rFonts w:ascii="Times New Roman" w:hAnsi="Times New Roman" w:cs="Times New Roman"/>
              </w:rPr>
            </w:pPr>
            <w:r w:rsidRPr="007A0B82">
              <w:rPr>
                <w:rFonts w:ascii="Times New Roman" w:hAnsi="Times New Roman" w:cs="Times New Roman"/>
              </w:rPr>
              <w:t>Surénonciation d’1 PDV</w:t>
            </w:r>
          </w:p>
        </w:tc>
        <w:tc>
          <w:tcPr>
            <w:tcW w:w="2410" w:type="dxa"/>
            <w:vAlign w:val="center"/>
          </w:tcPr>
          <w:p w14:paraId="76340E63" w14:textId="77777777" w:rsidR="00094BD3" w:rsidRPr="007A0B82" w:rsidRDefault="00094BD3" w:rsidP="006D12B2">
            <w:pPr>
              <w:jc w:val="center"/>
              <w:rPr>
                <w:rFonts w:ascii="Times New Roman" w:hAnsi="Times New Roman" w:cs="Times New Roman"/>
              </w:rPr>
            </w:pPr>
            <w:r w:rsidRPr="007A0B82">
              <w:rPr>
                <w:rFonts w:ascii="Times New Roman" w:hAnsi="Times New Roman" w:cs="Times New Roman"/>
              </w:rPr>
              <w:t>Sousénonciation d’1 PDV</w:t>
            </w:r>
          </w:p>
        </w:tc>
        <w:tc>
          <w:tcPr>
            <w:tcW w:w="2268" w:type="dxa"/>
          </w:tcPr>
          <w:p w14:paraId="4618E606" w14:textId="77777777" w:rsidR="00094BD3" w:rsidRPr="007A0B82" w:rsidRDefault="00094BD3" w:rsidP="006D12B2">
            <w:pPr>
              <w:jc w:val="center"/>
              <w:rPr>
                <w:rFonts w:ascii="Times New Roman" w:hAnsi="Times New Roman" w:cs="Times New Roman"/>
              </w:rPr>
            </w:pPr>
            <w:r w:rsidRPr="007A0B82">
              <w:rPr>
                <w:rFonts w:ascii="Times New Roman" w:hAnsi="Times New Roman" w:cs="Times New Roman"/>
              </w:rPr>
              <w:t>Énonciation de 2 PDV opposés</w:t>
            </w:r>
          </w:p>
        </w:tc>
      </w:tr>
    </w:tbl>
    <w:p w14:paraId="7E4BAE78" w14:textId="77777777" w:rsidR="00094BD3" w:rsidRPr="007A0B82" w:rsidRDefault="00094BD3" w:rsidP="00094BD3">
      <w:pPr>
        <w:rPr>
          <w:rFonts w:ascii="Times New Roman" w:hAnsi="Times New Roman" w:cs="Times New Roman"/>
        </w:rPr>
      </w:pPr>
    </w:p>
    <w:p w14:paraId="387129B4" w14:textId="463669DA" w:rsidR="00094BD3" w:rsidRPr="007A0B82" w:rsidRDefault="00094BD3" w:rsidP="00094BD3">
      <w:pPr>
        <w:rPr>
          <w:rFonts w:ascii="Times New Roman" w:hAnsi="Times New Roman" w:cs="Times New Roman"/>
        </w:rPr>
      </w:pPr>
      <w:r w:rsidRPr="007A0B82">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5627D393" wp14:editId="50EC9A60">
                <wp:simplePos x="0" y="0"/>
                <wp:positionH relativeFrom="column">
                  <wp:posOffset>594995</wp:posOffset>
                </wp:positionH>
                <wp:positionV relativeFrom="paragraph">
                  <wp:posOffset>81915</wp:posOffset>
                </wp:positionV>
                <wp:extent cx="4572000" cy="0"/>
                <wp:effectExtent l="25400" t="50800" r="0" b="508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0" cy="0"/>
                        </a:xfrm>
                        <a:prstGeom prst="line">
                          <a:avLst/>
                        </a:prstGeom>
                        <a:noFill/>
                        <a:ln w="12700">
                          <a:solidFill>
                            <a:schemeClr val="tx1">
                              <a:lumMod val="100000"/>
                              <a:lumOff val="0"/>
                            </a:schemeClr>
                          </a:solidFill>
                          <a:round/>
                          <a:headEnd type="triangle" w="med" len="sm"/>
                          <a:tailEnd type="triangl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99ED72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6.45pt" to="40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" strokecolor="black [3213]" strokeweight="1pt">
                <v:stroke startarrow="block" startarrowlength="short" endarrow="block" endarrowlength="short"/>
                <o:lock v:ext="edit" shapetype="f"/>
              </v:line>
            </w:pict>
          </mc:Fallback>
        </mc:AlternateContent>
      </w:r>
      <w:r w:rsidRPr="007A0B82">
        <w:rPr>
          <w:rFonts w:ascii="Times New Roman" w:hAnsi="Times New Roman" w:cs="Times New Roman"/>
        </w:rPr>
        <w:t xml:space="preserve">Consensus </w:t>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t xml:space="preserve">     Dissensus</w:t>
      </w:r>
    </w:p>
    <w:p w14:paraId="6859BED2" w14:textId="44B2EB79" w:rsidR="00094BD3" w:rsidRDefault="00094BD3" w:rsidP="00094BD3">
      <w:pPr>
        <w:rPr>
          <w:rFonts w:ascii="Times New Roman" w:hAnsi="Times New Roman" w:cs="Times New Roman"/>
        </w:rPr>
      </w:pPr>
    </w:p>
    <w:p w14:paraId="1F00569A" w14:textId="77777777" w:rsidR="00226095" w:rsidRPr="007A0B82" w:rsidRDefault="00226095" w:rsidP="00094BD3">
      <w:pPr>
        <w:rPr>
          <w:rFonts w:ascii="Times New Roman" w:hAnsi="Times New Roman" w:cs="Times New Roman"/>
        </w:rPr>
      </w:pPr>
    </w:p>
    <w:p w14:paraId="55FA75B9" w14:textId="77777777" w:rsidR="00094BD3" w:rsidRPr="007A0B82" w:rsidRDefault="00094BD3" w:rsidP="00094BD3">
      <w:pPr>
        <w:rPr>
          <w:rFonts w:ascii="Times New Roman" w:hAnsi="Times New Roman" w:cs="Times New Roman"/>
        </w:rPr>
      </w:pPr>
    </w:p>
    <w:p w14:paraId="04832895" w14:textId="77777777" w:rsidR="00094BD3" w:rsidRPr="007A0B82" w:rsidRDefault="00094BD3" w:rsidP="00094BD3">
      <w:pPr>
        <w:rPr>
          <w:rFonts w:ascii="Times New Roman" w:hAnsi="Times New Roman" w:cs="Times New Roman"/>
        </w:rPr>
      </w:pPr>
      <w:r w:rsidRPr="007A0B82">
        <w:rPr>
          <w:rFonts w:ascii="Times New Roman" w:hAnsi="Times New Roman" w:cs="Times New Roman"/>
        </w:rPr>
        <w:t>Alain Rabatel, Solveig Lepoire Duc (2005)</w:t>
      </w:r>
    </w:p>
    <w:p w14:paraId="36B87E99" w14:textId="77777777" w:rsidR="00094BD3" w:rsidRPr="007A0B82" w:rsidRDefault="00094BD3" w:rsidP="00094BD3">
      <w:pPr>
        <w:rPr>
          <w:rFonts w:ascii="Times New Roman" w:hAnsi="Times New Roman" w:cs="Times New Roman"/>
        </w:rPr>
      </w:pPr>
    </w:p>
    <w:p w14:paraId="5EDD7C56" w14:textId="77777777" w:rsidR="00094BD3" w:rsidRPr="007A0B82" w:rsidRDefault="00094BD3" w:rsidP="00094BD3">
      <w:pPr>
        <w:spacing w:after="120" w:line="276" w:lineRule="auto"/>
        <w:jc w:val="both"/>
        <w:rPr>
          <w:rFonts w:ascii="Times New Roman" w:hAnsi="Times New Roman" w:cs="Times New Roman"/>
        </w:rPr>
      </w:pPr>
    </w:p>
    <w:p w14:paraId="71F7D764" w14:textId="77777777" w:rsidR="00094BD3" w:rsidRPr="007A0B82" w:rsidRDefault="00094BD3" w:rsidP="00094BD3">
      <w:pPr>
        <w:widowControl w:val="0"/>
        <w:autoSpaceDE w:val="0"/>
        <w:autoSpaceDN w:val="0"/>
        <w:adjustRightInd w:val="0"/>
        <w:spacing w:after="120" w:line="276" w:lineRule="auto"/>
        <w:jc w:val="both"/>
        <w:rPr>
          <w:rFonts w:ascii="Times New Roman" w:hAnsi="Times New Roman" w:cs="Times New Roman"/>
        </w:rPr>
      </w:pPr>
      <w:r w:rsidRPr="007A0B82">
        <w:rPr>
          <w:rFonts w:ascii="Times New Roman" w:hAnsi="Times New Roman" w:cs="Times New Roman"/>
        </w:rPr>
        <w:t xml:space="preserve">Ce schéma jette les bases d’une lecture attentive aux tensions qui se nouent ou se dénouent le long de différentes lignes tensionnelles. Mon hypothèse est que la concordance concordante et la discordance discordante mettent en œuvre une logique « implicative », de l’ordre du </w:t>
      </w:r>
      <w:r w:rsidRPr="007A0B82">
        <w:rPr>
          <w:rFonts w:ascii="Times New Roman" w:hAnsi="Times New Roman" w:cs="Times New Roman"/>
          <w:i/>
        </w:rPr>
        <w:t>si x… alors y</w:t>
      </w:r>
      <w:r w:rsidRPr="007A0B82">
        <w:rPr>
          <w:rFonts w:ascii="Times New Roman" w:hAnsi="Times New Roman" w:cs="Times New Roman"/>
        </w:rPr>
        <w:t xml:space="preserve">, la concordance discordante et la discordance concordante donnant lieu à une logique « concessive » : </w:t>
      </w:r>
      <w:r w:rsidRPr="007A0B82">
        <w:rPr>
          <w:rFonts w:ascii="Times New Roman" w:hAnsi="Times New Roman" w:cs="Times New Roman"/>
          <w:i/>
        </w:rPr>
        <w:t xml:space="preserve">x bien que y </w:t>
      </w:r>
      <w:r w:rsidRPr="007A0B82">
        <w:rPr>
          <w:rFonts w:ascii="Times New Roman" w:hAnsi="Times New Roman" w:cs="Times New Roman"/>
        </w:rPr>
        <w:t>(Zilberberg 2011)</w:t>
      </w:r>
      <w:r w:rsidRPr="007A0B82">
        <w:rPr>
          <w:rStyle w:val="Appelnotedebasdep"/>
          <w:rFonts w:ascii="Times New Roman" w:hAnsi="Times New Roman" w:cs="Times New Roman"/>
        </w:rPr>
        <w:footnoteReference w:id="10"/>
      </w:r>
      <w:r w:rsidRPr="007A0B82">
        <w:rPr>
          <w:rFonts w:ascii="Times New Roman" w:hAnsi="Times New Roman" w:cs="Times New Roman"/>
        </w:rPr>
        <w:t xml:space="preserve">. D’un côté, le parvenir (logique implicative) se solde par un consensus ou un dissensus, donc par une forme d’équilibre (co-énonciation et juxtaposition de PDV incompatibles) ; de l’autre, le survenir (logique concessive) caractérise le retournement de situation, le surgissement de l’événement, un moment d’intensification et une forme de déséquilibre, comme moteur de la narrativité (sur- et sous-énonciation). </w:t>
      </w:r>
    </w:p>
    <w:p w14:paraId="44C30B55" w14:textId="15BC3DD3" w:rsidR="00B235FC" w:rsidRPr="007A0B82" w:rsidRDefault="00094BD3" w:rsidP="00B235FC">
      <w:pPr>
        <w:widowControl w:val="0"/>
        <w:autoSpaceDE w:val="0"/>
        <w:autoSpaceDN w:val="0"/>
        <w:adjustRightInd w:val="0"/>
        <w:spacing w:after="120" w:line="276" w:lineRule="auto"/>
        <w:jc w:val="both"/>
        <w:rPr>
          <w:rFonts w:ascii="Times New Roman" w:hAnsi="Times New Roman" w:cs="Times New Roman"/>
        </w:rPr>
      </w:pPr>
      <w:r w:rsidRPr="007A0B82">
        <w:rPr>
          <w:rFonts w:ascii="Times New Roman" w:hAnsi="Times New Roman" w:cs="Times New Roman"/>
        </w:rPr>
        <w:t>La réalité des textes nous demande, cependant, de complexifier ce schéma. Interprétant librement une suggestion d’Alain Rabatel</w:t>
      </w:r>
      <w:r w:rsidRPr="007A0B82">
        <w:rPr>
          <w:rStyle w:val="Appelnotedebasdep"/>
          <w:rFonts w:ascii="Times New Roman" w:hAnsi="Times New Roman" w:cs="Times New Roman"/>
        </w:rPr>
        <w:footnoteReference w:id="11"/>
      </w:r>
      <w:r w:rsidRPr="007A0B82">
        <w:rPr>
          <w:rFonts w:ascii="Times New Roman" w:hAnsi="Times New Roman" w:cs="Times New Roman"/>
        </w:rPr>
        <w:t>, nous essayons de vérifier l’hypothèse que la logique implicative comprend elle-même des moments de blocage et de relâchement de la tension, tout comme la logique concessive comporte des moments où la tension s’accroît sans heurts</w:t>
      </w:r>
      <w:r w:rsidRPr="007A0B82">
        <w:rPr>
          <w:rStyle w:val="Appelnotedebasdep"/>
          <w:rFonts w:ascii="Times New Roman" w:hAnsi="Times New Roman" w:cs="Times New Roman"/>
        </w:rPr>
        <w:footnoteReference w:id="12"/>
      </w:r>
      <w:r w:rsidRPr="007A0B82">
        <w:rPr>
          <w:rFonts w:ascii="Times New Roman" w:hAnsi="Times New Roman" w:cs="Times New Roman"/>
        </w:rPr>
        <w:t>. Ainsi, la co-énonciation, c’est-à-dire la construction d’un PDV commun, peut intégrer une part de dissensus</w:t>
      </w:r>
      <w:r w:rsidR="00B235FC">
        <w:rPr>
          <w:rFonts w:ascii="Times New Roman" w:hAnsi="Times New Roman" w:cs="Times New Roman"/>
        </w:rPr>
        <w:t>.</w:t>
      </w:r>
      <w:r w:rsidR="00882C1F">
        <w:rPr>
          <w:rFonts w:ascii="Times New Roman" w:hAnsi="Times New Roman" w:cs="Times New Roman"/>
        </w:rPr>
        <w:t xml:space="preserve"> </w:t>
      </w:r>
      <w:r w:rsidR="00B235FC">
        <w:rPr>
          <w:rFonts w:ascii="Times New Roman" w:hAnsi="Times New Roman" w:cs="Times New Roman"/>
        </w:rPr>
        <w:t>Je distinguerai trois cas</w:t>
      </w:r>
      <w:r w:rsidRPr="007A0B82">
        <w:rPr>
          <w:rFonts w:ascii="Times New Roman" w:hAnsi="Times New Roman" w:cs="Times New Roman"/>
        </w:rPr>
        <w:t xml:space="preserve"> : </w:t>
      </w:r>
      <w:r w:rsidR="00B235FC">
        <w:rPr>
          <w:rFonts w:ascii="Times New Roman" w:hAnsi="Times New Roman" w:cs="Times New Roman"/>
        </w:rPr>
        <w:t>i)</w:t>
      </w:r>
      <w:r w:rsidRPr="007A0B82">
        <w:rPr>
          <w:rFonts w:ascii="Times New Roman" w:hAnsi="Times New Roman" w:cs="Times New Roman"/>
        </w:rPr>
        <w:t xml:space="preserve"> les co-énonciateurs rejettent conjointement un PDV tiers jugé antagonique</w:t>
      </w:r>
      <w:r w:rsidR="00B235FC">
        <w:rPr>
          <w:rFonts w:ascii="Times New Roman" w:hAnsi="Times New Roman" w:cs="Times New Roman"/>
        </w:rPr>
        <w:t xml:space="preserve"> : ii) </w:t>
      </w:r>
      <w:r w:rsidRPr="007A0B82">
        <w:rPr>
          <w:rFonts w:ascii="Times New Roman" w:hAnsi="Times New Roman" w:cs="Times New Roman"/>
        </w:rPr>
        <w:t xml:space="preserve">l’accord (explicite ou implicite) tolère – du moins provisoirement – une dose de dissensus entre eux ; </w:t>
      </w:r>
      <w:r w:rsidR="00B235FC">
        <w:rPr>
          <w:rFonts w:ascii="Times New Roman" w:hAnsi="Times New Roman" w:cs="Times New Roman"/>
        </w:rPr>
        <w:t xml:space="preserve">iii) </w:t>
      </w:r>
      <w:r w:rsidRPr="007A0B82">
        <w:rPr>
          <w:rFonts w:ascii="Times New Roman" w:hAnsi="Times New Roman" w:cs="Times New Roman"/>
        </w:rPr>
        <w:t xml:space="preserve">les co-énonciateurs </w:t>
      </w:r>
      <w:r w:rsidR="00B235FC">
        <w:rPr>
          <w:rFonts w:ascii="Times New Roman" w:hAnsi="Times New Roman" w:cs="Times New Roman"/>
        </w:rPr>
        <w:t>se mettent</w:t>
      </w:r>
      <w:r w:rsidRPr="007A0B82">
        <w:rPr>
          <w:rFonts w:ascii="Times New Roman" w:hAnsi="Times New Roman" w:cs="Times New Roman"/>
        </w:rPr>
        <w:t xml:space="preserve"> d’accord sur le fait qu’il y a une dose de dissensus. </w:t>
      </w:r>
      <w:r w:rsidR="00B235FC">
        <w:rPr>
          <w:rFonts w:ascii="Times New Roman" w:hAnsi="Times New Roman" w:cs="Times New Roman"/>
        </w:rPr>
        <w:t>La</w:t>
      </w:r>
      <w:r w:rsidR="00B235FC" w:rsidRPr="007A0B82">
        <w:rPr>
          <w:rFonts w:ascii="Times New Roman" w:hAnsi="Times New Roman" w:cs="Times New Roman"/>
        </w:rPr>
        <w:t xml:space="preserve"> co-énonciation </w:t>
      </w:r>
      <w:r w:rsidR="00B235FC">
        <w:rPr>
          <w:rFonts w:ascii="Times New Roman" w:hAnsi="Times New Roman" w:cs="Times New Roman"/>
        </w:rPr>
        <w:t xml:space="preserve">dissensuelle </w:t>
      </w:r>
      <w:r w:rsidR="00B235FC" w:rsidRPr="007A0B82">
        <w:rPr>
          <w:rFonts w:ascii="Times New Roman" w:hAnsi="Times New Roman" w:cs="Times New Roman"/>
        </w:rPr>
        <w:t xml:space="preserve">consiste </w:t>
      </w:r>
      <w:r w:rsidR="00B235FC">
        <w:rPr>
          <w:rFonts w:ascii="Times New Roman" w:hAnsi="Times New Roman" w:cs="Times New Roman"/>
        </w:rPr>
        <w:t xml:space="preserve">dans ce cas </w:t>
      </w:r>
      <w:r w:rsidR="00B235FC" w:rsidRPr="007A0B82">
        <w:rPr>
          <w:rFonts w:ascii="Times New Roman" w:hAnsi="Times New Roman" w:cs="Times New Roman"/>
        </w:rPr>
        <w:t>moins à éclairer différemment un objet de sens commun qu’à co-construire</w:t>
      </w:r>
      <w:r w:rsidR="00B235FC">
        <w:rPr>
          <w:rFonts w:ascii="Times New Roman" w:hAnsi="Times New Roman" w:cs="Times New Roman"/>
        </w:rPr>
        <w:t xml:space="preserve">, éventuellement dans le conflit, </w:t>
      </w:r>
      <w:r w:rsidR="00B235FC" w:rsidRPr="007A0B82">
        <w:rPr>
          <w:rFonts w:ascii="Times New Roman" w:hAnsi="Times New Roman" w:cs="Times New Roman"/>
        </w:rPr>
        <w:t>deux objets de sens différents</w:t>
      </w:r>
      <w:r w:rsidR="00B235FC" w:rsidRPr="007A0B82">
        <w:rPr>
          <w:rStyle w:val="Appelnotedebasdep"/>
          <w:rFonts w:ascii="Times New Roman" w:hAnsi="Times New Roman" w:cs="Times New Roman"/>
        </w:rPr>
        <w:footnoteReference w:id="13"/>
      </w:r>
      <w:r w:rsidR="00B235FC" w:rsidRPr="007A0B82">
        <w:rPr>
          <w:rFonts w:ascii="Times New Roman" w:hAnsi="Times New Roman" w:cs="Times New Roman"/>
        </w:rPr>
        <w:t xml:space="preserve">. </w:t>
      </w:r>
    </w:p>
    <w:p w14:paraId="7709F08D" w14:textId="48577E0C" w:rsidR="00094BD3" w:rsidRPr="007A0B82" w:rsidRDefault="00094BD3" w:rsidP="00882C1F">
      <w:pPr>
        <w:widowControl w:val="0"/>
        <w:autoSpaceDE w:val="0"/>
        <w:autoSpaceDN w:val="0"/>
        <w:adjustRightInd w:val="0"/>
        <w:spacing w:after="120" w:line="276" w:lineRule="auto"/>
        <w:jc w:val="both"/>
        <w:rPr>
          <w:rFonts w:ascii="Times New Roman" w:hAnsi="Times New Roman" w:cs="Times New Roman"/>
        </w:rPr>
      </w:pPr>
      <w:r w:rsidRPr="007A0B82">
        <w:rPr>
          <w:rFonts w:ascii="Times New Roman" w:hAnsi="Times New Roman" w:cs="Times New Roman"/>
        </w:rPr>
        <w:t>En ce sens, la co-énonciation n’est pas exempte de moments conflictuels où la tension se noue. L’accord entre les co-énonciateurs implique des négociations</w:t>
      </w:r>
      <w:r w:rsidRPr="007A0B82">
        <w:rPr>
          <w:rStyle w:val="Appelnotedebasdep"/>
          <w:rFonts w:ascii="Times New Roman" w:hAnsi="Times New Roman" w:cs="Times New Roman"/>
        </w:rPr>
        <w:footnoteReference w:id="14"/>
      </w:r>
      <w:r w:rsidRPr="007A0B82">
        <w:rPr>
          <w:rFonts w:ascii="Times New Roman" w:hAnsi="Times New Roman" w:cs="Times New Roman"/>
        </w:rPr>
        <w:t xml:space="preserve"> qui peuvent déboucher, à terme, sur un désaccord. Nous sommes ainsi en mesure de croiser les variantes tonique et atone de la co-énonciation avec deux régimes de la co-énonciation distincts : consensuel et dissensuel</w:t>
      </w:r>
      <w:r w:rsidR="00682F4D">
        <w:rPr>
          <w:rFonts w:ascii="Times New Roman" w:hAnsi="Times New Roman" w:cs="Times New Roman"/>
        </w:rPr>
        <w:t xml:space="preserve">. </w:t>
      </w:r>
      <w:r w:rsidRPr="007A0B82">
        <w:rPr>
          <w:rFonts w:ascii="Times New Roman" w:hAnsi="Times New Roman" w:cs="Times New Roman"/>
        </w:rPr>
        <w:t xml:space="preserve">Il paraît avantageux de parler d’un espace de </w:t>
      </w:r>
      <w:r w:rsidRPr="007A0B82">
        <w:rPr>
          <w:rFonts w:ascii="Times New Roman" w:hAnsi="Times New Roman" w:cs="Times New Roman"/>
          <w:i/>
        </w:rPr>
        <w:t>confrontations</w:t>
      </w:r>
      <w:r w:rsidRPr="007A0B82">
        <w:rPr>
          <w:rFonts w:ascii="Times New Roman" w:hAnsi="Times New Roman" w:cs="Times New Roman"/>
        </w:rPr>
        <w:t xml:space="preserve"> placé, globalement, sous le signe de l’accord</w:t>
      </w:r>
      <w:r w:rsidRPr="007A0B82">
        <w:rPr>
          <w:rStyle w:val="Appelnotedebasdep"/>
          <w:rFonts w:ascii="Times New Roman" w:hAnsi="Times New Roman" w:cs="Times New Roman"/>
        </w:rPr>
        <w:footnoteReference w:id="15"/>
      </w:r>
      <w:r w:rsidRPr="007A0B82">
        <w:rPr>
          <w:rFonts w:ascii="Times New Roman" w:hAnsi="Times New Roman" w:cs="Times New Roman"/>
        </w:rPr>
        <w:t xml:space="preserve">, où se logent une co-énonciation consensuelle, tonique ou atone, ainsi qu’une co-énonciation dissensuelle, tonique ou atone. </w:t>
      </w:r>
    </w:p>
    <w:p w14:paraId="535E479C" w14:textId="7570729B" w:rsidR="00094BD3" w:rsidRDefault="00094BD3" w:rsidP="00094BD3">
      <w:pPr>
        <w:widowControl w:val="0"/>
        <w:autoSpaceDE w:val="0"/>
        <w:autoSpaceDN w:val="0"/>
        <w:adjustRightInd w:val="0"/>
        <w:spacing w:after="120" w:line="276" w:lineRule="auto"/>
        <w:jc w:val="both"/>
        <w:rPr>
          <w:rFonts w:ascii="Times New Roman" w:hAnsi="Times New Roman" w:cs="Times New Roman"/>
        </w:rPr>
      </w:pPr>
      <w:r w:rsidRPr="007A0B82">
        <w:rPr>
          <w:rFonts w:ascii="Times New Roman" w:hAnsi="Times New Roman" w:cs="Times New Roman"/>
        </w:rPr>
        <w:lastRenderedPageBreak/>
        <w:t>Symétriquement, on peut avancer que le désaccord sous-jacent à la coexistence de PDV antinomiques n’exclut pas des moments ponctuels de pacification et de mise en commun. Il peut accepter une dose de consensus, avant de déboucher, éventuellement, sur un (nouvel) accord conquis sur le désaccord</w:t>
      </w:r>
      <w:r w:rsidR="00423F98" w:rsidRPr="007A0B82">
        <w:rPr>
          <w:rStyle w:val="Appelnotedebasdep"/>
          <w:rFonts w:ascii="Times New Roman" w:hAnsi="Times New Roman" w:cs="Times New Roman"/>
        </w:rPr>
        <w:footnoteReference w:id="16"/>
      </w:r>
      <w:r w:rsidRPr="007A0B82">
        <w:rPr>
          <w:rFonts w:ascii="Times New Roman" w:hAnsi="Times New Roman" w:cs="Times New Roman"/>
        </w:rPr>
        <w:t>.</w:t>
      </w:r>
      <w:r w:rsidR="00226095">
        <w:rPr>
          <w:rFonts w:ascii="Times New Roman" w:hAnsi="Times New Roman" w:cs="Times New Roman"/>
        </w:rPr>
        <w:t xml:space="preserve"> La concordance concordante consensuelle et dissensuelle et la discordance discordante dissensuelle et consensuelle doivent être distinguées de la concordance discordante et de la discordance concordante selon Rabatel : en effet, elles se placent sous les régimes de la co-énonciation et de l’énonciation de deux PDV opposés et non sous les régimes de la sur- et de la sous-énonciation</w:t>
      </w:r>
      <w:r w:rsidR="00226095">
        <w:rPr>
          <w:rStyle w:val="Appelnotedebasdep"/>
          <w:rFonts w:ascii="Times New Roman" w:hAnsi="Times New Roman" w:cs="Times New Roman"/>
        </w:rPr>
        <w:footnoteReference w:id="17"/>
      </w:r>
      <w:r w:rsidR="00226095">
        <w:rPr>
          <w:rFonts w:ascii="Times New Roman" w:hAnsi="Times New Roman" w:cs="Times New Roman"/>
        </w:rPr>
        <w:t xml:space="preserve">. </w:t>
      </w:r>
    </w:p>
    <w:p w14:paraId="4415FD52" w14:textId="5F8B7986" w:rsidR="001F17E8" w:rsidRDefault="001F17E8" w:rsidP="00094BD3">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Résumons : </w:t>
      </w:r>
    </w:p>
    <w:p w14:paraId="04C1FF2C" w14:textId="2166E745"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03C302F5" w14:textId="6B553004"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3E200071" w14:textId="6CBDB39C"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44A0493B" w14:textId="54262317"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561D0E35" w14:textId="33B6F3D3"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0CB4C710" w14:textId="0E456963"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17E8B3C3" w14:textId="55450D8A"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55254ED5" w14:textId="134E2A35"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38B5EB27" w14:textId="360AFDFA"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5EBE2C3F" w14:textId="40B45137"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609C8D23" w14:textId="70DF4F9A"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41FDC99F" w14:textId="402CAA36"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0C8A9E1B" w14:textId="3CE02609"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7E1FF1E5" w14:textId="2A8FDB19"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6BD52020" w14:textId="6A3E67DB"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77231CB0" w14:textId="19108DDE"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2B1F2FED" w14:textId="667E6C5D"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1B1020C0" w14:textId="54C52DFB"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2B81D3EC" w14:textId="2EABC121"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0E1CD1E7" w14:textId="02AD4644"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4C6D4CC9" w14:textId="182789B3"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3FDA57DE" w14:textId="77777777" w:rsidR="00682F4D" w:rsidRDefault="00682F4D" w:rsidP="00094BD3">
      <w:pPr>
        <w:widowControl w:val="0"/>
        <w:autoSpaceDE w:val="0"/>
        <w:autoSpaceDN w:val="0"/>
        <w:adjustRightInd w:val="0"/>
        <w:spacing w:after="120" w:line="276" w:lineRule="auto"/>
        <w:jc w:val="both"/>
        <w:rPr>
          <w:rFonts w:ascii="Times New Roman" w:hAnsi="Times New Roman" w:cs="Times New Roman"/>
        </w:rPr>
      </w:pPr>
    </w:p>
    <w:p w14:paraId="356650E1" w14:textId="77777777" w:rsidR="001F17E8" w:rsidRDefault="001F17E8" w:rsidP="001F17E8">
      <w:pPr>
        <w:rPr>
          <w:b/>
          <w:sz w:val="22"/>
          <w:szCs w:val="22"/>
          <w:lang w:val="fr-CH"/>
        </w:rPr>
      </w:pPr>
    </w:p>
    <w:p w14:paraId="3139A1BA" w14:textId="77777777" w:rsidR="001F17E8" w:rsidRDefault="001F17E8" w:rsidP="001F17E8">
      <w:pPr>
        <w:pBdr>
          <w:top w:val="single" w:sz="4" w:space="1" w:color="auto"/>
          <w:left w:val="single" w:sz="4" w:space="4" w:color="auto"/>
          <w:bottom w:val="single" w:sz="4" w:space="1" w:color="auto"/>
          <w:right w:val="single" w:sz="4" w:space="4" w:color="auto"/>
        </w:pBdr>
        <w:jc w:val="center"/>
        <w:rPr>
          <w:b/>
          <w:sz w:val="22"/>
          <w:szCs w:val="22"/>
          <w:lang w:val="fr-CH"/>
        </w:rPr>
      </w:pPr>
      <w:r>
        <w:rPr>
          <w:b/>
          <w:sz w:val="22"/>
          <w:szCs w:val="22"/>
          <w:lang w:val="fr-CH"/>
        </w:rPr>
        <w:lastRenderedPageBreak/>
        <w:t>Espace de la co-énonciation</w:t>
      </w:r>
    </w:p>
    <w:p w14:paraId="0AFE3C2F" w14:textId="77777777" w:rsidR="001F17E8" w:rsidRDefault="001F17E8" w:rsidP="001F17E8">
      <w:pPr>
        <w:rPr>
          <w:b/>
          <w:sz w:val="22"/>
          <w:szCs w:val="22"/>
          <w:lang w:val="fr-CH"/>
        </w:rPr>
      </w:pPr>
    </w:p>
    <w:p w14:paraId="565781DB" w14:textId="77777777" w:rsidR="001F17E8" w:rsidRDefault="001F17E8" w:rsidP="001F17E8">
      <w:pPr>
        <w:rPr>
          <w:sz w:val="22"/>
          <w:szCs w:val="22"/>
          <w:lang w:val="fr-CH"/>
        </w:rPr>
      </w:pPr>
      <w:r>
        <w:rPr>
          <w:sz w:val="22"/>
          <w:szCs w:val="22"/>
          <w:lang w:val="fr-CH"/>
        </w:rPr>
        <w:t xml:space="preserve">             </w:t>
      </w:r>
    </w:p>
    <w:p w14:paraId="761DA3E5" w14:textId="77777777" w:rsidR="001F17E8" w:rsidRDefault="001F17E8" w:rsidP="001F17E8">
      <w:pPr>
        <w:ind w:left="2832"/>
        <w:rPr>
          <w:sz w:val="22"/>
          <w:szCs w:val="22"/>
          <w:lang w:val="fr-CH"/>
        </w:rPr>
      </w:pPr>
      <w:r>
        <w:rPr>
          <w:noProof/>
          <w:sz w:val="22"/>
          <w:szCs w:val="22"/>
          <w:lang w:eastAsia="fr-FR"/>
        </w:rPr>
        <mc:AlternateContent>
          <mc:Choice Requires="wps">
            <w:drawing>
              <wp:anchor distT="0" distB="0" distL="114300" distR="114300" simplePos="0" relativeHeight="251664384" behindDoc="0" locked="0" layoutInCell="1" allowOverlap="1" wp14:anchorId="123BD011" wp14:editId="1BA9D20D">
                <wp:simplePos x="0" y="0"/>
                <wp:positionH relativeFrom="column">
                  <wp:posOffset>4206077</wp:posOffset>
                </wp:positionH>
                <wp:positionV relativeFrom="paragraph">
                  <wp:posOffset>324485</wp:posOffset>
                </wp:positionV>
                <wp:extent cx="560705" cy="415290"/>
                <wp:effectExtent l="0" t="0" r="29845" b="22860"/>
                <wp:wrapNone/>
                <wp:docPr id="3" name="Straight Connector 3"/>
                <wp:cNvGraphicFramePr/>
                <a:graphic xmlns:a="http://schemas.openxmlformats.org/drawingml/2006/main">
                  <a:graphicData uri="http://schemas.microsoft.com/office/word/2010/wordprocessingShape">
                    <wps:wsp>
                      <wps:cNvCnPr/>
                      <wps:spPr>
                        <a:xfrm flipV="1">
                          <a:off x="0" y="0"/>
                          <a:ext cx="560705" cy="4152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5EE3DD8"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2pt,25.55pt" to="375.3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" strokecolor="black [3213]" strokeweight=".5pt">
                <v:stroke joinstyle="miter"/>
              </v:line>
            </w:pict>
          </mc:Fallback>
        </mc:AlternateContent>
      </w:r>
      <w:r>
        <w:rPr>
          <w:sz w:val="22"/>
          <w:szCs w:val="22"/>
          <w:lang w:val="fr-CH"/>
        </w:rPr>
        <w:t xml:space="preserve">                                                                                                                                                                                     </w:t>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t>tonique</w:t>
      </w:r>
    </w:p>
    <w:p w14:paraId="6A257343" w14:textId="77777777" w:rsidR="001F17E8" w:rsidRDefault="001F17E8" w:rsidP="001F17E8">
      <w:pPr>
        <w:ind w:left="2832"/>
        <w:rPr>
          <w:sz w:val="22"/>
          <w:szCs w:val="22"/>
          <w:lang w:val="fr-CH"/>
        </w:rPr>
      </w:pPr>
    </w:p>
    <w:p w14:paraId="39C3C0E9" w14:textId="77777777" w:rsidR="001F17E8" w:rsidRDefault="001F17E8" w:rsidP="001F17E8">
      <w:pPr>
        <w:rPr>
          <w:sz w:val="22"/>
          <w:szCs w:val="22"/>
          <w:lang w:val="fr-CH"/>
        </w:rPr>
      </w:pPr>
      <w:r>
        <w:rPr>
          <w:sz w:val="22"/>
          <w:szCs w:val="22"/>
          <w:lang w:val="fr-CH"/>
        </w:rPr>
        <w:t xml:space="preserve">                                                                                         </w:t>
      </w:r>
    </w:p>
    <w:p w14:paraId="25CC6FE1" w14:textId="77777777" w:rsidR="001F17E8" w:rsidRDefault="001F17E8" w:rsidP="001F17E8">
      <w:pPr>
        <w:rPr>
          <w:sz w:val="22"/>
          <w:szCs w:val="22"/>
          <w:lang w:val="fr-CH"/>
        </w:rPr>
      </w:pPr>
      <w:r>
        <w:rPr>
          <w:noProof/>
          <w:sz w:val="22"/>
          <w:szCs w:val="22"/>
          <w:lang w:eastAsia="fr-FR"/>
        </w:rPr>
        <mc:AlternateContent>
          <mc:Choice Requires="wps">
            <w:drawing>
              <wp:anchor distT="0" distB="0" distL="114300" distR="114300" simplePos="0" relativeHeight="251665408" behindDoc="0" locked="0" layoutInCell="1" allowOverlap="1" wp14:anchorId="5CEC0733" wp14:editId="65DD1E7F">
                <wp:simplePos x="0" y="0"/>
                <wp:positionH relativeFrom="margin">
                  <wp:posOffset>4206240</wp:posOffset>
                </wp:positionH>
                <wp:positionV relativeFrom="paragraph">
                  <wp:posOffset>163032</wp:posOffset>
                </wp:positionV>
                <wp:extent cx="651510" cy="398145"/>
                <wp:effectExtent l="0" t="0" r="34290" b="20955"/>
                <wp:wrapNone/>
                <wp:docPr id="4" name="Straight Connector 4"/>
                <wp:cNvGraphicFramePr/>
                <a:graphic xmlns:a="http://schemas.openxmlformats.org/drawingml/2006/main">
                  <a:graphicData uri="http://schemas.microsoft.com/office/word/2010/wordprocessingShape">
                    <wps:wsp>
                      <wps:cNvCnPr/>
                      <wps:spPr>
                        <a:xfrm>
                          <a:off x="0" y="0"/>
                          <a:ext cx="651510" cy="398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9482B9B"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2pt,12.85pt" to="38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" strokecolor="black [3213]" strokeweight=".5pt">
                <v:stroke joinstyle="miter"/>
                <w10:wrap anchorx="margin"/>
              </v:line>
            </w:pict>
          </mc:Fallback>
        </mc:AlternateContent>
      </w:r>
      <w:r>
        <w:rPr>
          <w:sz w:val="22"/>
          <w:szCs w:val="22"/>
          <w:lang w:val="fr-CH"/>
        </w:rPr>
        <w:t xml:space="preserve">                                                                              co-énonciation  consensuelle </w:t>
      </w:r>
    </w:p>
    <w:p w14:paraId="2EECDE49" w14:textId="77777777" w:rsidR="001F17E8" w:rsidRDefault="001F17E8" w:rsidP="001F17E8">
      <w:pPr>
        <w:rPr>
          <w:sz w:val="22"/>
          <w:szCs w:val="22"/>
          <w:lang w:val="fr-CH"/>
        </w:rPr>
      </w:pPr>
      <w:r>
        <w:rPr>
          <w:noProof/>
          <w:sz w:val="22"/>
          <w:szCs w:val="22"/>
          <w:lang w:eastAsia="fr-FR"/>
        </w:rPr>
        <mc:AlternateContent>
          <mc:Choice Requires="wps">
            <w:drawing>
              <wp:anchor distT="0" distB="0" distL="114300" distR="114300" simplePos="0" relativeHeight="251662336" behindDoc="0" locked="0" layoutInCell="1" allowOverlap="1" wp14:anchorId="6EE7C859" wp14:editId="4CFDF2D8">
                <wp:simplePos x="0" y="0"/>
                <wp:positionH relativeFrom="column">
                  <wp:posOffset>2069742</wp:posOffset>
                </wp:positionH>
                <wp:positionV relativeFrom="paragraph">
                  <wp:posOffset>74421</wp:posOffset>
                </wp:positionV>
                <wp:extent cx="352858" cy="497940"/>
                <wp:effectExtent l="0" t="0" r="28575" b="16510"/>
                <wp:wrapNone/>
                <wp:docPr id="5" name="Straight Connector 1"/>
                <wp:cNvGraphicFramePr/>
                <a:graphic xmlns:a="http://schemas.openxmlformats.org/drawingml/2006/main">
                  <a:graphicData uri="http://schemas.microsoft.com/office/word/2010/wordprocessingShape">
                    <wps:wsp>
                      <wps:cNvCnPr/>
                      <wps:spPr>
                        <a:xfrm flipV="1">
                          <a:off x="0" y="0"/>
                          <a:ext cx="352858" cy="4979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CFAED83"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5pt,5.85pt" to="190.7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" strokecolor="black [3213]" strokeweight=".5pt">
                <v:stroke joinstyle="miter"/>
              </v:line>
            </w:pict>
          </mc:Fallback>
        </mc:AlternateContent>
      </w:r>
    </w:p>
    <w:p w14:paraId="50185E4D" w14:textId="77777777" w:rsidR="001F17E8" w:rsidRDefault="001F17E8" w:rsidP="001F17E8">
      <w:pPr>
        <w:rPr>
          <w:sz w:val="22"/>
          <w:szCs w:val="22"/>
          <w:lang w:val="fr-CH"/>
        </w:rPr>
      </w:pPr>
      <w:r>
        <w:rPr>
          <w:sz w:val="22"/>
          <w:szCs w:val="22"/>
          <w:lang w:val="fr-CH"/>
        </w:rPr>
        <w:t xml:space="preserve">                                                                                                                                                                          </w:t>
      </w:r>
    </w:p>
    <w:p w14:paraId="51E68A43" w14:textId="77777777" w:rsidR="001F17E8" w:rsidRDefault="001F17E8" w:rsidP="001F17E8">
      <w:pPr>
        <w:rPr>
          <w:sz w:val="22"/>
          <w:szCs w:val="22"/>
          <w:lang w:val="fr-CH"/>
        </w:rPr>
      </w:pPr>
      <w:r>
        <w:rPr>
          <w:sz w:val="22"/>
          <w:szCs w:val="22"/>
          <w:lang w:val="fr-CH"/>
        </w:rPr>
        <w:t xml:space="preserve"> </w:t>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t>atone</w:t>
      </w:r>
    </w:p>
    <w:p w14:paraId="14530176" w14:textId="77777777" w:rsidR="001F17E8" w:rsidRDefault="001F17E8" w:rsidP="001F17E8">
      <w:pPr>
        <w:rPr>
          <w:sz w:val="22"/>
          <w:szCs w:val="22"/>
          <w:lang w:val="fr-CH"/>
        </w:rPr>
      </w:pPr>
    </w:p>
    <w:p w14:paraId="4F6BCC88" w14:textId="77777777" w:rsidR="001F17E8" w:rsidRDefault="001F17E8" w:rsidP="001F17E8">
      <w:pPr>
        <w:rPr>
          <w:sz w:val="22"/>
          <w:szCs w:val="22"/>
          <w:lang w:val="fr-CH"/>
        </w:rPr>
      </w:pPr>
      <w:r>
        <w:rPr>
          <w:sz w:val="22"/>
          <w:szCs w:val="22"/>
          <w:lang w:val="fr-CH"/>
        </w:rPr>
        <w:t xml:space="preserve"> Concordance concordante (Accord) </w:t>
      </w:r>
    </w:p>
    <w:p w14:paraId="75924DE0" w14:textId="77777777" w:rsidR="001F17E8" w:rsidRDefault="001F17E8" w:rsidP="001F17E8">
      <w:pPr>
        <w:rPr>
          <w:sz w:val="22"/>
          <w:szCs w:val="22"/>
          <w:lang w:val="fr-CH"/>
        </w:rPr>
      </w:pPr>
      <w:r>
        <w:rPr>
          <w:noProof/>
          <w:sz w:val="22"/>
          <w:szCs w:val="22"/>
          <w:lang w:eastAsia="fr-FR"/>
        </w:rPr>
        <mc:AlternateContent>
          <mc:Choice Requires="wps">
            <w:drawing>
              <wp:anchor distT="0" distB="0" distL="114300" distR="114300" simplePos="0" relativeHeight="251666432" behindDoc="0" locked="0" layoutInCell="1" allowOverlap="1" wp14:anchorId="455A33B1" wp14:editId="307DE45E">
                <wp:simplePos x="0" y="0"/>
                <wp:positionH relativeFrom="column">
                  <wp:posOffset>4206359</wp:posOffset>
                </wp:positionH>
                <wp:positionV relativeFrom="paragraph">
                  <wp:posOffset>118544</wp:posOffset>
                </wp:positionV>
                <wp:extent cx="642796" cy="315702"/>
                <wp:effectExtent l="0" t="0" r="24130" b="27305"/>
                <wp:wrapNone/>
                <wp:docPr id="6" name="Straight Connector 5"/>
                <wp:cNvGraphicFramePr/>
                <a:graphic xmlns:a="http://schemas.openxmlformats.org/drawingml/2006/main">
                  <a:graphicData uri="http://schemas.microsoft.com/office/word/2010/wordprocessingShape">
                    <wps:wsp>
                      <wps:cNvCnPr/>
                      <wps:spPr>
                        <a:xfrm flipV="1">
                          <a:off x="0" y="0"/>
                          <a:ext cx="642796" cy="3157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0194B49"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2pt,9.35pt" to="381.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" strokecolor="black [3213]" strokeweight=".5pt">
                <v:stroke joinstyle="miter"/>
              </v:line>
            </w:pict>
          </mc:Fallback>
        </mc:AlternateContent>
      </w:r>
      <w:r>
        <w:rPr>
          <w:noProof/>
          <w:sz w:val="22"/>
          <w:szCs w:val="22"/>
          <w:lang w:eastAsia="fr-FR"/>
        </w:rPr>
        <mc:AlternateContent>
          <mc:Choice Requires="wps">
            <w:drawing>
              <wp:anchor distT="0" distB="0" distL="114300" distR="114300" simplePos="0" relativeHeight="251663360" behindDoc="0" locked="0" layoutInCell="1" allowOverlap="1" wp14:anchorId="68AEC688" wp14:editId="14034E30">
                <wp:simplePos x="0" y="0"/>
                <wp:positionH relativeFrom="margin">
                  <wp:posOffset>2087849</wp:posOffset>
                </wp:positionH>
                <wp:positionV relativeFrom="paragraph">
                  <wp:posOffset>18956</wp:posOffset>
                </wp:positionV>
                <wp:extent cx="389299" cy="425513"/>
                <wp:effectExtent l="0" t="0" r="29845" b="31750"/>
                <wp:wrapNone/>
                <wp:docPr id="7" name="Straight Connector 2"/>
                <wp:cNvGraphicFramePr/>
                <a:graphic xmlns:a="http://schemas.openxmlformats.org/drawingml/2006/main">
                  <a:graphicData uri="http://schemas.microsoft.com/office/word/2010/wordprocessingShape">
                    <wps:wsp>
                      <wps:cNvCnPr/>
                      <wps:spPr>
                        <a:xfrm>
                          <a:off x="0" y="0"/>
                          <a:ext cx="389299" cy="4255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598EF18"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4pt,1.5pt" to="195.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" strokecolor="black [3213]" strokeweight=".5pt">
                <v:stroke joinstyle="miter"/>
                <w10:wrap anchorx="margin"/>
              </v:line>
            </w:pict>
          </mc:Fallback>
        </mc:AlternateContent>
      </w:r>
      <w:r>
        <w:rPr>
          <w:sz w:val="22"/>
          <w:szCs w:val="22"/>
          <w:lang w:val="fr-CH"/>
        </w:rPr>
        <w:t xml:space="preserve">                                                                                                                                                             tonique</w:t>
      </w:r>
    </w:p>
    <w:p w14:paraId="08C28DBA" w14:textId="77777777" w:rsidR="001F17E8" w:rsidRDefault="001F17E8" w:rsidP="001F17E8">
      <w:pPr>
        <w:rPr>
          <w:sz w:val="22"/>
          <w:szCs w:val="22"/>
          <w:lang w:val="fr-CH"/>
        </w:rPr>
      </w:pPr>
      <w:r>
        <w:rPr>
          <w:sz w:val="22"/>
          <w:szCs w:val="22"/>
          <w:lang w:val="fr-CH"/>
        </w:rPr>
        <w:t xml:space="preserve">                                       </w:t>
      </w:r>
      <w:r>
        <w:rPr>
          <w:sz w:val="22"/>
          <w:szCs w:val="22"/>
          <w:lang w:val="fr-CH"/>
        </w:rPr>
        <w:tab/>
      </w:r>
      <w:r>
        <w:rPr>
          <w:sz w:val="22"/>
          <w:szCs w:val="22"/>
          <w:lang w:val="fr-CH"/>
        </w:rPr>
        <w:tab/>
      </w:r>
      <w:r>
        <w:rPr>
          <w:sz w:val="22"/>
          <w:szCs w:val="22"/>
          <w:lang w:val="fr-CH"/>
        </w:rPr>
        <w:tab/>
        <w:t xml:space="preserve">       </w:t>
      </w:r>
    </w:p>
    <w:p w14:paraId="2AC3DC15" w14:textId="77777777" w:rsidR="001F17E8" w:rsidRDefault="001F17E8" w:rsidP="001F17E8">
      <w:pPr>
        <w:ind w:left="3540"/>
        <w:rPr>
          <w:sz w:val="22"/>
          <w:szCs w:val="22"/>
          <w:lang w:val="fr-CH"/>
        </w:rPr>
      </w:pPr>
      <w:r>
        <w:rPr>
          <w:noProof/>
          <w:sz w:val="22"/>
          <w:szCs w:val="22"/>
          <w:lang w:eastAsia="fr-FR"/>
        </w:rPr>
        <mc:AlternateContent>
          <mc:Choice Requires="wps">
            <w:drawing>
              <wp:anchor distT="0" distB="0" distL="114300" distR="114300" simplePos="0" relativeHeight="251667456" behindDoc="0" locked="0" layoutInCell="1" allowOverlap="1" wp14:anchorId="5DDB47CD" wp14:editId="405E5E70">
                <wp:simplePos x="0" y="0"/>
                <wp:positionH relativeFrom="margin">
                  <wp:posOffset>4215413</wp:posOffset>
                </wp:positionH>
                <wp:positionV relativeFrom="paragraph">
                  <wp:posOffset>166847</wp:posOffset>
                </wp:positionV>
                <wp:extent cx="633566" cy="425513"/>
                <wp:effectExtent l="0" t="0" r="33655" b="31750"/>
                <wp:wrapNone/>
                <wp:docPr id="8" name="Straight Connector 6"/>
                <wp:cNvGraphicFramePr/>
                <a:graphic xmlns:a="http://schemas.openxmlformats.org/drawingml/2006/main">
                  <a:graphicData uri="http://schemas.microsoft.com/office/word/2010/wordprocessingShape">
                    <wps:wsp>
                      <wps:cNvCnPr/>
                      <wps:spPr>
                        <a:xfrm>
                          <a:off x="0" y="0"/>
                          <a:ext cx="633566" cy="4255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846FDF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1.9pt,13.15pt" to="381.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" strokecolor="black [3213]" strokeweight=".5pt">
                <v:stroke joinstyle="miter"/>
                <w10:wrap anchorx="margin"/>
              </v:line>
            </w:pict>
          </mc:Fallback>
        </mc:AlternateContent>
      </w:r>
      <w:r>
        <w:rPr>
          <w:sz w:val="22"/>
          <w:szCs w:val="22"/>
          <w:lang w:val="fr-CH"/>
        </w:rPr>
        <w:t xml:space="preserve">         co-énonciation dissensuelle </w:t>
      </w:r>
    </w:p>
    <w:p w14:paraId="36DEDE5B" w14:textId="77777777" w:rsidR="001F17E8" w:rsidRDefault="001F17E8" w:rsidP="001F17E8">
      <w:pPr>
        <w:rPr>
          <w:sz w:val="22"/>
          <w:szCs w:val="22"/>
          <w:lang w:val="fr-CH"/>
        </w:rPr>
      </w:pPr>
    </w:p>
    <w:p w14:paraId="1F0522E6" w14:textId="77777777" w:rsidR="001F17E8" w:rsidRDefault="001F17E8" w:rsidP="001F17E8">
      <w:pPr>
        <w:ind w:left="2124"/>
        <w:rPr>
          <w:sz w:val="22"/>
          <w:szCs w:val="22"/>
          <w:lang w:val="fr-CH"/>
        </w:rPr>
      </w:pPr>
      <w:r>
        <w:rPr>
          <w:sz w:val="22"/>
          <w:szCs w:val="22"/>
          <w:lang w:val="fr-CH"/>
        </w:rPr>
        <w:t xml:space="preserve">                                                                                                                                                                                 </w:t>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t>atone</w:t>
      </w:r>
    </w:p>
    <w:p w14:paraId="2318A33B" w14:textId="77777777" w:rsidR="001F17E8" w:rsidRDefault="001F17E8" w:rsidP="001F17E8">
      <w:pPr>
        <w:rPr>
          <w:sz w:val="22"/>
          <w:szCs w:val="22"/>
          <w:lang w:val="fr-CH"/>
        </w:rPr>
      </w:pPr>
    </w:p>
    <w:p w14:paraId="033AC177" w14:textId="77777777" w:rsidR="001F17E8" w:rsidRDefault="001F17E8" w:rsidP="001F17E8">
      <w:pPr>
        <w:rPr>
          <w:sz w:val="22"/>
          <w:szCs w:val="22"/>
          <w:lang w:val="fr-CH"/>
        </w:rPr>
      </w:pPr>
    </w:p>
    <w:p w14:paraId="001C9A19" w14:textId="77777777" w:rsidR="001F17E8" w:rsidRDefault="001F17E8" w:rsidP="001F17E8">
      <w:pPr>
        <w:rPr>
          <w:sz w:val="22"/>
          <w:szCs w:val="22"/>
          <w:lang w:val="fr-CH"/>
        </w:rPr>
      </w:pPr>
    </w:p>
    <w:p w14:paraId="64505679" w14:textId="77777777" w:rsidR="001F17E8" w:rsidRDefault="001F17E8" w:rsidP="001F17E8">
      <w:pPr>
        <w:rPr>
          <w:sz w:val="22"/>
          <w:szCs w:val="22"/>
          <w:lang w:val="fr-CH"/>
        </w:rPr>
      </w:pPr>
    </w:p>
    <w:p w14:paraId="791242EE" w14:textId="77777777" w:rsidR="001F17E8" w:rsidRDefault="001F17E8" w:rsidP="001F17E8">
      <w:pPr>
        <w:rPr>
          <w:sz w:val="22"/>
          <w:szCs w:val="22"/>
          <w:lang w:val="fr-CH"/>
        </w:rPr>
      </w:pPr>
    </w:p>
    <w:p w14:paraId="4C9E9261" w14:textId="77777777" w:rsidR="001F17E8" w:rsidRDefault="001F17E8" w:rsidP="001F17E8">
      <w:pPr>
        <w:pBdr>
          <w:top w:val="single" w:sz="4" w:space="1" w:color="auto"/>
          <w:left w:val="single" w:sz="4" w:space="4" w:color="auto"/>
          <w:bottom w:val="single" w:sz="4" w:space="1" w:color="auto"/>
          <w:right w:val="single" w:sz="4" w:space="4" w:color="auto"/>
        </w:pBdr>
        <w:jc w:val="center"/>
        <w:rPr>
          <w:b/>
          <w:sz w:val="22"/>
          <w:szCs w:val="22"/>
          <w:lang w:val="fr-CH"/>
        </w:rPr>
      </w:pPr>
      <w:r>
        <w:rPr>
          <w:b/>
          <w:sz w:val="22"/>
          <w:szCs w:val="22"/>
          <w:lang w:val="fr-CH"/>
        </w:rPr>
        <w:t>Espace de PDV antinomiques</w:t>
      </w:r>
    </w:p>
    <w:p w14:paraId="7A627F0F" w14:textId="77777777" w:rsidR="001F17E8" w:rsidRDefault="001F17E8" w:rsidP="001F17E8">
      <w:pPr>
        <w:jc w:val="center"/>
        <w:rPr>
          <w:b/>
          <w:sz w:val="22"/>
          <w:szCs w:val="22"/>
          <w:lang w:val="fr-CH"/>
        </w:rPr>
      </w:pPr>
    </w:p>
    <w:p w14:paraId="2FB14AE7" w14:textId="77777777" w:rsidR="001F17E8" w:rsidRDefault="001F17E8" w:rsidP="001F17E8">
      <w:pPr>
        <w:rPr>
          <w:sz w:val="22"/>
          <w:szCs w:val="22"/>
          <w:lang w:val="fr-CH"/>
        </w:rPr>
      </w:pPr>
    </w:p>
    <w:p w14:paraId="3F933B7C" w14:textId="77777777" w:rsidR="001F17E8" w:rsidRDefault="001F17E8" w:rsidP="001F17E8">
      <w:pPr>
        <w:ind w:left="7788"/>
        <w:rPr>
          <w:sz w:val="22"/>
          <w:szCs w:val="22"/>
          <w:lang w:val="fr-CH"/>
        </w:rPr>
      </w:pPr>
    </w:p>
    <w:p w14:paraId="0E5DED66" w14:textId="77777777" w:rsidR="001F17E8" w:rsidRDefault="001F17E8" w:rsidP="001F17E8">
      <w:pPr>
        <w:ind w:left="7788"/>
        <w:rPr>
          <w:sz w:val="22"/>
          <w:szCs w:val="22"/>
          <w:lang w:val="fr-CH"/>
        </w:rPr>
      </w:pPr>
      <w:r>
        <w:rPr>
          <w:sz w:val="22"/>
          <w:szCs w:val="22"/>
          <w:lang w:val="fr-CH"/>
        </w:rPr>
        <w:t xml:space="preserve">                                                                                                                                                                                 tonique                          </w:t>
      </w:r>
    </w:p>
    <w:p w14:paraId="4469245E" w14:textId="77777777" w:rsidR="001F17E8" w:rsidRDefault="001F17E8" w:rsidP="001F17E8">
      <w:pPr>
        <w:rPr>
          <w:sz w:val="22"/>
          <w:szCs w:val="22"/>
          <w:lang w:val="fr-CH"/>
        </w:rPr>
      </w:pPr>
      <w:r>
        <w:rPr>
          <w:noProof/>
          <w:sz w:val="22"/>
          <w:szCs w:val="22"/>
          <w:lang w:eastAsia="fr-FR"/>
        </w:rPr>
        <mc:AlternateContent>
          <mc:Choice Requires="wps">
            <w:drawing>
              <wp:anchor distT="0" distB="0" distL="114300" distR="114300" simplePos="0" relativeHeight="251669504" behindDoc="0" locked="0" layoutInCell="1" allowOverlap="1" wp14:anchorId="7F59B5CA" wp14:editId="2FA0150C">
                <wp:simplePos x="0" y="0"/>
                <wp:positionH relativeFrom="column">
                  <wp:posOffset>4215413</wp:posOffset>
                </wp:positionH>
                <wp:positionV relativeFrom="paragraph">
                  <wp:posOffset>4564</wp:posOffset>
                </wp:positionV>
                <wp:extent cx="633566" cy="398252"/>
                <wp:effectExtent l="0" t="0" r="33655" b="20955"/>
                <wp:wrapNone/>
                <wp:docPr id="9" name="Straight Connector 8"/>
                <wp:cNvGraphicFramePr/>
                <a:graphic xmlns:a="http://schemas.openxmlformats.org/drawingml/2006/main">
                  <a:graphicData uri="http://schemas.microsoft.com/office/word/2010/wordprocessingShape">
                    <wps:wsp>
                      <wps:cNvCnPr/>
                      <wps:spPr>
                        <a:xfrm flipV="1">
                          <a:off x="0" y="0"/>
                          <a:ext cx="633566" cy="398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9D971BC"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9pt,.35pt" to="381.8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" strokecolor="black [3213]" strokeweight=".5pt">
                <v:stroke joinstyle="miter"/>
              </v:line>
            </w:pict>
          </mc:Fallback>
        </mc:AlternateContent>
      </w:r>
      <w:r>
        <w:rPr>
          <w:sz w:val="22"/>
          <w:szCs w:val="22"/>
          <w:lang w:val="fr-CH"/>
        </w:rPr>
        <w:t xml:space="preserve"> </w:t>
      </w:r>
    </w:p>
    <w:p w14:paraId="10A4FA7A" w14:textId="77777777" w:rsidR="001F17E8" w:rsidRDefault="001F17E8" w:rsidP="001F17E8">
      <w:pPr>
        <w:rPr>
          <w:sz w:val="22"/>
          <w:szCs w:val="22"/>
          <w:lang w:val="fr-CH"/>
        </w:rPr>
      </w:pPr>
    </w:p>
    <w:p w14:paraId="2429C302" w14:textId="77777777" w:rsidR="001F17E8" w:rsidRDefault="001F17E8" w:rsidP="001F17E8">
      <w:pPr>
        <w:rPr>
          <w:sz w:val="22"/>
          <w:szCs w:val="22"/>
          <w:lang w:val="fr-CH"/>
        </w:rPr>
      </w:pPr>
      <w:r>
        <w:rPr>
          <w:sz w:val="22"/>
          <w:szCs w:val="22"/>
          <w:lang w:val="fr-CH"/>
        </w:rPr>
        <w:t xml:space="preserve">                                                                            opposition dissensuelle de PDV</w:t>
      </w:r>
    </w:p>
    <w:p w14:paraId="712AEF67" w14:textId="77777777" w:rsidR="001F17E8" w:rsidRDefault="001F17E8" w:rsidP="001F17E8">
      <w:pPr>
        <w:rPr>
          <w:sz w:val="22"/>
          <w:szCs w:val="22"/>
          <w:lang w:val="fr-CH"/>
        </w:rPr>
      </w:pPr>
      <w:r>
        <w:rPr>
          <w:noProof/>
          <w:sz w:val="22"/>
          <w:szCs w:val="22"/>
          <w:lang w:eastAsia="fr-FR"/>
        </w:rPr>
        <mc:AlternateContent>
          <mc:Choice Requires="wps">
            <w:drawing>
              <wp:anchor distT="0" distB="0" distL="114300" distR="114300" simplePos="0" relativeHeight="251671552" behindDoc="0" locked="0" layoutInCell="1" allowOverlap="1" wp14:anchorId="2B544135" wp14:editId="5A564B8B">
                <wp:simplePos x="0" y="0"/>
                <wp:positionH relativeFrom="margin">
                  <wp:posOffset>4227032</wp:posOffset>
                </wp:positionH>
                <wp:positionV relativeFrom="paragraph">
                  <wp:posOffset>5715</wp:posOffset>
                </wp:positionV>
                <wp:extent cx="633566" cy="425513"/>
                <wp:effectExtent l="0" t="0" r="33655" b="31750"/>
                <wp:wrapNone/>
                <wp:docPr id="10" name="Straight Connector 10"/>
                <wp:cNvGraphicFramePr/>
                <a:graphic xmlns:a="http://schemas.openxmlformats.org/drawingml/2006/main">
                  <a:graphicData uri="http://schemas.microsoft.com/office/word/2010/wordprocessingShape">
                    <wps:wsp>
                      <wps:cNvCnPr/>
                      <wps:spPr>
                        <a:xfrm>
                          <a:off x="0" y="0"/>
                          <a:ext cx="633566" cy="4255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DCF665F"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2.85pt,.45pt" to="382.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" strokecolor="black [3213]" strokeweight=".5pt">
                <v:stroke joinstyle="miter"/>
                <w10:wrap anchorx="margin"/>
              </v:line>
            </w:pict>
          </mc:Fallback>
        </mc:AlternateContent>
      </w:r>
      <w:r>
        <w:rPr>
          <w:noProof/>
          <w:sz w:val="22"/>
          <w:szCs w:val="22"/>
          <w:lang w:eastAsia="fr-FR"/>
        </w:rPr>
        <mc:AlternateContent>
          <mc:Choice Requires="wps">
            <w:drawing>
              <wp:anchor distT="0" distB="0" distL="114300" distR="114300" simplePos="0" relativeHeight="251668480" behindDoc="0" locked="0" layoutInCell="1" allowOverlap="1" wp14:anchorId="3B9D03AA" wp14:editId="11A26761">
                <wp:simplePos x="0" y="0"/>
                <wp:positionH relativeFrom="column">
                  <wp:posOffset>2160276</wp:posOffset>
                </wp:positionH>
                <wp:positionV relativeFrom="paragraph">
                  <wp:posOffset>99972</wp:posOffset>
                </wp:positionV>
                <wp:extent cx="261891" cy="579321"/>
                <wp:effectExtent l="0" t="0" r="24130" b="30480"/>
                <wp:wrapNone/>
                <wp:docPr id="11" name="Straight Connector 7"/>
                <wp:cNvGraphicFramePr/>
                <a:graphic xmlns:a="http://schemas.openxmlformats.org/drawingml/2006/main">
                  <a:graphicData uri="http://schemas.microsoft.com/office/word/2010/wordprocessingShape">
                    <wps:wsp>
                      <wps:cNvCnPr/>
                      <wps:spPr>
                        <a:xfrm flipV="1">
                          <a:off x="0" y="0"/>
                          <a:ext cx="261891" cy="5793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7546973"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1pt,7.85pt" to="190.7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" strokecolor="black [3213]" strokeweight=".5pt">
                <v:stroke joinstyle="miter"/>
              </v:line>
            </w:pict>
          </mc:Fallback>
        </mc:AlternateContent>
      </w:r>
    </w:p>
    <w:p w14:paraId="172F2DCB" w14:textId="77777777" w:rsidR="001F17E8" w:rsidRDefault="001F17E8" w:rsidP="001F17E8">
      <w:pPr>
        <w:ind w:left="7788"/>
        <w:rPr>
          <w:sz w:val="22"/>
          <w:szCs w:val="22"/>
          <w:lang w:val="fr-CH"/>
        </w:rPr>
      </w:pPr>
      <w:r>
        <w:rPr>
          <w:sz w:val="22"/>
          <w:szCs w:val="22"/>
          <w:lang w:val="fr-CH"/>
        </w:rPr>
        <w:t xml:space="preserve">                                                                                                                                                                                 atone</w:t>
      </w:r>
    </w:p>
    <w:p w14:paraId="07FC8377" w14:textId="77777777" w:rsidR="001F17E8" w:rsidRDefault="001F17E8" w:rsidP="001F17E8">
      <w:pPr>
        <w:rPr>
          <w:sz w:val="22"/>
          <w:szCs w:val="22"/>
          <w:lang w:val="fr-CH"/>
        </w:rPr>
      </w:pPr>
    </w:p>
    <w:p w14:paraId="7D4C20FA" w14:textId="77777777" w:rsidR="001F17E8" w:rsidRDefault="001F17E8" w:rsidP="001F17E8">
      <w:pPr>
        <w:rPr>
          <w:sz w:val="22"/>
          <w:szCs w:val="22"/>
          <w:lang w:val="fr-CH"/>
        </w:rPr>
      </w:pPr>
      <w:r>
        <w:rPr>
          <w:sz w:val="22"/>
          <w:szCs w:val="22"/>
          <w:lang w:val="fr-CH"/>
        </w:rPr>
        <w:t xml:space="preserve">Discordance discordante (Désaccord) </w:t>
      </w:r>
    </w:p>
    <w:p w14:paraId="6C9A123A" w14:textId="77777777" w:rsidR="001F17E8" w:rsidRDefault="001F17E8" w:rsidP="001F17E8">
      <w:pPr>
        <w:rPr>
          <w:sz w:val="22"/>
          <w:szCs w:val="22"/>
          <w:lang w:val="fr-CH"/>
        </w:rPr>
      </w:pPr>
      <w:r>
        <w:rPr>
          <w:noProof/>
          <w:sz w:val="22"/>
          <w:szCs w:val="22"/>
          <w:lang w:eastAsia="fr-FR"/>
        </w:rPr>
        <mc:AlternateContent>
          <mc:Choice Requires="wps">
            <w:drawing>
              <wp:anchor distT="0" distB="0" distL="114300" distR="114300" simplePos="0" relativeHeight="251672576" behindDoc="0" locked="0" layoutInCell="1" allowOverlap="1" wp14:anchorId="1E64A6D1" wp14:editId="16606AB5">
                <wp:simplePos x="0" y="0"/>
                <wp:positionH relativeFrom="margin">
                  <wp:posOffset>2160277</wp:posOffset>
                </wp:positionH>
                <wp:positionV relativeFrom="paragraph">
                  <wp:posOffset>7657</wp:posOffset>
                </wp:positionV>
                <wp:extent cx="316828" cy="787651"/>
                <wp:effectExtent l="0" t="0" r="26670" b="31750"/>
                <wp:wrapNone/>
                <wp:docPr id="12" name="Straight Connector 11"/>
                <wp:cNvGraphicFramePr/>
                <a:graphic xmlns:a="http://schemas.openxmlformats.org/drawingml/2006/main">
                  <a:graphicData uri="http://schemas.microsoft.com/office/word/2010/wordprocessingShape">
                    <wps:wsp>
                      <wps:cNvCnPr/>
                      <wps:spPr>
                        <a:xfrm>
                          <a:off x="0" y="0"/>
                          <a:ext cx="316828" cy="7876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B5B61CE"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1pt,.6pt" to="195.0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" strokecolor="black [3213]" strokeweight=".5pt">
                <v:stroke joinstyle="miter"/>
                <w10:wrap anchorx="margin"/>
              </v:line>
            </w:pict>
          </mc:Fallback>
        </mc:AlternateContent>
      </w:r>
    </w:p>
    <w:p w14:paraId="6DBA1B33" w14:textId="77777777" w:rsidR="001F17E8" w:rsidRDefault="001F17E8" w:rsidP="001F17E8">
      <w:pPr>
        <w:rPr>
          <w:sz w:val="22"/>
          <w:szCs w:val="22"/>
          <w:lang w:val="fr-CH"/>
        </w:rPr>
      </w:pPr>
    </w:p>
    <w:p w14:paraId="17B27588" w14:textId="77777777" w:rsidR="001F17E8" w:rsidRDefault="001F17E8" w:rsidP="001F17E8">
      <w:pPr>
        <w:rPr>
          <w:sz w:val="22"/>
          <w:szCs w:val="22"/>
          <w:lang w:val="fr-CH"/>
        </w:rPr>
      </w:pPr>
      <w:r>
        <w:rPr>
          <w:noProof/>
          <w:sz w:val="22"/>
          <w:szCs w:val="22"/>
          <w:lang w:eastAsia="fr-FR"/>
        </w:rPr>
        <mc:AlternateContent>
          <mc:Choice Requires="wps">
            <w:drawing>
              <wp:anchor distT="0" distB="0" distL="114300" distR="114300" simplePos="0" relativeHeight="251670528" behindDoc="0" locked="0" layoutInCell="1" allowOverlap="1" wp14:anchorId="0BEA5FDF" wp14:editId="396CB7BE">
                <wp:simplePos x="0" y="0"/>
                <wp:positionH relativeFrom="column">
                  <wp:posOffset>4305948</wp:posOffset>
                </wp:positionH>
                <wp:positionV relativeFrom="paragraph">
                  <wp:posOffset>110282</wp:posOffset>
                </wp:positionV>
                <wp:extent cx="551613" cy="434566"/>
                <wp:effectExtent l="0" t="0" r="20320" b="22860"/>
                <wp:wrapNone/>
                <wp:docPr id="13" name="Straight Connector 9"/>
                <wp:cNvGraphicFramePr/>
                <a:graphic xmlns:a="http://schemas.openxmlformats.org/drawingml/2006/main">
                  <a:graphicData uri="http://schemas.microsoft.com/office/word/2010/wordprocessingShape">
                    <wps:wsp>
                      <wps:cNvCnPr/>
                      <wps:spPr>
                        <a:xfrm flipV="1">
                          <a:off x="0" y="0"/>
                          <a:ext cx="551613" cy="4345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481AC93"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05pt,8.7pt" to="382.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" strokecolor="black [3213]" strokeweight=".5pt">
                <v:stroke joinstyle="miter"/>
              </v:line>
            </w:pict>
          </mc:Fallback>
        </mc:AlternateContent>
      </w:r>
      <w:r>
        <w:rPr>
          <w:sz w:val="22"/>
          <w:szCs w:val="22"/>
          <w:lang w:val="fr-CH"/>
        </w:rPr>
        <w:t xml:space="preserve">                                                                                                                                                            tonique</w:t>
      </w:r>
    </w:p>
    <w:p w14:paraId="34539B94" w14:textId="77777777" w:rsidR="001F17E8" w:rsidRDefault="001F17E8" w:rsidP="001F17E8">
      <w:pPr>
        <w:rPr>
          <w:sz w:val="22"/>
          <w:szCs w:val="22"/>
          <w:lang w:val="fr-CH"/>
        </w:rPr>
      </w:pPr>
      <w:r>
        <w:rPr>
          <w:sz w:val="22"/>
          <w:szCs w:val="22"/>
          <w:lang w:val="fr-CH"/>
        </w:rPr>
        <w:t xml:space="preserve">                                 </w:t>
      </w:r>
    </w:p>
    <w:p w14:paraId="068446F3" w14:textId="77777777" w:rsidR="001F17E8" w:rsidRDefault="001F17E8" w:rsidP="001F17E8">
      <w:pPr>
        <w:rPr>
          <w:sz w:val="22"/>
          <w:szCs w:val="22"/>
          <w:lang w:val="fr-CH"/>
        </w:rPr>
      </w:pPr>
    </w:p>
    <w:p w14:paraId="1BA28503" w14:textId="77777777" w:rsidR="001F17E8" w:rsidRDefault="001F17E8" w:rsidP="001F17E8">
      <w:pPr>
        <w:rPr>
          <w:sz w:val="22"/>
          <w:szCs w:val="22"/>
          <w:lang w:val="fr-CH"/>
        </w:rPr>
      </w:pPr>
      <w:r>
        <w:rPr>
          <w:noProof/>
          <w:sz w:val="22"/>
          <w:szCs w:val="22"/>
          <w:lang w:eastAsia="fr-FR"/>
        </w:rPr>
        <mc:AlternateContent>
          <mc:Choice Requires="wps">
            <w:drawing>
              <wp:anchor distT="0" distB="0" distL="114300" distR="114300" simplePos="0" relativeHeight="251673600" behindDoc="0" locked="0" layoutInCell="1" allowOverlap="1" wp14:anchorId="1AD1C3AD" wp14:editId="7C4C7A8B">
                <wp:simplePos x="0" y="0"/>
                <wp:positionH relativeFrom="margin">
                  <wp:posOffset>4287842</wp:posOffset>
                </wp:positionH>
                <wp:positionV relativeFrom="paragraph">
                  <wp:posOffset>114519</wp:posOffset>
                </wp:positionV>
                <wp:extent cx="597528" cy="488887"/>
                <wp:effectExtent l="0" t="0" r="31750" b="26035"/>
                <wp:wrapNone/>
                <wp:docPr id="14" name="Straight Connector 12"/>
                <wp:cNvGraphicFramePr/>
                <a:graphic xmlns:a="http://schemas.openxmlformats.org/drawingml/2006/main">
                  <a:graphicData uri="http://schemas.microsoft.com/office/word/2010/wordprocessingShape">
                    <wps:wsp>
                      <wps:cNvCnPr/>
                      <wps:spPr>
                        <a:xfrm>
                          <a:off x="0" y="0"/>
                          <a:ext cx="597528" cy="4888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0257A97"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65pt,9pt" to="384.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" strokecolor="black [3213]" strokeweight=".5pt">
                <v:stroke joinstyle="miter"/>
                <w10:wrap anchorx="margin"/>
              </v:line>
            </w:pict>
          </mc:Fallback>
        </mc:AlternateContent>
      </w:r>
      <w:r>
        <w:rPr>
          <w:sz w:val="22"/>
          <w:szCs w:val="22"/>
          <w:lang w:val="fr-CH"/>
        </w:rPr>
        <w:t xml:space="preserve">                                                                             opposition consensuelle de PDV</w:t>
      </w:r>
    </w:p>
    <w:p w14:paraId="44D5886D" w14:textId="77777777" w:rsidR="001F17E8" w:rsidRDefault="001F17E8" w:rsidP="001F17E8">
      <w:pPr>
        <w:rPr>
          <w:sz w:val="22"/>
          <w:szCs w:val="22"/>
          <w:lang w:val="fr-CH"/>
        </w:rPr>
      </w:pPr>
    </w:p>
    <w:p w14:paraId="4EDF8A40" w14:textId="77777777" w:rsidR="001F17E8" w:rsidRDefault="001F17E8" w:rsidP="001F17E8">
      <w:pPr>
        <w:rPr>
          <w:sz w:val="22"/>
          <w:szCs w:val="22"/>
          <w:lang w:val="fr-CH"/>
        </w:rPr>
      </w:pPr>
      <w:r>
        <w:rPr>
          <w:sz w:val="22"/>
          <w:szCs w:val="22"/>
          <w:lang w:val="fr-CH"/>
        </w:rPr>
        <w:t xml:space="preserve">                                        </w:t>
      </w:r>
    </w:p>
    <w:p w14:paraId="70C78C1E" w14:textId="77777777" w:rsidR="001F17E8" w:rsidRDefault="001F17E8" w:rsidP="001F17E8">
      <w:pPr>
        <w:rPr>
          <w:sz w:val="22"/>
          <w:szCs w:val="22"/>
          <w:lang w:val="fr-CH"/>
        </w:rPr>
      </w:pPr>
      <w:r>
        <w:rPr>
          <w:sz w:val="22"/>
          <w:szCs w:val="22"/>
          <w:lang w:val="fr-CH"/>
        </w:rPr>
        <w:t xml:space="preserve">                                                                                                                                                            atone</w:t>
      </w:r>
    </w:p>
    <w:p w14:paraId="3257570E" w14:textId="77777777" w:rsidR="001F17E8" w:rsidRDefault="001F17E8" w:rsidP="001F17E8">
      <w:pPr>
        <w:rPr>
          <w:sz w:val="22"/>
          <w:szCs w:val="22"/>
          <w:lang w:val="fr-CH"/>
        </w:rPr>
      </w:pPr>
    </w:p>
    <w:p w14:paraId="5BB38D2D" w14:textId="77777777" w:rsidR="001F17E8" w:rsidRDefault="001F17E8" w:rsidP="001F17E8">
      <w:pPr>
        <w:rPr>
          <w:sz w:val="22"/>
          <w:szCs w:val="22"/>
          <w:lang w:val="fr-CH"/>
        </w:rPr>
      </w:pPr>
      <w:r>
        <w:rPr>
          <w:sz w:val="22"/>
          <w:szCs w:val="22"/>
          <w:lang w:val="fr-CH"/>
        </w:rPr>
        <w:t xml:space="preserve"> </w:t>
      </w:r>
    </w:p>
    <w:p w14:paraId="62EE0536" w14:textId="12C03D06" w:rsidR="00094BD3" w:rsidRPr="007A0B82" w:rsidRDefault="00094BD3" w:rsidP="00094BD3">
      <w:pPr>
        <w:widowControl w:val="0"/>
        <w:autoSpaceDE w:val="0"/>
        <w:autoSpaceDN w:val="0"/>
        <w:adjustRightInd w:val="0"/>
        <w:spacing w:after="120" w:line="276" w:lineRule="auto"/>
        <w:jc w:val="both"/>
        <w:rPr>
          <w:rFonts w:ascii="Times New Roman" w:hAnsi="Times New Roman" w:cs="Times New Roman"/>
        </w:rPr>
      </w:pPr>
      <w:r w:rsidRPr="007A0B82">
        <w:rPr>
          <w:rFonts w:ascii="Times New Roman" w:hAnsi="Times New Roman" w:cs="Times New Roman"/>
        </w:rPr>
        <w:t xml:space="preserve">Dans </w:t>
      </w:r>
      <w:r w:rsidRPr="007A0B82">
        <w:rPr>
          <w:rFonts w:ascii="Times New Roman" w:hAnsi="Times New Roman" w:cs="Times New Roman"/>
          <w:i/>
        </w:rPr>
        <w:t>Un balcon en forêt</w:t>
      </w:r>
      <w:r w:rsidRPr="007A0B82">
        <w:rPr>
          <w:rFonts w:ascii="Times New Roman" w:hAnsi="Times New Roman" w:cs="Times New Roman"/>
        </w:rPr>
        <w:t>, l’accord dissensuel (tonique ou atone) semble céder la place</w:t>
      </w:r>
      <w:r w:rsidR="00E543BC">
        <w:rPr>
          <w:rFonts w:ascii="Times New Roman" w:hAnsi="Times New Roman" w:cs="Times New Roman"/>
        </w:rPr>
        <w:t>, très souvent,</w:t>
      </w:r>
      <w:r w:rsidRPr="007A0B82">
        <w:rPr>
          <w:rFonts w:ascii="Times New Roman" w:hAnsi="Times New Roman" w:cs="Times New Roman"/>
        </w:rPr>
        <w:t xml:space="preserve"> à l’accord consensuel atone (construit sur le décalage entre les PDV des co-</w:t>
      </w:r>
      <w:r w:rsidRPr="007A0B82">
        <w:rPr>
          <w:rFonts w:ascii="Times New Roman" w:hAnsi="Times New Roman" w:cs="Times New Roman"/>
        </w:rPr>
        <w:lastRenderedPageBreak/>
        <w:t>énonciateurs plus que sur un véritable conflit). L’exemple (2) admet deux interprétations :</w:t>
      </w:r>
    </w:p>
    <w:p w14:paraId="604AC4C7" w14:textId="77777777" w:rsidR="00094BD3" w:rsidRPr="007A0B82" w:rsidRDefault="00094BD3" w:rsidP="00094BD3">
      <w:pPr>
        <w:pStyle w:val="Paragraphedeliste"/>
        <w:widowControl w:val="0"/>
        <w:numPr>
          <w:ilvl w:val="0"/>
          <w:numId w:val="1"/>
        </w:numPr>
        <w:autoSpaceDE w:val="0"/>
        <w:autoSpaceDN w:val="0"/>
        <w:adjustRightInd w:val="0"/>
        <w:spacing w:after="120" w:line="276" w:lineRule="auto"/>
        <w:jc w:val="both"/>
        <w:rPr>
          <w:color w:val="535353"/>
        </w:rPr>
      </w:pPr>
      <w:r w:rsidRPr="007A0B82">
        <w:t xml:space="preserve">La solitude était complète, et cependant l’idée d’une rencontre possible ne disparaissait pas complètement : quelquefois on croyait distinguer dans l’éloignement un homme debout au bord de la chaussée sous sa longue pèlerine : de près, c’était un petit sapin tout noir et carré d’épaules contre le rideau de feuilles claires (pp. 19). </w:t>
      </w:r>
    </w:p>
    <w:p w14:paraId="2F6BF02B" w14:textId="3C871145"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À propos du début de l’extrait, l’on parlera de compte rendu de perceptions/pensées au style narrativisé (ici au second plan), avant que le contenu de la perception ne soit explicité sous la forme d’un compte rendu au style indirect libre : « un homme debout au bord de la chaussée sous sa longue pèlerine » et, surtout, « de près, c’était un petit sapin tout noir et carré d’épaules contre le rideau de feuilles claires ». On y verra, une nouvelle fois, un PDV co-construit, le style indirect libre relevant, ici, d’une logique implicative. Les points de vue du Locuteur/</w:t>
      </w:r>
      <w:r w:rsidR="00E543BC" w:rsidRPr="007A0B82">
        <w:rPr>
          <w:rFonts w:ascii="Times New Roman" w:hAnsi="Times New Roman" w:cs="Times New Roman"/>
        </w:rPr>
        <w:t>É</w:t>
      </w:r>
      <w:r w:rsidRPr="007A0B82">
        <w:rPr>
          <w:rFonts w:ascii="Times New Roman" w:hAnsi="Times New Roman" w:cs="Times New Roman"/>
        </w:rPr>
        <w:t xml:space="preserve">nonciateur premier et de l’énonciateur second se mêlent et tendent vers une concordance concordante. Le développement du PDV co-construit concerne l’axe tensif de l’étendue : de la même manière que le déroulement de la phrase occupe l’espace et le temps, le regard consomme du temps en enjambant le ici et le tout près en direction du « là », correspondant à la zone proximale, et du « là-bas », caractéristique de la zone distale (Rastier 2002 : 248-249). La rupture locale s’accompagne d’une rupture modale, qui oppose le certain (en relation avec le je-ici-maintenant) au probable (là) et à l’irréel (là-bas). Ce franchissement d’un seuil est confirmé, dans (2), par une relative incertitude, dont témoigne le verbe « croire » (« on croyait distinguer »). </w:t>
      </w:r>
    </w:p>
    <w:p w14:paraId="5AE96E59" w14:textId="24AE62ED"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En même temps, en vertu d’une interprétation alternative, on peut déceler une co-énonciation faiblement consensuelle, c’est-à-dire atone, en jouant sur la dissimilation, au sein même de l’accord manifesté par « on », entre l’Énonciateur qui « sait » et l’énonciateur qui « croit ». Dans le contexte général, l’exemple atteste moins une sur-énonciation qu’un </w:t>
      </w:r>
      <w:r w:rsidRPr="007A0B82">
        <w:rPr>
          <w:rFonts w:ascii="Times New Roman" w:hAnsi="Times New Roman" w:cs="Times New Roman"/>
          <w:i/>
        </w:rPr>
        <w:t>décalage</w:t>
      </w:r>
      <w:r w:rsidRPr="007A0B82">
        <w:rPr>
          <w:rFonts w:ascii="Times New Roman" w:hAnsi="Times New Roman" w:cs="Times New Roman"/>
        </w:rPr>
        <w:t xml:space="preserve"> entre les PDV</w:t>
      </w:r>
      <w:r w:rsidR="00D9275C" w:rsidRPr="007A0B82">
        <w:rPr>
          <w:rFonts w:ascii="Times New Roman" w:hAnsi="Times New Roman" w:cs="Times New Roman"/>
        </w:rPr>
        <w:t xml:space="preserve"> co-construits.</w:t>
      </w:r>
      <w:r w:rsidRPr="007A0B82">
        <w:rPr>
          <w:rFonts w:ascii="Times New Roman" w:hAnsi="Times New Roman" w:cs="Times New Roman"/>
        </w:rPr>
        <w:t xml:space="preserve"> Le style indirect libre peut en effet correspondre à une échappée permettant au PDV de Grange de se déployer, même si </w:t>
      </w:r>
      <w:r w:rsidR="00D9275C" w:rsidRPr="007A0B82">
        <w:rPr>
          <w:rFonts w:ascii="Times New Roman" w:hAnsi="Times New Roman" w:cs="Times New Roman"/>
        </w:rPr>
        <w:t>celle-ci</w:t>
      </w:r>
      <w:r w:rsidRPr="007A0B82">
        <w:rPr>
          <w:rFonts w:ascii="Times New Roman" w:hAnsi="Times New Roman" w:cs="Times New Roman"/>
        </w:rPr>
        <w:t xml:space="preserve"> est immédiatement médiée par le PDV du </w:t>
      </w:r>
      <w:r w:rsidR="00D9275C" w:rsidRPr="007A0B82">
        <w:rPr>
          <w:rFonts w:ascii="Times New Roman" w:hAnsi="Times New Roman" w:cs="Times New Roman"/>
        </w:rPr>
        <w:t>L/E</w:t>
      </w:r>
      <w:r w:rsidRPr="007A0B82">
        <w:rPr>
          <w:rFonts w:ascii="Times New Roman" w:hAnsi="Times New Roman" w:cs="Times New Roman"/>
        </w:rPr>
        <w:t>. En témoignent les marques de subjectivité à mettre à son compte (surtout l’adverbe d’intensité « tout » modifiant le qualificatif « noir » et l’inscription sur l’isotopie « humain » (« carré d’épaules »)). Les deux points agissent à l’instar du double tiret qui, dans l’exemple (</w:t>
      </w:r>
      <w:r w:rsidR="00E543BC">
        <w:rPr>
          <w:rFonts w:ascii="Times New Roman" w:hAnsi="Times New Roman" w:cs="Times New Roman"/>
        </w:rPr>
        <w:t>3</w:t>
      </w:r>
      <w:r w:rsidRPr="007A0B82">
        <w:rPr>
          <w:rFonts w:ascii="Times New Roman" w:hAnsi="Times New Roman" w:cs="Times New Roman"/>
        </w:rPr>
        <w:t xml:space="preserve">), met en œuvre une logique rythmée par la rupture et la reprise et encadre la description aspectualisée du milieu environnant : </w:t>
      </w:r>
    </w:p>
    <w:p w14:paraId="483B262C" w14:textId="77777777" w:rsidR="00094BD3" w:rsidRPr="007A0B82" w:rsidRDefault="00094BD3" w:rsidP="00094BD3">
      <w:pPr>
        <w:pStyle w:val="Paragraphedeliste"/>
        <w:numPr>
          <w:ilvl w:val="0"/>
          <w:numId w:val="1"/>
        </w:numPr>
        <w:spacing w:after="120" w:line="276" w:lineRule="auto"/>
        <w:jc w:val="both"/>
      </w:pPr>
      <w:r w:rsidRPr="007A0B82">
        <w:t>La forêt était courtaude – c’étaient des bouleaux, des hêtres nains, des frênes, de petits chênes surtout, ramus et tordus comme des poiriers – mais elle paraissait extraordinairement vivace et racinée, sans une déchirure, sans une clairière ; (p. 19).</w:t>
      </w:r>
    </w:p>
    <w:p w14:paraId="203437A9" w14:textId="2E2EC07D"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L’esprit de Grange s’échappe vagabond, exemplifiant ce qu’à la suite de Michel Murat, on  </w:t>
      </w:r>
      <w:r w:rsidR="00E75FF4">
        <w:rPr>
          <w:rFonts w:ascii="Times New Roman" w:hAnsi="Times New Roman" w:cs="Times New Roman"/>
        </w:rPr>
        <w:t>peut appeler</w:t>
      </w:r>
      <w:r w:rsidRPr="007A0B82">
        <w:rPr>
          <w:rFonts w:ascii="Times New Roman" w:hAnsi="Times New Roman" w:cs="Times New Roman"/>
        </w:rPr>
        <w:t xml:space="preserve"> le braconnage d’esprit.</w:t>
      </w:r>
    </w:p>
    <w:p w14:paraId="0E48016D" w14:textId="65956F3D"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Dans l’exemple (</w:t>
      </w:r>
      <w:r w:rsidR="009E23F7">
        <w:rPr>
          <w:rFonts w:ascii="Times New Roman" w:hAnsi="Times New Roman" w:cs="Times New Roman"/>
        </w:rPr>
        <w:t>4</w:t>
      </w:r>
      <w:r w:rsidRPr="007A0B82">
        <w:rPr>
          <w:rFonts w:ascii="Times New Roman" w:hAnsi="Times New Roman" w:cs="Times New Roman"/>
        </w:rPr>
        <w:t xml:space="preserve">), le compte rendu au style direct autonomise </w:t>
      </w:r>
      <w:r w:rsidR="00B07C46" w:rsidRPr="007A0B82">
        <w:rPr>
          <w:rFonts w:ascii="Times New Roman" w:hAnsi="Times New Roman" w:cs="Times New Roman"/>
        </w:rPr>
        <w:t xml:space="preserve">davantage </w:t>
      </w:r>
      <w:r w:rsidRPr="007A0B82">
        <w:rPr>
          <w:rFonts w:ascii="Times New Roman" w:hAnsi="Times New Roman" w:cs="Times New Roman"/>
        </w:rPr>
        <w:t xml:space="preserve">le PDV du personnage et peut conforter l’idée d’une confrontation de PDV distincts : </w:t>
      </w:r>
    </w:p>
    <w:p w14:paraId="7B6B5A75" w14:textId="35B85E26" w:rsidR="00094BD3" w:rsidRPr="007A0B82" w:rsidRDefault="00094BD3" w:rsidP="00094BD3">
      <w:pPr>
        <w:pStyle w:val="Paragraphedeliste"/>
        <w:numPr>
          <w:ilvl w:val="0"/>
          <w:numId w:val="1"/>
        </w:numPr>
        <w:spacing w:after="120" w:line="276" w:lineRule="auto"/>
        <w:jc w:val="both"/>
      </w:pPr>
      <w:r w:rsidRPr="007A0B82">
        <w:t>Où me mène-t-on ? songeait-il</w:t>
      </w:r>
      <w:r w:rsidR="009E23F7">
        <w:t>.</w:t>
      </w:r>
      <w:r w:rsidRPr="007A0B82">
        <w:t xml:space="preserve"> Il calcula que depuis la Meuse on avait dû faire une bonne douzaine de kilomètres : la Belgique ne pouvait être loin (p. 20). </w:t>
      </w:r>
    </w:p>
    <w:p w14:paraId="607A2C9E" w14:textId="082DB835"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lastRenderedPageBreak/>
        <w:t xml:space="preserve">Une nouvelle fois, </w:t>
      </w:r>
      <w:r w:rsidR="00226095">
        <w:rPr>
          <w:rFonts w:ascii="Times New Roman" w:hAnsi="Times New Roman" w:cs="Times New Roman"/>
        </w:rPr>
        <w:t xml:space="preserve">après le compte rendu au style indirect à mettre au compte du narrateur, </w:t>
      </w:r>
      <w:r w:rsidRPr="007A0B82">
        <w:rPr>
          <w:rFonts w:ascii="Times New Roman" w:hAnsi="Times New Roman" w:cs="Times New Roman"/>
        </w:rPr>
        <w:t xml:space="preserve">l’on ne constate aucune forme de dissensus (implicite ou explicite) ni de contestation qui corroborerait une vraie déhiscence entre deux niveaux de manifestation du PDV. L’intensification subjective cumulant dans le style direct se monnaye toutefois dans la suite du texte (« une bonne douzaine de kilomètres », « la Belgique ne pouvait être loin »). </w:t>
      </w:r>
    </w:p>
    <w:p w14:paraId="4A0E9BD0" w14:textId="3BD164ED"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Que faut-il retenir de ces explorations ? D’une part, élargissant la perspective, l’on peut concevoir un continuum borné par la concordance concordante et la discordance discordante (les sur-contraires selon Zilberberg encadrant les sous-contraires concordance discordante et discordance concordante) et une version forte et une version faible de la co-énonciation</w:t>
      </w:r>
      <w:r w:rsidR="00B67193">
        <w:rPr>
          <w:rFonts w:ascii="Times New Roman" w:hAnsi="Times New Roman" w:cs="Times New Roman"/>
        </w:rPr>
        <w:t xml:space="preserve"> consensuelle ou dissensuelle</w:t>
      </w:r>
      <w:r w:rsidRPr="007A0B82">
        <w:rPr>
          <w:rFonts w:ascii="Times New Roman" w:hAnsi="Times New Roman" w:cs="Times New Roman"/>
        </w:rPr>
        <w:t> (cf. Rabatel 2012</w:t>
      </w:r>
      <w:r w:rsidR="00B12CD7">
        <w:rPr>
          <w:rFonts w:ascii="Times New Roman" w:hAnsi="Times New Roman" w:cs="Times New Roman"/>
        </w:rPr>
        <w:t>a</w:t>
      </w:r>
      <w:r w:rsidRPr="007A0B82">
        <w:rPr>
          <w:rFonts w:ascii="Times New Roman" w:hAnsi="Times New Roman" w:cs="Times New Roman"/>
        </w:rPr>
        <w:t xml:space="preserve"> pour une approche scalaire et des hésitations entre interprétations)</w:t>
      </w:r>
      <w:r w:rsidRPr="007A0B82">
        <w:rPr>
          <w:rStyle w:val="Appelnotedebasdep"/>
          <w:rFonts w:ascii="Times New Roman" w:hAnsi="Times New Roman" w:cs="Times New Roman"/>
        </w:rPr>
        <w:footnoteReference w:id="18"/>
      </w:r>
      <w:r w:rsidRPr="007A0B82">
        <w:rPr>
          <w:rFonts w:ascii="Times New Roman" w:hAnsi="Times New Roman" w:cs="Times New Roman"/>
        </w:rPr>
        <w:t xml:space="preserve"> ? D’autre part, dans </w:t>
      </w:r>
      <w:r w:rsidRPr="007A0B82">
        <w:rPr>
          <w:rFonts w:ascii="Times New Roman" w:hAnsi="Times New Roman" w:cs="Times New Roman"/>
          <w:i/>
        </w:rPr>
        <w:t>Un balcon en forêt</w:t>
      </w:r>
      <w:r w:rsidRPr="007A0B82">
        <w:rPr>
          <w:rFonts w:ascii="Times New Roman" w:hAnsi="Times New Roman" w:cs="Times New Roman"/>
        </w:rPr>
        <w:t>, la concurrence entre le PDV du Locuteur/</w:t>
      </w:r>
      <w:r w:rsidR="00B12CD7" w:rsidRPr="007A0B82">
        <w:rPr>
          <w:rFonts w:ascii="Times New Roman" w:hAnsi="Times New Roman" w:cs="Times New Roman"/>
        </w:rPr>
        <w:t>É</w:t>
      </w:r>
      <w:r w:rsidRPr="007A0B82">
        <w:rPr>
          <w:rFonts w:ascii="Times New Roman" w:hAnsi="Times New Roman" w:cs="Times New Roman"/>
        </w:rPr>
        <w:t>nonciateur premier et celui de l’énonciateur second (Grange) est possible, quoique très affaiblie. Pour rendre compte de l’espace des confrontations, on hésitera, selon les cas de figure, entre une co-énonciation consensuelle atone et, éventuellement, une co-énonciation dissensuelle atone.</w:t>
      </w:r>
    </w:p>
    <w:p w14:paraId="2D7C626A"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De fait, plutôt que d’un vrai dissensus, les extraits invitent à rendre compte de l’étape inchoative d’un décalage qui, du point de vue topologique, consiste à creuser un intervalle, l’</w:t>
      </w:r>
      <w:r w:rsidRPr="007A0B82">
        <w:rPr>
          <w:rFonts w:ascii="Times New Roman" w:hAnsi="Times New Roman" w:cs="Times New Roman"/>
          <w:i/>
        </w:rPr>
        <w:t>écart</w:t>
      </w:r>
      <w:r w:rsidRPr="007A0B82">
        <w:rPr>
          <w:rFonts w:ascii="Times New Roman" w:hAnsi="Times New Roman" w:cs="Times New Roman"/>
        </w:rPr>
        <w:t>, au sens où l’entend François Jullien (2012)</w:t>
      </w:r>
      <w:r w:rsidRPr="007A0B82">
        <w:rPr>
          <w:rStyle w:val="Appelnotedebasdep"/>
          <w:rFonts w:ascii="Times New Roman" w:hAnsi="Times New Roman" w:cs="Times New Roman"/>
        </w:rPr>
        <w:footnoteReference w:id="19"/>
      </w:r>
      <w:r w:rsidRPr="007A0B82">
        <w:rPr>
          <w:rFonts w:ascii="Times New Roman" w:hAnsi="Times New Roman" w:cs="Times New Roman"/>
        </w:rPr>
        <w:t>. L’établissement de la différence, note ce dernier, suppose une vue en surplomb et une position d’extériorité</w:t>
      </w:r>
      <w:r w:rsidRPr="007A0B82">
        <w:rPr>
          <w:rStyle w:val="Appelnotedebasdep"/>
          <w:rFonts w:ascii="Times New Roman" w:hAnsi="Times New Roman" w:cs="Times New Roman"/>
        </w:rPr>
        <w:footnoteReference w:id="20"/>
      </w:r>
      <w:r w:rsidRPr="007A0B82">
        <w:rPr>
          <w:rFonts w:ascii="Times New Roman" w:hAnsi="Times New Roman" w:cs="Times New Roman"/>
        </w:rPr>
        <w:t>, ce que corrobore la distinction entre PDV dominants et dominés. Tout au contraire, à condition d’être aménagée, la notion d’empathie</w:t>
      </w:r>
      <w:r w:rsidRPr="007A0B82">
        <w:rPr>
          <w:rStyle w:val="Appelnotedebasdep"/>
          <w:rFonts w:ascii="Times New Roman" w:hAnsi="Times New Roman" w:cs="Times New Roman"/>
        </w:rPr>
        <w:footnoteReference w:id="21"/>
      </w:r>
      <w:r w:rsidRPr="007A0B82">
        <w:rPr>
          <w:rFonts w:ascii="Times New Roman" w:hAnsi="Times New Roman" w:cs="Times New Roman"/>
        </w:rPr>
        <w:t xml:space="preserve">, à laquelle Alain Rabatel a consacré de nombreux articles (cf. par exemple 2013, 2014), permet, ici, de saisir cet </w:t>
      </w:r>
      <w:r w:rsidRPr="007A0B82">
        <w:rPr>
          <w:rFonts w:ascii="Times New Roman" w:hAnsi="Times New Roman" w:cs="Times New Roman"/>
          <w:i/>
        </w:rPr>
        <w:t>écart</w:t>
      </w:r>
      <w:r w:rsidRPr="007A0B82">
        <w:rPr>
          <w:rFonts w:ascii="Times New Roman" w:hAnsi="Times New Roman" w:cs="Times New Roman"/>
        </w:rPr>
        <w:t xml:space="preserve"> fragile : dans le cas de l’empathie, l’émotion est « quasi prise en charge » (nous dirions assumée) par l’énonciateur second, plutôt que d’être exprimée directement par le Locuteur/Énonciateur premier. On peut y voir un mouvement vers, mais aussi une mise en tension et une séparation minimale, par quoi </w:t>
      </w:r>
      <w:r w:rsidRPr="007A0B82">
        <w:rPr>
          <w:rFonts w:ascii="Times New Roman" w:hAnsi="Times New Roman" w:cs="Times New Roman"/>
        </w:rPr>
        <w:lastRenderedPageBreak/>
        <w:t>l’écart (plutôt que la différence) peut s’établir</w:t>
      </w:r>
      <w:r w:rsidRPr="007A0B82">
        <w:rPr>
          <w:rStyle w:val="Appelnotedebasdep"/>
          <w:rFonts w:ascii="Times New Roman" w:hAnsi="Times New Roman" w:cs="Times New Roman"/>
        </w:rPr>
        <w:footnoteReference w:id="22"/>
      </w:r>
      <w:r w:rsidRPr="007A0B82">
        <w:rPr>
          <w:rFonts w:ascii="Times New Roman" w:hAnsi="Times New Roman" w:cs="Times New Roman"/>
        </w:rPr>
        <w:t xml:space="preserve">. C’est bien ce dont la notion de co-énonciation atone consonante peut rendre compte. </w:t>
      </w:r>
    </w:p>
    <w:p w14:paraId="17D84CE9" w14:textId="51117436" w:rsidR="00094BD3" w:rsidRPr="007A0B82" w:rsidRDefault="00094BD3" w:rsidP="00094BD3">
      <w:pPr>
        <w:pStyle w:val="Notedebasdepage"/>
        <w:spacing w:before="120" w:after="120" w:line="276" w:lineRule="auto"/>
        <w:jc w:val="both"/>
        <w:rPr>
          <w:sz w:val="24"/>
          <w:szCs w:val="24"/>
        </w:rPr>
      </w:pPr>
      <w:r w:rsidRPr="007A0B82">
        <w:rPr>
          <w:sz w:val="24"/>
          <w:szCs w:val="24"/>
        </w:rPr>
        <w:t xml:space="preserve">Essayons d’en tirer toutes les conséquences. Les postures énonciatives, telles qu’elles ont été définies, seraient opératoires surtout pour des textes à forte charge actantielle narrative (avec une pluralité d’instances pourvues de rôles, des moments de nouement/dénouement, des revirements, etc.). Dira-t-on que, dans </w:t>
      </w:r>
      <w:r w:rsidRPr="007A0B82">
        <w:rPr>
          <w:i/>
          <w:sz w:val="24"/>
          <w:szCs w:val="24"/>
        </w:rPr>
        <w:t>Un balcon en forêt</w:t>
      </w:r>
      <w:r w:rsidRPr="007A0B82">
        <w:rPr>
          <w:sz w:val="24"/>
          <w:szCs w:val="24"/>
        </w:rPr>
        <w:t xml:space="preserve">, l’entrecroisement des </w:t>
      </w:r>
      <w:r w:rsidR="00072CFB">
        <w:rPr>
          <w:sz w:val="24"/>
          <w:szCs w:val="24"/>
        </w:rPr>
        <w:t xml:space="preserve">versions consensuelle et dissensuelle de la posture de la co-énonciation, </w:t>
      </w:r>
      <w:r w:rsidRPr="007A0B82">
        <w:rPr>
          <w:sz w:val="24"/>
          <w:szCs w:val="24"/>
        </w:rPr>
        <w:t xml:space="preserve">sans que les frontières apparaissent explicitement, </w:t>
      </w:r>
      <w:r w:rsidR="00B07C46">
        <w:rPr>
          <w:sz w:val="24"/>
          <w:szCs w:val="24"/>
        </w:rPr>
        <w:t>du fait qu’il</w:t>
      </w:r>
      <w:r w:rsidR="00B07C46" w:rsidRPr="007A0B82">
        <w:rPr>
          <w:sz w:val="24"/>
          <w:szCs w:val="24"/>
        </w:rPr>
        <w:t xml:space="preserve"> </w:t>
      </w:r>
      <w:r w:rsidRPr="007A0B82">
        <w:rPr>
          <w:sz w:val="24"/>
          <w:szCs w:val="24"/>
        </w:rPr>
        <w:t xml:space="preserve">reste en deçà de la production de différences, est emblématique d’une poétique très particulière : d’une poétique du battement ou de l’intervalle, où l’écart retarde l’apparition de la différence et, </w:t>
      </w:r>
      <w:r w:rsidRPr="007A0B82">
        <w:rPr>
          <w:i/>
          <w:sz w:val="24"/>
          <w:szCs w:val="24"/>
        </w:rPr>
        <w:t>a fortiori</w:t>
      </w:r>
      <w:r w:rsidRPr="007A0B82">
        <w:rPr>
          <w:sz w:val="24"/>
          <w:szCs w:val="24"/>
        </w:rPr>
        <w:t xml:space="preserve">, de la discordance ? J’aimerais défendre l’idée que si la distinction des postures énonciatives est basée sur la différence, </w:t>
      </w:r>
      <w:r w:rsidR="007A53A7">
        <w:rPr>
          <w:sz w:val="24"/>
          <w:szCs w:val="24"/>
        </w:rPr>
        <w:t>l’</w:t>
      </w:r>
      <w:r w:rsidRPr="007A0B82">
        <w:rPr>
          <w:sz w:val="24"/>
          <w:szCs w:val="24"/>
        </w:rPr>
        <w:t xml:space="preserve">emmêlement </w:t>
      </w:r>
      <w:r w:rsidR="007A53A7">
        <w:rPr>
          <w:sz w:val="24"/>
          <w:szCs w:val="24"/>
        </w:rPr>
        <w:t xml:space="preserve">des versions </w:t>
      </w:r>
      <w:r w:rsidR="00D77766">
        <w:rPr>
          <w:sz w:val="24"/>
          <w:szCs w:val="24"/>
        </w:rPr>
        <w:t xml:space="preserve">consensuelle et dissensuelle </w:t>
      </w:r>
      <w:r w:rsidR="00072CFB">
        <w:rPr>
          <w:sz w:val="24"/>
          <w:szCs w:val="24"/>
        </w:rPr>
        <w:t xml:space="preserve">de la co-énonciation </w:t>
      </w:r>
      <w:r w:rsidRPr="007A0B82">
        <w:rPr>
          <w:sz w:val="24"/>
          <w:szCs w:val="24"/>
        </w:rPr>
        <w:t xml:space="preserve">réclame la prise en compte de l’écart. À cela s’ajoute que le glissement d’une </w:t>
      </w:r>
      <w:r w:rsidR="00D77766">
        <w:rPr>
          <w:sz w:val="24"/>
          <w:szCs w:val="24"/>
        </w:rPr>
        <w:t>version</w:t>
      </w:r>
      <w:r w:rsidRPr="007A0B82">
        <w:rPr>
          <w:sz w:val="24"/>
          <w:szCs w:val="24"/>
        </w:rPr>
        <w:t xml:space="preserve"> à une autre, sans que les marques soient toujours très explicites, c’est-à-dire la graduation entre différentes manifestations, tonique et atone, </w:t>
      </w:r>
      <w:r w:rsidR="00B07C46">
        <w:rPr>
          <w:sz w:val="24"/>
          <w:szCs w:val="24"/>
        </w:rPr>
        <w:t>reproduit</w:t>
      </w:r>
      <w:r w:rsidRPr="007A0B82">
        <w:rPr>
          <w:sz w:val="24"/>
          <w:szCs w:val="24"/>
        </w:rPr>
        <w:t xml:space="preserve"> au plan de l’expression un double mouvement sur le plan de la fiction : d’une part, l’activité du personnage déserteur, qui cherche à creuser un espace-temps à lui, en déport de l’Histoire, de la guerre, et qui, à cette fin, se livre à une activité de perception minutieuse, scrutant, inventoriant le paysage, mieux, y traçant des lignes de différenciation fines. D’autre part, le retrait de Grange sujet sensible et percevant, traduit, notamment, par le pronom « on » : l’estompage des frontières, un flou généralisé anticipent sur la fin, quand Grange blessé finit par s’abandonner à une grande in-différence. La logique narrative rencontre ses limites : l’introjection l’emporte sur la projection et la rétrojection. On peut parler d’une proto-narrativité, où la durée échappe à une temporalisation à travers une articulation en passé, présent, futur. Désormais, et il s’agit de la quasi-fin du livre : « Il n’arriv[e] rien ». Nous avons vu que l’événement (historique) est ramené à l’événement perceptif ; ce dernier finit lui-même par se dissoudre</w:t>
      </w:r>
      <w:r w:rsidRPr="007A0B82">
        <w:rPr>
          <w:rStyle w:val="Appelnotedebasdep"/>
          <w:sz w:val="24"/>
          <w:szCs w:val="24"/>
        </w:rPr>
        <w:footnoteReference w:id="23"/>
      </w:r>
      <w:r w:rsidRPr="007A0B82">
        <w:rPr>
          <w:sz w:val="24"/>
          <w:szCs w:val="24"/>
        </w:rPr>
        <w:t xml:space="preserve">.  </w:t>
      </w:r>
    </w:p>
    <w:p w14:paraId="600B364C" w14:textId="5C8C23C0"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Dans la troisième partie, je me demanderai en quoi le rapprochement entre la co-énonciation et l’empathie ainsi que la pensée de l’écart nous guident vers une proto-narrativité qui sous-tend une proto-posture énonciative. La question paraît importante dès lors que cette remontée vers des couches de sensibilité plus profondes, que l’on mettra en relation avec ce qu’Alain Rabatel appelle le pré-réflexif</w:t>
      </w:r>
      <w:r w:rsidR="00B235FC">
        <w:rPr>
          <w:rFonts w:ascii="Times New Roman" w:hAnsi="Times New Roman" w:cs="Times New Roman"/>
        </w:rPr>
        <w:t xml:space="preserve"> (200</w:t>
      </w:r>
      <w:r w:rsidR="00882C1F">
        <w:rPr>
          <w:rFonts w:ascii="Times New Roman" w:hAnsi="Times New Roman" w:cs="Times New Roman"/>
        </w:rPr>
        <w:t>3</w:t>
      </w:r>
      <w:r w:rsidR="00882C1F">
        <w:rPr>
          <w:rStyle w:val="Appelnotedebasdep"/>
          <w:rFonts w:ascii="Times New Roman" w:hAnsi="Times New Roman" w:cs="Times New Roman"/>
        </w:rPr>
        <w:footnoteReference w:id="24"/>
      </w:r>
      <w:r w:rsidR="00882C1F">
        <w:rPr>
          <w:rFonts w:ascii="Times New Roman" w:hAnsi="Times New Roman" w:cs="Times New Roman"/>
        </w:rPr>
        <w:t>, 2008</w:t>
      </w:r>
      <w:r w:rsidR="00B828D3">
        <w:rPr>
          <w:rFonts w:ascii="Times New Roman" w:hAnsi="Times New Roman" w:cs="Times New Roman"/>
        </w:rPr>
        <w:t>a</w:t>
      </w:r>
      <w:r w:rsidR="00882C1F">
        <w:rPr>
          <w:rFonts w:ascii="Times New Roman" w:hAnsi="Times New Roman" w:cs="Times New Roman"/>
        </w:rPr>
        <w:t>)</w:t>
      </w:r>
      <w:r w:rsidRPr="007A0B82">
        <w:rPr>
          <w:rFonts w:ascii="Times New Roman" w:hAnsi="Times New Roman" w:cs="Times New Roman"/>
        </w:rPr>
        <w:t xml:space="preserve">, n’est pas d’ordre purement spéculatif, mais prend appui sur des marques dans le texte. Il s’agira de montrer que des sélections lexicales et </w:t>
      </w:r>
      <w:r w:rsidRPr="007A0B82">
        <w:rPr>
          <w:rFonts w:ascii="Times New Roman" w:hAnsi="Times New Roman" w:cs="Times New Roman"/>
        </w:rPr>
        <w:lastRenderedPageBreak/>
        <w:t>des constructions morpho-syntaxiques donnent accès à cet amont où des formes émergent à partir de ce que Jean-François Bordron (2012), dans sa réflexion sur la diathèse, appelle des formants</w:t>
      </w:r>
      <w:r w:rsidRPr="007A0B82">
        <w:rPr>
          <w:rStyle w:val="Appelnotedebasdep"/>
          <w:rFonts w:ascii="Times New Roman" w:hAnsi="Times New Roman" w:cs="Times New Roman"/>
        </w:rPr>
        <w:footnoteReference w:id="25"/>
      </w:r>
      <w:r w:rsidRPr="007A0B82">
        <w:rPr>
          <w:rFonts w:ascii="Times New Roman" w:hAnsi="Times New Roman" w:cs="Times New Roman"/>
        </w:rPr>
        <w:t xml:space="preserve">. </w:t>
      </w:r>
    </w:p>
    <w:p w14:paraId="292EEF88" w14:textId="20B20DE8"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3. Proto-posture énonciative et </w:t>
      </w:r>
      <w:r w:rsidR="00485853" w:rsidRPr="007A0B82">
        <w:rPr>
          <w:rFonts w:ascii="Times New Roman" w:hAnsi="Times New Roman" w:cs="Times New Roman"/>
        </w:rPr>
        <w:t>« </w:t>
      </w:r>
      <w:r w:rsidRPr="007A0B82">
        <w:rPr>
          <w:rFonts w:ascii="Times New Roman" w:hAnsi="Times New Roman" w:cs="Times New Roman"/>
        </w:rPr>
        <w:t>diathèse à formant »</w:t>
      </w:r>
    </w:p>
    <w:p w14:paraId="08A7F9CB" w14:textId="3DA83FD4"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Notre objectif est donc de remonter vers une proto-posture énonciative, sous-tendant </w:t>
      </w:r>
      <w:r w:rsidR="00226095">
        <w:rPr>
          <w:rFonts w:ascii="Times New Roman" w:hAnsi="Times New Roman" w:cs="Times New Roman"/>
        </w:rPr>
        <w:t xml:space="preserve">la </w:t>
      </w:r>
      <w:r w:rsidRPr="007A0B82">
        <w:rPr>
          <w:rFonts w:ascii="Times New Roman" w:hAnsi="Times New Roman" w:cs="Times New Roman"/>
        </w:rPr>
        <w:t xml:space="preserve"> posture de </w:t>
      </w:r>
      <w:r w:rsidR="00226095">
        <w:rPr>
          <w:rFonts w:ascii="Times New Roman" w:hAnsi="Times New Roman" w:cs="Times New Roman"/>
        </w:rPr>
        <w:t>la</w:t>
      </w:r>
      <w:r w:rsidRPr="007A0B82">
        <w:rPr>
          <w:rFonts w:ascii="Times New Roman" w:hAnsi="Times New Roman" w:cs="Times New Roman"/>
        </w:rPr>
        <w:t xml:space="preserve"> co</w:t>
      </w:r>
      <w:r w:rsidR="00B828D3">
        <w:rPr>
          <w:rFonts w:ascii="Times New Roman" w:hAnsi="Times New Roman" w:cs="Times New Roman"/>
        </w:rPr>
        <w:t>-</w:t>
      </w:r>
      <w:r w:rsidRPr="007A0B82">
        <w:rPr>
          <w:rFonts w:ascii="Times New Roman" w:hAnsi="Times New Roman" w:cs="Times New Roman"/>
        </w:rPr>
        <w:t xml:space="preserve">énonciation </w:t>
      </w:r>
      <w:r w:rsidR="00226095">
        <w:rPr>
          <w:rFonts w:ascii="Times New Roman" w:hAnsi="Times New Roman" w:cs="Times New Roman"/>
        </w:rPr>
        <w:t>étudiée</w:t>
      </w:r>
      <w:r w:rsidRPr="007A0B82">
        <w:rPr>
          <w:rFonts w:ascii="Times New Roman" w:hAnsi="Times New Roman" w:cs="Times New Roman"/>
        </w:rPr>
        <w:t xml:space="preserve"> par Alain Rabatel. </w:t>
      </w:r>
      <w:r w:rsidR="00226095">
        <w:rPr>
          <w:rFonts w:ascii="Times New Roman" w:hAnsi="Times New Roman" w:cs="Times New Roman"/>
        </w:rPr>
        <w:t>Cette dernière</w:t>
      </w:r>
      <w:r w:rsidRPr="007A0B82">
        <w:rPr>
          <w:rFonts w:ascii="Times New Roman" w:hAnsi="Times New Roman" w:cs="Times New Roman"/>
        </w:rPr>
        <w:t xml:space="preserve"> peut en effet être considérée comme le résultat d’une genèse. Cette idée sera argumentée à partir des travaux de  Jean-François Bordron et de Gustave Guillaume. </w:t>
      </w:r>
    </w:p>
    <w:p w14:paraId="2F269BDE" w14:textId="395E1D38"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Jean-François Bordron (2012) appelle </w:t>
      </w:r>
      <w:r w:rsidR="00485853" w:rsidRPr="007A0B82">
        <w:rPr>
          <w:rFonts w:ascii="Times New Roman" w:hAnsi="Times New Roman" w:cs="Times New Roman"/>
        </w:rPr>
        <w:t>« </w:t>
      </w:r>
      <w:r w:rsidRPr="007A0B82">
        <w:rPr>
          <w:rFonts w:ascii="Times New Roman" w:hAnsi="Times New Roman" w:cs="Times New Roman"/>
        </w:rPr>
        <w:t xml:space="preserve">diathèse à formant » des « changements dans l’ordre de la sensibilité » qu’il s’agit non pas de dire, mais d’exprimer. La manifestation linguistique peut exprimer un « état indéterminé », « une source d’énergie diffuse », une logique des flux, des forces qui constitue une « logique de l’être » (et non plus de la possession ou de la privation, comme pour le modèle narratif). </w:t>
      </w:r>
    </w:p>
    <w:p w14:paraId="7736532F" w14:textId="0CAA3EF9"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Ensuite, retrouvant la notion de tension dans un cadre théorique différent de celui de la sémiotique, je convoque également la distinction guillaumienne entre la première chronothèse </w:t>
      </w:r>
      <w:r w:rsidRPr="007A0B82">
        <w:rPr>
          <w:rFonts w:ascii="Times New Roman" w:hAnsi="Times New Roman" w:cs="Times New Roman"/>
          <w:i/>
        </w:rPr>
        <w:t>in posse</w:t>
      </w:r>
      <w:r w:rsidRPr="007A0B82">
        <w:rPr>
          <w:rFonts w:ascii="Times New Roman" w:hAnsi="Times New Roman" w:cs="Times New Roman"/>
        </w:rPr>
        <w:t xml:space="preserve">, la deuxième chronothèse </w:t>
      </w:r>
      <w:r w:rsidRPr="007A0B82">
        <w:rPr>
          <w:rFonts w:ascii="Times New Roman" w:hAnsi="Times New Roman" w:cs="Times New Roman"/>
          <w:i/>
        </w:rPr>
        <w:t>in fieri</w:t>
      </w:r>
      <w:r w:rsidRPr="007A0B82">
        <w:rPr>
          <w:rFonts w:ascii="Times New Roman" w:hAnsi="Times New Roman" w:cs="Times New Roman"/>
        </w:rPr>
        <w:t xml:space="preserve"> et la troisième chronothèse </w:t>
      </w:r>
      <w:r w:rsidRPr="007A0B82">
        <w:rPr>
          <w:rFonts w:ascii="Times New Roman" w:hAnsi="Times New Roman" w:cs="Times New Roman"/>
          <w:i/>
        </w:rPr>
        <w:t>in esse</w:t>
      </w:r>
      <w:r w:rsidRPr="007A0B82">
        <w:rPr>
          <w:rFonts w:ascii="Times New Roman" w:hAnsi="Times New Roman" w:cs="Times New Roman"/>
        </w:rPr>
        <w:t xml:space="preserve">, pour opposer l’être </w:t>
      </w:r>
      <w:r w:rsidRPr="007A0B82">
        <w:rPr>
          <w:rFonts w:ascii="Times New Roman" w:hAnsi="Times New Roman" w:cs="Times New Roman"/>
          <w:i/>
        </w:rPr>
        <w:t>devan</w:t>
      </w:r>
      <w:r w:rsidRPr="007A0B82">
        <w:rPr>
          <w:rFonts w:ascii="Times New Roman" w:hAnsi="Times New Roman" w:cs="Times New Roman"/>
        </w:rPr>
        <w:t xml:space="preserve">t le temps (virtuel), l’être </w:t>
      </w:r>
      <w:r w:rsidRPr="007A0B82">
        <w:rPr>
          <w:rFonts w:ascii="Times New Roman" w:hAnsi="Times New Roman" w:cs="Times New Roman"/>
          <w:i/>
        </w:rPr>
        <w:t>au</w:t>
      </w:r>
      <w:r w:rsidRPr="007A0B82">
        <w:rPr>
          <w:rFonts w:ascii="Times New Roman" w:hAnsi="Times New Roman" w:cs="Times New Roman"/>
        </w:rPr>
        <w:t xml:space="preserve"> temps (émergent) et l’être </w:t>
      </w:r>
      <w:r w:rsidRPr="007A0B82">
        <w:rPr>
          <w:rFonts w:ascii="Times New Roman" w:hAnsi="Times New Roman" w:cs="Times New Roman"/>
          <w:i/>
        </w:rPr>
        <w:t>dans</w:t>
      </w:r>
      <w:r w:rsidRPr="007A0B82">
        <w:rPr>
          <w:rFonts w:ascii="Times New Roman" w:hAnsi="Times New Roman" w:cs="Times New Roman"/>
        </w:rPr>
        <w:t xml:space="preserve"> le temps (achevé), à la base du narratif. Adoptant le point de vue de la genèse de la perception et de</w:t>
      </w:r>
      <w:r w:rsidR="00D77766">
        <w:rPr>
          <w:rFonts w:ascii="Times New Roman" w:hAnsi="Times New Roman" w:cs="Times New Roman"/>
        </w:rPr>
        <w:t xml:space="preserve"> la </w:t>
      </w:r>
      <w:r w:rsidRPr="007A0B82">
        <w:rPr>
          <w:rFonts w:ascii="Times New Roman" w:hAnsi="Times New Roman" w:cs="Times New Roman"/>
        </w:rPr>
        <w:t>posture énonciative, je vise à retrouver la temporalité « originaire » de la première chronothèse qui est encore impersonnelle. L’« état d’âme », selon la « diathèse à formant », est encore diffus et caractérise une strate d’organisation du sens avant toute individuation et toute dissociation des énonciateurs. La proto-posture émerge à la croisée entre flux et reflux, entre attractions et répulsions. On peut distinguer de l’empathie qui, nous l’avons vu, repose sur la proximité</w:t>
      </w:r>
      <w:r w:rsidR="00226095">
        <w:rPr>
          <w:rFonts w:ascii="Times New Roman" w:hAnsi="Times New Roman" w:cs="Times New Roman"/>
        </w:rPr>
        <w:t xml:space="preserve">, voire sur </w:t>
      </w:r>
      <w:r w:rsidRPr="007A0B82">
        <w:rPr>
          <w:rFonts w:ascii="Times New Roman" w:hAnsi="Times New Roman" w:cs="Times New Roman"/>
        </w:rPr>
        <w:t xml:space="preserve">la connivence des énonciateurs, et de la sympathie qui, selon Alain Rabatel (2014), consiste en une identification aux autres, le </w:t>
      </w:r>
      <w:r w:rsidRPr="007A0B82">
        <w:rPr>
          <w:rFonts w:ascii="Times New Roman" w:hAnsi="Times New Roman" w:cs="Times New Roman"/>
          <w:i/>
        </w:rPr>
        <w:t>pathique</w:t>
      </w:r>
      <w:r w:rsidRPr="007A0B82">
        <w:rPr>
          <w:rFonts w:ascii="Times New Roman" w:hAnsi="Times New Roman" w:cs="Times New Roman"/>
        </w:rPr>
        <w:t xml:space="preserve">, au ras du sentir, des sensations encore mêlées. </w:t>
      </w:r>
    </w:p>
    <w:p w14:paraId="7A223379"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D’abord, on constate que, dans </w:t>
      </w:r>
      <w:r w:rsidRPr="007A0B82">
        <w:rPr>
          <w:rFonts w:ascii="Times New Roman" w:hAnsi="Times New Roman" w:cs="Times New Roman"/>
          <w:i/>
        </w:rPr>
        <w:t>Un balcon en forêt</w:t>
      </w:r>
      <w:r w:rsidRPr="007A0B82">
        <w:rPr>
          <w:rFonts w:ascii="Times New Roman" w:hAnsi="Times New Roman" w:cs="Times New Roman"/>
        </w:rPr>
        <w:t>, le régime de la co-énonciation peut prendre les dehors du présent générique, élargi, in- ou atemporel</w:t>
      </w:r>
      <w:r w:rsidRPr="007A0B82">
        <w:rPr>
          <w:rStyle w:val="Appelnotedebasdep"/>
          <w:rFonts w:ascii="Times New Roman" w:hAnsi="Times New Roman" w:cs="Times New Roman"/>
        </w:rPr>
        <w:footnoteReference w:id="26"/>
      </w:r>
      <w:r w:rsidRPr="007A0B82">
        <w:rPr>
          <w:rFonts w:ascii="Times New Roman" w:hAnsi="Times New Roman" w:cs="Times New Roman"/>
        </w:rPr>
        <w:t xml:space="preserve"> : </w:t>
      </w:r>
    </w:p>
    <w:p w14:paraId="0D1D9D79" w14:textId="3B92F804" w:rsidR="00094BD3" w:rsidRPr="007A0B82" w:rsidRDefault="00094BD3" w:rsidP="00226095">
      <w:pPr>
        <w:pStyle w:val="Paragraphedeliste"/>
        <w:numPr>
          <w:ilvl w:val="0"/>
          <w:numId w:val="1"/>
        </w:numPr>
        <w:spacing w:after="120" w:line="276" w:lineRule="auto"/>
        <w:jc w:val="both"/>
      </w:pPr>
      <w:r w:rsidRPr="007A0B82">
        <w:t xml:space="preserve">À chaque virage en épingle à cheveux, la vallée se creusait, une coulée de brouillard au long de sa rivière qui s’asséchait et glissait vers l’aval, de plus en plus vite, soulevée de remous, comme l’eau d’un bain qui se vide. […] où qu’il fût, comme les enfants qui grimpent aux portières, tout point de vue le magnétisait jusqu’à l’impolitesse </w:t>
      </w:r>
      <w:r w:rsidR="00B07C46">
        <w:t>(</w:t>
      </w:r>
      <w:r w:rsidR="00226095">
        <w:t>pp. 16-17</w:t>
      </w:r>
      <w:r w:rsidR="00B07C46">
        <w:t>)</w:t>
      </w:r>
      <w:r w:rsidR="00226095">
        <w:t>.</w:t>
      </w:r>
    </w:p>
    <w:p w14:paraId="442EEFD1" w14:textId="64EA1FEA"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L’emploi générique donne souvent lieu à la désactualisation d’un verbe causatif (Larjavaara 2000). Le verbe au présent générique déborde le référentiel énonciatif, au profit du référentiel des savoirs partagés et des vérités générales. Il n’est sans doute pas anodin que dans les deux </w:t>
      </w:r>
      <w:r w:rsidRPr="007A0B82">
        <w:rPr>
          <w:rFonts w:ascii="Times New Roman" w:hAnsi="Times New Roman" w:cs="Times New Roman"/>
        </w:rPr>
        <w:lastRenderedPageBreak/>
        <w:t xml:space="preserve">exemples (« se vide, « grimpent »), le présent générique soit relégué dans une proposition relative adjective, comprise dans une construction nominale. On constate non pas une abolition du narratif – le verbe conjugué reste présent – mais une sorte de résistance à une mise en forme de type actantiel. </w:t>
      </w:r>
    </w:p>
    <w:p w14:paraId="57B2FBFE" w14:textId="0E32C785"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Ce mouvement est accentué, dans l’exemple (</w:t>
      </w:r>
      <w:r w:rsidR="00FF5729">
        <w:rPr>
          <w:rFonts w:ascii="Times New Roman" w:hAnsi="Times New Roman" w:cs="Times New Roman"/>
        </w:rPr>
        <w:t>6</w:t>
      </w:r>
      <w:r w:rsidRPr="007A0B82">
        <w:rPr>
          <w:rFonts w:ascii="Times New Roman" w:hAnsi="Times New Roman" w:cs="Times New Roman"/>
        </w:rPr>
        <w:t xml:space="preserve">), par deux constructions nominales comprenant </w:t>
      </w:r>
      <w:r w:rsidR="00FF5729">
        <w:rPr>
          <w:rFonts w:ascii="Times New Roman" w:hAnsi="Times New Roman" w:cs="Times New Roman"/>
        </w:rPr>
        <w:t>des</w:t>
      </w:r>
      <w:r w:rsidR="00FF5729" w:rsidRPr="007A0B82">
        <w:rPr>
          <w:rFonts w:ascii="Times New Roman" w:hAnsi="Times New Roman" w:cs="Times New Roman"/>
        </w:rPr>
        <w:t xml:space="preserve"> </w:t>
      </w:r>
      <w:r w:rsidRPr="007A0B82">
        <w:rPr>
          <w:rFonts w:ascii="Times New Roman" w:hAnsi="Times New Roman" w:cs="Times New Roman"/>
        </w:rPr>
        <w:t>déterminant</w:t>
      </w:r>
      <w:r w:rsidR="00FF5729">
        <w:rPr>
          <w:rFonts w:ascii="Times New Roman" w:hAnsi="Times New Roman" w:cs="Times New Roman"/>
        </w:rPr>
        <w:t>s</w:t>
      </w:r>
      <w:r w:rsidRPr="007A0B82">
        <w:rPr>
          <w:rFonts w:ascii="Times New Roman" w:hAnsi="Times New Roman" w:cs="Times New Roman"/>
        </w:rPr>
        <w:t xml:space="preserve"> démonstratif</w:t>
      </w:r>
      <w:r w:rsidR="00FF5729">
        <w:rPr>
          <w:rFonts w:ascii="Times New Roman" w:hAnsi="Times New Roman" w:cs="Times New Roman"/>
        </w:rPr>
        <w:t>s déictiques</w:t>
      </w:r>
      <w:r w:rsidR="00FF5729">
        <w:rPr>
          <w:rStyle w:val="Appelnotedebasdep"/>
          <w:rFonts w:ascii="Times New Roman" w:hAnsi="Times New Roman" w:cs="Times New Roman"/>
        </w:rPr>
        <w:footnoteReference w:id="27"/>
      </w:r>
      <w:r w:rsidRPr="007A0B82">
        <w:rPr>
          <w:rFonts w:ascii="Times New Roman" w:hAnsi="Times New Roman" w:cs="Times New Roman"/>
        </w:rPr>
        <w:t xml:space="preserve">, mais aussi l’adjectif qualificatif « têtu » ainsi qu’un participe passé adjectivé et deux adjectifs verbaux : </w:t>
      </w:r>
    </w:p>
    <w:p w14:paraId="087A1BAA" w14:textId="5E813E1B" w:rsidR="00094BD3" w:rsidRPr="007A0B82" w:rsidRDefault="00094BD3" w:rsidP="008D4814">
      <w:pPr>
        <w:pStyle w:val="Paragraphedeliste"/>
        <w:numPr>
          <w:ilvl w:val="0"/>
          <w:numId w:val="1"/>
        </w:numPr>
        <w:spacing w:after="120" w:line="276" w:lineRule="auto"/>
        <w:jc w:val="both"/>
      </w:pPr>
      <w:r w:rsidRPr="007A0B82">
        <w:t>Seulement cette ombre têtue, voilée, intimidante, qui flottait vers lui sans le rejoindre du fond de ses limbes vagues – ce silence étourdissant</w:t>
      </w:r>
      <w:r w:rsidR="00226095">
        <w:t xml:space="preserve"> </w:t>
      </w:r>
      <w:r w:rsidR="00B07C46">
        <w:t>(</w:t>
      </w:r>
      <w:r w:rsidR="00226095">
        <w:t>p. 252</w:t>
      </w:r>
      <w:r w:rsidR="00B07C46">
        <w:t>)</w:t>
      </w:r>
      <w:r w:rsidR="00226095">
        <w:t>.</w:t>
      </w:r>
    </w:p>
    <w:p w14:paraId="4F83FACF" w14:textId="68516E31"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Pour Guillaume (1964</w:t>
      </w:r>
      <w:r w:rsidR="00FF5729">
        <w:rPr>
          <w:rFonts w:ascii="Times New Roman" w:hAnsi="Times New Roman" w:cs="Times New Roman"/>
        </w:rPr>
        <w:t>, 1965</w:t>
      </w:r>
      <w:r w:rsidRPr="007A0B82">
        <w:rPr>
          <w:rFonts w:ascii="Times New Roman" w:hAnsi="Times New Roman" w:cs="Times New Roman"/>
        </w:rPr>
        <w:t xml:space="preserve"> [1929]), les participes constituent des formes « nominales » du verbe, au même titre que les infinitifs. Alors que le verbe « a devant lui sa tension entière », le participe présent engage un mouvement de détension, que le participe passé, en particulier quand il est adjectivé, achève (dépassement de la chronologie narrative et retour à un temps pré-réflexif). Les noms « ombre » et « silence » semblent échapper à tout devenir, voire nient ce dernier (résistance à la lumière et absence de bruit). Il ne s’agit plus de </w:t>
      </w:r>
      <w:r w:rsidRPr="007A0B82">
        <w:rPr>
          <w:rFonts w:ascii="Times New Roman" w:hAnsi="Times New Roman" w:cs="Times New Roman"/>
          <w:i/>
        </w:rPr>
        <w:t>représenter</w:t>
      </w:r>
      <w:r w:rsidRPr="007A0B82">
        <w:rPr>
          <w:rFonts w:ascii="Times New Roman" w:hAnsi="Times New Roman" w:cs="Times New Roman"/>
        </w:rPr>
        <w:t xml:space="preserve"> une « réalité », les objets du discours, sous-tendus par une structure narrative, mais de les </w:t>
      </w:r>
      <w:r w:rsidRPr="007A0B82">
        <w:rPr>
          <w:rFonts w:ascii="Times New Roman" w:hAnsi="Times New Roman" w:cs="Times New Roman"/>
          <w:i/>
        </w:rPr>
        <w:t>présenter</w:t>
      </w:r>
      <w:r w:rsidRPr="007A0B82">
        <w:rPr>
          <w:rFonts w:ascii="Times New Roman" w:hAnsi="Times New Roman" w:cs="Times New Roman"/>
        </w:rPr>
        <w:t xml:space="preserve"> comme possibles</w:t>
      </w:r>
      <w:r w:rsidRPr="007A0B82">
        <w:rPr>
          <w:rStyle w:val="Appelnotedebasdep"/>
          <w:rFonts w:ascii="Times New Roman" w:hAnsi="Times New Roman" w:cs="Times New Roman"/>
        </w:rPr>
        <w:footnoteReference w:id="28"/>
      </w:r>
      <w:r w:rsidRPr="007A0B82">
        <w:rPr>
          <w:rFonts w:ascii="Times New Roman" w:hAnsi="Times New Roman" w:cs="Times New Roman"/>
        </w:rPr>
        <w:t xml:space="preserve">. </w:t>
      </w:r>
    </w:p>
    <w:p w14:paraId="1539BDEE" w14:textId="6C9EBFEB"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Le déterminant démonstratif y contribue, à condition qu’il renvoie, non point à la troisième topothèse, </w:t>
      </w:r>
      <w:r w:rsidRPr="007A0B82">
        <w:rPr>
          <w:rFonts w:ascii="Times New Roman" w:hAnsi="Times New Roman" w:cs="Times New Roman"/>
          <w:i/>
        </w:rPr>
        <w:t>in esse</w:t>
      </w:r>
      <w:r w:rsidRPr="007A0B82">
        <w:rPr>
          <w:rFonts w:ascii="Times New Roman" w:hAnsi="Times New Roman" w:cs="Times New Roman"/>
        </w:rPr>
        <w:t xml:space="preserve">, en relation avec le « ici » (Détrie, Siblot, Verine 2001 : 331), non point à une subjectivité en soi-même, mais à un geste </w:t>
      </w:r>
      <w:r w:rsidR="000E2B97" w:rsidRPr="007A0B82">
        <w:rPr>
          <w:rFonts w:ascii="Times New Roman" w:hAnsi="Times New Roman" w:cs="Times New Roman"/>
        </w:rPr>
        <w:t xml:space="preserve">négociant le passage de l’anté-thétique au thétique </w:t>
      </w:r>
      <w:r w:rsidRPr="007A0B82">
        <w:rPr>
          <w:rFonts w:ascii="Times New Roman" w:hAnsi="Times New Roman" w:cs="Times New Roman"/>
        </w:rPr>
        <w:t>(Colas-Blaise 2017),</w:t>
      </w:r>
      <w:r w:rsidR="000E2B97" w:rsidRPr="007A0B82">
        <w:rPr>
          <w:rFonts w:ascii="Times New Roman" w:hAnsi="Times New Roman" w:cs="Times New Roman"/>
        </w:rPr>
        <w:t xml:space="preserve"> </w:t>
      </w:r>
      <w:r w:rsidR="00C10C96" w:rsidRPr="007A0B82">
        <w:rPr>
          <w:rFonts w:ascii="Times New Roman" w:hAnsi="Times New Roman" w:cs="Times New Roman"/>
        </w:rPr>
        <w:t xml:space="preserve"> </w:t>
      </w:r>
      <w:r w:rsidR="000E2B97" w:rsidRPr="007A0B82">
        <w:rPr>
          <w:rFonts w:ascii="Times New Roman" w:hAnsi="Times New Roman" w:cs="Times New Roman"/>
        </w:rPr>
        <w:t>là</w:t>
      </w:r>
      <w:r w:rsidRPr="007A0B82">
        <w:rPr>
          <w:rFonts w:ascii="Times New Roman" w:hAnsi="Times New Roman" w:cs="Times New Roman"/>
        </w:rPr>
        <w:t xml:space="preserve"> où se trace un premier écart, où se dessine une différence encore liminaire</w:t>
      </w:r>
      <w:r w:rsidRPr="007A0B82">
        <w:rPr>
          <w:rStyle w:val="Appelnotedebasdep"/>
          <w:rFonts w:ascii="Times New Roman" w:hAnsi="Times New Roman" w:cs="Times New Roman"/>
        </w:rPr>
        <w:footnoteReference w:id="29"/>
      </w:r>
      <w:r w:rsidRPr="007A0B82">
        <w:rPr>
          <w:rFonts w:ascii="Times New Roman" w:hAnsi="Times New Roman" w:cs="Times New Roman"/>
        </w:rPr>
        <w:t>. D’où l’idée que nous assistons dans ces pages à un processus de rétrogression vers une logique présentative qui est en cours, encore fluctuant</w:t>
      </w:r>
      <w:r w:rsidR="00B07C46">
        <w:rPr>
          <w:rFonts w:ascii="Times New Roman" w:hAnsi="Times New Roman" w:cs="Times New Roman"/>
        </w:rPr>
        <w:t>e</w:t>
      </w:r>
      <w:r w:rsidRPr="007A0B82">
        <w:rPr>
          <w:rFonts w:ascii="Times New Roman" w:hAnsi="Times New Roman" w:cs="Times New Roman"/>
        </w:rPr>
        <w:t xml:space="preserve">. La syntaxe nominale nous rend attentifs à la logique du flux et du reflux, de la tension et de la détension. À la fin d’un </w:t>
      </w:r>
      <w:r w:rsidRPr="007A0B82">
        <w:rPr>
          <w:rFonts w:ascii="Times New Roman" w:hAnsi="Times New Roman" w:cs="Times New Roman"/>
          <w:i/>
        </w:rPr>
        <w:t>Balcon en forêt</w:t>
      </w:r>
      <w:r w:rsidRPr="007A0B82">
        <w:rPr>
          <w:rFonts w:ascii="Times New Roman" w:hAnsi="Times New Roman" w:cs="Times New Roman"/>
        </w:rPr>
        <w:t>, la manifestation linguistique laisse affleurer un proto-sujet qui se trouve débordé par les sensations, mû par elles (l’ombre est « intimidante » et le silence « étourdissant</w:t>
      </w:r>
      <w:r w:rsidR="00B07C46">
        <w:rPr>
          <w:rFonts w:ascii="Times New Roman" w:hAnsi="Times New Roman" w:cs="Times New Roman"/>
        </w:rPr>
        <w:t> »</w:t>
      </w:r>
      <w:r w:rsidRPr="007A0B82">
        <w:rPr>
          <w:rFonts w:ascii="Times New Roman" w:hAnsi="Times New Roman" w:cs="Times New Roman"/>
        </w:rPr>
        <w:t xml:space="preserve">).  On lit aussi que « cette pensée même ne se fixait pas : il lui semblait qu’elle remontait malgré lui vers des eaux plus légères » (p. 252). Le proto-sujet n’est pas encore (n’est plus) une instance locutive ou énonciative assertant ou assumant. Il n’est pas un quasi-sujet, qui prédique, ni même ce que Jean-Claude Coquet (2007) appelle un « non-sujet », c’est-à-dire un corps qui perçoit ou parle. À partir d’une instance encore « impersonnelle », selon le terme de Guillaume, l’énergie ou le flux/reflux conduisent à l’émergence d’une forme. </w:t>
      </w:r>
    </w:p>
    <w:p w14:paraId="6338080F" w14:textId="140221D3"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On peut ainsi caractériser la notion de posture par rapport à celles, voisines, de position et de positionnement : alors que l’adoption d’une </w:t>
      </w:r>
      <w:r w:rsidRPr="007A0B82">
        <w:rPr>
          <w:rFonts w:ascii="Times New Roman" w:hAnsi="Times New Roman" w:cs="Times New Roman"/>
          <w:i/>
        </w:rPr>
        <w:t>posture</w:t>
      </w:r>
      <w:r w:rsidRPr="007A0B82">
        <w:rPr>
          <w:rFonts w:ascii="Times New Roman" w:hAnsi="Times New Roman" w:cs="Times New Roman"/>
        </w:rPr>
        <w:t xml:space="preserve"> énonciative témoigne d’un mode d’entrée en relation de perceptions/pensées (hétéro- ou auto-dialogisme) </w:t>
      </w:r>
      <w:r w:rsidR="00333784" w:rsidRPr="007A0B82">
        <w:rPr>
          <w:rFonts w:ascii="Times New Roman" w:hAnsi="Times New Roman" w:cs="Times New Roman"/>
        </w:rPr>
        <w:t xml:space="preserve">médiées par le langage </w:t>
      </w:r>
      <w:r w:rsidRPr="007A0B82">
        <w:rPr>
          <w:rFonts w:ascii="Times New Roman" w:hAnsi="Times New Roman" w:cs="Times New Roman"/>
        </w:rPr>
        <w:t xml:space="preserve">et de leur distribution du point de vue actantiel, la notion de </w:t>
      </w:r>
      <w:r w:rsidRPr="007A0B82">
        <w:rPr>
          <w:rFonts w:ascii="Times New Roman" w:hAnsi="Times New Roman" w:cs="Times New Roman"/>
          <w:i/>
        </w:rPr>
        <w:t>position</w:t>
      </w:r>
      <w:r w:rsidR="00333784" w:rsidRPr="007A0B82">
        <w:rPr>
          <w:rFonts w:ascii="Times New Roman" w:hAnsi="Times New Roman" w:cs="Times New Roman"/>
          <w:i/>
        </w:rPr>
        <w:t>nement</w:t>
      </w:r>
      <w:r w:rsidRPr="007A0B82">
        <w:rPr>
          <w:rFonts w:ascii="Times New Roman" w:hAnsi="Times New Roman" w:cs="Times New Roman"/>
        </w:rPr>
        <w:t xml:space="preserve"> signifie un proto-</w:t>
      </w:r>
      <w:r w:rsidRPr="007A0B82">
        <w:rPr>
          <w:rFonts w:ascii="Times New Roman" w:hAnsi="Times New Roman" w:cs="Times New Roman"/>
        </w:rPr>
        <w:lastRenderedPageBreak/>
        <w:t>embrayage</w:t>
      </w:r>
      <w:r w:rsidRPr="007A0B82">
        <w:rPr>
          <w:rStyle w:val="Appelnotedebasdep"/>
          <w:rFonts w:ascii="Times New Roman" w:hAnsi="Times New Roman" w:cs="Times New Roman"/>
        </w:rPr>
        <w:footnoteReference w:id="30"/>
      </w:r>
      <w:r w:rsidR="00333784" w:rsidRPr="007A0B82">
        <w:rPr>
          <w:rFonts w:ascii="Times New Roman" w:hAnsi="Times New Roman" w:cs="Times New Roman"/>
        </w:rPr>
        <w:t xml:space="preserve"> (un être au monde et au temps)</w:t>
      </w:r>
      <w:r w:rsidRPr="007A0B82">
        <w:rPr>
          <w:rFonts w:ascii="Times New Roman" w:hAnsi="Times New Roman" w:cs="Times New Roman"/>
        </w:rPr>
        <w:t> ; quant à celle d</w:t>
      </w:r>
      <w:r w:rsidR="00485853" w:rsidRPr="007A0B82">
        <w:rPr>
          <w:rFonts w:ascii="Times New Roman" w:hAnsi="Times New Roman" w:cs="Times New Roman"/>
        </w:rPr>
        <w:t xml:space="preserve">e </w:t>
      </w:r>
      <w:r w:rsidR="00333784" w:rsidRPr="007A0B82">
        <w:rPr>
          <w:rFonts w:ascii="Times New Roman" w:hAnsi="Times New Roman" w:cs="Times New Roman"/>
          <w:i/>
        </w:rPr>
        <w:t>position</w:t>
      </w:r>
      <w:r w:rsidRPr="007A0B82">
        <w:rPr>
          <w:rFonts w:ascii="Times New Roman" w:hAnsi="Times New Roman" w:cs="Times New Roman"/>
        </w:rPr>
        <w:t>, elle permet de rendre compte de l’attitude d’une instance percevante qui est</w:t>
      </w:r>
      <w:r w:rsidR="00226095">
        <w:rPr>
          <w:rFonts w:ascii="Times New Roman" w:hAnsi="Times New Roman" w:cs="Times New Roman"/>
        </w:rPr>
        <w:t>, dirons-nous d’un point de vue sémiotique,</w:t>
      </w:r>
      <w:r w:rsidRPr="007A0B82">
        <w:rPr>
          <w:rFonts w:ascii="Times New Roman" w:hAnsi="Times New Roman" w:cs="Times New Roman"/>
        </w:rPr>
        <w:t xml:space="preserve"> </w:t>
      </w:r>
      <w:r w:rsidR="00333784" w:rsidRPr="007A0B82">
        <w:rPr>
          <w:rFonts w:ascii="Times New Roman" w:hAnsi="Times New Roman" w:cs="Times New Roman"/>
        </w:rPr>
        <w:t>devant le monde</w:t>
      </w:r>
      <w:r w:rsidRPr="007A0B82">
        <w:rPr>
          <w:rStyle w:val="Appelnotedebasdep"/>
          <w:rFonts w:ascii="Times New Roman" w:hAnsi="Times New Roman" w:cs="Times New Roman"/>
        </w:rPr>
        <w:footnoteReference w:id="31"/>
      </w:r>
      <w:r w:rsidRPr="007A0B82">
        <w:rPr>
          <w:rFonts w:ascii="Times New Roman" w:hAnsi="Times New Roman" w:cs="Times New Roman"/>
        </w:rPr>
        <w:t xml:space="preserve">. </w:t>
      </w:r>
    </w:p>
    <w:p w14:paraId="779A14EB" w14:textId="77777777" w:rsidR="00094BD3" w:rsidRPr="007A0B82" w:rsidRDefault="00094BD3" w:rsidP="00094BD3">
      <w:pPr>
        <w:spacing w:after="120" w:line="276" w:lineRule="auto"/>
        <w:jc w:val="both"/>
        <w:rPr>
          <w:rFonts w:ascii="Times New Roman" w:hAnsi="Times New Roman" w:cs="Times New Roman"/>
        </w:rPr>
      </w:pPr>
    </w:p>
    <w:p w14:paraId="6D2163AB" w14:textId="3D72DF50"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Au terme de ce parcours, il apparaît qu’un </w:t>
      </w:r>
      <w:r w:rsidRPr="007A0B82">
        <w:rPr>
          <w:rFonts w:ascii="Times New Roman" w:hAnsi="Times New Roman" w:cs="Times New Roman"/>
          <w:i/>
        </w:rPr>
        <w:t>Balcon en forêt</w:t>
      </w:r>
      <w:r w:rsidRPr="007A0B82">
        <w:rPr>
          <w:rFonts w:ascii="Times New Roman" w:hAnsi="Times New Roman" w:cs="Times New Roman"/>
        </w:rPr>
        <w:t xml:space="preserve"> privilégie l’espace de la co-énonciation, l’analyse des extraits réclamant des distinctions fines entre l’hétéro- et l’auto-dialogisme, entre les régimes consensuels </w:t>
      </w:r>
      <w:r w:rsidR="00485853" w:rsidRPr="007A0B82">
        <w:rPr>
          <w:rFonts w:ascii="Times New Roman" w:hAnsi="Times New Roman" w:cs="Times New Roman"/>
        </w:rPr>
        <w:t xml:space="preserve">(plutôt que dissensuels) </w:t>
      </w:r>
      <w:r w:rsidRPr="007A0B82">
        <w:rPr>
          <w:rFonts w:ascii="Times New Roman" w:hAnsi="Times New Roman" w:cs="Times New Roman"/>
        </w:rPr>
        <w:t xml:space="preserve">tonique et atone. Si l’espace de la co-énonciation est traversé de tensions, celles-ci renvoient à une poétique de l’écart signifiant. </w:t>
      </w:r>
    </w:p>
    <w:p w14:paraId="34F99155" w14:textId="71B9CC0E"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Pour finir, </w:t>
      </w:r>
      <w:r w:rsidR="00226095">
        <w:rPr>
          <w:rFonts w:ascii="Times New Roman" w:hAnsi="Times New Roman" w:cs="Times New Roman"/>
        </w:rPr>
        <w:t xml:space="preserve">résumons tous les enjeux de cette réflexion </w:t>
      </w:r>
      <w:r w:rsidRPr="007A0B82">
        <w:rPr>
          <w:rFonts w:ascii="Times New Roman" w:hAnsi="Times New Roman" w:cs="Times New Roman"/>
        </w:rPr>
        <w:t xml:space="preserve">: d’abord, en dégageant une logique actantielle narrative, sur le mode de la diathèse récessive (co-énonciation) </w:t>
      </w:r>
      <w:r w:rsidR="00226095">
        <w:rPr>
          <w:rFonts w:ascii="Times New Roman" w:hAnsi="Times New Roman" w:cs="Times New Roman"/>
        </w:rPr>
        <w:t xml:space="preserve">par opposition à celui de la diathèse </w:t>
      </w:r>
      <w:r w:rsidRPr="007A0B82">
        <w:rPr>
          <w:rFonts w:ascii="Times New Roman" w:hAnsi="Times New Roman" w:cs="Times New Roman"/>
        </w:rPr>
        <w:t xml:space="preserve">causative (sur- et sous-énonciation) ; ensuite, en remontant vers une proto-posture énonciative, sous-tendant </w:t>
      </w:r>
      <w:r w:rsidR="00226095">
        <w:rPr>
          <w:rFonts w:ascii="Times New Roman" w:hAnsi="Times New Roman" w:cs="Times New Roman"/>
        </w:rPr>
        <w:t>la co-énonciation</w:t>
      </w:r>
      <w:r w:rsidRPr="007A0B82">
        <w:rPr>
          <w:rFonts w:ascii="Times New Roman" w:hAnsi="Times New Roman" w:cs="Times New Roman"/>
        </w:rPr>
        <w:t>. On a constaté, en effet, qu’</w:t>
      </w:r>
      <w:r w:rsidRPr="007A0B82">
        <w:rPr>
          <w:rFonts w:ascii="Times New Roman" w:hAnsi="Times New Roman" w:cs="Times New Roman"/>
          <w:i/>
        </w:rPr>
        <w:t>Un balcon en forêt</w:t>
      </w:r>
      <w:r w:rsidRPr="007A0B82">
        <w:rPr>
          <w:rFonts w:ascii="Times New Roman" w:hAnsi="Times New Roman" w:cs="Times New Roman"/>
        </w:rPr>
        <w:t xml:space="preserve"> nous oblige à entrevoir une préforme diathétique « à formant » (Bordron 2012). La manifestation linguistique (la syntaxe nominale au sens large) donne accès à une strate d’organisation du sens où une « sensibilité générale » (Bordron </w:t>
      </w:r>
      <w:r w:rsidRPr="007A0B82">
        <w:rPr>
          <w:rFonts w:ascii="Times New Roman" w:hAnsi="Times New Roman" w:cs="Times New Roman"/>
          <w:i/>
        </w:rPr>
        <w:t>ibid</w:t>
      </w:r>
      <w:r w:rsidRPr="007A0B82">
        <w:rPr>
          <w:rFonts w:ascii="Times New Roman" w:hAnsi="Times New Roman" w:cs="Times New Roman"/>
        </w:rPr>
        <w:t xml:space="preserve">.) </w:t>
      </w:r>
      <w:r w:rsidRPr="007A0B82">
        <w:rPr>
          <w:rFonts w:ascii="Times New Roman" w:hAnsi="Times New Roman" w:cs="Times New Roman"/>
          <w:i/>
        </w:rPr>
        <w:t>tend</w:t>
      </w:r>
      <w:r w:rsidRPr="007A0B82">
        <w:rPr>
          <w:rFonts w:ascii="Times New Roman" w:hAnsi="Times New Roman" w:cs="Times New Roman"/>
        </w:rPr>
        <w:t xml:space="preserve"> vers sa spécification sous la forme de PDV, sans encore l’atteindre tout à fait. Elle témoigne de l’émergence </w:t>
      </w:r>
      <w:r w:rsidR="00226095">
        <w:rPr>
          <w:rFonts w:ascii="Times New Roman" w:hAnsi="Times New Roman" w:cs="Times New Roman"/>
        </w:rPr>
        <w:t>de la posture de la co-énonciation</w:t>
      </w:r>
      <w:r w:rsidRPr="007A0B82">
        <w:rPr>
          <w:rFonts w:ascii="Times New Roman" w:hAnsi="Times New Roman" w:cs="Times New Roman"/>
        </w:rPr>
        <w:t xml:space="preserve"> proprement dite, là où se décident les tensions qui, ultérieurement, prennent la forme de la </w:t>
      </w:r>
      <w:r w:rsidR="00226095">
        <w:rPr>
          <w:rFonts w:ascii="Times New Roman" w:hAnsi="Times New Roman" w:cs="Times New Roman"/>
        </w:rPr>
        <w:t>consension et de la dissension</w:t>
      </w:r>
      <w:r w:rsidRPr="007A0B82">
        <w:rPr>
          <w:rFonts w:ascii="Times New Roman" w:hAnsi="Times New Roman" w:cs="Times New Roman"/>
        </w:rPr>
        <w:t xml:space="preserve">, où le flux et le reflux préparent l’activité interactionnelle dont la notion de posture énonciative permet de rendre compte. Prendre en considération cette gestation du sens, c’est rétablir en amont de l’empathie, toujours négociée, ainsi que le montre Alain Rabatel dans ses écrits, le pathique, les sensations emmêlées, cette disposition encore diffuse – cet « état énergétique de notre âme » (Bordron </w:t>
      </w:r>
      <w:r w:rsidRPr="007A0B82">
        <w:rPr>
          <w:rFonts w:ascii="Times New Roman" w:hAnsi="Times New Roman" w:cs="Times New Roman"/>
          <w:i/>
        </w:rPr>
        <w:t>ibid</w:t>
      </w:r>
      <w:r w:rsidRPr="007A0B82">
        <w:rPr>
          <w:rFonts w:ascii="Times New Roman" w:hAnsi="Times New Roman" w:cs="Times New Roman"/>
        </w:rPr>
        <w:t xml:space="preserve">.) avant toute individuation – qui </w:t>
      </w:r>
      <w:r w:rsidR="00226095">
        <w:rPr>
          <w:rFonts w:ascii="Times New Roman" w:hAnsi="Times New Roman" w:cs="Times New Roman"/>
        </w:rPr>
        <w:t>la</w:t>
      </w:r>
      <w:r w:rsidRPr="007A0B82">
        <w:rPr>
          <w:rFonts w:ascii="Times New Roman" w:hAnsi="Times New Roman" w:cs="Times New Roman"/>
        </w:rPr>
        <w:t xml:space="preserve"> sous-tend. </w:t>
      </w:r>
    </w:p>
    <w:p w14:paraId="6549273E" w14:textId="77777777" w:rsidR="00094BD3" w:rsidRPr="007A0B82" w:rsidRDefault="00094BD3" w:rsidP="00094BD3">
      <w:pPr>
        <w:spacing w:after="120" w:line="276" w:lineRule="auto"/>
        <w:jc w:val="both"/>
        <w:rPr>
          <w:rFonts w:ascii="Times New Roman" w:hAnsi="Times New Roman" w:cs="Times New Roman"/>
        </w:rPr>
      </w:pPr>
    </w:p>
    <w:p w14:paraId="42736CA9" w14:textId="77777777" w:rsidR="00094BD3" w:rsidRPr="007A0B82" w:rsidRDefault="00094BD3" w:rsidP="00094BD3">
      <w:pPr>
        <w:spacing w:after="120" w:line="276" w:lineRule="auto"/>
        <w:jc w:val="both"/>
        <w:rPr>
          <w:rFonts w:ascii="Times New Roman" w:hAnsi="Times New Roman" w:cs="Times New Roman"/>
          <w:lang w:val="fr-LU"/>
        </w:rPr>
      </w:pPr>
      <w:r w:rsidRPr="007A0B82">
        <w:rPr>
          <w:rFonts w:ascii="Times New Roman" w:hAnsi="Times New Roman" w:cs="Times New Roman"/>
          <w:lang w:val="fr-LU"/>
        </w:rPr>
        <w:t>Bibliographie</w:t>
      </w:r>
    </w:p>
    <w:p w14:paraId="611C61E4" w14:textId="77777777" w:rsidR="00094BD3" w:rsidRPr="007A0B82" w:rsidRDefault="00094BD3" w:rsidP="00094BD3">
      <w:pPr>
        <w:spacing w:after="120" w:line="276" w:lineRule="auto"/>
        <w:rPr>
          <w:rFonts w:ascii="Times New Roman" w:hAnsi="Times New Roman" w:cs="Times New Roman"/>
          <w:lang w:val="fr-LU"/>
        </w:rPr>
      </w:pPr>
      <w:r w:rsidRPr="007A0B82">
        <w:rPr>
          <w:rFonts w:ascii="Times New Roman" w:hAnsi="Times New Roman" w:cs="Times New Roman"/>
          <w:lang w:val="fr-LU"/>
        </w:rPr>
        <w:t>Baroni, Raphaël, 2010</w:t>
      </w:r>
      <w:r w:rsidRPr="007A0B82">
        <w:rPr>
          <w:rFonts w:ascii="Times New Roman" w:hAnsi="Times New Roman" w:cs="Times New Roman"/>
        </w:rPr>
        <w:t>/3</w:t>
      </w:r>
      <w:r w:rsidRPr="007A0B82">
        <w:rPr>
          <w:rFonts w:ascii="Times New Roman" w:hAnsi="Times New Roman" w:cs="Times New Roman"/>
          <w:lang w:val="fr-LU"/>
        </w:rPr>
        <w:t xml:space="preserve">, </w:t>
      </w:r>
      <w:r w:rsidRPr="007A0B82">
        <w:rPr>
          <w:rFonts w:ascii="Times New Roman" w:hAnsi="Times New Roman" w:cs="Times New Roman"/>
        </w:rPr>
        <w:t>« </w:t>
      </w:r>
      <w:r w:rsidRPr="007A0B82">
        <w:rPr>
          <w:rFonts w:ascii="Times New Roman" w:hAnsi="Times New Roman" w:cs="Times New Roman"/>
          <w:bCs/>
          <w:color w:val="000000" w:themeColor="text1"/>
        </w:rPr>
        <w:t xml:space="preserve">Ce que l'intrigue ajoute au temps. Une relecture critique de </w:t>
      </w:r>
      <w:r w:rsidRPr="007A0B82">
        <w:rPr>
          <w:rFonts w:ascii="Times New Roman" w:hAnsi="Times New Roman" w:cs="Times New Roman"/>
          <w:bCs/>
          <w:i/>
          <w:color w:val="000000" w:themeColor="text1"/>
        </w:rPr>
        <w:t>Temps et récit</w:t>
      </w:r>
      <w:r w:rsidRPr="007A0B82">
        <w:rPr>
          <w:rFonts w:ascii="Times New Roman" w:hAnsi="Times New Roman" w:cs="Times New Roman"/>
          <w:bCs/>
          <w:color w:val="000000" w:themeColor="text1"/>
        </w:rPr>
        <w:t xml:space="preserve"> de Paul Ricœur », </w:t>
      </w:r>
      <w:r w:rsidRPr="007A0B82">
        <w:rPr>
          <w:rStyle w:val="in-revue"/>
          <w:rFonts w:ascii="Times New Roman" w:hAnsi="Times New Roman" w:cs="Times New Roman"/>
          <w:bCs/>
          <w:i/>
          <w:color w:val="000000" w:themeColor="text1"/>
        </w:rPr>
        <w:t>Poétique</w:t>
      </w:r>
      <w:r w:rsidRPr="007A0B82">
        <w:rPr>
          <w:rStyle w:val="in-revue"/>
          <w:rFonts w:ascii="Times New Roman" w:hAnsi="Times New Roman" w:cs="Times New Roman"/>
          <w:bCs/>
          <w:color w:val="000000" w:themeColor="text1"/>
        </w:rPr>
        <w:t>, n</w:t>
      </w:r>
      <w:r w:rsidRPr="007A0B82">
        <w:rPr>
          <w:rStyle w:val="in-revue"/>
          <w:rFonts w:ascii="Times New Roman" w:hAnsi="Times New Roman" w:cs="Times New Roman"/>
          <w:bCs/>
          <w:color w:val="000000" w:themeColor="text1"/>
          <w:vertAlign w:val="superscript"/>
        </w:rPr>
        <w:t>o</w:t>
      </w:r>
      <w:r w:rsidRPr="007A0B82">
        <w:rPr>
          <w:rStyle w:val="in-revue"/>
          <w:rFonts w:ascii="Times New Roman" w:hAnsi="Times New Roman" w:cs="Times New Roman"/>
          <w:bCs/>
          <w:color w:val="000000" w:themeColor="text1"/>
        </w:rPr>
        <w:t xml:space="preserve"> 163</w:t>
      </w:r>
      <w:r w:rsidRPr="007A0B82">
        <w:rPr>
          <w:rStyle w:val="in-revue"/>
          <w:rFonts w:ascii="Times New Roman" w:hAnsi="Times New Roman" w:cs="Times New Roman"/>
          <w:color w:val="000000" w:themeColor="text1"/>
        </w:rPr>
        <w:t>, pp. 361-382.</w:t>
      </w:r>
    </w:p>
    <w:p w14:paraId="18E44125" w14:textId="798983C7" w:rsidR="00094BD3"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Bertrand, Denis, 2005, « Deixis et opérations énonciatives », </w:t>
      </w:r>
      <w:r w:rsidR="005C6A11" w:rsidRPr="005C6A11">
        <w:rPr>
          <w:rFonts w:ascii="Times New Roman" w:hAnsi="Times New Roman" w:cs="Times New Roman"/>
          <w:i/>
        </w:rPr>
        <w:t>in</w:t>
      </w:r>
      <w:r w:rsidR="005C6A11">
        <w:rPr>
          <w:rFonts w:ascii="Times New Roman" w:hAnsi="Times New Roman" w:cs="Times New Roman"/>
        </w:rPr>
        <w:t xml:space="preserve"> </w:t>
      </w:r>
      <w:r w:rsidR="005C6A11" w:rsidRPr="007A0B82">
        <w:rPr>
          <w:rFonts w:ascii="Times New Roman" w:hAnsi="Times New Roman" w:cs="Times New Roman"/>
        </w:rPr>
        <w:t>D. Monticelli, R. Pajusalu, A. Treikelder</w:t>
      </w:r>
      <w:r w:rsidR="005C6A11">
        <w:rPr>
          <w:rFonts w:ascii="Times New Roman" w:hAnsi="Times New Roman" w:cs="Times New Roman"/>
        </w:rPr>
        <w:t xml:space="preserve"> (éds)</w:t>
      </w:r>
      <w:r w:rsidR="005C6A11" w:rsidRPr="007A0B82">
        <w:rPr>
          <w:rFonts w:ascii="Times New Roman" w:hAnsi="Times New Roman" w:cs="Times New Roman"/>
        </w:rPr>
        <w:t xml:space="preserve">, </w:t>
      </w:r>
      <w:r w:rsidRPr="007A0B82">
        <w:rPr>
          <w:rFonts w:ascii="Times New Roman" w:hAnsi="Times New Roman" w:cs="Times New Roman"/>
        </w:rPr>
        <w:t xml:space="preserve">« De l’énoncé à l’énonciation et vice versa. Regards multidisciplinaires sur la deixis », </w:t>
      </w:r>
      <w:r w:rsidRPr="007A0B82">
        <w:rPr>
          <w:rFonts w:ascii="Times New Roman" w:hAnsi="Times New Roman" w:cs="Times New Roman"/>
          <w:i/>
          <w:iCs/>
        </w:rPr>
        <w:t>Studia Romanica Tartuensia</w:t>
      </w:r>
      <w:r w:rsidRPr="007A0B82">
        <w:rPr>
          <w:rFonts w:ascii="Times New Roman" w:hAnsi="Times New Roman" w:cs="Times New Roman"/>
        </w:rPr>
        <w:t xml:space="preserve">, IVa, Tartu University Press, pp. 171-185. </w:t>
      </w:r>
    </w:p>
    <w:p w14:paraId="2B9157F7" w14:textId="26AD2219" w:rsidR="00D96CB8" w:rsidRPr="007A0B82" w:rsidRDefault="00D96CB8" w:rsidP="00094BD3">
      <w:pPr>
        <w:spacing w:after="120" w:line="276" w:lineRule="auto"/>
        <w:jc w:val="both"/>
        <w:rPr>
          <w:rFonts w:ascii="Times New Roman" w:hAnsi="Times New Roman" w:cs="Times New Roman"/>
        </w:rPr>
      </w:pPr>
      <w:r>
        <w:rPr>
          <w:rFonts w:ascii="Times New Roman" w:hAnsi="Times New Roman" w:cs="Times New Roman"/>
        </w:rPr>
        <w:t xml:space="preserve">Bordron, Jean-François, 2011, </w:t>
      </w:r>
      <w:r w:rsidRPr="008D4814">
        <w:rPr>
          <w:rFonts w:ascii="Times New Roman" w:hAnsi="Times New Roman" w:cs="Times New Roman"/>
          <w:i/>
        </w:rPr>
        <w:t>L’iconicité et ses images. Ét</w:t>
      </w:r>
      <w:r w:rsidRPr="00D96CB8">
        <w:rPr>
          <w:rFonts w:ascii="Times New Roman" w:hAnsi="Times New Roman" w:cs="Times New Roman"/>
          <w:i/>
        </w:rPr>
        <w:t>udes</w:t>
      </w:r>
      <w:r>
        <w:rPr>
          <w:rFonts w:ascii="Times New Roman" w:hAnsi="Times New Roman" w:cs="Times New Roman"/>
          <w:i/>
        </w:rPr>
        <w:t xml:space="preserve"> </w:t>
      </w:r>
      <w:r w:rsidRPr="008D4814">
        <w:rPr>
          <w:rFonts w:ascii="Times New Roman" w:hAnsi="Times New Roman" w:cs="Times New Roman"/>
          <w:i/>
        </w:rPr>
        <w:t>sémiotiques</w:t>
      </w:r>
      <w:r>
        <w:rPr>
          <w:rFonts w:ascii="Times New Roman" w:hAnsi="Times New Roman" w:cs="Times New Roman"/>
        </w:rPr>
        <w:t xml:space="preserve">, Paris, PUF. </w:t>
      </w:r>
    </w:p>
    <w:p w14:paraId="07A3EFB4"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Bordron, Jean-François, 2012, « Vie(s) et diathèses », </w:t>
      </w:r>
      <w:r w:rsidRPr="007A0B82">
        <w:rPr>
          <w:rFonts w:ascii="Times New Roman" w:hAnsi="Times New Roman" w:cs="Times New Roman"/>
          <w:i/>
        </w:rPr>
        <w:t>Actes sémiotiques</w:t>
      </w:r>
      <w:r w:rsidRPr="007A0B82">
        <w:rPr>
          <w:rFonts w:ascii="Times New Roman" w:hAnsi="Times New Roman" w:cs="Times New Roman"/>
        </w:rPr>
        <w:t>, n</w:t>
      </w:r>
      <w:r w:rsidRPr="007A0B82">
        <w:rPr>
          <w:rFonts w:ascii="Times New Roman" w:hAnsi="Times New Roman" w:cs="Times New Roman"/>
          <w:vertAlign w:val="superscript"/>
        </w:rPr>
        <w:t>o</w:t>
      </w:r>
      <w:r w:rsidRPr="007A0B82">
        <w:rPr>
          <w:rFonts w:ascii="Times New Roman" w:hAnsi="Times New Roman" w:cs="Times New Roman"/>
        </w:rPr>
        <w:t xml:space="preserve"> 115. Disponible sur : </w:t>
      </w:r>
      <w:r w:rsidRPr="007A0B82">
        <w:rPr>
          <w:rFonts w:ascii="Times New Roman" w:hAnsi="Times New Roman" w:cs="Times New Roman"/>
          <w:color w:val="000000" w:themeColor="text1"/>
        </w:rPr>
        <w:t>&lt;</w:t>
      </w:r>
      <w:hyperlink r:id="rId7" w:history="1">
        <w:r w:rsidRPr="007A0B82">
          <w:rPr>
            <w:rStyle w:val="Lienhypertexte"/>
            <w:rFonts w:ascii="Times New Roman" w:hAnsi="Times New Roman" w:cs="Times New Roman"/>
            <w:color w:val="000000" w:themeColor="text1"/>
            <w:u w:val="none"/>
          </w:rPr>
          <w:t>http://epublications.unilim.fr/revues/as/2654</w:t>
        </w:r>
      </w:hyperlink>
      <w:r w:rsidRPr="007A0B82">
        <w:rPr>
          <w:rFonts w:ascii="Times New Roman" w:hAnsi="Times New Roman" w:cs="Times New Roman"/>
          <w:color w:val="000000" w:themeColor="text1"/>
        </w:rPr>
        <w:t xml:space="preserve">&gt; </w:t>
      </w:r>
      <w:r w:rsidRPr="007A0B82">
        <w:rPr>
          <w:rFonts w:ascii="Times New Roman" w:hAnsi="Times New Roman" w:cs="Times New Roman"/>
        </w:rPr>
        <w:t xml:space="preserve">(consulté le 14/07/2018). </w:t>
      </w:r>
    </w:p>
    <w:p w14:paraId="32CAEA86"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lastRenderedPageBreak/>
        <w:t xml:space="preserve">Colas-Blaise, Marion, 2011, « Les types et les régimes de la prise en charge », </w:t>
      </w:r>
      <w:r w:rsidRPr="007A0B82">
        <w:rPr>
          <w:rFonts w:ascii="Times New Roman" w:hAnsi="Times New Roman" w:cs="Times New Roman"/>
          <w:i/>
        </w:rPr>
        <w:t>in</w:t>
      </w:r>
      <w:r w:rsidRPr="007A0B82">
        <w:rPr>
          <w:rFonts w:ascii="Times New Roman" w:hAnsi="Times New Roman" w:cs="Times New Roman"/>
        </w:rPr>
        <w:t xml:space="preserve"> P. Dendale, D. Coltier (dirs), </w:t>
      </w:r>
      <w:r w:rsidRPr="007A0B82">
        <w:rPr>
          <w:rFonts w:ascii="Times New Roman" w:hAnsi="Times New Roman" w:cs="Times New Roman"/>
          <w:i/>
        </w:rPr>
        <w:t>La prise en charge énonciative. Études théoriques et empiriques,</w:t>
      </w:r>
      <w:r w:rsidRPr="007A0B82">
        <w:rPr>
          <w:rFonts w:ascii="Times New Roman" w:hAnsi="Times New Roman" w:cs="Times New Roman"/>
        </w:rPr>
        <w:t xml:space="preserve"> Bruxelles, De Boeck Duculot, pp. 37-54.  </w:t>
      </w:r>
    </w:p>
    <w:p w14:paraId="2D93D4B9"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Colas-Blaise, Marion, 2012,</w:t>
      </w:r>
      <w:r w:rsidRPr="007A0B82">
        <w:rPr>
          <w:rFonts w:ascii="Times New Roman" w:hAnsi="Times New Roman" w:cs="Times New Roman"/>
          <w:color w:val="000000"/>
          <w:shd w:val="clear" w:color="auto" w:fill="FFFFFF"/>
        </w:rPr>
        <w:t> « Forme de vie et formes de vie », </w:t>
      </w:r>
      <w:r w:rsidRPr="007A0B82">
        <w:rPr>
          <w:rFonts w:ascii="Times New Roman" w:hAnsi="Times New Roman" w:cs="Times New Roman"/>
          <w:i/>
          <w:color w:val="000000"/>
          <w:shd w:val="clear" w:color="auto" w:fill="FFFFFF"/>
        </w:rPr>
        <w:t>Actes sémiotiques</w:t>
      </w:r>
      <w:r w:rsidRPr="007A0B82">
        <w:rPr>
          <w:rFonts w:ascii="Times New Roman" w:hAnsi="Times New Roman" w:cs="Times New Roman"/>
          <w:color w:val="000000"/>
          <w:shd w:val="clear" w:color="auto" w:fill="FFFFFF"/>
        </w:rPr>
        <w:t>, n° 115. Disponible sur : &lt;http://epublications.unilim.fr/revues/as/2631&gt; (consulté le 14/07/2018)</w:t>
      </w:r>
      <w:r w:rsidRPr="007A0B82">
        <w:rPr>
          <w:rFonts w:ascii="Times New Roman" w:hAnsi="Times New Roman" w:cs="Times New Roman"/>
        </w:rPr>
        <w:t>.</w:t>
      </w:r>
    </w:p>
    <w:p w14:paraId="1B547FF9" w14:textId="0B7A82F6" w:rsidR="00094BD3" w:rsidRPr="007A0B82" w:rsidRDefault="00094BD3" w:rsidP="00094BD3">
      <w:pPr>
        <w:spacing w:after="120"/>
        <w:jc w:val="both"/>
        <w:rPr>
          <w:rFonts w:ascii="Times New Roman" w:hAnsi="Times New Roman" w:cs="Times New Roman"/>
        </w:rPr>
      </w:pPr>
      <w:r w:rsidRPr="007A0B82">
        <w:rPr>
          <w:rFonts w:ascii="Times New Roman" w:hAnsi="Times New Roman" w:cs="Times New Roman"/>
        </w:rPr>
        <w:t xml:space="preserve">Colas-Blaise, 2017, « Manières d’être et de faire simple. Éléments pour une approche sémiotique de la simplicité », </w:t>
      </w:r>
      <w:r w:rsidRPr="007A0B82">
        <w:rPr>
          <w:rFonts w:ascii="Times New Roman" w:hAnsi="Times New Roman" w:cs="Times New Roman"/>
          <w:i/>
        </w:rPr>
        <w:t>in</w:t>
      </w:r>
      <w:r w:rsidRPr="007A0B82">
        <w:rPr>
          <w:rFonts w:ascii="Times New Roman" w:hAnsi="Times New Roman" w:cs="Times New Roman"/>
        </w:rPr>
        <w:t xml:space="preserve"> S. Jollin-Bertocchi, L. Kurts-Wöste, A.-M. Paillet &amp; C. Stolz, </w:t>
      </w:r>
      <w:r w:rsidRPr="007A0B82">
        <w:rPr>
          <w:rFonts w:ascii="Times New Roman" w:hAnsi="Times New Roman" w:cs="Times New Roman"/>
          <w:i/>
        </w:rPr>
        <w:t>La simplicité. Manifestations et enjeux culturels du simple en art</w:t>
      </w:r>
      <w:r w:rsidRPr="007A0B82">
        <w:rPr>
          <w:rFonts w:ascii="Times New Roman" w:hAnsi="Times New Roman" w:cs="Times New Roman"/>
        </w:rPr>
        <w:t xml:space="preserve">, Paris, Honoré Champion, pp. 357-372. </w:t>
      </w:r>
    </w:p>
    <w:p w14:paraId="30DE049B" w14:textId="6D0D3D3C" w:rsidR="004F654F" w:rsidRDefault="004F654F" w:rsidP="00094BD3">
      <w:pPr>
        <w:spacing w:after="120" w:line="276" w:lineRule="auto"/>
        <w:jc w:val="both"/>
        <w:rPr>
          <w:rFonts w:ascii="Times New Roman" w:hAnsi="Times New Roman" w:cs="Times New Roman"/>
        </w:rPr>
      </w:pPr>
      <w:r>
        <w:rPr>
          <w:rFonts w:ascii="Times New Roman" w:hAnsi="Times New Roman" w:cs="Times New Roman"/>
        </w:rPr>
        <w:t xml:space="preserve">Combe, Dominique, 1991, </w:t>
      </w:r>
      <w:r w:rsidRPr="004F654F">
        <w:rPr>
          <w:rFonts w:ascii="Times New Roman" w:hAnsi="Times New Roman" w:cs="Times New Roman"/>
          <w:i/>
        </w:rPr>
        <w:t>La pensée et le style,</w:t>
      </w:r>
      <w:r>
        <w:rPr>
          <w:rFonts w:ascii="Times New Roman" w:hAnsi="Times New Roman" w:cs="Times New Roman"/>
        </w:rPr>
        <w:t xml:space="preserve"> Paris, </w:t>
      </w:r>
      <w:r w:rsidR="00BE702A" w:rsidRPr="007A0B82">
        <w:rPr>
          <w:rFonts w:ascii="Times New Roman" w:hAnsi="Times New Roman" w:cs="Times New Roman"/>
        </w:rPr>
        <w:t>É</w:t>
      </w:r>
      <w:r>
        <w:rPr>
          <w:rFonts w:ascii="Times New Roman" w:hAnsi="Times New Roman" w:cs="Times New Roman"/>
        </w:rPr>
        <w:t xml:space="preserve">ditions </w:t>
      </w:r>
      <w:r w:rsidR="00BE702A">
        <w:rPr>
          <w:rFonts w:ascii="Times New Roman" w:hAnsi="Times New Roman" w:cs="Times New Roman"/>
        </w:rPr>
        <w:t>U</w:t>
      </w:r>
      <w:r>
        <w:rPr>
          <w:rFonts w:ascii="Times New Roman" w:hAnsi="Times New Roman" w:cs="Times New Roman"/>
        </w:rPr>
        <w:t xml:space="preserve">niversitaires. </w:t>
      </w:r>
    </w:p>
    <w:p w14:paraId="13BE20DE" w14:textId="29294F90"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Coquet, Jean-Claude, 2007, Phusis </w:t>
      </w:r>
      <w:r w:rsidRPr="007A0B82">
        <w:rPr>
          <w:rFonts w:ascii="Times New Roman" w:hAnsi="Times New Roman" w:cs="Times New Roman"/>
          <w:i/>
        </w:rPr>
        <w:t>et</w:t>
      </w:r>
      <w:r w:rsidRPr="007A0B82">
        <w:rPr>
          <w:rFonts w:ascii="Times New Roman" w:hAnsi="Times New Roman" w:cs="Times New Roman"/>
        </w:rPr>
        <w:t xml:space="preserve"> logos. </w:t>
      </w:r>
      <w:r w:rsidRPr="007A0B82">
        <w:rPr>
          <w:rFonts w:ascii="Times New Roman" w:hAnsi="Times New Roman" w:cs="Times New Roman"/>
          <w:i/>
        </w:rPr>
        <w:t>Une phénoménologie du langage</w:t>
      </w:r>
      <w:r w:rsidRPr="007A0B82">
        <w:rPr>
          <w:rFonts w:ascii="Times New Roman" w:hAnsi="Times New Roman" w:cs="Times New Roman"/>
        </w:rPr>
        <w:t xml:space="preserve">, Paris, Presses universitaires Paris 8, Saint-Denis. </w:t>
      </w:r>
    </w:p>
    <w:p w14:paraId="7FFF9AF8"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Détrie, Catherine, Siblot, Paul, Verine, Bertrand, 2001, </w:t>
      </w:r>
      <w:r w:rsidRPr="007A0B82">
        <w:rPr>
          <w:rFonts w:ascii="Times New Roman" w:hAnsi="Times New Roman" w:cs="Times New Roman"/>
          <w:i/>
        </w:rPr>
        <w:t>Termes et concepts pour l’analyse du discours. Une approche praxématique</w:t>
      </w:r>
      <w:r w:rsidRPr="007A0B82">
        <w:rPr>
          <w:rFonts w:ascii="Times New Roman" w:hAnsi="Times New Roman" w:cs="Times New Roman"/>
        </w:rPr>
        <w:t xml:space="preserve">, Paris, Honoré Champion. </w:t>
      </w:r>
    </w:p>
    <w:p w14:paraId="0BE91063"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Ducrot, Oswald, 1984, </w:t>
      </w:r>
      <w:r w:rsidRPr="007A0B82">
        <w:rPr>
          <w:rFonts w:ascii="Times New Roman" w:hAnsi="Times New Roman" w:cs="Times New Roman"/>
          <w:i/>
        </w:rPr>
        <w:t>Le dire et le dit</w:t>
      </w:r>
      <w:r w:rsidRPr="007A0B82">
        <w:rPr>
          <w:rFonts w:ascii="Times New Roman" w:hAnsi="Times New Roman" w:cs="Times New Roman"/>
        </w:rPr>
        <w:t xml:space="preserve">, Paris, Minuit. </w:t>
      </w:r>
    </w:p>
    <w:p w14:paraId="072655D9"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Fontanille, Jacques, 2003 [1998], </w:t>
      </w:r>
      <w:r w:rsidRPr="007A0B82">
        <w:rPr>
          <w:rFonts w:ascii="Times New Roman" w:hAnsi="Times New Roman" w:cs="Times New Roman"/>
          <w:i/>
        </w:rPr>
        <w:t>Sémiotique du discours</w:t>
      </w:r>
      <w:r w:rsidRPr="007A0B82">
        <w:rPr>
          <w:rFonts w:ascii="Times New Roman" w:hAnsi="Times New Roman" w:cs="Times New Roman"/>
        </w:rPr>
        <w:t xml:space="preserve">, Limoges, Pulim. </w:t>
      </w:r>
    </w:p>
    <w:p w14:paraId="061458D9"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Gracq Julien, 1958, </w:t>
      </w:r>
      <w:r w:rsidRPr="007A0B82">
        <w:rPr>
          <w:rFonts w:ascii="Times New Roman" w:hAnsi="Times New Roman" w:cs="Times New Roman"/>
          <w:i/>
        </w:rPr>
        <w:t>Un balcon en forêt</w:t>
      </w:r>
      <w:r w:rsidRPr="007A0B82">
        <w:rPr>
          <w:rFonts w:ascii="Times New Roman" w:hAnsi="Times New Roman" w:cs="Times New Roman"/>
        </w:rPr>
        <w:t xml:space="preserve">, Paris, José Corti. </w:t>
      </w:r>
    </w:p>
    <w:p w14:paraId="5DB80D09" w14:textId="77777777" w:rsidR="005C6A11" w:rsidRPr="007A0B82" w:rsidRDefault="005C6A11" w:rsidP="005C6A11">
      <w:pPr>
        <w:spacing w:after="120" w:line="276" w:lineRule="auto"/>
        <w:jc w:val="both"/>
        <w:rPr>
          <w:rFonts w:ascii="Times New Roman" w:hAnsi="Times New Roman" w:cs="Times New Roman"/>
        </w:rPr>
      </w:pPr>
      <w:r w:rsidRPr="007A0B82">
        <w:rPr>
          <w:rFonts w:ascii="Times New Roman" w:hAnsi="Times New Roman" w:cs="Times New Roman"/>
        </w:rPr>
        <w:t xml:space="preserve">Gracq, Julien, </w:t>
      </w:r>
      <w:r>
        <w:rPr>
          <w:rFonts w:ascii="Times New Roman" w:hAnsi="Times New Roman" w:cs="Times New Roman"/>
        </w:rPr>
        <w:t>1977 [</w:t>
      </w:r>
      <w:r w:rsidRPr="007A0B82">
        <w:rPr>
          <w:rFonts w:ascii="Times New Roman" w:hAnsi="Times New Roman" w:cs="Times New Roman"/>
        </w:rPr>
        <w:t>1946</w:t>
      </w:r>
      <w:r>
        <w:rPr>
          <w:rFonts w:ascii="Times New Roman" w:hAnsi="Times New Roman" w:cs="Times New Roman"/>
        </w:rPr>
        <w:t>]</w:t>
      </w:r>
      <w:r w:rsidRPr="007A0B82">
        <w:rPr>
          <w:rFonts w:ascii="Times New Roman" w:hAnsi="Times New Roman" w:cs="Times New Roman"/>
        </w:rPr>
        <w:t xml:space="preserve">, </w:t>
      </w:r>
      <w:r w:rsidRPr="007A0B82">
        <w:rPr>
          <w:rFonts w:ascii="Times New Roman" w:hAnsi="Times New Roman" w:cs="Times New Roman"/>
          <w:i/>
        </w:rPr>
        <w:t>André Breton, quelques aspects de l’écrivain</w:t>
      </w:r>
      <w:r w:rsidRPr="007A0B82">
        <w:rPr>
          <w:rFonts w:ascii="Times New Roman" w:hAnsi="Times New Roman" w:cs="Times New Roman"/>
        </w:rPr>
        <w:t xml:space="preserve">, Paris, José Corti. </w:t>
      </w:r>
    </w:p>
    <w:p w14:paraId="55A13913"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Groupe µ, 2015, Principia Semiotica. </w:t>
      </w:r>
      <w:r w:rsidRPr="007A0B82">
        <w:rPr>
          <w:rFonts w:ascii="Times New Roman" w:hAnsi="Times New Roman" w:cs="Times New Roman"/>
          <w:i/>
        </w:rPr>
        <w:t>Aux sources du sens</w:t>
      </w:r>
      <w:r w:rsidRPr="007A0B82">
        <w:rPr>
          <w:rFonts w:ascii="Times New Roman" w:hAnsi="Times New Roman" w:cs="Times New Roman"/>
        </w:rPr>
        <w:t xml:space="preserve">, Bruxelles, Les Impressions Nouvelles. </w:t>
      </w:r>
    </w:p>
    <w:p w14:paraId="2517693E" w14:textId="77777777" w:rsidR="00094BD3" w:rsidRPr="007A0B82" w:rsidRDefault="00094BD3" w:rsidP="00094BD3">
      <w:pPr>
        <w:widowControl w:val="0"/>
        <w:autoSpaceDE w:val="0"/>
        <w:autoSpaceDN w:val="0"/>
        <w:adjustRightInd w:val="0"/>
        <w:spacing w:after="120" w:line="276" w:lineRule="auto"/>
        <w:jc w:val="both"/>
        <w:rPr>
          <w:rFonts w:ascii="Times New Roman" w:hAnsi="Times New Roman" w:cs="Times New Roman"/>
          <w:i/>
          <w:iCs/>
        </w:rPr>
      </w:pPr>
      <w:r w:rsidRPr="007A0B82">
        <w:rPr>
          <w:rFonts w:ascii="Times New Roman" w:hAnsi="Times New Roman" w:cs="Times New Roman"/>
        </w:rPr>
        <w:t xml:space="preserve">Guillaume, Gustave, 1964, 1965 [1929], </w:t>
      </w:r>
      <w:r w:rsidRPr="007A0B82">
        <w:rPr>
          <w:rFonts w:ascii="Times New Roman" w:hAnsi="Times New Roman" w:cs="Times New Roman"/>
          <w:i/>
        </w:rPr>
        <w:t>Temps et verbe</w:t>
      </w:r>
      <w:r w:rsidRPr="007A0B82">
        <w:rPr>
          <w:rFonts w:ascii="Times New Roman" w:hAnsi="Times New Roman" w:cs="Times New Roman"/>
        </w:rPr>
        <w:t xml:space="preserve">, Paris, Honoré Champion. </w:t>
      </w:r>
    </w:p>
    <w:p w14:paraId="0E2D331D" w14:textId="723A362E" w:rsidR="00094BD3" w:rsidRDefault="00094BD3" w:rsidP="00094BD3">
      <w:pPr>
        <w:pStyle w:val="NormalWeb"/>
        <w:spacing w:before="0" w:beforeAutospacing="0" w:after="120" w:afterAutospacing="0" w:line="276" w:lineRule="auto"/>
        <w:jc w:val="both"/>
      </w:pPr>
      <w:r w:rsidRPr="007A0B82">
        <w:t xml:space="preserve">Jullien, François, 2012, </w:t>
      </w:r>
      <w:r w:rsidRPr="007A0B82">
        <w:rPr>
          <w:i/>
          <w:iCs/>
        </w:rPr>
        <w:t>L’écart et l ’entre. Ou comment penser l’altérité</w:t>
      </w:r>
      <w:r w:rsidRPr="007A0B82">
        <w:t>, FMSH-WP-2012-03.</w:t>
      </w:r>
    </w:p>
    <w:p w14:paraId="3E3D811E" w14:textId="36F76376" w:rsidR="00BE702A" w:rsidRPr="007A0B82" w:rsidRDefault="00BE702A" w:rsidP="00094BD3">
      <w:pPr>
        <w:pStyle w:val="NormalWeb"/>
        <w:spacing w:before="0" w:beforeAutospacing="0" w:after="120" w:afterAutospacing="0" w:line="276" w:lineRule="auto"/>
        <w:jc w:val="both"/>
      </w:pPr>
      <w:r>
        <w:t xml:space="preserve">Larjavaara, Méri, 2000, </w:t>
      </w:r>
      <w:r w:rsidRPr="00BE702A">
        <w:rPr>
          <w:i/>
        </w:rPr>
        <w:t>Présence ou absence de l’objet. Limites du possible en fran</w:t>
      </w:r>
      <w:r w:rsidR="005C6A11">
        <w:rPr>
          <w:i/>
        </w:rPr>
        <w:t>ç</w:t>
      </w:r>
      <w:r w:rsidRPr="00BE702A">
        <w:rPr>
          <w:i/>
        </w:rPr>
        <w:t>ais contemporain,</w:t>
      </w:r>
      <w:r>
        <w:t xml:space="preserve"> Academia Scientiarum Fennica. </w:t>
      </w:r>
    </w:p>
    <w:p w14:paraId="770E8CDD" w14:textId="6FBA3D11" w:rsidR="00094BD3" w:rsidRPr="007A0B82" w:rsidRDefault="00094BD3" w:rsidP="00094BD3">
      <w:pPr>
        <w:pStyle w:val="NormalWeb"/>
        <w:spacing w:before="0" w:beforeAutospacing="0" w:after="120" w:afterAutospacing="0" w:line="276" w:lineRule="auto"/>
        <w:jc w:val="both"/>
      </w:pPr>
      <w:r w:rsidRPr="007A0B82">
        <w:t xml:space="preserve">Monte Michèle, 2011, « Intersubjectivité et coénonciation dans la </w:t>
      </w:r>
      <w:r w:rsidR="00B07C46" w:rsidRPr="007A0B82">
        <w:t>po</w:t>
      </w:r>
      <w:r w:rsidR="00B07C46">
        <w:t>ésie</w:t>
      </w:r>
      <w:r w:rsidR="00B07C46" w:rsidRPr="007A0B82">
        <w:t xml:space="preserve"> </w:t>
      </w:r>
      <w:r w:rsidRPr="007A0B82">
        <w:t xml:space="preserve">contemporaine », in B. Verine &amp; C. Détrie (dirs), </w:t>
      </w:r>
      <w:r w:rsidRPr="007A0B82">
        <w:rPr>
          <w:i/>
        </w:rPr>
        <w:t>L’actualisation de l’intersubjectivité : de la langue au discours</w:t>
      </w:r>
      <w:r w:rsidRPr="007A0B82">
        <w:t xml:space="preserve">, Limoges, Lambert-Lucas, pp. 199-138. </w:t>
      </w:r>
    </w:p>
    <w:p w14:paraId="043EF65F" w14:textId="5B01E19C" w:rsidR="00094BD3" w:rsidRDefault="00094BD3" w:rsidP="00094BD3">
      <w:pPr>
        <w:pStyle w:val="NormalWeb"/>
        <w:spacing w:before="0" w:beforeAutospacing="0" w:after="120" w:afterAutospacing="0" w:line="276" w:lineRule="auto"/>
        <w:jc w:val="both"/>
      </w:pPr>
      <w:r w:rsidRPr="007A0B82">
        <w:t>Muller, Claude, 2006, « </w:t>
      </w:r>
      <w:r w:rsidRPr="007A0B82">
        <w:rPr>
          <w:bCs/>
        </w:rPr>
        <w:t>Diathèses et voix en français</w:t>
      </w:r>
      <w:r w:rsidR="005C6A11">
        <w:rPr>
          <w:bCs/>
        </w:rPr>
        <w:t> </w:t>
      </w:r>
      <w:r w:rsidRPr="007A0B82">
        <w:rPr>
          <w:bCs/>
        </w:rPr>
        <w:t xml:space="preserve">: une répartition des rôles », </w:t>
      </w:r>
      <w:r w:rsidRPr="007A0B82">
        <w:br/>
      </w:r>
      <w:r w:rsidRPr="007A0B82">
        <w:rPr>
          <w:i/>
          <w:iCs/>
        </w:rPr>
        <w:t>in</w:t>
      </w:r>
      <w:r w:rsidRPr="007A0B82">
        <w:t xml:space="preserve">  H. Nølke, I. Baron, H. Korzen, H. K. Müller</w:t>
      </w:r>
      <w:r w:rsidR="005C6A11">
        <w:t xml:space="preserve"> (éds), </w:t>
      </w:r>
      <w:r w:rsidRPr="007A0B82">
        <w:rPr>
          <w:i/>
          <w:iCs/>
        </w:rPr>
        <w:t>Grammatica, hommages à Michael Herslund,</w:t>
      </w:r>
      <w:r w:rsidRPr="007A0B82">
        <w:rPr>
          <w:iCs/>
        </w:rPr>
        <w:t xml:space="preserve"> Berne, Peter Lang,</w:t>
      </w:r>
      <w:r w:rsidRPr="007A0B82">
        <w:rPr>
          <w:i/>
          <w:iCs/>
        </w:rPr>
        <w:t xml:space="preserve"> </w:t>
      </w:r>
      <w:r w:rsidRPr="007A0B82">
        <w:t xml:space="preserve">pp. 343-359. </w:t>
      </w:r>
    </w:p>
    <w:p w14:paraId="767D63A2" w14:textId="4997B326" w:rsidR="00882C1F" w:rsidRPr="007A0B82" w:rsidRDefault="00094BD3" w:rsidP="00094BD3">
      <w:pPr>
        <w:pStyle w:val="NormalWeb"/>
        <w:spacing w:before="0" w:beforeAutospacing="0" w:after="120" w:afterAutospacing="0" w:line="276" w:lineRule="auto"/>
        <w:jc w:val="both"/>
      </w:pPr>
      <w:r w:rsidRPr="007A0B82">
        <w:t xml:space="preserve">Neveu, Franck, 2004, </w:t>
      </w:r>
      <w:r w:rsidRPr="007A0B82">
        <w:rPr>
          <w:i/>
        </w:rPr>
        <w:t>Dictionnaire des sciences du langage</w:t>
      </w:r>
      <w:r w:rsidRPr="007A0B82">
        <w:t xml:space="preserve">, Paris, Armand Colin. </w:t>
      </w:r>
    </w:p>
    <w:p w14:paraId="06EAC212" w14:textId="5AA6A484" w:rsidR="00D96CB8" w:rsidRDefault="00D96CB8" w:rsidP="00094BD3">
      <w:pPr>
        <w:spacing w:after="120" w:line="276" w:lineRule="auto"/>
        <w:jc w:val="both"/>
        <w:rPr>
          <w:rFonts w:ascii="Times New Roman" w:hAnsi="Times New Roman" w:cs="Times New Roman"/>
          <w:lang w:val="fr-LU"/>
        </w:rPr>
      </w:pPr>
      <w:r>
        <w:rPr>
          <w:rFonts w:ascii="Times New Roman" w:hAnsi="Times New Roman" w:cs="Times New Roman"/>
          <w:lang w:val="fr-LU"/>
        </w:rPr>
        <w:t xml:space="preserve">Rabatel, Alain, 2003, « Les verbes de perception en contexte d’effacement énonciatif : du point de vue représenté aux discours représentés », </w:t>
      </w:r>
      <w:r w:rsidRPr="008D4814">
        <w:rPr>
          <w:rFonts w:ascii="Times New Roman" w:hAnsi="Times New Roman" w:cs="Times New Roman"/>
          <w:i/>
          <w:lang w:val="fr-LU"/>
        </w:rPr>
        <w:t>Travaux de linguistique</w:t>
      </w:r>
      <w:r>
        <w:rPr>
          <w:rFonts w:ascii="Times New Roman" w:hAnsi="Times New Roman" w:cs="Times New Roman"/>
          <w:lang w:val="fr-LU"/>
        </w:rPr>
        <w:t>, n</w:t>
      </w:r>
      <w:r w:rsidRPr="008D4814">
        <w:rPr>
          <w:rFonts w:ascii="Times New Roman" w:hAnsi="Times New Roman" w:cs="Times New Roman"/>
          <w:vertAlign w:val="superscript"/>
          <w:lang w:val="fr-LU"/>
        </w:rPr>
        <w:t>o</w:t>
      </w:r>
      <w:r>
        <w:rPr>
          <w:rFonts w:ascii="Times New Roman" w:hAnsi="Times New Roman" w:cs="Times New Roman"/>
          <w:lang w:val="fr-LU"/>
        </w:rPr>
        <w:t xml:space="preserve"> 46, pp.49-88. </w:t>
      </w:r>
    </w:p>
    <w:p w14:paraId="4D57C208" w14:textId="031B5AA8" w:rsidR="00094BD3" w:rsidRDefault="00094BD3" w:rsidP="00094BD3">
      <w:pPr>
        <w:spacing w:after="120" w:line="276" w:lineRule="auto"/>
        <w:jc w:val="both"/>
        <w:rPr>
          <w:rFonts w:ascii="Times New Roman" w:hAnsi="Times New Roman" w:cs="Times New Roman"/>
          <w:bCs/>
          <w:color w:val="333333"/>
        </w:rPr>
      </w:pPr>
      <w:r w:rsidRPr="007A0B82">
        <w:rPr>
          <w:rFonts w:ascii="Times New Roman" w:hAnsi="Times New Roman" w:cs="Times New Roman"/>
        </w:rPr>
        <w:t>Rabatel, Alain, 2004/4, « </w:t>
      </w:r>
      <w:r w:rsidRPr="007A0B82">
        <w:rPr>
          <w:rFonts w:ascii="Times New Roman" w:hAnsi="Times New Roman" w:cs="Times New Roman"/>
          <w:bCs/>
          <w:color w:val="333333"/>
        </w:rPr>
        <w:t xml:space="preserve">La déliaison des énonciateurs et des locuteurs dans la presse satirique », </w:t>
      </w:r>
      <w:r w:rsidRPr="007A0B82">
        <w:rPr>
          <w:rFonts w:ascii="Times New Roman" w:hAnsi="Times New Roman" w:cs="Times New Roman"/>
          <w:bCs/>
          <w:i/>
          <w:color w:val="333333"/>
        </w:rPr>
        <w:t>Langage et société</w:t>
      </w:r>
      <w:r w:rsidRPr="007A0B82">
        <w:rPr>
          <w:rFonts w:ascii="Times New Roman" w:hAnsi="Times New Roman" w:cs="Times New Roman"/>
          <w:bCs/>
          <w:color w:val="333333"/>
        </w:rPr>
        <w:t>, n</w:t>
      </w:r>
      <w:r w:rsidRPr="007A0B82">
        <w:rPr>
          <w:rFonts w:ascii="Times New Roman" w:hAnsi="Times New Roman" w:cs="Times New Roman"/>
          <w:bCs/>
          <w:color w:val="333333"/>
          <w:vertAlign w:val="superscript"/>
        </w:rPr>
        <w:t xml:space="preserve">o </w:t>
      </w:r>
      <w:r w:rsidRPr="007A0B82">
        <w:rPr>
          <w:rFonts w:ascii="Times New Roman" w:hAnsi="Times New Roman" w:cs="Times New Roman"/>
          <w:bCs/>
          <w:color w:val="333333"/>
        </w:rPr>
        <w:t xml:space="preserve">110, pp. 7-23. </w:t>
      </w:r>
    </w:p>
    <w:p w14:paraId="4B71A191" w14:textId="3AD56528" w:rsidR="00226095" w:rsidRPr="007A0B82" w:rsidRDefault="00226095" w:rsidP="00094BD3">
      <w:pPr>
        <w:spacing w:after="120" w:line="276" w:lineRule="auto"/>
        <w:jc w:val="both"/>
        <w:rPr>
          <w:rFonts w:ascii="Times New Roman" w:hAnsi="Times New Roman" w:cs="Times New Roman"/>
          <w:bCs/>
          <w:color w:val="333333"/>
        </w:rPr>
      </w:pPr>
      <w:r>
        <w:rPr>
          <w:rFonts w:ascii="Times New Roman" w:hAnsi="Times New Roman" w:cs="Times New Roman"/>
          <w:bCs/>
          <w:color w:val="333333"/>
        </w:rPr>
        <w:lastRenderedPageBreak/>
        <w:t xml:space="preserve">Rabatel, Alain, 2005/4, « Le point de vue, une catégorie transversale », </w:t>
      </w:r>
      <w:r w:rsidRPr="00226095">
        <w:rPr>
          <w:rFonts w:ascii="Times New Roman" w:hAnsi="Times New Roman" w:cs="Times New Roman"/>
          <w:bCs/>
          <w:i/>
          <w:color w:val="333333"/>
        </w:rPr>
        <w:t>Le français aujourd’hui</w:t>
      </w:r>
      <w:r>
        <w:rPr>
          <w:rFonts w:ascii="Times New Roman" w:hAnsi="Times New Roman" w:cs="Times New Roman"/>
          <w:bCs/>
          <w:color w:val="333333"/>
        </w:rPr>
        <w:t>, n</w:t>
      </w:r>
      <w:r w:rsidRPr="00226095">
        <w:rPr>
          <w:rFonts w:ascii="Times New Roman" w:hAnsi="Times New Roman" w:cs="Times New Roman"/>
          <w:bCs/>
          <w:color w:val="333333"/>
          <w:vertAlign w:val="superscript"/>
        </w:rPr>
        <w:t>o</w:t>
      </w:r>
      <w:r>
        <w:rPr>
          <w:rFonts w:ascii="Times New Roman" w:hAnsi="Times New Roman" w:cs="Times New Roman"/>
          <w:bCs/>
          <w:color w:val="333333"/>
        </w:rPr>
        <w:t xml:space="preserve"> 151, pp. 57-68. </w:t>
      </w:r>
    </w:p>
    <w:p w14:paraId="3ABB8D0A"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Rabatel, Alain, 2007, « Les enjeux des postures énonciatives et de leur utilisation en didactique », </w:t>
      </w:r>
      <w:r w:rsidRPr="007A0B82">
        <w:rPr>
          <w:rFonts w:ascii="Times New Roman" w:hAnsi="Times New Roman" w:cs="Times New Roman"/>
          <w:i/>
        </w:rPr>
        <w:t>Éducation et didactique</w:t>
      </w:r>
      <w:r w:rsidRPr="007A0B82">
        <w:rPr>
          <w:rFonts w:ascii="Times New Roman" w:hAnsi="Times New Roman" w:cs="Times New Roman"/>
        </w:rPr>
        <w:t>, vol. 1, n</w:t>
      </w:r>
      <w:r w:rsidRPr="007A0B82">
        <w:rPr>
          <w:rFonts w:ascii="Times New Roman" w:hAnsi="Times New Roman" w:cs="Times New Roman"/>
          <w:vertAlign w:val="superscript"/>
        </w:rPr>
        <w:t xml:space="preserve">o </w:t>
      </w:r>
      <w:r w:rsidRPr="007A0B82">
        <w:rPr>
          <w:rFonts w:ascii="Times New Roman" w:hAnsi="Times New Roman" w:cs="Times New Roman"/>
        </w:rPr>
        <w:t xml:space="preserve">2, pp. 89-116. </w:t>
      </w:r>
    </w:p>
    <w:p w14:paraId="481E9432" w14:textId="77777777" w:rsidR="00094BD3" w:rsidRPr="007A0B82" w:rsidRDefault="00094BD3" w:rsidP="00094BD3">
      <w:pPr>
        <w:spacing w:after="120" w:line="276" w:lineRule="auto"/>
        <w:jc w:val="both"/>
        <w:rPr>
          <w:rFonts w:ascii="Times New Roman" w:hAnsi="Times New Roman" w:cs="Times New Roman"/>
        </w:rPr>
      </w:pPr>
      <w:r w:rsidRPr="00226095">
        <w:rPr>
          <w:rFonts w:ascii="Times New Roman" w:hAnsi="Times New Roman" w:cs="Times New Roman"/>
          <w:lang w:val="pt-BR"/>
        </w:rPr>
        <w:t xml:space="preserve">Rabatel, Alain, 2008a, </w:t>
      </w:r>
      <w:r w:rsidRPr="00226095">
        <w:rPr>
          <w:rFonts w:ascii="Times New Roman" w:hAnsi="Times New Roman" w:cs="Times New Roman"/>
          <w:i/>
          <w:lang w:val="pt-BR"/>
        </w:rPr>
        <w:t>Homo narrans</w:t>
      </w:r>
      <w:r w:rsidRPr="00226095">
        <w:rPr>
          <w:rFonts w:ascii="Times New Roman" w:hAnsi="Times New Roman" w:cs="Times New Roman"/>
          <w:lang w:val="pt-BR"/>
        </w:rPr>
        <w:t xml:space="preserve">. </w:t>
      </w:r>
      <w:r w:rsidRPr="007A0B82">
        <w:rPr>
          <w:rFonts w:ascii="Times New Roman" w:hAnsi="Times New Roman" w:cs="Times New Roman"/>
          <w:i/>
        </w:rPr>
        <w:t>Pour une analyse énonciative et interactionnelle du récit</w:t>
      </w:r>
      <w:r w:rsidRPr="007A0B82">
        <w:rPr>
          <w:rFonts w:ascii="Times New Roman" w:hAnsi="Times New Roman" w:cs="Times New Roman"/>
        </w:rPr>
        <w:t>, t.1, t. 2, Limoges, Lambert-Lucas.</w:t>
      </w:r>
    </w:p>
    <w:p w14:paraId="58281AA7" w14:textId="0FB0E627" w:rsidR="00094BD3" w:rsidRPr="007A0B82" w:rsidRDefault="00094BD3" w:rsidP="00094BD3">
      <w:pPr>
        <w:pStyle w:val="NormalWeb"/>
        <w:spacing w:before="0" w:beforeAutospacing="0" w:after="120" w:afterAutospacing="0" w:line="276" w:lineRule="auto"/>
        <w:jc w:val="both"/>
      </w:pPr>
      <w:r w:rsidRPr="007A0B82">
        <w:t>Rabatel Alain, 2008b, « Retour sur les relations entre locuteurs et énonciateurs</w:t>
      </w:r>
      <w:r w:rsidR="005C6A11">
        <w:t>.</w:t>
      </w:r>
      <w:r w:rsidRPr="007A0B82">
        <w:t xml:space="preserve"> Des voix et des points de vue », </w:t>
      </w:r>
      <w:r w:rsidRPr="007A0B82">
        <w:rPr>
          <w:i/>
        </w:rPr>
        <w:t xml:space="preserve">in </w:t>
      </w:r>
      <w:r w:rsidRPr="007A0B82">
        <w:t xml:space="preserve">M. Colas-Blaise, M. Kara, L. Perrin, </w:t>
      </w:r>
      <w:r w:rsidRPr="007A0B82">
        <w:rPr>
          <w:i/>
        </w:rPr>
        <w:t>Des voix et des points de vue</w:t>
      </w:r>
      <w:r w:rsidRPr="007A0B82">
        <w:t xml:space="preserve">, Luxembourg, Celted, Université de Metz, pp. 357-373. </w:t>
      </w:r>
    </w:p>
    <w:p w14:paraId="1593665E"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Rabatel, Alain, 2012a, « Positions, positionnements et postures de l‘énonciateur », </w:t>
      </w:r>
      <w:r w:rsidRPr="007A0B82">
        <w:rPr>
          <w:rFonts w:ascii="Times New Roman" w:hAnsi="Times New Roman" w:cs="Times New Roman"/>
          <w:i/>
        </w:rPr>
        <w:t>Travaux neuchâtelois de linguistique</w:t>
      </w:r>
      <w:r w:rsidRPr="007A0B82">
        <w:rPr>
          <w:rFonts w:ascii="Times New Roman" w:hAnsi="Times New Roman" w:cs="Times New Roman"/>
        </w:rPr>
        <w:t>, n</w:t>
      </w:r>
      <w:r w:rsidRPr="007A0B82">
        <w:rPr>
          <w:rFonts w:ascii="Times New Roman" w:hAnsi="Times New Roman" w:cs="Times New Roman"/>
          <w:vertAlign w:val="superscript"/>
        </w:rPr>
        <w:t>o</w:t>
      </w:r>
      <w:r w:rsidRPr="007A0B82">
        <w:rPr>
          <w:rFonts w:ascii="Times New Roman" w:hAnsi="Times New Roman" w:cs="Times New Roman"/>
        </w:rPr>
        <w:t xml:space="preserve"> 56, pp. 23-42.</w:t>
      </w:r>
    </w:p>
    <w:p w14:paraId="52CAD4A0" w14:textId="77777777" w:rsidR="00094BD3" w:rsidRPr="007A0B82" w:rsidRDefault="00094BD3" w:rsidP="00094BD3">
      <w:pPr>
        <w:spacing w:after="120" w:line="276" w:lineRule="auto"/>
        <w:jc w:val="both"/>
        <w:rPr>
          <w:rFonts w:ascii="Times New Roman" w:hAnsi="Times New Roman" w:cs="Times New Roman"/>
          <w:bCs/>
          <w:color w:val="000000"/>
        </w:rPr>
      </w:pPr>
      <w:r w:rsidRPr="007A0B82">
        <w:rPr>
          <w:rFonts w:ascii="Times New Roman" w:hAnsi="Times New Roman" w:cs="Times New Roman"/>
        </w:rPr>
        <w:t xml:space="preserve">Rabatel, Alain, 2012b, </w:t>
      </w:r>
      <w:r w:rsidRPr="007A0B82">
        <w:rPr>
          <w:rFonts w:ascii="Times New Roman" w:hAnsi="Times New Roman" w:cs="Times New Roman"/>
          <w:b/>
        </w:rPr>
        <w:t>« </w:t>
      </w:r>
      <w:r w:rsidRPr="007A0B82">
        <w:rPr>
          <w:rFonts w:ascii="Times New Roman" w:hAnsi="Times New Roman" w:cs="Times New Roman"/>
          <w:color w:val="000000"/>
        </w:rPr>
        <w:t>Les relations Locuteur/Énonciateur au prisme de la notion de voix</w:t>
      </w:r>
      <w:r w:rsidRPr="007A0B82">
        <w:rPr>
          <w:rFonts w:ascii="Times New Roman" w:hAnsi="Times New Roman" w:cs="Times New Roman"/>
          <w:b/>
          <w:bCs/>
          <w:color w:val="000000"/>
        </w:rPr>
        <w:t> »</w:t>
      </w:r>
      <w:r w:rsidRPr="007A0B82">
        <w:rPr>
          <w:rFonts w:ascii="Times New Roman" w:hAnsi="Times New Roman" w:cs="Times New Roman"/>
          <w:bCs/>
          <w:color w:val="000000"/>
        </w:rPr>
        <w:t xml:space="preserve">, </w:t>
      </w:r>
      <w:r w:rsidRPr="007A0B82">
        <w:rPr>
          <w:rFonts w:ascii="Times New Roman" w:hAnsi="Times New Roman" w:cs="Times New Roman"/>
          <w:bCs/>
          <w:i/>
          <w:color w:val="000000"/>
        </w:rPr>
        <w:t>Arts et savoirs</w:t>
      </w:r>
      <w:r w:rsidRPr="007A0B82">
        <w:rPr>
          <w:rFonts w:ascii="Times New Roman" w:hAnsi="Times New Roman" w:cs="Times New Roman"/>
          <w:bCs/>
          <w:color w:val="000000"/>
        </w:rPr>
        <w:t>, n</w:t>
      </w:r>
      <w:r w:rsidRPr="007A0B82">
        <w:rPr>
          <w:rFonts w:ascii="Times New Roman" w:hAnsi="Times New Roman" w:cs="Times New Roman"/>
          <w:bCs/>
          <w:color w:val="000000"/>
          <w:vertAlign w:val="superscript"/>
        </w:rPr>
        <w:t>o</w:t>
      </w:r>
      <w:r w:rsidRPr="007A0B82">
        <w:rPr>
          <w:rFonts w:ascii="Times New Roman" w:hAnsi="Times New Roman" w:cs="Times New Roman"/>
          <w:bCs/>
          <w:color w:val="000000"/>
        </w:rPr>
        <w:t xml:space="preserve"> 2. </w:t>
      </w:r>
    </w:p>
    <w:p w14:paraId="4A4BEBF8"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bCs/>
          <w:color w:val="000000"/>
        </w:rPr>
        <w:t>Rabatel, Alain, 2013, « </w:t>
      </w:r>
      <w:r w:rsidRPr="007A0B82">
        <w:rPr>
          <w:rFonts w:ascii="Times New Roman" w:hAnsi="Times New Roman" w:cs="Times New Roman"/>
        </w:rPr>
        <w:t>É</w:t>
      </w:r>
      <w:r w:rsidRPr="007A0B82">
        <w:rPr>
          <w:rFonts w:ascii="Times New Roman" w:hAnsi="Times New Roman" w:cs="Times New Roman"/>
          <w:bCs/>
          <w:color w:val="000000"/>
        </w:rPr>
        <w:t xml:space="preserve">crire les émotions en mode empathique », </w:t>
      </w:r>
      <w:r w:rsidRPr="007A0B82">
        <w:rPr>
          <w:rFonts w:ascii="Times New Roman" w:hAnsi="Times New Roman" w:cs="Times New Roman"/>
          <w:bCs/>
          <w:i/>
          <w:color w:val="000000"/>
        </w:rPr>
        <w:t>Semen</w:t>
      </w:r>
      <w:r w:rsidRPr="007A0B82">
        <w:rPr>
          <w:rFonts w:ascii="Times New Roman" w:hAnsi="Times New Roman" w:cs="Times New Roman"/>
          <w:bCs/>
          <w:color w:val="000000"/>
        </w:rPr>
        <w:t>, n</w:t>
      </w:r>
      <w:r w:rsidRPr="007A0B82">
        <w:rPr>
          <w:rFonts w:ascii="Times New Roman" w:hAnsi="Times New Roman" w:cs="Times New Roman"/>
          <w:bCs/>
          <w:color w:val="000000"/>
          <w:vertAlign w:val="superscript"/>
        </w:rPr>
        <w:t>o</w:t>
      </w:r>
      <w:r w:rsidRPr="007A0B82">
        <w:rPr>
          <w:rFonts w:ascii="Times New Roman" w:hAnsi="Times New Roman" w:cs="Times New Roman"/>
          <w:bCs/>
          <w:color w:val="000000"/>
        </w:rPr>
        <w:t xml:space="preserve"> 35. </w:t>
      </w:r>
    </w:p>
    <w:p w14:paraId="5DA86DDF"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bCs/>
          <w:color w:val="000000"/>
        </w:rPr>
        <w:t xml:space="preserve">Rabatel, Alain, 2014, « Empathie, points de vue, méta-représentation et dimension cognitive du dialogisme », </w:t>
      </w:r>
      <w:r w:rsidRPr="007A0B82">
        <w:rPr>
          <w:rFonts w:ascii="Times New Roman" w:hAnsi="Times New Roman" w:cs="Times New Roman"/>
          <w:i/>
        </w:rPr>
        <w:t>É</w:t>
      </w:r>
      <w:r w:rsidRPr="007A0B82">
        <w:rPr>
          <w:rFonts w:ascii="Times New Roman" w:hAnsi="Times New Roman" w:cs="Times New Roman"/>
          <w:bCs/>
          <w:i/>
          <w:color w:val="000000"/>
        </w:rPr>
        <w:t xml:space="preserve">LA, </w:t>
      </w:r>
      <w:r w:rsidRPr="007A0B82">
        <w:rPr>
          <w:rFonts w:ascii="Times New Roman" w:hAnsi="Times New Roman" w:cs="Times New Roman"/>
          <w:i/>
        </w:rPr>
        <w:t>É</w:t>
      </w:r>
      <w:r w:rsidRPr="007A0B82">
        <w:rPr>
          <w:rFonts w:ascii="Times New Roman" w:hAnsi="Times New Roman" w:cs="Times New Roman"/>
          <w:bCs/>
          <w:i/>
          <w:color w:val="000000"/>
        </w:rPr>
        <w:t>tudes de linguistique appliquée</w:t>
      </w:r>
      <w:r w:rsidRPr="007A0B82">
        <w:rPr>
          <w:rFonts w:ascii="Times New Roman" w:hAnsi="Times New Roman" w:cs="Times New Roman"/>
          <w:bCs/>
          <w:color w:val="000000"/>
        </w:rPr>
        <w:t>, n</w:t>
      </w:r>
      <w:r w:rsidRPr="007A0B82">
        <w:rPr>
          <w:rFonts w:ascii="Times New Roman" w:hAnsi="Times New Roman" w:cs="Times New Roman"/>
          <w:bCs/>
          <w:color w:val="000000"/>
          <w:vertAlign w:val="superscript"/>
        </w:rPr>
        <w:t>o</w:t>
      </w:r>
      <w:r w:rsidRPr="007A0B82">
        <w:rPr>
          <w:rFonts w:ascii="Times New Roman" w:hAnsi="Times New Roman" w:cs="Times New Roman"/>
          <w:bCs/>
          <w:color w:val="000000"/>
        </w:rPr>
        <w:t xml:space="preserve"> 173, pp. 27-45.</w:t>
      </w:r>
    </w:p>
    <w:p w14:paraId="218BE99E"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Rabatel, Alain, Lepoire, Soveig, 2005, « Le dialogisme des discours représentés et des points de vue dans les explications, entre concordance et discordance », </w:t>
      </w:r>
      <w:r w:rsidRPr="007A0B82">
        <w:rPr>
          <w:rFonts w:ascii="Times New Roman" w:hAnsi="Times New Roman" w:cs="Times New Roman"/>
          <w:i/>
        </w:rPr>
        <w:t>Cahiers de praxématique</w:t>
      </w:r>
      <w:r w:rsidRPr="007A0B82">
        <w:rPr>
          <w:rFonts w:ascii="Times New Roman" w:hAnsi="Times New Roman" w:cs="Times New Roman"/>
        </w:rPr>
        <w:t>, n</w:t>
      </w:r>
      <w:r w:rsidRPr="007A0B82">
        <w:rPr>
          <w:rFonts w:ascii="Times New Roman" w:hAnsi="Times New Roman" w:cs="Times New Roman"/>
          <w:vertAlign w:val="superscript"/>
        </w:rPr>
        <w:t xml:space="preserve">o </w:t>
      </w:r>
      <w:r w:rsidRPr="007A0B82">
        <w:rPr>
          <w:rFonts w:ascii="Times New Roman" w:hAnsi="Times New Roman" w:cs="Times New Roman"/>
        </w:rPr>
        <w:t xml:space="preserve">45, pp. 51-76. </w:t>
      </w:r>
    </w:p>
    <w:p w14:paraId="0F8E1191"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Rastier, François, 2002</w:t>
      </w:r>
      <w:r w:rsidRPr="007A0B82">
        <w:rPr>
          <w:rFonts w:ascii="Times New Roman" w:hAnsi="Times New Roman" w:cs="Times New Roman"/>
          <w:i/>
        </w:rPr>
        <w:t>, Une introduction aux sciences de la culture</w:t>
      </w:r>
      <w:r w:rsidRPr="007A0B82">
        <w:rPr>
          <w:rFonts w:ascii="Times New Roman" w:hAnsi="Times New Roman" w:cs="Times New Roman"/>
        </w:rPr>
        <w:t xml:space="preserve">, Paris, PUF. </w:t>
      </w:r>
    </w:p>
    <w:p w14:paraId="58449FDF"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Ricoeur, Paul, 1983-1985, </w:t>
      </w:r>
      <w:r w:rsidRPr="007A0B82">
        <w:rPr>
          <w:rFonts w:ascii="Times New Roman" w:hAnsi="Times New Roman" w:cs="Times New Roman"/>
          <w:i/>
        </w:rPr>
        <w:t>Temps et récit</w:t>
      </w:r>
      <w:r w:rsidRPr="007A0B82">
        <w:rPr>
          <w:rFonts w:ascii="Times New Roman" w:hAnsi="Times New Roman" w:cs="Times New Roman"/>
        </w:rPr>
        <w:t xml:space="preserve">, t. 1, t. 2 et t. 3, Paris, Seuil.  </w:t>
      </w:r>
    </w:p>
    <w:p w14:paraId="5BB610B1" w14:textId="77777777" w:rsidR="00094BD3" w:rsidRPr="007A0B82" w:rsidRDefault="00094BD3" w:rsidP="00094BD3">
      <w:pPr>
        <w:spacing w:after="120" w:line="276" w:lineRule="auto"/>
        <w:jc w:val="both"/>
        <w:rPr>
          <w:rFonts w:ascii="Times New Roman" w:hAnsi="Times New Roman" w:cs="Times New Roman"/>
        </w:rPr>
      </w:pPr>
      <w:r w:rsidRPr="007A0B82">
        <w:rPr>
          <w:rFonts w:ascii="Times New Roman" w:hAnsi="Times New Roman" w:cs="Times New Roman"/>
        </w:rPr>
        <w:t xml:space="preserve">Tesnière, Lucien, 1959, </w:t>
      </w:r>
      <w:r w:rsidRPr="007A0B82">
        <w:rPr>
          <w:rFonts w:ascii="Times New Roman" w:hAnsi="Times New Roman" w:cs="Times New Roman"/>
          <w:i/>
        </w:rPr>
        <w:t>Éléments de syntaxe structurale</w:t>
      </w:r>
      <w:r w:rsidRPr="007A0B82">
        <w:rPr>
          <w:rFonts w:ascii="Times New Roman" w:hAnsi="Times New Roman" w:cs="Times New Roman"/>
        </w:rPr>
        <w:t>, Paris, Éditions Klincksieck.</w:t>
      </w:r>
    </w:p>
    <w:p w14:paraId="72AB389B" w14:textId="77777777" w:rsidR="00094BD3" w:rsidRPr="007A0B82" w:rsidRDefault="00094BD3" w:rsidP="00094BD3">
      <w:pPr>
        <w:pStyle w:val="Titre1"/>
        <w:spacing w:before="0" w:beforeAutospacing="0" w:after="120" w:afterAutospacing="0" w:line="276" w:lineRule="auto"/>
        <w:rPr>
          <w:b w:val="0"/>
          <w:color w:val="000000" w:themeColor="text1"/>
          <w:sz w:val="24"/>
          <w:szCs w:val="24"/>
        </w:rPr>
      </w:pPr>
      <w:r w:rsidRPr="007A0B82">
        <w:rPr>
          <w:b w:val="0"/>
          <w:color w:val="000000" w:themeColor="text1"/>
          <w:sz w:val="24"/>
          <w:szCs w:val="24"/>
        </w:rPr>
        <w:t xml:space="preserve">Zilberberg, Claude, 2011, </w:t>
      </w:r>
      <w:r w:rsidRPr="007A0B82">
        <w:rPr>
          <w:rStyle w:val="Accentuation"/>
          <w:b w:val="0"/>
          <w:color w:val="000000" w:themeColor="text1"/>
          <w:sz w:val="24"/>
          <w:szCs w:val="24"/>
        </w:rPr>
        <w:t>Des formes de vie aux valeurs</w:t>
      </w:r>
      <w:r w:rsidRPr="007A0B82">
        <w:rPr>
          <w:b w:val="0"/>
          <w:color w:val="000000" w:themeColor="text1"/>
          <w:sz w:val="24"/>
          <w:szCs w:val="24"/>
        </w:rPr>
        <w:t>, Paris, P.U.F.</w:t>
      </w:r>
    </w:p>
    <w:p w14:paraId="2DA77823" w14:textId="77777777" w:rsidR="00094BD3" w:rsidRPr="007A0B82" w:rsidRDefault="00094BD3" w:rsidP="00094BD3">
      <w:pPr>
        <w:spacing w:after="120" w:line="276" w:lineRule="auto"/>
        <w:jc w:val="both"/>
        <w:rPr>
          <w:rFonts w:ascii="Times New Roman" w:hAnsi="Times New Roman" w:cs="Times New Roman"/>
          <w:color w:val="000000" w:themeColor="text1"/>
        </w:rPr>
      </w:pPr>
      <w:r w:rsidRPr="007A0B82">
        <w:rPr>
          <w:rFonts w:ascii="Times New Roman" w:hAnsi="Times New Roman" w:cs="Times New Roman"/>
        </w:rPr>
        <w:t xml:space="preserve">Zilberberg, Claude, 2012, </w:t>
      </w:r>
      <w:r w:rsidRPr="007A0B82">
        <w:rPr>
          <w:rFonts w:ascii="Times New Roman" w:hAnsi="Times New Roman" w:cs="Times New Roman"/>
          <w:i/>
        </w:rPr>
        <w:t>La structure tensive</w:t>
      </w:r>
      <w:r w:rsidRPr="007A0B82">
        <w:rPr>
          <w:rFonts w:ascii="Times New Roman" w:hAnsi="Times New Roman" w:cs="Times New Roman"/>
        </w:rPr>
        <w:t xml:space="preserve"> suivi de </w:t>
      </w:r>
      <w:r w:rsidRPr="007A0B82">
        <w:rPr>
          <w:rFonts w:ascii="Times New Roman" w:hAnsi="Times New Roman" w:cs="Times New Roman"/>
          <w:i/>
        </w:rPr>
        <w:t>Note sur la structure des paradigmes</w:t>
      </w:r>
      <w:r w:rsidRPr="007A0B82">
        <w:rPr>
          <w:rFonts w:ascii="Times New Roman" w:hAnsi="Times New Roman" w:cs="Times New Roman"/>
        </w:rPr>
        <w:t xml:space="preserve"> et de </w:t>
      </w:r>
      <w:r w:rsidRPr="007A0B82">
        <w:rPr>
          <w:rFonts w:ascii="Times New Roman" w:hAnsi="Times New Roman" w:cs="Times New Roman"/>
          <w:i/>
        </w:rPr>
        <w:t>Sur la dualité de la poétique</w:t>
      </w:r>
      <w:r w:rsidRPr="007A0B82">
        <w:rPr>
          <w:rFonts w:ascii="Times New Roman" w:hAnsi="Times New Roman" w:cs="Times New Roman"/>
        </w:rPr>
        <w:t xml:space="preserve">,  Liège, Presses universitaires de Liège. </w:t>
      </w:r>
    </w:p>
    <w:p w14:paraId="0CB8AADD" w14:textId="77777777" w:rsidR="00094BD3" w:rsidRPr="007A0B82" w:rsidRDefault="00094BD3" w:rsidP="00094BD3">
      <w:pPr>
        <w:spacing w:after="120" w:line="276" w:lineRule="auto"/>
        <w:jc w:val="both"/>
        <w:rPr>
          <w:rFonts w:ascii="Times New Roman" w:hAnsi="Times New Roman" w:cs="Times New Roman"/>
        </w:rPr>
      </w:pPr>
    </w:p>
    <w:p w14:paraId="237F9317" w14:textId="77777777" w:rsidR="00094BD3" w:rsidRPr="007A0B82" w:rsidRDefault="00094BD3" w:rsidP="00094BD3">
      <w:pPr>
        <w:spacing w:after="120" w:line="276" w:lineRule="auto"/>
        <w:jc w:val="both"/>
        <w:rPr>
          <w:rFonts w:ascii="Times New Roman" w:hAnsi="Times New Roman" w:cs="Times New Roman"/>
        </w:rPr>
      </w:pPr>
    </w:p>
    <w:p w14:paraId="703A92AC" w14:textId="77777777" w:rsidR="00094BD3" w:rsidRPr="007A0B82" w:rsidRDefault="00094BD3" w:rsidP="00094BD3">
      <w:pPr>
        <w:spacing w:after="120" w:line="276" w:lineRule="auto"/>
        <w:jc w:val="both"/>
        <w:rPr>
          <w:rFonts w:ascii="Times New Roman" w:hAnsi="Times New Roman" w:cs="Times New Roman"/>
        </w:rPr>
      </w:pPr>
    </w:p>
    <w:p w14:paraId="67CAD11F" w14:textId="77777777" w:rsidR="008A77B9" w:rsidRPr="007A0B82" w:rsidRDefault="008A77B9" w:rsidP="00094BD3">
      <w:pPr>
        <w:rPr>
          <w:rFonts w:ascii="Times New Roman" w:hAnsi="Times New Roman" w:cs="Times New Roman"/>
        </w:rPr>
      </w:pPr>
    </w:p>
    <w:sectPr w:rsidR="008A77B9" w:rsidRPr="007A0B82"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5215F" w14:textId="77777777" w:rsidR="00B76288" w:rsidRDefault="00B76288" w:rsidP="00820FB7">
      <w:r>
        <w:separator/>
      </w:r>
    </w:p>
  </w:endnote>
  <w:endnote w:type="continuationSeparator" w:id="0">
    <w:p w14:paraId="13579079" w14:textId="77777777" w:rsidR="00B76288" w:rsidRDefault="00B76288" w:rsidP="0082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AFBCA" w14:textId="77777777" w:rsidR="00B76288" w:rsidRDefault="00B76288" w:rsidP="00820FB7">
      <w:r>
        <w:separator/>
      </w:r>
    </w:p>
  </w:footnote>
  <w:footnote w:type="continuationSeparator" w:id="0">
    <w:p w14:paraId="5F30628B" w14:textId="77777777" w:rsidR="00B76288" w:rsidRDefault="00B76288" w:rsidP="00820FB7">
      <w:r>
        <w:continuationSeparator/>
      </w:r>
    </w:p>
  </w:footnote>
  <w:footnote w:id="1">
    <w:p w14:paraId="2870831E" w14:textId="51CA0EB2" w:rsidR="008966F7" w:rsidRPr="007A0B82" w:rsidRDefault="008966F7" w:rsidP="007A0B82">
      <w:pPr>
        <w:jc w:val="both"/>
        <w:rPr>
          <w:rFonts w:ascii="Times New Roman" w:hAnsi="Times New Roman" w:cs="Times New Roman"/>
          <w:sz w:val="20"/>
          <w:szCs w:val="20"/>
        </w:rPr>
      </w:pPr>
      <w:r w:rsidRPr="007A0B82">
        <w:rPr>
          <w:rStyle w:val="Appelnotedebasdep"/>
          <w:rFonts w:ascii="Times New Roman" w:hAnsi="Times New Roman" w:cs="Times New Roman"/>
          <w:sz w:val="20"/>
          <w:szCs w:val="20"/>
        </w:rPr>
        <w:footnoteRef/>
      </w:r>
      <w:r w:rsidRPr="007A0B82">
        <w:rPr>
          <w:rFonts w:ascii="Times New Roman" w:hAnsi="Times New Roman" w:cs="Times New Roman"/>
          <w:sz w:val="20"/>
          <w:szCs w:val="20"/>
        </w:rPr>
        <w:t xml:space="preserve"> Dans le sillage d’Oswald Ducrot, Alain Rabatel (p. ex. 2004) considère le locuteur (L) </w:t>
      </w:r>
      <w:r w:rsidRPr="007A0B82">
        <w:rPr>
          <w:rFonts w:ascii="Times New Roman" w:hAnsi="Times New Roman" w:cs="Times New Roman"/>
          <w:color w:val="1F1F1F"/>
          <w:sz w:val="20"/>
          <w:szCs w:val="20"/>
        </w:rPr>
        <w:t>comme l’instance qui profère un énoncé dans ses dimensions phonétiques et phatiques ou scripturales, et l’énonciateur (E) comme l’origine d’un point de vue (PDV), défini comme un contenu propositionnel en relation avec des choix de référenciation pris en charge par l’énonciateur.</w:t>
      </w:r>
      <w:r w:rsidRPr="007A0B82">
        <w:rPr>
          <w:rStyle w:val="apple-converted-space"/>
          <w:rFonts w:ascii="Times New Roman" w:hAnsi="Times New Roman" w:cs="Times New Roman"/>
          <w:color w:val="1F1F1F"/>
        </w:rPr>
        <w:t> </w:t>
      </w:r>
      <w:r w:rsidRPr="007A0B82">
        <w:rPr>
          <w:rFonts w:ascii="Times New Roman" w:hAnsi="Times New Roman" w:cs="Times New Roman"/>
          <w:sz w:val="20"/>
          <w:szCs w:val="20"/>
        </w:rPr>
        <w:t xml:space="preserve">Il </w:t>
      </w:r>
      <w:r w:rsidRPr="007A0B82">
        <w:rPr>
          <w:rFonts w:ascii="Times New Roman" w:hAnsi="Times New Roman" w:cs="Times New Roman"/>
          <w:color w:val="333333"/>
          <w:sz w:val="20"/>
          <w:szCs w:val="20"/>
          <w:shd w:val="clear" w:color="auto" w:fill="FFFFFF"/>
        </w:rPr>
        <w:t>distingue ainsi deux instances d’énonciation, le « locuteur, d’un côté, défini par la profération ou scription d’une actualisation langagière de longueur variable et l’énonciateur, de l’autre, défini comme un sujet modal à partir duquel la construction des productions langagières est envisagée, dans une optique radicale de l’énonciation, co-extensive à la langue en discours</w:t>
      </w:r>
      <w:r>
        <w:rPr>
          <w:rFonts w:ascii="Times New Roman" w:hAnsi="Times New Roman" w:cs="Times New Roman"/>
          <w:color w:val="333333"/>
          <w:sz w:val="20"/>
          <w:szCs w:val="20"/>
          <w:shd w:val="clear" w:color="auto" w:fill="FFFFFF"/>
        </w:rPr>
        <w:t xml:space="preserve"> […]</w:t>
      </w:r>
      <w:r w:rsidRPr="007A0B82">
        <w:rPr>
          <w:rFonts w:ascii="Times New Roman" w:hAnsi="Times New Roman" w:cs="Times New Roman"/>
          <w:color w:val="333333"/>
          <w:sz w:val="20"/>
          <w:szCs w:val="20"/>
          <w:shd w:val="clear" w:color="auto" w:fill="FFFFFF"/>
        </w:rPr>
        <w:t xml:space="preserve"> » (2012b). </w:t>
      </w:r>
    </w:p>
  </w:footnote>
  <w:footnote w:id="2">
    <w:p w14:paraId="7F62DB94" w14:textId="251F369A" w:rsidR="008966F7" w:rsidRPr="007A0B82" w:rsidRDefault="008966F7" w:rsidP="00094BD3">
      <w:pPr>
        <w:jc w:val="both"/>
        <w:rPr>
          <w:rFonts w:ascii="Times New Roman" w:hAnsi="Times New Roman" w:cs="Times New Roman"/>
          <w:color w:val="323232"/>
          <w:sz w:val="20"/>
          <w:szCs w:val="20"/>
          <w:lang w:val="fr-LU"/>
        </w:rPr>
      </w:pPr>
      <w:r w:rsidRPr="007A0B82">
        <w:rPr>
          <w:rStyle w:val="Appelnotedebasdep"/>
          <w:rFonts w:ascii="Times New Roman" w:hAnsi="Times New Roman" w:cs="Times New Roman"/>
          <w:sz w:val="20"/>
          <w:szCs w:val="20"/>
        </w:rPr>
        <w:footnoteRef/>
      </w:r>
      <w:r w:rsidRPr="007A0B82">
        <w:rPr>
          <w:rFonts w:ascii="Times New Roman" w:hAnsi="Times New Roman" w:cs="Times New Roman"/>
          <w:sz w:val="20"/>
          <w:szCs w:val="20"/>
        </w:rPr>
        <w:t xml:space="preserve"> Au sujet de la narrativité « inchoative », cf. Raphaël Baroni (2010), qui cite Ricoeur : s’il y a « promotion de sens, </w:t>
      </w:r>
      <w:r w:rsidRPr="007A0B82">
        <w:rPr>
          <w:rFonts w:ascii="Times New Roman" w:hAnsi="Times New Roman" w:cs="Times New Roman"/>
          <w:color w:val="323232"/>
          <w:sz w:val="20"/>
          <w:szCs w:val="20"/>
        </w:rPr>
        <w:t>avancée de sens, de l’inchoatif au pleinement déterminé »</w:t>
      </w:r>
      <w:r w:rsidRPr="007A0B82">
        <w:rPr>
          <w:rFonts w:ascii="Times New Roman" w:hAnsi="Times New Roman" w:cs="Times New Roman"/>
          <w:sz w:val="20"/>
          <w:szCs w:val="20"/>
        </w:rPr>
        <w:t xml:space="preserve"> (1985 : 317-318)</w:t>
      </w:r>
      <w:r w:rsidRPr="007A0B82">
        <w:rPr>
          <w:rFonts w:ascii="Times New Roman" w:hAnsi="Times New Roman" w:cs="Times New Roman"/>
          <w:color w:val="323232"/>
          <w:sz w:val="20"/>
          <w:szCs w:val="20"/>
        </w:rPr>
        <w:t>, il faut prévoir la possibilité d’un</w:t>
      </w:r>
      <w:r w:rsidRPr="00F74FB6">
        <w:rPr>
          <w:rFonts w:ascii="Times New Roman" w:hAnsi="Times New Roman" w:cs="Times New Roman"/>
          <w:color w:val="323232"/>
          <w:sz w:val="20"/>
          <w:szCs w:val="20"/>
        </w:rPr>
        <w:t xml:space="preserve"> </w:t>
      </w:r>
      <w:r w:rsidRPr="007A0B82">
        <w:rPr>
          <w:rFonts w:ascii="Times New Roman" w:hAnsi="Times New Roman" w:cs="Times New Roman"/>
          <w:color w:val="323232"/>
          <w:sz w:val="20"/>
          <w:szCs w:val="20"/>
        </w:rPr>
        <w:t>« arrière-plan » qui « est fait de l’“imbrication vivante” de toutes les histoires vécues les unes dans les autres. Il</w:t>
      </w:r>
      <w:r w:rsidRPr="00F74FB6">
        <w:rPr>
          <w:rFonts w:ascii="Times New Roman" w:hAnsi="Times New Roman" w:cs="Times New Roman"/>
          <w:color w:val="323232"/>
          <w:sz w:val="20"/>
          <w:szCs w:val="20"/>
        </w:rPr>
        <w:t xml:space="preserve"> </w:t>
      </w:r>
      <w:r w:rsidRPr="007A0B82">
        <w:rPr>
          <w:rFonts w:ascii="Times New Roman" w:hAnsi="Times New Roman" w:cs="Times New Roman"/>
          <w:color w:val="323232"/>
          <w:sz w:val="20"/>
          <w:szCs w:val="20"/>
        </w:rPr>
        <w:t>faut donc que les histoires racontées “émergent” (</w:t>
      </w:r>
      <w:r w:rsidRPr="007A0B82">
        <w:rPr>
          <w:rStyle w:val="Accentuation"/>
          <w:rFonts w:ascii="Times New Roman" w:hAnsi="Times New Roman" w:cs="Times New Roman"/>
          <w:color w:val="323232"/>
          <w:sz w:val="20"/>
          <w:szCs w:val="20"/>
        </w:rPr>
        <w:t>Auftauchen</w:t>
      </w:r>
      <w:r w:rsidRPr="007A0B82">
        <w:rPr>
          <w:rFonts w:ascii="Times New Roman" w:hAnsi="Times New Roman" w:cs="Times New Roman"/>
          <w:color w:val="323232"/>
          <w:sz w:val="20"/>
          <w:szCs w:val="20"/>
        </w:rPr>
        <w:t xml:space="preserve">) de cet arrière-plan. […] Raconter, suivre, comprendre des histoires n’est que la “continuation” de ces histoires non dites » </w:t>
      </w:r>
      <w:r w:rsidRPr="007A0B82">
        <w:rPr>
          <w:rFonts w:ascii="Times New Roman" w:hAnsi="Times New Roman" w:cs="Times New Roman"/>
          <w:sz w:val="20"/>
          <w:szCs w:val="20"/>
        </w:rPr>
        <w:t xml:space="preserve">(1983 : 115). Nous dirons que la structure actantielle sous-tendant la perception est ancrée dans l’expérience sensible, avant toute narrativisation réalisée.  </w:t>
      </w:r>
    </w:p>
  </w:footnote>
  <w:footnote w:id="3">
    <w:p w14:paraId="0E8EBA20" w14:textId="5D12DBB2" w:rsidR="008966F7" w:rsidRPr="007A0B82" w:rsidRDefault="008966F7" w:rsidP="00094BD3">
      <w:pPr>
        <w:pStyle w:val="Notedebasdepage"/>
        <w:jc w:val="both"/>
      </w:pPr>
      <w:r w:rsidRPr="007A0B82">
        <w:rPr>
          <w:rStyle w:val="Appelnotedebasdep"/>
        </w:rPr>
        <w:footnoteRef/>
      </w:r>
      <w:r w:rsidRPr="007A0B82">
        <w:t xml:space="preserve"> Pour le terme « attitude », on peut également se reporter à Ducrot (1984 : 204) : « J’appelle </w:t>
      </w:r>
      <w:r w:rsidRPr="007A0B82">
        <w:rPr>
          <w:color w:val="323232"/>
        </w:rPr>
        <w:t>“</w:t>
      </w:r>
      <w:r w:rsidRPr="007A0B82">
        <w:t>énonciateurs</w:t>
      </w:r>
      <w:r w:rsidRPr="007A0B82">
        <w:rPr>
          <w:color w:val="323232"/>
        </w:rPr>
        <w:t>”</w:t>
      </w:r>
      <w:r>
        <w:t xml:space="preserve"> </w:t>
      </w:r>
      <w:r w:rsidRPr="007A0B82">
        <w:t xml:space="preserve">ces êtres qui sont censés s’exprimer à travers l’énonciation, sans que pour autant on leur attribue des mots précis ; s’ils </w:t>
      </w:r>
      <w:r w:rsidRPr="007A0B82">
        <w:rPr>
          <w:color w:val="323232"/>
        </w:rPr>
        <w:t>“</w:t>
      </w:r>
      <w:r w:rsidRPr="007A0B82">
        <w:t>parlent</w:t>
      </w:r>
      <w:r w:rsidRPr="007A0B82">
        <w:rPr>
          <w:color w:val="323232"/>
        </w:rPr>
        <w:t>”</w:t>
      </w:r>
      <w:r w:rsidRPr="007A0B82">
        <w:t xml:space="preserve">, c’est seulement en ce sens que l’énonciation est vue comme exprimant leur point de vue, leur position, leur attitude, mais non pas, au sens matériel, leurs paroles ». </w:t>
      </w:r>
    </w:p>
  </w:footnote>
  <w:footnote w:id="4">
    <w:p w14:paraId="58FE7851" w14:textId="56AE9873" w:rsidR="008966F7" w:rsidRPr="007A0B82" w:rsidRDefault="008966F7" w:rsidP="00196D36">
      <w:pPr>
        <w:pStyle w:val="Notedebasdepage"/>
        <w:jc w:val="both"/>
      </w:pPr>
      <w:r w:rsidRPr="007A0B82">
        <w:rPr>
          <w:rStyle w:val="Appelnotedebasdep"/>
        </w:rPr>
        <w:footnoteRef/>
      </w:r>
      <w:r w:rsidRPr="007A0B82">
        <w:t xml:space="preserve"> </w:t>
      </w:r>
      <w:r>
        <w:t xml:space="preserve">Cf.  </w:t>
      </w:r>
      <w:r w:rsidRPr="007A0B82">
        <w:t xml:space="preserve">Rabatel </w:t>
      </w:r>
      <w:r>
        <w:t>(</w:t>
      </w:r>
      <w:r w:rsidR="00226095">
        <w:t xml:space="preserve">2005) </w:t>
      </w:r>
      <w:r>
        <w:t>pour la définition du PDV :</w:t>
      </w:r>
      <w:r w:rsidRPr="007A0B82">
        <w:t xml:space="preserve"> « </w:t>
      </w:r>
      <w:r>
        <w:t>L</w:t>
      </w:r>
      <w:r w:rsidRPr="007A0B82">
        <w:t>e PDV correspond donc à ce qui, dans la référenciation linguistique des objets (du discours) révèle, d’un point de vue cognitif et axiologique, une source</w:t>
      </w:r>
      <w:r>
        <w:t xml:space="preserve"> </w:t>
      </w:r>
      <w:r w:rsidRPr="007A0B82">
        <w:t xml:space="preserve">énonciative particulière et indique, explicitement ou implicitement, ses représentations, et, éventuellement, ses jugements sur les référents ». </w:t>
      </w:r>
      <w:r>
        <w:t>Alors que la perception n’est pas envisagée, ici, dans un cadre dialogique, l</w:t>
      </w:r>
      <w:r w:rsidRPr="007A0B82">
        <w:t>a posture énonciative</w:t>
      </w:r>
      <w:r w:rsidR="00334206">
        <w:t xml:space="preserve"> </w:t>
      </w:r>
      <w:r w:rsidRPr="007A0B82">
        <w:t>réclame l’interaction entre énonciateurs et l’entrée en contact de leurs PDV. La perception correspond à la première phase d’une actualisation.</w:t>
      </w:r>
    </w:p>
  </w:footnote>
  <w:footnote w:id="5">
    <w:p w14:paraId="73F32EA0" w14:textId="35EC3A92" w:rsidR="008966F7" w:rsidRPr="007A0B82" w:rsidRDefault="008966F7" w:rsidP="00094BD3">
      <w:pPr>
        <w:pStyle w:val="Notedebasdepage"/>
        <w:jc w:val="both"/>
      </w:pPr>
      <w:r w:rsidRPr="007A0B82">
        <w:rPr>
          <w:rStyle w:val="Appelnotedebasdep"/>
        </w:rPr>
        <w:footnoteRef/>
      </w:r>
      <w:r w:rsidRPr="007A0B82">
        <w:t xml:space="preserve"> Nous avons affaire à un « jeu de postures énonciatives », ainsi que le notent Alice Pitoizet, Francis Grossmann et Agnès Tutin </w:t>
      </w:r>
      <w:r w:rsidR="00AD7E05">
        <w:t>dans ce même numéro</w:t>
      </w:r>
      <w:r w:rsidRPr="007A0B82">
        <w:t xml:space="preserve">. </w:t>
      </w:r>
    </w:p>
  </w:footnote>
  <w:footnote w:id="6">
    <w:p w14:paraId="5350B559" w14:textId="77777777" w:rsidR="008966F7" w:rsidRPr="007A0B82" w:rsidRDefault="008966F7" w:rsidP="00094BD3">
      <w:pPr>
        <w:pStyle w:val="Notedebasdepage"/>
        <w:rPr>
          <w:lang w:val="fr-FR"/>
        </w:rPr>
      </w:pPr>
      <w:r w:rsidRPr="007A0B82">
        <w:rPr>
          <w:rStyle w:val="Appelnotedebasdep"/>
        </w:rPr>
        <w:footnoteRef/>
      </w:r>
      <w:r w:rsidRPr="007A0B82">
        <w:t xml:space="preserve"> Nous renvoyons à </w:t>
      </w:r>
      <w:r w:rsidRPr="007A0B82">
        <w:rPr>
          <w:i/>
        </w:rPr>
        <w:t>Un balcon en forêt</w:t>
      </w:r>
      <w:r w:rsidRPr="007A0B82">
        <w:t xml:space="preserve">, 1958, Paris, José Corti. </w:t>
      </w:r>
    </w:p>
  </w:footnote>
  <w:footnote w:id="7">
    <w:p w14:paraId="47210EB2" w14:textId="6C52BB48" w:rsidR="008966F7" w:rsidRPr="00785C6F" w:rsidRDefault="008966F7" w:rsidP="007A0B82">
      <w:pPr>
        <w:pStyle w:val="Notedebasdepage"/>
        <w:jc w:val="both"/>
      </w:pPr>
      <w:r>
        <w:rPr>
          <w:rStyle w:val="Appelnotedebasdep"/>
        </w:rPr>
        <w:footnoteRef/>
      </w:r>
      <w:r>
        <w:t xml:space="preserve"> Je remercie vivement Alain Rabatel d’avoir lu et commenté ce texte. Si la co-énonciation suppose l’ouverture à d’autres sujets percevants, celle-ci est facilitée par le fait qu’elle engage une interprétation « normale » (ni excessive ou partiale, ni incomplète ou partielle). D’où aussi l’idée d’une co-énonciation auto-dialogique (entre le soi percevant et le soi analysant). </w:t>
      </w:r>
    </w:p>
  </w:footnote>
  <w:footnote w:id="8">
    <w:p w14:paraId="617C793E" w14:textId="78F9BA69" w:rsidR="008966F7" w:rsidRPr="003E3E0E" w:rsidRDefault="008966F7" w:rsidP="00094BD3">
      <w:pPr>
        <w:pStyle w:val="Notedebasdepage"/>
        <w:jc w:val="both"/>
      </w:pPr>
      <w:r w:rsidRPr="005C15B0">
        <w:rPr>
          <w:rStyle w:val="Appelnotedebasdep"/>
        </w:rPr>
        <w:footnoteRef/>
      </w:r>
      <w:r w:rsidRPr="005C15B0">
        <w:t xml:space="preserve"> Cf. Rabatel (2012</w:t>
      </w:r>
      <w:r w:rsidR="009A1A98">
        <w:t>a</w:t>
      </w:r>
      <w:r w:rsidRPr="005C15B0">
        <w:t> : 27) au sujet de la prise en charge et de la prise en compte : dans le cas du DD et du DI, « E1</w:t>
      </w:r>
      <w:r w:rsidRPr="003E3E0E">
        <w:t xml:space="preserve"> ne prend en charge que le fait de rapporter que Pierre lui a dit quelque chose hier, mais se borne à prendre en compte (Roulet 1981 : 19) l’engagement de venir ». </w:t>
      </w:r>
    </w:p>
  </w:footnote>
  <w:footnote w:id="9">
    <w:p w14:paraId="7F441E9B" w14:textId="77777777" w:rsidR="008966F7" w:rsidRPr="00AA5536" w:rsidRDefault="008966F7" w:rsidP="00094BD3">
      <w:pPr>
        <w:pStyle w:val="Notedebasdepage"/>
      </w:pPr>
      <w:r>
        <w:rPr>
          <w:rStyle w:val="Appelnotedebasdep"/>
        </w:rPr>
        <w:footnoteRef/>
      </w:r>
      <w:r>
        <w:t xml:space="preserve"> Le savoir établi peut faciliter la co-énonciation auto-dialogique.</w:t>
      </w:r>
    </w:p>
  </w:footnote>
  <w:footnote w:id="10">
    <w:p w14:paraId="6DAA143D" w14:textId="77777777" w:rsidR="008966F7" w:rsidRPr="00657265" w:rsidRDefault="008966F7" w:rsidP="00094BD3">
      <w:pPr>
        <w:pStyle w:val="Notedebasdepage"/>
        <w:jc w:val="both"/>
        <w:rPr>
          <w:lang w:val="fr-CH"/>
        </w:rPr>
      </w:pPr>
      <w:r>
        <w:rPr>
          <w:rStyle w:val="Appelnotedebasdep"/>
        </w:rPr>
        <w:footnoteRef/>
      </w:r>
      <w:r>
        <w:t xml:space="preserve"> Cf. Zilberberg (2011) : </w:t>
      </w:r>
      <w:r w:rsidRPr="007D7467">
        <w:t xml:space="preserve">le </w:t>
      </w:r>
      <w:r w:rsidRPr="007D7467">
        <w:rPr>
          <w:i/>
        </w:rPr>
        <w:t>mode d’efficience</w:t>
      </w:r>
      <w:r w:rsidRPr="007D7467">
        <w:t xml:space="preserve"> est dirigé par le tempo, </w:t>
      </w:r>
      <w:r>
        <w:t>la vitesse commandant</w:t>
      </w:r>
      <w:r w:rsidRPr="007D7467">
        <w:t xml:space="preserve"> au survenir et la lenteur au parvenir. Si le </w:t>
      </w:r>
      <w:r w:rsidRPr="007D7467">
        <w:rPr>
          <w:i/>
        </w:rPr>
        <w:t>mode d’existence</w:t>
      </w:r>
      <w:r w:rsidRPr="007D7467">
        <w:t xml:space="preserve"> correspond à l’état d’activation ou de passivation du sujet, sur la base de l’articulation visée </w:t>
      </w:r>
      <w:r w:rsidRPr="007D7467">
        <w:rPr>
          <w:i/>
        </w:rPr>
        <w:t xml:space="preserve">vs </w:t>
      </w:r>
      <w:r w:rsidRPr="007D7467">
        <w:t xml:space="preserve">saisie, le </w:t>
      </w:r>
      <w:r w:rsidRPr="007D7467">
        <w:rPr>
          <w:i/>
        </w:rPr>
        <w:t>mode de jonction</w:t>
      </w:r>
      <w:r w:rsidRPr="007D7467">
        <w:t xml:space="preserve"> subsume</w:t>
      </w:r>
      <w:r>
        <w:t xml:space="preserve"> au plan de l’expression </w:t>
      </w:r>
      <w:r w:rsidRPr="007D7467">
        <w:t>l’opposition entre l’</w:t>
      </w:r>
      <w:r w:rsidRPr="007D7467">
        <w:rPr>
          <w:i/>
        </w:rPr>
        <w:t>implication</w:t>
      </w:r>
      <w:r w:rsidRPr="007D7467">
        <w:t xml:space="preserve"> (dirigée par le parvenir) et la </w:t>
      </w:r>
      <w:r w:rsidRPr="007D7467">
        <w:rPr>
          <w:i/>
        </w:rPr>
        <w:t>concession</w:t>
      </w:r>
      <w:r w:rsidRPr="007D7467">
        <w:t xml:space="preserve"> (dirigée par le survenir).</w:t>
      </w:r>
    </w:p>
  </w:footnote>
  <w:footnote w:id="11">
    <w:p w14:paraId="30D750B0" w14:textId="702B8D19" w:rsidR="008966F7" w:rsidRPr="00C250F7" w:rsidRDefault="008966F7" w:rsidP="00094BD3">
      <w:pPr>
        <w:pStyle w:val="Notedebasdepage"/>
        <w:jc w:val="both"/>
        <w:rPr>
          <w:lang w:val="fr-CH"/>
        </w:rPr>
      </w:pPr>
      <w:r>
        <w:rPr>
          <w:rStyle w:val="Appelnotedebasdep"/>
        </w:rPr>
        <w:footnoteRef/>
      </w:r>
      <w:r>
        <w:t xml:space="preserve"> </w:t>
      </w:r>
      <w:r>
        <w:rPr>
          <w:lang w:val="fr-CH"/>
        </w:rPr>
        <w:t>Dans le cadre du colloque qui lui a été consacré, Alain Rabatel s’interroge sur la possibilité de la concordance concordante dans le désaccord et le conf</w:t>
      </w:r>
      <w:r w:rsidR="00DF08E4">
        <w:rPr>
          <w:lang w:val="fr-CH"/>
        </w:rPr>
        <w:t>l</w:t>
      </w:r>
      <w:r>
        <w:rPr>
          <w:lang w:val="fr-CH"/>
        </w:rPr>
        <w:t>it. Il propose de mettre la concordance concordante en relation avec un dissensus proposé (co-énonciation d’un PDV opposé à un PDV autre) et la discordance discordante en relation avec un nouvel accord, après rejet du désaccord (énonciation d’un PDV alternatif qui constitue la base d’un accord potentiel).</w:t>
      </w:r>
    </w:p>
  </w:footnote>
  <w:footnote w:id="12">
    <w:p w14:paraId="4F3F3266" w14:textId="77777777" w:rsidR="008966F7" w:rsidRPr="00BD3802" w:rsidRDefault="008966F7" w:rsidP="00094BD3">
      <w:pPr>
        <w:pStyle w:val="Notedebasdepage"/>
      </w:pPr>
      <w:r>
        <w:rPr>
          <w:rStyle w:val="Appelnotedebasdep"/>
        </w:rPr>
        <w:footnoteRef/>
      </w:r>
      <w:r>
        <w:t xml:space="preserve"> D’où deux rythmiques différentes.</w:t>
      </w:r>
    </w:p>
  </w:footnote>
  <w:footnote w:id="13">
    <w:p w14:paraId="09969B44" w14:textId="3CE7B7C9" w:rsidR="00B235FC" w:rsidRPr="00B80B61" w:rsidRDefault="00B235FC" w:rsidP="00B235FC">
      <w:pPr>
        <w:pStyle w:val="Notedebasdepage"/>
        <w:jc w:val="both"/>
      </w:pPr>
      <w:r>
        <w:rPr>
          <w:rStyle w:val="Appelnotedebasdep"/>
        </w:rPr>
        <w:footnoteRef/>
      </w:r>
      <w:r>
        <w:t xml:space="preserve"> On trouve un écho </w:t>
      </w:r>
      <w:r w:rsidR="003D660F">
        <w:t xml:space="preserve">à </w:t>
      </w:r>
      <w:r>
        <w:t xml:space="preserve">cette question ici-même, dans l’analyse des détournements proposée par Émilie Devriendt. </w:t>
      </w:r>
    </w:p>
  </w:footnote>
  <w:footnote w:id="14">
    <w:p w14:paraId="467D5150" w14:textId="3E7D11A5" w:rsidR="008966F7" w:rsidRPr="00D66178" w:rsidRDefault="008966F7" w:rsidP="00094BD3">
      <w:pPr>
        <w:pStyle w:val="Notedebasdepage"/>
        <w:jc w:val="both"/>
      </w:pPr>
      <w:r>
        <w:rPr>
          <w:rStyle w:val="Appelnotedebasdep"/>
        </w:rPr>
        <w:footnoteRef/>
      </w:r>
      <w:r>
        <w:t xml:space="preserve"> Dans sa communication</w:t>
      </w:r>
      <w:r w:rsidR="00AD7E05">
        <w:t xml:space="preserve"> au colloque de 2018</w:t>
      </w:r>
      <w:r>
        <w:t>, Hugues Constantin de Chanay parle de postures « performées ». L’idée de la performance mérite d’être développée et mise en relation avec celle de la performativité. Nous privilégions une approche énonciative interactionnelle dynamiciste : l’accord ou le désaccord ne constituent pas un préalable, mais les négociations entre énonciateurs les font exister.</w:t>
      </w:r>
    </w:p>
  </w:footnote>
  <w:footnote w:id="15">
    <w:p w14:paraId="72106539" w14:textId="77777777" w:rsidR="008966F7" w:rsidRPr="00D66178" w:rsidRDefault="008966F7" w:rsidP="00094BD3">
      <w:pPr>
        <w:pStyle w:val="Notedebasdepage"/>
        <w:jc w:val="both"/>
      </w:pPr>
      <w:r>
        <w:rPr>
          <w:rStyle w:val="Appelnotedebasdep"/>
        </w:rPr>
        <w:footnoteRef/>
      </w:r>
      <w:r>
        <w:t xml:space="preserve"> Alain Rabatel propose un continuum (accord, prise en compte, désaccord). La consonance est un accord implicite, la dissonance un désaccord implicite. </w:t>
      </w:r>
    </w:p>
  </w:footnote>
  <w:footnote w:id="16">
    <w:p w14:paraId="5C758C38" w14:textId="4250DF44" w:rsidR="008966F7" w:rsidRPr="00423F98" w:rsidRDefault="008966F7">
      <w:pPr>
        <w:pStyle w:val="Notedebasdepage"/>
        <w:rPr>
          <w:lang w:val="fr-CH"/>
        </w:rPr>
      </w:pPr>
      <w:r>
        <w:rPr>
          <w:rStyle w:val="Appelnotedebasdep"/>
        </w:rPr>
        <w:footnoteRef/>
      </w:r>
      <w:r>
        <w:t xml:space="preserve"> </w:t>
      </w:r>
      <w:r>
        <w:rPr>
          <w:lang w:val="fr-CH"/>
        </w:rPr>
        <w:t xml:space="preserve">Je développe ici une suggestion d’Alain Rabatel (colloque). </w:t>
      </w:r>
    </w:p>
  </w:footnote>
  <w:footnote w:id="17">
    <w:p w14:paraId="7CC49CEB" w14:textId="6C9D3209" w:rsidR="00226095" w:rsidRPr="00226095" w:rsidRDefault="00226095" w:rsidP="00226095">
      <w:pPr>
        <w:pStyle w:val="Notedebasdepage"/>
        <w:jc w:val="both"/>
      </w:pPr>
      <w:r>
        <w:rPr>
          <w:rStyle w:val="Appelnotedebasdep"/>
        </w:rPr>
        <w:footnoteRef/>
      </w:r>
      <w:r>
        <w:t xml:space="preserve"> On pourrait élargir la notion de co-énonciation en considérant que même le désaccord réclame un espace énonciatif partagé.</w:t>
      </w:r>
    </w:p>
  </w:footnote>
  <w:footnote w:id="18">
    <w:p w14:paraId="7A082008" w14:textId="288610F7" w:rsidR="008966F7" w:rsidRPr="006D33A1" w:rsidRDefault="008966F7" w:rsidP="00094BD3">
      <w:pPr>
        <w:pStyle w:val="Notedebasdepage"/>
        <w:snapToGrid w:val="0"/>
        <w:contextualSpacing/>
        <w:jc w:val="both"/>
      </w:pPr>
      <w:r w:rsidRPr="006D33A1">
        <w:rPr>
          <w:rStyle w:val="Appelnotedebasdep"/>
        </w:rPr>
        <w:footnoteRef/>
      </w:r>
      <w:r w:rsidRPr="006D33A1">
        <w:t xml:space="preserve"> </w:t>
      </w:r>
      <w:r>
        <w:t xml:space="preserve">Au sujet du désaccord limitant la co-construction d’un PDV commun en faisant surgir un PDV « alternatif » cf. </w:t>
      </w:r>
      <w:r w:rsidRPr="006D33A1">
        <w:t>Alain Rabatel (2012</w:t>
      </w:r>
      <w:r>
        <w:t>a</w:t>
      </w:r>
      <w:r w:rsidRPr="006D33A1">
        <w:t xml:space="preserve"> : 38). </w:t>
      </w:r>
    </w:p>
  </w:footnote>
  <w:footnote w:id="19">
    <w:p w14:paraId="24C1DB81" w14:textId="77777777" w:rsidR="008966F7" w:rsidRPr="007A0B82" w:rsidRDefault="008966F7" w:rsidP="00094BD3">
      <w:pPr>
        <w:pStyle w:val="NormalWeb"/>
        <w:snapToGrid w:val="0"/>
        <w:spacing w:before="0" w:beforeAutospacing="0" w:after="0" w:afterAutospacing="0"/>
        <w:contextualSpacing/>
        <w:jc w:val="both"/>
        <w:rPr>
          <w:sz w:val="20"/>
          <w:szCs w:val="20"/>
        </w:rPr>
      </w:pPr>
      <w:r w:rsidRPr="007A0B82">
        <w:rPr>
          <w:rStyle w:val="Appelnotedebasdep"/>
          <w:sz w:val="20"/>
          <w:szCs w:val="20"/>
        </w:rPr>
        <w:footnoteRef/>
      </w:r>
      <w:r w:rsidRPr="007A0B82">
        <w:rPr>
          <w:sz w:val="20"/>
          <w:szCs w:val="20"/>
        </w:rPr>
        <w:t xml:space="preserve"> C. Jullien (2012 : 7) : « […] l’écart relève d’une logique d’immanence, de part en part, et n’en déborde d’aucun côté, sans donc donner à postuler. De plus, ne relevant pas de l’établissement d’une distinction, mais procédant d’une distance, il s’agit là d’un concept qui, faisant entendre le mouvement de séparation dont il est né, n’est pas tant analytique que dynamique, procédant d’un auto-déploiement. Le propre de l’écart – et c’est là pour moi l’essentiel – c’est qu’il n’est, par suite, pas proprement aspectuel ou descriptif, comme l’est la différence, mais </w:t>
      </w:r>
      <w:r w:rsidRPr="007A0B82">
        <w:rPr>
          <w:i/>
          <w:iCs/>
          <w:sz w:val="20"/>
          <w:szCs w:val="20"/>
        </w:rPr>
        <w:t xml:space="preserve">productif </w:t>
      </w:r>
      <w:r w:rsidRPr="007A0B82">
        <w:rPr>
          <w:sz w:val="20"/>
          <w:szCs w:val="20"/>
        </w:rPr>
        <w:t xml:space="preserve">– et ce dans la mesure même où il met en tension ce qu’il a séparé. </w:t>
      </w:r>
      <w:r w:rsidRPr="007A0B82">
        <w:rPr>
          <w:i/>
          <w:iCs/>
          <w:sz w:val="20"/>
          <w:szCs w:val="20"/>
        </w:rPr>
        <w:t xml:space="preserve">Mettre en tension </w:t>
      </w:r>
      <w:r w:rsidRPr="007A0B82">
        <w:rPr>
          <w:sz w:val="20"/>
          <w:szCs w:val="20"/>
        </w:rPr>
        <w:t>: c’est à quoi l’écart doit d’opérer ».</w:t>
      </w:r>
    </w:p>
  </w:footnote>
  <w:footnote w:id="20">
    <w:p w14:paraId="3C0E9C6F" w14:textId="77777777" w:rsidR="008966F7" w:rsidRPr="007A0B82" w:rsidRDefault="008966F7" w:rsidP="00094BD3">
      <w:pPr>
        <w:pStyle w:val="NormalWeb"/>
        <w:snapToGrid w:val="0"/>
        <w:spacing w:before="0" w:beforeAutospacing="0" w:after="0" w:afterAutospacing="0"/>
        <w:contextualSpacing/>
        <w:jc w:val="both"/>
        <w:rPr>
          <w:sz w:val="20"/>
          <w:szCs w:val="20"/>
        </w:rPr>
      </w:pPr>
      <w:r w:rsidRPr="007A0B82">
        <w:rPr>
          <w:rStyle w:val="Appelnotedebasdep"/>
          <w:sz w:val="20"/>
          <w:szCs w:val="20"/>
        </w:rPr>
        <w:footnoteRef/>
      </w:r>
      <w:r w:rsidRPr="007A0B82">
        <w:rPr>
          <w:sz w:val="20"/>
          <w:szCs w:val="20"/>
        </w:rPr>
        <w:t xml:space="preserve"> Cf. Jullien (</w:t>
      </w:r>
      <w:r w:rsidRPr="007A0B82">
        <w:rPr>
          <w:i/>
          <w:sz w:val="20"/>
          <w:szCs w:val="20"/>
        </w:rPr>
        <w:t>ibid</w:t>
      </w:r>
      <w:r w:rsidRPr="007A0B82">
        <w:rPr>
          <w:sz w:val="20"/>
          <w:szCs w:val="20"/>
        </w:rPr>
        <w:t>. : 6) : « […] l’établissement des différences suppose que je m’arroge une position de surplomb, ou du moins d’extériorité, à partir de laquelle c’est moi qui range entre le même et l’autre, l’identique et le différent, et qui compare. Or quelle est cette extériorité – extra-territorialité culturelle – dont je bénéficierais (où la situer ?) d’où je puisse ainsi tout mettre à plat, devant moi, et comparer ».</w:t>
      </w:r>
    </w:p>
  </w:footnote>
  <w:footnote w:id="21">
    <w:p w14:paraId="17942D7C" w14:textId="70721CB3" w:rsidR="008966F7" w:rsidRPr="007A0B82" w:rsidRDefault="008966F7" w:rsidP="00094BD3">
      <w:pPr>
        <w:pStyle w:val="NormalWeb"/>
        <w:spacing w:before="0" w:beforeAutospacing="0" w:after="0" w:afterAutospacing="0"/>
        <w:jc w:val="both"/>
        <w:rPr>
          <w:sz w:val="20"/>
          <w:szCs w:val="20"/>
        </w:rPr>
      </w:pPr>
      <w:r w:rsidRPr="007A0B82">
        <w:rPr>
          <w:rStyle w:val="Appelnotedebasdep"/>
          <w:sz w:val="20"/>
          <w:szCs w:val="20"/>
        </w:rPr>
        <w:footnoteRef/>
      </w:r>
      <w:r w:rsidRPr="007A0B82">
        <w:rPr>
          <w:sz w:val="20"/>
          <w:szCs w:val="20"/>
        </w:rPr>
        <w:t xml:space="preserve"> Cf. Alain Rabatel (2013) : « </w:t>
      </w:r>
      <w:r w:rsidRPr="007A0B82">
        <w:rPr>
          <w:color w:val="333333"/>
          <w:sz w:val="20"/>
          <w:szCs w:val="20"/>
          <w:shd w:val="clear" w:color="auto" w:fill="FFFFFF"/>
        </w:rPr>
        <w:t xml:space="preserve">Un centre d’empathie correspond à un énonciateur interne (codé e2), distinct du locuteur/énonciateur premier (L1/E1). </w:t>
      </w:r>
      <w:r>
        <w:rPr>
          <w:color w:val="333333"/>
          <w:sz w:val="20"/>
          <w:szCs w:val="20"/>
          <w:shd w:val="clear" w:color="auto" w:fill="FFFFFF"/>
        </w:rPr>
        <w:t xml:space="preserve">[…] </w:t>
      </w:r>
      <w:r w:rsidRPr="007A0B82">
        <w:rPr>
          <w:color w:val="333333"/>
          <w:sz w:val="20"/>
          <w:szCs w:val="20"/>
          <w:shd w:val="clear" w:color="auto" w:fill="FFFFFF"/>
        </w:rPr>
        <w:t xml:space="preserve">Enfin, par modalités d’empathie, j’entends les différentes collocations de marques indiquant comment E1 imagine ce que e2 pourrait dire, penser, percevoir, ressentir, faire ». Il ajoute (2014 : 29-30) que </w:t>
      </w:r>
      <w:r w:rsidRPr="007A0B82">
        <w:rPr>
          <w:sz w:val="20"/>
          <w:szCs w:val="20"/>
        </w:rPr>
        <w:t xml:space="preserve">« l’empathie est donc une aptitude à se mettre à la place des autres, sans fusion ni identification, tandis que la sympathie consiste en une identification aux autres avec partage de leurs émotions ». Enfin, il parle de « consonance émotionnelle ». Il semblerait que, dans le cas de la « diathèse réciproque fusionnée », il s’agisse de sympathie, alors que l’empathie caractérise la diathèse récessive, que nous rapprochons de la co-énonciation. </w:t>
      </w:r>
    </w:p>
  </w:footnote>
  <w:footnote w:id="22">
    <w:p w14:paraId="2AA1BBC0" w14:textId="653421D3" w:rsidR="008966F7" w:rsidRPr="007A0B82" w:rsidRDefault="008966F7" w:rsidP="00094BD3">
      <w:pPr>
        <w:jc w:val="both"/>
        <w:rPr>
          <w:rFonts w:ascii="Times New Roman" w:hAnsi="Times New Roman" w:cs="Times New Roman"/>
          <w:sz w:val="20"/>
          <w:szCs w:val="20"/>
        </w:rPr>
      </w:pPr>
      <w:r w:rsidRPr="007A0B82">
        <w:rPr>
          <w:rStyle w:val="Appelnotedebasdep"/>
          <w:rFonts w:ascii="Times New Roman" w:hAnsi="Times New Roman" w:cs="Times New Roman"/>
          <w:sz w:val="20"/>
          <w:szCs w:val="20"/>
        </w:rPr>
        <w:footnoteRef/>
      </w:r>
      <w:r w:rsidRPr="007A0B82">
        <w:rPr>
          <w:rFonts w:ascii="Times New Roman" w:hAnsi="Times New Roman" w:cs="Times New Roman"/>
          <w:sz w:val="20"/>
          <w:szCs w:val="20"/>
        </w:rPr>
        <w:t xml:space="preserve"> Ce mouvement empathique peut constituer un trait stylistique du roman </w:t>
      </w:r>
      <w:r w:rsidRPr="007A0B82">
        <w:rPr>
          <w:rFonts w:ascii="Times New Roman" w:hAnsi="Times New Roman" w:cs="Times New Roman"/>
          <w:i/>
          <w:sz w:val="20"/>
          <w:szCs w:val="20"/>
        </w:rPr>
        <w:t>Un balcon en forêt</w:t>
      </w:r>
      <w:r w:rsidRPr="007A0B82">
        <w:rPr>
          <w:rFonts w:ascii="Times New Roman" w:hAnsi="Times New Roman" w:cs="Times New Roman"/>
          <w:sz w:val="20"/>
          <w:szCs w:val="20"/>
        </w:rPr>
        <w:t xml:space="preserve"> (si l’on inclut dans la notion de style une composante expérientielle et interactionnelle) (Colas-Blaise 2012)</w:t>
      </w:r>
      <w:r>
        <w:rPr>
          <w:rFonts w:ascii="Times New Roman" w:hAnsi="Times New Roman" w:cs="Times New Roman"/>
          <w:sz w:val="20"/>
          <w:szCs w:val="20"/>
        </w:rPr>
        <w:t>)</w:t>
      </w:r>
      <w:r w:rsidRPr="007A0B82">
        <w:rPr>
          <w:rFonts w:ascii="Times New Roman" w:hAnsi="Times New Roman" w:cs="Times New Roman"/>
          <w:sz w:val="20"/>
          <w:szCs w:val="20"/>
        </w:rPr>
        <w:t>.</w:t>
      </w:r>
    </w:p>
  </w:footnote>
  <w:footnote w:id="23">
    <w:p w14:paraId="19AC7617" w14:textId="05197B9F" w:rsidR="008966F7" w:rsidRPr="007A0B82" w:rsidRDefault="008966F7" w:rsidP="00094BD3">
      <w:pPr>
        <w:jc w:val="both"/>
        <w:rPr>
          <w:rFonts w:ascii="Times New Roman" w:hAnsi="Times New Roman" w:cs="Times New Roman"/>
          <w:sz w:val="20"/>
          <w:szCs w:val="20"/>
        </w:rPr>
      </w:pPr>
      <w:r w:rsidRPr="007A0B82">
        <w:rPr>
          <w:rStyle w:val="Appelnotedebasdep"/>
          <w:rFonts w:ascii="Times New Roman" w:hAnsi="Times New Roman" w:cs="Times New Roman"/>
          <w:sz w:val="20"/>
          <w:szCs w:val="20"/>
        </w:rPr>
        <w:footnoteRef/>
      </w:r>
      <w:r w:rsidRPr="007A0B82">
        <w:rPr>
          <w:rFonts w:ascii="Times New Roman" w:hAnsi="Times New Roman" w:cs="Times New Roman"/>
          <w:sz w:val="20"/>
          <w:szCs w:val="20"/>
        </w:rPr>
        <w:t xml:space="preserve"> L’événement perceptif a son équivalent au niveau de l’écriture : l’événement énonciatif en est le pendant. </w:t>
      </w:r>
      <w:r>
        <w:rPr>
          <w:rFonts w:ascii="Times New Roman" w:hAnsi="Times New Roman" w:cs="Times New Roman"/>
          <w:sz w:val="20"/>
          <w:szCs w:val="20"/>
        </w:rPr>
        <w:t>Plus largement,</w:t>
      </w:r>
      <w:r w:rsidRPr="007A0B82">
        <w:rPr>
          <w:rFonts w:ascii="Times New Roman" w:hAnsi="Times New Roman" w:cs="Times New Roman"/>
          <w:sz w:val="20"/>
          <w:szCs w:val="20"/>
        </w:rPr>
        <w:t xml:space="preserve"> l’entrecroisement des </w:t>
      </w:r>
      <w:r w:rsidR="00D77766">
        <w:rPr>
          <w:rFonts w:ascii="Times New Roman" w:hAnsi="Times New Roman" w:cs="Times New Roman"/>
          <w:sz w:val="20"/>
          <w:szCs w:val="20"/>
        </w:rPr>
        <w:t>versions consensuelle et dissensuelle de la co-énonciation</w:t>
      </w:r>
      <w:r w:rsidRPr="007A0B82">
        <w:rPr>
          <w:rFonts w:ascii="Times New Roman" w:hAnsi="Times New Roman" w:cs="Times New Roman"/>
          <w:sz w:val="20"/>
          <w:szCs w:val="20"/>
        </w:rPr>
        <w:t xml:space="preserve"> témoigne d’un style d’écriture qui est redondant avec les glissements qui s’opèrent au plan du contenu</w:t>
      </w:r>
      <w:r>
        <w:rPr>
          <w:rFonts w:ascii="Times New Roman" w:hAnsi="Times New Roman" w:cs="Times New Roman"/>
          <w:sz w:val="20"/>
          <w:szCs w:val="20"/>
        </w:rPr>
        <w:t xml:space="preserve">. Le </w:t>
      </w:r>
      <w:r w:rsidRPr="007A0B82">
        <w:rPr>
          <w:rFonts w:ascii="Times New Roman" w:hAnsi="Times New Roman" w:cs="Times New Roman"/>
          <w:sz w:val="20"/>
          <w:szCs w:val="20"/>
        </w:rPr>
        <w:t xml:space="preserve">style d’écriture comprend deux autres composantes : un style praxique (une manière de se situer par rapport à d’autres discours, par exemple des énoncés doxiques) et un style expérientiel (une manière de prendre position devant ou dans le monde) (Colas-Blaise 2012). C’est ce </w:t>
      </w:r>
      <w:r w:rsidR="00B12CD7">
        <w:rPr>
          <w:rFonts w:ascii="Times New Roman" w:hAnsi="Times New Roman" w:cs="Times New Roman"/>
          <w:sz w:val="20"/>
          <w:szCs w:val="20"/>
        </w:rPr>
        <w:t xml:space="preserve">que j’essayerai </w:t>
      </w:r>
      <w:r w:rsidRPr="007A0B82">
        <w:rPr>
          <w:rFonts w:ascii="Times New Roman" w:hAnsi="Times New Roman" w:cs="Times New Roman"/>
          <w:sz w:val="20"/>
          <w:szCs w:val="20"/>
        </w:rPr>
        <w:t xml:space="preserve">de montrer </w:t>
      </w:r>
      <w:r w:rsidR="00B07C46">
        <w:rPr>
          <w:rFonts w:ascii="Times New Roman" w:hAnsi="Times New Roman" w:cs="Times New Roman"/>
          <w:sz w:val="20"/>
          <w:szCs w:val="20"/>
        </w:rPr>
        <w:t>dans la troisième partie</w:t>
      </w:r>
      <w:r w:rsidRPr="007A0B82">
        <w:rPr>
          <w:rFonts w:ascii="Times New Roman" w:hAnsi="Times New Roman" w:cs="Times New Roman"/>
          <w:sz w:val="20"/>
          <w:szCs w:val="20"/>
        </w:rPr>
        <w:t xml:space="preserve">. </w:t>
      </w:r>
    </w:p>
  </w:footnote>
  <w:footnote w:id="24">
    <w:p w14:paraId="3A881745" w14:textId="700D101D" w:rsidR="00882C1F" w:rsidRPr="00882C1F" w:rsidRDefault="00882C1F" w:rsidP="00882C1F">
      <w:pPr>
        <w:jc w:val="both"/>
        <w:rPr>
          <w:rFonts w:ascii="Times New Roman" w:hAnsi="Times New Roman" w:cs="Times New Roman"/>
          <w:sz w:val="20"/>
          <w:szCs w:val="20"/>
        </w:rPr>
      </w:pPr>
      <w:r w:rsidRPr="00882C1F">
        <w:rPr>
          <w:rStyle w:val="Appelnotedebasdep"/>
          <w:rFonts w:ascii="Times New Roman" w:hAnsi="Times New Roman" w:cs="Times New Roman"/>
          <w:sz w:val="20"/>
          <w:szCs w:val="20"/>
        </w:rPr>
        <w:footnoteRef/>
      </w:r>
      <w:r w:rsidRPr="00882C1F">
        <w:rPr>
          <w:rFonts w:ascii="Times New Roman" w:hAnsi="Times New Roman" w:cs="Times New Roman"/>
          <w:sz w:val="20"/>
          <w:szCs w:val="20"/>
        </w:rPr>
        <w:t xml:space="preserve"> Cf. Rabatel (2003) : « </w:t>
      </w:r>
      <w:r w:rsidRPr="00882C1F">
        <w:rPr>
          <w:rFonts w:ascii="Times New Roman" w:eastAsia="Times New Roman" w:hAnsi="Times New Roman" w:cs="Times New Roman"/>
          <w:color w:val="323232"/>
          <w:sz w:val="20"/>
          <w:szCs w:val="20"/>
          <w:shd w:val="clear" w:color="auto" w:fill="FAFAFA"/>
          <w:lang w:val="fr-LU" w:eastAsia="fr-FR"/>
        </w:rPr>
        <w:t>Sur le plan sémantique, la parenté des </w:t>
      </w:r>
      <w:r w:rsidRPr="00882C1F">
        <w:rPr>
          <w:rFonts w:ascii="Times New Roman" w:eastAsia="Times New Roman" w:hAnsi="Times New Roman" w:cs="Times New Roman"/>
          <w:i/>
          <w:iCs/>
          <w:color w:val="323232"/>
          <w:sz w:val="20"/>
          <w:szCs w:val="20"/>
          <w:lang w:val="fr-LU" w:eastAsia="fr-FR"/>
        </w:rPr>
        <w:t>verba sentiendi</w:t>
      </w:r>
      <w:r w:rsidRPr="00882C1F">
        <w:rPr>
          <w:rFonts w:ascii="Times New Roman" w:eastAsia="Times New Roman" w:hAnsi="Times New Roman" w:cs="Times New Roman"/>
          <w:color w:val="323232"/>
          <w:sz w:val="20"/>
          <w:szCs w:val="20"/>
          <w:shd w:val="clear" w:color="auto" w:fill="FAFAFA"/>
          <w:lang w:val="fr-LU" w:eastAsia="fr-FR"/>
        </w:rPr>
        <w:t> et </w:t>
      </w:r>
      <w:r w:rsidRPr="00882C1F">
        <w:rPr>
          <w:rFonts w:ascii="Times New Roman" w:eastAsia="Times New Roman" w:hAnsi="Times New Roman" w:cs="Times New Roman"/>
          <w:i/>
          <w:iCs/>
          <w:color w:val="323232"/>
          <w:sz w:val="20"/>
          <w:szCs w:val="20"/>
          <w:lang w:val="fr-LU" w:eastAsia="fr-FR"/>
        </w:rPr>
        <w:t>dicendi</w:t>
      </w:r>
      <w:r w:rsidRPr="00882C1F">
        <w:rPr>
          <w:rFonts w:ascii="Times New Roman" w:eastAsia="Times New Roman" w:hAnsi="Times New Roman" w:cs="Times New Roman"/>
          <w:color w:val="323232"/>
          <w:sz w:val="20"/>
          <w:szCs w:val="20"/>
          <w:shd w:val="clear" w:color="auto" w:fill="FAFAFA"/>
          <w:lang w:val="fr-LU" w:eastAsia="fr-FR"/>
        </w:rPr>
        <w:t> fait du PDV un mixte de pensées, de perceptions et de paroles qui le rapproche du DIL (en contexte narratif à la troisième personne) ou du DDL (en contexte narratif à la première personne), jouant un rôle décisif dans l’expression d’une sorte de pensée pré-réflexive. Ces phénomènes renvoient à un continuum, des formes réflexives aux formes pré-réflexives, et plaident pour une redéfinition du DR comme discours représenté plutôt que rapporté</w:t>
      </w:r>
      <w:r>
        <w:rPr>
          <w:rFonts w:ascii="Times New Roman" w:eastAsia="Times New Roman" w:hAnsi="Times New Roman" w:cs="Times New Roman"/>
          <w:color w:val="323232"/>
          <w:sz w:val="20"/>
          <w:szCs w:val="20"/>
          <w:shd w:val="clear" w:color="auto" w:fill="FAFAFA"/>
          <w:lang w:val="fr-LU" w:eastAsia="fr-FR"/>
        </w:rPr>
        <w:t> »</w:t>
      </w:r>
      <w:r w:rsidRPr="00882C1F">
        <w:rPr>
          <w:rFonts w:ascii="Times New Roman" w:eastAsia="Times New Roman" w:hAnsi="Times New Roman" w:cs="Times New Roman"/>
          <w:color w:val="323232"/>
          <w:sz w:val="20"/>
          <w:szCs w:val="20"/>
          <w:shd w:val="clear" w:color="auto" w:fill="FAFAFA"/>
          <w:lang w:val="fr-LU" w:eastAsia="fr-FR"/>
        </w:rPr>
        <w:t>.</w:t>
      </w:r>
    </w:p>
    <w:p w14:paraId="7748FFD8" w14:textId="10E6F67A" w:rsidR="00882C1F" w:rsidRPr="00882C1F" w:rsidRDefault="00882C1F">
      <w:pPr>
        <w:pStyle w:val="Notedebasdepage"/>
      </w:pPr>
    </w:p>
  </w:footnote>
  <w:footnote w:id="25">
    <w:p w14:paraId="083B12D2" w14:textId="77777777" w:rsidR="008966F7" w:rsidRPr="007A0B82" w:rsidRDefault="008966F7" w:rsidP="00094BD3">
      <w:pPr>
        <w:pStyle w:val="Notedebasdepage"/>
      </w:pPr>
      <w:r w:rsidRPr="007A0B82">
        <w:rPr>
          <w:rStyle w:val="Appelnotedebasdep"/>
        </w:rPr>
        <w:footnoteRef/>
      </w:r>
      <w:r w:rsidRPr="007A0B82">
        <w:t xml:space="preserve"> En ce qui concerne la perception et la genèse du sens, l’on se reportera également au groupe µ (2015). </w:t>
      </w:r>
    </w:p>
  </w:footnote>
  <w:footnote w:id="26">
    <w:p w14:paraId="5D4DBA2F" w14:textId="637E533E" w:rsidR="008966F7" w:rsidRPr="007A0B82" w:rsidRDefault="008966F7" w:rsidP="00094BD3">
      <w:pPr>
        <w:pStyle w:val="Notedebasdepage"/>
        <w:jc w:val="both"/>
      </w:pPr>
      <w:r w:rsidRPr="007A0B82">
        <w:rPr>
          <w:rStyle w:val="Appelnotedebasdep"/>
        </w:rPr>
        <w:footnoteRef/>
      </w:r>
      <w:r w:rsidRPr="007A0B82">
        <w:t xml:space="preserve"> </w:t>
      </w:r>
      <w:r>
        <w:t xml:space="preserve">Ailleurs, </w:t>
      </w:r>
      <w:r w:rsidRPr="007A0B82">
        <w:t xml:space="preserve">le présent générique </w:t>
      </w:r>
      <w:r>
        <w:t>peut relever</w:t>
      </w:r>
      <w:r w:rsidRPr="007A0B82">
        <w:t xml:space="preserve"> de la sur-énonciation. </w:t>
      </w:r>
      <w:r>
        <w:t>D</w:t>
      </w:r>
      <w:r w:rsidRPr="007A0B82">
        <w:t xml:space="preserve">ans un </w:t>
      </w:r>
      <w:r w:rsidRPr="007A0B82">
        <w:rPr>
          <w:i/>
        </w:rPr>
        <w:t>Balcon en forêt</w:t>
      </w:r>
      <w:r w:rsidRPr="007A0B82">
        <w:t>, le régime de la co-énonciation est à tel point prégnant (par opposition aux régimes de la sur- et de la sous-énonciation) que l’interprétation du présent générique elle-même en est affectée.</w:t>
      </w:r>
      <w:r>
        <w:t xml:space="preserve"> À cela s’ajoute que le présent « omnitemporel », qui se distingue du présent chargé de la valeur d’actualité, amorce une remontée vers le temps pré</w:t>
      </w:r>
      <w:r w:rsidR="00B828D3">
        <w:t>-</w:t>
      </w:r>
      <w:r>
        <w:t xml:space="preserve">réflexif des premières chronothèses (cf. Combe 1991 : 163). </w:t>
      </w:r>
    </w:p>
  </w:footnote>
  <w:footnote w:id="27">
    <w:p w14:paraId="1FFE45C6" w14:textId="50C299B8" w:rsidR="00FF5729" w:rsidRPr="00FF5729" w:rsidRDefault="00FF5729" w:rsidP="008D4814">
      <w:pPr>
        <w:pStyle w:val="Notedebasdepage"/>
        <w:jc w:val="both"/>
      </w:pPr>
      <w:r>
        <w:rPr>
          <w:rStyle w:val="Appelnotedebasdep"/>
        </w:rPr>
        <w:footnoteRef/>
      </w:r>
      <w:r>
        <w:t xml:space="preserve"> Sans doute le déterminant démonstratif « cette » peut-il se charger également d’une valeur cataphorique (</w:t>
      </w:r>
      <w:r w:rsidRPr="007A0B82">
        <w:t>relative complétant un SN démonstratif)</w:t>
      </w:r>
      <w:r>
        <w:t>.</w:t>
      </w:r>
    </w:p>
  </w:footnote>
  <w:footnote w:id="28">
    <w:p w14:paraId="09EC8A40" w14:textId="77777777" w:rsidR="008966F7" w:rsidRPr="007A0B82" w:rsidRDefault="008966F7" w:rsidP="00094BD3">
      <w:pPr>
        <w:pStyle w:val="Notedebasdepage"/>
        <w:jc w:val="both"/>
      </w:pPr>
      <w:r w:rsidRPr="007A0B82">
        <w:rPr>
          <w:rStyle w:val="Appelnotedebasdep"/>
        </w:rPr>
        <w:footnoteRef/>
      </w:r>
      <w:r w:rsidRPr="007A0B82">
        <w:t xml:space="preserve"> Significativement, le verbe conjugué est relégué dans une proposition relative adjective au second plan, l’action étant non bornée.</w:t>
      </w:r>
    </w:p>
  </w:footnote>
  <w:footnote w:id="29">
    <w:p w14:paraId="52805F50" w14:textId="0C9E6D10" w:rsidR="008966F7" w:rsidRPr="000B584A" w:rsidRDefault="008966F7" w:rsidP="00094BD3">
      <w:pPr>
        <w:pStyle w:val="Notedebasdepage"/>
        <w:jc w:val="both"/>
        <w:rPr>
          <w:lang w:val="fr-CH"/>
        </w:rPr>
      </w:pPr>
      <w:r>
        <w:rPr>
          <w:rStyle w:val="Appelnotedebasdep"/>
        </w:rPr>
        <w:footnoteRef/>
      </w:r>
      <w:r>
        <w:t xml:space="preserve"> P</w:t>
      </w:r>
      <w:r>
        <w:rPr>
          <w:lang w:val="fr-CH"/>
        </w:rPr>
        <w:t xml:space="preserve">renant ses distances par rapport à l’analyse </w:t>
      </w:r>
      <w:r w:rsidR="00B07C46">
        <w:rPr>
          <w:lang w:val="fr-CH"/>
        </w:rPr>
        <w:t>du démonstratif par l</w:t>
      </w:r>
      <w:r>
        <w:rPr>
          <w:lang w:val="fr-CH"/>
        </w:rPr>
        <w:t xml:space="preserve">es praxématiciens, Michèle Monte (2011 : 126) parle d’un </w:t>
      </w:r>
      <w:r>
        <w:t>« espace intersubjectif indifférencié ».</w:t>
      </w:r>
    </w:p>
  </w:footnote>
  <w:footnote w:id="30">
    <w:p w14:paraId="21D56465" w14:textId="77777777" w:rsidR="008966F7" w:rsidRPr="00B912BE" w:rsidRDefault="008966F7" w:rsidP="00094BD3">
      <w:pPr>
        <w:pStyle w:val="Notedebasdepage"/>
        <w:jc w:val="both"/>
        <w:rPr>
          <w:lang w:val="fr-CH"/>
        </w:rPr>
      </w:pPr>
      <w:r w:rsidRPr="00B912BE">
        <w:rPr>
          <w:rStyle w:val="Appelnotedebasdep"/>
        </w:rPr>
        <w:footnoteRef/>
      </w:r>
      <w:r w:rsidRPr="00B912BE">
        <w:t xml:space="preserve"> Le « proto-embrayage » selon Denis Bertrand</w:t>
      </w:r>
      <w:r>
        <w:t xml:space="preserve"> (2005) </w:t>
      </w:r>
      <w:r w:rsidRPr="00B912BE">
        <w:t>consiste à « donner langue et sens à une instance antérieure, plus originaire, plus “génitive”, se tenant au plus près de l’engendrement, au plus près de la présence corporelle à partir de l’impression sensible ».</w:t>
      </w:r>
    </w:p>
  </w:footnote>
  <w:footnote w:id="31">
    <w:p w14:paraId="1279327D" w14:textId="29DBA245" w:rsidR="008966F7" w:rsidRPr="006D3722" w:rsidRDefault="008966F7" w:rsidP="00094BD3">
      <w:pPr>
        <w:pStyle w:val="Notedebasdepage"/>
        <w:jc w:val="both"/>
      </w:pPr>
      <w:r>
        <w:rPr>
          <w:rStyle w:val="Appelnotedebasdep"/>
        </w:rPr>
        <w:footnoteRef/>
      </w:r>
      <w:r>
        <w:t xml:space="preserve"> Le </w:t>
      </w:r>
      <w:r w:rsidRPr="006D3722">
        <w:rPr>
          <w:i/>
        </w:rPr>
        <w:t>position</w:t>
      </w:r>
      <w:r>
        <w:rPr>
          <w:i/>
        </w:rPr>
        <w:t>nement</w:t>
      </w:r>
      <w:r>
        <w:t xml:space="preserve"> plonge dans le monde à peine sémiotisé ; le proto-embrayage correspond à l’être-temps de l’immersion. La prise de </w:t>
      </w:r>
      <w:r w:rsidRPr="006D3722">
        <w:rPr>
          <w:i/>
        </w:rPr>
        <w:t xml:space="preserve">position </w:t>
      </w:r>
      <w:r>
        <w:t xml:space="preserve">est opérée par la perception. Quant à la </w:t>
      </w:r>
      <w:r w:rsidRPr="006D3722">
        <w:rPr>
          <w:i/>
        </w:rPr>
        <w:t>posture</w:t>
      </w:r>
      <w:r>
        <w:t xml:space="preserve">, il ne s’agit pas seulement de prendre position dans le monde, perçu, aspectualisé, temporalisé et représenté, mais encore </w:t>
      </w:r>
      <w:r w:rsidRPr="006D3722">
        <w:t>d</w:t>
      </w:r>
      <w:r w:rsidRPr="006D3722">
        <w:rPr>
          <w:i/>
        </w:rPr>
        <w:t>’être là,</w:t>
      </w:r>
      <w:r>
        <w:t xml:space="preserve"> </w:t>
      </w:r>
      <w:r w:rsidRPr="0079489B">
        <w:rPr>
          <w:i/>
        </w:rPr>
        <w:t xml:space="preserve">dans le </w:t>
      </w:r>
      <w:r>
        <w:rPr>
          <w:i/>
        </w:rPr>
        <w:t xml:space="preserve">monde et dans le </w:t>
      </w:r>
      <w:r w:rsidRPr="0079489B">
        <w:rPr>
          <w:i/>
        </w:rPr>
        <w:t>temps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AA9"/>
    <w:multiLevelType w:val="hybridMultilevel"/>
    <w:tmpl w:val="4D3ED328"/>
    <w:lvl w:ilvl="0" w:tplc="7AC4476C">
      <w:start w:val="1"/>
      <w:numFmt w:val="low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CE1051"/>
    <w:multiLevelType w:val="hybridMultilevel"/>
    <w:tmpl w:val="7A5C77F0"/>
    <w:lvl w:ilvl="0" w:tplc="8546717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ABC50F5"/>
    <w:multiLevelType w:val="multilevel"/>
    <w:tmpl w:val="F8B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947AA"/>
    <w:multiLevelType w:val="multilevel"/>
    <w:tmpl w:val="FD125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2E48C8"/>
    <w:multiLevelType w:val="hybridMultilevel"/>
    <w:tmpl w:val="47DAEDBE"/>
    <w:lvl w:ilvl="0" w:tplc="5EF41E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FB7"/>
    <w:rsid w:val="00072CFB"/>
    <w:rsid w:val="00094BD3"/>
    <w:rsid w:val="000E2B97"/>
    <w:rsid w:val="000F2F9B"/>
    <w:rsid w:val="00160E48"/>
    <w:rsid w:val="00196D36"/>
    <w:rsid w:val="001F17E8"/>
    <w:rsid w:val="00226095"/>
    <w:rsid w:val="00262FFD"/>
    <w:rsid w:val="002C379A"/>
    <w:rsid w:val="00333784"/>
    <w:rsid w:val="00334206"/>
    <w:rsid w:val="003D660F"/>
    <w:rsid w:val="00423F98"/>
    <w:rsid w:val="00480A66"/>
    <w:rsid w:val="00485853"/>
    <w:rsid w:val="004E11BD"/>
    <w:rsid w:val="004F2EC3"/>
    <w:rsid w:val="004F654F"/>
    <w:rsid w:val="005578AB"/>
    <w:rsid w:val="00567F9A"/>
    <w:rsid w:val="005C6A11"/>
    <w:rsid w:val="00602DE8"/>
    <w:rsid w:val="00656349"/>
    <w:rsid w:val="00682F4D"/>
    <w:rsid w:val="006D12B2"/>
    <w:rsid w:val="0077573D"/>
    <w:rsid w:val="0078610D"/>
    <w:rsid w:val="007A0B82"/>
    <w:rsid w:val="007A53A7"/>
    <w:rsid w:val="007A70B4"/>
    <w:rsid w:val="0080136C"/>
    <w:rsid w:val="00803543"/>
    <w:rsid w:val="00820FB7"/>
    <w:rsid w:val="00882C1F"/>
    <w:rsid w:val="00893928"/>
    <w:rsid w:val="008966F7"/>
    <w:rsid w:val="008A77B9"/>
    <w:rsid w:val="008D4814"/>
    <w:rsid w:val="009739DD"/>
    <w:rsid w:val="009A1A98"/>
    <w:rsid w:val="009E23F7"/>
    <w:rsid w:val="00A5605D"/>
    <w:rsid w:val="00A6668C"/>
    <w:rsid w:val="00AD7E05"/>
    <w:rsid w:val="00B07C46"/>
    <w:rsid w:val="00B12CD7"/>
    <w:rsid w:val="00B235FC"/>
    <w:rsid w:val="00B3477B"/>
    <w:rsid w:val="00B67193"/>
    <w:rsid w:val="00B76288"/>
    <w:rsid w:val="00B828D3"/>
    <w:rsid w:val="00BE702A"/>
    <w:rsid w:val="00C10C96"/>
    <w:rsid w:val="00D674DD"/>
    <w:rsid w:val="00D77766"/>
    <w:rsid w:val="00D91D17"/>
    <w:rsid w:val="00D9275C"/>
    <w:rsid w:val="00D96CB8"/>
    <w:rsid w:val="00DF08E4"/>
    <w:rsid w:val="00E543BC"/>
    <w:rsid w:val="00E64506"/>
    <w:rsid w:val="00E75FF4"/>
    <w:rsid w:val="00F7589D"/>
    <w:rsid w:val="00FF5729"/>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9D46D"/>
  <w15:docId w15:val="{EDA5D8D4-2767-4A45-B73A-C2C10E67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Titre1">
    <w:name w:val="heading 1"/>
    <w:basedOn w:val="Normal"/>
    <w:link w:val="Titre1Car"/>
    <w:uiPriority w:val="9"/>
    <w:qFormat/>
    <w:rsid w:val="00094BD3"/>
    <w:pPr>
      <w:spacing w:before="100" w:beforeAutospacing="1" w:after="100" w:afterAutospacing="1"/>
      <w:outlineLvl w:val="0"/>
    </w:pPr>
    <w:rPr>
      <w:rFonts w:ascii="Times New Roman" w:eastAsia="Times New Roman" w:hAnsi="Times New Roman" w:cs="Times New Roman"/>
      <w:b/>
      <w:bCs/>
      <w:kern w:val="36"/>
      <w:sz w:val="48"/>
      <w:szCs w:val="48"/>
      <w:lang w:val="fr-LU"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094BD3"/>
    <w:rPr>
      <w:lang w:val="fr-FR"/>
    </w:rPr>
  </w:style>
  <w:style w:type="character" w:customStyle="1" w:styleId="Titre1Car">
    <w:name w:val="Titre 1 Car"/>
    <w:basedOn w:val="Policepardfaut"/>
    <w:link w:val="Titre1"/>
    <w:uiPriority w:val="9"/>
    <w:rsid w:val="00094BD3"/>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094BD3"/>
    <w:pPr>
      <w:ind w:left="720"/>
      <w:contextualSpacing/>
    </w:pPr>
    <w:rPr>
      <w:rFonts w:ascii="Times New Roman" w:eastAsia="Times New Roman" w:hAnsi="Times New Roman" w:cs="Times New Roman"/>
      <w:lang w:val="fr-LU" w:eastAsia="fr-FR"/>
    </w:rPr>
  </w:style>
  <w:style w:type="character" w:styleId="Lienhypertexte">
    <w:name w:val="Hyperlink"/>
    <w:basedOn w:val="Policepardfaut"/>
    <w:uiPriority w:val="99"/>
    <w:unhideWhenUsed/>
    <w:rsid w:val="00094BD3"/>
    <w:rPr>
      <w:color w:val="0563C1" w:themeColor="hyperlink"/>
      <w:u w:val="single"/>
    </w:rPr>
  </w:style>
  <w:style w:type="character" w:customStyle="1" w:styleId="Mentionnonrsolue1">
    <w:name w:val="Mention non résolue1"/>
    <w:basedOn w:val="Policepardfaut"/>
    <w:uiPriority w:val="99"/>
    <w:semiHidden/>
    <w:unhideWhenUsed/>
    <w:rsid w:val="00094BD3"/>
    <w:rPr>
      <w:color w:val="808080"/>
      <w:shd w:val="clear" w:color="auto" w:fill="E6E6E6"/>
    </w:rPr>
  </w:style>
  <w:style w:type="paragraph" w:styleId="Notedebasdepage">
    <w:name w:val="footnote text"/>
    <w:basedOn w:val="Normal"/>
    <w:link w:val="NotedebasdepageCar"/>
    <w:unhideWhenUsed/>
    <w:rsid w:val="00094BD3"/>
    <w:rPr>
      <w:rFonts w:ascii="Times New Roman" w:eastAsia="Times New Roman" w:hAnsi="Times New Roman" w:cs="Times New Roman"/>
      <w:sz w:val="20"/>
      <w:szCs w:val="20"/>
      <w:lang w:val="fr-LU" w:eastAsia="fr-FR"/>
    </w:rPr>
  </w:style>
  <w:style w:type="character" w:customStyle="1" w:styleId="NotedebasdepageCar">
    <w:name w:val="Note de bas de page Car"/>
    <w:basedOn w:val="Policepardfaut"/>
    <w:link w:val="Notedebasdepage"/>
    <w:rsid w:val="00094BD3"/>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094BD3"/>
    <w:rPr>
      <w:vertAlign w:val="superscript"/>
    </w:rPr>
  </w:style>
  <w:style w:type="character" w:styleId="Marquedecommentaire">
    <w:name w:val="annotation reference"/>
    <w:basedOn w:val="Policepardfaut"/>
    <w:uiPriority w:val="99"/>
    <w:semiHidden/>
    <w:unhideWhenUsed/>
    <w:rsid w:val="00094BD3"/>
    <w:rPr>
      <w:sz w:val="18"/>
      <w:szCs w:val="18"/>
    </w:rPr>
  </w:style>
  <w:style w:type="paragraph" w:styleId="Commentaire">
    <w:name w:val="annotation text"/>
    <w:basedOn w:val="Normal"/>
    <w:link w:val="CommentaireCar"/>
    <w:uiPriority w:val="99"/>
    <w:semiHidden/>
    <w:unhideWhenUsed/>
    <w:rsid w:val="00094BD3"/>
    <w:rPr>
      <w:rFonts w:ascii="Times New Roman" w:eastAsia="Times New Roman" w:hAnsi="Times New Roman" w:cs="Times New Roman"/>
      <w:lang w:val="fr-LU" w:eastAsia="fr-FR"/>
    </w:rPr>
  </w:style>
  <w:style w:type="character" w:customStyle="1" w:styleId="CommentaireCar">
    <w:name w:val="Commentaire Car"/>
    <w:basedOn w:val="Policepardfaut"/>
    <w:link w:val="Commentaire"/>
    <w:uiPriority w:val="99"/>
    <w:semiHidden/>
    <w:rsid w:val="00094BD3"/>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094BD3"/>
    <w:rPr>
      <w:rFonts w:ascii="Times New Roman" w:eastAsia="Times New Roman" w:hAnsi="Times New Roman" w:cs="Times New Roman"/>
      <w:sz w:val="18"/>
      <w:szCs w:val="18"/>
      <w:lang w:val="fr-LU" w:eastAsia="fr-FR"/>
    </w:rPr>
  </w:style>
  <w:style w:type="character" w:customStyle="1" w:styleId="TextedebullesCar">
    <w:name w:val="Texte de bulles Car"/>
    <w:basedOn w:val="Policepardfaut"/>
    <w:link w:val="Textedebulles"/>
    <w:uiPriority w:val="99"/>
    <w:semiHidden/>
    <w:rsid w:val="00094BD3"/>
    <w:rPr>
      <w:rFonts w:ascii="Times New Roman" w:eastAsia="Times New Roman" w:hAnsi="Times New Roman" w:cs="Times New Roman"/>
      <w:sz w:val="18"/>
      <w:szCs w:val="18"/>
      <w:lang w:eastAsia="fr-FR"/>
    </w:rPr>
  </w:style>
  <w:style w:type="paragraph" w:styleId="Objetducommentaire">
    <w:name w:val="annotation subject"/>
    <w:basedOn w:val="Commentaire"/>
    <w:next w:val="Commentaire"/>
    <w:link w:val="ObjetducommentaireCar"/>
    <w:uiPriority w:val="99"/>
    <w:semiHidden/>
    <w:unhideWhenUsed/>
    <w:rsid w:val="00094BD3"/>
    <w:rPr>
      <w:b/>
      <w:bCs/>
      <w:sz w:val="20"/>
      <w:szCs w:val="20"/>
    </w:rPr>
  </w:style>
  <w:style w:type="character" w:customStyle="1" w:styleId="ObjetducommentaireCar">
    <w:name w:val="Objet du commentaire Car"/>
    <w:basedOn w:val="CommentaireCar"/>
    <w:link w:val="Objetducommentaire"/>
    <w:uiPriority w:val="99"/>
    <w:semiHidden/>
    <w:rsid w:val="00094BD3"/>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094BD3"/>
    <w:pPr>
      <w:spacing w:before="100" w:beforeAutospacing="1" w:after="100" w:afterAutospacing="1"/>
    </w:pPr>
    <w:rPr>
      <w:rFonts w:ascii="Times New Roman" w:eastAsia="Times New Roman" w:hAnsi="Times New Roman" w:cs="Times New Roman"/>
      <w:lang w:val="fr-LU" w:eastAsia="fr-FR"/>
    </w:rPr>
  </w:style>
  <w:style w:type="character" w:customStyle="1" w:styleId="apple-converted-space">
    <w:name w:val="apple-converted-space"/>
    <w:basedOn w:val="Policepardfaut"/>
    <w:rsid w:val="00094BD3"/>
  </w:style>
  <w:style w:type="character" w:customStyle="1" w:styleId="familyname">
    <w:name w:val="familyname"/>
    <w:basedOn w:val="Policepardfaut"/>
    <w:rsid w:val="00094BD3"/>
  </w:style>
  <w:style w:type="character" w:customStyle="1" w:styleId="majuscule">
    <w:name w:val="majuscule"/>
    <w:basedOn w:val="Policepardfaut"/>
    <w:rsid w:val="00094BD3"/>
  </w:style>
  <w:style w:type="character" w:styleId="lev">
    <w:name w:val="Strong"/>
    <w:basedOn w:val="Policepardfaut"/>
    <w:uiPriority w:val="22"/>
    <w:qFormat/>
    <w:rsid w:val="00094BD3"/>
    <w:rPr>
      <w:b/>
      <w:bCs/>
    </w:rPr>
  </w:style>
  <w:style w:type="character" w:styleId="Lienhypertextesuivivisit">
    <w:name w:val="FollowedHyperlink"/>
    <w:basedOn w:val="Policepardfaut"/>
    <w:uiPriority w:val="99"/>
    <w:semiHidden/>
    <w:unhideWhenUsed/>
    <w:rsid w:val="00094BD3"/>
    <w:rPr>
      <w:color w:val="954F72" w:themeColor="followedHyperlink"/>
      <w:u w:val="single"/>
    </w:rPr>
  </w:style>
  <w:style w:type="character" w:styleId="Accentuation">
    <w:name w:val="Emphasis"/>
    <w:basedOn w:val="Policepardfaut"/>
    <w:uiPriority w:val="20"/>
    <w:qFormat/>
    <w:rsid w:val="00094BD3"/>
    <w:rPr>
      <w:i/>
      <w:iCs/>
    </w:rPr>
  </w:style>
  <w:style w:type="character" w:customStyle="1" w:styleId="text">
    <w:name w:val="text"/>
    <w:basedOn w:val="Policepardfaut"/>
    <w:rsid w:val="00094BD3"/>
  </w:style>
  <w:style w:type="table" w:styleId="Grilledutableau">
    <w:name w:val="Table Grid"/>
    <w:basedOn w:val="TableauNormal"/>
    <w:uiPriority w:val="59"/>
    <w:rsid w:val="00094BD3"/>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re-article">
    <w:name w:val="titre-article"/>
    <w:basedOn w:val="Normal"/>
    <w:rsid w:val="00094BD3"/>
    <w:pPr>
      <w:spacing w:before="100" w:beforeAutospacing="1" w:after="100" w:afterAutospacing="1"/>
    </w:pPr>
    <w:rPr>
      <w:rFonts w:ascii="Times New Roman" w:eastAsia="Times New Roman" w:hAnsi="Times New Roman" w:cs="Times New Roman"/>
      <w:lang w:val="fr-LU" w:eastAsia="fr-FR"/>
    </w:rPr>
  </w:style>
  <w:style w:type="paragraph" w:customStyle="1" w:styleId="sous-titre-article">
    <w:name w:val="sous-titre-article"/>
    <w:basedOn w:val="Normal"/>
    <w:rsid w:val="00094BD3"/>
    <w:pPr>
      <w:spacing w:before="100" w:beforeAutospacing="1" w:after="100" w:afterAutospacing="1"/>
    </w:pPr>
    <w:rPr>
      <w:rFonts w:ascii="Times New Roman" w:eastAsia="Times New Roman" w:hAnsi="Times New Roman" w:cs="Times New Roman"/>
      <w:lang w:val="fr-LU" w:eastAsia="fr-FR"/>
    </w:rPr>
  </w:style>
  <w:style w:type="paragraph" w:customStyle="1" w:styleId="meta">
    <w:name w:val="meta"/>
    <w:basedOn w:val="Normal"/>
    <w:rsid w:val="00094BD3"/>
    <w:pPr>
      <w:spacing w:before="100" w:beforeAutospacing="1" w:after="100" w:afterAutospacing="1"/>
    </w:pPr>
    <w:rPr>
      <w:rFonts w:ascii="Times New Roman" w:eastAsia="Times New Roman" w:hAnsi="Times New Roman" w:cs="Times New Roman"/>
      <w:lang w:val="fr-LU" w:eastAsia="fr-FR"/>
    </w:rPr>
  </w:style>
  <w:style w:type="character" w:customStyle="1" w:styleId="auteur">
    <w:name w:val="auteur"/>
    <w:basedOn w:val="Policepardfaut"/>
    <w:rsid w:val="00094BD3"/>
  </w:style>
  <w:style w:type="character" w:customStyle="1" w:styleId="in-revue">
    <w:name w:val="in-revue"/>
    <w:basedOn w:val="Policepardfaut"/>
    <w:rsid w:val="00094BD3"/>
  </w:style>
  <w:style w:type="character" w:customStyle="1" w:styleId="titre-revue">
    <w:name w:val="titre-revue"/>
    <w:basedOn w:val="Policepardfaut"/>
    <w:rsid w:val="00094BD3"/>
  </w:style>
  <w:style w:type="character" w:customStyle="1" w:styleId="Mentionnonrsolue2">
    <w:name w:val="Mention non résolue2"/>
    <w:basedOn w:val="Policepardfaut"/>
    <w:uiPriority w:val="99"/>
    <w:semiHidden/>
    <w:unhideWhenUsed/>
    <w:rsid w:val="00094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ublications.unilim.fr/revues/as/26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6867</Words>
  <Characters>37906</Characters>
  <Application>Microsoft Office Word</Application>
  <DocSecurity>0</DocSecurity>
  <Lines>533</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Marion</cp:lastModifiedBy>
  <cp:revision>2</cp:revision>
  <cp:lastPrinted>2019-05-15T06:26:00Z</cp:lastPrinted>
  <dcterms:created xsi:type="dcterms:W3CDTF">2019-10-11T07:38:00Z</dcterms:created>
  <dcterms:modified xsi:type="dcterms:W3CDTF">2019-10-11T07:38:00Z</dcterms:modified>
</cp:coreProperties>
</file>